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6D6D" w:rsidRDefault="00476D6D" w:rsidP="00476D6D">
      <w:pPr>
        <w:spacing w:line="60" w:lineRule="exact"/>
        <w:rPr>
          <w:sz w:val="6"/>
        </w:rPr>
        <w:sectPr w:rsidR="00476D6D" w:rsidSect="005F33A7">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200" w:bottom="1728" w:left="1200" w:header="432" w:footer="504" w:gutter="0"/>
          <w:cols w:space="425"/>
          <w:titlePg/>
          <w:docGrid w:linePitch="312"/>
        </w:sectPr>
      </w:pPr>
      <w:r>
        <w:rPr>
          <w:rStyle w:val="a9"/>
        </w:rPr>
        <w:commentReference w:id="0"/>
      </w:r>
      <w:bookmarkStart w:id="1" w:name="_GoBack"/>
      <w:bookmarkEnd w:id="1"/>
    </w:p>
    <w:p w:rsidR="005F33A7" w:rsidRPr="005F33A7" w:rsidRDefault="005F33A7" w:rsidP="005F33A7">
      <w:pPr>
        <w:tabs>
          <w:tab w:val="left" w:pos="431"/>
        </w:tabs>
        <w:overflowPunct w:val="0"/>
        <w:adjustRightInd w:val="0"/>
        <w:snapToGrid w:val="0"/>
        <w:spacing w:before="120"/>
        <w:rPr>
          <w:rFonts w:eastAsia="黑体"/>
          <w:snapToGrid w:val="0"/>
          <w:kern w:val="0"/>
          <w:sz w:val="24"/>
          <w:szCs w:val="24"/>
        </w:rPr>
      </w:pPr>
      <w:r w:rsidRPr="005F33A7">
        <w:rPr>
          <w:rFonts w:eastAsia="黑体" w:hint="eastAsia"/>
          <w:snapToGrid w:val="0"/>
          <w:kern w:val="0"/>
          <w:sz w:val="24"/>
          <w:szCs w:val="24"/>
        </w:rPr>
        <w:lastRenderedPageBreak/>
        <w:t>消除对妇女歧视委员会</w:t>
      </w:r>
    </w:p>
    <w:p w:rsidR="005F33A7" w:rsidRPr="005F33A7" w:rsidRDefault="005F33A7" w:rsidP="005F33A7">
      <w:pPr>
        <w:keepNext/>
        <w:keepLines/>
        <w:tabs>
          <w:tab w:val="right" w:pos="851"/>
        </w:tabs>
        <w:overflowPunct w:val="0"/>
        <w:adjustRightInd w:val="0"/>
        <w:snapToGrid w:val="0"/>
        <w:spacing w:before="360" w:after="240"/>
        <w:ind w:left="1264" w:right="1264" w:hanging="1134"/>
        <w:rPr>
          <w:rFonts w:eastAsia="黑体"/>
          <w:snapToGrid w:val="0"/>
          <w:kern w:val="0"/>
          <w:sz w:val="28"/>
          <w:szCs w:val="28"/>
        </w:rPr>
      </w:pPr>
      <w:r w:rsidRPr="005F33A7">
        <w:rPr>
          <w:rFonts w:eastAsia="黑体"/>
          <w:snapToGrid w:val="0"/>
          <w:kern w:val="0"/>
          <w:sz w:val="32"/>
          <w:szCs w:val="24"/>
        </w:rPr>
        <w:tab/>
      </w:r>
      <w:r w:rsidRPr="005F33A7">
        <w:rPr>
          <w:rFonts w:eastAsia="黑体"/>
          <w:snapToGrid w:val="0"/>
          <w:kern w:val="0"/>
          <w:sz w:val="24"/>
          <w:szCs w:val="21"/>
        </w:rPr>
        <w:tab/>
      </w:r>
      <w:r w:rsidRPr="005F33A7">
        <w:rPr>
          <w:rFonts w:eastAsia="黑体" w:cs="宋体" w:hint="eastAsia"/>
          <w:bCs/>
          <w:snapToGrid w:val="0"/>
          <w:kern w:val="0"/>
          <w:sz w:val="28"/>
          <w:szCs w:val="28"/>
          <w:lang w:val="en-GB"/>
        </w:rPr>
        <w:t>关于乌克兰第八次定期报告的结论性意见</w:t>
      </w:r>
      <w:r w:rsidRPr="005F33A7">
        <w:rPr>
          <w:rFonts w:eastAsia="黑体"/>
          <w:snapToGrid w:val="0"/>
          <w:color w:val="0000FF"/>
          <w:kern w:val="0"/>
          <w:szCs w:val="28"/>
          <w:vertAlign w:val="superscript"/>
        </w:rPr>
        <w:footnoteReference w:customMarkFollows="1" w:id="1"/>
        <w:t>*</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1.</w:t>
      </w:r>
      <w:r w:rsidRPr="005F33A7">
        <w:rPr>
          <w:lang w:val="en-GB"/>
        </w:rPr>
        <w:tab/>
      </w:r>
      <w:r w:rsidRPr="005F33A7">
        <w:rPr>
          <w:rFonts w:hint="eastAsia"/>
          <w:lang w:val="en-GB"/>
        </w:rPr>
        <w:t>委员会在</w:t>
      </w:r>
      <w:r w:rsidRPr="005F33A7">
        <w:rPr>
          <w:rFonts w:hint="eastAsia"/>
          <w:lang w:val="en-GB"/>
        </w:rPr>
        <w:t>2017</w:t>
      </w:r>
      <w:r w:rsidRPr="005F33A7">
        <w:rPr>
          <w:rFonts w:hint="eastAsia"/>
          <w:lang w:val="en-GB"/>
        </w:rPr>
        <w:t>年</w:t>
      </w:r>
      <w:r w:rsidRPr="005F33A7">
        <w:rPr>
          <w:rFonts w:hint="eastAsia"/>
          <w:lang w:val="en-GB"/>
        </w:rPr>
        <w:t>2</w:t>
      </w:r>
      <w:r w:rsidRPr="005F33A7">
        <w:rPr>
          <w:rFonts w:hint="eastAsia"/>
          <w:lang w:val="en-GB"/>
        </w:rPr>
        <w:t>月</w:t>
      </w:r>
      <w:r w:rsidRPr="005F33A7">
        <w:rPr>
          <w:rFonts w:hint="eastAsia"/>
          <w:lang w:val="en-GB"/>
        </w:rPr>
        <w:t>14</w:t>
      </w:r>
      <w:r w:rsidRPr="005F33A7">
        <w:rPr>
          <w:rFonts w:hint="eastAsia"/>
          <w:lang w:val="en-GB"/>
        </w:rPr>
        <w:t>日举行的第</w:t>
      </w:r>
      <w:r w:rsidRPr="005F33A7">
        <w:rPr>
          <w:lang w:val="en-GB"/>
        </w:rPr>
        <w:t>1472</w:t>
      </w:r>
      <w:r w:rsidRPr="005F33A7">
        <w:rPr>
          <w:rFonts w:hint="eastAsia"/>
          <w:lang w:val="en-GB"/>
        </w:rPr>
        <w:t>次和第</w:t>
      </w:r>
      <w:r w:rsidRPr="005F33A7">
        <w:rPr>
          <w:lang w:val="en-GB"/>
        </w:rPr>
        <w:t>1473</w:t>
      </w:r>
      <w:r w:rsidRPr="005F33A7">
        <w:rPr>
          <w:rFonts w:hint="eastAsia"/>
          <w:lang w:val="en-GB"/>
        </w:rPr>
        <w:t>次会议</w:t>
      </w:r>
      <w:r>
        <w:rPr>
          <w:rFonts w:hint="eastAsia"/>
          <w:lang w:val="en-GB"/>
        </w:rPr>
        <w:t>(</w:t>
      </w:r>
      <w:r w:rsidRPr="005F33A7">
        <w:rPr>
          <w:rFonts w:hint="eastAsia"/>
          <w:lang w:val="en-GB"/>
        </w:rPr>
        <w:t>见</w:t>
      </w:r>
      <w:r w:rsidRPr="005F33A7">
        <w:rPr>
          <w:snapToGrid w:val="0"/>
          <w:kern w:val="0"/>
        </w:rPr>
        <w:fldChar w:fldCharType="begin"/>
      </w:r>
      <w:r w:rsidRPr="005F33A7">
        <w:rPr>
          <w:snapToGrid w:val="0"/>
          <w:kern w:val="0"/>
        </w:rPr>
        <w:instrText xml:space="preserve"> HYPERLINK "http://undocs.org/CEDAW/C/SR.1472" </w:instrText>
      </w:r>
      <w:r w:rsidRPr="005F33A7">
        <w:rPr>
          <w:snapToGrid w:val="0"/>
          <w:kern w:val="0"/>
        </w:rPr>
        <w:fldChar w:fldCharType="separate"/>
      </w:r>
      <w:r w:rsidRPr="005F33A7">
        <w:rPr>
          <w:color w:val="0000FF"/>
          <w:lang w:val="en-GB"/>
        </w:rPr>
        <w:t>CEDAW/C/SR.1472</w:t>
      </w:r>
      <w:r w:rsidRPr="005F33A7">
        <w:rPr>
          <w:color w:val="0000FF"/>
          <w:lang w:val="en-GB"/>
        </w:rPr>
        <w:fldChar w:fldCharType="end"/>
      </w:r>
      <w:r w:rsidRPr="005F33A7">
        <w:rPr>
          <w:rFonts w:hint="eastAsia"/>
          <w:lang w:val="en-GB"/>
        </w:rPr>
        <w:t>和</w:t>
      </w:r>
      <w:r w:rsidR="00E37B78">
        <w:rPr>
          <w:lang w:val="en-GB"/>
        </w:rPr>
        <w:fldChar w:fldCharType="begin"/>
      </w:r>
      <w:r w:rsidR="00E37B78">
        <w:rPr>
          <w:lang w:val="en-GB"/>
        </w:rPr>
        <w:instrText xml:space="preserve"> HYPERLINK "http://undocs.org/ch/CEDAW/C/SR.1473" </w:instrText>
      </w:r>
      <w:r w:rsidR="00E37B78">
        <w:rPr>
          <w:lang w:val="en-GB"/>
        </w:rPr>
        <w:fldChar w:fldCharType="separate"/>
      </w:r>
      <w:r w:rsidRPr="00E37B78">
        <w:rPr>
          <w:rStyle w:val="ad"/>
          <w:lang w:val="en-GB"/>
        </w:rPr>
        <w:t>CEDAW/C/SR.1473</w:t>
      </w:r>
      <w:r w:rsidR="00E37B78">
        <w:rPr>
          <w:lang w:val="en-GB"/>
        </w:rPr>
        <w:fldChar w:fldCharType="end"/>
      </w:r>
      <w:r>
        <w:rPr>
          <w:rFonts w:hint="eastAsia"/>
          <w:lang w:val="en-GB"/>
        </w:rPr>
        <w:t>)</w:t>
      </w:r>
      <w:r w:rsidRPr="005F33A7">
        <w:rPr>
          <w:rFonts w:hint="eastAsia"/>
          <w:lang w:val="en-GB"/>
        </w:rPr>
        <w:t>上审议了乌克兰的第八次定期报告</w:t>
      </w:r>
      <w:r>
        <w:rPr>
          <w:rFonts w:hint="eastAsia"/>
          <w:lang w:val="en-GB"/>
        </w:rPr>
        <w:t>(</w:t>
      </w:r>
      <w:hyperlink r:id="rId16" w:history="1">
        <w:r w:rsidRPr="005F33A7">
          <w:rPr>
            <w:color w:val="0000FF"/>
            <w:lang w:val="en-GB"/>
          </w:rPr>
          <w:t>CEDAW/C/UKR/8</w:t>
        </w:r>
      </w:hyperlink>
      <w:r>
        <w:rPr>
          <w:rFonts w:hint="eastAsia"/>
          <w:lang w:val="en-GB"/>
        </w:rPr>
        <w:t>)</w:t>
      </w:r>
      <w:r w:rsidRPr="005F33A7">
        <w:rPr>
          <w:rFonts w:hint="eastAsia"/>
          <w:lang w:val="en-GB"/>
        </w:rPr>
        <w:t>。委员会的议题和问题清单载于</w:t>
      </w:r>
      <w:r w:rsidRPr="005F33A7">
        <w:rPr>
          <w:snapToGrid w:val="0"/>
          <w:kern w:val="0"/>
        </w:rPr>
        <w:fldChar w:fldCharType="begin"/>
      </w:r>
      <w:r w:rsidRPr="005F33A7">
        <w:rPr>
          <w:snapToGrid w:val="0"/>
          <w:kern w:val="0"/>
        </w:rPr>
        <w:instrText xml:space="preserve"> HYPERLINK "http://undocs.org/CEDAW/C/UKR/Q/8" </w:instrText>
      </w:r>
      <w:r w:rsidRPr="005F33A7">
        <w:rPr>
          <w:snapToGrid w:val="0"/>
          <w:kern w:val="0"/>
        </w:rPr>
        <w:fldChar w:fldCharType="separate"/>
      </w:r>
      <w:r w:rsidRPr="005F33A7">
        <w:rPr>
          <w:color w:val="0000FF"/>
          <w:lang w:val="en-GB"/>
        </w:rPr>
        <w:t>CEDAW/C/UKR/Q/8</w:t>
      </w:r>
      <w:r w:rsidRPr="005F33A7">
        <w:rPr>
          <w:color w:val="0000FF"/>
          <w:lang w:val="en-GB"/>
        </w:rPr>
        <w:fldChar w:fldCharType="end"/>
      </w:r>
      <w:r w:rsidRPr="005F33A7">
        <w:rPr>
          <w:rFonts w:hint="eastAsia"/>
          <w:lang w:val="en-GB"/>
        </w:rPr>
        <w:t>，乌克兰的答复载于</w:t>
      </w:r>
      <w:r w:rsidRPr="005F33A7">
        <w:rPr>
          <w:snapToGrid w:val="0"/>
          <w:kern w:val="0"/>
        </w:rPr>
        <w:fldChar w:fldCharType="begin"/>
      </w:r>
      <w:r w:rsidRPr="005F33A7">
        <w:rPr>
          <w:snapToGrid w:val="0"/>
          <w:kern w:val="0"/>
        </w:rPr>
        <w:instrText xml:space="preserve"> HYPERLINK "http://undocs.org/CEDAW/C/UKR/Q/8/Add.1" </w:instrText>
      </w:r>
      <w:r w:rsidRPr="005F33A7">
        <w:rPr>
          <w:snapToGrid w:val="0"/>
          <w:kern w:val="0"/>
        </w:rPr>
        <w:fldChar w:fldCharType="separate"/>
      </w:r>
      <w:r w:rsidRPr="005F33A7">
        <w:rPr>
          <w:color w:val="0000FF"/>
          <w:lang w:val="en-GB"/>
        </w:rPr>
        <w:t>CEDAW/C/UKR/Q/8/Add.1</w:t>
      </w:r>
      <w:r w:rsidRPr="005F33A7">
        <w:rPr>
          <w:color w:val="0000FF"/>
          <w:lang w:val="en-GB"/>
        </w:rPr>
        <w:fldChar w:fldCharType="end"/>
      </w:r>
      <w:r w:rsidRPr="005F33A7">
        <w:rPr>
          <w:rFonts w:hint="eastAsia"/>
          <w:lang w:val="en-GB"/>
        </w:rPr>
        <w:t>。</w:t>
      </w:r>
    </w:p>
    <w:p w:rsidR="005F33A7" w:rsidRPr="005F33A7" w:rsidRDefault="005F33A7" w:rsidP="005F33A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360" w:after="240"/>
        <w:ind w:left="1264" w:right="1259" w:hanging="1264"/>
        <w:jc w:val="left"/>
        <w:outlineLvl w:val="0"/>
        <w:rPr>
          <w:b/>
          <w:sz w:val="24"/>
          <w:lang w:val="en-GB"/>
        </w:rPr>
      </w:pPr>
      <w:r w:rsidRPr="005F33A7">
        <w:rPr>
          <w:b/>
          <w:sz w:val="24"/>
          <w:lang w:val="en-GB"/>
        </w:rPr>
        <w:tab/>
        <w:t>A.</w:t>
      </w:r>
      <w:r w:rsidRPr="005F33A7">
        <w:rPr>
          <w:b/>
          <w:sz w:val="24"/>
          <w:lang w:val="en-GB"/>
        </w:rPr>
        <w:tab/>
      </w:r>
      <w:r w:rsidRPr="005F33A7">
        <w:rPr>
          <w:rFonts w:eastAsia="黑体" w:hAnsi="黑体" w:hint="eastAsia"/>
          <w:sz w:val="24"/>
          <w:lang w:val="en-GB"/>
        </w:rPr>
        <w:t>导言</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2.</w:t>
      </w:r>
      <w:r w:rsidRPr="005F33A7">
        <w:rPr>
          <w:lang w:val="en-GB"/>
        </w:rPr>
        <w:tab/>
      </w:r>
      <w:r w:rsidRPr="005F33A7">
        <w:rPr>
          <w:rFonts w:hint="eastAsia"/>
          <w:lang w:val="en-GB"/>
        </w:rPr>
        <w:t>委员会感谢缔约国提交其第八次定期报告。委员会还感谢缔约国对会前工作组提出的议题和问题清单作出书面答复，并欢迎代表团进行口头介绍，以及对委员会在对话期间口头提出的问题作进一步澄清。</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3.</w:t>
      </w:r>
      <w:r w:rsidRPr="005F33A7">
        <w:rPr>
          <w:lang w:val="en-GB"/>
        </w:rPr>
        <w:tab/>
      </w:r>
      <w:r w:rsidRPr="005F33A7">
        <w:rPr>
          <w:rFonts w:hint="eastAsia"/>
          <w:lang w:val="en-GB"/>
        </w:rPr>
        <w:t>委员会对缔约国的代表团表示赞扬，该代表团由社会政策部副部长</w:t>
      </w:r>
      <w:proofErr w:type="spellStart"/>
      <w:r w:rsidRPr="005F33A7">
        <w:rPr>
          <w:lang w:val="en-GB"/>
        </w:rPr>
        <w:t>Nataliia</w:t>
      </w:r>
      <w:proofErr w:type="spellEnd"/>
      <w:r w:rsidRPr="005F33A7">
        <w:rPr>
          <w:lang w:val="en-GB"/>
        </w:rPr>
        <w:t xml:space="preserve"> </w:t>
      </w:r>
      <w:proofErr w:type="spellStart"/>
      <w:r w:rsidRPr="005F33A7">
        <w:rPr>
          <w:lang w:val="en-GB"/>
        </w:rPr>
        <w:t>Fedorovych</w:t>
      </w:r>
      <w:proofErr w:type="spellEnd"/>
      <w:r w:rsidRPr="005F33A7">
        <w:rPr>
          <w:rFonts w:hint="eastAsia"/>
          <w:lang w:val="en-GB"/>
        </w:rPr>
        <w:t>率领；成员还包括司法部、卫生部、教育科学部、国防部、总检察长办公室以及乌克兰常驻联合国日内瓦办事处和其他国际组织代表团的代表。</w:t>
      </w:r>
    </w:p>
    <w:p w:rsidR="005F33A7" w:rsidRPr="005F33A7" w:rsidRDefault="005F33A7" w:rsidP="005F33A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360" w:after="240"/>
        <w:ind w:left="1264" w:right="1259" w:hanging="1264"/>
        <w:jc w:val="left"/>
        <w:outlineLvl w:val="0"/>
        <w:rPr>
          <w:b/>
          <w:sz w:val="24"/>
          <w:lang w:val="en-GB"/>
        </w:rPr>
      </w:pPr>
      <w:r w:rsidRPr="005F33A7">
        <w:rPr>
          <w:b/>
          <w:sz w:val="24"/>
          <w:lang w:val="en-GB"/>
        </w:rPr>
        <w:tab/>
        <w:t>B.</w:t>
      </w:r>
      <w:r w:rsidRPr="005F33A7">
        <w:rPr>
          <w:b/>
          <w:sz w:val="24"/>
          <w:lang w:val="en-GB"/>
        </w:rPr>
        <w:tab/>
      </w:r>
      <w:r w:rsidRPr="005F33A7">
        <w:rPr>
          <w:rFonts w:eastAsia="黑体" w:hAnsi="黑体" w:hint="eastAsia"/>
          <w:sz w:val="24"/>
          <w:lang w:val="en-GB"/>
        </w:rPr>
        <w:t>积极方面</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4.</w:t>
      </w:r>
      <w:r w:rsidRPr="005F33A7">
        <w:rPr>
          <w:lang w:val="en-GB"/>
        </w:rPr>
        <w:tab/>
      </w:r>
      <w:r w:rsidRPr="005F33A7">
        <w:rPr>
          <w:rFonts w:hint="eastAsia"/>
          <w:lang w:val="en-GB"/>
        </w:rPr>
        <w:t>委员会欢迎自</w:t>
      </w:r>
      <w:r w:rsidRPr="005F33A7">
        <w:rPr>
          <w:rFonts w:hint="eastAsia"/>
          <w:lang w:val="en-GB"/>
        </w:rPr>
        <w:t>2008</w:t>
      </w:r>
      <w:r w:rsidRPr="005F33A7">
        <w:rPr>
          <w:rFonts w:hint="eastAsia"/>
          <w:lang w:val="en-GB"/>
        </w:rPr>
        <w:t>年审议缔约国第六次和第七次合并定期报告</w:t>
      </w:r>
      <w:r>
        <w:rPr>
          <w:rFonts w:hint="eastAsia"/>
          <w:lang w:val="en-GB"/>
        </w:rPr>
        <w:t>(</w:t>
      </w:r>
      <w:hyperlink r:id="rId17" w:history="1">
        <w:r w:rsidRPr="005F33A7">
          <w:rPr>
            <w:color w:val="0000FF"/>
            <w:lang w:val="en-GB"/>
          </w:rPr>
          <w:t>CEDAW/C/UKR/7</w:t>
        </w:r>
      </w:hyperlink>
      <w:r>
        <w:rPr>
          <w:rFonts w:hint="eastAsia"/>
          <w:lang w:val="en-GB"/>
        </w:rPr>
        <w:t>)</w:t>
      </w:r>
      <w:r w:rsidRPr="005F33A7">
        <w:rPr>
          <w:rFonts w:hint="eastAsia"/>
          <w:lang w:val="en-GB"/>
        </w:rPr>
        <w:t>以来在进行立法改革方面取得的进展，特别是通过了以下立法：</w:t>
      </w:r>
    </w:p>
    <w:p w:rsidR="005F33A7" w:rsidRPr="005F33A7" w:rsidRDefault="005F33A7" w:rsidP="005F33A7">
      <w:pPr>
        <w:tabs>
          <w:tab w:val="left" w:pos="1267"/>
          <w:tab w:val="left" w:pos="1742"/>
          <w:tab w:val="left" w:pos="2218"/>
          <w:tab w:val="left" w:pos="2275"/>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ab/>
        <w:t>(a)</w:t>
      </w:r>
      <w:r w:rsidRPr="005F33A7">
        <w:rPr>
          <w:lang w:val="en-GB"/>
        </w:rPr>
        <w:tab/>
      </w:r>
      <w:r w:rsidRPr="005F33A7">
        <w:rPr>
          <w:rFonts w:hint="eastAsia"/>
          <w:lang w:val="en-GB"/>
        </w:rPr>
        <w:t>2016</w:t>
      </w:r>
      <w:r w:rsidRPr="005F33A7">
        <w:rPr>
          <w:rFonts w:hint="eastAsia"/>
          <w:lang w:val="en-GB"/>
        </w:rPr>
        <w:t>年通过了《预防和打击家庭暴力法》；</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ab/>
        <w:t>(b)</w:t>
      </w:r>
      <w:r w:rsidRPr="005F33A7">
        <w:rPr>
          <w:rFonts w:hint="eastAsia"/>
          <w:lang w:val="en-GB"/>
        </w:rPr>
        <w:tab/>
        <w:t>2011</w:t>
      </w:r>
      <w:r w:rsidRPr="005F33A7">
        <w:rPr>
          <w:rFonts w:hint="eastAsia"/>
          <w:lang w:val="en-GB"/>
        </w:rPr>
        <w:t>年通过了《打击贩运人口法》。</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lastRenderedPageBreak/>
        <w:t>5.</w:t>
      </w:r>
      <w:r w:rsidRPr="005F33A7">
        <w:rPr>
          <w:lang w:val="en-GB"/>
        </w:rPr>
        <w:tab/>
      </w:r>
      <w:r w:rsidRPr="005F33A7">
        <w:rPr>
          <w:rFonts w:hint="eastAsia"/>
          <w:lang w:val="en-GB"/>
        </w:rPr>
        <w:t>委员会欢迎缔约国努力完善其政策框架，以加快消除歧视妇女行为并增进妇女权利，包括通过以下文件：</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ab/>
        <w:t>(a)</w:t>
      </w:r>
      <w:r w:rsidRPr="005F33A7">
        <w:rPr>
          <w:rFonts w:hint="eastAsia"/>
          <w:lang w:val="en-GB"/>
        </w:rPr>
        <w:tab/>
      </w:r>
      <w:r w:rsidRPr="005F33A7">
        <w:rPr>
          <w:rFonts w:hint="eastAsia"/>
          <w:lang w:val="en-GB"/>
        </w:rPr>
        <w:t>《男女权利和机会平等方案》</w:t>
      </w:r>
      <w:r>
        <w:rPr>
          <w:lang w:val="en-GB"/>
        </w:rPr>
        <w:t>(</w:t>
      </w:r>
      <w:r w:rsidRPr="005F33A7">
        <w:rPr>
          <w:lang w:val="en-GB"/>
        </w:rPr>
        <w:t>2017-2021</w:t>
      </w:r>
      <w:r w:rsidRPr="005F33A7">
        <w:rPr>
          <w:rFonts w:hint="eastAsia"/>
          <w:lang w:val="en-GB"/>
        </w:rPr>
        <w:t>年</w:t>
      </w:r>
      <w:r>
        <w:rPr>
          <w:lang w:val="en-GB"/>
        </w:rPr>
        <w:t>)</w:t>
      </w:r>
      <w:r w:rsidRPr="005F33A7">
        <w:rPr>
          <w:rFonts w:hint="eastAsia"/>
          <w:lang w:val="en-GB"/>
        </w:rPr>
        <w:t>；</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ab/>
        <w:t>(b)</w:t>
      </w:r>
      <w:r w:rsidRPr="005F33A7">
        <w:rPr>
          <w:rFonts w:hint="eastAsia"/>
          <w:lang w:val="en-GB"/>
        </w:rPr>
        <w:tab/>
      </w:r>
      <w:r w:rsidRPr="005F33A7">
        <w:rPr>
          <w:rFonts w:hint="eastAsia"/>
          <w:lang w:val="en-GB"/>
        </w:rPr>
        <w:t>《预防和打击家庭暴力国家方案概念》</w:t>
      </w:r>
      <w:r>
        <w:rPr>
          <w:lang w:val="en-GB"/>
        </w:rPr>
        <w:t>(</w:t>
      </w:r>
      <w:r w:rsidRPr="005F33A7">
        <w:rPr>
          <w:lang w:val="en-GB"/>
        </w:rPr>
        <w:t>2017-2020</w:t>
      </w:r>
      <w:r w:rsidRPr="005F33A7">
        <w:rPr>
          <w:rFonts w:hint="eastAsia"/>
          <w:lang w:val="en-GB"/>
        </w:rPr>
        <w:t>年</w:t>
      </w:r>
      <w:r>
        <w:rPr>
          <w:lang w:val="en-GB"/>
        </w:rPr>
        <w:t>)</w:t>
      </w:r>
      <w:r w:rsidRPr="005F33A7">
        <w:rPr>
          <w:rFonts w:hint="eastAsia"/>
          <w:lang w:val="en-GB"/>
        </w:rPr>
        <w:t>；</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ab/>
        <w:t>(c)</w:t>
      </w:r>
      <w:r w:rsidRPr="005F33A7">
        <w:rPr>
          <w:rFonts w:hint="eastAsia"/>
          <w:lang w:val="en-GB"/>
        </w:rPr>
        <w:tab/>
      </w:r>
      <w:r w:rsidRPr="005F33A7">
        <w:rPr>
          <w:rFonts w:hint="eastAsia"/>
          <w:lang w:val="en-GB"/>
        </w:rPr>
        <w:t>《促进执行安全理事会关于妇女与和平与安全的第</w:t>
      </w:r>
      <w:hyperlink r:id="rId18" w:history="1">
        <w:r w:rsidRPr="00E37B78">
          <w:rPr>
            <w:rStyle w:val="ad"/>
            <w:lang w:val="en-GB"/>
          </w:rPr>
          <w:t>1325(2000)</w:t>
        </w:r>
      </w:hyperlink>
      <w:r w:rsidRPr="005F33A7">
        <w:rPr>
          <w:rFonts w:hint="eastAsia"/>
          <w:lang w:val="en-GB"/>
        </w:rPr>
        <w:t>号决议的国家行动计划》</w:t>
      </w:r>
      <w:r>
        <w:rPr>
          <w:lang w:val="en-GB"/>
        </w:rPr>
        <w:t>(</w:t>
      </w:r>
      <w:r w:rsidRPr="005F33A7">
        <w:rPr>
          <w:lang w:val="en-GB"/>
        </w:rPr>
        <w:t>2016-2020</w:t>
      </w:r>
      <w:r w:rsidRPr="005F33A7">
        <w:rPr>
          <w:rFonts w:hint="eastAsia"/>
          <w:lang w:val="en-GB"/>
        </w:rPr>
        <w:t>年</w:t>
      </w:r>
      <w:r>
        <w:rPr>
          <w:lang w:val="en-GB"/>
        </w:rPr>
        <w:t>)</w:t>
      </w:r>
      <w:r w:rsidRPr="005F33A7">
        <w:rPr>
          <w:rFonts w:hint="eastAsia"/>
          <w:lang w:val="en-GB"/>
        </w:rPr>
        <w:t>；</w:t>
      </w:r>
      <w:r w:rsidRPr="005F33A7">
        <w:rPr>
          <w:lang w:val="en-GB"/>
        </w:rPr>
        <w:t xml:space="preserve"> </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ab/>
        <w:t>(d)</w:t>
      </w:r>
      <w:r w:rsidRPr="005F33A7">
        <w:rPr>
          <w:rFonts w:hint="eastAsia"/>
          <w:lang w:val="en-GB"/>
        </w:rPr>
        <w:tab/>
      </w:r>
      <w:r w:rsidRPr="005F33A7">
        <w:rPr>
          <w:rFonts w:hint="eastAsia"/>
          <w:lang w:val="en-GB"/>
        </w:rPr>
        <w:t>《减贫战略》</w:t>
      </w:r>
      <w:r>
        <w:rPr>
          <w:lang w:val="en-GB"/>
        </w:rPr>
        <w:t>(</w:t>
      </w:r>
      <w:r w:rsidRPr="005F33A7">
        <w:rPr>
          <w:lang w:val="en-GB"/>
        </w:rPr>
        <w:t>2016-2020</w:t>
      </w:r>
      <w:r w:rsidRPr="005F33A7">
        <w:rPr>
          <w:rFonts w:hint="eastAsia"/>
          <w:lang w:val="en-GB"/>
        </w:rPr>
        <w:t>年</w:t>
      </w:r>
      <w:r>
        <w:rPr>
          <w:lang w:val="en-GB"/>
        </w:rPr>
        <w:t>)</w:t>
      </w:r>
      <w:r w:rsidRPr="005F33A7">
        <w:rPr>
          <w:rFonts w:hint="eastAsia"/>
          <w:lang w:val="en-GB"/>
        </w:rPr>
        <w:t>；</w:t>
      </w:r>
    </w:p>
    <w:p w:rsidR="005F33A7" w:rsidRPr="005F33A7" w:rsidRDefault="005F33A7" w:rsidP="005F33A7">
      <w:pPr>
        <w:tabs>
          <w:tab w:val="left" w:pos="1267"/>
          <w:tab w:val="left" w:pos="1742"/>
          <w:tab w:val="left" w:pos="2218"/>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ab/>
        <w:t>(e)</w:t>
      </w:r>
      <w:r w:rsidRPr="005F33A7">
        <w:rPr>
          <w:rFonts w:hint="eastAsia"/>
          <w:lang w:val="en-GB"/>
        </w:rPr>
        <w:tab/>
        <w:t>2016</w:t>
      </w:r>
      <w:r w:rsidRPr="005F33A7">
        <w:rPr>
          <w:rFonts w:hint="eastAsia"/>
          <w:lang w:val="en-GB"/>
        </w:rPr>
        <w:t>年通过了《国家人权战略及其实施行动计划》；</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ab/>
        <w:t>(f)</w:t>
      </w:r>
      <w:r w:rsidRPr="005F33A7">
        <w:rPr>
          <w:rFonts w:hint="eastAsia"/>
          <w:lang w:val="en-GB"/>
        </w:rPr>
        <w:tab/>
        <w:t>2016</w:t>
      </w:r>
      <w:r w:rsidRPr="005F33A7">
        <w:rPr>
          <w:rFonts w:hint="eastAsia"/>
          <w:lang w:val="en-GB"/>
        </w:rPr>
        <w:t>年通过了《国家打击贩运目标方案》。</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6.</w:t>
      </w:r>
      <w:r w:rsidRPr="005F33A7">
        <w:rPr>
          <w:lang w:val="en-GB"/>
        </w:rPr>
        <w:tab/>
      </w:r>
      <w:r w:rsidRPr="005F33A7">
        <w:rPr>
          <w:rFonts w:hint="eastAsia"/>
          <w:lang w:val="en-GB"/>
        </w:rPr>
        <w:t>委员会欣见</w:t>
      </w:r>
      <w:r w:rsidRPr="005F33A7">
        <w:rPr>
          <w:rFonts w:hint="eastAsia"/>
          <w:lang w:val="en-GB"/>
        </w:rPr>
        <w:t>2015</w:t>
      </w:r>
      <w:r w:rsidRPr="005F33A7">
        <w:rPr>
          <w:rFonts w:hint="eastAsia"/>
          <w:lang w:val="en-GB"/>
        </w:rPr>
        <w:t>年上次报告审议以来缔约国加入了《</w:t>
      </w:r>
      <w:r w:rsidRPr="005F33A7">
        <w:rPr>
          <w:lang w:val="en-GB"/>
        </w:rPr>
        <w:t>保护所有人免遭强迫失踪国际公约</w:t>
      </w:r>
      <w:r w:rsidRPr="005F33A7">
        <w:rPr>
          <w:rFonts w:hint="eastAsia"/>
          <w:lang w:val="en-GB"/>
        </w:rPr>
        <w:t>》。</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7.</w:t>
      </w:r>
      <w:r w:rsidRPr="005F33A7">
        <w:rPr>
          <w:lang w:val="en-GB"/>
        </w:rPr>
        <w:tab/>
      </w:r>
      <w:r w:rsidRPr="005F33A7">
        <w:rPr>
          <w:rFonts w:hint="eastAsia"/>
          <w:lang w:val="en-GB"/>
        </w:rPr>
        <w:t>委员会欣见缔约国于</w:t>
      </w:r>
      <w:r w:rsidRPr="005F33A7">
        <w:rPr>
          <w:rFonts w:hint="eastAsia"/>
          <w:lang w:val="en-GB"/>
        </w:rPr>
        <w:t>2000</w:t>
      </w:r>
      <w:r w:rsidRPr="005F33A7">
        <w:rPr>
          <w:rFonts w:hint="eastAsia"/>
          <w:lang w:val="en-GB"/>
        </w:rPr>
        <w:t>年签署了《国际刑事法院罗马规约》，并自</w:t>
      </w:r>
      <w:r w:rsidRPr="005F33A7">
        <w:rPr>
          <w:rFonts w:hint="eastAsia"/>
          <w:lang w:val="en-GB"/>
        </w:rPr>
        <w:t>2014</w:t>
      </w:r>
      <w:r w:rsidRPr="005F33A7">
        <w:rPr>
          <w:rFonts w:hint="eastAsia"/>
          <w:lang w:val="en-GB"/>
        </w:rPr>
        <w:t>年</w:t>
      </w:r>
      <w:r w:rsidRPr="005F33A7">
        <w:rPr>
          <w:rFonts w:hint="eastAsia"/>
          <w:lang w:val="en-GB"/>
        </w:rPr>
        <w:t>2</w:t>
      </w:r>
      <w:r w:rsidRPr="005F33A7">
        <w:rPr>
          <w:rFonts w:hint="eastAsia"/>
          <w:lang w:val="en-GB"/>
        </w:rPr>
        <w:t>月</w:t>
      </w:r>
      <w:r w:rsidRPr="005F33A7">
        <w:rPr>
          <w:rFonts w:hint="eastAsia"/>
          <w:lang w:val="en-GB"/>
        </w:rPr>
        <w:t>20</w:t>
      </w:r>
      <w:r w:rsidRPr="005F33A7">
        <w:rPr>
          <w:rFonts w:hint="eastAsia"/>
          <w:lang w:val="en-GB"/>
        </w:rPr>
        <w:t>日起接受该法院对在其境内犯下的被指控罪行的管辖权。</w:t>
      </w:r>
    </w:p>
    <w:p w:rsidR="005F33A7" w:rsidRPr="005F33A7" w:rsidRDefault="005F33A7" w:rsidP="005F33A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360" w:after="240"/>
        <w:ind w:left="1264" w:right="1259" w:hanging="1264"/>
        <w:jc w:val="left"/>
        <w:outlineLvl w:val="0"/>
        <w:rPr>
          <w:b/>
          <w:sz w:val="24"/>
          <w:lang w:val="en-GB"/>
        </w:rPr>
      </w:pPr>
      <w:r w:rsidRPr="005F33A7">
        <w:rPr>
          <w:b/>
          <w:sz w:val="24"/>
          <w:lang w:val="en-GB"/>
        </w:rPr>
        <w:tab/>
        <w:t>C.</w:t>
      </w:r>
      <w:r w:rsidRPr="005F33A7">
        <w:rPr>
          <w:b/>
          <w:sz w:val="24"/>
          <w:lang w:val="en-GB"/>
        </w:rPr>
        <w:tab/>
      </w:r>
      <w:r w:rsidRPr="005F33A7">
        <w:rPr>
          <w:rFonts w:eastAsia="黑体" w:hAnsi="黑体" w:hint="eastAsia"/>
          <w:sz w:val="24"/>
          <w:lang w:val="en-GB"/>
        </w:rPr>
        <w:t>议会</w:t>
      </w:r>
      <w:r w:rsidRPr="005F33A7">
        <w:rPr>
          <w:b/>
          <w:sz w:val="24"/>
          <w:lang w:val="en-GB"/>
        </w:rPr>
        <w:t xml:space="preserve"> </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b/>
          <w:lang w:val="en-GB"/>
        </w:rPr>
      </w:pPr>
      <w:r w:rsidRPr="005F33A7">
        <w:rPr>
          <w:b/>
          <w:lang w:val="en-GB"/>
        </w:rPr>
        <w:t>8.</w:t>
      </w:r>
      <w:r w:rsidRPr="005F33A7">
        <w:rPr>
          <w:lang w:val="en-GB"/>
        </w:rPr>
        <w:tab/>
      </w:r>
      <w:r w:rsidRPr="005F33A7">
        <w:rPr>
          <w:rFonts w:eastAsia="黑体" w:hAnsi="黑体" w:hint="eastAsia"/>
          <w:lang w:val="en-GB"/>
        </w:rPr>
        <w:t>委员会强调立法权在确保《公约》得到充分执行方面的关键作用</w:t>
      </w:r>
      <w:r>
        <w:rPr>
          <w:rFonts w:eastAsia="黑体" w:hAnsi="黑体" w:hint="eastAsia"/>
          <w:lang w:val="en-GB"/>
        </w:rPr>
        <w:t>(</w:t>
      </w:r>
      <w:r w:rsidRPr="005F33A7">
        <w:rPr>
          <w:rFonts w:eastAsia="黑体" w:hAnsi="黑体" w:hint="eastAsia"/>
          <w:lang w:val="en-GB"/>
        </w:rPr>
        <w:t>见</w:t>
      </w:r>
      <w:r w:rsidRPr="005F33A7">
        <w:rPr>
          <w:rFonts w:eastAsia="黑体" w:hint="eastAsia"/>
          <w:b/>
          <w:lang w:val="en-GB"/>
        </w:rPr>
        <w:t>2010</w:t>
      </w:r>
      <w:r w:rsidRPr="005F33A7">
        <w:rPr>
          <w:rFonts w:eastAsia="黑体" w:hAnsi="黑体" w:hint="eastAsia"/>
          <w:lang w:val="en-GB"/>
        </w:rPr>
        <w:t>年委员会第四十五届会议上通过的关于委员会与议员之间关系的声明</w:t>
      </w:r>
      <w:r>
        <w:rPr>
          <w:rFonts w:eastAsia="黑体" w:hAnsi="黑体" w:hint="eastAsia"/>
          <w:lang w:val="en-GB"/>
        </w:rPr>
        <w:t>)</w:t>
      </w:r>
      <w:r w:rsidRPr="005F33A7">
        <w:rPr>
          <w:rFonts w:eastAsia="黑体" w:hAnsi="黑体" w:hint="eastAsia"/>
          <w:lang w:val="en-GB"/>
        </w:rPr>
        <w:t>。委员会请最高拉达从现在起到根据《公约》提交下一次报告期间按照其任务规定采取必要步骤落实本结论性意见。</w:t>
      </w:r>
    </w:p>
    <w:p w:rsidR="005F33A7" w:rsidRPr="005F33A7" w:rsidRDefault="005F33A7" w:rsidP="005F33A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360" w:after="240"/>
        <w:ind w:left="1264" w:right="1259" w:hanging="1264"/>
        <w:jc w:val="left"/>
        <w:outlineLvl w:val="0"/>
        <w:rPr>
          <w:b/>
          <w:sz w:val="24"/>
          <w:lang w:val="en-GB"/>
        </w:rPr>
      </w:pPr>
      <w:r w:rsidRPr="005F33A7">
        <w:rPr>
          <w:b/>
          <w:sz w:val="24"/>
          <w:lang w:val="en-GB"/>
        </w:rPr>
        <w:tab/>
        <w:t>D.</w:t>
      </w:r>
      <w:r w:rsidRPr="005F33A7">
        <w:rPr>
          <w:b/>
          <w:sz w:val="24"/>
          <w:lang w:val="en-GB"/>
        </w:rPr>
        <w:tab/>
      </w:r>
      <w:r w:rsidRPr="005F33A7">
        <w:rPr>
          <w:rFonts w:eastAsia="黑体" w:hAnsi="黑体" w:hint="eastAsia"/>
          <w:sz w:val="24"/>
          <w:lang w:val="en-GB"/>
        </w:rPr>
        <w:t>妨碍有效执行《公约》的因素和困难</w:t>
      </w:r>
      <w:r w:rsidRPr="005F33A7">
        <w:rPr>
          <w:b/>
          <w:sz w:val="24"/>
          <w:lang w:val="en-GB"/>
        </w:rPr>
        <w:t xml:space="preserve"> </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9.</w:t>
      </w:r>
      <w:r w:rsidRPr="005F33A7">
        <w:rPr>
          <w:lang w:val="en-GB"/>
        </w:rPr>
        <w:tab/>
      </w:r>
      <w:r w:rsidRPr="005F33A7">
        <w:rPr>
          <w:rFonts w:hint="eastAsia"/>
          <w:lang w:val="en-GB"/>
        </w:rPr>
        <w:t>委员会认为，缔约国持续不休的武装冲突进入第四年，对《公约》的执行构成</w:t>
      </w:r>
      <w:r w:rsidRPr="005F33A7">
        <w:rPr>
          <w:rFonts w:hAnsi="宋体" w:cs="宋体" w:hint="eastAsia"/>
          <w:lang w:val="en-GB"/>
        </w:rPr>
        <w:t>挑战。不过，委员会认为，执行《公约》，特别是在冲突时期，是确保充分尊重和享有妇女权利最有效的保障，因为妇女是推动该国社会经济发展的一股力量。因此，委员会吁请缔约国落实本结论性意见所载的各项建议，将此作为国家动员和国际</w:t>
      </w:r>
      <w:r w:rsidRPr="005F33A7">
        <w:rPr>
          <w:rFonts w:hint="eastAsia"/>
          <w:lang w:val="en-GB"/>
        </w:rPr>
        <w:t>支助的一项高度优先事项，同时适当考虑关于预防冲突、冲突和冲突后局势中的妇女的第</w:t>
      </w:r>
      <w:r w:rsidRPr="005F33A7">
        <w:rPr>
          <w:lang w:val="en-GB"/>
        </w:rPr>
        <w:t>30</w:t>
      </w:r>
      <w:r>
        <w:rPr>
          <w:rFonts w:hint="eastAsia"/>
          <w:lang w:val="en-GB"/>
        </w:rPr>
        <w:t>(</w:t>
      </w:r>
      <w:r w:rsidRPr="005F33A7">
        <w:rPr>
          <w:lang w:val="en-GB"/>
        </w:rPr>
        <w:t>2013</w:t>
      </w:r>
      <w:r>
        <w:rPr>
          <w:rFonts w:hint="eastAsia"/>
          <w:lang w:val="en-GB"/>
        </w:rPr>
        <w:t>)</w:t>
      </w:r>
      <w:r w:rsidRPr="005F33A7">
        <w:rPr>
          <w:rFonts w:hint="eastAsia"/>
          <w:lang w:val="en-GB"/>
        </w:rPr>
        <w:t>号一般性建议，与各级所有相关国家机构，即最高拉达、州级机关、司法机构和其他利益攸关方，以及目前支持缔约国走上全面持久和平之路的民间社会和国际组织的代表一道建立特别协调机制。</w:t>
      </w:r>
    </w:p>
    <w:p w:rsidR="005F33A7" w:rsidRPr="005F33A7" w:rsidRDefault="005F33A7" w:rsidP="005F33A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360" w:after="240"/>
        <w:ind w:left="1264" w:right="1259" w:hanging="1264"/>
        <w:jc w:val="left"/>
        <w:outlineLvl w:val="0"/>
        <w:rPr>
          <w:b/>
          <w:sz w:val="24"/>
          <w:lang w:val="en-GB"/>
        </w:rPr>
      </w:pPr>
      <w:r w:rsidRPr="005F33A7">
        <w:rPr>
          <w:b/>
          <w:sz w:val="24"/>
          <w:lang w:val="en-GB"/>
        </w:rPr>
        <w:tab/>
        <w:t>E.</w:t>
      </w:r>
      <w:r w:rsidRPr="005F33A7">
        <w:rPr>
          <w:b/>
          <w:sz w:val="24"/>
          <w:lang w:val="en-GB"/>
        </w:rPr>
        <w:tab/>
      </w:r>
      <w:r w:rsidRPr="005F33A7">
        <w:rPr>
          <w:rFonts w:eastAsia="黑体" w:hAnsi="黑体" w:hint="eastAsia"/>
          <w:sz w:val="24"/>
          <w:lang w:val="en-GB"/>
        </w:rPr>
        <w:t>主要关切领域和建议</w:t>
      </w:r>
    </w:p>
    <w:p w:rsidR="005F33A7" w:rsidRPr="005F33A7" w:rsidRDefault="005F33A7" w:rsidP="005F33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240" w:after="140"/>
        <w:ind w:left="1264" w:right="1259" w:hanging="1264"/>
        <w:jc w:val="left"/>
        <w:rPr>
          <w:rFonts w:eastAsia="黑体"/>
        </w:rPr>
      </w:pPr>
      <w:r w:rsidRPr="005F33A7">
        <w:rPr>
          <w:b/>
        </w:rPr>
        <w:tab/>
      </w:r>
      <w:r w:rsidRPr="005F33A7">
        <w:rPr>
          <w:b/>
        </w:rPr>
        <w:tab/>
      </w:r>
      <w:r w:rsidRPr="005F33A7">
        <w:rPr>
          <w:rFonts w:eastAsia="黑体" w:hAnsi="黑体" w:hint="eastAsia"/>
        </w:rPr>
        <w:t>总体背景</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10.</w:t>
      </w:r>
      <w:r w:rsidRPr="005F33A7">
        <w:rPr>
          <w:lang w:val="en-GB"/>
        </w:rPr>
        <w:tab/>
      </w:r>
      <w:r w:rsidRPr="005F33A7">
        <w:rPr>
          <w:rFonts w:hint="eastAsia"/>
          <w:lang w:val="en-GB"/>
        </w:rPr>
        <w:t>委员会欢迎缔约国为建设和平、巩固法治和可持续发展所作的努力和承诺。它指出，自</w:t>
      </w:r>
      <w:r w:rsidRPr="005F33A7">
        <w:rPr>
          <w:rFonts w:hint="eastAsia"/>
          <w:lang w:val="en-GB"/>
        </w:rPr>
        <w:t>2014</w:t>
      </w:r>
      <w:r w:rsidRPr="005F33A7">
        <w:rPr>
          <w:rFonts w:hint="eastAsia"/>
          <w:lang w:val="en-GB"/>
        </w:rPr>
        <w:t>年</w:t>
      </w:r>
      <w:r w:rsidRPr="005F33A7">
        <w:rPr>
          <w:rFonts w:hint="eastAsia"/>
          <w:lang w:val="en-GB"/>
        </w:rPr>
        <w:t>4</w:t>
      </w:r>
      <w:r w:rsidRPr="005F33A7">
        <w:rPr>
          <w:rFonts w:hint="eastAsia"/>
          <w:lang w:val="en-GB"/>
        </w:rPr>
        <w:t>月冲突开始，以及俄罗斯联邦临时占领和未获承认地兼并</w:t>
      </w:r>
      <w:r w:rsidRPr="005F33A7">
        <w:rPr>
          <w:rFonts w:hint="eastAsia"/>
          <w:lang w:val="en-GB"/>
        </w:rPr>
        <w:lastRenderedPageBreak/>
        <w:t>克罗米亚自治共和国以及塞瓦斯托波利市</w:t>
      </w:r>
      <w:r>
        <w:rPr>
          <w:rFonts w:hint="eastAsia"/>
          <w:lang w:val="en-GB"/>
        </w:rPr>
        <w:t>(</w:t>
      </w:r>
      <w:r w:rsidRPr="005F33A7">
        <w:rPr>
          <w:rFonts w:hint="eastAsia"/>
          <w:lang w:val="en-GB"/>
        </w:rPr>
        <w:t>见大会第</w:t>
      </w:r>
      <w:hyperlink r:id="rId19" w:history="1">
        <w:r w:rsidRPr="00E37B78">
          <w:rPr>
            <w:rStyle w:val="ad"/>
            <w:rFonts w:hint="eastAsia"/>
            <w:lang w:val="en-GB"/>
          </w:rPr>
          <w:t>68/262</w:t>
        </w:r>
      </w:hyperlink>
      <w:r w:rsidRPr="005F33A7">
        <w:rPr>
          <w:rFonts w:hint="eastAsia"/>
          <w:lang w:val="en-GB"/>
        </w:rPr>
        <w:t>号和第</w:t>
      </w:r>
      <w:hyperlink r:id="rId20" w:history="1">
        <w:r w:rsidRPr="00E37B78">
          <w:rPr>
            <w:rStyle w:val="ad"/>
            <w:rFonts w:hint="eastAsia"/>
            <w:lang w:val="en-GB"/>
          </w:rPr>
          <w:t>71/205</w:t>
        </w:r>
      </w:hyperlink>
      <w:r w:rsidRPr="005F33A7">
        <w:rPr>
          <w:rFonts w:hint="eastAsia"/>
          <w:lang w:val="en-GB"/>
        </w:rPr>
        <w:t>号决议</w:t>
      </w:r>
      <w:r>
        <w:rPr>
          <w:rFonts w:hint="eastAsia"/>
          <w:lang w:val="en-GB"/>
        </w:rPr>
        <w:t>)</w:t>
      </w:r>
      <w:r w:rsidRPr="005F33A7">
        <w:rPr>
          <w:rFonts w:hint="eastAsia"/>
          <w:lang w:val="en-GB"/>
        </w:rPr>
        <w:t>以来，缔约国一直面临严峻形势，人民困苦不堪、经济动荡不定，暴力现象和不安全也随之加剧。委员会注意到，虽然已签署《明斯克协议》，但敌对行动依然存在。尽管缔约国做出种种努力，但在缔约国境内及其周围，特别是顿涅茨克和卢甘斯克州的一些地区，危机局势中犯下的侵犯人权和践踏人权行为普遍有罪不罚，对平民造成了严重影响，特别是对处境不利妇女和女童，如境内流离失所妇女、农村妇女、老年妇女、残疾妇女、罗姆族妇女、女同性恋、双性恋和跨性别妇女以及其他少数族裔妇女造成了严重影响。委员会尤其感到关切的是，这种情况以及普遍存在的腐败行为，导致国家和非国家行为体对妇女的暴力程度增加，并强化了限制妇女和女童享有其各项权利的传统的重男轻女态度。委员会还感到关切的是，由于限制欧洲安全与合作组织和其他国际组织的代表进入，对不在缔约国有效控制范围内的领土情况缺乏了解。委员会提醒缔约国，迫切需要加强为巩固法治而拟定的积极议程，并强调妇女作为一支推动和平与重建稳定力量所发挥的重要作用。</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b/>
          <w:lang w:val="en-GB"/>
        </w:rPr>
        <w:t>11.</w:t>
      </w:r>
      <w:r w:rsidRPr="005F33A7">
        <w:rPr>
          <w:lang w:val="en-GB"/>
        </w:rPr>
        <w:tab/>
      </w:r>
      <w:r w:rsidRPr="005F33A7">
        <w:rPr>
          <w:rFonts w:eastAsia="黑体" w:hint="eastAsia"/>
          <w:lang w:val="en-GB"/>
        </w:rPr>
        <w:t>根据其第</w:t>
      </w:r>
      <w:r w:rsidRPr="005F33A7">
        <w:rPr>
          <w:rFonts w:eastAsia="黑体" w:hint="eastAsia"/>
          <w:b/>
          <w:lang w:val="en-GB"/>
        </w:rPr>
        <w:t>30</w:t>
      </w:r>
      <w:r w:rsidRPr="005F33A7">
        <w:rPr>
          <w:rFonts w:eastAsia="黑体" w:hint="eastAsia"/>
          <w:lang w:val="en-GB"/>
        </w:rPr>
        <w:t>号一般性建议，委员会吁请缔约国：</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(a)</w:t>
      </w:r>
      <w:r w:rsidRPr="005F33A7">
        <w:rPr>
          <w:rFonts w:hint="eastAsia"/>
          <w:lang w:val="en-GB"/>
        </w:rPr>
        <w:tab/>
      </w:r>
      <w:r w:rsidRPr="005F33A7">
        <w:rPr>
          <w:rFonts w:eastAsia="黑体" w:hint="eastAsia"/>
          <w:lang w:val="en-GB"/>
        </w:rPr>
        <w:t>确保法治得到执行，并且有效、毫不拖延地、以对性别问题有敏感认识的方式执法；</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(b)</w:t>
      </w:r>
      <w:r w:rsidRPr="005F33A7">
        <w:rPr>
          <w:rFonts w:hint="eastAsia"/>
          <w:lang w:val="en-GB"/>
        </w:rPr>
        <w:tab/>
      </w:r>
      <w:r w:rsidRPr="005F33A7">
        <w:rPr>
          <w:rFonts w:eastAsia="黑体" w:hint="eastAsia"/>
          <w:lang w:val="en-GB"/>
        </w:rPr>
        <w:t>作为一项优先事项，制定有效打击腐败和有罪不罚现象的措施，并履行其预防、调查、起诉和惩处国家和非国家行为体对妇女和女童实施的暴力行为的尽职义务；</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(c)</w:t>
      </w:r>
      <w:r w:rsidRPr="005F33A7">
        <w:rPr>
          <w:rFonts w:hint="eastAsia"/>
          <w:lang w:val="en-GB"/>
        </w:rPr>
        <w:tab/>
      </w:r>
      <w:r w:rsidRPr="005F33A7">
        <w:rPr>
          <w:rFonts w:eastAsia="黑体" w:hint="eastAsia"/>
          <w:lang w:val="en-GB"/>
        </w:rPr>
        <w:t>向所有执法人员和军队提供系统的人权培训，特别是提供系统的妇女权利培训，并制定和执行严格的行为守则，以切实保障尊重人权；</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(d)</w:t>
      </w:r>
      <w:r w:rsidRPr="005F33A7">
        <w:rPr>
          <w:rFonts w:hint="eastAsia"/>
          <w:lang w:val="en-GB"/>
        </w:rPr>
        <w:tab/>
      </w:r>
      <w:r w:rsidRPr="005F33A7">
        <w:rPr>
          <w:rFonts w:eastAsia="黑体" w:hint="eastAsia"/>
          <w:lang w:val="en-GB"/>
        </w:rPr>
        <w:t>根据《明斯克协议》，拒绝对被怀疑、被指控或被判犯有战争罪、危害人类罪或严重侵犯人权罪，包括与冲突有关的性暴力罪行的犯罪人的大赦要求，忆及如果他们干涉受害者获得有效补救的权利，包括获得赔偿的权利，或者如果他们限制受害者和社会了解侵犯人权和违反人道主义法的真相的权利，则不允许大赦。</w:t>
      </w:r>
    </w:p>
    <w:p w:rsidR="005F33A7" w:rsidRPr="005F33A7" w:rsidRDefault="005F33A7" w:rsidP="005F33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240" w:after="140"/>
        <w:ind w:left="1264" w:right="1259" w:hanging="1264"/>
        <w:jc w:val="left"/>
        <w:rPr>
          <w:rFonts w:eastAsia="黑体"/>
        </w:rPr>
      </w:pPr>
      <w:r w:rsidRPr="005F33A7">
        <w:rPr>
          <w:rFonts w:eastAsia="黑体"/>
        </w:rPr>
        <w:tab/>
      </w:r>
      <w:r w:rsidRPr="005F33A7">
        <w:rPr>
          <w:rFonts w:eastAsia="黑体"/>
        </w:rPr>
        <w:tab/>
      </w:r>
      <w:r w:rsidRPr="005F33A7">
        <w:rPr>
          <w:rFonts w:eastAsia="黑体" w:hint="eastAsia"/>
        </w:rPr>
        <w:t>妇女与和平与安全</w:t>
      </w:r>
      <w:r w:rsidRPr="005F33A7">
        <w:rPr>
          <w:rFonts w:eastAsia="黑体"/>
        </w:rPr>
        <w:t xml:space="preserve"> </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12.</w:t>
      </w:r>
      <w:r w:rsidRPr="005F33A7">
        <w:rPr>
          <w:lang w:val="en-GB"/>
        </w:rPr>
        <w:tab/>
      </w:r>
      <w:r w:rsidRPr="005F33A7">
        <w:rPr>
          <w:rFonts w:hint="eastAsia"/>
          <w:lang w:val="en-GB"/>
        </w:rPr>
        <w:t>委员会指出，通过《</w:t>
      </w:r>
      <w:r w:rsidRPr="005F33A7">
        <w:rPr>
          <w:rFonts w:hint="eastAsia"/>
          <w:lang w:val="en-GB"/>
        </w:rPr>
        <w:t>2016-2020</w:t>
      </w:r>
      <w:r w:rsidRPr="005F33A7">
        <w:rPr>
          <w:rFonts w:hint="eastAsia"/>
          <w:lang w:val="en-GB"/>
        </w:rPr>
        <w:t>年促进执行安全理事会关于妇女与和平与安全的第</w:t>
      </w:r>
      <w:hyperlink r:id="rId21" w:history="1">
        <w:r w:rsidRPr="00E37B78">
          <w:rPr>
            <w:rStyle w:val="ad"/>
            <w:lang w:val="en-GB"/>
          </w:rPr>
          <w:t>1325(2000)</w:t>
        </w:r>
      </w:hyperlink>
      <w:r w:rsidRPr="005F33A7">
        <w:rPr>
          <w:rFonts w:hint="eastAsia"/>
          <w:lang w:val="en-GB"/>
        </w:rPr>
        <w:t>号决议的国家行动计划》是一项积极举措。不过，委员会关切的是：</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val="0"/>
        <w:spacing w:after="140"/>
        <w:ind w:left="1264" w:right="1264"/>
        <w:rPr>
          <w:lang w:val="en-GB"/>
        </w:rPr>
      </w:pPr>
      <w:r w:rsidRPr="005F33A7">
        <w:rPr>
          <w:lang w:val="en-GB"/>
        </w:rPr>
        <w:tab/>
      </w:r>
      <w:r w:rsidRPr="005F33A7">
        <w:rPr>
          <w:rFonts w:hint="eastAsia"/>
          <w:lang w:val="en-GB"/>
        </w:rPr>
        <w:tab/>
      </w:r>
      <w:r w:rsidRPr="005F33A7">
        <w:rPr>
          <w:lang w:val="en-GB"/>
        </w:rPr>
        <w:t>(a)</w:t>
      </w:r>
      <w:r w:rsidRPr="005F33A7">
        <w:rPr>
          <w:rFonts w:hint="eastAsia"/>
          <w:lang w:val="en-GB"/>
        </w:rPr>
        <w:tab/>
      </w:r>
      <w:r w:rsidRPr="005F33A7">
        <w:rPr>
          <w:rFonts w:hint="eastAsia"/>
          <w:lang w:val="en-GB"/>
        </w:rPr>
        <w:t>妇女总体上处于边缘地位，无法积极和切实参与持续的和平谈判努力，包括明斯克二号协议；</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ab/>
        <w:t>(b)</w:t>
      </w:r>
      <w:r w:rsidRPr="005F33A7">
        <w:rPr>
          <w:rFonts w:hint="eastAsia"/>
          <w:lang w:val="en-GB"/>
        </w:rPr>
        <w:tab/>
      </w:r>
      <w:r w:rsidRPr="005F33A7">
        <w:rPr>
          <w:rFonts w:hint="eastAsia"/>
          <w:kern w:val="0"/>
          <w:szCs w:val="21"/>
          <w:lang w:val="en-GB"/>
        </w:rPr>
        <w:t>在和平与重建进程的所有阶段，以及在过渡时期司法和民族和解机制中，没有妇女的切实和全面参与，就无法按照《公约》和安全理事会第</w:t>
      </w:r>
      <w:hyperlink r:id="rId22" w:history="1">
        <w:r w:rsidRPr="00E37B78">
          <w:rPr>
            <w:rStyle w:val="ad"/>
            <w:rFonts w:hint="eastAsia"/>
            <w:kern w:val="0"/>
            <w:szCs w:val="21"/>
            <w:lang w:val="en-GB"/>
          </w:rPr>
          <w:t>1325(2000)</w:t>
        </w:r>
      </w:hyperlink>
      <w:r w:rsidRPr="005F33A7">
        <w:rPr>
          <w:rFonts w:hint="eastAsia"/>
          <w:kern w:val="0"/>
          <w:szCs w:val="21"/>
          <w:lang w:val="en-GB"/>
        </w:rPr>
        <w:t>号决议的要求，充分纳入妇女的优先事项和经验，并可能导致这些进程倒退。</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b/>
          <w:lang w:val="en-GB"/>
        </w:rPr>
        <w:t>13.</w:t>
      </w:r>
      <w:r w:rsidRPr="005F33A7">
        <w:rPr>
          <w:b/>
          <w:lang w:val="en-GB"/>
        </w:rPr>
        <w:tab/>
      </w:r>
      <w:r w:rsidRPr="005F33A7">
        <w:rPr>
          <w:rFonts w:eastAsia="黑体" w:hint="eastAsia"/>
          <w:lang w:val="en-GB"/>
        </w:rPr>
        <w:t>委员会忆及其第</w:t>
      </w:r>
      <w:r w:rsidRPr="005F33A7">
        <w:rPr>
          <w:rFonts w:eastAsia="黑体" w:hint="eastAsia"/>
          <w:b/>
          <w:lang w:val="en-GB"/>
        </w:rPr>
        <w:t>30</w:t>
      </w:r>
      <w:r w:rsidRPr="005F33A7">
        <w:rPr>
          <w:rFonts w:eastAsia="黑体" w:hint="eastAsia"/>
          <w:lang w:val="en-GB"/>
        </w:rPr>
        <w:t>号一般性建议，并建议缔约国：</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ab/>
      </w:r>
      <w:r w:rsidRPr="005F33A7">
        <w:rPr>
          <w:b/>
          <w:lang w:val="en-GB"/>
        </w:rPr>
        <w:t>(a)</w:t>
      </w:r>
      <w:r w:rsidRPr="005F33A7">
        <w:rPr>
          <w:rFonts w:hint="eastAsia"/>
          <w:lang w:val="en-GB"/>
        </w:rPr>
        <w:tab/>
      </w:r>
      <w:r w:rsidRPr="005F33A7">
        <w:rPr>
          <w:rFonts w:eastAsia="黑体" w:hint="eastAsia"/>
          <w:lang w:val="en-GB"/>
        </w:rPr>
        <w:t>高度重视妇女切实和全面参与和平进程的各个阶段、所有重建倡议以及过渡时期司法进程，特别是国家和地方各级决策，并为希望参与此类进程的妇女拟定能力建设方案；</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(b)</w:t>
      </w:r>
      <w:r w:rsidRPr="005F33A7">
        <w:rPr>
          <w:rFonts w:hint="eastAsia"/>
          <w:lang w:val="en-GB"/>
        </w:rPr>
        <w:tab/>
      </w:r>
      <w:r w:rsidRPr="005F33A7">
        <w:rPr>
          <w:rFonts w:eastAsia="黑体" w:hint="eastAsia"/>
          <w:lang w:val="en-GB"/>
        </w:rPr>
        <w:t>通过建立有效的沟通渠道、进行协调和采取联合举措以纳入妇女优先事项，为妇女组织和民间社会组织作为积极参与者促进和平进程提供机会；</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(c)</w:t>
      </w:r>
      <w:r w:rsidRPr="005F33A7">
        <w:rPr>
          <w:rFonts w:hint="eastAsia"/>
          <w:lang w:val="en-GB"/>
        </w:rPr>
        <w:tab/>
      </w:r>
      <w:r w:rsidRPr="005F33A7">
        <w:rPr>
          <w:rFonts w:eastAsia="黑体" w:hint="eastAsia"/>
          <w:lang w:val="en-GB"/>
        </w:rPr>
        <w:t>重申《公约》下所有权利的不可谈判性，并采取战略防止妇女权利在和平谈判中出现任何倒退；</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(d)</w:t>
      </w:r>
      <w:r w:rsidRPr="005F33A7">
        <w:rPr>
          <w:rFonts w:hint="eastAsia"/>
          <w:lang w:val="en-GB"/>
        </w:rPr>
        <w:tab/>
      </w:r>
      <w:r w:rsidRPr="005F33A7">
        <w:rPr>
          <w:rFonts w:eastAsia="黑体" w:hint="eastAsia"/>
          <w:lang w:val="en-GB"/>
        </w:rPr>
        <w:t>振兴和参与旨在建设全面持久和平的政治进程，为扎根于法治的全面民主奠定基础；</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(e)</w:t>
      </w:r>
      <w:r w:rsidRPr="005F33A7">
        <w:rPr>
          <w:rFonts w:hint="eastAsia"/>
          <w:lang w:val="en-GB"/>
        </w:rPr>
        <w:tab/>
      </w:r>
      <w:r w:rsidRPr="005F33A7">
        <w:rPr>
          <w:rFonts w:eastAsia="黑体" w:hint="eastAsia"/>
          <w:lang w:val="en-GB"/>
        </w:rPr>
        <w:t>拟定具有明确时间框架、基准和对性别问题有敏感认识的预算的路线图，以执行国家行动计划，并为定期监测国家行动计划执行情况订立指标；</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b/>
          <w:lang w:val="en-GB"/>
        </w:rPr>
        <w:tab/>
        <w:t>(f)</w:t>
      </w:r>
      <w:r w:rsidRPr="005F33A7">
        <w:rPr>
          <w:rFonts w:hint="eastAsia"/>
          <w:lang w:val="en-GB"/>
        </w:rPr>
        <w:tab/>
      </w:r>
      <w:r w:rsidRPr="005F33A7">
        <w:rPr>
          <w:rFonts w:eastAsia="黑体" w:hint="eastAsia"/>
          <w:lang w:val="en-GB"/>
        </w:rPr>
        <w:t>加强与国际组织和捐助界的合作。</w:t>
      </w:r>
    </w:p>
    <w:p w:rsidR="005F33A7" w:rsidRPr="005F33A7" w:rsidRDefault="005F33A7" w:rsidP="005F33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240" w:after="140"/>
        <w:ind w:left="1264" w:right="1259" w:hanging="1264"/>
        <w:jc w:val="left"/>
        <w:rPr>
          <w:rFonts w:eastAsia="黑体"/>
        </w:rPr>
      </w:pPr>
      <w:r w:rsidRPr="005F33A7">
        <w:rPr>
          <w:rFonts w:eastAsia="黑体"/>
        </w:rPr>
        <w:tab/>
      </w:r>
      <w:r w:rsidRPr="005F33A7">
        <w:rPr>
          <w:rFonts w:eastAsia="黑体"/>
        </w:rPr>
        <w:tab/>
      </w:r>
      <w:r w:rsidRPr="005F33A7">
        <w:rPr>
          <w:rFonts w:eastAsia="黑体" w:hint="eastAsia"/>
        </w:rPr>
        <w:t>与冲突有关的性暴力</w:t>
      </w:r>
      <w:r w:rsidRPr="005F33A7">
        <w:rPr>
          <w:rFonts w:eastAsia="黑体"/>
        </w:rPr>
        <w:t xml:space="preserve"> </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14.</w:t>
      </w:r>
      <w:r w:rsidRPr="005F33A7">
        <w:rPr>
          <w:lang w:val="en-GB"/>
        </w:rPr>
        <w:tab/>
      </w:r>
      <w:r w:rsidRPr="005F33A7">
        <w:rPr>
          <w:rFonts w:hint="eastAsia"/>
          <w:lang w:val="en-GB"/>
        </w:rPr>
        <w:t>委员会承认缔约国为遵守《公约》规定的义务所作的努力，但感到关切的是，自冲突爆发以来，在顿涅茨克和卢甘斯克州以及临时被占领的克里米亚自治共和国和塞瓦斯托波尔市的某些地区，暴力侵害妇女现象加剧。</w:t>
      </w:r>
      <w:r w:rsidRPr="005F33A7">
        <w:rPr>
          <w:vertAlign w:val="superscript"/>
          <w:lang w:val="en-GB" w:eastAsia="en-US"/>
        </w:rPr>
        <w:footnoteReference w:id="2"/>
      </w:r>
      <w:r w:rsidRPr="005F33A7">
        <w:rPr>
          <w:rFonts w:hint="eastAsia"/>
          <w:lang w:val="en-GB"/>
        </w:rPr>
        <w:t>委员会感到关切的是，尽管由于耻辱和害怕报复等原因，性暴力案件少报，但有证据显示，许多性暴力案件发生在受冲突影响地区。委员会进一步关切的是：</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ab/>
      </w:r>
      <w:r w:rsidRPr="005F33A7">
        <w:rPr>
          <w:rFonts w:hint="eastAsia"/>
          <w:lang w:val="en-GB"/>
        </w:rPr>
        <w:t>(a)</w:t>
      </w:r>
      <w:r w:rsidRPr="005F33A7">
        <w:rPr>
          <w:rFonts w:hint="eastAsia"/>
          <w:lang w:val="en-GB"/>
        </w:rPr>
        <w:tab/>
      </w:r>
      <w:r w:rsidRPr="005F33A7">
        <w:rPr>
          <w:rFonts w:hint="eastAsia"/>
          <w:lang w:val="en-GB"/>
        </w:rPr>
        <w:t>目前的强奸定义已经过时，不包括以武力或胁迫方式实施的强奸，或因恐惧暴力、胁迫、拘留、心理压迫而导致的强奸，或滥用权力实施的强奸，因而这一定义不能适用于与冲突有关的案件；</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ab/>
        <w:t>(b)</w:t>
      </w:r>
      <w:r w:rsidRPr="005F33A7">
        <w:rPr>
          <w:rFonts w:hint="eastAsia"/>
          <w:lang w:val="en-GB"/>
        </w:rPr>
        <w:tab/>
      </w:r>
      <w:r w:rsidRPr="005F33A7">
        <w:rPr>
          <w:rFonts w:hint="eastAsia"/>
          <w:lang w:val="en-GB"/>
        </w:rPr>
        <w:t>执法人员和司法机关调查、备案和起诉性暴力案件的能力有限；</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ab/>
        <w:t>(c)</w:t>
      </w:r>
      <w:r w:rsidRPr="005F33A7">
        <w:rPr>
          <w:rFonts w:hint="eastAsia"/>
          <w:lang w:val="en-GB"/>
        </w:rPr>
        <w:tab/>
      </w:r>
      <w:r w:rsidRPr="005F33A7">
        <w:rPr>
          <w:rFonts w:hint="eastAsia"/>
          <w:lang w:val="en-GB"/>
        </w:rPr>
        <w:t>没有采取措施及时向性暴力幸存者提供全面援助，如保健服务，包括性健康和生殖健康、心理和法律服务、生计支持和其他多部门服务。</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b/>
          <w:lang w:val="en-GB"/>
        </w:rPr>
        <w:t>15.</w:t>
      </w:r>
      <w:r w:rsidRPr="005F33A7">
        <w:rPr>
          <w:b/>
          <w:lang w:val="en-GB"/>
        </w:rPr>
        <w:tab/>
      </w:r>
      <w:r w:rsidRPr="005F33A7">
        <w:rPr>
          <w:rFonts w:eastAsia="黑体" w:hint="eastAsia"/>
          <w:lang w:val="en-GB"/>
        </w:rPr>
        <w:t>根据《公约》和委员会第</w:t>
      </w:r>
      <w:r w:rsidRPr="005F33A7">
        <w:rPr>
          <w:rFonts w:eastAsia="黑体" w:hint="eastAsia"/>
          <w:b/>
          <w:lang w:val="en-GB"/>
        </w:rPr>
        <w:t>30</w:t>
      </w:r>
      <w:r w:rsidRPr="005F33A7">
        <w:rPr>
          <w:rFonts w:eastAsia="黑体" w:hint="eastAsia"/>
          <w:lang w:val="en-GB"/>
        </w:rPr>
        <w:t>号一般性建议，委员会敦促缔约国：</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val="0"/>
        <w:spacing w:after="140"/>
        <w:ind w:left="1264" w:right="1264"/>
        <w:rPr>
          <w:rFonts w:eastAsia="黑体"/>
          <w:lang w:val="en-GB"/>
        </w:rPr>
      </w:pPr>
      <w:r w:rsidRPr="005F33A7">
        <w:rPr>
          <w:lang w:val="en-GB"/>
        </w:rPr>
        <w:tab/>
      </w:r>
      <w:r w:rsidRPr="005F33A7">
        <w:rPr>
          <w:rFonts w:hint="eastAsia"/>
          <w:lang w:val="en-GB"/>
        </w:rPr>
        <w:tab/>
      </w:r>
      <w:r w:rsidRPr="005F33A7">
        <w:rPr>
          <w:b/>
          <w:lang w:val="en-GB"/>
        </w:rPr>
        <w:t>(a)</w:t>
      </w:r>
      <w:r w:rsidRPr="005F33A7">
        <w:rPr>
          <w:rFonts w:hint="eastAsia"/>
          <w:lang w:val="en-GB"/>
        </w:rPr>
        <w:tab/>
      </w:r>
      <w:r w:rsidRPr="005F33A7">
        <w:rPr>
          <w:rFonts w:eastAsia="黑体" w:hint="eastAsia"/>
          <w:lang w:val="en-GB"/>
        </w:rPr>
        <w:t>修正《刑法》第</w:t>
      </w:r>
      <w:r w:rsidRPr="005F33A7">
        <w:rPr>
          <w:rFonts w:eastAsia="黑体" w:hint="eastAsia"/>
          <w:b/>
          <w:lang w:val="en-GB"/>
        </w:rPr>
        <w:t>152</w:t>
      </w:r>
      <w:r w:rsidRPr="005F33A7">
        <w:rPr>
          <w:rFonts w:eastAsia="黑体" w:hint="eastAsia"/>
          <w:lang w:val="en-GB"/>
        </w:rPr>
        <w:t>条，以便根据国际标准纳入关于性暴力的规定，其中包括强奸的更宽泛定义，该定义将包括“以武力、武力威胁或胁迫方式实施的强奸，如由于担心暴力、胁迫、拘留、心理压迫而导致的强奸，或滥用权力对该人或另一人实施的强奸，或通过利用强制性环境实施的强奸或对未能真正同意的人实施的强奸”，以确保追究与冲突相关的性暴力的责任；</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(b)</w:t>
      </w:r>
      <w:r w:rsidRPr="005F33A7">
        <w:rPr>
          <w:rFonts w:hint="eastAsia"/>
          <w:b/>
          <w:lang w:val="en-GB"/>
        </w:rPr>
        <w:tab/>
      </w:r>
      <w:r w:rsidRPr="005F33A7">
        <w:rPr>
          <w:rFonts w:eastAsia="黑体" w:hint="eastAsia"/>
          <w:lang w:val="en-GB"/>
        </w:rPr>
        <w:t>为法律专业人士、调查人员、检察官和警官提供相关培训，以提高其根据《</w:t>
      </w:r>
      <w:r w:rsidRPr="005F33A7">
        <w:rPr>
          <w:rFonts w:eastAsia="黑体"/>
          <w:lang w:val="en-GB"/>
        </w:rPr>
        <w:t>冲突中性暴力事件备案和调查国际议定书</w:t>
      </w:r>
      <w:r w:rsidRPr="005F33A7">
        <w:rPr>
          <w:rFonts w:eastAsia="黑体" w:hint="eastAsia"/>
          <w:lang w:val="en-GB"/>
        </w:rPr>
        <w:t>》调查、备案和起诉性暴力案件的能力；</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(c)</w:t>
      </w:r>
      <w:r w:rsidRPr="005F33A7">
        <w:rPr>
          <w:rFonts w:hint="eastAsia"/>
          <w:lang w:val="en-GB"/>
        </w:rPr>
        <w:tab/>
      </w:r>
      <w:r w:rsidRPr="005F33A7">
        <w:rPr>
          <w:rFonts w:eastAsia="黑体" w:hint="eastAsia"/>
          <w:lang w:val="en-GB"/>
        </w:rPr>
        <w:t>确保妇女和女童能够获得司法救助，并采取对性别问题有敏感认识的程序调查性暴力行为，对警察和军队进行培训，并通过对性别问题有敏感认识的行为守则和协议，以及建设司法机构的能力，以确保其独立性、公正性和廉洁性；</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(d)</w:t>
      </w:r>
      <w:r w:rsidRPr="005F33A7">
        <w:rPr>
          <w:rFonts w:hint="eastAsia"/>
          <w:lang w:val="en-GB"/>
        </w:rPr>
        <w:tab/>
      </w:r>
      <w:r w:rsidRPr="005F33A7">
        <w:rPr>
          <w:rFonts w:eastAsia="黑体" w:hint="eastAsia"/>
          <w:lang w:val="en-GB"/>
        </w:rPr>
        <w:t>确保遭受性暴力侵害的妇女获得全面医疗，包括紧急避孕和防治艾滋病毒相关药物，获得由受过适当培训的卫生专业人员提供的心理保健和心理支持，目的是检测性暴力并治疗其后果，以及获得法医鉴定，并在这方面寻求联合国机构和机关的援助；</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(e)</w:t>
      </w:r>
      <w:r w:rsidRPr="005F33A7">
        <w:rPr>
          <w:rFonts w:hint="eastAsia"/>
          <w:lang w:val="en-GB"/>
        </w:rPr>
        <w:tab/>
      </w:r>
      <w:r w:rsidRPr="005F33A7">
        <w:rPr>
          <w:rFonts w:eastAsia="黑体" w:hint="eastAsia"/>
          <w:lang w:val="en-GB"/>
        </w:rPr>
        <w:t>向受害者提供变革性赔偿措施，这种措施针对妇女的具体需要，解决暴力侵害妇女行为背后的结构性不公平现象，特别是性暴力问题，并防止这种暴力事件再次发生；</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(f)</w:t>
      </w:r>
      <w:r w:rsidRPr="005F33A7">
        <w:rPr>
          <w:rFonts w:hint="eastAsia"/>
          <w:lang w:val="en-GB"/>
        </w:rPr>
        <w:tab/>
      </w:r>
      <w:r w:rsidRPr="005F33A7">
        <w:rPr>
          <w:rFonts w:eastAsia="黑体" w:hint="eastAsia"/>
          <w:lang w:val="en-GB"/>
        </w:rPr>
        <w:t>确保在今后任何过渡时期司法进程中全面处理与冲突有关的性暴力问题，包括采取各种司法和非司法措施，其中包括起诉举措、求实、赔偿方案、体制改革或将这些措施适当整合，以及进行全面的国家协商，特别是与那些人权受到侵犯和践踏的人进行协商。</w:t>
      </w:r>
    </w:p>
    <w:p w:rsidR="005F33A7" w:rsidRPr="005F33A7" w:rsidRDefault="005F33A7" w:rsidP="005F33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240" w:after="140"/>
        <w:ind w:left="1264" w:right="1259" w:hanging="1264"/>
        <w:jc w:val="left"/>
        <w:rPr>
          <w:rFonts w:eastAsia="黑体"/>
        </w:rPr>
      </w:pPr>
      <w:r w:rsidRPr="005F33A7">
        <w:rPr>
          <w:rFonts w:eastAsia="黑体"/>
        </w:rPr>
        <w:tab/>
      </w:r>
      <w:r w:rsidRPr="005F33A7">
        <w:rPr>
          <w:rFonts w:eastAsia="黑体"/>
        </w:rPr>
        <w:tab/>
      </w:r>
      <w:r w:rsidRPr="005F33A7">
        <w:rPr>
          <w:rFonts w:eastAsia="黑体" w:hint="eastAsia"/>
        </w:rPr>
        <w:t>境内流离失所妇女</w:t>
      </w:r>
      <w:r w:rsidRPr="005F33A7">
        <w:rPr>
          <w:rFonts w:eastAsia="黑体"/>
        </w:rPr>
        <w:t xml:space="preserve"> </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val="0"/>
        <w:spacing w:after="140"/>
        <w:ind w:left="1264" w:right="1264"/>
        <w:rPr>
          <w:lang w:val="en-GB"/>
        </w:rPr>
      </w:pPr>
      <w:r w:rsidRPr="005F33A7">
        <w:rPr>
          <w:lang w:val="en-GB"/>
        </w:rPr>
        <w:t>16.</w:t>
      </w:r>
      <w:r w:rsidRPr="005F33A7">
        <w:rPr>
          <w:rFonts w:hint="eastAsia"/>
          <w:lang w:val="en-GB"/>
        </w:rPr>
        <w:tab/>
      </w:r>
      <w:r w:rsidRPr="005F33A7">
        <w:rPr>
          <w:rFonts w:hint="eastAsia"/>
          <w:lang w:val="en-GB"/>
        </w:rPr>
        <w:t>委员会感到关切的是，缔约国境内的境内流离失所妇女和女童越来越多，她们需要长期干预，以便除其他外确保其获得基本服务和保护。委员会注意到</w:t>
      </w:r>
      <w:r w:rsidRPr="005F33A7">
        <w:rPr>
          <w:rFonts w:hint="eastAsia"/>
          <w:lang w:val="en-GB"/>
        </w:rPr>
        <w:t>2014</w:t>
      </w:r>
      <w:r w:rsidRPr="005F33A7">
        <w:rPr>
          <w:rFonts w:hint="eastAsia"/>
          <w:lang w:val="en-GB"/>
        </w:rPr>
        <w:t>年</w:t>
      </w:r>
      <w:r w:rsidRPr="005F33A7">
        <w:rPr>
          <w:rFonts w:hint="eastAsia"/>
          <w:lang w:val="en-GB"/>
        </w:rPr>
        <w:t>10</w:t>
      </w:r>
      <w:r w:rsidRPr="005F33A7">
        <w:rPr>
          <w:rFonts w:hint="eastAsia"/>
          <w:lang w:val="en-GB"/>
        </w:rPr>
        <w:t>月通过了《确保境内流离失所者权利和自由法》，并通过了关于援助境内流离失所妇女的若干决议和法令，但委员会对缺乏执行措施感到关切。委员会还感到关切的是，境内流离失所妇女，包括老年妇女、残疾妇女、罗姆族妇女及同性恋、双性恋和跨性别妇女，极有可能遭到或已遭到性暴力和性剥削侵害，作为境内流离失所者，她们在登记和行动自由方面本就困窘的生活条件和困境雪上加霜，并且就业机会有限。委员会注意到缔约国已采取努力，为受冲突影响地区的境内流离失所者继续提供社会福利。但是，委员会感到关切的是，遇难士兵的母亲和妻子在获得社会福利金方面面临严峻挑战。</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b/>
          <w:lang w:val="en-GB"/>
        </w:rPr>
        <w:t>17.</w:t>
      </w:r>
      <w:r w:rsidRPr="005F33A7">
        <w:rPr>
          <w:b/>
          <w:lang w:val="en-GB"/>
        </w:rPr>
        <w:tab/>
      </w:r>
      <w:r w:rsidRPr="005F33A7">
        <w:rPr>
          <w:rFonts w:eastAsia="黑体" w:hint="eastAsia"/>
          <w:lang w:val="en-GB"/>
        </w:rPr>
        <w:t>委员会敦促缔约国：</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(a)</w:t>
      </w:r>
      <w:r w:rsidRPr="005F33A7">
        <w:rPr>
          <w:rFonts w:hint="eastAsia"/>
          <w:lang w:val="en-GB"/>
        </w:rPr>
        <w:tab/>
      </w:r>
      <w:r w:rsidRPr="005F33A7">
        <w:rPr>
          <w:rFonts w:eastAsia="黑体" w:hint="eastAsia"/>
          <w:lang w:val="en-GB"/>
        </w:rPr>
        <w:t>满足遭受多种形式歧视的不同群体境内流离失所妇女的特殊需要，其中包括寡妇、残疾妇女、老年妇女、罗姆族妇女及同性恋、双性恋或跨性别妇女，并提供长期干预措施，以满足境内流离失所妇女和女童的需要；</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(b)</w:t>
      </w:r>
      <w:r w:rsidRPr="005F33A7">
        <w:rPr>
          <w:rFonts w:hint="eastAsia"/>
          <w:lang w:val="en-GB"/>
        </w:rPr>
        <w:tab/>
      </w:r>
      <w:r w:rsidRPr="005F33A7">
        <w:rPr>
          <w:rFonts w:eastAsia="黑体" w:hint="eastAsia"/>
          <w:lang w:val="en-GB"/>
        </w:rPr>
        <w:t>确保有效执行《确保境内流离失所者权利和自由法》，颁布条例，使该法能够得到实施；</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val="0"/>
        <w:spacing w:after="140"/>
        <w:ind w:left="1264" w:right="1264"/>
        <w:rPr>
          <w:rFonts w:eastAsia="黑体"/>
          <w:lang w:val="en-GB"/>
        </w:rPr>
      </w:pPr>
      <w:r w:rsidRPr="005F33A7">
        <w:rPr>
          <w:lang w:val="en-GB"/>
        </w:rPr>
        <w:tab/>
      </w:r>
      <w:r w:rsidRPr="005F33A7">
        <w:rPr>
          <w:rFonts w:hint="eastAsia"/>
          <w:lang w:val="en-GB"/>
        </w:rPr>
        <w:tab/>
      </w:r>
      <w:r w:rsidRPr="005F33A7">
        <w:rPr>
          <w:b/>
          <w:lang w:val="en-GB"/>
        </w:rPr>
        <w:t>(c)</w:t>
      </w:r>
      <w:r w:rsidRPr="005F33A7">
        <w:rPr>
          <w:rFonts w:hint="eastAsia"/>
          <w:b/>
          <w:lang w:val="en-GB"/>
        </w:rPr>
        <w:tab/>
      </w:r>
      <w:r w:rsidRPr="005F33A7">
        <w:rPr>
          <w:rFonts w:eastAsia="黑体" w:hint="eastAsia"/>
          <w:lang w:val="en-GB"/>
        </w:rPr>
        <w:t>确保境内流离失所妇女和女童能够充分获得保健服务、教育、食物、住房、行动自由、登记、社会福利、寻求正义和持久解决办法以及可持续就业机会。</w:t>
      </w:r>
    </w:p>
    <w:p w:rsidR="005F33A7" w:rsidRPr="005F33A7" w:rsidRDefault="005F33A7" w:rsidP="005F33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240" w:after="140"/>
        <w:ind w:left="1264" w:right="1259" w:hanging="1264"/>
        <w:jc w:val="left"/>
        <w:rPr>
          <w:rFonts w:eastAsia="黑体"/>
        </w:rPr>
      </w:pPr>
      <w:r w:rsidRPr="005F33A7">
        <w:rPr>
          <w:rFonts w:eastAsia="黑体"/>
        </w:rPr>
        <w:tab/>
      </w:r>
      <w:r w:rsidRPr="005F33A7">
        <w:rPr>
          <w:rFonts w:eastAsia="黑体"/>
        </w:rPr>
        <w:tab/>
      </w:r>
      <w:r w:rsidRPr="005F33A7">
        <w:rPr>
          <w:rFonts w:eastAsia="黑体" w:hint="eastAsia"/>
        </w:rPr>
        <w:t>司法救助</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18.</w:t>
      </w:r>
      <w:r w:rsidRPr="005F33A7">
        <w:rPr>
          <w:lang w:val="en-GB"/>
        </w:rPr>
        <w:tab/>
      </w:r>
      <w:r w:rsidRPr="005F33A7">
        <w:rPr>
          <w:rFonts w:hint="eastAsia"/>
          <w:lang w:val="en-GB"/>
        </w:rPr>
        <w:t>委员会赞赏地注意到司法部所作的努力以及法院援引《公约》的事实。不过，委员会感到关切的是，有报告称存在腐败现象，且司法不够独立，导致歧视妇女行为包括性暴力和性别暴力行为的犯罪人不受惩罚。委员会指出，在实际当中，由于腐败、对其权利缺乏认识，以及获得法律援助的机会有限等障碍，大多数妇女无法诉诸司法制度。</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b/>
          <w:lang w:val="en-GB"/>
        </w:rPr>
        <w:t>19.</w:t>
      </w:r>
      <w:r w:rsidRPr="005F33A7">
        <w:rPr>
          <w:lang w:val="en-GB"/>
        </w:rPr>
        <w:tab/>
      </w:r>
      <w:r w:rsidRPr="005F33A7">
        <w:rPr>
          <w:rFonts w:eastAsia="黑体" w:hint="eastAsia"/>
          <w:lang w:val="en-GB"/>
        </w:rPr>
        <w:t>委员会忆及其关于妇女获得司法救助的第</w:t>
      </w:r>
      <w:r w:rsidRPr="005F33A7">
        <w:rPr>
          <w:rFonts w:eastAsia="黑体"/>
          <w:b/>
          <w:lang w:val="en-GB"/>
        </w:rPr>
        <w:t>33</w:t>
      </w:r>
      <w:r>
        <w:rPr>
          <w:rFonts w:eastAsia="黑体"/>
          <w:lang w:val="en-GB"/>
        </w:rPr>
        <w:t>(</w:t>
      </w:r>
      <w:r w:rsidRPr="005F33A7">
        <w:rPr>
          <w:rFonts w:eastAsia="黑体"/>
          <w:b/>
          <w:lang w:val="en-GB"/>
        </w:rPr>
        <w:t>2015</w:t>
      </w:r>
      <w:r>
        <w:rPr>
          <w:rFonts w:eastAsia="黑体"/>
          <w:lang w:val="en-GB"/>
        </w:rPr>
        <w:t>)</w:t>
      </w:r>
      <w:r w:rsidRPr="005F33A7">
        <w:rPr>
          <w:rFonts w:eastAsia="黑体" w:hint="eastAsia"/>
          <w:lang w:val="en-GB"/>
        </w:rPr>
        <w:t>号一般性建议，建议缔约国：</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(a)</w:t>
      </w:r>
      <w:r w:rsidRPr="005F33A7">
        <w:rPr>
          <w:rFonts w:hint="eastAsia"/>
          <w:lang w:val="en-GB"/>
        </w:rPr>
        <w:tab/>
      </w:r>
      <w:r w:rsidRPr="005F33A7">
        <w:rPr>
          <w:rFonts w:eastAsia="黑体" w:hint="eastAsia"/>
          <w:lang w:val="en-GB"/>
        </w:rPr>
        <w:t>继续努力打击腐败，改革并巩固司法系统，包括通过就《公约》、委员会的一般性建议和依据《任择议定书》作出的判例，向法官、检察官、律师、警官和其他执法人员提供系统性能力建设；</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ab/>
      </w:r>
      <w:r w:rsidRPr="005F33A7">
        <w:rPr>
          <w:b/>
          <w:lang w:val="en-GB"/>
        </w:rPr>
        <w:t>(b)</w:t>
      </w:r>
      <w:r w:rsidRPr="005F33A7">
        <w:rPr>
          <w:rFonts w:hint="eastAsia"/>
          <w:lang w:val="en-GB"/>
        </w:rPr>
        <w:tab/>
      </w:r>
      <w:r w:rsidRPr="005F33A7">
        <w:rPr>
          <w:rFonts w:eastAsia="黑体" w:hint="eastAsia"/>
          <w:lang w:val="en-GB"/>
        </w:rPr>
        <w:t>消除妇女获得司法救助的任何可能障碍，包括通过确保提供免费法律援助和免除没有足够经济手段的妇女的诉讼费；</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(c)</w:t>
      </w:r>
      <w:r w:rsidRPr="005F33A7">
        <w:rPr>
          <w:rFonts w:hint="eastAsia"/>
          <w:lang w:val="en-GB"/>
        </w:rPr>
        <w:tab/>
      </w:r>
      <w:r w:rsidRPr="005F33A7">
        <w:rPr>
          <w:rFonts w:eastAsia="黑体" w:hint="eastAsia"/>
          <w:lang w:val="en-GB"/>
        </w:rPr>
        <w:t>为法律援助基金和便利妇女获得司法救助的非政府组织分配充足资源；</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(d)</w:t>
      </w:r>
      <w:r w:rsidRPr="005F33A7">
        <w:rPr>
          <w:rFonts w:hint="eastAsia"/>
          <w:lang w:val="en-GB"/>
        </w:rPr>
        <w:tab/>
      </w:r>
      <w:r w:rsidRPr="005F33A7">
        <w:rPr>
          <w:rFonts w:eastAsia="黑体" w:hint="eastAsia"/>
          <w:lang w:val="en-GB"/>
        </w:rPr>
        <w:t>在《公约》涵盖的所有领域提高妇女对其权利和法律知识的认识，使她们能够主张自身的权利。</w:t>
      </w:r>
    </w:p>
    <w:p w:rsidR="005F33A7" w:rsidRPr="005F33A7" w:rsidRDefault="005F33A7" w:rsidP="005F33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240" w:after="140"/>
        <w:ind w:left="1264" w:right="1259" w:hanging="1264"/>
        <w:jc w:val="left"/>
        <w:rPr>
          <w:rFonts w:eastAsia="黑体"/>
        </w:rPr>
      </w:pPr>
      <w:r w:rsidRPr="005F33A7">
        <w:rPr>
          <w:rFonts w:eastAsia="黑体"/>
        </w:rPr>
        <w:tab/>
      </w:r>
      <w:r w:rsidRPr="005F33A7">
        <w:rPr>
          <w:rFonts w:eastAsia="黑体"/>
        </w:rPr>
        <w:tab/>
      </w:r>
      <w:r w:rsidRPr="005F33A7">
        <w:rPr>
          <w:rFonts w:eastAsia="黑体" w:hint="eastAsia"/>
        </w:rPr>
        <w:t>歧视的定义和立法框架</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20.</w:t>
      </w:r>
      <w:r w:rsidRPr="005F33A7">
        <w:rPr>
          <w:lang w:val="en-GB"/>
        </w:rPr>
        <w:tab/>
      </w:r>
      <w:r w:rsidRPr="005F33A7">
        <w:rPr>
          <w:rFonts w:hint="eastAsia"/>
          <w:lang w:val="en-GB"/>
        </w:rPr>
        <w:t>委员会感到关切的是，《确保男女权利和机会平等法》第</w:t>
      </w:r>
      <w:r w:rsidRPr="005F33A7">
        <w:rPr>
          <w:rFonts w:hint="eastAsia"/>
          <w:lang w:val="en-GB"/>
        </w:rPr>
        <w:t>1</w:t>
      </w:r>
      <w:r w:rsidRPr="005F33A7">
        <w:rPr>
          <w:rFonts w:hint="eastAsia"/>
          <w:lang w:val="en-GB"/>
        </w:rPr>
        <w:t>条所载的歧视定义与《防止和打击歧视原则法》第</w:t>
      </w:r>
      <w:r w:rsidRPr="005F33A7">
        <w:rPr>
          <w:rFonts w:hint="eastAsia"/>
          <w:lang w:val="en-GB"/>
        </w:rPr>
        <w:t>1</w:t>
      </w:r>
      <w:r w:rsidRPr="005F33A7">
        <w:rPr>
          <w:rFonts w:hint="eastAsia"/>
          <w:lang w:val="en-GB"/>
        </w:rPr>
        <w:t>条提供的术语暗含不同的意思，导致实际当中对歧视一词的解释相互矛盾。委员会还感到关切的是：</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ab/>
        <w:t>(a)</w:t>
      </w:r>
      <w:r w:rsidRPr="005F33A7">
        <w:rPr>
          <w:rFonts w:hint="eastAsia"/>
          <w:lang w:val="en-GB"/>
        </w:rPr>
        <w:tab/>
      </w:r>
      <w:r w:rsidRPr="005F33A7">
        <w:rPr>
          <w:rFonts w:hint="eastAsia"/>
          <w:lang w:val="en-GB"/>
        </w:rPr>
        <w:t>为提高妇女地位而进行的新的立法改革缺乏充足资源，无法付诸实施和追究责任；</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ab/>
        <w:t>(b)</w:t>
      </w:r>
      <w:r w:rsidRPr="005F33A7">
        <w:rPr>
          <w:rFonts w:hint="eastAsia"/>
          <w:lang w:val="en-GB"/>
        </w:rPr>
        <w:tab/>
      </w:r>
      <w:r w:rsidRPr="005F33A7">
        <w:rPr>
          <w:rFonts w:hint="eastAsia"/>
          <w:lang w:val="en-GB"/>
        </w:rPr>
        <w:t>政府各部门、最高拉达和司法机关对《公约》及其《任择议定书》规定的妇女权利、男女实质性平等概念以及委员会的一般性建议认识不足；</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ab/>
        <w:t>(c)</w:t>
      </w:r>
      <w:r w:rsidRPr="005F33A7">
        <w:rPr>
          <w:rFonts w:hint="eastAsia"/>
          <w:lang w:val="en-GB"/>
        </w:rPr>
        <w:tab/>
      </w:r>
      <w:r w:rsidRPr="005F33A7">
        <w:rPr>
          <w:rFonts w:hint="eastAsia"/>
          <w:lang w:val="en-GB"/>
        </w:rPr>
        <w:t>妇女自身，特别是农村地区妇女和弱势群体妇女，尤其是罗姆族妇女，并不了解《公约》为其规定的权利，因此，缺乏必要的信息来主张这些权利。</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b/>
          <w:lang w:val="en-GB"/>
        </w:rPr>
        <w:t>21.</w:t>
      </w:r>
      <w:r w:rsidRPr="005F33A7">
        <w:rPr>
          <w:lang w:val="en-GB"/>
        </w:rPr>
        <w:tab/>
      </w:r>
      <w:r w:rsidRPr="005F33A7">
        <w:rPr>
          <w:rFonts w:eastAsia="黑体" w:hint="eastAsia"/>
          <w:lang w:val="en-GB"/>
        </w:rPr>
        <w:t>委员会建议缔约国：</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(a)</w:t>
      </w:r>
      <w:r w:rsidRPr="005F33A7">
        <w:rPr>
          <w:rFonts w:hint="eastAsia"/>
          <w:lang w:val="en-GB"/>
        </w:rPr>
        <w:tab/>
      </w:r>
      <w:r w:rsidRPr="005F33A7">
        <w:rPr>
          <w:rFonts w:eastAsia="黑体" w:hint="eastAsia"/>
          <w:lang w:val="en-GB"/>
        </w:rPr>
        <w:t>协调统一其反歧视立法，以便根据《公约》第</w:t>
      </w:r>
      <w:r w:rsidRPr="005F33A7">
        <w:rPr>
          <w:rFonts w:eastAsia="黑体" w:hint="eastAsia"/>
          <w:b/>
          <w:lang w:val="en-GB"/>
        </w:rPr>
        <w:t>一</w:t>
      </w:r>
      <w:r w:rsidRPr="005F33A7">
        <w:rPr>
          <w:rFonts w:eastAsia="黑体" w:hint="eastAsia"/>
          <w:lang w:val="en-GB"/>
        </w:rPr>
        <w:t>条和关于缔约国根据《公约》第二条应履行的核心义务的第</w:t>
      </w:r>
      <w:r w:rsidRPr="005F33A7">
        <w:rPr>
          <w:rFonts w:eastAsia="黑体"/>
          <w:b/>
          <w:lang w:val="en-GB"/>
        </w:rPr>
        <w:t>28</w:t>
      </w:r>
      <w:r>
        <w:rPr>
          <w:rFonts w:eastAsia="黑体"/>
          <w:lang w:val="en-GB"/>
        </w:rPr>
        <w:t>(</w:t>
      </w:r>
      <w:r w:rsidRPr="005F33A7">
        <w:rPr>
          <w:rFonts w:eastAsia="黑体"/>
          <w:b/>
          <w:lang w:val="en-GB"/>
        </w:rPr>
        <w:t>2010</w:t>
      </w:r>
      <w:r>
        <w:rPr>
          <w:rFonts w:eastAsia="黑体"/>
          <w:lang w:val="en-GB"/>
        </w:rPr>
        <w:t>)</w:t>
      </w:r>
      <w:r w:rsidRPr="005F33A7">
        <w:rPr>
          <w:rFonts w:eastAsia="黑体" w:hint="eastAsia"/>
          <w:lang w:val="en-GB"/>
        </w:rPr>
        <w:t>号一般性建议，禁止基于一切理由的歧视，包括公共和私人领域的直接歧视和间接歧视，以及对妇女的交叉形式歧视；</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ab/>
      </w:r>
      <w:r w:rsidRPr="005F33A7">
        <w:rPr>
          <w:b/>
          <w:lang w:val="en-GB"/>
        </w:rPr>
        <w:t>(b)</w:t>
      </w:r>
      <w:r w:rsidRPr="005F33A7">
        <w:rPr>
          <w:rFonts w:hint="eastAsia"/>
          <w:b/>
          <w:lang w:val="en-GB"/>
        </w:rPr>
        <w:tab/>
      </w:r>
      <w:r w:rsidRPr="005F33A7">
        <w:rPr>
          <w:rFonts w:eastAsia="黑体" w:hint="eastAsia"/>
          <w:lang w:val="en-GB"/>
        </w:rPr>
        <w:t>建立强有力的问责机制，并根据《宪法》和《公约》规定的妇女权利，为执法分配充足的人力、技术和财政资源；</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(c)</w:t>
      </w:r>
      <w:r w:rsidRPr="005F33A7">
        <w:rPr>
          <w:rFonts w:hint="eastAsia"/>
          <w:lang w:val="en-GB"/>
        </w:rPr>
        <w:tab/>
      </w:r>
      <w:r w:rsidRPr="005F33A7">
        <w:rPr>
          <w:rFonts w:eastAsia="黑体" w:hint="eastAsia"/>
          <w:lang w:val="en-GB"/>
        </w:rPr>
        <w:t>确保政府所有部门，包括司法机关，充分了解和适用《公约》、《任择议定书》和委员会的一般性建议，将其作为法律、法院裁决以及关于性别平等和提高妇女地位政策的框架；</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(d)</w:t>
      </w:r>
      <w:r w:rsidRPr="005F33A7">
        <w:rPr>
          <w:rFonts w:hint="eastAsia"/>
          <w:lang w:val="en-GB"/>
        </w:rPr>
        <w:tab/>
      </w:r>
      <w:r w:rsidRPr="005F33A7">
        <w:rPr>
          <w:rFonts w:eastAsia="黑体" w:hint="eastAsia"/>
          <w:lang w:val="en-GB"/>
        </w:rPr>
        <w:t>提高妇女对其权利以及其《公约》规定的权利遭到侵犯时可获得的补救的认识，并确保向包括罗姆族妇女和农村妇女在内的所有妇女提供关于《公约》、《任择议定书》和委员会的一般性建议的相关信息。</w:t>
      </w:r>
    </w:p>
    <w:p w:rsidR="005F33A7" w:rsidRPr="005F33A7" w:rsidRDefault="005F33A7" w:rsidP="005F33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240" w:after="140"/>
        <w:ind w:left="1264" w:right="1259" w:hanging="1264"/>
        <w:jc w:val="left"/>
        <w:rPr>
          <w:rFonts w:eastAsia="黑体"/>
        </w:rPr>
      </w:pPr>
      <w:r w:rsidRPr="005F33A7">
        <w:rPr>
          <w:rFonts w:eastAsia="黑体"/>
        </w:rPr>
        <w:tab/>
      </w:r>
      <w:r w:rsidRPr="005F33A7">
        <w:rPr>
          <w:rFonts w:eastAsia="黑体"/>
        </w:rPr>
        <w:tab/>
      </w:r>
      <w:r w:rsidRPr="005F33A7">
        <w:rPr>
          <w:rFonts w:eastAsia="黑体" w:hint="eastAsia"/>
        </w:rPr>
        <w:t>提高妇女地位的国家机制</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22.</w:t>
      </w:r>
      <w:r w:rsidRPr="005F33A7">
        <w:rPr>
          <w:lang w:val="en-GB"/>
        </w:rPr>
        <w:tab/>
      </w:r>
      <w:r w:rsidRPr="005F33A7">
        <w:rPr>
          <w:rFonts w:hint="eastAsia"/>
          <w:lang w:val="en-GB"/>
        </w:rPr>
        <w:t>委员会欢迎通过关于平等的行动计划和战略。它还赞赏地注意到，</w:t>
      </w:r>
      <w:r w:rsidRPr="005F33A7">
        <w:rPr>
          <w:rFonts w:hint="eastAsia"/>
          <w:lang w:val="en-GB"/>
        </w:rPr>
        <w:t>2016</w:t>
      </w:r>
      <w:r w:rsidRPr="005F33A7">
        <w:rPr>
          <w:rFonts w:hint="eastAsia"/>
          <w:lang w:val="en-GB"/>
        </w:rPr>
        <w:t>年</w:t>
      </w:r>
      <w:r w:rsidRPr="005F33A7">
        <w:rPr>
          <w:rFonts w:hint="eastAsia"/>
          <w:lang w:val="en-GB"/>
        </w:rPr>
        <w:t>10</w:t>
      </w:r>
      <w:r w:rsidRPr="005F33A7">
        <w:rPr>
          <w:rFonts w:hint="eastAsia"/>
          <w:lang w:val="en-GB"/>
        </w:rPr>
        <w:t>月，总理决定在内阁设立男女平等权利和机会专员职位。委员会注意到正在进行权力下放改革，但同时关切没有提及性别平等。委员会感到关切的是，</w:t>
      </w:r>
      <w:r w:rsidRPr="005F33A7">
        <w:rPr>
          <w:rFonts w:hint="eastAsia"/>
          <w:lang w:val="en-GB"/>
        </w:rPr>
        <w:t>2010</w:t>
      </w:r>
      <w:r w:rsidRPr="005F33A7">
        <w:rPr>
          <w:rFonts w:hint="eastAsia"/>
          <w:lang w:val="en-GB"/>
        </w:rPr>
        <w:t>年的行政改革和相关重组工作削弱了提高妇女地位的国家机制，导致性别平等政策缺乏连续性。委员会还感到关切的是，提高妇女地位的国家机制能力有限，无法充分确保在各领域和各级协调性别平等主流化工作。</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b/>
          <w:lang w:val="en-GB"/>
        </w:rPr>
        <w:t>23.</w:t>
      </w:r>
      <w:r w:rsidRPr="005F33A7">
        <w:rPr>
          <w:b/>
          <w:lang w:val="en-GB"/>
        </w:rPr>
        <w:tab/>
      </w:r>
      <w:r w:rsidRPr="005F33A7">
        <w:rPr>
          <w:rFonts w:eastAsia="黑体" w:hint="eastAsia"/>
          <w:lang w:val="en-GB"/>
        </w:rPr>
        <w:t>委员会建议缔约国：</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(a)</w:t>
      </w:r>
      <w:r w:rsidRPr="005F33A7">
        <w:rPr>
          <w:rFonts w:hint="eastAsia"/>
          <w:lang w:val="en-GB"/>
        </w:rPr>
        <w:tab/>
      </w:r>
      <w:r w:rsidRPr="005F33A7">
        <w:rPr>
          <w:rFonts w:eastAsia="黑体" w:hint="eastAsia"/>
          <w:lang w:val="en-GB"/>
        </w:rPr>
        <w:t>采取明确的战略，巩固和加强提高妇女地位的国家机制在国家和地方两级的能力，确保该机构有充分的决策权以及充足的人力和财力，以便有效执行《公约》，并以权力下放方式在所有各级促进妇女的人权；</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(b)</w:t>
      </w:r>
      <w:r w:rsidRPr="005F33A7">
        <w:rPr>
          <w:rFonts w:hint="eastAsia"/>
          <w:lang w:val="en-GB"/>
        </w:rPr>
        <w:tab/>
      </w:r>
      <w:r w:rsidRPr="005F33A7">
        <w:rPr>
          <w:rFonts w:eastAsia="黑体" w:hint="eastAsia"/>
          <w:lang w:val="en-GB"/>
        </w:rPr>
        <w:t>确保有效协调并制定性别平等主流化战略，其中包括促进性别平等的预算编制，并可在各级适用于有关妇女生活各个方面的所有政策和方案；</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(c)</w:t>
      </w:r>
      <w:r w:rsidRPr="005F33A7">
        <w:rPr>
          <w:rFonts w:hint="eastAsia"/>
          <w:lang w:val="en-GB"/>
        </w:rPr>
        <w:tab/>
      </w:r>
      <w:r w:rsidRPr="005F33A7">
        <w:rPr>
          <w:rFonts w:eastAsia="黑体" w:hint="eastAsia"/>
          <w:lang w:val="en-GB"/>
        </w:rPr>
        <w:t>确保其国家机制制定旨在以全面有效的方式在人权框架内实现性别平等的政策和方案，并改进按性别和其他相关因素分列的必要数据的收集工作，以评估这些政策和方案的影响和效力。</w:t>
      </w:r>
    </w:p>
    <w:p w:rsidR="005F33A7" w:rsidRPr="005F33A7" w:rsidRDefault="005F33A7" w:rsidP="005F33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240" w:after="140"/>
        <w:ind w:left="1264" w:right="1259" w:hanging="1264"/>
        <w:jc w:val="left"/>
        <w:rPr>
          <w:rFonts w:eastAsia="黑体"/>
        </w:rPr>
      </w:pPr>
      <w:r w:rsidRPr="005F33A7">
        <w:rPr>
          <w:rFonts w:eastAsia="黑体"/>
        </w:rPr>
        <w:tab/>
      </w:r>
      <w:r w:rsidRPr="005F33A7">
        <w:rPr>
          <w:rFonts w:eastAsia="黑体"/>
        </w:rPr>
        <w:tab/>
      </w:r>
      <w:r w:rsidRPr="005F33A7">
        <w:rPr>
          <w:rFonts w:eastAsia="黑体" w:hint="eastAsia"/>
        </w:rPr>
        <w:t>暂行特别措施</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24.</w:t>
      </w:r>
      <w:r w:rsidRPr="005F33A7">
        <w:rPr>
          <w:lang w:val="en-GB"/>
        </w:rPr>
        <w:tab/>
      </w:r>
      <w:r w:rsidRPr="005F33A7">
        <w:rPr>
          <w:rFonts w:hint="eastAsia"/>
          <w:lang w:val="en-GB"/>
        </w:rPr>
        <w:t>委员会赞赏地注意到政党立法修正案，其中规定，立法选举中国家一级行政区政党选举名单上女性候选人的最低配额为</w:t>
      </w:r>
      <w:r w:rsidRPr="005F33A7">
        <w:rPr>
          <w:rFonts w:hint="eastAsia"/>
          <w:lang w:val="en-GB"/>
        </w:rPr>
        <w:t>30%</w:t>
      </w:r>
      <w:r w:rsidRPr="005F33A7">
        <w:rPr>
          <w:rFonts w:hint="eastAsia"/>
          <w:lang w:val="en-GB"/>
        </w:rPr>
        <w:t>。委员会注意到缔约国为私营部门，特别是国有企业监督委员会采取暂行特别措施所作的努力，但委员会关切的是，缔约国在暂行特别措施方面缺乏执行力。</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val="0"/>
        <w:spacing w:after="140"/>
        <w:ind w:left="1264" w:right="1264"/>
        <w:rPr>
          <w:rFonts w:eastAsia="黑体"/>
          <w:lang w:val="en-GB"/>
        </w:rPr>
      </w:pPr>
      <w:r w:rsidRPr="005F33A7">
        <w:rPr>
          <w:b/>
          <w:lang w:val="en-GB"/>
        </w:rPr>
        <w:t>25.</w:t>
      </w:r>
      <w:r w:rsidRPr="005F33A7">
        <w:rPr>
          <w:lang w:val="en-GB"/>
        </w:rPr>
        <w:tab/>
      </w:r>
      <w:r w:rsidRPr="005F33A7">
        <w:rPr>
          <w:rFonts w:eastAsia="黑体" w:hint="eastAsia"/>
          <w:lang w:val="en-GB"/>
        </w:rPr>
        <w:t>根据《公约》第四条第</w:t>
      </w:r>
      <w:r w:rsidRPr="005F33A7">
        <w:rPr>
          <w:rFonts w:eastAsia="黑体" w:hint="eastAsia"/>
          <w:b/>
          <w:lang w:val="en-GB"/>
        </w:rPr>
        <w:t>1</w:t>
      </w:r>
      <w:r w:rsidRPr="005F33A7">
        <w:rPr>
          <w:rFonts w:eastAsia="黑体" w:hint="eastAsia"/>
          <w:lang w:val="en-GB"/>
        </w:rPr>
        <w:t>款，并忆及其关于暂行特别措施的第</w:t>
      </w:r>
      <w:r w:rsidRPr="005F33A7">
        <w:rPr>
          <w:rFonts w:eastAsia="黑体" w:hint="eastAsia"/>
          <w:b/>
          <w:lang w:val="en-GB"/>
        </w:rPr>
        <w:t>25</w:t>
      </w:r>
      <w:r>
        <w:rPr>
          <w:rFonts w:eastAsia="黑体" w:hint="eastAsia"/>
          <w:lang w:val="en-GB"/>
        </w:rPr>
        <w:t>(</w:t>
      </w:r>
      <w:r w:rsidRPr="005F33A7">
        <w:rPr>
          <w:rFonts w:eastAsia="黑体" w:hint="eastAsia"/>
          <w:b/>
          <w:lang w:val="en-GB"/>
        </w:rPr>
        <w:t>2004</w:t>
      </w:r>
      <w:r>
        <w:rPr>
          <w:rFonts w:eastAsia="黑体" w:hint="eastAsia"/>
          <w:lang w:val="en-GB"/>
        </w:rPr>
        <w:t>)</w:t>
      </w:r>
      <w:r w:rsidRPr="005F33A7">
        <w:rPr>
          <w:rFonts w:eastAsia="黑体" w:hint="eastAsia"/>
          <w:lang w:val="en-GB"/>
        </w:rPr>
        <w:t>号一般性建议，委员会建议缔约国：</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(a)</w:t>
      </w:r>
      <w:r w:rsidRPr="005F33A7">
        <w:rPr>
          <w:rFonts w:hint="eastAsia"/>
          <w:lang w:val="en-GB"/>
        </w:rPr>
        <w:tab/>
      </w:r>
      <w:r w:rsidRPr="005F33A7">
        <w:rPr>
          <w:rFonts w:eastAsia="黑体" w:hint="eastAsia"/>
          <w:lang w:val="en-GB"/>
        </w:rPr>
        <w:t>就暂行特别措施概念，向所有相关的国家官员和政策制定者，特别是政党，提供能力建设，采取和实施此类措施，包括有时限的目标和配额，旨在在妇女任职人数不足或处于不利地位的所有领域，包括在公共和政治生活、教育、保健和就业领域，实现男女实质性平等；</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(b)</w:t>
      </w:r>
      <w:r w:rsidRPr="005F33A7">
        <w:rPr>
          <w:rFonts w:hint="eastAsia"/>
          <w:lang w:val="en-GB"/>
        </w:rPr>
        <w:tab/>
      </w:r>
      <w:r w:rsidRPr="005F33A7">
        <w:rPr>
          <w:rFonts w:eastAsia="黑体" w:hint="eastAsia"/>
          <w:lang w:val="en-GB"/>
        </w:rPr>
        <w:t>解决现行暂行特别措施执行不力的根源，通过立法鼓励利用涉及到公共和私营部门的暂行特别措施。</w:t>
      </w:r>
    </w:p>
    <w:p w:rsidR="005F33A7" w:rsidRPr="005F33A7" w:rsidRDefault="005F33A7" w:rsidP="005F33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240" w:after="140"/>
        <w:ind w:left="1264" w:right="1259" w:hanging="1264"/>
        <w:jc w:val="left"/>
        <w:rPr>
          <w:rFonts w:eastAsia="黑体"/>
        </w:rPr>
      </w:pPr>
      <w:r w:rsidRPr="005F33A7">
        <w:rPr>
          <w:rFonts w:eastAsia="黑体"/>
        </w:rPr>
        <w:tab/>
      </w:r>
      <w:r w:rsidRPr="005F33A7">
        <w:rPr>
          <w:rFonts w:eastAsia="黑体"/>
        </w:rPr>
        <w:tab/>
      </w:r>
      <w:r w:rsidRPr="005F33A7">
        <w:rPr>
          <w:rFonts w:eastAsia="黑体" w:hint="eastAsia"/>
        </w:rPr>
        <w:t>陈规定型观念</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26.</w:t>
      </w:r>
      <w:r w:rsidRPr="005F33A7">
        <w:rPr>
          <w:lang w:val="en-GB"/>
        </w:rPr>
        <w:tab/>
      </w:r>
      <w:r w:rsidRPr="005F33A7">
        <w:rPr>
          <w:rFonts w:hint="eastAsia"/>
          <w:lang w:val="en-GB"/>
        </w:rPr>
        <w:t>委员会仍然感到关切的是，有关妇女和男子在家庭和社会中的作用和责任，政治言论、媒体和社会中持续存在着根深蒂固的重男轻女态度和歧视性陈规定型观念，使得妇女在家庭和社会中始终处于从属地位。除其他外，这种陈规定型观念体现在以下方面：妇女的教育和职业选择，她们参与政治和公共生活的机会有限，无法平等地参与劳动力市场，以及在家庭关系中其地位不平等。委员会忆及，这种歧视性陈规定型观念也是暴力侵害妇女行为的根源，并表示关切，缔约国迄今尚未采取持续措施来改变或消除歧视性陈规定型观念和消极的传统态度。</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b/>
          <w:lang w:val="en-GB"/>
        </w:rPr>
        <w:t>27</w:t>
      </w:r>
      <w:r>
        <w:rPr>
          <w:rFonts w:hint="eastAsia"/>
          <w:b/>
          <w:lang w:val="en-GB"/>
        </w:rPr>
        <w:t>.</w:t>
      </w:r>
      <w:r w:rsidRPr="005F33A7">
        <w:rPr>
          <w:lang w:val="en-GB"/>
        </w:rPr>
        <w:tab/>
      </w:r>
      <w:r w:rsidRPr="005F33A7">
        <w:rPr>
          <w:rFonts w:eastAsia="黑体" w:hint="eastAsia"/>
          <w:lang w:val="en-GB"/>
        </w:rPr>
        <w:t>委员会提醒缔约国，消除重男轻女态度和歧视性陈规定型观念必须由高级别公职人员来领导，并建议缔约国：</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ab/>
      </w:r>
      <w:r w:rsidRPr="005F33A7">
        <w:rPr>
          <w:b/>
          <w:lang w:val="en-GB"/>
        </w:rPr>
        <w:t>(a)</w:t>
      </w:r>
      <w:r w:rsidRPr="005F33A7">
        <w:rPr>
          <w:rFonts w:hint="eastAsia"/>
          <w:lang w:val="en-GB"/>
        </w:rPr>
        <w:tab/>
      </w:r>
      <w:r w:rsidRPr="005F33A7">
        <w:rPr>
          <w:rFonts w:eastAsia="黑体" w:hint="eastAsia"/>
          <w:lang w:val="en-GB"/>
        </w:rPr>
        <w:t>立即出台一项综合战略，针对社会各阶层妇女和男子采取主动和持续的措施，以便消除对妇女和男子在家庭和社会中作用和责任的歧视性陈规定型观念和重男轻女态度；</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(b)</w:t>
      </w:r>
      <w:r w:rsidRPr="005F33A7">
        <w:rPr>
          <w:rFonts w:hint="eastAsia"/>
          <w:lang w:val="en-GB"/>
        </w:rPr>
        <w:tab/>
      </w:r>
      <w:r w:rsidRPr="005F33A7">
        <w:rPr>
          <w:rFonts w:eastAsia="黑体" w:hint="eastAsia"/>
          <w:lang w:val="en-GB"/>
        </w:rPr>
        <w:t>针对媒体采取创新措施，增进对男女实质性平等的了解，并提升对所有领域妇女的积极和非定型形象，其中特别强调教育系统。</w:t>
      </w:r>
    </w:p>
    <w:p w:rsidR="005F33A7" w:rsidRPr="005F33A7" w:rsidRDefault="005F33A7" w:rsidP="005F33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240" w:after="140"/>
        <w:ind w:left="1264" w:right="1259" w:hanging="1264"/>
        <w:jc w:val="left"/>
        <w:rPr>
          <w:rFonts w:eastAsia="黑体"/>
        </w:rPr>
      </w:pPr>
      <w:r w:rsidRPr="005F33A7">
        <w:rPr>
          <w:rFonts w:eastAsia="黑体"/>
        </w:rPr>
        <w:tab/>
      </w:r>
      <w:r w:rsidRPr="005F33A7">
        <w:rPr>
          <w:rFonts w:eastAsia="黑体"/>
        </w:rPr>
        <w:tab/>
      </w:r>
      <w:r w:rsidRPr="005F33A7">
        <w:rPr>
          <w:rFonts w:eastAsia="黑体" w:hint="eastAsia"/>
        </w:rPr>
        <w:t>暴力侵害妇女行为</w:t>
      </w:r>
      <w:r w:rsidRPr="005F33A7">
        <w:rPr>
          <w:rFonts w:eastAsia="黑体"/>
        </w:rPr>
        <w:t xml:space="preserve"> </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28.</w:t>
      </w:r>
      <w:r w:rsidRPr="005F33A7">
        <w:rPr>
          <w:lang w:val="en-GB"/>
        </w:rPr>
        <w:tab/>
      </w:r>
      <w:r w:rsidRPr="005F33A7">
        <w:rPr>
          <w:rFonts w:hint="eastAsia"/>
          <w:lang w:val="en-GB"/>
        </w:rPr>
        <w:t>委员会仍然感到关切的是，缔约国普遍存在着暴力侵害妇女行为，特别是家庭暴力和性暴力，这些暴力行为仍然报告不足，并且没有按年龄和受害者与施暴者之间关系分列的统计数字。委员会注意到代表团在对话期间提供的信息，了解到关于批准《</w:t>
      </w:r>
      <w:r w:rsidRPr="005F33A7">
        <w:rPr>
          <w:lang w:val="en-GB"/>
        </w:rPr>
        <w:t>欧洲委员会预防和打击暴力侵害妇女行为及家庭暴力公约</w:t>
      </w:r>
      <w:r w:rsidRPr="005F33A7">
        <w:rPr>
          <w:rFonts w:hint="eastAsia"/>
          <w:lang w:val="en-GB"/>
        </w:rPr>
        <w:t>》的法案目前正在最高拉达进行二读，委员会感到关切的是：</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ab/>
        <w:t>(a)</w:t>
      </w:r>
      <w:r w:rsidRPr="005F33A7">
        <w:rPr>
          <w:rFonts w:hint="eastAsia"/>
          <w:lang w:val="en-GB"/>
        </w:rPr>
        <w:tab/>
      </w:r>
      <w:r w:rsidRPr="005F33A7">
        <w:rPr>
          <w:rFonts w:hint="eastAsia"/>
          <w:lang w:val="en-GB"/>
        </w:rPr>
        <w:t>家庭暴力没有被定为刑事犯罪，缔约国立法中没有性别暴力的具体定义；</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ab/>
        <w:t>(b)</w:t>
      </w:r>
      <w:r w:rsidRPr="005F33A7">
        <w:rPr>
          <w:rFonts w:hint="eastAsia"/>
          <w:lang w:val="en-GB"/>
        </w:rPr>
        <w:tab/>
      </w:r>
      <w:r w:rsidRPr="005F33A7">
        <w:rPr>
          <w:rFonts w:hint="eastAsia"/>
          <w:lang w:val="en-GB"/>
        </w:rPr>
        <w:t>没有为性别暴力受害者包括残疾妇女和女童提供收容。</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spacing w:val="-4"/>
          <w:lang w:val="en-GB"/>
        </w:rPr>
      </w:pPr>
      <w:r w:rsidRPr="005F33A7">
        <w:rPr>
          <w:b/>
          <w:lang w:val="en-GB"/>
        </w:rPr>
        <w:t>29.</w:t>
      </w:r>
      <w:r w:rsidRPr="005F33A7">
        <w:rPr>
          <w:lang w:val="en-GB"/>
        </w:rPr>
        <w:tab/>
      </w:r>
      <w:r w:rsidRPr="005F33A7">
        <w:rPr>
          <w:rFonts w:eastAsia="黑体" w:hint="eastAsia"/>
          <w:spacing w:val="-4"/>
          <w:lang w:val="en-GB"/>
        </w:rPr>
        <w:t>忆及其关于暴力侵害妇女行为的第</w:t>
      </w:r>
      <w:r w:rsidRPr="005F33A7">
        <w:rPr>
          <w:rFonts w:eastAsia="黑体"/>
          <w:b/>
          <w:spacing w:val="-4"/>
          <w:lang w:val="en-GB"/>
        </w:rPr>
        <w:t>19</w:t>
      </w:r>
      <w:r w:rsidRPr="005F33A7">
        <w:rPr>
          <w:rFonts w:eastAsia="黑体"/>
          <w:spacing w:val="-4"/>
          <w:lang w:val="en-GB"/>
        </w:rPr>
        <w:t>(</w:t>
      </w:r>
      <w:r w:rsidRPr="005F33A7">
        <w:rPr>
          <w:rFonts w:eastAsia="黑体"/>
          <w:b/>
          <w:spacing w:val="-4"/>
          <w:lang w:val="en-GB"/>
        </w:rPr>
        <w:t>1992</w:t>
      </w:r>
      <w:r w:rsidRPr="005F33A7">
        <w:rPr>
          <w:rFonts w:eastAsia="黑体"/>
          <w:spacing w:val="-4"/>
          <w:lang w:val="en-GB"/>
        </w:rPr>
        <w:t>)</w:t>
      </w:r>
      <w:r w:rsidRPr="005F33A7">
        <w:rPr>
          <w:rFonts w:eastAsia="黑体" w:hint="eastAsia"/>
          <w:spacing w:val="-4"/>
          <w:lang w:val="en-GB"/>
        </w:rPr>
        <w:t>号一般性建议，委员会建议缔约国：</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(a)</w:t>
      </w:r>
      <w:r w:rsidRPr="005F33A7">
        <w:rPr>
          <w:rFonts w:hint="eastAsia"/>
          <w:lang w:val="en-GB"/>
        </w:rPr>
        <w:tab/>
      </w:r>
      <w:r w:rsidRPr="005F33A7">
        <w:rPr>
          <w:rFonts w:eastAsia="黑体" w:hint="eastAsia"/>
          <w:lang w:val="en-GB"/>
        </w:rPr>
        <w:t>将家庭暴力定为刑事犯罪，并加速批准《</w:t>
      </w:r>
      <w:r w:rsidRPr="005F33A7">
        <w:rPr>
          <w:rFonts w:eastAsia="黑体"/>
          <w:lang w:val="en-GB"/>
        </w:rPr>
        <w:t>欧洲委员会预防和打击暴力侵害妇女行为及家庭暴力公约</w:t>
      </w:r>
      <w:r w:rsidRPr="005F33A7">
        <w:rPr>
          <w:rFonts w:eastAsia="黑体" w:hint="eastAsia"/>
          <w:lang w:val="en-GB"/>
        </w:rPr>
        <w:t>》；</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(b)</w:t>
      </w:r>
      <w:r w:rsidRPr="005F33A7">
        <w:rPr>
          <w:rFonts w:hint="eastAsia"/>
          <w:lang w:val="en-GB"/>
        </w:rPr>
        <w:tab/>
      </w:r>
      <w:r w:rsidRPr="005F33A7">
        <w:rPr>
          <w:rFonts w:eastAsia="黑体" w:hint="eastAsia"/>
          <w:lang w:val="en-GB"/>
        </w:rPr>
        <w:t>采取综合措施，预防和处理暴力侵害妇女和女童行为，确保施暴者受到起诉并得到适当惩罚；</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(c)</w:t>
      </w:r>
      <w:r w:rsidRPr="005F33A7">
        <w:rPr>
          <w:rFonts w:hint="eastAsia"/>
          <w:lang w:val="en-GB"/>
        </w:rPr>
        <w:tab/>
      </w:r>
      <w:r w:rsidRPr="005F33A7">
        <w:rPr>
          <w:rFonts w:eastAsia="黑体" w:hint="eastAsia"/>
          <w:lang w:val="en-GB"/>
        </w:rPr>
        <w:t>就严格执行将暴力侵害妇女行为定为刑事犯罪的立法，以及处理遭受暴力侵害的妇女，特别是残疾妇女的对性别问题有敏感的认识程序，为法官、检察官、警官和其他执法人员提供强制性能力建设方案；</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ab/>
      </w:r>
      <w:r w:rsidRPr="005F33A7">
        <w:rPr>
          <w:b/>
          <w:lang w:val="en-GB"/>
        </w:rPr>
        <w:t>(d)</w:t>
      </w:r>
      <w:r w:rsidRPr="005F33A7">
        <w:rPr>
          <w:rFonts w:hint="eastAsia"/>
          <w:lang w:val="en-GB"/>
        </w:rPr>
        <w:tab/>
      </w:r>
      <w:r w:rsidRPr="005F33A7">
        <w:rPr>
          <w:rFonts w:eastAsia="黑体" w:hint="eastAsia"/>
          <w:lang w:val="en-GB"/>
        </w:rPr>
        <w:t>向包括残疾妇女和女童在内的遭受暴力侵害的妇女，提供充足的补救、援助和保护，具体做法是建立收容所，包括在农村地区建立收容所，并加强与为受害者提供收容和康复服务的非政府组织的合作；</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b/>
          <w:lang w:val="en-GB"/>
        </w:rPr>
        <w:tab/>
        <w:t>(e)</w:t>
      </w:r>
      <w:r w:rsidRPr="005F33A7">
        <w:rPr>
          <w:rFonts w:hint="eastAsia"/>
          <w:lang w:val="en-GB"/>
        </w:rPr>
        <w:tab/>
      </w:r>
      <w:r w:rsidRPr="005F33A7">
        <w:rPr>
          <w:rFonts w:eastAsia="黑体" w:hint="eastAsia"/>
          <w:lang w:val="en-GB"/>
        </w:rPr>
        <w:t>收集按年龄和受害者与施暴者之间关系分列的、关于对妇女的家庭暴力、性暴力和其他形式暴力的统计数据；</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ab/>
      </w:r>
      <w:r w:rsidRPr="005F33A7">
        <w:rPr>
          <w:b/>
          <w:lang w:val="en-GB"/>
        </w:rPr>
        <w:t>(f)</w:t>
      </w:r>
      <w:r w:rsidRPr="005F33A7">
        <w:rPr>
          <w:rFonts w:hint="eastAsia"/>
          <w:lang w:val="en-GB"/>
        </w:rPr>
        <w:tab/>
      </w:r>
      <w:r w:rsidRPr="005F33A7">
        <w:rPr>
          <w:rFonts w:eastAsia="黑体" w:hint="eastAsia"/>
          <w:lang w:val="en-GB"/>
        </w:rPr>
        <w:t>为遭受暴力侵害的残疾妇女获得补救和康复创造充足条件。</w:t>
      </w:r>
    </w:p>
    <w:p w:rsidR="005F33A7" w:rsidRPr="005F33A7" w:rsidRDefault="005F33A7" w:rsidP="005F33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240" w:after="140"/>
        <w:ind w:left="1264" w:right="1259" w:hanging="1264"/>
        <w:jc w:val="left"/>
        <w:rPr>
          <w:rFonts w:eastAsia="黑体"/>
        </w:rPr>
      </w:pPr>
      <w:r w:rsidRPr="005F33A7">
        <w:rPr>
          <w:rFonts w:eastAsia="黑体"/>
        </w:rPr>
        <w:tab/>
      </w:r>
      <w:r w:rsidRPr="005F33A7">
        <w:rPr>
          <w:rFonts w:eastAsia="黑体"/>
        </w:rPr>
        <w:tab/>
      </w:r>
      <w:r w:rsidRPr="005F33A7">
        <w:rPr>
          <w:rFonts w:eastAsia="黑体" w:hint="eastAsia"/>
        </w:rPr>
        <w:t>贩运人口和利用妇女卖淫营利</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30.</w:t>
      </w:r>
      <w:r w:rsidRPr="005F33A7">
        <w:rPr>
          <w:lang w:val="en-GB"/>
        </w:rPr>
        <w:tab/>
      </w:r>
      <w:r w:rsidRPr="005F33A7">
        <w:rPr>
          <w:rFonts w:hint="eastAsia"/>
          <w:lang w:val="en-GB"/>
        </w:rPr>
        <w:t>委员会赞赏地注意到缔约国为打击人口贩运和保护贩运活动受害者所作的努力，但感到严重关切的是，失业加剧、腐败、民众生活水平下降、持续危机，以及打击贩运的立法和相关行动计划执行不力，这些为缔约国境内令人震惊的普遍贩运活动创造了有利条件。委员会还感到关切的是，有报道称卖淫妇女遭受暴力侵害和歧视，这导致各种形式的虐待，包括勒索、殴打、在所谓的“义务劳动者”计划下剥削妇女、强奸卖淫妇女、提供有限的援助，以及没有为希望弃淫从良的妇女提供退出和重返社会方案。</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b/>
          <w:lang w:val="en-GB"/>
        </w:rPr>
        <w:t>31.</w:t>
      </w:r>
      <w:r w:rsidRPr="005F33A7">
        <w:rPr>
          <w:lang w:val="en-GB"/>
        </w:rPr>
        <w:tab/>
      </w:r>
      <w:r w:rsidRPr="005F33A7">
        <w:rPr>
          <w:rFonts w:eastAsia="黑体" w:hint="eastAsia"/>
          <w:lang w:val="en-GB"/>
        </w:rPr>
        <w:t>委员会建议缔约国：</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(a)</w:t>
      </w:r>
      <w:r w:rsidRPr="005F33A7">
        <w:rPr>
          <w:rFonts w:hint="eastAsia"/>
          <w:lang w:val="en-GB"/>
        </w:rPr>
        <w:tab/>
      </w:r>
      <w:r w:rsidRPr="005F33A7">
        <w:rPr>
          <w:rFonts w:eastAsia="黑体" w:hint="eastAsia"/>
          <w:lang w:val="en-GB"/>
        </w:rPr>
        <w:t>充分执行打击贩运人口立法，增加分配用于实施打击贩运活动法律和方案的财政资源；</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(b)</w:t>
      </w:r>
      <w:r w:rsidRPr="005F33A7">
        <w:rPr>
          <w:rFonts w:hint="eastAsia"/>
          <w:b/>
          <w:lang w:val="en-GB"/>
        </w:rPr>
        <w:tab/>
      </w:r>
      <w:r w:rsidRPr="005F33A7">
        <w:rPr>
          <w:rFonts w:eastAsia="黑体" w:hint="eastAsia"/>
          <w:lang w:val="en-GB"/>
        </w:rPr>
        <w:t>建设司法机关、执法人员、边境管制官员、社会工作者和卫生工作者的能力，使其能够及早转介贩运活动受害者并以对性别问题有敏感认识的方式对待他们；</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(c)</w:t>
      </w:r>
      <w:r w:rsidRPr="005F33A7">
        <w:rPr>
          <w:rFonts w:hint="eastAsia"/>
          <w:lang w:val="en-GB"/>
        </w:rPr>
        <w:tab/>
      </w:r>
      <w:r w:rsidRPr="005F33A7">
        <w:rPr>
          <w:rFonts w:eastAsia="黑体" w:hint="eastAsia"/>
          <w:lang w:val="en-GB"/>
        </w:rPr>
        <w:t>通过增加妇女和女童及其家人的教育和经济机会，解决贩运的根源问题，从而减轻其易受贩运者剥削的脆弱性；</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(d)</w:t>
      </w:r>
      <w:r w:rsidRPr="005F33A7">
        <w:rPr>
          <w:rFonts w:hint="eastAsia"/>
          <w:b/>
          <w:lang w:val="en-GB"/>
        </w:rPr>
        <w:tab/>
      </w:r>
      <w:r w:rsidRPr="005F33A7">
        <w:rPr>
          <w:rFonts w:eastAsia="黑体" w:hint="eastAsia"/>
          <w:lang w:val="en-GB"/>
        </w:rPr>
        <w:t>为遭受贩运的妇女和希望弃淫从良的妇女提供专门针对妇女的收容所和危机中心、退出和重返社会方案以及替代创收机会；</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(e)</w:t>
      </w:r>
      <w:r w:rsidRPr="005F33A7">
        <w:rPr>
          <w:rFonts w:hint="eastAsia"/>
          <w:b/>
          <w:lang w:val="en-GB"/>
        </w:rPr>
        <w:tab/>
      </w:r>
      <w:r w:rsidRPr="005F33A7">
        <w:rPr>
          <w:rFonts w:eastAsia="黑体" w:hint="eastAsia"/>
          <w:lang w:val="en-GB"/>
        </w:rPr>
        <w:t>加大旨在开展双边、区域和国际合作以防止贩运人口的工作力度。</w:t>
      </w:r>
    </w:p>
    <w:p w:rsidR="005F33A7" w:rsidRPr="005F33A7" w:rsidRDefault="005F33A7" w:rsidP="005F33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240" w:after="140"/>
        <w:ind w:left="1264" w:right="1259" w:hanging="1264"/>
        <w:jc w:val="left"/>
        <w:rPr>
          <w:rFonts w:eastAsia="黑体"/>
        </w:rPr>
      </w:pPr>
      <w:r w:rsidRPr="005F33A7">
        <w:rPr>
          <w:rFonts w:eastAsia="黑体"/>
        </w:rPr>
        <w:tab/>
      </w:r>
      <w:r w:rsidRPr="005F33A7">
        <w:rPr>
          <w:rFonts w:eastAsia="黑体"/>
        </w:rPr>
        <w:tab/>
      </w:r>
      <w:r w:rsidRPr="005F33A7">
        <w:rPr>
          <w:rFonts w:eastAsia="黑体" w:hint="eastAsia"/>
        </w:rPr>
        <w:t>参与政治和公共生活</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32.</w:t>
      </w:r>
      <w:r w:rsidRPr="005F33A7">
        <w:rPr>
          <w:lang w:val="en-GB"/>
        </w:rPr>
        <w:tab/>
      </w:r>
      <w:r w:rsidRPr="005F33A7">
        <w:rPr>
          <w:rFonts w:hint="eastAsia"/>
          <w:lang w:val="en-GB"/>
        </w:rPr>
        <w:t>委员会欢迎缔约国努力增加妇女参与政治和公共生活的机会，包括增加女议员人数。然而，委员会感到关切的是，由于顽固不化的传统看法和重男轻女态度，缺乏有效措施，包括暂行特别措施，进入政治网络的机会有限，以及能力建设不足，妇女在最高拉达、政府和外交部门决策一级任职的人数仍然严重不足。</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b/>
          <w:lang w:val="en-GB"/>
        </w:rPr>
        <w:t>33.</w:t>
      </w:r>
      <w:r w:rsidRPr="005F33A7">
        <w:rPr>
          <w:lang w:val="en-GB"/>
        </w:rPr>
        <w:tab/>
      </w:r>
      <w:r w:rsidRPr="005F33A7">
        <w:rPr>
          <w:rFonts w:eastAsia="黑体" w:hint="eastAsia"/>
          <w:lang w:val="en-GB"/>
        </w:rPr>
        <w:t>委员会提醒缔约国，妇女充分参与对于增强其权能，乃至促进整个社会的进步至关重要，并建议缔约国：</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rFonts w:hint="eastAsia"/>
          <w:b/>
          <w:lang w:val="en-GB"/>
        </w:rPr>
        <w:t>(a)</w:t>
      </w:r>
      <w:r w:rsidRPr="005F33A7">
        <w:rPr>
          <w:rFonts w:hint="eastAsia"/>
          <w:b/>
          <w:lang w:val="en-GB"/>
        </w:rPr>
        <w:tab/>
      </w:r>
      <w:r w:rsidRPr="005F33A7">
        <w:rPr>
          <w:rFonts w:eastAsia="黑体" w:hint="eastAsia"/>
          <w:lang w:val="en-GB"/>
        </w:rPr>
        <w:t>基于有针对性的措施采取全球战略，包括培训、对性别问题有敏感认识的招聘和特别措施，包括暂行特别措施，以确保根据委员会关于妇女参与政治和公共生活的第</w:t>
      </w:r>
      <w:r w:rsidRPr="005F33A7">
        <w:rPr>
          <w:rFonts w:eastAsia="黑体"/>
          <w:b/>
          <w:lang w:val="en-GB"/>
        </w:rPr>
        <w:t>23</w:t>
      </w:r>
      <w:r>
        <w:rPr>
          <w:rFonts w:eastAsia="黑体" w:hint="eastAsia"/>
          <w:lang w:val="en-GB"/>
        </w:rPr>
        <w:t>(</w:t>
      </w:r>
      <w:r w:rsidRPr="005F33A7">
        <w:rPr>
          <w:rFonts w:eastAsia="黑体"/>
          <w:b/>
          <w:lang w:val="en-GB"/>
        </w:rPr>
        <w:t>1997</w:t>
      </w:r>
      <w:r>
        <w:rPr>
          <w:rFonts w:eastAsia="黑体" w:hint="eastAsia"/>
          <w:lang w:val="en-GB"/>
        </w:rPr>
        <w:t>)</w:t>
      </w:r>
      <w:r w:rsidRPr="005F33A7">
        <w:rPr>
          <w:rFonts w:eastAsia="黑体" w:hint="eastAsia"/>
          <w:lang w:val="en-GB"/>
        </w:rPr>
        <w:t>号一般性建议，将妇女与男子平等地任命到国家和地方一级的决策岗位；</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(b)</w:t>
      </w:r>
      <w:r w:rsidRPr="005F33A7">
        <w:rPr>
          <w:rFonts w:hint="eastAsia"/>
          <w:b/>
          <w:lang w:val="en-GB"/>
        </w:rPr>
        <w:tab/>
      </w:r>
      <w:r w:rsidRPr="005F33A7">
        <w:rPr>
          <w:rFonts w:eastAsia="黑体" w:hint="eastAsia"/>
          <w:lang w:val="en-GB"/>
        </w:rPr>
        <w:t>向政治家、社区领袖、新闻工作者和公众开展关于妇女参与决策的重要性的提高认识活动，以增进这方面的认识，即妇女与男子在平等基础上充分、平等、自由和民主地参与政治和公共生活，是有效执行《公约》、该国政治稳定和经济发展的一项要求。</w:t>
      </w:r>
    </w:p>
    <w:p w:rsidR="005F33A7" w:rsidRPr="005F33A7" w:rsidRDefault="005F33A7" w:rsidP="005F33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240" w:after="140"/>
        <w:ind w:left="1264" w:right="1259" w:hanging="1264"/>
        <w:jc w:val="left"/>
        <w:rPr>
          <w:rFonts w:eastAsia="黑体"/>
        </w:rPr>
      </w:pPr>
      <w:r w:rsidRPr="005F33A7">
        <w:rPr>
          <w:rFonts w:eastAsia="黑体"/>
        </w:rPr>
        <w:tab/>
      </w:r>
      <w:r w:rsidRPr="005F33A7">
        <w:rPr>
          <w:rFonts w:eastAsia="黑体"/>
        </w:rPr>
        <w:tab/>
      </w:r>
      <w:r w:rsidRPr="005F33A7">
        <w:rPr>
          <w:rFonts w:eastAsia="黑体" w:hint="eastAsia"/>
        </w:rPr>
        <w:t>教育</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34.</w:t>
      </w:r>
      <w:r w:rsidRPr="005F33A7">
        <w:rPr>
          <w:lang w:val="en-GB"/>
        </w:rPr>
        <w:tab/>
      </w:r>
      <w:r w:rsidRPr="005F33A7">
        <w:rPr>
          <w:rFonts w:hint="eastAsia"/>
          <w:lang w:val="en-GB"/>
        </w:rPr>
        <w:t>委员会赞赏地注意到妇女的识字率很高。它还欢迎制定一项教育战略</w:t>
      </w:r>
      <w:r>
        <w:rPr>
          <w:rFonts w:hint="eastAsia"/>
          <w:lang w:val="en-GB"/>
        </w:rPr>
        <w:t>(</w:t>
      </w:r>
      <w:r w:rsidRPr="005F33A7">
        <w:rPr>
          <w:rFonts w:hint="eastAsia"/>
          <w:lang w:val="en-GB"/>
        </w:rPr>
        <w:t>2020</w:t>
      </w:r>
      <w:r w:rsidRPr="005F33A7">
        <w:rPr>
          <w:rFonts w:hint="eastAsia"/>
          <w:lang w:val="en-GB"/>
        </w:rPr>
        <w:t>年</w:t>
      </w:r>
      <w:r>
        <w:rPr>
          <w:rFonts w:hint="eastAsia"/>
          <w:lang w:val="en-GB"/>
        </w:rPr>
        <w:t>)</w:t>
      </w:r>
      <w:r w:rsidRPr="005F33A7">
        <w:rPr>
          <w:rFonts w:hint="eastAsia"/>
          <w:lang w:val="en-GB"/>
        </w:rPr>
        <w:t>。不过，委员会感到关切的是，学校课程和教科书中持续存在着对妇女和女童的消极、重男轻女的陈规定型观念。委员会还感到关切的是，学校提供了“生活技能课程”，女童学习烹饪和缝纫课程，而男童学习木工和木器课程，这也是维护社会中传统性别角色的一种情况。委员会感到关切的是，妇女无法平等地进入内政与国防部下属的大学。委员会还感到关切的是，罗姆女童的辍学率很高。</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b/>
          <w:lang w:val="en-GB"/>
        </w:rPr>
        <w:t>35.</w:t>
      </w:r>
      <w:r w:rsidRPr="005F33A7">
        <w:rPr>
          <w:lang w:val="en-GB"/>
        </w:rPr>
        <w:tab/>
      </w:r>
      <w:r w:rsidRPr="005F33A7">
        <w:rPr>
          <w:rFonts w:eastAsia="黑体" w:hint="eastAsia"/>
          <w:lang w:val="en-GB"/>
        </w:rPr>
        <w:t>委员会建议缔约国：</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(a)</w:t>
      </w:r>
      <w:r w:rsidRPr="005F33A7">
        <w:rPr>
          <w:rFonts w:hint="eastAsia"/>
          <w:lang w:val="en-GB"/>
        </w:rPr>
        <w:tab/>
      </w:r>
      <w:r w:rsidRPr="005F33A7">
        <w:rPr>
          <w:rFonts w:eastAsia="黑体" w:hint="eastAsia"/>
          <w:lang w:val="en-GB"/>
        </w:rPr>
        <w:t>加大审查学校课程和教科书的工作力度，以消除对妇女和女童的消极陈规定型观念；</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ab/>
      </w:r>
      <w:r w:rsidRPr="005F33A7">
        <w:rPr>
          <w:b/>
          <w:lang w:val="en-GB"/>
        </w:rPr>
        <w:t>(b)</w:t>
      </w:r>
      <w:r w:rsidRPr="005F33A7">
        <w:rPr>
          <w:rFonts w:hint="eastAsia"/>
          <w:lang w:val="en-GB"/>
        </w:rPr>
        <w:tab/>
      </w:r>
      <w:r w:rsidRPr="005F33A7">
        <w:rPr>
          <w:rFonts w:eastAsia="黑体" w:hint="eastAsia"/>
          <w:lang w:val="en-GB"/>
        </w:rPr>
        <w:t>确保将相同课程适用于男童和女童，以便为男童和女童开设相同的“生活技能课程”，包括通过采取暂行特别措施；</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(c)</w:t>
      </w:r>
      <w:r w:rsidRPr="005F33A7">
        <w:rPr>
          <w:rFonts w:hint="eastAsia"/>
          <w:lang w:val="en-GB"/>
        </w:rPr>
        <w:tab/>
      </w:r>
      <w:r w:rsidRPr="005F33A7">
        <w:rPr>
          <w:rFonts w:eastAsia="黑体" w:hint="eastAsia"/>
          <w:lang w:val="en-GB"/>
        </w:rPr>
        <w:t>确保妇女平等就读内政与国防部下属的大学，包括通过采取暂行特别措施；</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(d)</w:t>
      </w:r>
      <w:r w:rsidRPr="005F33A7">
        <w:rPr>
          <w:rFonts w:hint="eastAsia"/>
          <w:lang w:val="en-GB"/>
        </w:rPr>
        <w:tab/>
      </w:r>
      <w:r w:rsidRPr="005F33A7">
        <w:rPr>
          <w:rFonts w:eastAsia="黑体" w:hint="eastAsia"/>
          <w:lang w:val="en-GB"/>
        </w:rPr>
        <w:t>通过提高对教育作为一项人权的重要性和作为增强妇女权能的基础的认识，促进罗姆族女童接受教育和继续各级教育，并加强执行复学政策，使辍学的罗姆族女童能够重返校园。</w:t>
      </w:r>
    </w:p>
    <w:p w:rsidR="005F33A7" w:rsidRPr="005F33A7" w:rsidRDefault="005F33A7" w:rsidP="005F33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240" w:after="140"/>
        <w:ind w:left="1264" w:right="1259" w:hanging="1264"/>
        <w:jc w:val="left"/>
        <w:rPr>
          <w:rFonts w:eastAsia="黑体"/>
        </w:rPr>
      </w:pPr>
      <w:r w:rsidRPr="005F33A7">
        <w:rPr>
          <w:rFonts w:eastAsia="黑体"/>
        </w:rPr>
        <w:tab/>
      </w:r>
      <w:r w:rsidRPr="005F33A7">
        <w:rPr>
          <w:rFonts w:eastAsia="黑体"/>
        </w:rPr>
        <w:tab/>
      </w:r>
      <w:r w:rsidRPr="005F33A7">
        <w:rPr>
          <w:rFonts w:eastAsia="黑体" w:hint="eastAsia"/>
        </w:rPr>
        <w:t>就业</w:t>
      </w:r>
      <w:r w:rsidRPr="005F33A7">
        <w:rPr>
          <w:rFonts w:eastAsia="黑体"/>
        </w:rPr>
        <w:t xml:space="preserve"> </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36.</w:t>
      </w:r>
      <w:r w:rsidRPr="005F33A7">
        <w:rPr>
          <w:lang w:val="en-GB"/>
        </w:rPr>
        <w:tab/>
      </w:r>
      <w:r w:rsidRPr="005F33A7">
        <w:rPr>
          <w:rFonts w:hint="eastAsia"/>
          <w:lang w:val="en-GB"/>
        </w:rPr>
        <w:t>委员会注意到</w:t>
      </w:r>
      <w:r w:rsidRPr="005F33A7">
        <w:rPr>
          <w:rFonts w:hint="eastAsia"/>
          <w:lang w:val="en-GB"/>
        </w:rPr>
        <w:t>2012</w:t>
      </w:r>
      <w:r w:rsidRPr="005F33A7">
        <w:rPr>
          <w:rFonts w:hint="eastAsia"/>
          <w:lang w:val="en-GB"/>
        </w:rPr>
        <w:t>年通过了《就业法》，其中规定为所有公民提供平等机会。不过，委员会感到关切的是：</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ab/>
        <w:t>(a)</w:t>
      </w:r>
      <w:r w:rsidRPr="005F33A7">
        <w:rPr>
          <w:rFonts w:hint="eastAsia"/>
          <w:lang w:val="en-GB"/>
        </w:rPr>
        <w:tab/>
      </w:r>
      <w:r w:rsidRPr="005F33A7">
        <w:rPr>
          <w:rFonts w:hint="eastAsia"/>
          <w:lang w:val="en-GB"/>
        </w:rPr>
        <w:t>所有部门的性别工资差异在持续扩大和拉大，劳动力市场继续存在着职业隔离现象，妇女集中在正规和非正规经济部门的低收入行业；</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ab/>
        <w:t>(b)</w:t>
      </w:r>
      <w:r w:rsidRPr="005F33A7">
        <w:rPr>
          <w:rFonts w:hint="eastAsia"/>
          <w:lang w:val="en-GB"/>
        </w:rPr>
        <w:tab/>
      </w:r>
      <w:r w:rsidRPr="005F33A7">
        <w:rPr>
          <w:rFonts w:hint="eastAsia"/>
          <w:lang w:val="en-GB"/>
        </w:rPr>
        <w:t>禁止妇女从事的职业名单涵盖广泛的职业和部门，却没有给出禁止从事的客观理由，因而限制了妇女的经济机会，妨碍她们进入若干领域谋职，特别是军事、农业和工业领域；</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ab/>
        <w:t>(c)</w:t>
      </w:r>
      <w:r w:rsidRPr="005F33A7">
        <w:rPr>
          <w:rFonts w:hint="eastAsia"/>
          <w:lang w:val="en-GB"/>
        </w:rPr>
        <w:tab/>
      </w:r>
      <w:r w:rsidRPr="005F33A7">
        <w:rPr>
          <w:rFonts w:hint="eastAsia"/>
          <w:lang w:val="en-GB"/>
        </w:rPr>
        <w:t>缺乏关于禁止工作场所性骚扰并提供民事和</w:t>
      </w:r>
      <w:r>
        <w:rPr>
          <w:rFonts w:hint="eastAsia"/>
          <w:lang w:val="en-GB"/>
        </w:rPr>
        <w:t>(</w:t>
      </w:r>
      <w:r w:rsidRPr="005F33A7">
        <w:rPr>
          <w:rFonts w:hint="eastAsia"/>
          <w:lang w:val="en-GB"/>
        </w:rPr>
        <w:t>或</w:t>
      </w:r>
      <w:r>
        <w:rPr>
          <w:rFonts w:hint="eastAsia"/>
          <w:lang w:val="en-GB"/>
        </w:rPr>
        <w:t>)</w:t>
      </w:r>
      <w:r w:rsidRPr="005F33A7">
        <w:rPr>
          <w:rFonts w:hint="eastAsia"/>
          <w:lang w:val="en-GB"/>
        </w:rPr>
        <w:t>刑事补救办法的立法的相关资料，以及没有关于对犯罪人的起诉、定罪和判刑数量的相关资料；</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ab/>
        <w:t>(d)</w:t>
      </w:r>
      <w:r w:rsidRPr="005F33A7">
        <w:rPr>
          <w:rFonts w:hint="eastAsia"/>
          <w:lang w:val="en-GB"/>
        </w:rPr>
        <w:tab/>
      </w:r>
      <w:r w:rsidRPr="005F33A7">
        <w:rPr>
          <w:rFonts w:hint="eastAsia"/>
          <w:lang w:val="en-GB"/>
        </w:rPr>
        <w:t>受冲突影响地区的妇女境况堪忧，那里的妇女成了实际户主和家庭主要供养者。</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b/>
          <w:lang w:val="en-GB"/>
        </w:rPr>
        <w:t>37.</w:t>
      </w:r>
      <w:r w:rsidRPr="005F33A7">
        <w:rPr>
          <w:lang w:val="en-GB"/>
        </w:rPr>
        <w:tab/>
      </w:r>
      <w:r w:rsidRPr="005F33A7">
        <w:rPr>
          <w:rFonts w:eastAsia="黑体" w:hint="eastAsia"/>
          <w:lang w:val="en-GB"/>
        </w:rPr>
        <w:t>委员会建议缔约国：</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(a)</w:t>
      </w:r>
      <w:r w:rsidRPr="005F33A7">
        <w:rPr>
          <w:rFonts w:hint="eastAsia"/>
          <w:b/>
          <w:lang w:val="en-GB"/>
        </w:rPr>
        <w:tab/>
      </w:r>
      <w:r w:rsidRPr="005F33A7">
        <w:rPr>
          <w:rFonts w:eastAsia="黑体" w:hint="eastAsia"/>
          <w:lang w:val="en-GB"/>
        </w:rPr>
        <w:t>加大工作力度，为妇女创造有利环境，使其在经济上独立，包括通过提高公共和私营部门雇主对禁止对包括残疾妇女在内的妇女就业歧视的认识，并促进妇女进入正规经济部门，包括通过提供职业和技术培训；</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b/>
          <w:lang w:val="en-GB"/>
        </w:rPr>
        <w:tab/>
        <w:t>(b)</w:t>
      </w:r>
      <w:r w:rsidRPr="005F33A7">
        <w:rPr>
          <w:rFonts w:hint="eastAsia"/>
          <w:lang w:val="en-GB"/>
        </w:rPr>
        <w:tab/>
      </w:r>
      <w:r w:rsidRPr="005F33A7">
        <w:rPr>
          <w:rFonts w:eastAsia="黑体" w:hint="eastAsia"/>
          <w:lang w:val="en-GB"/>
        </w:rPr>
        <w:t>有效保障同值工作同等报酬原则，采取措施缩小性别工资差异，并定期审查妇女集中的行业的薪资情况；</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b/>
          <w:lang w:val="en-GB"/>
        </w:rPr>
        <w:tab/>
        <w:t>(c)</w:t>
      </w:r>
      <w:r w:rsidRPr="005F33A7">
        <w:rPr>
          <w:rFonts w:hint="eastAsia"/>
          <w:b/>
          <w:lang w:val="en-GB"/>
        </w:rPr>
        <w:tab/>
      </w:r>
      <w:r w:rsidRPr="005F33A7">
        <w:rPr>
          <w:rFonts w:eastAsia="黑体" w:hint="eastAsia"/>
          <w:lang w:val="en-GB"/>
        </w:rPr>
        <w:t>审查禁止妇女从事的职业和行业清单，通过改善工作条件以及职业健康和安全，推动和促进妇女从事之前被禁止从事的职业；</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ab/>
      </w:r>
      <w:r w:rsidRPr="005F33A7">
        <w:rPr>
          <w:b/>
          <w:lang w:val="en-GB"/>
        </w:rPr>
        <w:t>(d)</w:t>
      </w:r>
      <w:r w:rsidRPr="005F33A7">
        <w:rPr>
          <w:rFonts w:hint="eastAsia"/>
          <w:b/>
          <w:lang w:val="en-GB"/>
        </w:rPr>
        <w:tab/>
      </w:r>
      <w:r w:rsidRPr="005F33A7">
        <w:rPr>
          <w:rFonts w:eastAsia="黑体" w:hint="eastAsia"/>
          <w:lang w:val="en-GB"/>
        </w:rPr>
        <w:t>加强立法，明确界定和禁止工作场所性骚扰；</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(e)</w:t>
      </w:r>
      <w:r w:rsidRPr="005F33A7">
        <w:rPr>
          <w:rFonts w:hint="eastAsia"/>
          <w:b/>
          <w:lang w:val="en-GB"/>
        </w:rPr>
        <w:tab/>
      </w:r>
      <w:r w:rsidRPr="005F33A7">
        <w:rPr>
          <w:rFonts w:eastAsia="黑体" w:hint="eastAsia"/>
          <w:lang w:val="en-GB"/>
        </w:rPr>
        <w:t>通过招收妇女和女童学习计算机扫盲课程和确保其获得新技术，促进企业发展并改进她们获得信息技术的机会；</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ab/>
      </w:r>
      <w:r w:rsidRPr="005F33A7">
        <w:rPr>
          <w:b/>
          <w:lang w:val="en-GB"/>
        </w:rPr>
        <w:t>(f)</w:t>
      </w:r>
      <w:r w:rsidRPr="005F33A7">
        <w:rPr>
          <w:rFonts w:hint="eastAsia"/>
          <w:lang w:val="en-GB"/>
        </w:rPr>
        <w:tab/>
      </w:r>
      <w:r w:rsidRPr="005F33A7">
        <w:rPr>
          <w:rFonts w:eastAsia="黑体" w:hint="eastAsia"/>
          <w:lang w:val="en-GB"/>
        </w:rPr>
        <w:t>加强努力，为受冲突影响的妇女，包括残疾妇女、寡妇和女户主，提供可持续的经济机会，并有效解决阻止妇女平等参与劳动力市场的一切障碍；</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b/>
          <w:lang w:val="en-GB"/>
        </w:rPr>
        <w:tab/>
        <w:t>(g)</w:t>
      </w:r>
      <w:r w:rsidRPr="005F33A7">
        <w:rPr>
          <w:rFonts w:hint="eastAsia"/>
          <w:lang w:val="en-GB"/>
        </w:rPr>
        <w:tab/>
      </w:r>
      <w:r w:rsidRPr="005F33A7">
        <w:rPr>
          <w:rFonts w:eastAsia="黑体" w:hint="eastAsia"/>
          <w:lang w:val="en-GB"/>
        </w:rPr>
        <w:t>制定促进性别平等的经济复苏战略，将其作为可持续冲突后经济的先决条件。</w:t>
      </w:r>
    </w:p>
    <w:p w:rsidR="005F33A7" w:rsidRPr="005F33A7" w:rsidRDefault="005F33A7" w:rsidP="005F33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240" w:after="140"/>
        <w:ind w:left="1264" w:right="1259" w:hanging="1264"/>
        <w:jc w:val="left"/>
        <w:rPr>
          <w:rFonts w:eastAsia="黑体"/>
        </w:rPr>
      </w:pPr>
      <w:r w:rsidRPr="005F33A7">
        <w:rPr>
          <w:rFonts w:eastAsia="黑体"/>
        </w:rPr>
        <w:tab/>
      </w:r>
      <w:r w:rsidRPr="005F33A7">
        <w:rPr>
          <w:rFonts w:eastAsia="黑体"/>
        </w:rPr>
        <w:tab/>
      </w:r>
      <w:r w:rsidRPr="005F33A7">
        <w:rPr>
          <w:rFonts w:eastAsia="黑体" w:hint="eastAsia"/>
        </w:rPr>
        <w:t>卫生</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38.</w:t>
      </w:r>
      <w:r w:rsidRPr="005F33A7">
        <w:rPr>
          <w:lang w:val="en-GB"/>
        </w:rPr>
        <w:tab/>
      </w:r>
      <w:r w:rsidRPr="005F33A7">
        <w:rPr>
          <w:rFonts w:hint="eastAsia"/>
          <w:lang w:val="en-GB"/>
        </w:rPr>
        <w:t>委员会欢迎缔约国改革保健系统和应对人道主义危机的倡议，特别是通过为暴力受害者设立流动急救机构。但委员会感到关切的是：</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ab/>
        <w:t>(a)</w:t>
      </w:r>
      <w:r w:rsidRPr="005F33A7">
        <w:rPr>
          <w:rFonts w:hint="eastAsia"/>
          <w:lang w:val="en-GB"/>
        </w:rPr>
        <w:tab/>
      </w:r>
      <w:r w:rsidRPr="005F33A7">
        <w:rPr>
          <w:rFonts w:hint="eastAsia"/>
          <w:lang w:val="en-GB"/>
        </w:rPr>
        <w:t>保健服务预算拨款不足，并且医院和医疗中心的医疗设备陈旧；</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val="0"/>
        <w:spacing w:after="140"/>
        <w:ind w:left="1264" w:right="1264"/>
        <w:rPr>
          <w:lang w:val="en-GB"/>
        </w:rPr>
      </w:pPr>
      <w:r w:rsidRPr="005F33A7">
        <w:rPr>
          <w:rFonts w:hint="eastAsia"/>
          <w:lang w:val="en-GB"/>
        </w:rPr>
        <w:tab/>
      </w:r>
      <w:r w:rsidRPr="005F33A7">
        <w:rPr>
          <w:lang w:val="en-GB"/>
        </w:rPr>
        <w:tab/>
        <w:t>(b)</w:t>
      </w:r>
      <w:r w:rsidRPr="005F33A7">
        <w:rPr>
          <w:rFonts w:hint="eastAsia"/>
          <w:lang w:val="en-GB"/>
        </w:rPr>
        <w:tab/>
      </w:r>
      <w:r w:rsidRPr="005F33A7">
        <w:rPr>
          <w:rFonts w:hint="eastAsia"/>
          <w:lang w:val="en-GB"/>
        </w:rPr>
        <w:t>缔约国境内乳腺癌发病率增加，这是工作年龄妇女死亡的主要原因，并且缺乏诊断、预防和乳腺</w:t>
      </w:r>
      <w:r w:rsidRPr="005F33A7">
        <w:rPr>
          <w:rFonts w:hint="eastAsia"/>
          <w:lang w:val="en-GB"/>
        </w:rPr>
        <w:t>X</w:t>
      </w:r>
      <w:r w:rsidRPr="005F33A7">
        <w:rPr>
          <w:rFonts w:hint="eastAsia"/>
          <w:lang w:val="en-GB"/>
        </w:rPr>
        <w:t>线照相服务；</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ab/>
        <w:t>(c)</w:t>
      </w:r>
      <w:r w:rsidRPr="005F33A7">
        <w:rPr>
          <w:rFonts w:hint="eastAsia"/>
          <w:lang w:val="en-GB"/>
        </w:rPr>
        <w:tab/>
      </w:r>
      <w:r w:rsidRPr="005F33A7">
        <w:rPr>
          <w:rFonts w:hint="eastAsia"/>
          <w:lang w:val="en-GB"/>
        </w:rPr>
        <w:t>妇女中结核病、性传播感染和艾滋病毒感染者增加，妇女酗酒和吸毒成瘾问题增多。</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val="0"/>
        <w:spacing w:after="140"/>
        <w:ind w:left="1264" w:right="1264"/>
        <w:rPr>
          <w:lang w:val="en-GB"/>
        </w:rPr>
      </w:pPr>
      <w:r w:rsidRPr="005F33A7">
        <w:rPr>
          <w:b/>
          <w:lang w:val="en-GB"/>
        </w:rPr>
        <w:t>39.</w:t>
      </w:r>
      <w:r w:rsidRPr="005F33A7">
        <w:rPr>
          <w:lang w:val="en-GB"/>
        </w:rPr>
        <w:tab/>
      </w:r>
      <w:r w:rsidRPr="005F33A7">
        <w:rPr>
          <w:rFonts w:eastAsia="黑体" w:hint="eastAsia"/>
          <w:lang w:val="en-GB"/>
        </w:rPr>
        <w:t>根据关于妇女与保健的第</w:t>
      </w:r>
      <w:r w:rsidRPr="005F33A7">
        <w:rPr>
          <w:rFonts w:eastAsia="黑体"/>
          <w:b/>
          <w:lang w:val="en-GB"/>
        </w:rPr>
        <w:t>24</w:t>
      </w:r>
      <w:r>
        <w:rPr>
          <w:rFonts w:eastAsia="黑体"/>
          <w:lang w:val="en-GB"/>
        </w:rPr>
        <w:t>(</w:t>
      </w:r>
      <w:r w:rsidRPr="005F33A7">
        <w:rPr>
          <w:rFonts w:eastAsia="黑体"/>
          <w:b/>
          <w:lang w:val="en-GB"/>
        </w:rPr>
        <w:t>1999</w:t>
      </w:r>
      <w:r>
        <w:rPr>
          <w:rFonts w:eastAsia="黑体"/>
          <w:lang w:val="en-GB"/>
        </w:rPr>
        <w:t>)</w:t>
      </w:r>
      <w:r w:rsidRPr="005F33A7">
        <w:rPr>
          <w:rFonts w:eastAsia="黑体" w:hint="eastAsia"/>
          <w:lang w:val="en-GB"/>
        </w:rPr>
        <w:t>号一般性建议，委员会建议缔约国：</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(a)</w:t>
      </w:r>
      <w:r w:rsidRPr="005F33A7">
        <w:rPr>
          <w:rFonts w:hint="eastAsia"/>
          <w:b/>
          <w:lang w:val="en-GB"/>
        </w:rPr>
        <w:tab/>
      </w:r>
      <w:r w:rsidRPr="005F33A7">
        <w:rPr>
          <w:rFonts w:eastAsia="黑体" w:hint="eastAsia"/>
          <w:lang w:val="en-GB"/>
        </w:rPr>
        <w:t>确保为保健服务划拨适当预算，并改进妇女获得优质保健和卫生相关服务的机会；</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(b)</w:t>
      </w:r>
      <w:r w:rsidRPr="005F33A7">
        <w:rPr>
          <w:rFonts w:hint="eastAsia"/>
          <w:lang w:val="en-GB"/>
        </w:rPr>
        <w:tab/>
      </w:r>
      <w:r w:rsidRPr="005F33A7">
        <w:rPr>
          <w:rFonts w:eastAsia="黑体" w:hint="eastAsia"/>
          <w:lang w:val="en-GB"/>
        </w:rPr>
        <w:t>确保其整个境内的妇女平等获得和接受乳腺</w:t>
      </w:r>
      <w:r w:rsidRPr="005F33A7">
        <w:rPr>
          <w:rFonts w:eastAsia="黑体" w:hint="eastAsia"/>
          <w:lang w:val="en-GB"/>
        </w:rPr>
        <w:t>X</w:t>
      </w:r>
      <w:r w:rsidRPr="005F33A7">
        <w:rPr>
          <w:rFonts w:eastAsia="黑体" w:hint="eastAsia"/>
          <w:lang w:val="en-GB"/>
        </w:rPr>
        <w:t>线照片和筛查服务；</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(c)</w:t>
      </w:r>
      <w:r w:rsidRPr="005F33A7">
        <w:rPr>
          <w:rFonts w:hint="eastAsia"/>
          <w:lang w:val="en-GB"/>
        </w:rPr>
        <w:tab/>
      </w:r>
      <w:r w:rsidRPr="005F33A7">
        <w:rPr>
          <w:rFonts w:eastAsia="黑体" w:hint="eastAsia"/>
          <w:lang w:val="en-GB"/>
        </w:rPr>
        <w:t>深化防治艾滋病毒的执行战略，特别是预防战略，继续向所有感染艾滋病毒的妇女提供免费的抗逆转录病毒治疗，以及进一步执行防止妇女酗酒和吸毒的各项战略；</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(d)</w:t>
      </w:r>
      <w:r w:rsidRPr="005F33A7">
        <w:rPr>
          <w:rFonts w:hint="eastAsia"/>
          <w:lang w:val="en-GB"/>
        </w:rPr>
        <w:tab/>
      </w:r>
      <w:r w:rsidRPr="005F33A7">
        <w:rPr>
          <w:rFonts w:eastAsia="黑体" w:hint="eastAsia"/>
          <w:lang w:val="en-GB"/>
        </w:rPr>
        <w:t>为妇女和女童提供有效获得保健信息和负担得起的服务的机会，特别是在生殖健康和避孕方法方面，收集分类数据，并为医疗和卫生专业人员，特别是农村地区的医疗和卫生专业人员提供培训。</w:t>
      </w:r>
    </w:p>
    <w:p w:rsidR="005F33A7" w:rsidRPr="005F33A7" w:rsidRDefault="005F33A7" w:rsidP="005F33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240" w:after="140"/>
        <w:ind w:left="1264" w:right="1259" w:hanging="1264"/>
        <w:jc w:val="left"/>
        <w:rPr>
          <w:rFonts w:eastAsia="黑体"/>
        </w:rPr>
      </w:pPr>
      <w:r w:rsidRPr="005F33A7">
        <w:rPr>
          <w:rFonts w:eastAsia="黑体"/>
        </w:rPr>
        <w:tab/>
      </w:r>
      <w:r w:rsidRPr="005F33A7">
        <w:rPr>
          <w:rFonts w:eastAsia="黑体"/>
        </w:rPr>
        <w:tab/>
      </w:r>
      <w:r w:rsidRPr="005F33A7">
        <w:rPr>
          <w:rFonts w:eastAsia="黑体" w:hint="eastAsia"/>
        </w:rPr>
        <w:t>农村妇女</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40.</w:t>
      </w:r>
      <w:r w:rsidRPr="005F33A7">
        <w:rPr>
          <w:lang w:val="en-GB"/>
        </w:rPr>
        <w:tab/>
      </w:r>
      <w:r w:rsidRPr="005F33A7">
        <w:rPr>
          <w:rFonts w:hint="eastAsia"/>
          <w:lang w:val="en-GB"/>
        </w:rPr>
        <w:t>委员会认识到已在农村地区采取新的权力下放战略，但对农村地区妇女处于不利地位表示关切，并感到遗憾的是，有关农村妇女境况的数据有限，缔约国未采取足够的措施解决农村妇女的贫困问题并充分确保她们获得司法救助、教育、保健服务、住房、正规就业、技能发展和培训机会、创收机会和小额信贷；</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rFonts w:hint="eastAsia"/>
          <w:lang w:val="en-GB"/>
        </w:rPr>
        <w:t xml:space="preserve">41.  </w:t>
      </w:r>
      <w:r w:rsidRPr="005F33A7">
        <w:rPr>
          <w:rFonts w:hint="eastAsia"/>
          <w:lang w:val="en-GB"/>
        </w:rPr>
        <w:t>委员会还感到关切的是，受冲突影响地区中农村妇女的境况岌岌可危，在这些环境中，农村妇女往往不堪重负，因为在受冲突影响地区，她们的生产力、生计和获得土地的权利经常受到侵犯，没有资料表明已采取任何举措旨在协助和支持受缔约国冲突影响的农村妇女，特别是女户主、单身妇女、寡妇、残疾妇女和少数族裔妇女。</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b/>
          <w:lang w:val="en-GB"/>
        </w:rPr>
        <w:t>4</w:t>
      </w:r>
      <w:r w:rsidRPr="005F33A7">
        <w:rPr>
          <w:rFonts w:hint="eastAsia"/>
          <w:b/>
          <w:lang w:val="en-GB"/>
        </w:rPr>
        <w:t>2</w:t>
      </w:r>
      <w:r w:rsidRPr="005F33A7">
        <w:rPr>
          <w:b/>
          <w:lang w:val="en-GB"/>
        </w:rPr>
        <w:t>.</w:t>
      </w:r>
      <w:r w:rsidRPr="005F33A7">
        <w:rPr>
          <w:b/>
          <w:lang w:val="en-GB"/>
        </w:rPr>
        <w:tab/>
      </w:r>
      <w:r w:rsidRPr="005F33A7">
        <w:rPr>
          <w:rFonts w:eastAsia="黑体" w:hint="eastAsia"/>
          <w:lang w:val="en-GB"/>
        </w:rPr>
        <w:t>委员会建议缔约国：</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(a)</w:t>
      </w:r>
      <w:r w:rsidRPr="005F33A7">
        <w:rPr>
          <w:rFonts w:hint="eastAsia"/>
          <w:lang w:val="en-GB"/>
        </w:rPr>
        <w:tab/>
      </w:r>
      <w:r w:rsidRPr="005F33A7">
        <w:rPr>
          <w:rFonts w:eastAsia="黑体" w:hint="eastAsia"/>
          <w:lang w:val="en-GB"/>
        </w:rPr>
        <w:t>按照关于农村妇女权利的第</w:t>
      </w:r>
      <w:r w:rsidRPr="005F33A7">
        <w:rPr>
          <w:rFonts w:eastAsia="黑体"/>
          <w:b/>
          <w:lang w:val="en-GB"/>
        </w:rPr>
        <w:t>34</w:t>
      </w:r>
      <w:r>
        <w:rPr>
          <w:rFonts w:eastAsia="黑体"/>
          <w:lang w:val="en-GB"/>
        </w:rPr>
        <w:t>(</w:t>
      </w:r>
      <w:r w:rsidRPr="005F33A7">
        <w:rPr>
          <w:rFonts w:eastAsia="黑体"/>
          <w:b/>
          <w:lang w:val="en-GB"/>
        </w:rPr>
        <w:t>2016</w:t>
      </w:r>
      <w:r>
        <w:rPr>
          <w:rFonts w:eastAsia="黑体"/>
          <w:lang w:val="en-GB"/>
        </w:rPr>
        <w:t>)</w:t>
      </w:r>
      <w:r w:rsidRPr="005F33A7">
        <w:rPr>
          <w:rFonts w:eastAsia="黑体" w:hint="eastAsia"/>
          <w:lang w:val="en-GB"/>
        </w:rPr>
        <w:t>号一般性建议，酌情寻求国际援助与合作，以改善农村地区基础设施，并制定消除农村妇女贫困的政策，确保她们获得司法救助、教育、住房、正规就业、技能发展和培训机会、创收机会和小额信贷以及土地所有权和使用权，同时考虑到她们的特殊需要；</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(b)</w:t>
      </w:r>
      <w:r w:rsidRPr="005F33A7">
        <w:rPr>
          <w:rFonts w:hint="eastAsia"/>
          <w:lang w:val="en-GB"/>
        </w:rPr>
        <w:tab/>
      </w:r>
      <w:r w:rsidRPr="005F33A7">
        <w:rPr>
          <w:rFonts w:eastAsia="黑体" w:hint="eastAsia"/>
          <w:lang w:val="en-GB"/>
        </w:rPr>
        <w:t>适当注意冲突对农村妇女的不利影响，确保其具体需要得到满足，确保她们平等获得基本服务、基础设施和新技术；</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(c)</w:t>
      </w:r>
      <w:r w:rsidRPr="005F33A7">
        <w:rPr>
          <w:rFonts w:hint="eastAsia"/>
          <w:lang w:val="en-GB"/>
        </w:rPr>
        <w:tab/>
      </w:r>
      <w:r w:rsidRPr="005F33A7">
        <w:rPr>
          <w:rFonts w:eastAsia="黑体" w:hint="eastAsia"/>
          <w:lang w:val="en-GB"/>
        </w:rPr>
        <w:t>研究促进农村发展的经济和社会战略对妇女人权的影响，改进农村妇女具体分类数据的收集工作；</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(d)</w:t>
      </w:r>
      <w:r w:rsidRPr="005F33A7">
        <w:rPr>
          <w:rFonts w:hint="eastAsia"/>
          <w:lang w:val="en-GB"/>
        </w:rPr>
        <w:tab/>
      </w:r>
      <w:r w:rsidRPr="005F33A7">
        <w:rPr>
          <w:rFonts w:eastAsia="黑体" w:hint="eastAsia"/>
          <w:lang w:val="en-GB"/>
        </w:rPr>
        <w:t>制定具体干预措施，利用各种机会增强农村妇女的经济权能，并确保她们参与制定这些战略和方案，重点关注作为受害者或受益人的妇女，以及积极参与制定和执行此类政策的妇女。</w:t>
      </w:r>
    </w:p>
    <w:p w:rsidR="005F33A7" w:rsidRPr="005F33A7" w:rsidRDefault="005F33A7" w:rsidP="005F33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240" w:after="140"/>
        <w:ind w:left="1264" w:right="1259" w:hanging="1264"/>
        <w:jc w:val="left"/>
        <w:rPr>
          <w:rFonts w:eastAsia="黑体"/>
        </w:rPr>
      </w:pPr>
      <w:r w:rsidRPr="005F33A7">
        <w:rPr>
          <w:rFonts w:eastAsia="黑体"/>
        </w:rPr>
        <w:tab/>
      </w:r>
      <w:r w:rsidRPr="005F33A7">
        <w:rPr>
          <w:rFonts w:eastAsia="黑体"/>
        </w:rPr>
        <w:tab/>
      </w:r>
      <w:r w:rsidRPr="005F33A7">
        <w:rPr>
          <w:rFonts w:eastAsia="黑体" w:hint="eastAsia"/>
        </w:rPr>
        <w:t>残疾妇女和老年妇女</w:t>
      </w:r>
      <w:r w:rsidRPr="005F33A7">
        <w:rPr>
          <w:rFonts w:eastAsia="黑体"/>
        </w:rPr>
        <w:t xml:space="preserve"> </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4</w:t>
      </w:r>
      <w:r w:rsidRPr="005F33A7">
        <w:rPr>
          <w:rFonts w:hint="eastAsia"/>
          <w:lang w:val="en-GB"/>
        </w:rPr>
        <w:t>3</w:t>
      </w:r>
      <w:r w:rsidRPr="005F33A7">
        <w:rPr>
          <w:lang w:val="en-GB"/>
        </w:rPr>
        <w:t>.</w:t>
      </w:r>
      <w:r w:rsidRPr="005F33A7">
        <w:rPr>
          <w:lang w:val="en-GB"/>
        </w:rPr>
        <w:tab/>
      </w:r>
      <w:r w:rsidRPr="005F33A7">
        <w:rPr>
          <w:rFonts w:hint="eastAsia"/>
          <w:lang w:val="en-GB"/>
        </w:rPr>
        <w:t>委员会感到关切的是，没有公共政策和措施保护残疾妇女和女童权利，包括其享有全纳教育、保健、就业、住房以及参与政治和公共生活的权利，也没有各种机制来保护残疾妇女和女童免受交叉形式的歧视、暴力和虐待的侵害。委员会还感到关切的是，在仅有被监护人同意但没有本人自由和知情同意的情况下，据称被强迫绝育的妇女被认定为无法律行为能力。委员会还对老年妇女的境况及其无法获得保健以及保护她们免受暴力侵害和虐待感到关切。</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b/>
          <w:lang w:val="en-GB"/>
        </w:rPr>
        <w:t>4</w:t>
      </w:r>
      <w:r w:rsidRPr="005F33A7">
        <w:rPr>
          <w:rFonts w:hint="eastAsia"/>
          <w:b/>
          <w:lang w:val="en-GB"/>
        </w:rPr>
        <w:t>4</w:t>
      </w:r>
      <w:r w:rsidRPr="005F33A7">
        <w:rPr>
          <w:b/>
          <w:lang w:val="en-GB"/>
        </w:rPr>
        <w:t>.</w:t>
      </w:r>
      <w:r w:rsidRPr="005F33A7">
        <w:rPr>
          <w:lang w:val="en-GB"/>
        </w:rPr>
        <w:tab/>
      </w:r>
      <w:r w:rsidRPr="005F33A7">
        <w:rPr>
          <w:rFonts w:eastAsia="黑体" w:hint="eastAsia"/>
          <w:lang w:val="en-GB"/>
        </w:rPr>
        <w:t>委员会建议缔约国：</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(a)</w:t>
      </w:r>
      <w:r w:rsidRPr="005F33A7">
        <w:rPr>
          <w:rFonts w:hint="eastAsia"/>
          <w:lang w:val="en-GB"/>
        </w:rPr>
        <w:tab/>
      </w:r>
      <w:r w:rsidRPr="005F33A7">
        <w:rPr>
          <w:rFonts w:eastAsia="黑体" w:hint="eastAsia"/>
          <w:lang w:val="en-GB"/>
        </w:rPr>
        <w:t>采取综合政策和方案，保护残疾妇女和女童及老年妇女的权利，特别是面临交叉形式歧视的妇女和女童的权利，确保她们平等获得教育、就业、住房、保健和其他基本服务及社会保护，以及促进她们的自主权，获得社区服务以及参与政治和公共生活；</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b/>
          <w:lang w:val="en-GB"/>
        </w:rPr>
        <w:tab/>
        <w:t>(b)</w:t>
      </w:r>
      <w:r w:rsidRPr="005F33A7">
        <w:rPr>
          <w:rFonts w:hint="eastAsia"/>
          <w:lang w:val="en-GB"/>
        </w:rPr>
        <w:tab/>
      </w:r>
      <w:r w:rsidRPr="005F33A7">
        <w:rPr>
          <w:rFonts w:eastAsia="黑体" w:hint="eastAsia"/>
          <w:lang w:val="en-GB"/>
        </w:rPr>
        <w:t>废除在没有残疾妇女自由和知情同意情况下强迫绝育的做法，并为强迫绝育的受害者提供补救。</w:t>
      </w:r>
    </w:p>
    <w:p w:rsidR="005F33A7" w:rsidRPr="005F33A7" w:rsidRDefault="005F33A7" w:rsidP="005F33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240" w:after="140"/>
        <w:ind w:left="1264" w:right="1259" w:hanging="1264"/>
        <w:jc w:val="left"/>
        <w:rPr>
          <w:rFonts w:eastAsia="黑体"/>
        </w:rPr>
      </w:pPr>
      <w:r w:rsidRPr="005F33A7">
        <w:rPr>
          <w:rFonts w:eastAsia="黑体"/>
        </w:rPr>
        <w:tab/>
      </w:r>
      <w:r w:rsidRPr="005F33A7">
        <w:rPr>
          <w:rFonts w:eastAsia="黑体"/>
        </w:rPr>
        <w:tab/>
      </w:r>
      <w:r w:rsidRPr="005F33A7">
        <w:rPr>
          <w:rFonts w:eastAsia="黑体" w:hint="eastAsia"/>
        </w:rPr>
        <w:t>同性恋、双性恋和跨性别妇女</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4</w:t>
      </w:r>
      <w:r w:rsidRPr="005F33A7">
        <w:rPr>
          <w:rFonts w:hint="eastAsia"/>
          <w:lang w:val="en-GB"/>
        </w:rPr>
        <w:t>5</w:t>
      </w:r>
      <w:r w:rsidRPr="005F33A7">
        <w:rPr>
          <w:lang w:val="en-GB"/>
        </w:rPr>
        <w:t>.</w:t>
      </w:r>
      <w:r w:rsidRPr="005F33A7">
        <w:rPr>
          <w:lang w:val="en-GB"/>
        </w:rPr>
        <w:tab/>
      </w:r>
      <w:r w:rsidRPr="005F33A7">
        <w:rPr>
          <w:rFonts w:hint="eastAsia"/>
          <w:lang w:val="en-GB"/>
        </w:rPr>
        <w:t>委员会感到关切的是，有报道称，存在着基于消极陈规定型观念对同性恋、双性恋和跨性别妇女歧视、骚扰和仇恨言论现象，并且没有为遭受暴力侵害的同性恋、双性恋和跨性别妇女提供收容。委员会还感到关切的是，对同性恋、双性恋和跨性别妇女可获得的保健服务和权利缺乏了解，以及没有针对她们的需要对医务人员进行培训。</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b/>
          <w:lang w:val="en-GB"/>
        </w:rPr>
        <w:t>4</w:t>
      </w:r>
      <w:r w:rsidRPr="005F33A7">
        <w:rPr>
          <w:rFonts w:hint="eastAsia"/>
          <w:b/>
          <w:lang w:val="en-GB"/>
        </w:rPr>
        <w:t>6</w:t>
      </w:r>
      <w:r w:rsidRPr="005F33A7">
        <w:rPr>
          <w:b/>
          <w:lang w:val="en-GB"/>
        </w:rPr>
        <w:t>.</w:t>
      </w:r>
      <w:r w:rsidRPr="005F33A7">
        <w:rPr>
          <w:lang w:val="en-GB"/>
        </w:rPr>
        <w:tab/>
      </w:r>
      <w:r w:rsidRPr="005F33A7">
        <w:rPr>
          <w:rFonts w:eastAsia="黑体" w:hint="eastAsia"/>
          <w:lang w:val="en-GB"/>
        </w:rPr>
        <w:t>委员会建议缔约国为同性恋、双性恋和跨性别妇女提供必要的保护，使免遭歧视和暴力侵害，特别是通过采取反歧视立法和修订禁止交叉形式歧视的现行歧视性法律，为遭受暴力侵害的同性恋、双性恋和跨性别妇女提供收容，以及向医务人员、警察和执法人员提供培训。</w:t>
      </w:r>
    </w:p>
    <w:p w:rsidR="005F33A7" w:rsidRPr="005F33A7" w:rsidRDefault="005F33A7" w:rsidP="005F33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240" w:after="140"/>
        <w:ind w:left="1264" w:right="1259" w:hanging="1264"/>
        <w:jc w:val="left"/>
        <w:rPr>
          <w:rFonts w:eastAsia="黑体"/>
        </w:rPr>
      </w:pPr>
      <w:r w:rsidRPr="005F33A7">
        <w:rPr>
          <w:rFonts w:eastAsia="黑体"/>
        </w:rPr>
        <w:tab/>
      </w:r>
      <w:r w:rsidRPr="005F33A7">
        <w:rPr>
          <w:rFonts w:eastAsia="黑体"/>
        </w:rPr>
        <w:tab/>
      </w:r>
      <w:r w:rsidRPr="005F33A7">
        <w:rPr>
          <w:rFonts w:eastAsia="黑体" w:hint="eastAsia"/>
        </w:rPr>
        <w:t>婚姻和家庭关系</w:t>
      </w:r>
      <w:r w:rsidRPr="005F33A7">
        <w:rPr>
          <w:rFonts w:eastAsia="黑体"/>
        </w:rPr>
        <w:t xml:space="preserve"> </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4</w:t>
      </w:r>
      <w:r w:rsidRPr="005F33A7">
        <w:rPr>
          <w:rFonts w:hint="eastAsia"/>
          <w:lang w:val="en-GB"/>
        </w:rPr>
        <w:t>7</w:t>
      </w:r>
      <w:r w:rsidRPr="005F33A7">
        <w:rPr>
          <w:lang w:val="en-GB"/>
        </w:rPr>
        <w:t>.</w:t>
      </w:r>
      <w:r w:rsidRPr="005F33A7">
        <w:rPr>
          <w:lang w:val="en-GB"/>
        </w:rPr>
        <w:tab/>
      </w:r>
      <w:r w:rsidRPr="005F33A7">
        <w:rPr>
          <w:rFonts w:hint="eastAsia"/>
          <w:lang w:val="en-GB"/>
        </w:rPr>
        <w:t>委员会赞赏地注意到，缔约国将女童的最低结婚年龄提高到</w:t>
      </w:r>
      <w:r w:rsidRPr="005F33A7">
        <w:rPr>
          <w:rFonts w:hint="eastAsia"/>
          <w:lang w:val="en-GB"/>
        </w:rPr>
        <w:t>18</w:t>
      </w:r>
      <w:r w:rsidRPr="005F33A7">
        <w:rPr>
          <w:rFonts w:hint="eastAsia"/>
          <w:lang w:val="en-GB"/>
        </w:rPr>
        <w:t>岁，但感到关切的是，不满</w:t>
      </w:r>
      <w:r w:rsidRPr="005F33A7">
        <w:rPr>
          <w:rFonts w:hint="eastAsia"/>
          <w:lang w:val="en-GB"/>
        </w:rPr>
        <w:t>18</w:t>
      </w:r>
      <w:r w:rsidRPr="005F33A7">
        <w:rPr>
          <w:rFonts w:hint="eastAsia"/>
          <w:lang w:val="en-GB"/>
        </w:rPr>
        <w:t>岁就结婚的习俗在罗姆人社区仍然存在。委员会还感到关切的是，即使在家庭暴力的情况下，法官也经常诉诸调解。委员会进一步感到关切的是，法院在对儿童监护权和探视权做出裁决时，未考虑到家庭环境中对妇女的性别暴力行为。</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b/>
          <w:lang w:val="en-GB"/>
        </w:rPr>
        <w:t>4</w:t>
      </w:r>
      <w:r w:rsidRPr="005F33A7">
        <w:rPr>
          <w:rFonts w:hint="eastAsia"/>
          <w:b/>
          <w:lang w:val="en-GB"/>
        </w:rPr>
        <w:t>8</w:t>
      </w:r>
      <w:r w:rsidRPr="005F33A7">
        <w:rPr>
          <w:b/>
          <w:lang w:val="en-GB"/>
        </w:rPr>
        <w:t>.</w:t>
      </w:r>
      <w:r w:rsidRPr="005F33A7">
        <w:rPr>
          <w:lang w:val="en-GB"/>
        </w:rPr>
        <w:tab/>
      </w:r>
      <w:r w:rsidRPr="005F33A7">
        <w:rPr>
          <w:rFonts w:eastAsia="黑体" w:hint="eastAsia"/>
          <w:lang w:val="en-GB"/>
        </w:rPr>
        <w:t>委员会建议缔约国：</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(a)</w:t>
      </w:r>
      <w:r w:rsidRPr="005F33A7">
        <w:rPr>
          <w:rFonts w:hint="eastAsia"/>
          <w:lang w:val="en-GB"/>
        </w:rPr>
        <w:tab/>
      </w:r>
      <w:r w:rsidRPr="005F33A7">
        <w:rPr>
          <w:rFonts w:eastAsia="黑体" w:hint="eastAsia"/>
          <w:lang w:val="en-GB"/>
        </w:rPr>
        <w:t>严格执行最低结婚年龄</w:t>
      </w:r>
      <w:r>
        <w:rPr>
          <w:rFonts w:eastAsia="黑体" w:hint="eastAsia"/>
          <w:lang w:val="en-GB"/>
        </w:rPr>
        <w:t>(</w:t>
      </w:r>
      <w:r w:rsidRPr="005F33A7">
        <w:rPr>
          <w:rFonts w:eastAsia="黑体" w:hint="eastAsia"/>
          <w:b/>
          <w:lang w:val="en-GB"/>
        </w:rPr>
        <w:t>18</w:t>
      </w:r>
      <w:r w:rsidRPr="005F33A7">
        <w:rPr>
          <w:rFonts w:eastAsia="黑体" w:hint="eastAsia"/>
          <w:lang w:val="en-GB"/>
        </w:rPr>
        <w:t>岁</w:t>
      </w:r>
      <w:r>
        <w:rPr>
          <w:rFonts w:eastAsia="黑体" w:hint="eastAsia"/>
          <w:lang w:val="en-GB"/>
        </w:rPr>
        <w:t>)</w:t>
      </w:r>
      <w:r w:rsidRPr="005F33A7">
        <w:rPr>
          <w:rFonts w:eastAsia="黑体" w:hint="eastAsia"/>
          <w:lang w:val="en-GB"/>
        </w:rPr>
        <w:t>；</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ab/>
      </w:r>
      <w:r w:rsidRPr="005F33A7">
        <w:rPr>
          <w:b/>
          <w:lang w:val="en-GB"/>
        </w:rPr>
        <w:t>(b)</w:t>
      </w:r>
      <w:r w:rsidRPr="005F33A7">
        <w:rPr>
          <w:rFonts w:hint="eastAsia"/>
          <w:lang w:val="en-GB"/>
        </w:rPr>
        <w:tab/>
      </w:r>
      <w:r w:rsidRPr="005F33A7">
        <w:rPr>
          <w:rFonts w:eastAsia="黑体" w:hint="eastAsia"/>
          <w:lang w:val="en-GB"/>
        </w:rPr>
        <w:t>确保不会在家庭暴力情况中进行调解；</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lang w:val="en-GB"/>
        </w:rPr>
        <w:tab/>
      </w:r>
      <w:r w:rsidRPr="005F33A7">
        <w:rPr>
          <w:b/>
          <w:lang w:val="en-GB"/>
        </w:rPr>
        <w:t>(c)</w:t>
      </w:r>
      <w:r w:rsidRPr="005F33A7">
        <w:rPr>
          <w:rFonts w:hint="eastAsia"/>
          <w:lang w:val="en-GB"/>
        </w:rPr>
        <w:tab/>
      </w:r>
      <w:r w:rsidRPr="005F33A7">
        <w:rPr>
          <w:rFonts w:eastAsia="黑体" w:hint="eastAsia"/>
          <w:lang w:val="en-GB"/>
        </w:rPr>
        <w:t>通过立法要求在儿童监护或探视裁决中考虑到在家庭环境中针对妇女的性别暴力行为，并提高司法机关对此类暴力与儿童发展之间的关系的认识。</w:t>
      </w:r>
    </w:p>
    <w:p w:rsidR="005F33A7" w:rsidRPr="005F33A7" w:rsidRDefault="005F33A7" w:rsidP="005F33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240" w:after="140"/>
        <w:ind w:left="1264" w:right="1259" w:hanging="1264"/>
        <w:jc w:val="left"/>
        <w:rPr>
          <w:rFonts w:eastAsia="黑体"/>
        </w:rPr>
      </w:pPr>
      <w:r w:rsidRPr="005F33A7">
        <w:rPr>
          <w:rFonts w:eastAsia="黑体"/>
        </w:rPr>
        <w:tab/>
      </w:r>
      <w:r w:rsidRPr="005F33A7">
        <w:rPr>
          <w:rFonts w:eastAsia="黑体"/>
        </w:rPr>
        <w:tab/>
      </w:r>
      <w:r w:rsidRPr="005F33A7">
        <w:rPr>
          <w:rFonts w:eastAsia="黑体" w:hint="eastAsia"/>
        </w:rPr>
        <w:t>数据收集</w:t>
      </w:r>
      <w:r w:rsidRPr="005F33A7">
        <w:rPr>
          <w:rFonts w:eastAsia="黑体"/>
        </w:rPr>
        <w:t xml:space="preserve"> </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lang w:val="en-GB"/>
        </w:rPr>
        <w:t>4</w:t>
      </w:r>
      <w:r w:rsidRPr="005F33A7">
        <w:rPr>
          <w:rFonts w:hint="eastAsia"/>
          <w:lang w:val="en-GB"/>
        </w:rPr>
        <w:t>9</w:t>
      </w:r>
      <w:r w:rsidRPr="005F33A7">
        <w:rPr>
          <w:lang w:val="en-GB"/>
        </w:rPr>
        <w:t>.</w:t>
      </w:r>
      <w:r w:rsidRPr="005F33A7">
        <w:rPr>
          <w:lang w:val="en-GB"/>
        </w:rPr>
        <w:tab/>
      </w:r>
      <w:r w:rsidRPr="005F33A7">
        <w:rPr>
          <w:rFonts w:hint="eastAsia"/>
          <w:lang w:val="en-GB"/>
        </w:rPr>
        <w:t>委员会感到关切的是，普遍缺乏按性别、年龄、族裔、残疾情况、地理位置和社会经济背景分列的最新统计数据，这些数据是准确评估妇女状况所必需的，以确定她们是否遭受歧视，以便做出知情和有针对性的决策，并系统监测和评估在《公约》所涉各领域实现妇女实质性平等方面取得的进展。</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sz w:val="10"/>
          <w:lang w:val="en-GB"/>
        </w:rPr>
      </w:pPr>
      <w:r w:rsidRPr="005F33A7">
        <w:rPr>
          <w:rFonts w:hint="eastAsia"/>
          <w:b/>
          <w:lang w:val="en-GB"/>
        </w:rPr>
        <w:t>50</w:t>
      </w:r>
      <w:r w:rsidRPr="005F33A7">
        <w:rPr>
          <w:b/>
          <w:lang w:val="en-GB"/>
        </w:rPr>
        <w:t>.</w:t>
      </w:r>
      <w:r w:rsidRPr="005F33A7">
        <w:rPr>
          <w:b/>
          <w:lang w:val="en-GB"/>
        </w:rPr>
        <w:tab/>
      </w:r>
      <w:r w:rsidRPr="005F33A7">
        <w:rPr>
          <w:rFonts w:eastAsia="黑体" w:hint="eastAsia"/>
          <w:lang w:val="en-GB"/>
        </w:rPr>
        <w:t>委员会呼吁缔约国制定一个性别指标体系，改进按性别和其他相关因素分列的必要数据的收集工作，以评估旨在将性别平等纳入主流并增进妇女享有其人权的政策和方案的影响和效力。在这方面，委员会提请缔约国注意其关于妇女境况的统计数据的第</w:t>
      </w:r>
      <w:r w:rsidRPr="005F33A7">
        <w:rPr>
          <w:rFonts w:eastAsia="黑体"/>
          <w:b/>
          <w:lang w:val="en-GB"/>
        </w:rPr>
        <w:t>9</w:t>
      </w:r>
      <w:r>
        <w:rPr>
          <w:rFonts w:eastAsia="黑体"/>
          <w:lang w:val="en-GB"/>
        </w:rPr>
        <w:t>(</w:t>
      </w:r>
      <w:r w:rsidRPr="005F33A7">
        <w:rPr>
          <w:rFonts w:eastAsia="黑体"/>
          <w:b/>
          <w:lang w:val="en-GB"/>
        </w:rPr>
        <w:t>1989</w:t>
      </w:r>
      <w:r>
        <w:rPr>
          <w:rFonts w:eastAsia="黑体"/>
          <w:lang w:val="en-GB"/>
        </w:rPr>
        <w:t>)</w:t>
      </w:r>
      <w:r w:rsidRPr="005F33A7">
        <w:rPr>
          <w:rFonts w:eastAsia="黑体" w:hint="eastAsia"/>
          <w:lang w:val="en-GB"/>
        </w:rPr>
        <w:t>号一般性建议，鼓励缔约国向联合国有关机构寻求技术援助，并加强其与可协助收集准确数据的妇女协会开展合作。</w:t>
      </w:r>
    </w:p>
    <w:p w:rsidR="005F33A7" w:rsidRPr="005F33A7" w:rsidRDefault="005F33A7" w:rsidP="005F33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4" w:right="1259" w:hanging="1264"/>
        <w:jc w:val="left"/>
        <w:rPr>
          <w:rFonts w:eastAsia="黑体"/>
        </w:rPr>
      </w:pPr>
      <w:r w:rsidRPr="005F33A7">
        <w:rPr>
          <w:rFonts w:eastAsia="黑体"/>
        </w:rPr>
        <w:tab/>
      </w:r>
      <w:r w:rsidRPr="005F33A7">
        <w:rPr>
          <w:rFonts w:eastAsia="黑体"/>
        </w:rPr>
        <w:tab/>
      </w:r>
      <w:r w:rsidRPr="005F33A7">
        <w:rPr>
          <w:rFonts w:eastAsia="黑体" w:hint="eastAsia"/>
        </w:rPr>
        <w:t>《北京宣言》和《行动纲要》</w:t>
      </w:r>
      <w:r w:rsidRPr="005F33A7">
        <w:rPr>
          <w:rFonts w:eastAsia="黑体"/>
        </w:rPr>
        <w:t xml:space="preserve"> </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b/>
          <w:lang w:val="en-GB"/>
        </w:rPr>
        <w:t>5</w:t>
      </w:r>
      <w:r w:rsidRPr="005F33A7">
        <w:rPr>
          <w:rFonts w:hint="eastAsia"/>
          <w:b/>
          <w:lang w:val="en-GB"/>
        </w:rPr>
        <w:t>1</w:t>
      </w:r>
      <w:r w:rsidRPr="005F33A7">
        <w:rPr>
          <w:b/>
          <w:lang w:val="en-GB"/>
        </w:rPr>
        <w:t>.</w:t>
      </w:r>
      <w:r w:rsidRPr="005F33A7">
        <w:rPr>
          <w:b/>
          <w:lang w:val="en-GB"/>
        </w:rPr>
        <w:tab/>
      </w:r>
      <w:r w:rsidRPr="005F33A7">
        <w:rPr>
          <w:rFonts w:eastAsia="黑体" w:hint="eastAsia"/>
          <w:lang w:val="en-GB"/>
        </w:rPr>
        <w:t>委员会吁请缔约国在执行</w:t>
      </w:r>
      <w:r w:rsidRPr="005F33A7">
        <w:rPr>
          <w:rFonts w:eastAsia="黑体"/>
          <w:lang w:val="en-GB"/>
        </w:rPr>
        <w:t>《公约》</w:t>
      </w:r>
      <w:r w:rsidRPr="005F33A7">
        <w:rPr>
          <w:rFonts w:eastAsia="黑体" w:hint="eastAsia"/>
          <w:lang w:val="en-GB"/>
        </w:rPr>
        <w:t>条款的努力中运</w:t>
      </w:r>
      <w:r w:rsidRPr="005F33A7">
        <w:rPr>
          <w:rFonts w:eastAsia="黑体"/>
          <w:lang w:val="en-GB"/>
        </w:rPr>
        <w:t>用《北京宣言</w:t>
      </w:r>
      <w:r w:rsidRPr="005F33A7">
        <w:rPr>
          <w:rFonts w:eastAsia="黑体" w:hint="eastAsia"/>
          <w:lang w:val="en-GB"/>
        </w:rPr>
        <w:t>》</w:t>
      </w:r>
      <w:r w:rsidRPr="005F33A7">
        <w:rPr>
          <w:rFonts w:eastAsia="黑体"/>
          <w:lang w:val="en-GB"/>
        </w:rPr>
        <w:t>和</w:t>
      </w:r>
      <w:r w:rsidRPr="005F33A7">
        <w:rPr>
          <w:rFonts w:eastAsia="黑体" w:hint="eastAsia"/>
          <w:lang w:val="en-GB"/>
        </w:rPr>
        <w:t>《</w:t>
      </w:r>
      <w:r w:rsidRPr="005F33A7">
        <w:rPr>
          <w:rFonts w:eastAsia="黑体"/>
          <w:lang w:val="en-GB"/>
        </w:rPr>
        <w:t>行动纲要》</w:t>
      </w:r>
      <w:r w:rsidRPr="005F33A7">
        <w:rPr>
          <w:rFonts w:eastAsia="黑体" w:hint="eastAsia"/>
          <w:lang w:val="en-GB"/>
        </w:rPr>
        <w:t>。</w:t>
      </w:r>
    </w:p>
    <w:p w:rsidR="005F33A7" w:rsidRPr="005F33A7" w:rsidRDefault="005F33A7" w:rsidP="005F33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4" w:right="1259" w:hanging="1264"/>
        <w:jc w:val="left"/>
        <w:rPr>
          <w:rFonts w:eastAsia="黑体"/>
        </w:rPr>
      </w:pPr>
      <w:r w:rsidRPr="005F33A7">
        <w:rPr>
          <w:rFonts w:eastAsia="黑体"/>
        </w:rPr>
        <w:tab/>
      </w:r>
      <w:r w:rsidRPr="005F33A7">
        <w:rPr>
          <w:rFonts w:eastAsia="黑体"/>
        </w:rPr>
        <w:tab/>
      </w:r>
      <w:r w:rsidRPr="005F33A7">
        <w:rPr>
          <w:rFonts w:eastAsia="黑体" w:hint="eastAsia"/>
        </w:rPr>
        <w:t>《</w:t>
      </w:r>
      <w:r w:rsidRPr="005F33A7">
        <w:rPr>
          <w:rFonts w:eastAsia="黑体" w:hint="eastAsia"/>
          <w:b/>
        </w:rPr>
        <w:t>2030</w:t>
      </w:r>
      <w:r w:rsidRPr="005F33A7">
        <w:rPr>
          <w:rFonts w:eastAsia="黑体" w:hint="eastAsia"/>
        </w:rPr>
        <w:t>年可持续发展议程》</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b/>
          <w:lang w:val="en-GB"/>
        </w:rPr>
        <w:t>5</w:t>
      </w:r>
      <w:r w:rsidRPr="005F33A7">
        <w:rPr>
          <w:rFonts w:hint="eastAsia"/>
          <w:b/>
          <w:lang w:val="en-GB"/>
        </w:rPr>
        <w:t>2</w:t>
      </w:r>
      <w:r w:rsidRPr="005F33A7">
        <w:rPr>
          <w:b/>
          <w:lang w:val="en-GB"/>
        </w:rPr>
        <w:t>.</w:t>
      </w:r>
      <w:r w:rsidRPr="005F33A7">
        <w:rPr>
          <w:lang w:val="en-GB"/>
        </w:rPr>
        <w:tab/>
      </w:r>
      <w:r w:rsidRPr="005F33A7">
        <w:rPr>
          <w:rFonts w:eastAsia="黑体" w:hint="eastAsia"/>
          <w:lang w:val="en-GB"/>
        </w:rPr>
        <w:t>委员会呼吁在执行《</w:t>
      </w:r>
      <w:r w:rsidRPr="005F33A7">
        <w:rPr>
          <w:rFonts w:eastAsia="黑体" w:hint="eastAsia"/>
          <w:b/>
          <w:lang w:val="en-GB"/>
        </w:rPr>
        <w:t>2030</w:t>
      </w:r>
      <w:r w:rsidRPr="005F33A7">
        <w:rPr>
          <w:rFonts w:eastAsia="黑体" w:hint="eastAsia"/>
          <w:lang w:val="en-GB"/>
        </w:rPr>
        <w:t>年可持续发展议程》的过程中，根据《公约》条款实现实质性性别平等。</w:t>
      </w:r>
    </w:p>
    <w:p w:rsidR="005F33A7" w:rsidRPr="005F33A7" w:rsidRDefault="005F33A7" w:rsidP="005F33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4" w:right="1259" w:hanging="1264"/>
        <w:jc w:val="left"/>
        <w:rPr>
          <w:rFonts w:eastAsia="黑体"/>
        </w:rPr>
      </w:pPr>
      <w:r w:rsidRPr="005F33A7">
        <w:rPr>
          <w:rFonts w:eastAsia="黑体"/>
        </w:rPr>
        <w:tab/>
      </w:r>
      <w:r w:rsidRPr="005F33A7">
        <w:rPr>
          <w:rFonts w:eastAsia="黑体"/>
        </w:rPr>
        <w:tab/>
      </w:r>
      <w:r w:rsidRPr="005F33A7">
        <w:rPr>
          <w:rFonts w:eastAsia="黑体" w:hint="eastAsia"/>
        </w:rPr>
        <w:t>传播</w:t>
      </w:r>
      <w:r w:rsidRPr="005F33A7">
        <w:rPr>
          <w:rFonts w:eastAsia="黑体"/>
        </w:rPr>
        <w:t xml:space="preserve"> </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b/>
          <w:lang w:val="en-GB"/>
        </w:rPr>
        <w:t>5</w:t>
      </w:r>
      <w:r w:rsidRPr="005F33A7">
        <w:rPr>
          <w:rFonts w:hint="eastAsia"/>
          <w:b/>
          <w:lang w:val="en-GB"/>
        </w:rPr>
        <w:t>3</w:t>
      </w:r>
      <w:r w:rsidRPr="005F33A7">
        <w:rPr>
          <w:b/>
          <w:lang w:val="en-GB"/>
        </w:rPr>
        <w:t>.</w:t>
      </w:r>
      <w:r w:rsidRPr="005F33A7">
        <w:rPr>
          <w:lang w:val="en-GB"/>
        </w:rPr>
        <w:tab/>
      </w:r>
      <w:r w:rsidRPr="005F33A7">
        <w:rPr>
          <w:rFonts w:eastAsia="黑体" w:hint="eastAsia"/>
          <w:lang w:val="en-GB"/>
        </w:rPr>
        <w:t>委员会请缔约国确保以缔约国官方语文向其相关</w:t>
      </w:r>
      <w:r w:rsidRPr="005F33A7">
        <w:rPr>
          <w:rFonts w:eastAsia="黑体"/>
          <w:lang w:val="en-GB"/>
        </w:rPr>
        <w:t>各级</w:t>
      </w:r>
      <w:r>
        <w:rPr>
          <w:rFonts w:eastAsia="黑体" w:hint="eastAsia"/>
          <w:lang w:val="en-GB"/>
        </w:rPr>
        <w:t>(</w:t>
      </w:r>
      <w:r w:rsidRPr="005F33A7">
        <w:rPr>
          <w:rFonts w:eastAsia="黑体"/>
          <w:lang w:val="en-GB"/>
        </w:rPr>
        <w:t>国家、区域和地方</w:t>
      </w:r>
      <w:r>
        <w:rPr>
          <w:rFonts w:eastAsia="黑体" w:hint="eastAsia"/>
          <w:lang w:val="en-GB"/>
        </w:rPr>
        <w:t>)</w:t>
      </w:r>
      <w:r w:rsidRPr="005F33A7">
        <w:rPr>
          <w:rFonts w:eastAsia="黑体"/>
          <w:lang w:val="en-GB"/>
        </w:rPr>
        <w:t>国家机构</w:t>
      </w:r>
      <w:r w:rsidRPr="005F33A7">
        <w:rPr>
          <w:rFonts w:eastAsia="黑体" w:hint="eastAsia"/>
          <w:lang w:val="en-GB"/>
        </w:rPr>
        <w:t>及时传播</w:t>
      </w:r>
      <w:r w:rsidRPr="005F33A7">
        <w:rPr>
          <w:rFonts w:eastAsia="黑体"/>
          <w:lang w:val="en-GB"/>
        </w:rPr>
        <w:t>本结论</w:t>
      </w:r>
      <w:r w:rsidRPr="005F33A7">
        <w:rPr>
          <w:rFonts w:eastAsia="黑体" w:hint="eastAsia"/>
          <w:lang w:val="en-GB"/>
        </w:rPr>
        <w:t>性</w:t>
      </w:r>
      <w:r w:rsidRPr="005F33A7">
        <w:rPr>
          <w:rFonts w:eastAsia="黑体"/>
          <w:lang w:val="en-GB"/>
        </w:rPr>
        <w:t>意见，</w:t>
      </w:r>
      <w:r w:rsidRPr="005F33A7">
        <w:rPr>
          <w:rFonts w:eastAsia="黑体" w:hint="eastAsia"/>
          <w:lang w:val="en-GB"/>
        </w:rPr>
        <w:t>尤其</w:t>
      </w:r>
      <w:r w:rsidRPr="005F33A7">
        <w:rPr>
          <w:rFonts w:eastAsia="黑体"/>
          <w:lang w:val="en-GB"/>
        </w:rPr>
        <w:t>是政府、</w:t>
      </w:r>
      <w:r w:rsidRPr="005F33A7">
        <w:rPr>
          <w:rFonts w:eastAsia="黑体" w:hint="eastAsia"/>
          <w:lang w:val="en-GB"/>
        </w:rPr>
        <w:t>各</w:t>
      </w:r>
      <w:r w:rsidRPr="005F33A7">
        <w:rPr>
          <w:rFonts w:eastAsia="黑体"/>
          <w:lang w:val="en-GB"/>
        </w:rPr>
        <w:t>部委、</w:t>
      </w:r>
      <w:r w:rsidRPr="005F33A7">
        <w:rPr>
          <w:rFonts w:eastAsia="黑体" w:hint="eastAsia"/>
          <w:lang w:val="en-GB"/>
        </w:rPr>
        <w:t>最高拉达</w:t>
      </w:r>
      <w:r w:rsidRPr="005F33A7">
        <w:rPr>
          <w:rFonts w:eastAsia="黑体"/>
          <w:lang w:val="en-GB"/>
        </w:rPr>
        <w:t>和司法</w:t>
      </w:r>
      <w:r w:rsidRPr="005F33A7">
        <w:rPr>
          <w:rFonts w:eastAsia="黑体" w:hint="eastAsia"/>
          <w:lang w:val="en-GB"/>
        </w:rPr>
        <w:t>部门</w:t>
      </w:r>
      <w:r w:rsidRPr="005F33A7">
        <w:rPr>
          <w:rFonts w:eastAsia="黑体"/>
          <w:lang w:val="en-GB"/>
        </w:rPr>
        <w:t>，</w:t>
      </w:r>
      <w:r w:rsidRPr="005F33A7">
        <w:rPr>
          <w:rFonts w:eastAsia="黑体" w:hint="eastAsia"/>
          <w:lang w:val="en-GB"/>
        </w:rPr>
        <w:t>以</w:t>
      </w:r>
      <w:r w:rsidRPr="005F33A7">
        <w:rPr>
          <w:rFonts w:eastAsia="黑体"/>
          <w:lang w:val="en-GB"/>
        </w:rPr>
        <w:t>使结论</w:t>
      </w:r>
      <w:r w:rsidRPr="005F33A7">
        <w:rPr>
          <w:rFonts w:eastAsia="黑体" w:hint="eastAsia"/>
          <w:lang w:val="en-GB"/>
        </w:rPr>
        <w:t>性</w:t>
      </w:r>
      <w:r w:rsidRPr="005F33A7">
        <w:rPr>
          <w:rFonts w:eastAsia="黑体"/>
          <w:lang w:val="en-GB"/>
        </w:rPr>
        <w:t>意见得到充分落实。</w:t>
      </w:r>
    </w:p>
    <w:p w:rsidR="005F33A7" w:rsidRPr="005F33A7" w:rsidRDefault="005F33A7" w:rsidP="005F33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4" w:right="1259" w:hanging="1264"/>
        <w:jc w:val="left"/>
        <w:rPr>
          <w:rFonts w:eastAsia="黑体"/>
        </w:rPr>
      </w:pPr>
      <w:r w:rsidRPr="005F33A7">
        <w:rPr>
          <w:rFonts w:eastAsia="黑体"/>
        </w:rPr>
        <w:tab/>
      </w:r>
      <w:r w:rsidRPr="005F33A7">
        <w:rPr>
          <w:rFonts w:eastAsia="黑体"/>
        </w:rPr>
        <w:tab/>
      </w:r>
      <w:r w:rsidRPr="005F33A7">
        <w:rPr>
          <w:rFonts w:eastAsia="黑体" w:hint="eastAsia"/>
        </w:rPr>
        <w:t>技术援助</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b/>
          <w:lang w:val="en-GB"/>
        </w:rPr>
        <w:t>5</w:t>
      </w:r>
      <w:r w:rsidRPr="005F33A7">
        <w:rPr>
          <w:rFonts w:hint="eastAsia"/>
          <w:b/>
          <w:lang w:val="en-GB"/>
        </w:rPr>
        <w:t>4</w:t>
      </w:r>
      <w:r w:rsidRPr="005F33A7">
        <w:rPr>
          <w:b/>
          <w:lang w:val="en-GB"/>
        </w:rPr>
        <w:t>.</w:t>
      </w:r>
      <w:r w:rsidRPr="005F33A7">
        <w:rPr>
          <w:lang w:val="en-GB"/>
        </w:rPr>
        <w:tab/>
      </w:r>
      <w:r w:rsidRPr="005F33A7">
        <w:rPr>
          <w:rFonts w:eastAsia="黑体" w:hint="eastAsia"/>
          <w:lang w:val="en-GB"/>
        </w:rPr>
        <w:t>委员会建议缔约国考虑寻求国际援助与合作，并利用技术援助制定和实施一个综合方案，以落实上述建议和整个《公约》。委员会还呼吁缔约国继续同联合国系统各专门机构和方案开展合作。</w:t>
      </w:r>
    </w:p>
    <w:p w:rsidR="005F33A7" w:rsidRPr="005F33A7" w:rsidRDefault="005F33A7" w:rsidP="005F33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4" w:right="1259" w:hanging="1264"/>
        <w:jc w:val="left"/>
        <w:rPr>
          <w:rFonts w:eastAsia="黑体"/>
        </w:rPr>
      </w:pPr>
      <w:r w:rsidRPr="005F33A7">
        <w:rPr>
          <w:rFonts w:eastAsia="黑体"/>
        </w:rPr>
        <w:tab/>
      </w:r>
      <w:r w:rsidRPr="005F33A7">
        <w:rPr>
          <w:rFonts w:eastAsia="黑体"/>
        </w:rPr>
        <w:tab/>
      </w:r>
      <w:r w:rsidRPr="005F33A7">
        <w:rPr>
          <w:rFonts w:eastAsia="黑体" w:hint="eastAsia"/>
        </w:rPr>
        <w:t>批准其他条约</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rFonts w:eastAsia="黑体"/>
          <w:lang w:val="en-GB"/>
        </w:rPr>
      </w:pPr>
      <w:r w:rsidRPr="005F33A7">
        <w:rPr>
          <w:b/>
          <w:lang w:val="en-GB"/>
        </w:rPr>
        <w:t>5</w:t>
      </w:r>
      <w:r w:rsidRPr="005F33A7">
        <w:rPr>
          <w:rFonts w:hint="eastAsia"/>
          <w:b/>
          <w:lang w:val="en-GB"/>
        </w:rPr>
        <w:t>5</w:t>
      </w:r>
      <w:r w:rsidRPr="005F33A7">
        <w:rPr>
          <w:b/>
          <w:lang w:val="en-GB"/>
        </w:rPr>
        <w:t>.</w:t>
      </w:r>
      <w:r w:rsidRPr="005F33A7">
        <w:rPr>
          <w:lang w:val="en-GB"/>
        </w:rPr>
        <w:tab/>
      </w:r>
      <w:r w:rsidRPr="005F33A7">
        <w:rPr>
          <w:rFonts w:eastAsia="黑体" w:hint="eastAsia"/>
          <w:lang w:val="en-GB"/>
        </w:rPr>
        <w:t>委员会指出，缔约国加入九项主要的国际人权文书，</w:t>
      </w:r>
      <w:r w:rsidRPr="005F33A7">
        <w:rPr>
          <w:vertAlign w:val="superscript"/>
          <w:lang w:val="en-GB" w:eastAsia="en-US"/>
        </w:rPr>
        <w:footnoteReference w:id="3"/>
      </w:r>
      <w:r w:rsidRPr="005F33A7">
        <w:rPr>
          <w:rFonts w:eastAsia="黑体" w:hint="eastAsia"/>
          <w:lang w:val="en-GB"/>
        </w:rPr>
        <w:t>将有助于妇女在生活各方面享有其人权和基本自由。因此，委员会鼓励缔约国批准《保护所有移徙工人及其家庭成员权利国际公约》，缔约国尚不是该条约的缔约国。</w:t>
      </w:r>
    </w:p>
    <w:p w:rsidR="005F33A7" w:rsidRPr="005F33A7" w:rsidRDefault="005F33A7" w:rsidP="005F33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4" w:right="1259" w:hanging="1264"/>
        <w:jc w:val="left"/>
        <w:rPr>
          <w:rFonts w:eastAsia="黑体"/>
        </w:rPr>
      </w:pPr>
      <w:r w:rsidRPr="005F33A7">
        <w:rPr>
          <w:rFonts w:eastAsia="黑体"/>
        </w:rPr>
        <w:tab/>
      </w:r>
      <w:r w:rsidRPr="005F33A7">
        <w:rPr>
          <w:rFonts w:eastAsia="黑体"/>
        </w:rPr>
        <w:tab/>
      </w:r>
      <w:r w:rsidRPr="005F33A7">
        <w:rPr>
          <w:rFonts w:eastAsia="黑体" w:hint="eastAsia"/>
        </w:rPr>
        <w:t>结论性意见的后续行动</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b/>
          <w:lang w:val="en-GB"/>
        </w:rPr>
        <w:t>5</w:t>
      </w:r>
      <w:r w:rsidRPr="005F33A7">
        <w:rPr>
          <w:rFonts w:hint="eastAsia"/>
          <w:b/>
          <w:lang w:val="en-GB"/>
        </w:rPr>
        <w:t>6</w:t>
      </w:r>
      <w:r w:rsidRPr="005F33A7">
        <w:rPr>
          <w:b/>
          <w:lang w:val="en-GB"/>
        </w:rPr>
        <w:t>.</w:t>
      </w:r>
      <w:r w:rsidRPr="005F33A7">
        <w:rPr>
          <w:lang w:val="en-GB"/>
        </w:rPr>
        <w:tab/>
      </w:r>
      <w:r w:rsidRPr="005F33A7">
        <w:rPr>
          <w:rFonts w:eastAsia="黑体" w:hint="eastAsia"/>
          <w:lang w:val="en-GB"/>
        </w:rPr>
        <w:t>委员会请缔约国在两年内提交书面资料，说明为落实上文第</w:t>
      </w:r>
      <w:r w:rsidRPr="005F33A7">
        <w:rPr>
          <w:rFonts w:eastAsia="黑体"/>
          <w:b/>
          <w:lang w:val="en-GB"/>
        </w:rPr>
        <w:t>13 (a)</w:t>
      </w:r>
      <w:r w:rsidRPr="005F33A7">
        <w:rPr>
          <w:rFonts w:eastAsia="黑体" w:hint="eastAsia"/>
          <w:lang w:val="en-GB"/>
        </w:rPr>
        <w:t>和</w:t>
      </w:r>
      <w:r w:rsidRPr="005F33A7">
        <w:rPr>
          <w:rFonts w:eastAsia="黑体"/>
          <w:b/>
          <w:lang w:val="en-GB"/>
        </w:rPr>
        <w:t>(f)</w:t>
      </w:r>
      <w:r w:rsidRPr="005F33A7">
        <w:rPr>
          <w:rFonts w:eastAsia="黑体" w:hint="eastAsia"/>
          <w:lang w:val="en-GB"/>
        </w:rPr>
        <w:t>段以及第</w:t>
      </w:r>
      <w:r w:rsidRPr="005F33A7">
        <w:rPr>
          <w:rFonts w:eastAsia="黑体" w:hint="eastAsia"/>
          <w:b/>
          <w:lang w:val="en-GB"/>
        </w:rPr>
        <w:t>29(a)</w:t>
      </w:r>
      <w:r w:rsidRPr="005F33A7">
        <w:rPr>
          <w:rFonts w:eastAsia="黑体" w:hint="eastAsia"/>
          <w:lang w:val="en-GB"/>
        </w:rPr>
        <w:t>和</w:t>
      </w:r>
      <w:r w:rsidRPr="005F33A7">
        <w:rPr>
          <w:rFonts w:eastAsia="黑体" w:hint="eastAsia"/>
          <w:b/>
          <w:lang w:val="en-GB"/>
        </w:rPr>
        <w:t>(c)</w:t>
      </w:r>
      <w:r w:rsidRPr="005F33A7">
        <w:rPr>
          <w:rFonts w:eastAsia="黑体" w:hint="eastAsia"/>
          <w:lang w:val="en-GB"/>
        </w:rPr>
        <w:t>段所载的建议而采取的步骤。</w:t>
      </w:r>
    </w:p>
    <w:p w:rsidR="005F33A7" w:rsidRPr="005F33A7" w:rsidRDefault="005F33A7" w:rsidP="005F33A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4" w:right="1259" w:hanging="1264"/>
        <w:jc w:val="left"/>
        <w:rPr>
          <w:rFonts w:eastAsia="黑体"/>
        </w:rPr>
      </w:pPr>
      <w:r w:rsidRPr="005F33A7">
        <w:rPr>
          <w:rFonts w:eastAsia="黑体"/>
        </w:rPr>
        <w:tab/>
      </w:r>
      <w:r w:rsidRPr="005F33A7">
        <w:rPr>
          <w:rFonts w:eastAsia="黑体"/>
        </w:rPr>
        <w:tab/>
      </w:r>
      <w:r w:rsidRPr="005F33A7">
        <w:rPr>
          <w:rFonts w:eastAsia="黑体" w:hint="eastAsia"/>
        </w:rPr>
        <w:t>下次报告的编制</w:t>
      </w:r>
    </w:p>
    <w:p w:rsidR="005F33A7" w:rsidRPr="005F33A7" w:rsidRDefault="005F33A7" w:rsidP="005F33A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7" w:right="1267"/>
        <w:rPr>
          <w:lang w:val="en-GB"/>
        </w:rPr>
      </w:pPr>
      <w:r w:rsidRPr="005F33A7">
        <w:rPr>
          <w:b/>
          <w:lang w:val="en-GB"/>
        </w:rPr>
        <w:t>5</w:t>
      </w:r>
      <w:r w:rsidRPr="005F33A7">
        <w:rPr>
          <w:rFonts w:hint="eastAsia"/>
          <w:b/>
          <w:lang w:val="en-GB"/>
        </w:rPr>
        <w:t>7</w:t>
      </w:r>
      <w:r w:rsidRPr="005F33A7">
        <w:rPr>
          <w:b/>
          <w:lang w:val="en-GB"/>
        </w:rPr>
        <w:t>.</w:t>
      </w:r>
      <w:r w:rsidRPr="005F33A7">
        <w:rPr>
          <w:lang w:val="en-GB"/>
        </w:rPr>
        <w:tab/>
      </w:r>
      <w:r w:rsidRPr="005F33A7">
        <w:rPr>
          <w:rFonts w:eastAsia="黑体" w:hint="eastAsia"/>
          <w:lang w:val="en-GB"/>
        </w:rPr>
        <w:t>委员会请缔约国在</w:t>
      </w:r>
      <w:r w:rsidRPr="005F33A7">
        <w:rPr>
          <w:rFonts w:eastAsia="黑体" w:hint="eastAsia"/>
          <w:b/>
          <w:lang w:val="en-GB"/>
        </w:rPr>
        <w:t>2021</w:t>
      </w:r>
      <w:r w:rsidRPr="005F33A7">
        <w:rPr>
          <w:rFonts w:eastAsia="黑体" w:hint="eastAsia"/>
          <w:lang w:val="en-GB"/>
        </w:rPr>
        <w:t>年</w:t>
      </w:r>
      <w:r w:rsidRPr="005F33A7">
        <w:rPr>
          <w:rFonts w:eastAsia="黑体" w:hint="eastAsia"/>
          <w:b/>
          <w:lang w:val="en-GB"/>
        </w:rPr>
        <w:t>3</w:t>
      </w:r>
      <w:r w:rsidRPr="005F33A7">
        <w:rPr>
          <w:rFonts w:eastAsia="黑体" w:hint="eastAsia"/>
          <w:lang w:val="en-GB"/>
        </w:rPr>
        <w:t>月提交其第九次定期报告。</w:t>
      </w:r>
      <w:r w:rsidRPr="005F33A7">
        <w:rPr>
          <w:rFonts w:eastAsia="黑体" w:hint="eastAsia"/>
          <w:kern w:val="0"/>
          <w:lang w:val="en-GB"/>
        </w:rPr>
        <w:t>如有延误，则报告必须涵盖截至提交之时的整个时期。</w:t>
      </w:r>
    </w:p>
    <w:p w:rsidR="00B31E9D" w:rsidRDefault="005F33A7" w:rsidP="005F33A7">
      <w:pPr>
        <w:pStyle w:val="SingleTxt"/>
        <w:rPr>
          <w:rFonts w:eastAsia="黑体"/>
          <w:lang w:val="en-GB"/>
        </w:rPr>
      </w:pPr>
      <w:r w:rsidRPr="005F33A7">
        <w:rPr>
          <w:b/>
          <w:lang w:val="en-GB"/>
        </w:rPr>
        <w:t>5</w:t>
      </w:r>
      <w:r w:rsidRPr="005F33A7">
        <w:rPr>
          <w:rFonts w:hint="eastAsia"/>
          <w:b/>
          <w:lang w:val="en-GB"/>
        </w:rPr>
        <w:t>8</w:t>
      </w:r>
      <w:r w:rsidRPr="005F33A7">
        <w:rPr>
          <w:b/>
          <w:lang w:val="en-GB"/>
        </w:rPr>
        <w:t>.</w:t>
      </w:r>
      <w:r w:rsidRPr="005F33A7">
        <w:rPr>
          <w:lang w:val="en-GB"/>
        </w:rPr>
        <w:tab/>
      </w:r>
      <w:r w:rsidRPr="005F33A7">
        <w:rPr>
          <w:rFonts w:eastAsia="黑体"/>
          <w:lang w:val="en-GB"/>
        </w:rPr>
        <w:t>委员会请缔约国遵循</w:t>
      </w:r>
      <w:r w:rsidRPr="005F33A7">
        <w:rPr>
          <w:rFonts w:eastAsia="黑体" w:hint="eastAsia"/>
          <w:lang w:val="en-GB"/>
        </w:rPr>
        <w:t>“</w:t>
      </w:r>
      <w:r w:rsidRPr="005F33A7">
        <w:rPr>
          <w:rFonts w:eastAsia="黑体"/>
          <w:lang w:val="en-GB"/>
        </w:rPr>
        <w:t>包括共同核心文件和条约专要文件准则在内的根据国际人权条约提交报告的协调准则</w:t>
      </w:r>
      <w:r w:rsidRPr="005F33A7">
        <w:rPr>
          <w:rFonts w:eastAsia="黑体" w:hint="eastAsia"/>
          <w:lang w:val="en-GB"/>
        </w:rPr>
        <w:t>”</w:t>
      </w:r>
      <w:r>
        <w:rPr>
          <w:rFonts w:eastAsia="黑体"/>
          <w:lang w:val="en-GB"/>
        </w:rPr>
        <w:t>(</w:t>
      </w:r>
      <w:r w:rsidRPr="005F33A7">
        <w:rPr>
          <w:rFonts w:eastAsia="黑体" w:hint="eastAsia"/>
          <w:lang w:val="en-GB"/>
        </w:rPr>
        <w:t>见</w:t>
      </w:r>
      <w:hyperlink r:id="rId23" w:history="1">
        <w:r w:rsidRPr="005F33A7">
          <w:rPr>
            <w:rFonts w:eastAsia="黑体"/>
            <w:b/>
            <w:color w:val="0000FF"/>
            <w:lang w:val="en-GB"/>
          </w:rPr>
          <w:t>HRI/GEN/2/Rev.6</w:t>
        </w:r>
      </w:hyperlink>
      <w:r w:rsidRPr="005F33A7">
        <w:rPr>
          <w:rFonts w:eastAsia="黑体"/>
          <w:lang w:val="en-GB"/>
        </w:rPr>
        <w:t>，第一章</w:t>
      </w:r>
      <w:r>
        <w:rPr>
          <w:rFonts w:eastAsia="黑体"/>
          <w:lang w:val="en-GB"/>
        </w:rPr>
        <w:t>)</w:t>
      </w:r>
      <w:r w:rsidRPr="005F33A7">
        <w:rPr>
          <w:rFonts w:eastAsia="黑体"/>
          <w:lang w:val="en-GB"/>
        </w:rPr>
        <w:t>。</w:t>
      </w:r>
    </w:p>
    <w:p w:rsidR="005F33A7" w:rsidRPr="005F33A7" w:rsidRDefault="005F33A7" w:rsidP="005F33A7">
      <w:pPr>
        <w:pStyle w:val="SingleTxt"/>
        <w:spacing w:after="120" w:line="180" w:lineRule="exact"/>
        <w:rPr>
          <w:sz w:val="20"/>
        </w:rPr>
      </w:pPr>
      <w:r>
        <w:rPr>
          <w:rFonts w:hint="eastAsia"/>
          <w:noProof/>
          <w:sz w:val="20"/>
        </w:rPr>
        <mc:AlternateContent>
          <mc:Choice Requires="wps">
            <w:drawing>
              <wp:anchor distT="0" distB="0" distL="114300" distR="114300" simplePos="0" relativeHeight="251659264" behindDoc="0" locked="0" layoutInCell="1" allowOverlap="1">
                <wp:simplePos x="0" y="0"/>
                <wp:positionH relativeFrom="column">
                  <wp:posOffset>2615565</wp:posOffset>
                </wp:positionH>
                <wp:positionV relativeFrom="paragraph">
                  <wp:posOffset>311208</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205.95pt,24.5pt" to="277.9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" strokecolor="#010000" strokeweight=".25pt"/>
            </w:pict>
          </mc:Fallback>
        </mc:AlternateContent>
      </w:r>
    </w:p>
    <w:sectPr w:rsidR="005F33A7" w:rsidRPr="005F33A7" w:rsidSect="005F33A7">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4-06T14:22:00Z" w:initials="Start">
    <w:p w:rsidR="00476D6D" w:rsidRDefault="00476D6D">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NO&gt;&gt;N1706288C&lt;&lt;ODS JOB NO&gt;&gt;</w:t>
      </w:r>
    </w:p>
    <w:p w:rsidR="00476D6D" w:rsidRDefault="00476D6D">
      <w:pPr>
        <w:pStyle w:val="a7"/>
      </w:pPr>
      <w:r>
        <w:t>&lt;&lt;ODS DOC SYMBOL1&gt;&gt;CEDAW/C/UKR/CO/8&lt;&lt;ODS DOC SYMBOL1&gt;&gt;</w:t>
      </w:r>
    </w:p>
    <w:p w:rsidR="00476D6D" w:rsidRDefault="00476D6D">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40A5" w:rsidRDefault="00E340A5">
      <w:r>
        <w:separator/>
      </w:r>
    </w:p>
  </w:endnote>
  <w:endnote w:type="continuationSeparator" w:id="0">
    <w:p w:rsidR="00E340A5" w:rsidRDefault="00E34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76D6D" w:rsidTr="00476D6D">
      <w:tc>
        <w:tcPr>
          <w:tcW w:w="5028" w:type="dxa"/>
          <w:shd w:val="clear" w:color="auto" w:fill="auto"/>
        </w:tcPr>
        <w:p w:rsidR="00476D6D" w:rsidRPr="00476D6D" w:rsidRDefault="00476D6D" w:rsidP="00476D6D">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17-03879 (C)</w:t>
          </w:r>
          <w:r>
            <w:rPr>
              <w:b w:val="0"/>
              <w:w w:val="103"/>
              <w:sz w:val="14"/>
            </w:rPr>
            <w:fldChar w:fldCharType="end"/>
          </w:r>
        </w:p>
      </w:tc>
      <w:tc>
        <w:tcPr>
          <w:tcW w:w="5028" w:type="dxa"/>
          <w:shd w:val="clear" w:color="auto" w:fill="auto"/>
        </w:tcPr>
        <w:p w:rsidR="00476D6D" w:rsidRPr="00476D6D" w:rsidRDefault="00476D6D" w:rsidP="00476D6D">
          <w:pPr>
            <w:pStyle w:val="ac"/>
            <w:jc w:val="left"/>
            <w:rPr>
              <w:w w:val="103"/>
            </w:rPr>
          </w:pPr>
          <w:r>
            <w:rPr>
              <w:w w:val="103"/>
            </w:rPr>
            <w:fldChar w:fldCharType="begin"/>
          </w:r>
          <w:r>
            <w:rPr>
              <w:w w:val="103"/>
            </w:rPr>
            <w:instrText xml:space="preserve"> PAGE  \* Arabic  \* MERGEFORMAT </w:instrText>
          </w:r>
          <w:r>
            <w:rPr>
              <w:w w:val="103"/>
            </w:rPr>
            <w:fldChar w:fldCharType="separate"/>
          </w:r>
          <w:r w:rsidR="00A37A33">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37A33">
            <w:rPr>
              <w:w w:val="103"/>
            </w:rPr>
            <w:t>2</w:t>
          </w:r>
          <w:r>
            <w:rPr>
              <w:w w:val="103"/>
            </w:rPr>
            <w:fldChar w:fldCharType="end"/>
          </w:r>
        </w:p>
      </w:tc>
    </w:tr>
  </w:tbl>
  <w:p w:rsidR="00476D6D" w:rsidRPr="00476D6D" w:rsidRDefault="00476D6D" w:rsidP="00476D6D">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76D6D" w:rsidTr="00476D6D">
      <w:tc>
        <w:tcPr>
          <w:tcW w:w="5028" w:type="dxa"/>
          <w:shd w:val="clear" w:color="auto" w:fill="auto"/>
        </w:tcPr>
        <w:p w:rsidR="00476D6D" w:rsidRPr="00476D6D" w:rsidRDefault="00476D6D" w:rsidP="00476D6D">
          <w:pPr>
            <w:pStyle w:val="ac"/>
            <w:jc w:val="right"/>
          </w:pPr>
          <w:r>
            <w:fldChar w:fldCharType="begin"/>
          </w:r>
          <w:r>
            <w:instrText xml:space="preserve"> PAGE  \* Arabic  \* MERGEFORMAT </w:instrText>
          </w:r>
          <w:r>
            <w:fldChar w:fldCharType="separate"/>
          </w:r>
          <w:r w:rsidR="00E37B78">
            <w:t>13</w:t>
          </w:r>
          <w:r>
            <w:fldChar w:fldCharType="end"/>
          </w:r>
          <w:r>
            <w:t>/</w:t>
          </w:r>
          <w:r w:rsidR="00A37A33">
            <w:fldChar w:fldCharType="begin"/>
          </w:r>
          <w:r w:rsidR="00A37A33">
            <w:instrText xml:space="preserve"> NUMPAGES  \* Arabic  \* MERGEFORMAT </w:instrText>
          </w:r>
          <w:r w:rsidR="00A37A33">
            <w:fldChar w:fldCharType="separate"/>
          </w:r>
          <w:r w:rsidR="00E37B78">
            <w:t>14</w:t>
          </w:r>
          <w:r w:rsidR="00A37A33">
            <w:fldChar w:fldCharType="end"/>
          </w:r>
        </w:p>
      </w:tc>
      <w:tc>
        <w:tcPr>
          <w:tcW w:w="5028" w:type="dxa"/>
          <w:shd w:val="clear" w:color="auto" w:fill="auto"/>
        </w:tcPr>
        <w:p w:rsidR="00476D6D" w:rsidRPr="00476D6D" w:rsidRDefault="00476D6D" w:rsidP="00476D6D">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17-03879 (C)</w:t>
          </w:r>
          <w:r>
            <w:rPr>
              <w:b w:val="0"/>
              <w:w w:val="103"/>
              <w:sz w:val="14"/>
            </w:rPr>
            <w:fldChar w:fldCharType="end"/>
          </w:r>
        </w:p>
      </w:tc>
    </w:tr>
  </w:tbl>
  <w:p w:rsidR="00476D6D" w:rsidRPr="00476D6D" w:rsidRDefault="00476D6D" w:rsidP="00476D6D">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476D6D" w:rsidTr="00476D6D">
      <w:tc>
        <w:tcPr>
          <w:tcW w:w="3744" w:type="dxa"/>
        </w:tcPr>
        <w:p w:rsidR="00476D6D" w:rsidRDefault="005F33A7" w:rsidP="00476D6D">
          <w:pPr>
            <w:pStyle w:val="Release"/>
          </w:pPr>
          <w:r w:rsidRPr="005F33A7">
            <w:t>17-03879 X (C)</w:t>
          </w:r>
          <w:r w:rsidR="00476D6D">
            <w:rPr>
              <w:noProof/>
            </w:rPr>
            <w:drawing>
              <wp:anchor distT="0" distB="0" distL="114300" distR="114300" simplePos="0" relativeHeight="251658240" behindDoc="0" locked="0" layoutInCell="1" allowOverlap="1" wp14:anchorId="2A1314BB" wp14:editId="390F15D6">
                <wp:simplePos x="0" y="0"/>
                <wp:positionH relativeFrom="column">
                  <wp:posOffset>5526404</wp:posOffset>
                </wp:positionH>
                <wp:positionV relativeFrom="paragraph">
                  <wp:posOffset>-352888</wp:posOffset>
                </wp:positionV>
                <wp:extent cx="694690" cy="694690"/>
                <wp:effectExtent l="0" t="0" r="0" b="0"/>
                <wp:wrapNone/>
                <wp:docPr id="3" name="图片 3" descr="http://undocs.org/m2/QRCode2.ashx?DS=CEDAW/C/UKR/CO/8&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UKR/CO/8&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    060417    </w:t>
          </w:r>
          <w:r>
            <w:rPr>
              <w:rFonts w:hint="eastAsia"/>
            </w:rPr>
            <w:t>11</w:t>
          </w:r>
          <w:r w:rsidR="00476D6D">
            <w:t>0417</w:t>
          </w:r>
        </w:p>
        <w:p w:rsidR="00476D6D" w:rsidRPr="00476D6D" w:rsidRDefault="00476D6D" w:rsidP="00476D6D">
          <w:pPr>
            <w:spacing w:before="80" w:line="210" w:lineRule="exact"/>
            <w:rPr>
              <w:rFonts w:ascii="Barcode 3 of 9 by request" w:hAnsi="Barcode 3 of 9 by request"/>
              <w:sz w:val="24"/>
            </w:rPr>
          </w:pPr>
          <w:r>
            <w:rPr>
              <w:rFonts w:ascii="Barcode 3 of 9 by request" w:hAnsi="Barcode 3 of 9 by request"/>
              <w:sz w:val="24"/>
            </w:rPr>
            <w:t>*1703879*</w:t>
          </w:r>
        </w:p>
      </w:tc>
      <w:tc>
        <w:tcPr>
          <w:tcW w:w="5028" w:type="dxa"/>
        </w:tcPr>
        <w:p w:rsidR="00476D6D" w:rsidRDefault="00476D6D" w:rsidP="00476D6D">
          <w:pPr>
            <w:pStyle w:val="ac"/>
            <w:jc w:val="right"/>
            <w:rPr>
              <w:b w:val="0"/>
              <w:sz w:val="21"/>
            </w:rPr>
          </w:pPr>
          <w:r>
            <w:rPr>
              <w:b w:val="0"/>
              <w:sz w:val="21"/>
            </w:rPr>
            <w:drawing>
              <wp:inline distT="0" distB="0" distL="0" distR="0" wp14:anchorId="12C58CA9" wp14:editId="3FB1E1AC">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476D6D" w:rsidRPr="00476D6D" w:rsidRDefault="00476D6D" w:rsidP="00476D6D">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40A5" w:rsidRPr="005F33A7" w:rsidRDefault="005F33A7" w:rsidP="005F33A7">
      <w:pPr>
        <w:pStyle w:val="ac"/>
        <w:spacing w:after="80"/>
        <w:ind w:left="792"/>
        <w:rPr>
          <w:sz w:val="16"/>
        </w:rPr>
      </w:pPr>
      <w:r w:rsidRPr="005F33A7">
        <w:rPr>
          <w:sz w:val="16"/>
        </w:rPr>
        <w:t>__________________</w:t>
      </w:r>
    </w:p>
  </w:footnote>
  <w:footnote w:type="continuationSeparator" w:id="0">
    <w:p w:rsidR="00E340A5" w:rsidRPr="005F33A7" w:rsidRDefault="005F33A7" w:rsidP="005F33A7">
      <w:pPr>
        <w:pStyle w:val="ac"/>
        <w:spacing w:after="80"/>
        <w:ind w:left="792"/>
        <w:rPr>
          <w:sz w:val="16"/>
        </w:rPr>
      </w:pPr>
      <w:r w:rsidRPr="005F33A7">
        <w:rPr>
          <w:sz w:val="16"/>
        </w:rPr>
        <w:t>__________________</w:t>
      </w:r>
    </w:p>
  </w:footnote>
  <w:footnote w:id="1">
    <w:p w:rsidR="005F33A7" w:rsidRDefault="005F33A7" w:rsidP="005F33A7">
      <w:pPr>
        <w:pStyle w:val="a5"/>
        <w:tabs>
          <w:tab w:val="clear" w:pos="418"/>
          <w:tab w:val="right" w:pos="1195"/>
          <w:tab w:val="left" w:pos="1264"/>
          <w:tab w:val="left" w:pos="1695"/>
          <w:tab w:val="left" w:pos="2126"/>
          <w:tab w:val="left" w:pos="2557"/>
        </w:tabs>
        <w:ind w:left="1264" w:right="1264" w:hanging="432"/>
        <w:rPr>
          <w:lang w:val="en-GB"/>
        </w:rPr>
      </w:pPr>
      <w:r>
        <w:rPr>
          <w:rStyle w:val="a3"/>
        </w:rPr>
        <w:tab/>
        <w:t>*</w:t>
      </w:r>
      <w:r>
        <w:rPr>
          <w:rStyle w:val="a3"/>
        </w:rPr>
        <w:tab/>
      </w:r>
      <w:r>
        <w:t>委员会第六十六届会议</w:t>
      </w:r>
      <w:r>
        <w:rPr>
          <w:rFonts w:hint="eastAsia"/>
        </w:rPr>
        <w:t>（</w:t>
      </w:r>
      <w:r>
        <w:rPr>
          <w:rFonts w:hint="eastAsia"/>
        </w:rPr>
        <w:t>2017</w:t>
      </w:r>
      <w:r>
        <w:rPr>
          <w:rFonts w:hint="eastAsia"/>
        </w:rPr>
        <w:t>年</w:t>
      </w:r>
      <w:r>
        <w:rPr>
          <w:rFonts w:hint="eastAsia"/>
        </w:rPr>
        <w:t>2</w:t>
      </w:r>
      <w:r>
        <w:rPr>
          <w:rFonts w:hint="eastAsia"/>
        </w:rPr>
        <w:t>月</w:t>
      </w:r>
      <w:r>
        <w:rPr>
          <w:rFonts w:hint="eastAsia"/>
        </w:rPr>
        <w:t>13</w:t>
      </w:r>
      <w:r>
        <w:rPr>
          <w:rFonts w:hint="eastAsia"/>
        </w:rPr>
        <w:t>日至</w:t>
      </w:r>
      <w:r>
        <w:rPr>
          <w:rFonts w:hint="eastAsia"/>
        </w:rPr>
        <w:t>3</w:t>
      </w:r>
      <w:r>
        <w:rPr>
          <w:rFonts w:hint="eastAsia"/>
        </w:rPr>
        <w:t>月</w:t>
      </w:r>
      <w:r>
        <w:rPr>
          <w:rFonts w:hint="eastAsia"/>
        </w:rPr>
        <w:t>3</w:t>
      </w:r>
      <w:r>
        <w:rPr>
          <w:rFonts w:hint="eastAsia"/>
        </w:rPr>
        <w:t>日）</w:t>
      </w:r>
      <w:r>
        <w:t>通过</w:t>
      </w:r>
      <w:r>
        <w:rPr>
          <w:rFonts w:hint="eastAsia"/>
        </w:rPr>
        <w:t>。</w:t>
      </w:r>
    </w:p>
  </w:footnote>
  <w:footnote w:id="2">
    <w:p w:rsidR="005F33A7" w:rsidRPr="00F83973" w:rsidRDefault="005F33A7" w:rsidP="005F33A7">
      <w:pPr>
        <w:pStyle w:val="a5"/>
        <w:tabs>
          <w:tab w:val="clear" w:pos="418"/>
          <w:tab w:val="right" w:pos="1195"/>
          <w:tab w:val="left" w:pos="1264"/>
          <w:tab w:val="left" w:pos="1695"/>
          <w:tab w:val="left" w:pos="2126"/>
          <w:tab w:val="left" w:pos="2557"/>
        </w:tabs>
        <w:spacing w:after="60"/>
        <w:ind w:left="1264" w:right="1264" w:hanging="432"/>
      </w:pPr>
      <w:r>
        <w:rPr>
          <w:rFonts w:hint="eastAsia"/>
        </w:rPr>
        <w:tab/>
      </w:r>
      <w:r>
        <w:rPr>
          <w:rStyle w:val="a3"/>
        </w:rPr>
        <w:footnoteRef/>
      </w:r>
      <w:r>
        <w:rPr>
          <w:rFonts w:hint="eastAsia"/>
        </w:rPr>
        <w:tab/>
      </w:r>
      <w:r w:rsidRPr="00D26C1B">
        <w:rPr>
          <w:rFonts w:hint="eastAsia"/>
        </w:rPr>
        <w:t>联合国人权事务高级专员办事处关于</w:t>
      </w:r>
      <w:r w:rsidRPr="00D26C1B">
        <w:rPr>
          <w:rFonts w:hint="eastAsia"/>
        </w:rPr>
        <w:t>2014</w:t>
      </w:r>
      <w:r w:rsidRPr="00D26C1B">
        <w:rPr>
          <w:rFonts w:hint="eastAsia"/>
        </w:rPr>
        <w:t>年</w:t>
      </w:r>
      <w:r w:rsidRPr="00D26C1B">
        <w:rPr>
          <w:rFonts w:hint="eastAsia"/>
        </w:rPr>
        <w:t>3</w:t>
      </w:r>
      <w:r w:rsidRPr="00D26C1B">
        <w:rPr>
          <w:rFonts w:hint="eastAsia"/>
        </w:rPr>
        <w:t>月</w:t>
      </w:r>
      <w:r w:rsidRPr="00D26C1B">
        <w:rPr>
          <w:rFonts w:hint="eastAsia"/>
        </w:rPr>
        <w:t>14</w:t>
      </w:r>
      <w:r w:rsidRPr="00D26C1B">
        <w:rPr>
          <w:rFonts w:hint="eastAsia"/>
        </w:rPr>
        <w:t>日至</w:t>
      </w:r>
      <w:r w:rsidRPr="00D26C1B">
        <w:rPr>
          <w:rFonts w:hint="eastAsia"/>
        </w:rPr>
        <w:t>2017</w:t>
      </w:r>
      <w:r w:rsidRPr="00D26C1B">
        <w:rPr>
          <w:rFonts w:hint="eastAsia"/>
        </w:rPr>
        <w:t>年</w:t>
      </w:r>
      <w:r w:rsidRPr="00D26C1B">
        <w:rPr>
          <w:rFonts w:hint="eastAsia"/>
        </w:rPr>
        <w:t>1</w:t>
      </w:r>
      <w:r w:rsidRPr="00D26C1B">
        <w:rPr>
          <w:rFonts w:hint="eastAsia"/>
        </w:rPr>
        <w:t>月</w:t>
      </w:r>
      <w:r w:rsidRPr="00D26C1B">
        <w:rPr>
          <w:rFonts w:hint="eastAsia"/>
        </w:rPr>
        <w:t>31</w:t>
      </w:r>
      <w:r w:rsidRPr="00D26C1B">
        <w:rPr>
          <w:rFonts w:hint="eastAsia"/>
        </w:rPr>
        <w:t>日期间乌克兰</w:t>
      </w:r>
      <w:r>
        <w:rPr>
          <w:rFonts w:hint="eastAsia"/>
        </w:rPr>
        <w:t>境内</w:t>
      </w:r>
      <w:r w:rsidRPr="00D26C1B">
        <w:rPr>
          <w:rFonts w:hint="eastAsia"/>
        </w:rPr>
        <w:t>与冲突有关的性暴力</w:t>
      </w:r>
      <w:r>
        <w:rPr>
          <w:rFonts w:hint="eastAsia"/>
        </w:rPr>
        <w:t>问题</w:t>
      </w:r>
      <w:r w:rsidRPr="00D26C1B">
        <w:rPr>
          <w:rFonts w:hint="eastAsia"/>
        </w:rPr>
        <w:t>的报告。</w:t>
      </w:r>
    </w:p>
  </w:footnote>
  <w:footnote w:id="3">
    <w:p w:rsidR="005F33A7" w:rsidRPr="00F621B5" w:rsidRDefault="005F33A7" w:rsidP="005F33A7">
      <w:pPr>
        <w:pStyle w:val="a5"/>
        <w:tabs>
          <w:tab w:val="clear" w:pos="418"/>
          <w:tab w:val="right" w:pos="1195"/>
          <w:tab w:val="left" w:pos="1264"/>
          <w:tab w:val="left" w:pos="1695"/>
          <w:tab w:val="left" w:pos="2126"/>
          <w:tab w:val="left" w:pos="2557"/>
        </w:tabs>
        <w:ind w:left="1264" w:right="1264" w:hanging="432"/>
      </w:pPr>
      <w:r>
        <w:tab/>
      </w:r>
      <w:r>
        <w:rPr>
          <w:rStyle w:val="a3"/>
        </w:rPr>
        <w:footnoteRef/>
      </w:r>
      <w:r>
        <w:rPr>
          <w:rFonts w:hint="eastAsia"/>
        </w:rPr>
        <w:tab/>
      </w:r>
      <w:r w:rsidRPr="00DD610A">
        <w:rPr>
          <w:rFonts w:hint="eastAsia"/>
        </w:rPr>
        <w:t>《经济、社会</w:t>
      </w:r>
      <w:r>
        <w:rPr>
          <w:rFonts w:hint="eastAsia"/>
        </w:rPr>
        <w:t>、</w:t>
      </w:r>
      <w:r w:rsidRPr="00DD610A">
        <w:rPr>
          <w:rFonts w:hint="eastAsia"/>
        </w:rPr>
        <w:t>文化权利国际公约》、《公民</w:t>
      </w:r>
      <w:r>
        <w:rPr>
          <w:rFonts w:hint="eastAsia"/>
        </w:rPr>
        <w:t>权利和</w:t>
      </w:r>
      <w:r w:rsidRPr="00DD610A">
        <w:rPr>
          <w:rFonts w:hint="eastAsia"/>
        </w:rPr>
        <w:t>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76D6D" w:rsidTr="00476D6D">
      <w:trPr>
        <w:trHeight w:hRule="exact" w:val="864"/>
      </w:trPr>
      <w:tc>
        <w:tcPr>
          <w:tcW w:w="4838" w:type="dxa"/>
          <w:shd w:val="clear" w:color="auto" w:fill="auto"/>
          <w:vAlign w:val="bottom"/>
        </w:tcPr>
        <w:p w:rsidR="00476D6D" w:rsidRPr="00476D6D" w:rsidRDefault="00476D6D" w:rsidP="00476D6D">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CEDAW/C/UKR/CO/8</w:t>
          </w:r>
          <w:r>
            <w:rPr>
              <w:b/>
              <w:sz w:val="17"/>
            </w:rPr>
            <w:fldChar w:fldCharType="end"/>
          </w:r>
        </w:p>
      </w:tc>
      <w:tc>
        <w:tcPr>
          <w:tcW w:w="5028" w:type="dxa"/>
          <w:shd w:val="clear" w:color="auto" w:fill="auto"/>
          <w:vAlign w:val="bottom"/>
        </w:tcPr>
        <w:p w:rsidR="00476D6D" w:rsidRDefault="00476D6D" w:rsidP="00476D6D">
          <w:pPr>
            <w:pStyle w:val="ab"/>
          </w:pPr>
        </w:p>
      </w:tc>
    </w:tr>
  </w:tbl>
  <w:p w:rsidR="00476D6D" w:rsidRPr="00476D6D" w:rsidRDefault="00476D6D" w:rsidP="00476D6D">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76D6D" w:rsidTr="00476D6D">
      <w:trPr>
        <w:trHeight w:hRule="exact" w:val="864"/>
      </w:trPr>
      <w:tc>
        <w:tcPr>
          <w:tcW w:w="4838" w:type="dxa"/>
          <w:shd w:val="clear" w:color="auto" w:fill="auto"/>
          <w:vAlign w:val="bottom"/>
        </w:tcPr>
        <w:p w:rsidR="00476D6D" w:rsidRDefault="00476D6D" w:rsidP="00476D6D">
          <w:pPr>
            <w:pStyle w:val="ab"/>
          </w:pPr>
        </w:p>
      </w:tc>
      <w:tc>
        <w:tcPr>
          <w:tcW w:w="5028" w:type="dxa"/>
          <w:shd w:val="clear" w:color="auto" w:fill="auto"/>
          <w:vAlign w:val="bottom"/>
        </w:tcPr>
        <w:p w:rsidR="00476D6D" w:rsidRPr="00476D6D" w:rsidRDefault="00476D6D" w:rsidP="00476D6D">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CEDAW/C/UKR/CO/8</w:t>
          </w:r>
          <w:r>
            <w:rPr>
              <w:b/>
              <w:sz w:val="17"/>
            </w:rPr>
            <w:fldChar w:fldCharType="end"/>
          </w:r>
        </w:p>
      </w:tc>
    </w:tr>
  </w:tbl>
  <w:p w:rsidR="00476D6D" w:rsidRPr="00476D6D" w:rsidRDefault="00476D6D" w:rsidP="00476D6D">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476D6D" w:rsidTr="00476D6D">
      <w:trPr>
        <w:gridAfter w:val="1"/>
        <w:wAfter w:w="12" w:type="dxa"/>
        <w:trHeight w:hRule="exact" w:val="864"/>
      </w:trPr>
      <w:tc>
        <w:tcPr>
          <w:tcW w:w="1267" w:type="dxa"/>
          <w:tcBorders>
            <w:bottom w:val="single" w:sz="4" w:space="0" w:color="auto"/>
          </w:tcBorders>
          <w:shd w:val="clear" w:color="auto" w:fill="auto"/>
          <w:vAlign w:val="bottom"/>
        </w:tcPr>
        <w:p w:rsidR="00476D6D" w:rsidRDefault="00476D6D" w:rsidP="00476D6D">
          <w:pPr>
            <w:pStyle w:val="ab"/>
            <w:spacing w:after="120"/>
          </w:pPr>
        </w:p>
      </w:tc>
      <w:tc>
        <w:tcPr>
          <w:tcW w:w="1872" w:type="dxa"/>
          <w:tcBorders>
            <w:bottom w:val="single" w:sz="4" w:space="0" w:color="auto"/>
          </w:tcBorders>
          <w:shd w:val="clear" w:color="auto" w:fill="auto"/>
          <w:vAlign w:val="bottom"/>
        </w:tcPr>
        <w:p w:rsidR="00476D6D" w:rsidRPr="00476D6D" w:rsidRDefault="00476D6D" w:rsidP="00476D6D">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476D6D" w:rsidRDefault="00476D6D" w:rsidP="00476D6D">
          <w:pPr>
            <w:pStyle w:val="ab"/>
            <w:spacing w:after="120"/>
          </w:pPr>
        </w:p>
      </w:tc>
      <w:tc>
        <w:tcPr>
          <w:tcW w:w="6523" w:type="dxa"/>
          <w:gridSpan w:val="3"/>
          <w:tcBorders>
            <w:bottom w:val="single" w:sz="4" w:space="0" w:color="auto"/>
          </w:tcBorders>
          <w:shd w:val="clear" w:color="auto" w:fill="auto"/>
          <w:vAlign w:val="bottom"/>
        </w:tcPr>
        <w:p w:rsidR="00476D6D" w:rsidRPr="00476D6D" w:rsidRDefault="00476D6D" w:rsidP="00476D6D">
          <w:pPr>
            <w:spacing w:after="80" w:line="240" w:lineRule="auto"/>
            <w:jc w:val="right"/>
            <w:rPr>
              <w:position w:val="-4"/>
            </w:rPr>
          </w:pPr>
          <w:r>
            <w:rPr>
              <w:position w:val="-4"/>
              <w:sz w:val="40"/>
            </w:rPr>
            <w:t>CEDAW</w:t>
          </w:r>
          <w:r>
            <w:rPr>
              <w:position w:val="-4"/>
            </w:rPr>
            <w:t>/C/UKR/CO/8</w:t>
          </w:r>
        </w:p>
      </w:tc>
    </w:tr>
    <w:tr w:rsidR="00476D6D" w:rsidRPr="00476D6D" w:rsidTr="00476D6D">
      <w:trPr>
        <w:trHeight w:hRule="exact" w:val="2880"/>
      </w:trPr>
      <w:tc>
        <w:tcPr>
          <w:tcW w:w="1267" w:type="dxa"/>
          <w:tcBorders>
            <w:top w:val="single" w:sz="4" w:space="0" w:color="auto"/>
            <w:bottom w:val="single" w:sz="12" w:space="0" w:color="auto"/>
          </w:tcBorders>
          <w:shd w:val="clear" w:color="auto" w:fill="auto"/>
        </w:tcPr>
        <w:p w:rsidR="00476D6D" w:rsidRPr="00476D6D" w:rsidRDefault="00476D6D" w:rsidP="00476D6D">
          <w:pPr>
            <w:pStyle w:val="ab"/>
            <w:spacing w:before="109"/>
            <w:ind w:left="-72"/>
          </w:pPr>
          <w:r>
            <w:t xml:space="preserve"> </w:t>
          </w:r>
          <w:r>
            <w:drawing>
              <wp:inline distT="0" distB="0" distL="0" distR="0" wp14:anchorId="0BFBF932" wp14:editId="5C93B852">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76D6D" w:rsidRPr="00476D6D" w:rsidRDefault="00476D6D" w:rsidP="00476D6D">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476D6D" w:rsidRPr="00476D6D" w:rsidRDefault="00476D6D" w:rsidP="00476D6D">
          <w:pPr>
            <w:pStyle w:val="ab"/>
            <w:spacing w:before="109"/>
          </w:pPr>
        </w:p>
      </w:tc>
      <w:tc>
        <w:tcPr>
          <w:tcW w:w="3180" w:type="dxa"/>
          <w:gridSpan w:val="2"/>
          <w:tcBorders>
            <w:top w:val="single" w:sz="4" w:space="0" w:color="auto"/>
            <w:bottom w:val="single" w:sz="12" w:space="0" w:color="auto"/>
          </w:tcBorders>
          <w:shd w:val="clear" w:color="auto" w:fill="auto"/>
        </w:tcPr>
        <w:p w:rsidR="00476D6D" w:rsidRDefault="00476D6D" w:rsidP="00476D6D">
          <w:pPr>
            <w:pStyle w:val="Distr"/>
          </w:pPr>
          <w:r>
            <w:t>Distr.: General</w:t>
          </w:r>
        </w:p>
        <w:p w:rsidR="00476D6D" w:rsidRDefault="00476D6D" w:rsidP="00476D6D">
          <w:pPr>
            <w:pStyle w:val="Publication"/>
          </w:pPr>
          <w:r>
            <w:t>9 March 2017</w:t>
          </w:r>
        </w:p>
        <w:p w:rsidR="00476D6D" w:rsidRDefault="00476D6D" w:rsidP="00476D6D">
          <w:pPr>
            <w:spacing w:line="240" w:lineRule="exact"/>
          </w:pPr>
          <w:r>
            <w:t>Chinese</w:t>
          </w:r>
        </w:p>
        <w:p w:rsidR="00476D6D" w:rsidRDefault="00476D6D" w:rsidP="00476D6D">
          <w:pPr>
            <w:pStyle w:val="Original"/>
          </w:pPr>
          <w:r>
            <w:t>Original: English</w:t>
          </w:r>
        </w:p>
        <w:p w:rsidR="00476D6D" w:rsidRPr="00476D6D" w:rsidRDefault="00476D6D" w:rsidP="00476D6D"/>
      </w:tc>
    </w:tr>
  </w:tbl>
  <w:p w:rsidR="00476D6D" w:rsidRPr="00476D6D" w:rsidRDefault="00476D6D" w:rsidP="00476D6D">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3879*"/>
    <w:docVar w:name="CreationDt" w:val="06/04/2017 14:22:02"/>
    <w:docVar w:name="DocCategory" w:val="Doc"/>
    <w:docVar w:name="DocType" w:val="Final"/>
    <w:docVar w:name="DutyStation" w:val="New York"/>
    <w:docVar w:name="FooterJN" w:val="17-03879 (C)"/>
    <w:docVar w:name="jobn" w:val="17-03879 (C)"/>
    <w:docVar w:name="jobnDT" w:val="17-03879 (C)   060417"/>
    <w:docVar w:name="jobnDTDT" w:val="17-03879 (C)   060417   060417"/>
    <w:docVar w:name="JobNo" w:val="1703879C"/>
    <w:docVar w:name="LocalDrive" w:val="0"/>
    <w:docVar w:name="OandT" w:val="DI"/>
    <w:docVar w:name="sss1" w:val="CEDAW/C/UKR/CO/8"/>
    <w:docVar w:name="sss2" w:val="-"/>
    <w:docVar w:name="Symbol1" w:val="CEDAW/C/UKR/CO/8"/>
    <w:docVar w:name="Symbol2" w:val="-"/>
  </w:docVars>
  <w:rsids>
    <w:rsidRoot w:val="00E340A5"/>
    <w:rsid w:val="00000689"/>
    <w:rsid w:val="0000347C"/>
    <w:rsid w:val="0000715A"/>
    <w:rsid w:val="000074E0"/>
    <w:rsid w:val="000101C8"/>
    <w:rsid w:val="0001169E"/>
    <w:rsid w:val="000125BC"/>
    <w:rsid w:val="00012EBE"/>
    <w:rsid w:val="00013CD2"/>
    <w:rsid w:val="0001545F"/>
    <w:rsid w:val="0001645E"/>
    <w:rsid w:val="0001726F"/>
    <w:rsid w:val="00021314"/>
    <w:rsid w:val="00021A2B"/>
    <w:rsid w:val="00024E72"/>
    <w:rsid w:val="000304EC"/>
    <w:rsid w:val="00034465"/>
    <w:rsid w:val="000344BB"/>
    <w:rsid w:val="000366AA"/>
    <w:rsid w:val="0003678F"/>
    <w:rsid w:val="00036AA2"/>
    <w:rsid w:val="00036F1B"/>
    <w:rsid w:val="00037444"/>
    <w:rsid w:val="00037B39"/>
    <w:rsid w:val="00044CA4"/>
    <w:rsid w:val="00044EE9"/>
    <w:rsid w:val="00045EFE"/>
    <w:rsid w:val="00050CCF"/>
    <w:rsid w:val="00054631"/>
    <w:rsid w:val="00056952"/>
    <w:rsid w:val="0006608A"/>
    <w:rsid w:val="00066B28"/>
    <w:rsid w:val="00067AEB"/>
    <w:rsid w:val="00070DD0"/>
    <w:rsid w:val="00071F3F"/>
    <w:rsid w:val="0007337D"/>
    <w:rsid w:val="00074771"/>
    <w:rsid w:val="000758DF"/>
    <w:rsid w:val="00076EB8"/>
    <w:rsid w:val="000777FC"/>
    <w:rsid w:val="00077AEE"/>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80C"/>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D5CD8"/>
    <w:rsid w:val="001E0ADA"/>
    <w:rsid w:val="001E20EC"/>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53E5"/>
    <w:rsid w:val="00225709"/>
    <w:rsid w:val="0022603B"/>
    <w:rsid w:val="00230FAB"/>
    <w:rsid w:val="00231575"/>
    <w:rsid w:val="00232F4A"/>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1A61"/>
    <w:rsid w:val="00282D17"/>
    <w:rsid w:val="00285DE9"/>
    <w:rsid w:val="00286AD1"/>
    <w:rsid w:val="00290382"/>
    <w:rsid w:val="0029111A"/>
    <w:rsid w:val="00293025"/>
    <w:rsid w:val="002A4AEF"/>
    <w:rsid w:val="002A5E53"/>
    <w:rsid w:val="002B305F"/>
    <w:rsid w:val="002B35DE"/>
    <w:rsid w:val="002B3D8D"/>
    <w:rsid w:val="002B564F"/>
    <w:rsid w:val="002B5F5D"/>
    <w:rsid w:val="002B62ED"/>
    <w:rsid w:val="002B6993"/>
    <w:rsid w:val="002B7E03"/>
    <w:rsid w:val="002C2254"/>
    <w:rsid w:val="002C3BC9"/>
    <w:rsid w:val="002C4439"/>
    <w:rsid w:val="002C48C3"/>
    <w:rsid w:val="002C54DB"/>
    <w:rsid w:val="002D039F"/>
    <w:rsid w:val="002D0694"/>
    <w:rsid w:val="002D0B62"/>
    <w:rsid w:val="002D4ACE"/>
    <w:rsid w:val="002D5503"/>
    <w:rsid w:val="002D62B2"/>
    <w:rsid w:val="002D65A8"/>
    <w:rsid w:val="002D76B6"/>
    <w:rsid w:val="002E52E9"/>
    <w:rsid w:val="002E66D5"/>
    <w:rsid w:val="002F41E2"/>
    <w:rsid w:val="002F746E"/>
    <w:rsid w:val="00301C97"/>
    <w:rsid w:val="003063F6"/>
    <w:rsid w:val="00313030"/>
    <w:rsid w:val="00320C99"/>
    <w:rsid w:val="003274A9"/>
    <w:rsid w:val="00327D8B"/>
    <w:rsid w:val="003305F1"/>
    <w:rsid w:val="00331221"/>
    <w:rsid w:val="00346223"/>
    <w:rsid w:val="00346C74"/>
    <w:rsid w:val="00350AE6"/>
    <w:rsid w:val="00355510"/>
    <w:rsid w:val="0036117F"/>
    <w:rsid w:val="00363610"/>
    <w:rsid w:val="003649EE"/>
    <w:rsid w:val="00371BC6"/>
    <w:rsid w:val="00373A15"/>
    <w:rsid w:val="00376C04"/>
    <w:rsid w:val="00381AB0"/>
    <w:rsid w:val="00383ACA"/>
    <w:rsid w:val="00384CB1"/>
    <w:rsid w:val="003869FA"/>
    <w:rsid w:val="00390B02"/>
    <w:rsid w:val="00394A02"/>
    <w:rsid w:val="003966E8"/>
    <w:rsid w:val="003A1C26"/>
    <w:rsid w:val="003A7B88"/>
    <w:rsid w:val="003C4125"/>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77F"/>
    <w:rsid w:val="00433853"/>
    <w:rsid w:val="00440B0D"/>
    <w:rsid w:val="004411AD"/>
    <w:rsid w:val="004424EF"/>
    <w:rsid w:val="00443516"/>
    <w:rsid w:val="00453BB0"/>
    <w:rsid w:val="00460162"/>
    <w:rsid w:val="004620A8"/>
    <w:rsid w:val="0046458E"/>
    <w:rsid w:val="00466BB5"/>
    <w:rsid w:val="004700CF"/>
    <w:rsid w:val="004715DF"/>
    <w:rsid w:val="00474C34"/>
    <w:rsid w:val="00476D6D"/>
    <w:rsid w:val="004821D0"/>
    <w:rsid w:val="00483BDA"/>
    <w:rsid w:val="00487444"/>
    <w:rsid w:val="00493C9C"/>
    <w:rsid w:val="004955C1"/>
    <w:rsid w:val="00495C7E"/>
    <w:rsid w:val="0049799B"/>
    <w:rsid w:val="004A06D1"/>
    <w:rsid w:val="004A0E04"/>
    <w:rsid w:val="004A11FC"/>
    <w:rsid w:val="004A1D1E"/>
    <w:rsid w:val="004B2C67"/>
    <w:rsid w:val="004B2FC5"/>
    <w:rsid w:val="004B4F06"/>
    <w:rsid w:val="004C0224"/>
    <w:rsid w:val="004C053E"/>
    <w:rsid w:val="004C089F"/>
    <w:rsid w:val="004C1456"/>
    <w:rsid w:val="004C3255"/>
    <w:rsid w:val="004C3BAA"/>
    <w:rsid w:val="004C5B65"/>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859"/>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0999"/>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5E1"/>
    <w:rsid w:val="005C5FC3"/>
    <w:rsid w:val="005D0D2E"/>
    <w:rsid w:val="005D0F04"/>
    <w:rsid w:val="005D20F3"/>
    <w:rsid w:val="005D2204"/>
    <w:rsid w:val="005D680F"/>
    <w:rsid w:val="005F12F0"/>
    <w:rsid w:val="005F1AAD"/>
    <w:rsid w:val="005F3273"/>
    <w:rsid w:val="005F33A7"/>
    <w:rsid w:val="005F34A3"/>
    <w:rsid w:val="0060128A"/>
    <w:rsid w:val="00601DF9"/>
    <w:rsid w:val="00602C6C"/>
    <w:rsid w:val="006107DE"/>
    <w:rsid w:val="00610CF2"/>
    <w:rsid w:val="00615A9C"/>
    <w:rsid w:val="00617802"/>
    <w:rsid w:val="006201CE"/>
    <w:rsid w:val="006328DE"/>
    <w:rsid w:val="006353DE"/>
    <w:rsid w:val="00640671"/>
    <w:rsid w:val="006432CB"/>
    <w:rsid w:val="00646B55"/>
    <w:rsid w:val="006479F1"/>
    <w:rsid w:val="0065055D"/>
    <w:rsid w:val="00650BEE"/>
    <w:rsid w:val="00651B0B"/>
    <w:rsid w:val="006520FA"/>
    <w:rsid w:val="00652604"/>
    <w:rsid w:val="0065377D"/>
    <w:rsid w:val="00661120"/>
    <w:rsid w:val="00666F57"/>
    <w:rsid w:val="006740A7"/>
    <w:rsid w:val="006767D5"/>
    <w:rsid w:val="00691524"/>
    <w:rsid w:val="006926DF"/>
    <w:rsid w:val="00697E61"/>
    <w:rsid w:val="006A2730"/>
    <w:rsid w:val="006A5CFB"/>
    <w:rsid w:val="006A654B"/>
    <w:rsid w:val="006B769C"/>
    <w:rsid w:val="006C4BB3"/>
    <w:rsid w:val="006D4068"/>
    <w:rsid w:val="006E0E32"/>
    <w:rsid w:val="006E2924"/>
    <w:rsid w:val="006E45BF"/>
    <w:rsid w:val="006E4E7C"/>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3DB"/>
    <w:rsid w:val="007877F4"/>
    <w:rsid w:val="007908BE"/>
    <w:rsid w:val="007A6A3A"/>
    <w:rsid w:val="007B2492"/>
    <w:rsid w:val="007B394B"/>
    <w:rsid w:val="007B6BAE"/>
    <w:rsid w:val="007C10AC"/>
    <w:rsid w:val="007C5623"/>
    <w:rsid w:val="007C6FC5"/>
    <w:rsid w:val="007C74B9"/>
    <w:rsid w:val="007D2C92"/>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33FE"/>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0639"/>
    <w:rsid w:val="00907874"/>
    <w:rsid w:val="00911686"/>
    <w:rsid w:val="009122E0"/>
    <w:rsid w:val="00913351"/>
    <w:rsid w:val="00917344"/>
    <w:rsid w:val="00923D95"/>
    <w:rsid w:val="009248ED"/>
    <w:rsid w:val="009264B1"/>
    <w:rsid w:val="009331FA"/>
    <w:rsid w:val="00941874"/>
    <w:rsid w:val="0094294B"/>
    <w:rsid w:val="00946C87"/>
    <w:rsid w:val="0095295A"/>
    <w:rsid w:val="00957134"/>
    <w:rsid w:val="0096193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0AB8"/>
    <w:rsid w:val="009C600E"/>
    <w:rsid w:val="009C7B18"/>
    <w:rsid w:val="009D00AA"/>
    <w:rsid w:val="009D0B10"/>
    <w:rsid w:val="009D2AC2"/>
    <w:rsid w:val="009E1774"/>
    <w:rsid w:val="009E2668"/>
    <w:rsid w:val="009E3256"/>
    <w:rsid w:val="009E3AB5"/>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1815"/>
    <w:rsid w:val="00A33D4D"/>
    <w:rsid w:val="00A33D6D"/>
    <w:rsid w:val="00A343D8"/>
    <w:rsid w:val="00A36AEC"/>
    <w:rsid w:val="00A37345"/>
    <w:rsid w:val="00A37A33"/>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F021F"/>
    <w:rsid w:val="00AF114B"/>
    <w:rsid w:val="00AF2A33"/>
    <w:rsid w:val="00AF4C2D"/>
    <w:rsid w:val="00AF4FD7"/>
    <w:rsid w:val="00B014C7"/>
    <w:rsid w:val="00B01FB8"/>
    <w:rsid w:val="00B02C51"/>
    <w:rsid w:val="00B03EFA"/>
    <w:rsid w:val="00B16C8C"/>
    <w:rsid w:val="00B171E7"/>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A51C0"/>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19F4"/>
    <w:rsid w:val="00C52423"/>
    <w:rsid w:val="00C52DB6"/>
    <w:rsid w:val="00C53A40"/>
    <w:rsid w:val="00C60D8E"/>
    <w:rsid w:val="00C62EF9"/>
    <w:rsid w:val="00C650F5"/>
    <w:rsid w:val="00C672B6"/>
    <w:rsid w:val="00C75600"/>
    <w:rsid w:val="00C76854"/>
    <w:rsid w:val="00C847BD"/>
    <w:rsid w:val="00C900C5"/>
    <w:rsid w:val="00C92AE0"/>
    <w:rsid w:val="00C92C12"/>
    <w:rsid w:val="00C93BC6"/>
    <w:rsid w:val="00C943B4"/>
    <w:rsid w:val="00C97C0D"/>
    <w:rsid w:val="00CA0B47"/>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51DC5"/>
    <w:rsid w:val="00D53449"/>
    <w:rsid w:val="00D5525A"/>
    <w:rsid w:val="00D572D9"/>
    <w:rsid w:val="00D613E0"/>
    <w:rsid w:val="00D676D7"/>
    <w:rsid w:val="00D7007A"/>
    <w:rsid w:val="00D71517"/>
    <w:rsid w:val="00D7168D"/>
    <w:rsid w:val="00D71A15"/>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A3B"/>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288B"/>
    <w:rsid w:val="00E340A5"/>
    <w:rsid w:val="00E34E6A"/>
    <w:rsid w:val="00E35B72"/>
    <w:rsid w:val="00E37B54"/>
    <w:rsid w:val="00E37B78"/>
    <w:rsid w:val="00E37EEB"/>
    <w:rsid w:val="00E440B3"/>
    <w:rsid w:val="00E5153D"/>
    <w:rsid w:val="00E56134"/>
    <w:rsid w:val="00E56B5D"/>
    <w:rsid w:val="00E62331"/>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96B4A"/>
    <w:rsid w:val="00EA0B27"/>
    <w:rsid w:val="00EA2525"/>
    <w:rsid w:val="00EA31C3"/>
    <w:rsid w:val="00EA4947"/>
    <w:rsid w:val="00EA4B1B"/>
    <w:rsid w:val="00EB33AC"/>
    <w:rsid w:val="00EC25DE"/>
    <w:rsid w:val="00EC669D"/>
    <w:rsid w:val="00EC6F21"/>
    <w:rsid w:val="00EC7887"/>
    <w:rsid w:val="00ED2708"/>
    <w:rsid w:val="00ED2D39"/>
    <w:rsid w:val="00ED3A3A"/>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32339"/>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050CCF"/>
    <w:pPr>
      <w:outlineLvl w:val="1"/>
    </w:pPr>
    <w:rPr>
      <w:rFonts w:ascii="黑体" w:eastAsia="黑体"/>
      <w:spacing w:val="2"/>
      <w:sz w:val="2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styleId="af0">
    <w:name w:val="Normal Indent"/>
    <w:basedOn w:val="a"/>
    <w:rsid w:val="005F33A7"/>
    <w:pPr>
      <w:ind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050CCF"/>
    <w:pPr>
      <w:outlineLvl w:val="1"/>
    </w:pPr>
    <w:rPr>
      <w:rFonts w:ascii="黑体" w:eastAsia="黑体"/>
      <w:spacing w:val="2"/>
      <w:sz w:val="2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styleId="af0">
    <w:name w:val="Normal Indent"/>
    <w:basedOn w:val="a"/>
    <w:rsid w:val="005F33A7"/>
    <w:pPr>
      <w:ind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h/S/RES/1325(2000)" TargetMode="External"/><Relationship Id="rId3" Type="http://schemas.openxmlformats.org/officeDocument/2006/relationships/styles" Target="styles.xml"/><Relationship Id="rId21" Type="http://schemas.openxmlformats.org/officeDocument/2006/relationships/hyperlink" Target="http://undocs.org/ch/S/RES/1325(2000)"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UKR/7"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undocs.org/CEDAW/C/UKR/8" TargetMode="External"/><Relationship Id="rId20" Type="http://schemas.openxmlformats.org/officeDocument/2006/relationships/hyperlink" Target="http://undocs.org/ch/A/RES/71/20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h/HRI/GEN/2/Rev.6" TargetMode="External"/><Relationship Id="rId10" Type="http://schemas.openxmlformats.org/officeDocument/2006/relationships/header" Target="header2.xml"/><Relationship Id="rId19" Type="http://schemas.openxmlformats.org/officeDocument/2006/relationships/hyperlink" Target="http://undocs.org/ch/A/RES/68/262"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h/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63D49E-C4E6-4DA9-952F-909AE0AF2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2008</Words>
  <Characters>11451</Characters>
  <Application>Microsoft Office Word</Application>
  <DocSecurity>0</DocSecurity>
  <Lines>95</Lines>
  <Paragraphs>26</Paragraphs>
  <ScaleCrop>false</ScaleCrop>
  <Company>United Nations</Company>
  <LinksUpToDate>false</LinksUpToDate>
  <CharactersWithSpaces>13433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Di Sandy</dc:creator>
  <cp:keywords/>
  <dc:description/>
  <cp:lastModifiedBy>Xinlu Wu</cp:lastModifiedBy>
  <cp:revision>6</cp:revision>
  <dcterms:created xsi:type="dcterms:W3CDTF">2017-04-06T18:20:00Z</dcterms:created>
  <dcterms:modified xsi:type="dcterms:W3CDTF">2017-04-11T15:24:00Z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1703879</vt:lpwstr>
  </property>
  <property fmtid="{D5CDD505-2E9C-101B-9397-08002B2CF9AE}" pid="3" name="ODSRefJobNo">
    <vt:lpwstr>1706288C</vt:lpwstr>
  </property>
  <property fmtid="{D5CDD505-2E9C-101B-9397-08002B2CF9AE}" pid="4" name="Symbol1">
    <vt:lpwstr>CEDAW/C/UKR/CO/8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9 March 2017</vt:lpwstr>
  </property>
  <property fmtid="{D5CDD505-2E9C-101B-9397-08002B2CF9AE}" pid="9" name="Original">
    <vt:lpwstr>English</vt:lpwstr>
  </property>
  <property fmtid="{D5CDD505-2E9C-101B-9397-08002B2CF9AE}" pid="10" name="Release Date">
    <vt:lpwstr>060417</vt:lpwstr>
  </property>
  <property fmtid="{D5CDD505-2E9C-101B-9397-08002B2CF9AE}" pid="11" name="Comment">
    <vt:lpwstr/>
  </property>
  <property fmtid="{D5CDD505-2E9C-101B-9397-08002B2CF9AE}" pid="12" name="DraftPages">
    <vt:lpwstr> </vt:lpwstr>
  </property>
  <property fmtid="{D5CDD505-2E9C-101B-9397-08002B2CF9AE}" pid="13" name="Operator">
    <vt:lpwstr>DI</vt:lpwstr>
  </property>
</Properties>
</file>