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080" w:rsidRDefault="00E10080" w:rsidP="00E10080">
      <w:pPr>
        <w:spacing w:line="240" w:lineRule="auto"/>
        <w:jc w:val="left"/>
        <w:rPr>
          <w:szCs w:val="6"/>
        </w:rPr>
        <w:sectPr w:rsidR="00E10080" w:rsidSect="00E100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0D0270" w:rsidRPr="00485931" w:rsidRDefault="000D0270" w:rsidP="000D0270">
      <w:pPr>
        <w:tabs>
          <w:tab w:val="left" w:pos="1928"/>
          <w:tab w:val="left" w:pos="2608"/>
          <w:tab w:val="left" w:pos="3289"/>
          <w:tab w:val="left" w:pos="3969"/>
          <w:tab w:val="left" w:pos="4649"/>
          <w:tab w:val="left" w:pos="5330"/>
        </w:tabs>
        <w:spacing w:before="120" w:line="380" w:lineRule="exact"/>
        <w:rPr>
          <w:rFonts w:eastAsia="Times New Roman"/>
          <w:b/>
          <w:bCs/>
          <w:w w:val="100"/>
          <w:kern w:val="0"/>
          <w:sz w:val="26"/>
          <w:szCs w:val="36"/>
          <w:rtl/>
        </w:rPr>
      </w:pPr>
      <w:r w:rsidRPr="00485931">
        <w:rPr>
          <w:rFonts w:eastAsia="Times New Roman" w:hint="cs"/>
          <w:b/>
          <w:bCs/>
          <w:w w:val="100"/>
          <w:kern w:val="0"/>
          <w:sz w:val="26"/>
          <w:szCs w:val="36"/>
          <w:rtl/>
        </w:rPr>
        <w:lastRenderedPageBreak/>
        <w:t>لجنة مناهضة التعذيب</w:t>
      </w:r>
    </w:p>
    <w:p w:rsidR="00E10080" w:rsidRPr="000D0270" w:rsidRDefault="00E10080" w:rsidP="000D0270">
      <w:pPr>
        <w:pStyle w:val="H1"/>
        <w:spacing w:line="120" w:lineRule="exact"/>
        <w:rPr>
          <w:sz w:val="10"/>
          <w:rtl/>
        </w:rPr>
      </w:pPr>
    </w:p>
    <w:p w:rsidR="000D0270" w:rsidRPr="000D0270" w:rsidRDefault="000D0270" w:rsidP="000D0270">
      <w:pPr>
        <w:spacing w:line="120" w:lineRule="exact"/>
        <w:rPr>
          <w:sz w:val="10"/>
          <w:rtl/>
        </w:rPr>
      </w:pPr>
    </w:p>
    <w:p w:rsidR="000D0270" w:rsidRPr="000D0270" w:rsidRDefault="000D0270" w:rsidP="000D0270">
      <w:pPr>
        <w:spacing w:line="120" w:lineRule="exact"/>
        <w:rPr>
          <w:sz w:val="10"/>
          <w:rtl/>
        </w:rPr>
      </w:pPr>
    </w:p>
    <w:p w:rsidR="000D0270" w:rsidRPr="00A41097" w:rsidRDefault="000D0270" w:rsidP="000D0270">
      <w:pPr>
        <w:framePr w:w="9792" w:h="432" w:hSpace="187" w:wrap="around" w:hAnchor="page" w:x="1196" w:yAlign="bottom"/>
        <w:spacing w:line="240" w:lineRule="auto"/>
        <w:rPr>
          <w:szCs w:val="10"/>
          <w:rtl/>
        </w:rPr>
      </w:pPr>
    </w:p>
    <w:p w:rsidR="000D0270" w:rsidRPr="00A41097" w:rsidRDefault="000D0270" w:rsidP="000D0270">
      <w:pPr>
        <w:framePr w:w="9792" w:h="432" w:hSpace="187" w:wrap="around" w:hAnchor="page" w:x="1196" w:yAlign="bottom"/>
        <w:spacing w:line="240" w:lineRule="auto"/>
        <w:rPr>
          <w:szCs w:val="6"/>
          <w:rtl/>
        </w:rPr>
      </w:pPr>
      <w:r w:rsidRPr="00A41097">
        <w:rPr>
          <w:noProof/>
          <w:w w:val="100"/>
          <w:szCs w:val="6"/>
          <w:rtl/>
        </w:rPr>
        <mc:AlternateContent>
          <mc:Choice Requires="wps">
            <w:drawing>
              <wp:anchor distT="0" distB="0" distL="114300" distR="114300" simplePos="0" relativeHeight="251661312" behindDoc="0" locked="0" layoutInCell="1" allowOverlap="1" wp14:anchorId="539AC9F3" wp14:editId="74425900">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0D0270" w:rsidRPr="00A41097" w:rsidRDefault="000D0270" w:rsidP="000D0270">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0D0270">
        <w:rPr>
          <w:sz w:val="17"/>
          <w:szCs w:val="26"/>
          <w:rtl/>
        </w:rPr>
        <w:t>اعتمدتها اللجنة في دورتها الخامسة والخمسين (من 27 تموز/يوليه إلى 14 آب/أغسطس 2015).</w:t>
      </w:r>
    </w:p>
    <w:p w:rsidR="000D0270" w:rsidRPr="00485931" w:rsidRDefault="000D0270" w:rsidP="000D027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sz w:val="36"/>
          <w:szCs w:val="36"/>
          <w:rtl/>
        </w:rPr>
      </w:pPr>
      <w:r w:rsidRPr="00485931">
        <w:rPr>
          <w:rFonts w:hint="cs"/>
          <w:w w:val="100"/>
          <w:rtl/>
        </w:rPr>
        <w:tab/>
      </w:r>
      <w:r w:rsidRPr="00485931">
        <w:rPr>
          <w:rFonts w:hint="cs"/>
          <w:w w:val="100"/>
          <w:rtl/>
        </w:rPr>
        <w:tab/>
      </w:r>
      <w:r w:rsidRPr="00485931">
        <w:rPr>
          <w:w w:val="100"/>
          <w:rtl/>
        </w:rPr>
        <w:t xml:space="preserve">الملاحظات الختامية بشأن </w:t>
      </w:r>
      <w:r w:rsidRPr="00485931">
        <w:rPr>
          <w:rFonts w:hint="cs"/>
          <w:w w:val="100"/>
          <w:rtl/>
        </w:rPr>
        <w:t>التقرير الدوري الثالث لسلوفاكيا</w:t>
      </w:r>
      <w:r w:rsidR="00743E2E" w:rsidRPr="00743E2E">
        <w:rPr>
          <w:rFonts w:hint="cs"/>
          <w:w w:val="100"/>
          <w:sz w:val="30"/>
          <w:szCs w:val="30"/>
          <w:rtl/>
        </w:rPr>
        <w:t>*</w:t>
      </w:r>
    </w:p>
    <w:p w:rsidR="000D0270" w:rsidRPr="000D0270" w:rsidRDefault="000D0270" w:rsidP="000D0270">
      <w:pPr>
        <w:pStyle w:val="SingleTxt"/>
        <w:spacing w:after="0" w:line="120" w:lineRule="exact"/>
        <w:rPr>
          <w:sz w:val="10"/>
          <w:rtl/>
        </w:rPr>
      </w:pPr>
    </w:p>
    <w:p w:rsidR="000D0270" w:rsidRDefault="000D0270" w:rsidP="000D0270">
      <w:pPr>
        <w:pStyle w:val="SingleTxt"/>
        <w:rPr>
          <w:rtl/>
        </w:rPr>
      </w:pPr>
      <w:r w:rsidRPr="000D0270">
        <w:rPr>
          <w:rFonts w:hint="cs"/>
          <w:spacing w:val="-4"/>
          <w:rtl/>
        </w:rPr>
        <w:t>1-</w:t>
      </w:r>
      <w:r w:rsidRPr="000D0270">
        <w:rPr>
          <w:rFonts w:hint="cs"/>
          <w:spacing w:val="-4"/>
          <w:rtl/>
        </w:rPr>
        <w:tab/>
        <w:t xml:space="preserve">نظرت لجنة مناهضة التعذيب في التقرير الدوري الثالث لسلوفاكيا </w:t>
      </w:r>
      <w:r w:rsidRPr="000D0270">
        <w:rPr>
          <w:spacing w:val="-4"/>
        </w:rPr>
        <w:t>(CAT/C/SVK/3/Rev.1)</w:t>
      </w:r>
      <w:r w:rsidRPr="000D0270">
        <w:rPr>
          <w:rFonts w:hint="cs"/>
          <w:spacing w:val="-4"/>
          <w:rtl/>
        </w:rPr>
        <w:t xml:space="preserve"> في جلستيها 1330 و1333، المعقودتين في 28 و29 تموز/يوليه</w:t>
      </w:r>
      <w:r>
        <w:rPr>
          <w:rFonts w:hint="cs"/>
          <w:rtl/>
        </w:rPr>
        <w:t xml:space="preserve"> 2015 (انظر الوثيقتين </w:t>
      </w:r>
      <w:r w:rsidRPr="000D0270">
        <w:rPr>
          <w:spacing w:val="-4"/>
        </w:rPr>
        <w:t>CAT/C/SR.1330</w:t>
      </w:r>
      <w:r w:rsidRPr="000D0270">
        <w:rPr>
          <w:rFonts w:hint="cs"/>
          <w:spacing w:val="-4"/>
          <w:rtl/>
        </w:rPr>
        <w:t xml:space="preserve"> و</w:t>
      </w:r>
      <w:r w:rsidRPr="000D0270">
        <w:rPr>
          <w:spacing w:val="-4"/>
        </w:rPr>
        <w:t>CAT/C/SR.1333</w:t>
      </w:r>
      <w:r w:rsidRPr="000D0270">
        <w:rPr>
          <w:rFonts w:hint="cs"/>
          <w:spacing w:val="-4"/>
          <w:rtl/>
        </w:rPr>
        <w:t>)، واعتمدت الملاحظات الختامية التالية في جلستها</w:t>
      </w:r>
      <w:r>
        <w:rPr>
          <w:rFonts w:hint="cs"/>
          <w:rtl/>
        </w:rPr>
        <w:t xml:space="preserve"> 1347، المعقودة في 10 آب/أغسطس 2015.</w:t>
      </w:r>
    </w:p>
    <w:p w:rsidR="000D0270" w:rsidRPr="000D0270" w:rsidRDefault="000D0270" w:rsidP="000D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Pr="000D0270" w:rsidRDefault="000D0270" w:rsidP="000D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w:t>
      </w:r>
      <w:r>
        <w:rPr>
          <w:rFonts w:hint="cs"/>
          <w:rtl/>
        </w:rPr>
        <w:tab/>
        <w:t>مقدمة</w:t>
      </w:r>
    </w:p>
    <w:p w:rsidR="000D0270" w:rsidRPr="000D0270" w:rsidRDefault="000D0270" w:rsidP="000D0270">
      <w:pPr>
        <w:pStyle w:val="SingleTxt"/>
        <w:spacing w:after="0" w:line="120" w:lineRule="exact"/>
        <w:rPr>
          <w:sz w:val="10"/>
          <w:rtl/>
        </w:rPr>
      </w:pPr>
    </w:p>
    <w:p w:rsidR="000D0270" w:rsidRDefault="000D0270" w:rsidP="000D0270">
      <w:pPr>
        <w:pStyle w:val="SingleTxt"/>
        <w:rPr>
          <w:rtl/>
        </w:rPr>
      </w:pPr>
      <w:r>
        <w:rPr>
          <w:rFonts w:hint="cs"/>
          <w:rtl/>
        </w:rPr>
        <w:t>2-</w:t>
      </w:r>
      <w:r>
        <w:rPr>
          <w:rFonts w:hint="cs"/>
          <w:rtl/>
        </w:rPr>
        <w:tab/>
        <w:t xml:space="preserve">تعرب اللجنة عن تقديرها لتقديم الدولة الطرف تقديمها تقريرها الدوري الثالث، وكذا الردود الكتابية الشاملة </w:t>
      </w:r>
      <w:r>
        <w:t>(CAT/C/SVK/Q/3/Add.2)</w:t>
      </w:r>
      <w:r>
        <w:rPr>
          <w:rFonts w:hint="cs"/>
          <w:rtl/>
        </w:rPr>
        <w:t xml:space="preserve"> المقدمة إلى اللجنة.</w:t>
      </w:r>
    </w:p>
    <w:p w:rsidR="000D0270" w:rsidRDefault="000D0270" w:rsidP="000D0270">
      <w:pPr>
        <w:pStyle w:val="SingleTxt"/>
        <w:rPr>
          <w:rtl/>
          <w:lang w:bidi="ar"/>
        </w:rPr>
      </w:pPr>
      <w:r>
        <w:rPr>
          <w:rFonts w:hint="cs"/>
          <w:rtl/>
        </w:rPr>
        <w:t>3-</w:t>
      </w:r>
      <w:r>
        <w:rPr>
          <w:rFonts w:hint="cs"/>
          <w:rtl/>
        </w:rPr>
        <w:tab/>
      </w:r>
      <w:r>
        <w:rPr>
          <w:rFonts w:hint="cs"/>
          <w:rtl/>
          <w:lang w:bidi="ar"/>
        </w:rPr>
        <w:t>و</w:t>
      </w:r>
      <w:r>
        <w:rPr>
          <w:rtl/>
          <w:lang w:bidi="ar"/>
        </w:rPr>
        <w:t xml:space="preserve">تعرب اللجنة </w:t>
      </w:r>
      <w:r>
        <w:rPr>
          <w:rFonts w:hint="cs"/>
          <w:rtl/>
          <w:lang w:bidi="ar"/>
        </w:rPr>
        <w:t xml:space="preserve">أيضاً </w:t>
      </w:r>
      <w:r>
        <w:rPr>
          <w:rtl/>
          <w:lang w:bidi="ar"/>
        </w:rPr>
        <w:t xml:space="preserve">عن تقديرها لجودة </w:t>
      </w:r>
      <w:r>
        <w:rPr>
          <w:rFonts w:hint="cs"/>
          <w:rtl/>
          <w:lang w:bidi="ar"/>
        </w:rPr>
        <w:t>الحوار الذي جرى مع وفد الدولة الطرف الرفيع المستو</w:t>
      </w:r>
      <w:r w:rsidR="00854563">
        <w:rPr>
          <w:rFonts w:hint="cs"/>
          <w:rtl/>
          <w:lang w:bidi="ar"/>
        </w:rPr>
        <w:t>ى والشامل لعدة قطاعات وللردود ا</w:t>
      </w:r>
      <w:r>
        <w:rPr>
          <w:rFonts w:hint="cs"/>
          <w:rtl/>
          <w:lang w:bidi="ar"/>
        </w:rPr>
        <w:t xml:space="preserve">لمقدمة شفوياً </w:t>
      </w:r>
      <w:r>
        <w:rPr>
          <w:rtl/>
          <w:lang w:bidi="ar"/>
        </w:rPr>
        <w:t xml:space="preserve">على الأسئلة </w:t>
      </w:r>
      <w:r>
        <w:rPr>
          <w:rFonts w:hint="cs"/>
          <w:rtl/>
          <w:lang w:bidi="ar"/>
        </w:rPr>
        <w:t xml:space="preserve">ودواعي القلق </w:t>
      </w:r>
      <w:r>
        <w:rPr>
          <w:rtl/>
          <w:lang w:bidi="ar"/>
        </w:rPr>
        <w:t>التي أثيرت أثناء النظر في التقرير.</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0D0270" w:rsidRPr="000D0270" w:rsidRDefault="000D0270" w:rsidP="000D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0D0270" w:rsidRDefault="000D0270" w:rsidP="000D02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t>باء-</w:t>
      </w:r>
      <w:r>
        <w:rPr>
          <w:rFonts w:hint="cs"/>
          <w:rtl/>
          <w:lang w:bidi="ar"/>
        </w:rPr>
        <w:tab/>
      </w:r>
      <w:r>
        <w:rPr>
          <w:rtl/>
          <w:lang w:bidi="ar"/>
        </w:rPr>
        <w:t>الجوانب الإيجابية</w:t>
      </w:r>
    </w:p>
    <w:p w:rsidR="000D0270" w:rsidRPr="000D0270" w:rsidRDefault="000D0270" w:rsidP="000D0270">
      <w:pPr>
        <w:pStyle w:val="SingleTxt"/>
        <w:spacing w:after="0" w:line="120" w:lineRule="exact"/>
        <w:rPr>
          <w:sz w:val="10"/>
          <w:rtl/>
          <w:lang w:bidi="ar"/>
        </w:rPr>
      </w:pPr>
    </w:p>
    <w:p w:rsidR="000D0270" w:rsidRDefault="000D0270" w:rsidP="000D0270">
      <w:pPr>
        <w:pStyle w:val="SingleTxt"/>
        <w:rPr>
          <w:rtl/>
          <w:lang w:bidi="ar"/>
        </w:rPr>
      </w:pPr>
      <w:r>
        <w:rPr>
          <w:rtl/>
          <w:lang w:bidi="ar"/>
        </w:rPr>
        <w:t>4</w:t>
      </w:r>
      <w:r>
        <w:rPr>
          <w:rFonts w:hint="cs"/>
          <w:rtl/>
          <w:lang w:bidi="ar"/>
        </w:rPr>
        <w:t>-</w:t>
      </w:r>
      <w:r>
        <w:rPr>
          <w:rFonts w:hint="cs"/>
          <w:rtl/>
          <w:lang w:bidi="ar"/>
        </w:rPr>
        <w:tab/>
      </w:r>
      <w:r>
        <w:rPr>
          <w:rtl/>
          <w:lang w:bidi="ar"/>
        </w:rPr>
        <w:t xml:space="preserve">ترحب اللجنة بانضمام الدولة الطرف </w:t>
      </w:r>
      <w:r>
        <w:rPr>
          <w:rFonts w:hint="cs"/>
          <w:rtl/>
          <w:lang w:bidi="ar"/>
        </w:rPr>
        <w:t xml:space="preserve">إلى </w:t>
      </w:r>
      <w:r>
        <w:rPr>
          <w:rtl/>
          <w:lang w:bidi="ar"/>
        </w:rPr>
        <w:t>الصكوك الدولية التالية</w:t>
      </w:r>
      <w:r>
        <w:rPr>
          <w:rFonts w:hint="cs"/>
          <w:rtl/>
          <w:lang w:bidi="ar"/>
        </w:rPr>
        <w:t xml:space="preserve"> وتصديقها عليها</w:t>
      </w:r>
      <w:r>
        <w:rPr>
          <w:rtl/>
          <w:lang w:bidi="ar"/>
        </w:rPr>
        <w:t>:</w:t>
      </w:r>
    </w:p>
    <w:p w:rsidR="000D0270" w:rsidRDefault="000D0270" w:rsidP="000D0270">
      <w:pPr>
        <w:pStyle w:val="SingleTxt"/>
        <w:rPr>
          <w:rtl/>
          <w:lang w:bidi="ar"/>
        </w:rPr>
      </w:pPr>
      <w:r>
        <w:rPr>
          <w:rFonts w:hint="cs"/>
          <w:rtl/>
          <w:lang w:bidi="ar"/>
        </w:rPr>
        <w:tab/>
      </w:r>
      <w:r>
        <w:rPr>
          <w:rtl/>
          <w:lang w:bidi="ar"/>
        </w:rPr>
        <w:t>(أ)</w:t>
      </w:r>
      <w:r>
        <w:rPr>
          <w:rFonts w:hint="cs"/>
          <w:rtl/>
          <w:lang w:bidi="ar"/>
        </w:rPr>
        <w:tab/>
      </w:r>
      <w:r>
        <w:rPr>
          <w:rtl/>
          <w:lang w:bidi="ar"/>
        </w:rPr>
        <w:t xml:space="preserve">البروتوكول الاختياري </w:t>
      </w:r>
      <w:r>
        <w:rPr>
          <w:rFonts w:hint="cs"/>
          <w:rtl/>
          <w:lang w:bidi="ar"/>
        </w:rPr>
        <w:t>الملحق ب</w:t>
      </w:r>
      <w:r>
        <w:rPr>
          <w:rtl/>
          <w:lang w:bidi="ar"/>
        </w:rPr>
        <w:t xml:space="preserve">اتفاقية حقوق الطفل </w:t>
      </w:r>
      <w:r>
        <w:rPr>
          <w:rFonts w:hint="cs"/>
          <w:rtl/>
          <w:lang w:bidi="ar"/>
        </w:rPr>
        <w:t>المتعلق ب</w:t>
      </w:r>
      <w:r>
        <w:rPr>
          <w:rtl/>
          <w:lang w:bidi="ar"/>
        </w:rPr>
        <w:t>بيع الأطفال واستغلال</w:t>
      </w:r>
      <w:r>
        <w:rPr>
          <w:rFonts w:hint="cs"/>
          <w:rtl/>
          <w:lang w:bidi="ar"/>
        </w:rPr>
        <w:t xml:space="preserve"> الأطفال</w:t>
      </w:r>
      <w:r>
        <w:rPr>
          <w:rtl/>
          <w:lang w:bidi="ar"/>
        </w:rPr>
        <w:t xml:space="preserve"> في البغاء </w:t>
      </w:r>
      <w:r>
        <w:rPr>
          <w:rFonts w:hint="cs"/>
          <w:rtl/>
          <w:lang w:bidi="ar"/>
        </w:rPr>
        <w:t>و</w:t>
      </w:r>
      <w:r>
        <w:rPr>
          <w:rtl/>
          <w:lang w:bidi="ar"/>
        </w:rPr>
        <w:t xml:space="preserve">المواد الإباحية، </w:t>
      </w:r>
      <w:r>
        <w:rPr>
          <w:rFonts w:hint="cs"/>
          <w:rtl/>
          <w:lang w:bidi="ar"/>
        </w:rPr>
        <w:t>في أيار/</w:t>
      </w:r>
      <w:r>
        <w:rPr>
          <w:rtl/>
          <w:lang w:bidi="ar"/>
        </w:rPr>
        <w:t>مايو 2010</w:t>
      </w:r>
      <w:r>
        <w:rPr>
          <w:rFonts w:hint="cs"/>
          <w:rtl/>
          <w:lang w:bidi="ar"/>
        </w:rPr>
        <w:t>؛</w:t>
      </w:r>
    </w:p>
    <w:p w:rsidR="000D0270" w:rsidRDefault="000D0270" w:rsidP="000D0270">
      <w:pPr>
        <w:pStyle w:val="SingleTxt"/>
        <w:rPr>
          <w:rtl/>
          <w:lang w:bidi="ar"/>
        </w:rPr>
      </w:pPr>
      <w:r>
        <w:rPr>
          <w:rFonts w:hint="cs"/>
          <w:rtl/>
          <w:lang w:bidi="ar"/>
        </w:rPr>
        <w:tab/>
      </w:r>
      <w:r>
        <w:rPr>
          <w:rtl/>
          <w:lang w:bidi="ar"/>
        </w:rPr>
        <w:t>(ب)</w:t>
      </w:r>
      <w:r>
        <w:rPr>
          <w:rFonts w:hint="cs"/>
          <w:rtl/>
          <w:lang w:bidi="ar"/>
        </w:rPr>
        <w:tab/>
      </w:r>
      <w:r>
        <w:rPr>
          <w:rtl/>
          <w:lang w:bidi="ar"/>
        </w:rPr>
        <w:t xml:space="preserve">البروتوكول الاختياري </w:t>
      </w:r>
      <w:r>
        <w:rPr>
          <w:rFonts w:hint="cs"/>
          <w:rtl/>
          <w:lang w:bidi="ar"/>
        </w:rPr>
        <w:t>الملحق ب</w:t>
      </w:r>
      <w:r>
        <w:rPr>
          <w:rtl/>
          <w:lang w:bidi="ar"/>
        </w:rPr>
        <w:t xml:space="preserve">اتفاقية حقوق الطفل </w:t>
      </w:r>
      <w:r>
        <w:rPr>
          <w:rFonts w:hint="cs"/>
          <w:rtl/>
          <w:lang w:bidi="ar"/>
        </w:rPr>
        <w:t>المتعلق ب</w:t>
      </w:r>
      <w:r>
        <w:rPr>
          <w:rtl/>
          <w:lang w:bidi="ar"/>
        </w:rPr>
        <w:t xml:space="preserve">اشتراك الأطفال في </w:t>
      </w:r>
      <w:r>
        <w:rPr>
          <w:rFonts w:hint="cs"/>
          <w:rtl/>
          <w:lang w:bidi="ar"/>
        </w:rPr>
        <w:t xml:space="preserve">المنازعات </w:t>
      </w:r>
      <w:r>
        <w:rPr>
          <w:rtl/>
          <w:lang w:bidi="ar"/>
        </w:rPr>
        <w:t xml:space="preserve">المسلحة، </w:t>
      </w:r>
      <w:r>
        <w:rPr>
          <w:rFonts w:hint="cs"/>
          <w:rtl/>
          <w:lang w:bidi="ar"/>
        </w:rPr>
        <w:t>في أيار/</w:t>
      </w:r>
      <w:r>
        <w:rPr>
          <w:rtl/>
          <w:lang w:bidi="ar"/>
        </w:rPr>
        <w:t>مايو 2010</w:t>
      </w:r>
      <w:r>
        <w:rPr>
          <w:rFonts w:hint="cs"/>
          <w:rtl/>
          <w:lang w:bidi="ar"/>
        </w:rPr>
        <w:t>؛</w:t>
      </w:r>
    </w:p>
    <w:p w:rsidR="000D0270" w:rsidRDefault="000D0270" w:rsidP="000D0270">
      <w:pPr>
        <w:pStyle w:val="SingleTxt"/>
        <w:rPr>
          <w:rtl/>
          <w:lang w:bidi="ar"/>
        </w:rPr>
      </w:pPr>
      <w:r>
        <w:rPr>
          <w:rFonts w:hint="cs"/>
          <w:rtl/>
          <w:lang w:bidi="ar"/>
        </w:rPr>
        <w:tab/>
      </w:r>
      <w:r>
        <w:rPr>
          <w:rtl/>
          <w:lang w:bidi="ar"/>
        </w:rPr>
        <w:t>(ج)</w:t>
      </w:r>
      <w:r>
        <w:rPr>
          <w:rFonts w:hint="cs"/>
          <w:rtl/>
          <w:lang w:bidi="ar"/>
        </w:rPr>
        <w:tab/>
      </w:r>
      <w:r>
        <w:rPr>
          <w:rtl/>
          <w:lang w:bidi="ar"/>
        </w:rPr>
        <w:t xml:space="preserve">البروتوكول الاختياري الملحق بالعهد الدولي الخاص بالحقوق الاقتصادية والاجتماعية </w:t>
      </w:r>
      <w:r>
        <w:rPr>
          <w:rFonts w:hint="cs"/>
          <w:rtl/>
          <w:lang w:bidi="ar"/>
        </w:rPr>
        <w:t>و</w:t>
      </w:r>
      <w:r>
        <w:rPr>
          <w:rtl/>
          <w:lang w:bidi="ar"/>
        </w:rPr>
        <w:t>الثقافية</w:t>
      </w:r>
      <w:r>
        <w:rPr>
          <w:rFonts w:hint="cs"/>
          <w:rtl/>
          <w:lang w:bidi="ar"/>
        </w:rPr>
        <w:t>،</w:t>
      </w:r>
      <w:r>
        <w:rPr>
          <w:rtl/>
          <w:lang w:bidi="ar"/>
        </w:rPr>
        <w:t xml:space="preserve"> </w:t>
      </w:r>
      <w:r>
        <w:rPr>
          <w:rFonts w:hint="cs"/>
          <w:rtl/>
          <w:lang w:bidi="ar"/>
        </w:rPr>
        <w:t xml:space="preserve">في آذار/مارس </w:t>
      </w:r>
      <w:r>
        <w:rPr>
          <w:rtl/>
          <w:lang w:bidi="ar"/>
        </w:rPr>
        <w:t>2012</w:t>
      </w:r>
      <w:r>
        <w:rPr>
          <w:rFonts w:hint="cs"/>
          <w:rtl/>
          <w:lang w:bidi="ar"/>
        </w:rPr>
        <w:t>؛</w:t>
      </w:r>
    </w:p>
    <w:p w:rsidR="000D0270" w:rsidRDefault="000D0270" w:rsidP="000D0270">
      <w:pPr>
        <w:pStyle w:val="SingleTxt"/>
        <w:rPr>
          <w:rtl/>
          <w:lang w:bidi="ar"/>
        </w:rPr>
      </w:pPr>
      <w:r>
        <w:rPr>
          <w:rFonts w:hint="cs"/>
          <w:rtl/>
          <w:lang w:bidi="ar"/>
        </w:rPr>
        <w:lastRenderedPageBreak/>
        <w:tab/>
      </w:r>
      <w:r>
        <w:rPr>
          <w:rtl/>
          <w:lang w:bidi="ar"/>
        </w:rPr>
        <w:t>(د)</w:t>
      </w:r>
      <w:r>
        <w:rPr>
          <w:rFonts w:hint="cs"/>
          <w:rtl/>
          <w:lang w:bidi="ar"/>
        </w:rPr>
        <w:tab/>
      </w:r>
      <w:r>
        <w:rPr>
          <w:rtl/>
          <w:lang w:bidi="ar"/>
        </w:rPr>
        <w:t xml:space="preserve">الاتفاقية الدولية لحماية جميع الأشخاص من الاختفاء القسري، في </w:t>
      </w:r>
      <w:r>
        <w:rPr>
          <w:rFonts w:hint="cs"/>
          <w:rtl/>
          <w:lang w:bidi="ar"/>
        </w:rPr>
        <w:t>كانون الأول/</w:t>
      </w:r>
      <w:r>
        <w:rPr>
          <w:rtl/>
          <w:lang w:bidi="ar"/>
        </w:rPr>
        <w:t>ديسمبر 2014.</w:t>
      </w:r>
    </w:p>
    <w:p w:rsidR="000D0270" w:rsidRDefault="000D0270" w:rsidP="000D0270">
      <w:pPr>
        <w:pStyle w:val="SingleTxt"/>
        <w:rPr>
          <w:rtl/>
          <w:lang w:bidi="ar"/>
        </w:rPr>
      </w:pPr>
      <w:r>
        <w:rPr>
          <w:rtl/>
          <w:lang w:bidi="ar"/>
        </w:rPr>
        <w:t>5</w:t>
      </w:r>
      <w:r>
        <w:rPr>
          <w:rFonts w:hint="cs"/>
          <w:rtl/>
          <w:lang w:bidi="ar"/>
        </w:rPr>
        <w:t>-</w:t>
      </w:r>
      <w:r>
        <w:rPr>
          <w:rFonts w:hint="cs"/>
          <w:rtl/>
          <w:lang w:bidi="ar"/>
        </w:rPr>
        <w:tab/>
      </w:r>
      <w:r>
        <w:rPr>
          <w:rtl/>
          <w:lang w:bidi="ar"/>
        </w:rPr>
        <w:t xml:space="preserve">وترحب اللجنة </w:t>
      </w:r>
      <w:r>
        <w:rPr>
          <w:rFonts w:hint="cs"/>
          <w:rtl/>
          <w:lang w:bidi="ar"/>
        </w:rPr>
        <w:t>ب</w:t>
      </w:r>
      <w:r>
        <w:rPr>
          <w:rtl/>
          <w:lang w:bidi="ar"/>
        </w:rPr>
        <w:t xml:space="preserve">المبادرات التي اتخذتها الدولة الطرف </w:t>
      </w:r>
      <w:r>
        <w:rPr>
          <w:rFonts w:hint="cs"/>
          <w:rtl/>
          <w:lang w:bidi="ar"/>
        </w:rPr>
        <w:t xml:space="preserve">من أجل تنقيح </w:t>
      </w:r>
      <w:r>
        <w:rPr>
          <w:rtl/>
          <w:lang w:bidi="ar"/>
        </w:rPr>
        <w:t xml:space="preserve">تشريعاتها في المجالات </w:t>
      </w:r>
      <w:r>
        <w:rPr>
          <w:rFonts w:hint="cs"/>
          <w:rtl/>
          <w:lang w:bidi="ar"/>
        </w:rPr>
        <w:t xml:space="preserve">التي لها </w:t>
      </w:r>
      <w:r>
        <w:rPr>
          <w:rtl/>
          <w:lang w:bidi="ar"/>
        </w:rPr>
        <w:t xml:space="preserve">صلة </w:t>
      </w:r>
      <w:r>
        <w:rPr>
          <w:rFonts w:hint="cs"/>
          <w:rtl/>
          <w:lang w:bidi="ar"/>
        </w:rPr>
        <w:t>ب</w:t>
      </w:r>
      <w:r>
        <w:rPr>
          <w:rtl/>
          <w:lang w:bidi="ar"/>
        </w:rPr>
        <w:t xml:space="preserve">الاتفاقية، بما في ذلك </w:t>
      </w:r>
      <w:r>
        <w:rPr>
          <w:rFonts w:hint="cs"/>
          <w:rtl/>
          <w:lang w:bidi="ar"/>
        </w:rPr>
        <w:t>المبادرات التالية</w:t>
      </w:r>
      <w:r>
        <w:rPr>
          <w:rtl/>
          <w:lang w:bidi="ar"/>
        </w:rPr>
        <w:t>:</w:t>
      </w:r>
    </w:p>
    <w:p w:rsidR="000D0270" w:rsidRDefault="000D0270" w:rsidP="000D0270">
      <w:pPr>
        <w:pStyle w:val="SingleTxt"/>
        <w:rPr>
          <w:rtl/>
          <w:lang w:bidi="ar"/>
        </w:rPr>
      </w:pPr>
      <w:r>
        <w:rPr>
          <w:rFonts w:hint="cs"/>
          <w:rtl/>
          <w:lang w:bidi="ar"/>
        </w:rPr>
        <w:tab/>
      </w:r>
      <w:r>
        <w:rPr>
          <w:rtl/>
          <w:lang w:bidi="ar"/>
        </w:rPr>
        <w:t>(أ)</w:t>
      </w:r>
      <w:r>
        <w:rPr>
          <w:rFonts w:hint="cs"/>
          <w:rtl/>
          <w:lang w:bidi="ar"/>
        </w:rPr>
        <w:tab/>
      </w:r>
      <w:r>
        <w:rPr>
          <w:rtl/>
          <w:lang w:bidi="ar"/>
        </w:rPr>
        <w:t>تع</w:t>
      </w:r>
      <w:bookmarkStart w:id="1" w:name="_GoBack"/>
      <w:bookmarkEnd w:id="1"/>
      <w:r>
        <w:rPr>
          <w:rtl/>
          <w:lang w:bidi="ar"/>
        </w:rPr>
        <w:t xml:space="preserve">ديل </w:t>
      </w:r>
      <w:r>
        <w:rPr>
          <w:rFonts w:hint="cs"/>
          <w:rtl/>
          <w:lang w:bidi="ar"/>
        </w:rPr>
        <w:t>ال</w:t>
      </w:r>
      <w:r>
        <w:rPr>
          <w:rtl/>
          <w:lang w:bidi="ar"/>
        </w:rPr>
        <w:t xml:space="preserve">قانون </w:t>
      </w:r>
      <w:r>
        <w:rPr>
          <w:rFonts w:hint="cs"/>
          <w:rtl/>
          <w:lang w:bidi="ar"/>
        </w:rPr>
        <w:t>الجنائي لتمديد النطاق</w:t>
      </w:r>
      <w:r>
        <w:rPr>
          <w:rtl/>
          <w:lang w:bidi="ar"/>
        </w:rPr>
        <w:t xml:space="preserve"> القانوني للتعذيب ل</w:t>
      </w:r>
      <w:r>
        <w:rPr>
          <w:rFonts w:hint="cs"/>
          <w:rtl/>
          <w:lang w:bidi="ar"/>
        </w:rPr>
        <w:t>ي</w:t>
      </w:r>
      <w:r>
        <w:rPr>
          <w:rtl/>
          <w:lang w:bidi="ar"/>
        </w:rPr>
        <w:t xml:space="preserve">شمل الحالات التي </w:t>
      </w:r>
      <w:r>
        <w:rPr>
          <w:rFonts w:hint="cs"/>
          <w:rtl/>
          <w:lang w:bidi="ar"/>
        </w:rPr>
        <w:t xml:space="preserve">تحرض فيها </w:t>
      </w:r>
      <w:r>
        <w:rPr>
          <w:rtl/>
          <w:lang w:bidi="ar"/>
        </w:rPr>
        <w:t xml:space="preserve">سلطة </w:t>
      </w:r>
      <w:r>
        <w:rPr>
          <w:rFonts w:hint="cs"/>
          <w:rtl/>
          <w:lang w:bidi="ar"/>
        </w:rPr>
        <w:t>عمومية على التعذيب</w:t>
      </w:r>
      <w:r>
        <w:rPr>
          <w:rtl/>
          <w:lang w:bidi="ar"/>
        </w:rPr>
        <w:t xml:space="preserve">، </w:t>
      </w:r>
      <w:r>
        <w:rPr>
          <w:rFonts w:hint="cs"/>
          <w:rtl/>
          <w:lang w:bidi="ar"/>
        </w:rPr>
        <w:t>أو توافق عليه صراحة أو ضمنيا</w:t>
      </w:r>
      <w:r w:rsidR="00743E2E">
        <w:rPr>
          <w:rFonts w:hint="cs"/>
          <w:rtl/>
          <w:lang w:bidi="ar"/>
        </w:rPr>
        <w:t>ً</w:t>
      </w:r>
      <w:r>
        <w:rPr>
          <w:rFonts w:hint="cs"/>
          <w:rtl/>
          <w:lang w:bidi="ar"/>
        </w:rPr>
        <w:t xml:space="preserve">، </w:t>
      </w:r>
      <w:r>
        <w:rPr>
          <w:rtl/>
          <w:lang w:bidi="ar"/>
        </w:rPr>
        <w:t>في 2009؛</w:t>
      </w:r>
    </w:p>
    <w:p w:rsidR="000D0270" w:rsidRDefault="000D0270" w:rsidP="000D0270">
      <w:pPr>
        <w:pStyle w:val="SingleTxt"/>
        <w:rPr>
          <w:rtl/>
          <w:lang w:bidi="ar"/>
        </w:rPr>
      </w:pPr>
      <w:r>
        <w:rPr>
          <w:rFonts w:hint="cs"/>
          <w:rtl/>
          <w:lang w:bidi="ar"/>
        </w:rPr>
        <w:tab/>
      </w:r>
      <w:r>
        <w:rPr>
          <w:rtl/>
          <w:lang w:bidi="ar"/>
        </w:rPr>
        <w:t>(ب)</w:t>
      </w:r>
      <w:r>
        <w:rPr>
          <w:rFonts w:hint="cs"/>
          <w:rtl/>
          <w:lang w:bidi="ar"/>
        </w:rPr>
        <w:tab/>
        <w:t xml:space="preserve">التعديلات التي أجريت على </w:t>
      </w:r>
      <w:r>
        <w:rPr>
          <w:rtl/>
          <w:lang w:bidi="ar"/>
        </w:rPr>
        <w:t>قانون تنفيذ أحكام السجن، في 2013؛</w:t>
      </w:r>
    </w:p>
    <w:p w:rsidR="000D0270" w:rsidRDefault="000D0270" w:rsidP="000D0270">
      <w:pPr>
        <w:pStyle w:val="SingleTxt"/>
        <w:rPr>
          <w:rtl/>
          <w:lang w:bidi="ar"/>
        </w:rPr>
      </w:pPr>
      <w:r>
        <w:rPr>
          <w:rFonts w:hint="cs"/>
          <w:rtl/>
          <w:lang w:bidi="ar"/>
        </w:rPr>
        <w:tab/>
      </w:r>
      <w:r>
        <w:rPr>
          <w:rtl/>
          <w:lang w:bidi="ar"/>
        </w:rPr>
        <w:t>(ج)</w:t>
      </w:r>
      <w:r>
        <w:rPr>
          <w:rFonts w:hint="cs"/>
          <w:rtl/>
          <w:lang w:bidi="ar"/>
        </w:rPr>
        <w:tab/>
        <w:t>ال</w:t>
      </w:r>
      <w:r>
        <w:rPr>
          <w:rtl/>
          <w:lang w:bidi="ar"/>
        </w:rPr>
        <w:t xml:space="preserve">تعديلات </w:t>
      </w:r>
      <w:r>
        <w:rPr>
          <w:rFonts w:hint="cs"/>
          <w:rtl/>
          <w:lang w:bidi="ar"/>
        </w:rPr>
        <w:t xml:space="preserve">التي أجريت على </w:t>
      </w:r>
      <w:r>
        <w:rPr>
          <w:rtl/>
          <w:lang w:bidi="ar"/>
        </w:rPr>
        <w:t xml:space="preserve">قانون تنفيذ </w:t>
      </w:r>
      <w:r>
        <w:rPr>
          <w:rFonts w:hint="cs"/>
          <w:rtl/>
          <w:lang w:bidi="ar"/>
        </w:rPr>
        <w:t xml:space="preserve">الاحتجاز </w:t>
      </w:r>
      <w:r>
        <w:rPr>
          <w:rtl/>
          <w:lang w:bidi="ar"/>
        </w:rPr>
        <w:t>الاحتياطي، في 2013؛</w:t>
      </w:r>
    </w:p>
    <w:p w:rsidR="000D0270" w:rsidRDefault="000D0270" w:rsidP="000D0270">
      <w:pPr>
        <w:pStyle w:val="SingleTxt"/>
        <w:rPr>
          <w:rtl/>
          <w:lang w:bidi="ar"/>
        </w:rPr>
      </w:pPr>
      <w:r>
        <w:rPr>
          <w:rFonts w:hint="cs"/>
          <w:rtl/>
          <w:lang w:bidi="ar"/>
        </w:rPr>
        <w:tab/>
      </w:r>
      <w:r>
        <w:rPr>
          <w:rtl/>
          <w:lang w:bidi="ar"/>
        </w:rPr>
        <w:t>(د)</w:t>
      </w:r>
      <w:r>
        <w:rPr>
          <w:rFonts w:hint="cs"/>
          <w:rtl/>
          <w:lang w:bidi="ar"/>
        </w:rPr>
        <w:tab/>
        <w:t xml:space="preserve">اعتماد القانون رقم </w:t>
      </w:r>
      <w:r>
        <w:rPr>
          <w:rtl/>
          <w:lang w:bidi="ar"/>
        </w:rPr>
        <w:t xml:space="preserve">78/2015، </w:t>
      </w:r>
      <w:r>
        <w:rPr>
          <w:rFonts w:hint="cs"/>
          <w:rtl/>
          <w:lang w:bidi="ar"/>
        </w:rPr>
        <w:t xml:space="preserve">المتعلق بمراقبة </w:t>
      </w:r>
      <w:r>
        <w:rPr>
          <w:rtl/>
          <w:lang w:bidi="ar"/>
        </w:rPr>
        <w:t xml:space="preserve">تنفيذ بعض القرارات </w:t>
      </w:r>
      <w:r>
        <w:rPr>
          <w:rFonts w:hint="cs"/>
          <w:rtl/>
          <w:lang w:bidi="ar"/>
        </w:rPr>
        <w:t xml:space="preserve">عبر </w:t>
      </w:r>
      <w:r>
        <w:rPr>
          <w:rtl/>
          <w:lang w:bidi="ar"/>
        </w:rPr>
        <w:t xml:space="preserve">الوسائل التقنية، المتعلقة </w:t>
      </w:r>
      <w:r>
        <w:rPr>
          <w:rFonts w:hint="cs"/>
          <w:rtl/>
          <w:lang w:bidi="ar"/>
        </w:rPr>
        <w:t>ب</w:t>
      </w:r>
      <w:r>
        <w:rPr>
          <w:rtl/>
          <w:lang w:bidi="ar"/>
        </w:rPr>
        <w:t xml:space="preserve">قضاء العقوبات البديلة، وتطبيق </w:t>
      </w:r>
      <w:r>
        <w:rPr>
          <w:rFonts w:hint="cs"/>
          <w:rtl/>
          <w:lang w:bidi="ar"/>
        </w:rPr>
        <w:t xml:space="preserve">أحكام </w:t>
      </w:r>
      <w:r>
        <w:rPr>
          <w:rtl/>
          <w:lang w:bidi="ar"/>
        </w:rPr>
        <w:t xml:space="preserve">الفقرة </w:t>
      </w:r>
      <w:r>
        <w:rPr>
          <w:rFonts w:hint="cs"/>
          <w:rtl/>
          <w:lang w:bidi="ar"/>
        </w:rPr>
        <w:t xml:space="preserve">65(أ) </w:t>
      </w:r>
      <w:r>
        <w:rPr>
          <w:rtl/>
          <w:lang w:bidi="ar"/>
        </w:rPr>
        <w:t xml:space="preserve">من القانون الجنائي، </w:t>
      </w:r>
      <w:r>
        <w:rPr>
          <w:rFonts w:hint="cs"/>
          <w:rtl/>
          <w:lang w:bidi="ar"/>
        </w:rPr>
        <w:t>المتعلقة ب</w:t>
      </w:r>
      <w:r>
        <w:rPr>
          <w:rtl/>
          <w:lang w:bidi="ar"/>
        </w:rPr>
        <w:t>عقوبة الإقامة الجبرية، في 2015؛</w:t>
      </w:r>
    </w:p>
    <w:p w:rsidR="000D0270" w:rsidRDefault="000D0270" w:rsidP="000D0270">
      <w:pPr>
        <w:pStyle w:val="SingleTxt"/>
        <w:rPr>
          <w:rtl/>
          <w:lang w:bidi="ar"/>
        </w:rPr>
      </w:pPr>
      <w:r>
        <w:rPr>
          <w:rFonts w:hint="cs"/>
          <w:rtl/>
          <w:lang w:bidi="ar"/>
        </w:rPr>
        <w:tab/>
      </w:r>
      <w:r>
        <w:rPr>
          <w:rtl/>
          <w:lang w:bidi="ar"/>
        </w:rPr>
        <w:t>(ه)</w:t>
      </w:r>
      <w:r>
        <w:rPr>
          <w:rFonts w:hint="cs"/>
          <w:rtl/>
          <w:lang w:bidi="ar"/>
        </w:rPr>
        <w:tab/>
      </w:r>
      <w:r>
        <w:rPr>
          <w:rtl/>
          <w:lang w:bidi="ar"/>
        </w:rPr>
        <w:t xml:space="preserve">تعديل المادة 179(1) من القانون الجنائي </w:t>
      </w:r>
      <w:r>
        <w:rPr>
          <w:rFonts w:hint="cs"/>
          <w:rtl/>
          <w:lang w:bidi="ar"/>
        </w:rPr>
        <w:t xml:space="preserve">وقانون </w:t>
      </w:r>
      <w:r>
        <w:rPr>
          <w:rtl/>
          <w:lang w:bidi="ar"/>
        </w:rPr>
        <w:t>الإجراءات الجنائية</w:t>
      </w:r>
      <w:r>
        <w:rPr>
          <w:rFonts w:hint="cs"/>
          <w:rtl/>
          <w:lang w:bidi="ar"/>
        </w:rPr>
        <w:t>،</w:t>
      </w:r>
      <w:r>
        <w:rPr>
          <w:rtl/>
          <w:lang w:bidi="ar"/>
        </w:rPr>
        <w:t xml:space="preserve"> </w:t>
      </w:r>
      <w:r>
        <w:rPr>
          <w:rFonts w:hint="cs"/>
          <w:rtl/>
          <w:lang w:bidi="ar"/>
        </w:rPr>
        <w:t>المعدل ل</w:t>
      </w:r>
      <w:r>
        <w:rPr>
          <w:rtl/>
          <w:lang w:bidi="ar"/>
        </w:rPr>
        <w:t>تعريف الاتجار بالبشر ل</w:t>
      </w:r>
      <w:r>
        <w:rPr>
          <w:rFonts w:hint="cs"/>
          <w:rtl/>
          <w:lang w:bidi="ar"/>
        </w:rPr>
        <w:t>ي</w:t>
      </w:r>
      <w:r>
        <w:rPr>
          <w:rtl/>
          <w:lang w:bidi="ar"/>
        </w:rPr>
        <w:t xml:space="preserve">شمل </w:t>
      </w:r>
      <w:r>
        <w:rPr>
          <w:rFonts w:hint="cs"/>
          <w:rtl/>
          <w:lang w:bidi="ar"/>
        </w:rPr>
        <w:t>ال</w:t>
      </w:r>
      <w:r>
        <w:rPr>
          <w:rtl/>
          <w:lang w:bidi="ar"/>
        </w:rPr>
        <w:t xml:space="preserve">أشكال </w:t>
      </w:r>
      <w:r>
        <w:rPr>
          <w:rFonts w:hint="cs"/>
          <w:rtl/>
          <w:lang w:bidi="ar"/>
        </w:rPr>
        <w:t>ال</w:t>
      </w:r>
      <w:r>
        <w:rPr>
          <w:rtl/>
          <w:lang w:bidi="ar"/>
        </w:rPr>
        <w:t xml:space="preserve">جديدة </w:t>
      </w:r>
      <w:r>
        <w:rPr>
          <w:rFonts w:hint="cs"/>
          <w:rtl/>
          <w:lang w:bidi="ar"/>
        </w:rPr>
        <w:t>ل</w:t>
      </w:r>
      <w:r>
        <w:rPr>
          <w:rtl/>
          <w:lang w:bidi="ar"/>
        </w:rPr>
        <w:t>لسلوك المعاق</w:t>
      </w:r>
      <w:r>
        <w:rPr>
          <w:rFonts w:hint="cs"/>
          <w:rtl/>
          <w:lang w:bidi="ar"/>
        </w:rPr>
        <w:t>َ</w:t>
      </w:r>
      <w:r>
        <w:rPr>
          <w:rtl/>
          <w:lang w:bidi="ar"/>
        </w:rPr>
        <w:t>ب عليه، في 2013؛</w:t>
      </w:r>
    </w:p>
    <w:p w:rsidR="000D0270" w:rsidRDefault="000D0270" w:rsidP="000D0270">
      <w:pPr>
        <w:pStyle w:val="SingleTxt"/>
        <w:rPr>
          <w:rtl/>
          <w:lang w:bidi="ar"/>
        </w:rPr>
      </w:pPr>
      <w:r>
        <w:rPr>
          <w:rFonts w:hint="cs"/>
          <w:rtl/>
          <w:lang w:bidi="ar"/>
        </w:rPr>
        <w:tab/>
      </w:r>
      <w:r>
        <w:rPr>
          <w:rtl/>
          <w:lang w:bidi="ar"/>
        </w:rPr>
        <w:t>(و)</w:t>
      </w:r>
      <w:r>
        <w:rPr>
          <w:rFonts w:hint="cs"/>
          <w:rtl/>
          <w:lang w:bidi="ar"/>
        </w:rPr>
        <w:tab/>
      </w:r>
      <w:r>
        <w:rPr>
          <w:rtl/>
          <w:lang w:bidi="ar"/>
        </w:rPr>
        <w:t xml:space="preserve">تعديل قانون </w:t>
      </w:r>
      <w:r>
        <w:rPr>
          <w:rFonts w:hint="cs"/>
          <w:rtl/>
          <w:lang w:bidi="ar"/>
        </w:rPr>
        <w:t>المدارس الذي ينظم</w:t>
      </w:r>
      <w:r>
        <w:rPr>
          <w:rtl/>
          <w:lang w:bidi="ar"/>
        </w:rPr>
        <w:t xml:space="preserve"> جملة أمور</w:t>
      </w:r>
      <w:r>
        <w:rPr>
          <w:rFonts w:hint="cs"/>
          <w:rtl/>
          <w:lang w:bidi="ar"/>
        </w:rPr>
        <w:t xml:space="preserve"> منها</w:t>
      </w:r>
      <w:r>
        <w:rPr>
          <w:rtl/>
          <w:lang w:bidi="ar"/>
        </w:rPr>
        <w:t xml:space="preserve"> </w:t>
      </w:r>
      <w:r>
        <w:rPr>
          <w:rFonts w:hint="cs"/>
          <w:rtl/>
          <w:lang w:bidi="ar"/>
        </w:rPr>
        <w:t xml:space="preserve">التسجيل </w:t>
      </w:r>
      <w:r>
        <w:rPr>
          <w:rtl/>
          <w:lang w:bidi="ar"/>
        </w:rPr>
        <w:t xml:space="preserve">في </w:t>
      </w:r>
      <w:r>
        <w:rPr>
          <w:rFonts w:hint="cs"/>
          <w:rtl/>
          <w:lang w:bidi="ar"/>
        </w:rPr>
        <w:t>الفصول ال</w:t>
      </w:r>
      <w:r>
        <w:rPr>
          <w:rtl/>
          <w:lang w:bidi="ar"/>
        </w:rPr>
        <w:t>خاصة، في 2015.</w:t>
      </w:r>
    </w:p>
    <w:p w:rsidR="000D0270" w:rsidRDefault="000D0270" w:rsidP="000D0270">
      <w:pPr>
        <w:pStyle w:val="SingleTxt"/>
        <w:rPr>
          <w:rtl/>
          <w:lang w:bidi="ar"/>
        </w:rPr>
      </w:pPr>
      <w:r>
        <w:rPr>
          <w:rtl/>
          <w:lang w:bidi="ar"/>
        </w:rPr>
        <w:t>6</w:t>
      </w:r>
      <w:r>
        <w:rPr>
          <w:rFonts w:hint="cs"/>
          <w:rtl/>
          <w:lang w:bidi="ar"/>
        </w:rPr>
        <w:t>-</w:t>
      </w:r>
      <w:r>
        <w:rPr>
          <w:rFonts w:hint="cs"/>
          <w:rtl/>
          <w:lang w:bidi="ar"/>
        </w:rPr>
        <w:tab/>
        <w:t>و</w:t>
      </w:r>
      <w:r>
        <w:rPr>
          <w:rtl/>
          <w:lang w:bidi="ar"/>
        </w:rPr>
        <w:t>ترحب اللجنة أيضا</w:t>
      </w:r>
      <w:r>
        <w:rPr>
          <w:rFonts w:hint="cs"/>
          <w:rtl/>
          <w:lang w:bidi="ar"/>
        </w:rPr>
        <w:t>ً</w:t>
      </w:r>
      <w:r>
        <w:rPr>
          <w:rtl/>
          <w:lang w:bidi="ar"/>
        </w:rPr>
        <w:t xml:space="preserve"> </w:t>
      </w:r>
      <w:r>
        <w:rPr>
          <w:rFonts w:hint="cs"/>
          <w:rtl/>
          <w:lang w:bidi="ar"/>
        </w:rPr>
        <w:t>بال</w:t>
      </w:r>
      <w:r>
        <w:rPr>
          <w:rtl/>
          <w:lang w:bidi="ar"/>
        </w:rPr>
        <w:t xml:space="preserve">مبادرات </w:t>
      </w:r>
      <w:r>
        <w:rPr>
          <w:rFonts w:hint="cs"/>
          <w:rtl/>
          <w:lang w:bidi="ar"/>
        </w:rPr>
        <w:t xml:space="preserve">التي اتخذتها </w:t>
      </w:r>
      <w:r>
        <w:rPr>
          <w:rtl/>
          <w:lang w:bidi="ar"/>
        </w:rPr>
        <w:t xml:space="preserve">الدولة الطرف </w:t>
      </w:r>
      <w:r>
        <w:rPr>
          <w:rFonts w:hint="cs"/>
          <w:rtl/>
          <w:lang w:bidi="ar"/>
        </w:rPr>
        <w:t xml:space="preserve">من أجل </w:t>
      </w:r>
      <w:r>
        <w:rPr>
          <w:rtl/>
          <w:lang w:bidi="ar"/>
        </w:rPr>
        <w:t>تعديل سياساتها</w:t>
      </w:r>
      <w:r>
        <w:rPr>
          <w:rFonts w:hint="cs"/>
          <w:rtl/>
          <w:lang w:bidi="ar"/>
        </w:rPr>
        <w:t>،</w:t>
      </w:r>
      <w:r>
        <w:rPr>
          <w:rtl/>
          <w:lang w:bidi="ar"/>
        </w:rPr>
        <w:t xml:space="preserve"> وبرامجها و</w:t>
      </w:r>
      <w:r>
        <w:rPr>
          <w:rFonts w:hint="cs"/>
          <w:rtl/>
          <w:lang w:bidi="ar"/>
        </w:rPr>
        <w:t xml:space="preserve">تدابيرها </w:t>
      </w:r>
      <w:r>
        <w:rPr>
          <w:rtl/>
          <w:lang w:bidi="ar"/>
        </w:rPr>
        <w:t xml:space="preserve">الإدارية </w:t>
      </w:r>
      <w:r>
        <w:rPr>
          <w:rFonts w:hint="cs"/>
          <w:rtl/>
          <w:lang w:bidi="ar"/>
        </w:rPr>
        <w:t xml:space="preserve">لتفعيل أحكام </w:t>
      </w:r>
      <w:r>
        <w:rPr>
          <w:rtl/>
          <w:lang w:bidi="ar"/>
        </w:rPr>
        <w:t>الاتفاقية، بما في ذلك</w:t>
      </w:r>
      <w:r>
        <w:rPr>
          <w:rFonts w:hint="cs"/>
          <w:rtl/>
          <w:lang w:bidi="ar"/>
        </w:rPr>
        <w:t xml:space="preserve"> المبادرات التالية</w:t>
      </w:r>
      <w:r>
        <w:rPr>
          <w:rtl/>
          <w:lang w:bidi="ar"/>
        </w:rPr>
        <w:t>:</w:t>
      </w:r>
    </w:p>
    <w:p w:rsidR="000D0270" w:rsidRDefault="000D0270" w:rsidP="000D0270">
      <w:pPr>
        <w:pStyle w:val="SingleTxt"/>
        <w:rPr>
          <w:rtl/>
          <w:lang w:bidi="ar"/>
        </w:rPr>
      </w:pPr>
      <w:r>
        <w:rPr>
          <w:rFonts w:hint="cs"/>
          <w:rtl/>
          <w:lang w:bidi="ar"/>
        </w:rPr>
        <w:tab/>
      </w:r>
      <w:r>
        <w:rPr>
          <w:rtl/>
          <w:lang w:bidi="ar"/>
        </w:rPr>
        <w:t>(أ)</w:t>
      </w:r>
      <w:r>
        <w:rPr>
          <w:rFonts w:hint="cs"/>
          <w:rtl/>
          <w:lang w:bidi="ar"/>
        </w:rPr>
        <w:tab/>
      </w:r>
      <w:r>
        <w:rPr>
          <w:rtl/>
          <w:lang w:bidi="ar"/>
        </w:rPr>
        <w:t xml:space="preserve">اعتماد استراتيجية </w:t>
      </w:r>
      <w:r>
        <w:rPr>
          <w:rFonts w:hint="cs"/>
          <w:rtl/>
          <w:lang w:bidi="ar"/>
        </w:rPr>
        <w:t>إدماج ال</w:t>
      </w:r>
      <w:r>
        <w:rPr>
          <w:rtl/>
          <w:lang w:bidi="ar"/>
        </w:rPr>
        <w:t xml:space="preserve">روما </w:t>
      </w:r>
      <w:r>
        <w:rPr>
          <w:rFonts w:hint="cs"/>
          <w:rtl/>
          <w:lang w:bidi="ar"/>
        </w:rPr>
        <w:t>للفترة الممتدة حتى</w:t>
      </w:r>
      <w:r w:rsidR="00441AB4">
        <w:rPr>
          <w:rFonts w:hint="cs"/>
          <w:rtl/>
          <w:lang w:bidi="ar"/>
        </w:rPr>
        <w:t xml:space="preserve"> </w:t>
      </w:r>
      <w:r>
        <w:rPr>
          <w:rtl/>
          <w:lang w:bidi="ar"/>
        </w:rPr>
        <w:t xml:space="preserve">عام 2020، في 11 </w:t>
      </w:r>
      <w:r>
        <w:rPr>
          <w:rFonts w:hint="cs"/>
          <w:rtl/>
          <w:lang w:bidi="ar"/>
        </w:rPr>
        <w:t>كانون الثاني/</w:t>
      </w:r>
      <w:r>
        <w:rPr>
          <w:rtl/>
          <w:lang w:bidi="ar"/>
        </w:rPr>
        <w:t>يناير 2012، و</w:t>
      </w:r>
      <w:r>
        <w:rPr>
          <w:rFonts w:hint="cs"/>
          <w:rtl/>
          <w:lang w:bidi="ar"/>
        </w:rPr>
        <w:t xml:space="preserve">اعتماد </w:t>
      </w:r>
      <w:r>
        <w:rPr>
          <w:rtl/>
          <w:lang w:bidi="ar"/>
        </w:rPr>
        <w:t xml:space="preserve">خطة </w:t>
      </w:r>
      <w:r>
        <w:rPr>
          <w:rFonts w:hint="cs"/>
          <w:rtl/>
          <w:lang w:bidi="ar"/>
        </w:rPr>
        <w:t>ال</w:t>
      </w:r>
      <w:r>
        <w:rPr>
          <w:rtl/>
          <w:lang w:bidi="ar"/>
        </w:rPr>
        <w:t xml:space="preserve">عمل </w:t>
      </w:r>
      <w:r>
        <w:rPr>
          <w:rFonts w:hint="cs"/>
          <w:rtl/>
          <w:lang w:bidi="ar"/>
        </w:rPr>
        <w:t>ال</w:t>
      </w:r>
      <w:r>
        <w:rPr>
          <w:rtl/>
          <w:lang w:bidi="ar"/>
        </w:rPr>
        <w:t xml:space="preserve">وطنية لعقد إدماج </w:t>
      </w:r>
      <w:r>
        <w:rPr>
          <w:rFonts w:hint="cs"/>
          <w:rtl/>
          <w:lang w:bidi="ar"/>
        </w:rPr>
        <w:t xml:space="preserve">الروما </w:t>
      </w:r>
      <w:r>
        <w:rPr>
          <w:rtl/>
          <w:lang w:bidi="ar"/>
        </w:rPr>
        <w:t>للسنوات 2011-2015</w:t>
      </w:r>
      <w:r>
        <w:rPr>
          <w:rFonts w:hint="cs"/>
          <w:rtl/>
          <w:lang w:bidi="ar"/>
        </w:rPr>
        <w:t>؛</w:t>
      </w:r>
    </w:p>
    <w:p w:rsidR="000D0270" w:rsidRDefault="000D0270" w:rsidP="000D0270">
      <w:pPr>
        <w:pStyle w:val="SingleTxt"/>
        <w:rPr>
          <w:rtl/>
          <w:lang w:bidi="ar"/>
        </w:rPr>
      </w:pPr>
      <w:r>
        <w:rPr>
          <w:rFonts w:hint="cs"/>
          <w:rtl/>
          <w:lang w:bidi="ar"/>
        </w:rPr>
        <w:tab/>
      </w:r>
      <w:r>
        <w:rPr>
          <w:rtl/>
          <w:lang w:bidi="ar"/>
        </w:rPr>
        <w:t>(ب)</w:t>
      </w:r>
      <w:r>
        <w:rPr>
          <w:rFonts w:hint="cs"/>
          <w:rtl/>
          <w:lang w:bidi="ar"/>
        </w:rPr>
        <w:tab/>
      </w:r>
      <w:r>
        <w:rPr>
          <w:rtl/>
          <w:lang w:bidi="ar"/>
        </w:rPr>
        <w:t xml:space="preserve">اعتماد مفهوم </w:t>
      </w:r>
      <w:r>
        <w:rPr>
          <w:rFonts w:hint="cs"/>
          <w:rtl/>
          <w:lang w:bidi="ar"/>
        </w:rPr>
        <w:t xml:space="preserve">تثبيت وتحديث </w:t>
      </w:r>
      <w:r>
        <w:rPr>
          <w:rtl/>
          <w:lang w:bidi="ar"/>
        </w:rPr>
        <w:t>القضاء، في 2013؛</w:t>
      </w:r>
    </w:p>
    <w:p w:rsidR="000D0270" w:rsidRDefault="000D0270" w:rsidP="000D0270">
      <w:pPr>
        <w:pStyle w:val="SingleTxt"/>
        <w:rPr>
          <w:rtl/>
          <w:lang w:bidi="ar"/>
        </w:rPr>
      </w:pPr>
      <w:r w:rsidRPr="000D0270">
        <w:rPr>
          <w:rFonts w:hint="cs"/>
          <w:spacing w:val="-8"/>
          <w:rtl/>
          <w:lang w:bidi="ar"/>
        </w:rPr>
        <w:tab/>
      </w:r>
      <w:r w:rsidRPr="000D0270">
        <w:rPr>
          <w:spacing w:val="-8"/>
          <w:rtl/>
          <w:lang w:bidi="ar"/>
        </w:rPr>
        <w:t>(ج)</w:t>
      </w:r>
      <w:r w:rsidRPr="000D0270">
        <w:rPr>
          <w:rFonts w:hint="cs"/>
          <w:spacing w:val="-8"/>
          <w:rtl/>
          <w:lang w:bidi="ar"/>
        </w:rPr>
        <w:tab/>
        <w:t>اعتماد خطة ال</w:t>
      </w:r>
      <w:r w:rsidRPr="000D0270">
        <w:rPr>
          <w:spacing w:val="-8"/>
          <w:rtl/>
          <w:lang w:bidi="ar"/>
        </w:rPr>
        <w:t xml:space="preserve">عمل </w:t>
      </w:r>
      <w:r w:rsidRPr="000D0270">
        <w:rPr>
          <w:rFonts w:hint="cs"/>
          <w:spacing w:val="-8"/>
          <w:rtl/>
          <w:lang w:bidi="ar"/>
        </w:rPr>
        <w:t>ال</w:t>
      </w:r>
      <w:r w:rsidRPr="000D0270">
        <w:rPr>
          <w:spacing w:val="-8"/>
          <w:rtl/>
          <w:lang w:bidi="ar"/>
        </w:rPr>
        <w:t xml:space="preserve">وطنية </w:t>
      </w:r>
      <w:r w:rsidRPr="000D0270">
        <w:rPr>
          <w:rFonts w:hint="cs"/>
          <w:spacing w:val="-8"/>
          <w:rtl/>
          <w:lang w:bidi="ar"/>
        </w:rPr>
        <w:t xml:space="preserve">لمنع العنف ضد </w:t>
      </w:r>
      <w:r w:rsidRPr="000D0270">
        <w:rPr>
          <w:spacing w:val="-8"/>
          <w:rtl/>
          <w:lang w:bidi="ar"/>
        </w:rPr>
        <w:t xml:space="preserve">المرأة </w:t>
      </w:r>
      <w:r w:rsidRPr="000D0270">
        <w:rPr>
          <w:rFonts w:hint="cs"/>
          <w:spacing w:val="-8"/>
          <w:rtl/>
          <w:lang w:bidi="ar"/>
        </w:rPr>
        <w:t xml:space="preserve">والقضاء عليه للفترة </w:t>
      </w:r>
      <w:r w:rsidRPr="000D0270">
        <w:rPr>
          <w:spacing w:val="-8"/>
          <w:rtl/>
          <w:lang w:bidi="ar"/>
        </w:rPr>
        <w:t>2014-</w:t>
      </w:r>
      <w:r>
        <w:rPr>
          <w:rtl/>
          <w:lang w:bidi="ar"/>
        </w:rPr>
        <w:t>2019، في 18 كانون الأول</w:t>
      </w:r>
      <w:r>
        <w:rPr>
          <w:rFonts w:hint="cs"/>
          <w:rtl/>
          <w:lang w:bidi="ar"/>
        </w:rPr>
        <w:t>/ديسمبر</w:t>
      </w:r>
      <w:r>
        <w:rPr>
          <w:rtl/>
          <w:lang w:bidi="ar"/>
        </w:rPr>
        <w:t xml:space="preserve"> 2013؛</w:t>
      </w:r>
    </w:p>
    <w:p w:rsidR="000D0270" w:rsidRDefault="000D0270" w:rsidP="000D0270">
      <w:pPr>
        <w:pStyle w:val="SingleTxt"/>
        <w:rPr>
          <w:rtl/>
          <w:lang w:bidi="ar"/>
        </w:rPr>
      </w:pPr>
      <w:r>
        <w:rPr>
          <w:rFonts w:hint="cs"/>
          <w:rtl/>
          <w:lang w:bidi="ar"/>
        </w:rPr>
        <w:tab/>
      </w:r>
      <w:r>
        <w:rPr>
          <w:rtl/>
          <w:lang w:bidi="ar"/>
        </w:rPr>
        <w:t>(د)</w:t>
      </w:r>
      <w:r>
        <w:rPr>
          <w:rFonts w:hint="cs"/>
          <w:rtl/>
          <w:lang w:bidi="ar"/>
        </w:rPr>
        <w:tab/>
      </w:r>
      <w:r>
        <w:rPr>
          <w:rtl/>
          <w:lang w:bidi="ar"/>
        </w:rPr>
        <w:t xml:space="preserve">إنشاء مركز </w:t>
      </w:r>
      <w:r>
        <w:rPr>
          <w:rFonts w:hint="cs"/>
          <w:rtl/>
          <w:lang w:bidi="ar"/>
        </w:rPr>
        <w:t>ال</w:t>
      </w:r>
      <w:r>
        <w:rPr>
          <w:rtl/>
          <w:lang w:bidi="ar"/>
        </w:rPr>
        <w:t xml:space="preserve">تنسيق والمنهجية </w:t>
      </w:r>
      <w:r>
        <w:rPr>
          <w:rFonts w:hint="cs"/>
          <w:rtl/>
          <w:lang w:bidi="ar"/>
        </w:rPr>
        <w:t xml:space="preserve">لمنع العنف ضد المرأة </w:t>
      </w:r>
      <w:r>
        <w:rPr>
          <w:rtl/>
          <w:lang w:bidi="ar"/>
        </w:rPr>
        <w:t xml:space="preserve">والعنف المنزلي </w:t>
      </w:r>
      <w:r>
        <w:rPr>
          <w:rFonts w:hint="cs"/>
          <w:rtl/>
          <w:lang w:bidi="ar"/>
        </w:rPr>
        <w:t xml:space="preserve">والقضاء عليهما وإحداث </w:t>
      </w:r>
      <w:r>
        <w:rPr>
          <w:rtl/>
          <w:lang w:bidi="ar"/>
        </w:rPr>
        <w:t xml:space="preserve">خط </w:t>
      </w:r>
      <w:r>
        <w:rPr>
          <w:rFonts w:hint="cs"/>
          <w:rtl/>
          <w:lang w:bidi="ar"/>
        </w:rPr>
        <w:t xml:space="preserve">هاتفي </w:t>
      </w:r>
      <w:r>
        <w:rPr>
          <w:rtl/>
          <w:lang w:bidi="ar"/>
        </w:rPr>
        <w:t xml:space="preserve">مجاني على مدار </w:t>
      </w:r>
      <w:r>
        <w:rPr>
          <w:rFonts w:hint="cs"/>
          <w:rtl/>
          <w:lang w:bidi="ar"/>
        </w:rPr>
        <w:t>ال</w:t>
      </w:r>
      <w:r>
        <w:rPr>
          <w:rtl/>
          <w:lang w:bidi="ar"/>
        </w:rPr>
        <w:t xml:space="preserve">ساعة </w:t>
      </w:r>
      <w:r>
        <w:rPr>
          <w:rFonts w:hint="cs"/>
          <w:rtl/>
          <w:lang w:bidi="ar"/>
        </w:rPr>
        <w:t>من تمويل الدولة لمساعدة ا</w:t>
      </w:r>
      <w:r>
        <w:rPr>
          <w:rtl/>
          <w:lang w:bidi="ar"/>
        </w:rPr>
        <w:t xml:space="preserve">لنساء اللواتي يتعرضن للعنف، </w:t>
      </w:r>
      <w:r>
        <w:rPr>
          <w:rFonts w:hint="cs"/>
          <w:rtl/>
          <w:lang w:bidi="ar"/>
        </w:rPr>
        <w:t>في آذار/</w:t>
      </w:r>
      <w:r>
        <w:rPr>
          <w:rtl/>
          <w:lang w:bidi="ar"/>
        </w:rPr>
        <w:t>مارس 2015</w:t>
      </w:r>
      <w:r>
        <w:rPr>
          <w:rFonts w:hint="cs"/>
          <w:rtl/>
          <w:lang w:bidi="ar"/>
        </w:rPr>
        <w:t>؛</w:t>
      </w:r>
    </w:p>
    <w:p w:rsidR="000D0270" w:rsidRDefault="000D0270" w:rsidP="000D0270">
      <w:pPr>
        <w:pStyle w:val="SingleTxt"/>
        <w:rPr>
          <w:rtl/>
          <w:lang w:bidi="ar"/>
        </w:rPr>
      </w:pPr>
      <w:r>
        <w:rPr>
          <w:rFonts w:hint="cs"/>
          <w:rtl/>
          <w:lang w:bidi="ar"/>
        </w:rPr>
        <w:tab/>
      </w:r>
      <w:r>
        <w:rPr>
          <w:rtl/>
          <w:lang w:bidi="ar"/>
        </w:rPr>
        <w:t>(ه)</w:t>
      </w:r>
      <w:r>
        <w:rPr>
          <w:rFonts w:hint="cs"/>
          <w:rtl/>
          <w:lang w:bidi="ar"/>
        </w:rPr>
        <w:tab/>
      </w:r>
      <w:r>
        <w:rPr>
          <w:rtl/>
          <w:lang w:bidi="ar"/>
        </w:rPr>
        <w:t>اعتماد ا</w:t>
      </w:r>
      <w:r>
        <w:rPr>
          <w:rFonts w:hint="cs"/>
          <w:rtl/>
          <w:lang w:bidi="ar"/>
        </w:rPr>
        <w:t>لا</w:t>
      </w:r>
      <w:r>
        <w:rPr>
          <w:rtl/>
          <w:lang w:bidi="ar"/>
        </w:rPr>
        <w:t xml:space="preserve">ستراتيجية </w:t>
      </w:r>
      <w:r>
        <w:rPr>
          <w:rFonts w:hint="cs"/>
          <w:rtl/>
          <w:lang w:bidi="ar"/>
        </w:rPr>
        <w:t>ال</w:t>
      </w:r>
      <w:r>
        <w:rPr>
          <w:rtl/>
          <w:lang w:bidi="ar"/>
        </w:rPr>
        <w:t>وطنية لحماية الأطفال من العنف، في 15 كانون الثاني</w:t>
      </w:r>
      <w:r>
        <w:rPr>
          <w:rFonts w:hint="cs"/>
          <w:rtl/>
          <w:lang w:bidi="ar"/>
        </w:rPr>
        <w:t xml:space="preserve">/ يناير </w:t>
      </w:r>
      <w:r>
        <w:rPr>
          <w:rtl/>
          <w:lang w:bidi="ar"/>
        </w:rPr>
        <w:t xml:space="preserve">2014، وخطة </w:t>
      </w:r>
      <w:r>
        <w:rPr>
          <w:rFonts w:hint="cs"/>
          <w:rtl/>
          <w:lang w:bidi="ar"/>
        </w:rPr>
        <w:t>ال</w:t>
      </w:r>
      <w:r>
        <w:rPr>
          <w:rtl/>
          <w:lang w:bidi="ar"/>
        </w:rPr>
        <w:t xml:space="preserve">عمل </w:t>
      </w:r>
      <w:r>
        <w:rPr>
          <w:rFonts w:hint="cs"/>
          <w:rtl/>
          <w:lang w:bidi="ar"/>
        </w:rPr>
        <w:t>ال</w:t>
      </w:r>
      <w:r>
        <w:rPr>
          <w:rtl/>
          <w:lang w:bidi="ar"/>
        </w:rPr>
        <w:t xml:space="preserve">وطنية </w:t>
      </w:r>
      <w:r>
        <w:rPr>
          <w:rFonts w:hint="cs"/>
          <w:rtl/>
          <w:lang w:bidi="ar"/>
        </w:rPr>
        <w:t xml:space="preserve">للطفولة </w:t>
      </w:r>
      <w:r>
        <w:rPr>
          <w:rtl/>
          <w:lang w:bidi="ar"/>
        </w:rPr>
        <w:t>ل</w:t>
      </w:r>
      <w:r>
        <w:rPr>
          <w:rFonts w:hint="cs"/>
          <w:rtl/>
          <w:lang w:bidi="ar"/>
        </w:rPr>
        <w:t xml:space="preserve">لفترة </w:t>
      </w:r>
      <w:r>
        <w:rPr>
          <w:rtl/>
          <w:lang w:bidi="ar"/>
        </w:rPr>
        <w:t>2013-2017، وإنشاء مركز التنسيق الوطني لمعالجة القضايا المتعلقة بالعنف ضد الأطفال؛</w:t>
      </w:r>
    </w:p>
    <w:p w:rsidR="000D0270" w:rsidRDefault="000D0270" w:rsidP="000D0270">
      <w:pPr>
        <w:pStyle w:val="SingleTxt"/>
        <w:rPr>
          <w:rtl/>
          <w:lang w:bidi="ar"/>
        </w:rPr>
      </w:pPr>
      <w:r>
        <w:rPr>
          <w:rFonts w:hint="cs"/>
          <w:rtl/>
          <w:lang w:bidi="ar"/>
        </w:rPr>
        <w:lastRenderedPageBreak/>
        <w:tab/>
      </w:r>
      <w:r>
        <w:rPr>
          <w:rtl/>
          <w:lang w:bidi="ar"/>
        </w:rPr>
        <w:t>(و)</w:t>
      </w:r>
      <w:r>
        <w:rPr>
          <w:rFonts w:hint="cs"/>
          <w:rtl/>
          <w:lang w:bidi="ar"/>
        </w:rPr>
        <w:tab/>
      </w:r>
      <w:r>
        <w:rPr>
          <w:rtl/>
          <w:lang w:bidi="ar"/>
        </w:rPr>
        <w:t xml:space="preserve">اعتماد </w:t>
      </w:r>
      <w:r>
        <w:rPr>
          <w:rFonts w:hint="cs"/>
          <w:rtl/>
          <w:lang w:bidi="ar"/>
        </w:rPr>
        <w:t>ال</w:t>
      </w:r>
      <w:r>
        <w:rPr>
          <w:rtl/>
          <w:lang w:bidi="ar"/>
        </w:rPr>
        <w:t xml:space="preserve">برنامج </w:t>
      </w:r>
      <w:r>
        <w:rPr>
          <w:rFonts w:hint="cs"/>
          <w:rtl/>
          <w:lang w:bidi="ar"/>
        </w:rPr>
        <w:t>ال</w:t>
      </w:r>
      <w:r>
        <w:rPr>
          <w:rtl/>
          <w:lang w:bidi="ar"/>
        </w:rPr>
        <w:t>وطني لمكافحة الاتجار بالبشر ل</w:t>
      </w:r>
      <w:r>
        <w:rPr>
          <w:rFonts w:hint="cs"/>
          <w:rtl/>
          <w:lang w:bidi="ar"/>
        </w:rPr>
        <w:t xml:space="preserve">لفترة </w:t>
      </w:r>
      <w:r>
        <w:rPr>
          <w:rtl/>
          <w:lang w:bidi="ar"/>
        </w:rPr>
        <w:t>2015-2018 وإنشاء خط ساخن وطني لحماية ضحايا الاتجار بالبشر.</w:t>
      </w:r>
    </w:p>
    <w:p w:rsidR="000D0270" w:rsidRPr="000D0270" w:rsidRDefault="000D0270" w:rsidP="000D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0D0270" w:rsidRPr="000D0270" w:rsidRDefault="000D0270" w:rsidP="000D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0D0270" w:rsidRDefault="000D0270" w:rsidP="000D02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t>جيم-</w:t>
      </w:r>
      <w:r>
        <w:rPr>
          <w:rFonts w:hint="cs"/>
          <w:rtl/>
          <w:lang w:bidi="ar"/>
        </w:rPr>
        <w:tab/>
      </w:r>
      <w:r>
        <w:rPr>
          <w:rtl/>
          <w:lang w:bidi="ar"/>
        </w:rPr>
        <w:t>دواعي القلق الرئيسية والتوصيات</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r>
      <w:r>
        <w:rPr>
          <w:rFonts w:hint="cs"/>
          <w:rtl/>
          <w:lang w:bidi="ar"/>
        </w:rPr>
        <w:tab/>
      </w:r>
      <w:r>
        <w:rPr>
          <w:rtl/>
          <w:lang w:bidi="ar"/>
        </w:rPr>
        <w:t>تعريف التعذيب</w:t>
      </w:r>
    </w:p>
    <w:p w:rsidR="000D0270" w:rsidRDefault="000D0270" w:rsidP="000D0270">
      <w:pPr>
        <w:pStyle w:val="SingleTxt"/>
        <w:rPr>
          <w:rtl/>
          <w:lang w:bidi="ar"/>
        </w:rPr>
      </w:pPr>
      <w:r>
        <w:rPr>
          <w:rtl/>
          <w:lang w:bidi="ar"/>
        </w:rPr>
        <w:t>7</w:t>
      </w:r>
      <w:r>
        <w:rPr>
          <w:rFonts w:hint="cs"/>
          <w:rtl/>
          <w:lang w:bidi="ar"/>
        </w:rPr>
        <w:t>-</w:t>
      </w:r>
      <w:r>
        <w:rPr>
          <w:rFonts w:hint="cs"/>
          <w:rtl/>
          <w:lang w:bidi="ar"/>
        </w:rPr>
        <w:tab/>
      </w:r>
      <w:r>
        <w:rPr>
          <w:rtl/>
          <w:lang w:bidi="ar"/>
        </w:rPr>
        <w:t xml:space="preserve">بينما تلاحظ </w:t>
      </w:r>
      <w:r>
        <w:rPr>
          <w:rFonts w:hint="cs"/>
          <w:rtl/>
          <w:lang w:bidi="ar"/>
        </w:rPr>
        <w:t xml:space="preserve">اللجنة </w:t>
      </w:r>
      <w:r>
        <w:rPr>
          <w:rtl/>
          <w:lang w:bidi="ar"/>
        </w:rPr>
        <w:t xml:space="preserve">بعض التعديلات </w:t>
      </w:r>
      <w:r>
        <w:rPr>
          <w:rFonts w:hint="cs"/>
          <w:rtl/>
          <w:lang w:bidi="ar"/>
        </w:rPr>
        <w:t xml:space="preserve">التي أجريت </w:t>
      </w:r>
      <w:r>
        <w:rPr>
          <w:rtl/>
          <w:lang w:bidi="ar"/>
        </w:rPr>
        <w:t xml:space="preserve">على التشريعات الوطنية </w:t>
      </w:r>
      <w:r>
        <w:rPr>
          <w:rFonts w:hint="cs"/>
          <w:rtl/>
          <w:lang w:bidi="ar"/>
        </w:rPr>
        <w:t xml:space="preserve">المتعلقة </w:t>
      </w:r>
      <w:r>
        <w:rPr>
          <w:rtl/>
          <w:lang w:bidi="ar"/>
        </w:rPr>
        <w:t xml:space="preserve">بجريمة التعذيب، </w:t>
      </w:r>
      <w:r>
        <w:rPr>
          <w:rFonts w:hint="cs"/>
          <w:rtl/>
          <w:lang w:bidi="ar"/>
        </w:rPr>
        <w:t xml:space="preserve">تعرب </w:t>
      </w:r>
      <w:r>
        <w:rPr>
          <w:rtl/>
          <w:lang w:bidi="ar"/>
        </w:rPr>
        <w:t xml:space="preserve">اللجنة </w:t>
      </w:r>
      <w:r>
        <w:rPr>
          <w:rFonts w:hint="cs"/>
          <w:rtl/>
          <w:lang w:bidi="ar"/>
        </w:rPr>
        <w:t xml:space="preserve">عن قلقها </w:t>
      </w:r>
      <w:r>
        <w:rPr>
          <w:rtl/>
          <w:lang w:bidi="ar"/>
        </w:rPr>
        <w:t xml:space="preserve">لأن </w:t>
      </w:r>
      <w:r>
        <w:rPr>
          <w:rFonts w:hint="cs"/>
          <w:rtl/>
          <w:lang w:bidi="ar"/>
        </w:rPr>
        <w:t xml:space="preserve">القانون الجنائي (المادتان 1 و4) لا يتضمن تعريفاً شاملاً </w:t>
      </w:r>
      <w:r>
        <w:rPr>
          <w:rtl/>
          <w:lang w:bidi="ar"/>
        </w:rPr>
        <w:t xml:space="preserve">للتعذيب </w:t>
      </w:r>
      <w:r>
        <w:rPr>
          <w:rFonts w:hint="cs"/>
          <w:rtl/>
          <w:lang w:bidi="ar"/>
        </w:rPr>
        <w:t xml:space="preserve">يتناول </w:t>
      </w:r>
      <w:r>
        <w:rPr>
          <w:rtl/>
          <w:lang w:bidi="ar"/>
        </w:rPr>
        <w:t xml:space="preserve">جميع عناصر المادة 1 من الاتفاقية، لا سيما </w:t>
      </w:r>
      <w:r>
        <w:rPr>
          <w:rFonts w:hint="cs"/>
          <w:rtl/>
          <w:lang w:bidi="ar"/>
        </w:rPr>
        <w:t>ال</w:t>
      </w:r>
      <w:r>
        <w:rPr>
          <w:rtl/>
          <w:lang w:bidi="ar"/>
        </w:rPr>
        <w:t xml:space="preserve">إشارة </w:t>
      </w:r>
      <w:r>
        <w:rPr>
          <w:rFonts w:hint="cs"/>
          <w:rtl/>
          <w:lang w:bidi="ar"/>
        </w:rPr>
        <w:t>إلى التمييز تحديداً</w:t>
      </w:r>
      <w:r>
        <w:rPr>
          <w:rtl/>
          <w:lang w:bidi="ar"/>
        </w:rPr>
        <w:t>.</w:t>
      </w:r>
    </w:p>
    <w:p w:rsidR="000D0270" w:rsidRPr="000D0270" w:rsidRDefault="000D0270" w:rsidP="000D0270">
      <w:pPr>
        <w:pStyle w:val="SingleTxt"/>
        <w:rPr>
          <w:b/>
          <w:bCs/>
          <w:rtl/>
          <w:lang w:bidi="ar"/>
        </w:rPr>
      </w:pPr>
      <w:r w:rsidRPr="000D0270">
        <w:rPr>
          <w:rFonts w:hint="cs"/>
          <w:b/>
          <w:bCs/>
          <w:rtl/>
          <w:lang w:bidi="ar"/>
        </w:rPr>
        <w:tab/>
      </w:r>
      <w:r w:rsidRPr="000D0270">
        <w:rPr>
          <w:b/>
          <w:bCs/>
          <w:rtl/>
          <w:lang w:bidi="ar"/>
        </w:rPr>
        <w:t xml:space="preserve">تحث اللجنة الدولة الطرف على اعتماد تعريف للتعذيب يشمل جميع العناصر الواردة في المادة 1 من الاتفاقية </w:t>
      </w:r>
      <w:r w:rsidRPr="000D0270">
        <w:rPr>
          <w:rFonts w:hint="cs"/>
          <w:b/>
          <w:bCs/>
          <w:rtl/>
          <w:lang w:bidi="ar"/>
        </w:rPr>
        <w:t xml:space="preserve">والحرص على أن تكون </w:t>
      </w:r>
      <w:r w:rsidRPr="000D0270">
        <w:rPr>
          <w:b/>
          <w:bCs/>
          <w:rtl/>
          <w:lang w:bidi="ar"/>
        </w:rPr>
        <w:t xml:space="preserve">العقوبات </w:t>
      </w:r>
      <w:r w:rsidRPr="000D0270">
        <w:rPr>
          <w:rFonts w:hint="cs"/>
          <w:b/>
          <w:bCs/>
          <w:rtl/>
          <w:lang w:bidi="ar"/>
        </w:rPr>
        <w:t>المتعلقة ب</w:t>
      </w:r>
      <w:r w:rsidRPr="000D0270">
        <w:rPr>
          <w:b/>
          <w:bCs/>
          <w:rtl/>
          <w:lang w:bidi="ar"/>
        </w:rPr>
        <w:t xml:space="preserve">التعذيب </w:t>
      </w:r>
      <w:r w:rsidRPr="000D0270">
        <w:rPr>
          <w:rFonts w:hint="cs"/>
          <w:b/>
          <w:bCs/>
          <w:rtl/>
          <w:lang w:bidi="ar"/>
        </w:rPr>
        <w:t xml:space="preserve">متناسبة </w:t>
      </w:r>
      <w:r w:rsidRPr="000D0270">
        <w:rPr>
          <w:b/>
          <w:bCs/>
          <w:rtl/>
          <w:lang w:bidi="ar"/>
        </w:rPr>
        <w:t xml:space="preserve">مع </w:t>
      </w:r>
      <w:r w:rsidRPr="000D0270">
        <w:rPr>
          <w:rFonts w:hint="cs"/>
          <w:b/>
          <w:bCs/>
          <w:rtl/>
          <w:lang w:bidi="ar"/>
        </w:rPr>
        <w:t xml:space="preserve">جسامة </w:t>
      </w:r>
      <w:r w:rsidRPr="000D0270">
        <w:rPr>
          <w:b/>
          <w:bCs/>
          <w:rtl/>
          <w:lang w:bidi="ar"/>
        </w:rPr>
        <w:t>هذه الجريمة وفقا</w:t>
      </w:r>
      <w:r w:rsidRPr="000D0270">
        <w:rPr>
          <w:rFonts w:hint="cs"/>
          <w:b/>
          <w:bCs/>
          <w:rtl/>
          <w:lang w:bidi="ar"/>
        </w:rPr>
        <w:t>ً</w:t>
      </w:r>
      <w:r w:rsidRPr="000D0270">
        <w:rPr>
          <w:b/>
          <w:bCs/>
          <w:rtl/>
          <w:lang w:bidi="ar"/>
        </w:rPr>
        <w:t xml:space="preserve"> ل</w:t>
      </w:r>
      <w:r w:rsidRPr="000D0270">
        <w:rPr>
          <w:rFonts w:hint="cs"/>
          <w:b/>
          <w:bCs/>
          <w:rtl/>
          <w:lang w:bidi="ar"/>
        </w:rPr>
        <w:t>أحكام ا</w:t>
      </w:r>
      <w:r w:rsidRPr="000D0270">
        <w:rPr>
          <w:b/>
          <w:bCs/>
          <w:rtl/>
          <w:lang w:bidi="ar"/>
        </w:rPr>
        <w:t xml:space="preserve">لمادة 4(2) من الاتفاقية. </w:t>
      </w:r>
      <w:r w:rsidRPr="000D0270">
        <w:rPr>
          <w:rFonts w:hint="cs"/>
          <w:b/>
          <w:bCs/>
          <w:rtl/>
          <w:lang w:bidi="ar"/>
        </w:rPr>
        <w:t>و</w:t>
      </w:r>
      <w:r w:rsidRPr="000D0270">
        <w:rPr>
          <w:b/>
          <w:bCs/>
          <w:rtl/>
          <w:lang w:bidi="ar"/>
        </w:rPr>
        <w:t xml:space="preserve">في هذا الصدد، </w:t>
      </w:r>
      <w:r w:rsidRPr="000D0270">
        <w:rPr>
          <w:rFonts w:hint="cs"/>
          <w:b/>
          <w:bCs/>
          <w:rtl/>
          <w:lang w:bidi="ar"/>
        </w:rPr>
        <w:t xml:space="preserve">تسترعي </w:t>
      </w:r>
      <w:r w:rsidRPr="000D0270">
        <w:rPr>
          <w:b/>
          <w:bCs/>
          <w:rtl/>
          <w:lang w:bidi="ar"/>
        </w:rPr>
        <w:t xml:space="preserve">اللجنة </w:t>
      </w:r>
      <w:r w:rsidRPr="000D0270">
        <w:rPr>
          <w:rFonts w:hint="cs"/>
          <w:b/>
          <w:bCs/>
          <w:rtl/>
          <w:lang w:bidi="ar"/>
        </w:rPr>
        <w:t xml:space="preserve">الاهتمام </w:t>
      </w:r>
      <w:r w:rsidRPr="000D0270">
        <w:rPr>
          <w:b/>
          <w:bCs/>
          <w:rtl/>
          <w:lang w:bidi="ar"/>
        </w:rPr>
        <w:t xml:space="preserve">إلى تعليقها العام رقم 2(2007) </w:t>
      </w:r>
      <w:r w:rsidRPr="000D0270">
        <w:rPr>
          <w:rFonts w:hint="cs"/>
          <w:b/>
          <w:bCs/>
          <w:rtl/>
          <w:lang w:bidi="ar"/>
        </w:rPr>
        <w:t>المتعلق ب</w:t>
      </w:r>
      <w:r w:rsidRPr="000D0270">
        <w:rPr>
          <w:b/>
          <w:bCs/>
          <w:rtl/>
          <w:lang w:bidi="ar"/>
        </w:rPr>
        <w:t xml:space="preserve">تنفيذ </w:t>
      </w:r>
      <w:r w:rsidRPr="000D0270">
        <w:rPr>
          <w:rFonts w:hint="cs"/>
          <w:b/>
          <w:bCs/>
          <w:rtl/>
          <w:lang w:bidi="ar"/>
        </w:rPr>
        <w:t xml:space="preserve">الدول الأطراف لأحكام </w:t>
      </w:r>
      <w:r w:rsidRPr="000D0270">
        <w:rPr>
          <w:b/>
          <w:bCs/>
          <w:rtl/>
          <w:lang w:bidi="ar"/>
        </w:rPr>
        <w:t>المادة 2</w:t>
      </w:r>
      <w:r w:rsidRPr="000D0270">
        <w:rPr>
          <w:rFonts w:hint="cs"/>
          <w:b/>
          <w:bCs/>
          <w:rtl/>
          <w:lang w:bidi="ar"/>
        </w:rPr>
        <w:t>،</w:t>
      </w:r>
      <w:r w:rsidRPr="000D0270">
        <w:rPr>
          <w:b/>
          <w:bCs/>
          <w:rtl/>
          <w:lang w:bidi="ar"/>
        </w:rPr>
        <w:t xml:space="preserve"> </w:t>
      </w:r>
      <w:r w:rsidRPr="000D0270">
        <w:rPr>
          <w:rFonts w:hint="cs"/>
          <w:b/>
          <w:bCs/>
          <w:rtl/>
          <w:lang w:bidi="ar"/>
        </w:rPr>
        <w:t xml:space="preserve">والذي تذكر فيه، </w:t>
      </w:r>
      <w:r w:rsidRPr="000D0270">
        <w:rPr>
          <w:b/>
          <w:bCs/>
          <w:rtl/>
          <w:lang w:bidi="ar"/>
        </w:rPr>
        <w:t xml:space="preserve">في الفقرة 9، أن تناقضات خطيرة بين </w:t>
      </w:r>
      <w:r w:rsidRPr="000D0270">
        <w:rPr>
          <w:rFonts w:hint="cs"/>
          <w:b/>
          <w:bCs/>
          <w:rtl/>
          <w:lang w:bidi="ar"/>
        </w:rPr>
        <w:t>ال</w:t>
      </w:r>
      <w:r w:rsidRPr="000D0270">
        <w:rPr>
          <w:b/>
          <w:bCs/>
          <w:rtl/>
          <w:lang w:bidi="ar"/>
        </w:rPr>
        <w:t>تعريف</w:t>
      </w:r>
      <w:r w:rsidRPr="000D0270">
        <w:rPr>
          <w:rFonts w:hint="cs"/>
          <w:b/>
          <w:bCs/>
          <w:rtl/>
          <w:lang w:bidi="ar"/>
        </w:rPr>
        <w:t xml:space="preserve"> الوارد في</w:t>
      </w:r>
      <w:r w:rsidRPr="000D0270">
        <w:rPr>
          <w:b/>
          <w:bCs/>
          <w:rtl/>
          <w:lang w:bidi="ar"/>
        </w:rPr>
        <w:t xml:space="preserve"> الاتفاقية و</w:t>
      </w:r>
      <w:r w:rsidRPr="000D0270">
        <w:rPr>
          <w:rFonts w:hint="cs"/>
          <w:b/>
          <w:bCs/>
          <w:rtl/>
          <w:lang w:bidi="ar"/>
        </w:rPr>
        <w:t xml:space="preserve">التعريف الوارد في </w:t>
      </w:r>
      <w:r w:rsidRPr="000D0270">
        <w:rPr>
          <w:b/>
          <w:bCs/>
          <w:rtl/>
          <w:lang w:bidi="ar"/>
        </w:rPr>
        <w:t xml:space="preserve">القانون </w:t>
      </w:r>
      <w:r w:rsidRPr="000D0270">
        <w:rPr>
          <w:rFonts w:hint="cs"/>
          <w:b/>
          <w:bCs/>
          <w:rtl/>
          <w:lang w:bidi="ar"/>
        </w:rPr>
        <w:t xml:space="preserve">الداخلي تُحدث </w:t>
      </w:r>
      <w:r w:rsidRPr="000D0270">
        <w:rPr>
          <w:b/>
          <w:bCs/>
          <w:rtl/>
          <w:lang w:bidi="ar"/>
        </w:rPr>
        <w:t>ثغرات فعلية أو محتملة للإفلات من العقاب.</w:t>
      </w:r>
    </w:p>
    <w:p w:rsidR="00854563" w:rsidRPr="00854563" w:rsidRDefault="00854563" w:rsidP="0085456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r>
      <w:r>
        <w:rPr>
          <w:rFonts w:hint="cs"/>
          <w:rtl/>
          <w:lang w:bidi="ar"/>
        </w:rPr>
        <w:tab/>
      </w:r>
      <w:r>
        <w:rPr>
          <w:rtl/>
          <w:lang w:bidi="ar"/>
        </w:rPr>
        <w:t>الضمانات القانونية الأساسية</w:t>
      </w:r>
    </w:p>
    <w:p w:rsidR="000D0270" w:rsidRDefault="000D0270" w:rsidP="000D0270">
      <w:pPr>
        <w:pStyle w:val="SingleTxt"/>
        <w:rPr>
          <w:rtl/>
          <w:lang w:bidi="ar"/>
        </w:rPr>
      </w:pPr>
      <w:r>
        <w:rPr>
          <w:rtl/>
          <w:lang w:bidi="ar"/>
        </w:rPr>
        <w:t>8</w:t>
      </w:r>
      <w:r>
        <w:rPr>
          <w:rFonts w:hint="cs"/>
          <w:rtl/>
          <w:lang w:bidi="ar"/>
        </w:rPr>
        <w:t>-</w:t>
      </w:r>
      <w:r>
        <w:rPr>
          <w:rFonts w:hint="cs"/>
          <w:rtl/>
          <w:lang w:bidi="ar"/>
        </w:rPr>
        <w:tab/>
        <w:t xml:space="preserve">تعرب عن قلقها لأن </w:t>
      </w:r>
      <w:r>
        <w:rPr>
          <w:rtl/>
          <w:lang w:bidi="ar"/>
        </w:rPr>
        <w:t xml:space="preserve">الأشخاص </w:t>
      </w:r>
      <w:r>
        <w:rPr>
          <w:rFonts w:hint="cs"/>
          <w:rtl/>
          <w:lang w:bidi="ar"/>
        </w:rPr>
        <w:t>المحتجزين، لا يتمتعون</w:t>
      </w:r>
      <w:r>
        <w:rPr>
          <w:rtl/>
          <w:lang w:bidi="ar"/>
        </w:rPr>
        <w:t xml:space="preserve">، في الممارسة، </w:t>
      </w:r>
      <w:r>
        <w:rPr>
          <w:rFonts w:hint="cs"/>
          <w:rtl/>
          <w:lang w:bidi="ar"/>
        </w:rPr>
        <w:t>ب</w:t>
      </w:r>
      <w:r>
        <w:rPr>
          <w:rtl/>
          <w:lang w:bidi="ar"/>
        </w:rPr>
        <w:t xml:space="preserve">جميع الضمانات القانونية الأساسية منذ </w:t>
      </w:r>
      <w:r>
        <w:rPr>
          <w:rFonts w:hint="cs"/>
          <w:rtl/>
          <w:lang w:bidi="ar"/>
        </w:rPr>
        <w:t>لحظة سلبهم حريتهم</w:t>
      </w:r>
      <w:r>
        <w:rPr>
          <w:rtl/>
          <w:lang w:bidi="ar"/>
        </w:rPr>
        <w:t xml:space="preserve">، لا سيما بعد </w:t>
      </w:r>
      <w:r>
        <w:rPr>
          <w:rFonts w:hint="cs"/>
          <w:rtl/>
          <w:lang w:bidi="ar"/>
        </w:rPr>
        <w:t xml:space="preserve">الاحتجاز </w:t>
      </w:r>
      <w:r>
        <w:rPr>
          <w:rtl/>
          <w:lang w:bidi="ar"/>
        </w:rPr>
        <w:t>من قبل الشرطة، و</w:t>
      </w:r>
      <w:r>
        <w:rPr>
          <w:rFonts w:hint="cs"/>
          <w:rtl/>
          <w:lang w:bidi="ar"/>
        </w:rPr>
        <w:t>ل</w:t>
      </w:r>
      <w:r>
        <w:rPr>
          <w:rtl/>
          <w:lang w:bidi="ar"/>
        </w:rPr>
        <w:t>أن الق</w:t>
      </w:r>
      <w:r>
        <w:rPr>
          <w:rFonts w:hint="cs"/>
          <w:rtl/>
          <w:lang w:bidi="ar"/>
        </w:rPr>
        <w:t>ُ</w:t>
      </w:r>
      <w:r>
        <w:rPr>
          <w:rtl/>
          <w:lang w:bidi="ar"/>
        </w:rPr>
        <w:t xml:space="preserve">صر </w:t>
      </w:r>
      <w:r>
        <w:rPr>
          <w:rFonts w:hint="cs"/>
          <w:rtl/>
          <w:lang w:bidi="ar"/>
        </w:rPr>
        <w:t>قد يخضعون لل</w:t>
      </w:r>
      <w:r>
        <w:rPr>
          <w:rtl/>
          <w:lang w:bidi="ar"/>
        </w:rPr>
        <w:t xml:space="preserve">استجواب </w:t>
      </w:r>
      <w:r>
        <w:rPr>
          <w:rFonts w:hint="cs"/>
          <w:rtl/>
          <w:lang w:bidi="ar"/>
        </w:rPr>
        <w:t>ال</w:t>
      </w:r>
      <w:r>
        <w:rPr>
          <w:rtl/>
          <w:lang w:bidi="ar"/>
        </w:rPr>
        <w:t xml:space="preserve">أولي </w:t>
      </w:r>
      <w:r>
        <w:rPr>
          <w:rFonts w:hint="cs"/>
          <w:rtl/>
          <w:lang w:bidi="ar"/>
        </w:rPr>
        <w:t>ب</w:t>
      </w:r>
      <w:r>
        <w:rPr>
          <w:rtl/>
          <w:lang w:bidi="ar"/>
        </w:rPr>
        <w:t>دون حضور محاميهم</w:t>
      </w:r>
      <w:r>
        <w:rPr>
          <w:rFonts w:hint="cs"/>
          <w:rtl/>
          <w:lang w:bidi="ar"/>
        </w:rPr>
        <w:t>، أو</w:t>
      </w:r>
      <w:r>
        <w:rPr>
          <w:rtl/>
          <w:lang w:bidi="ar"/>
        </w:rPr>
        <w:t xml:space="preserve"> </w:t>
      </w:r>
      <w:r>
        <w:rPr>
          <w:rFonts w:hint="cs"/>
          <w:rtl/>
          <w:lang w:bidi="ar"/>
        </w:rPr>
        <w:t xml:space="preserve">آبائهم </w:t>
      </w:r>
      <w:r>
        <w:rPr>
          <w:rtl/>
          <w:lang w:bidi="ar"/>
        </w:rPr>
        <w:t>أو غيرهم من الأشخاص الموثوق</w:t>
      </w:r>
      <w:r>
        <w:rPr>
          <w:rFonts w:hint="cs"/>
          <w:rtl/>
          <w:lang w:bidi="ar"/>
        </w:rPr>
        <w:t xml:space="preserve">ين </w:t>
      </w:r>
      <w:r>
        <w:rPr>
          <w:rtl/>
          <w:lang w:bidi="ar"/>
        </w:rPr>
        <w:t>(المواد 2 و12 و13 و16).</w:t>
      </w:r>
    </w:p>
    <w:p w:rsidR="000D0270" w:rsidRPr="006638A9" w:rsidRDefault="000D0270" w:rsidP="000D0270">
      <w:pPr>
        <w:pStyle w:val="SingleTxt"/>
        <w:rPr>
          <w:b/>
          <w:bCs/>
          <w:rtl/>
          <w:lang w:bidi="ar"/>
        </w:rPr>
      </w:pPr>
      <w:r>
        <w:rPr>
          <w:rFonts w:hint="cs"/>
          <w:rtl/>
          <w:lang w:bidi="ar"/>
        </w:rPr>
        <w:tab/>
      </w:r>
      <w:r w:rsidRPr="006638A9">
        <w:rPr>
          <w:b/>
          <w:bCs/>
          <w:rtl/>
          <w:lang w:bidi="ar"/>
        </w:rPr>
        <w:t>ينبغي للد</w:t>
      </w:r>
      <w:r>
        <w:rPr>
          <w:b/>
          <w:bCs/>
          <w:rtl/>
          <w:lang w:bidi="ar"/>
        </w:rPr>
        <w:t xml:space="preserve">ولة الطرف أن تتخذ تدابير فعالة </w:t>
      </w:r>
      <w:r>
        <w:rPr>
          <w:rFonts w:hint="cs"/>
          <w:b/>
          <w:bCs/>
          <w:rtl/>
          <w:lang w:bidi="ar"/>
        </w:rPr>
        <w:t>حتى يتسنى ل</w:t>
      </w:r>
      <w:r w:rsidRPr="006638A9">
        <w:rPr>
          <w:b/>
          <w:bCs/>
          <w:rtl/>
          <w:lang w:bidi="ar"/>
        </w:rPr>
        <w:t xml:space="preserve">جميع الأشخاص المحتجزين، </w:t>
      </w:r>
      <w:r>
        <w:rPr>
          <w:rFonts w:hint="cs"/>
          <w:b/>
          <w:bCs/>
          <w:rtl/>
          <w:lang w:bidi="ar"/>
        </w:rPr>
        <w:t xml:space="preserve">بمن فيهم </w:t>
      </w:r>
      <w:r w:rsidRPr="006638A9">
        <w:rPr>
          <w:b/>
          <w:bCs/>
          <w:rtl/>
          <w:lang w:bidi="ar"/>
        </w:rPr>
        <w:t>الق</w:t>
      </w:r>
      <w:r>
        <w:rPr>
          <w:rFonts w:hint="cs"/>
          <w:b/>
          <w:bCs/>
          <w:rtl/>
          <w:lang w:bidi="ar"/>
        </w:rPr>
        <w:t>ُ</w:t>
      </w:r>
      <w:r w:rsidRPr="006638A9">
        <w:rPr>
          <w:b/>
          <w:bCs/>
          <w:rtl/>
          <w:lang w:bidi="ar"/>
        </w:rPr>
        <w:t>ص</w:t>
      </w:r>
      <w:r>
        <w:rPr>
          <w:rFonts w:hint="cs"/>
          <w:b/>
          <w:bCs/>
          <w:rtl/>
          <w:lang w:bidi="ar"/>
        </w:rPr>
        <w:t>ّ</w:t>
      </w:r>
      <w:r w:rsidRPr="006638A9">
        <w:rPr>
          <w:b/>
          <w:bCs/>
          <w:rtl/>
          <w:lang w:bidi="ar"/>
        </w:rPr>
        <w:t>ر،</w:t>
      </w:r>
      <w:r>
        <w:rPr>
          <w:rFonts w:hint="cs"/>
          <w:b/>
          <w:bCs/>
          <w:rtl/>
          <w:lang w:bidi="ar"/>
        </w:rPr>
        <w:t xml:space="preserve"> التمتع</w:t>
      </w:r>
      <w:r w:rsidRPr="006638A9">
        <w:rPr>
          <w:b/>
          <w:bCs/>
          <w:rtl/>
          <w:lang w:bidi="ar"/>
        </w:rPr>
        <w:t xml:space="preserve"> </w:t>
      </w:r>
      <w:r>
        <w:rPr>
          <w:rFonts w:hint="cs"/>
          <w:b/>
          <w:bCs/>
          <w:rtl/>
          <w:lang w:bidi="ar"/>
        </w:rPr>
        <w:t>في الممارسة</w:t>
      </w:r>
      <w:r w:rsidRPr="006638A9">
        <w:rPr>
          <w:b/>
          <w:bCs/>
          <w:rtl/>
          <w:lang w:bidi="ar"/>
        </w:rPr>
        <w:t xml:space="preserve">، </w:t>
      </w:r>
      <w:r>
        <w:rPr>
          <w:rFonts w:hint="cs"/>
          <w:b/>
          <w:bCs/>
          <w:rtl/>
          <w:lang w:bidi="ar"/>
        </w:rPr>
        <w:t>ب</w:t>
      </w:r>
      <w:r w:rsidRPr="006638A9">
        <w:rPr>
          <w:b/>
          <w:bCs/>
          <w:rtl/>
          <w:lang w:bidi="ar"/>
        </w:rPr>
        <w:t xml:space="preserve">جميع الضمانات القانونية الأساسية منذ </w:t>
      </w:r>
      <w:r>
        <w:rPr>
          <w:rFonts w:hint="cs"/>
          <w:b/>
          <w:bCs/>
          <w:rtl/>
          <w:lang w:bidi="ar"/>
        </w:rPr>
        <w:t>لحظة سلبهم حريتهم</w:t>
      </w:r>
      <w:r w:rsidRPr="006638A9">
        <w:rPr>
          <w:b/>
          <w:bCs/>
          <w:rtl/>
          <w:lang w:bidi="ar"/>
        </w:rPr>
        <w:t>، وفقا</w:t>
      </w:r>
      <w:r>
        <w:rPr>
          <w:rFonts w:hint="cs"/>
          <w:b/>
          <w:bCs/>
          <w:rtl/>
          <w:lang w:bidi="ar"/>
        </w:rPr>
        <w:t>ً</w:t>
      </w:r>
      <w:r w:rsidRPr="006638A9">
        <w:rPr>
          <w:b/>
          <w:bCs/>
          <w:rtl/>
          <w:lang w:bidi="ar"/>
        </w:rPr>
        <w:t xml:space="preserve"> للمعايير الدولية، بما في ذلك:</w:t>
      </w:r>
    </w:p>
    <w:p w:rsidR="000D0270" w:rsidRPr="006638A9" w:rsidRDefault="000D0270" w:rsidP="000D0270">
      <w:pPr>
        <w:pStyle w:val="SingleTxt"/>
        <w:rPr>
          <w:b/>
          <w:bCs/>
          <w:rtl/>
          <w:lang w:bidi="ar"/>
        </w:rPr>
      </w:pPr>
      <w:r w:rsidRPr="00D64D02">
        <w:rPr>
          <w:rFonts w:hint="cs"/>
          <w:rtl/>
          <w:lang w:bidi="ar"/>
        </w:rPr>
        <w:tab/>
      </w:r>
      <w:r w:rsidRPr="00D64D02">
        <w:rPr>
          <w:rtl/>
          <w:lang w:bidi="ar"/>
        </w:rPr>
        <w:t>(أ)</w:t>
      </w:r>
      <w:r w:rsidRPr="00D64D02">
        <w:rPr>
          <w:rFonts w:hint="cs"/>
          <w:rtl/>
          <w:lang w:bidi="ar"/>
        </w:rPr>
        <w:tab/>
      </w:r>
      <w:r w:rsidRPr="006638A9">
        <w:rPr>
          <w:rFonts w:hint="cs"/>
          <w:b/>
          <w:bCs/>
          <w:rtl/>
          <w:lang w:bidi="ar"/>
        </w:rPr>
        <w:t xml:space="preserve">إبلاغهم </w:t>
      </w:r>
      <w:r w:rsidRPr="006638A9">
        <w:rPr>
          <w:b/>
          <w:bCs/>
          <w:rtl/>
          <w:lang w:bidi="ar"/>
        </w:rPr>
        <w:t>شفويا</w:t>
      </w:r>
      <w:r w:rsidRPr="006638A9">
        <w:rPr>
          <w:rFonts w:hint="cs"/>
          <w:b/>
          <w:bCs/>
          <w:rtl/>
          <w:lang w:bidi="ar"/>
        </w:rPr>
        <w:t>ً</w:t>
      </w:r>
      <w:r w:rsidRPr="006638A9">
        <w:rPr>
          <w:b/>
          <w:bCs/>
          <w:rtl/>
          <w:lang w:bidi="ar"/>
        </w:rPr>
        <w:t xml:space="preserve"> وكتابيا</w:t>
      </w:r>
      <w:r w:rsidRPr="006638A9">
        <w:rPr>
          <w:rFonts w:hint="cs"/>
          <w:b/>
          <w:bCs/>
          <w:rtl/>
          <w:lang w:bidi="ar"/>
        </w:rPr>
        <w:t>ً</w:t>
      </w:r>
      <w:r w:rsidRPr="006638A9">
        <w:rPr>
          <w:b/>
          <w:bCs/>
          <w:rtl/>
          <w:lang w:bidi="ar"/>
        </w:rPr>
        <w:t xml:space="preserve">، بلغة يفهمونها، </w:t>
      </w:r>
      <w:r w:rsidRPr="006638A9">
        <w:rPr>
          <w:rFonts w:hint="cs"/>
          <w:b/>
          <w:bCs/>
          <w:rtl/>
          <w:lang w:bidi="ar"/>
        </w:rPr>
        <w:t>ب</w:t>
      </w:r>
      <w:r w:rsidRPr="006638A9">
        <w:rPr>
          <w:b/>
          <w:bCs/>
          <w:rtl/>
          <w:lang w:bidi="ar"/>
        </w:rPr>
        <w:t xml:space="preserve">التهم الموجهة إليهم وبحقوقهم، وتوقيع ورقة </w:t>
      </w:r>
      <w:r w:rsidRPr="006638A9">
        <w:rPr>
          <w:rFonts w:hint="cs"/>
          <w:b/>
          <w:bCs/>
          <w:rtl/>
          <w:lang w:bidi="ar"/>
        </w:rPr>
        <w:t xml:space="preserve">يؤكدون فيها </w:t>
      </w:r>
      <w:r w:rsidRPr="006638A9">
        <w:rPr>
          <w:b/>
          <w:bCs/>
          <w:rtl/>
          <w:lang w:bidi="ar"/>
        </w:rPr>
        <w:t xml:space="preserve">أنهم فهموا المعلومات المقدمة </w:t>
      </w:r>
      <w:r w:rsidRPr="006638A9">
        <w:rPr>
          <w:rFonts w:hint="cs"/>
          <w:b/>
          <w:bCs/>
          <w:rtl/>
          <w:lang w:bidi="ar"/>
        </w:rPr>
        <w:t>إليهم؛</w:t>
      </w:r>
    </w:p>
    <w:p w:rsidR="000D0270" w:rsidRPr="006638A9" w:rsidRDefault="000D0270" w:rsidP="000D0270">
      <w:pPr>
        <w:pStyle w:val="SingleTxt"/>
        <w:rPr>
          <w:b/>
          <w:bCs/>
          <w:rtl/>
          <w:lang w:bidi="ar"/>
        </w:rPr>
      </w:pPr>
      <w:r w:rsidRPr="00D64D02">
        <w:rPr>
          <w:rFonts w:hint="cs"/>
          <w:rtl/>
          <w:lang w:bidi="ar"/>
        </w:rPr>
        <w:tab/>
      </w:r>
      <w:r w:rsidRPr="00D64D02">
        <w:rPr>
          <w:rtl/>
          <w:lang w:bidi="ar"/>
        </w:rPr>
        <w:t>(ب)</w:t>
      </w:r>
      <w:r w:rsidRPr="006638A9">
        <w:rPr>
          <w:rFonts w:hint="cs"/>
          <w:b/>
          <w:bCs/>
          <w:rtl/>
          <w:lang w:bidi="ar"/>
        </w:rPr>
        <w:tab/>
        <w:t>الحصول فوراً على فرصة الاستعانة بمحامٍ منذ لحظة بداية سلب الحرية، وعند الاقتضاء، على المساعدة القضائية، بما في ذلك أثناء الاستجواب الأولي؛</w:t>
      </w:r>
    </w:p>
    <w:p w:rsidR="000D0270" w:rsidRPr="006638A9" w:rsidRDefault="000D0270" w:rsidP="000D0270">
      <w:pPr>
        <w:pStyle w:val="SingleTxt"/>
        <w:rPr>
          <w:b/>
          <w:bCs/>
          <w:rtl/>
          <w:lang w:bidi="ar"/>
        </w:rPr>
      </w:pPr>
      <w:r w:rsidRPr="006638A9">
        <w:rPr>
          <w:rFonts w:hint="cs"/>
          <w:b/>
          <w:bCs/>
          <w:rtl/>
          <w:lang w:bidi="ar"/>
        </w:rPr>
        <w:tab/>
      </w:r>
      <w:r w:rsidRPr="00D64D02">
        <w:rPr>
          <w:rtl/>
          <w:lang w:bidi="ar"/>
        </w:rPr>
        <w:t>(ج)</w:t>
      </w:r>
      <w:r w:rsidRPr="006638A9">
        <w:rPr>
          <w:rFonts w:hint="cs"/>
          <w:b/>
          <w:bCs/>
          <w:rtl/>
          <w:lang w:bidi="ar"/>
        </w:rPr>
        <w:tab/>
      </w:r>
      <w:r w:rsidRPr="006638A9">
        <w:rPr>
          <w:b/>
          <w:bCs/>
          <w:rtl/>
          <w:lang w:bidi="ar"/>
        </w:rPr>
        <w:t xml:space="preserve">الوصول الفوري إلى </w:t>
      </w:r>
      <w:r w:rsidRPr="006638A9">
        <w:rPr>
          <w:rFonts w:hint="cs"/>
          <w:b/>
          <w:bCs/>
          <w:rtl/>
          <w:lang w:bidi="ar"/>
        </w:rPr>
        <w:t xml:space="preserve">إجراء </w:t>
      </w:r>
      <w:r w:rsidRPr="006638A9">
        <w:rPr>
          <w:b/>
          <w:bCs/>
          <w:rtl/>
          <w:lang w:bidi="ar"/>
        </w:rPr>
        <w:t>فحص طبي مستقل، مجانا</w:t>
      </w:r>
      <w:r w:rsidRPr="006638A9">
        <w:rPr>
          <w:rFonts w:hint="cs"/>
          <w:b/>
          <w:bCs/>
          <w:rtl/>
          <w:lang w:bidi="ar"/>
        </w:rPr>
        <w:t>ً</w:t>
      </w:r>
      <w:r w:rsidRPr="006638A9">
        <w:rPr>
          <w:b/>
          <w:bCs/>
          <w:rtl/>
          <w:lang w:bidi="ar"/>
        </w:rPr>
        <w:t xml:space="preserve"> </w:t>
      </w:r>
      <w:r w:rsidRPr="006638A9">
        <w:rPr>
          <w:rFonts w:hint="cs"/>
          <w:b/>
          <w:bCs/>
          <w:rtl/>
          <w:lang w:bidi="ar"/>
        </w:rPr>
        <w:t xml:space="preserve">وفي غير حضور أفراد </w:t>
      </w:r>
      <w:r w:rsidRPr="006638A9">
        <w:rPr>
          <w:b/>
          <w:bCs/>
          <w:rtl/>
          <w:lang w:bidi="ar"/>
        </w:rPr>
        <w:t>الشرطة؛</w:t>
      </w:r>
    </w:p>
    <w:p w:rsidR="000D0270" w:rsidRPr="00743E2E" w:rsidRDefault="000D0270" w:rsidP="00743E2E">
      <w:pPr>
        <w:pStyle w:val="SingleTxt"/>
        <w:rPr>
          <w:b/>
          <w:bCs/>
          <w:rtl/>
        </w:rPr>
      </w:pPr>
      <w:r w:rsidRPr="00D64D02">
        <w:rPr>
          <w:rFonts w:hint="cs"/>
          <w:rtl/>
          <w:lang w:bidi="ar"/>
        </w:rPr>
        <w:lastRenderedPageBreak/>
        <w:tab/>
      </w:r>
      <w:r w:rsidRPr="00D64D02">
        <w:rPr>
          <w:rtl/>
          <w:lang w:bidi="ar"/>
        </w:rPr>
        <w:t>(د)</w:t>
      </w:r>
      <w:r w:rsidRPr="00743E2E">
        <w:rPr>
          <w:rFonts w:hint="cs"/>
          <w:b/>
          <w:bCs/>
          <w:rtl/>
          <w:lang w:bidi="ar"/>
        </w:rPr>
        <w:tab/>
        <w:t>إخطار فرد من الأسرة أو أي شخص آخر من اختيارهم باحتجازهم، فور الاعتقال وليس بعد عرضهم على القاضي فقط.</w:t>
      </w:r>
      <w:r w:rsidRPr="00743E2E">
        <w:rPr>
          <w:rFonts w:hint="cs"/>
          <w:b/>
          <w:bCs/>
          <w:rtl/>
        </w:rPr>
        <w:t xml:space="preserve"> </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مدة الاحت</w:t>
      </w:r>
      <w:r w:rsidRPr="00EC01A1">
        <w:rPr>
          <w:rFonts w:hint="cs"/>
          <w:rtl/>
        </w:rPr>
        <w:t>جاز قبل المحاكمة</w:t>
      </w:r>
    </w:p>
    <w:p w:rsidR="000D0270" w:rsidRDefault="000D0270" w:rsidP="00743E2E">
      <w:pPr>
        <w:pStyle w:val="SingleTxt"/>
        <w:rPr>
          <w:rtl/>
        </w:rPr>
      </w:pPr>
      <w:r w:rsidRPr="00EC01A1">
        <w:rPr>
          <w:rFonts w:hint="cs"/>
          <w:rtl/>
        </w:rPr>
        <w:t>9-</w:t>
      </w:r>
      <w:r w:rsidRPr="00EC01A1">
        <w:rPr>
          <w:rFonts w:hint="cs"/>
          <w:rtl/>
        </w:rPr>
        <w:tab/>
      </w:r>
      <w:r>
        <w:rPr>
          <w:rFonts w:hint="cs"/>
          <w:rtl/>
        </w:rPr>
        <w:t>تعرب اللجنة عن قلقها إزاء طول مدة الاحتجاز قبل المحاكمة الذي قد يدوم خمس سنوات (المادتان 2 و11).</w:t>
      </w:r>
    </w:p>
    <w:p w:rsidR="000D0270" w:rsidRPr="00743E2E" w:rsidRDefault="000D0270" w:rsidP="00743E2E">
      <w:pPr>
        <w:pStyle w:val="SingleTxt"/>
        <w:rPr>
          <w:b/>
          <w:bCs/>
          <w:rtl/>
        </w:rPr>
      </w:pPr>
      <w:r w:rsidRPr="00743E2E">
        <w:rPr>
          <w:rFonts w:hint="cs"/>
          <w:b/>
          <w:bCs/>
          <w:rtl/>
        </w:rPr>
        <w:tab/>
        <w:t xml:space="preserve">ينبغي للدولة الطرف أن تعدل تشريعاتها بهدف خفض مدة الاحتجاز قبل المحاكمة، وهو الاحتجاز الذي ينبغي أن يكون استثناءً ومطبقاً لفترات زمنية محددة، ومنظماً بشكل واضح وخاضعاً للإشراف القضائي في جميع الأوقات حرصاً على الضمانات القانونية والإجرائية الأساسية. وينبغي للدولة الطرف أن تنظر في الاستعاضة عن الاحتجاز قبل المحاكمة بتدابير غير احتجازية، وفقاً لقواعد الأمم المتحدة النموذجية الدنيا للتدابير غير الاحتجازية. (قواعد طوكيو). وبالإضافة إلى ذلك، توصي اللجنة بأن تحرص الدولة الطرف على جبر وتعويض ضحايا الاحتجاز قبل المحاكمة لفترات مطولة غير مبررة. </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ظروف الاحتجاز</w:t>
      </w:r>
    </w:p>
    <w:p w:rsidR="000D0270" w:rsidRDefault="000D0270" w:rsidP="000D0270">
      <w:pPr>
        <w:pStyle w:val="SingleTxt"/>
        <w:rPr>
          <w:rtl/>
        </w:rPr>
      </w:pPr>
      <w:r>
        <w:rPr>
          <w:rFonts w:hint="cs"/>
          <w:rtl/>
        </w:rPr>
        <w:t>10-</w:t>
      </w:r>
      <w:r>
        <w:rPr>
          <w:rFonts w:hint="cs"/>
          <w:rtl/>
        </w:rPr>
        <w:tab/>
        <w:t>تعرب اللجنة عن قلقها إزاء عدم كفاية الأخصائيين النفسانيين في نظام السجون، وكذا غياب نظام هادف، يشمل التمارين الرياضية الخارجية بالنسبة إلى السجناء رهن الحبس الاحتياطي ولا سيما السجناء الذين يقضون عقوبة بالسجن المؤبد (المواد 2 و11 و16).</w:t>
      </w:r>
    </w:p>
    <w:p w:rsidR="000D0270" w:rsidRDefault="000D0270" w:rsidP="000D0270">
      <w:pPr>
        <w:pStyle w:val="SingleTxt"/>
        <w:spacing w:before="240" w:after="240"/>
        <w:rPr>
          <w:b/>
          <w:bCs/>
          <w:rtl/>
        </w:rPr>
      </w:pPr>
      <w:r>
        <w:rPr>
          <w:rFonts w:hint="cs"/>
          <w:b/>
          <w:bCs/>
          <w:rtl/>
        </w:rPr>
        <w:tab/>
        <w:t>تحث اللجنة الدولة الطرف على اتخاذ الخطوات اللازمة لضمان توافق الظروف السائدة بالسجون مع معايير حقوق الإنسان الدولية ذات الصلة، ولا سيما القيام بما يلي:</w:t>
      </w:r>
    </w:p>
    <w:p w:rsidR="000D0270" w:rsidRDefault="000D0270" w:rsidP="000D0270">
      <w:pPr>
        <w:pStyle w:val="SingleTxt"/>
        <w:spacing w:before="240" w:after="240"/>
        <w:rPr>
          <w:b/>
          <w:bCs/>
          <w:rtl/>
        </w:rPr>
      </w:pPr>
      <w:r w:rsidRPr="00D64D02">
        <w:rPr>
          <w:rFonts w:hint="cs"/>
          <w:rtl/>
          <w:lang w:bidi="ar"/>
        </w:rPr>
        <w:tab/>
        <w:t>(أ)</w:t>
      </w:r>
      <w:r>
        <w:rPr>
          <w:rFonts w:hint="cs"/>
          <w:b/>
          <w:bCs/>
          <w:rtl/>
        </w:rPr>
        <w:tab/>
        <w:t xml:space="preserve">الحرص على أن يكون لجميع الأشخاص المسلوبة حريتهم، ولا سيما السجناء الذين يقضون عقوبة بالسجن المؤبد، سبيل للوصول إلى نظام من الأنشطة المنظمة والهادفة خارج الزنزانة، بهدف منع تدهور قواهم العقلية وقدراتهم الاجتماعية، واتخاذ التدابير الرامية إلى دمج السجناء الذين يقضون عقوبة بالسجن المؤبد ضمن نزلاء السجون بشكل عام؛ </w:t>
      </w:r>
    </w:p>
    <w:p w:rsidR="000D0270" w:rsidRDefault="000D0270" w:rsidP="000D0270">
      <w:pPr>
        <w:pStyle w:val="SingleTxt"/>
        <w:spacing w:before="240" w:after="240"/>
        <w:rPr>
          <w:b/>
          <w:bCs/>
          <w:rtl/>
        </w:rPr>
      </w:pPr>
      <w:r>
        <w:rPr>
          <w:rFonts w:hint="cs"/>
          <w:b/>
          <w:bCs/>
          <w:rtl/>
        </w:rPr>
        <w:tab/>
      </w:r>
      <w:r w:rsidRPr="00D64D02">
        <w:rPr>
          <w:rFonts w:hint="cs"/>
          <w:rtl/>
          <w:lang w:bidi="ar"/>
        </w:rPr>
        <w:t>(ب)</w:t>
      </w:r>
      <w:r>
        <w:rPr>
          <w:rFonts w:hint="cs"/>
          <w:b/>
          <w:bCs/>
          <w:rtl/>
        </w:rPr>
        <w:tab/>
        <w:t>تعزيز الرصد المستقل والمنتظم لجميع أماكن سلب الحرية من قبل أمين المظالم وغيره من الآليات المستقلة والنزيهة، بما في ذلك من خلال القيام بزيارات غير معلنة إلى أماكن سلب الحرية، وتمكين جهات الرصد من معالجة شكاوى السجناء بشأن ظروف احتجازهم وإتاحة إمكانية المتابعة الفعالة لهذه الشكاوى؛</w:t>
      </w:r>
    </w:p>
    <w:p w:rsidR="000D0270" w:rsidRPr="000D0270" w:rsidRDefault="000D0270" w:rsidP="000D0270">
      <w:pPr>
        <w:pStyle w:val="SingleTxt"/>
        <w:rPr>
          <w:b/>
          <w:bCs/>
          <w:rtl/>
        </w:rPr>
      </w:pPr>
      <w:r>
        <w:rPr>
          <w:rFonts w:hint="cs"/>
          <w:rtl/>
        </w:rPr>
        <w:lastRenderedPageBreak/>
        <w:tab/>
      </w:r>
      <w:r>
        <w:rPr>
          <w:rFonts w:hint="cs"/>
          <w:rtl/>
          <w:lang w:bidi="ar"/>
        </w:rPr>
        <w:t>(ج)</w:t>
      </w:r>
      <w:r>
        <w:rPr>
          <w:rFonts w:hint="cs"/>
          <w:rtl/>
          <w:lang w:bidi="ar"/>
        </w:rPr>
        <w:tab/>
      </w:r>
      <w:r w:rsidRPr="000D0270">
        <w:rPr>
          <w:rFonts w:hint="cs"/>
          <w:b/>
          <w:bCs/>
          <w:rtl/>
        </w:rPr>
        <w:t xml:space="preserve">ضمان وجود عدد كافٍ من الأخصائيين النفسانيين في نظام الرعاية الصحية بالسجون. </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الإفراط في استخدام القوة من قبل موظفي إنفاذ القانون، بما في ذلك العنف ضد الروما</w:t>
      </w:r>
    </w:p>
    <w:p w:rsidR="000D0270" w:rsidRDefault="000D0270" w:rsidP="000D0270">
      <w:pPr>
        <w:pStyle w:val="SingleTxt"/>
        <w:rPr>
          <w:rtl/>
        </w:rPr>
      </w:pPr>
      <w:r>
        <w:rPr>
          <w:rFonts w:hint="cs"/>
          <w:rtl/>
        </w:rPr>
        <w:t>11-</w:t>
      </w:r>
      <w:r>
        <w:rPr>
          <w:rFonts w:hint="cs"/>
          <w:rtl/>
        </w:rPr>
        <w:tab/>
        <w:t>تعرب اللجنة عن قلقها إزاء ما يلي:</w:t>
      </w:r>
    </w:p>
    <w:p w:rsidR="000D0270" w:rsidRDefault="000D0270" w:rsidP="000D0270">
      <w:pPr>
        <w:pStyle w:val="SingleTxt"/>
        <w:rPr>
          <w:rtl/>
        </w:rPr>
      </w:pPr>
      <w:r>
        <w:rPr>
          <w:rFonts w:hint="cs"/>
          <w:rtl/>
        </w:rPr>
        <w:tab/>
        <w:t>(أ)</w:t>
      </w:r>
      <w:r>
        <w:rPr>
          <w:rFonts w:hint="cs"/>
          <w:rtl/>
        </w:rPr>
        <w:tab/>
        <w:t>تقارير تدعي بوجود حالات إفراط في استخدام القوة من قبل موظفي إنفاذ القانون، بما في ذلك ضد القصّر، فور الاحتجاز، في معظم الأحيان، مما قد يبلغ منزلة إساءة المعاملة أو التعذيب؛</w:t>
      </w:r>
    </w:p>
    <w:p w:rsidR="000D0270" w:rsidRDefault="000D0270" w:rsidP="000D0270">
      <w:pPr>
        <w:pStyle w:val="SingleTxt"/>
        <w:rPr>
          <w:rtl/>
        </w:rPr>
      </w:pPr>
      <w:r>
        <w:rPr>
          <w:rFonts w:hint="cs"/>
          <w:rtl/>
        </w:rPr>
        <w:tab/>
        <w:t>(ب)</w:t>
      </w:r>
      <w:r>
        <w:rPr>
          <w:rFonts w:hint="cs"/>
          <w:rtl/>
        </w:rPr>
        <w:tab/>
        <w:t xml:space="preserve">تدني عدد الشكاوى، والملاحقات والإدانات في هذه القضايا؛ </w:t>
      </w:r>
    </w:p>
    <w:p w:rsidR="000D0270" w:rsidRDefault="000D0270" w:rsidP="000D0270">
      <w:pPr>
        <w:pStyle w:val="SingleTxt"/>
        <w:rPr>
          <w:rtl/>
        </w:rPr>
      </w:pPr>
      <w:r>
        <w:rPr>
          <w:rFonts w:hint="cs"/>
          <w:rtl/>
        </w:rPr>
        <w:tab/>
        <w:t>(ج)</w:t>
      </w:r>
      <w:r>
        <w:rPr>
          <w:rFonts w:hint="cs"/>
          <w:rtl/>
        </w:rPr>
        <w:tab/>
        <w:t>قيام إدارة خدمات المراقبة والتفتيش التابعة لوزارة الداخلية، بعمليات التحقيق في ادعاءات إساءة المعاملة من قبل أفراد الشرطة، وهي إدارة تابعة للهيكل ذاته المشغل للجناة المزعومين؛</w:t>
      </w:r>
    </w:p>
    <w:p w:rsidR="000D0270" w:rsidRDefault="000D0270" w:rsidP="000D0270">
      <w:pPr>
        <w:pStyle w:val="SingleTxt"/>
        <w:rPr>
          <w:rtl/>
        </w:rPr>
      </w:pPr>
      <w:r>
        <w:rPr>
          <w:rFonts w:hint="cs"/>
          <w:rtl/>
        </w:rPr>
        <w:tab/>
        <w:t>(د)</w:t>
      </w:r>
      <w:r>
        <w:rPr>
          <w:rFonts w:hint="cs"/>
          <w:rtl/>
        </w:rPr>
        <w:tab/>
        <w:t>عدم توجيه أية تهم إلى أفراد الشرطة الذين شاركوا في عملية الاقتحام التي جرت في 19 حزيران/يونيه 2013 لمستوطنة الروما في مولدافا ناد بودفو شرق سلوفاكيا، التي أسفرت عن احتجاز 15 شخصاً، قيل إن عدداً منهم تعرض إلى إساءة معاملة بشكل خطير من قبل الشرطة أثناء عملية اعتقالهم ثم احتجازهم؛</w:t>
      </w:r>
    </w:p>
    <w:p w:rsidR="000D0270" w:rsidRDefault="000D0270" w:rsidP="00743E2E">
      <w:pPr>
        <w:pStyle w:val="SingleTxt"/>
        <w:rPr>
          <w:rtl/>
        </w:rPr>
      </w:pPr>
      <w:r>
        <w:rPr>
          <w:rFonts w:hint="cs"/>
          <w:rtl/>
        </w:rPr>
        <w:tab/>
        <w:t>(ه)</w:t>
      </w:r>
      <w:r>
        <w:rPr>
          <w:rFonts w:hint="cs"/>
          <w:rtl/>
        </w:rPr>
        <w:tab/>
        <w:t>تبرئة جميع أفراد الشرطة العشرة الذين اعتدوا بدنياً وعاملوا بشكل مهين 6 من الأحداث الروما في مدينة كوجيتش في 21 آذار/مارس 2009</w:t>
      </w:r>
      <w:r w:rsidR="00441AB4">
        <w:rPr>
          <w:rFonts w:hint="cs"/>
          <w:rtl/>
        </w:rPr>
        <w:t xml:space="preserve">، </w:t>
      </w:r>
      <w:r>
        <w:rPr>
          <w:rFonts w:hint="cs"/>
          <w:rtl/>
        </w:rPr>
        <w:t xml:space="preserve">بموجب الحكم الابتدائي الصادر عن محكمة كوجيتش الثانية في </w:t>
      </w:r>
      <w:r w:rsidR="00743E2E">
        <w:rPr>
          <w:rFonts w:hint="cs"/>
          <w:rtl/>
        </w:rPr>
        <w:t>27</w:t>
      </w:r>
      <w:r>
        <w:rPr>
          <w:rFonts w:hint="cs"/>
          <w:rtl/>
        </w:rPr>
        <w:t xml:space="preserve"> شباط/فبراير 2015، لأن المحكمة رفضت قبول شريط الفيديو المسجل للفعل المدان دليلاً محصلاً عليه بصورة قانونية (المواد 2 و12-14 و16).</w:t>
      </w:r>
    </w:p>
    <w:p w:rsidR="000D0270" w:rsidRDefault="000D0270" w:rsidP="000D0270">
      <w:pPr>
        <w:pStyle w:val="SingleTxt"/>
        <w:rPr>
          <w:b/>
          <w:bCs/>
          <w:rtl/>
        </w:rPr>
      </w:pPr>
      <w:r>
        <w:rPr>
          <w:rFonts w:hint="cs"/>
          <w:b/>
          <w:bCs/>
          <w:rtl/>
        </w:rPr>
        <w:tab/>
        <w:t>ينبغي للدولة الطرف أن تقوم بما يلي:</w:t>
      </w:r>
    </w:p>
    <w:p w:rsidR="000D0270" w:rsidRDefault="000D0270" w:rsidP="000D0270">
      <w:pPr>
        <w:pStyle w:val="SingleTxt"/>
        <w:rPr>
          <w:b/>
          <w:bCs/>
          <w:rtl/>
        </w:rPr>
      </w:pPr>
      <w:r w:rsidRPr="00D64D02">
        <w:rPr>
          <w:rFonts w:hint="cs"/>
          <w:rtl/>
          <w:lang w:bidi="ar"/>
        </w:rPr>
        <w:tab/>
        <w:t>(أ)</w:t>
      </w:r>
      <w:r>
        <w:rPr>
          <w:rFonts w:hint="cs"/>
          <w:b/>
          <w:bCs/>
          <w:rtl/>
        </w:rPr>
        <w:tab/>
        <w:t>إجراء تحقيقات فورية ونزيهة ودقيقة وفعالة في جميع ادعاءات الاستخدام المفرط للقوة، بما في ذلك التعذيب وإساءة المعاملة من قبل موظفي إنفاذ القانون، والحرص على توقيف المشتبه بارتكابهم هذه الأفعال عن عملهم طيلة فترة التحقيق، مع ضمان مبدأ قرينة البراءة؛</w:t>
      </w:r>
    </w:p>
    <w:p w:rsidR="000D0270" w:rsidRDefault="000D0270" w:rsidP="000D0270">
      <w:pPr>
        <w:pStyle w:val="SingleTxt"/>
        <w:rPr>
          <w:b/>
          <w:bCs/>
          <w:rtl/>
        </w:rPr>
      </w:pPr>
      <w:r>
        <w:rPr>
          <w:rFonts w:hint="cs"/>
          <w:b/>
          <w:bCs/>
          <w:rtl/>
        </w:rPr>
        <w:tab/>
      </w:r>
      <w:r w:rsidRPr="00D64D02">
        <w:rPr>
          <w:rFonts w:hint="cs"/>
          <w:rtl/>
          <w:lang w:bidi="ar"/>
        </w:rPr>
        <w:t>(ب)</w:t>
      </w:r>
      <w:r>
        <w:rPr>
          <w:rFonts w:hint="cs"/>
          <w:b/>
          <w:bCs/>
          <w:rtl/>
        </w:rPr>
        <w:tab/>
        <w:t>تزويد اللجنة بمعلومات عن عدد قضايا الاستخدام المفرط للقوة من قبل موظفي إنفاذ القانون التي جرى التحقيق فيها، مصنفة حسب السن، والجنس والأصل الإثني أو القومي للضحايا؛ وعدد الجناة الذي جرت متابعتهم قضائياً بتهمة ارتكاب أعمال تعذيب وإساءة المعاملة، والعقوبات المطبقة على الذين ثبتت إدانتهم؛</w:t>
      </w:r>
    </w:p>
    <w:p w:rsidR="000D0270" w:rsidRDefault="000D0270" w:rsidP="000D0270">
      <w:pPr>
        <w:pStyle w:val="SingleTxt"/>
        <w:rPr>
          <w:b/>
          <w:bCs/>
          <w:rtl/>
        </w:rPr>
      </w:pPr>
      <w:r w:rsidRPr="00D64D02">
        <w:rPr>
          <w:rFonts w:hint="cs"/>
          <w:rtl/>
          <w:lang w:bidi="ar"/>
        </w:rPr>
        <w:lastRenderedPageBreak/>
        <w:tab/>
        <w:t>(ج)</w:t>
      </w:r>
      <w:r>
        <w:rPr>
          <w:rFonts w:hint="cs"/>
          <w:b/>
          <w:bCs/>
          <w:rtl/>
        </w:rPr>
        <w:tab/>
        <w:t>مقاضاة المشتبه في تورطهم في التعذيب أو إساءة المعاملة، وضمان تناسب العقوبات التي تُنزَل بهم مع خطورة أفعالهم في حال ثبوت إدانتهم، وضمان توفير الجبر الملائم للضحايا؛</w:t>
      </w:r>
    </w:p>
    <w:p w:rsidR="000D0270" w:rsidRDefault="000D0270" w:rsidP="000D0270">
      <w:pPr>
        <w:pStyle w:val="SingleTxt"/>
        <w:rPr>
          <w:b/>
          <w:bCs/>
          <w:rtl/>
        </w:rPr>
      </w:pPr>
      <w:r>
        <w:rPr>
          <w:rFonts w:hint="cs"/>
          <w:b/>
          <w:bCs/>
          <w:rtl/>
        </w:rPr>
        <w:tab/>
      </w:r>
      <w:r w:rsidRPr="00D64D02">
        <w:rPr>
          <w:rFonts w:hint="cs"/>
          <w:rtl/>
          <w:lang w:bidi="ar"/>
        </w:rPr>
        <w:t>(د)</w:t>
      </w:r>
      <w:r w:rsidRPr="00D64D02">
        <w:rPr>
          <w:rFonts w:hint="cs"/>
          <w:rtl/>
          <w:lang w:bidi="ar"/>
        </w:rPr>
        <w:tab/>
      </w:r>
      <w:r>
        <w:rPr>
          <w:rFonts w:hint="cs"/>
          <w:b/>
          <w:bCs/>
          <w:rtl/>
        </w:rPr>
        <w:t>الحرص على أن يعتبر دافع التمييز ظرفاً مشدداً في المحاكمات الجنائية؛</w:t>
      </w:r>
    </w:p>
    <w:p w:rsidR="000D0270" w:rsidRDefault="000D0270" w:rsidP="000D0270">
      <w:pPr>
        <w:pStyle w:val="SingleTxt"/>
        <w:rPr>
          <w:b/>
          <w:bCs/>
          <w:rtl/>
        </w:rPr>
      </w:pPr>
      <w:r>
        <w:rPr>
          <w:rFonts w:hint="cs"/>
          <w:b/>
          <w:bCs/>
          <w:rtl/>
        </w:rPr>
        <w:tab/>
      </w:r>
      <w:r w:rsidRPr="00D64D02">
        <w:rPr>
          <w:rFonts w:hint="cs"/>
          <w:rtl/>
          <w:lang w:bidi="ar"/>
        </w:rPr>
        <w:t>(ه)</w:t>
      </w:r>
      <w:r>
        <w:rPr>
          <w:rFonts w:hint="cs"/>
          <w:b/>
          <w:bCs/>
          <w:rtl/>
        </w:rPr>
        <w:tab/>
        <w:t>إنشاء آلية مستقلة للرصد والرقابة تمتثل لشرط الاستقلالية المؤسسية درءاً لتضارب المصالح في التحقيق بشأن الشكاوى من قبل الأقران؛</w:t>
      </w:r>
    </w:p>
    <w:p w:rsidR="000D0270" w:rsidRDefault="000D0270" w:rsidP="000D0270">
      <w:pPr>
        <w:pStyle w:val="SingleTxt"/>
        <w:rPr>
          <w:b/>
          <w:bCs/>
          <w:rtl/>
        </w:rPr>
      </w:pPr>
      <w:r>
        <w:rPr>
          <w:rFonts w:hint="cs"/>
          <w:b/>
          <w:bCs/>
          <w:rtl/>
        </w:rPr>
        <w:tab/>
      </w:r>
      <w:r w:rsidRPr="00D64D02">
        <w:rPr>
          <w:rFonts w:hint="cs"/>
          <w:rtl/>
          <w:lang w:bidi="ar"/>
        </w:rPr>
        <w:t>(و)</w:t>
      </w:r>
      <w:r>
        <w:rPr>
          <w:rFonts w:hint="cs"/>
          <w:b/>
          <w:bCs/>
          <w:rtl/>
        </w:rPr>
        <w:tab/>
        <w:t xml:space="preserve">كفالة إخطار المدعين العامين والقضاة بصورة تلقائية بجميع حالات إساءة المعاملة والتعذيب في مرافق الاحتجاز التابعة للشرطة، بصرف النظر عن إمكانية غياب جروح ظاهرة، والقيام بتسجيلات الفيديو لجميع الإجراءات التي تتخذها الشرطة بما في ذلك عمليات الاستجواب، والحرص على أن يكون الأشخاص الذين ادعوا التعذيب وإساءة المعاملة، وكذا الشهود على هذه الأفعال، محميين من الانتقام؛ </w:t>
      </w:r>
    </w:p>
    <w:p w:rsidR="000D0270" w:rsidRDefault="000D0270" w:rsidP="000D0270">
      <w:pPr>
        <w:pStyle w:val="SingleTxt"/>
        <w:rPr>
          <w:b/>
          <w:bCs/>
          <w:rtl/>
        </w:rPr>
      </w:pPr>
      <w:r w:rsidRPr="00D64D02">
        <w:rPr>
          <w:rFonts w:hint="cs"/>
          <w:rtl/>
          <w:lang w:bidi="ar"/>
        </w:rPr>
        <w:tab/>
        <w:t>(ز)</w:t>
      </w:r>
      <w:r>
        <w:rPr>
          <w:rFonts w:hint="cs"/>
          <w:b/>
          <w:bCs/>
          <w:rtl/>
        </w:rPr>
        <w:tab/>
        <w:t>التصريح على أعلى مستوى سياسي بعدم التسامح مع الاستخدام المفرط للقوة ضد الأشخاص المسلوبة حريتهم من قبل موظفي إنفاذ القانون، بما في ذلك ضد أفراد الأقليات الإثنية؛</w:t>
      </w:r>
    </w:p>
    <w:p w:rsidR="000D0270" w:rsidRDefault="000D0270" w:rsidP="000D0270">
      <w:pPr>
        <w:pStyle w:val="SingleTxt"/>
        <w:rPr>
          <w:b/>
          <w:bCs/>
          <w:rtl/>
        </w:rPr>
      </w:pPr>
      <w:r>
        <w:rPr>
          <w:rFonts w:hint="cs"/>
          <w:b/>
          <w:bCs/>
          <w:rtl/>
        </w:rPr>
        <w:tab/>
      </w:r>
      <w:r w:rsidRPr="00D64D02">
        <w:rPr>
          <w:rFonts w:hint="cs"/>
          <w:rtl/>
          <w:lang w:bidi="ar"/>
        </w:rPr>
        <w:t>(ح)</w:t>
      </w:r>
      <w:r>
        <w:rPr>
          <w:rFonts w:hint="cs"/>
          <w:b/>
          <w:bCs/>
          <w:rtl/>
        </w:rPr>
        <w:tab/>
        <w:t>اتخاذ التدابير الرامية إلى القضاء على جميع أشكال التحرش وإساءة المعاملة من قبل الشرطة أثناء عمليات التحقيق وضمان تدريب موظفي إنفاذ القانون في مجال التقنيات المهنية والمعايير الدولية المتعلقة باستخدام القوة والأسلحة النارية؛</w:t>
      </w:r>
    </w:p>
    <w:p w:rsidR="000D0270" w:rsidRDefault="000D0270" w:rsidP="000D0270">
      <w:pPr>
        <w:pStyle w:val="SingleTxt"/>
        <w:rPr>
          <w:b/>
          <w:bCs/>
          <w:rtl/>
        </w:rPr>
      </w:pPr>
      <w:r>
        <w:rPr>
          <w:rFonts w:hint="cs"/>
          <w:b/>
          <w:bCs/>
          <w:rtl/>
        </w:rPr>
        <w:tab/>
      </w:r>
      <w:r w:rsidRPr="00D64D02">
        <w:rPr>
          <w:rFonts w:hint="cs"/>
          <w:rtl/>
          <w:lang w:bidi="ar"/>
        </w:rPr>
        <w:t>(ط)</w:t>
      </w:r>
      <w:r w:rsidRPr="00D64D02">
        <w:rPr>
          <w:rFonts w:hint="cs"/>
          <w:rtl/>
          <w:lang w:bidi="ar"/>
        </w:rPr>
        <w:tab/>
      </w:r>
      <w:r>
        <w:rPr>
          <w:rFonts w:hint="cs"/>
          <w:b/>
          <w:bCs/>
          <w:rtl/>
        </w:rPr>
        <w:t>مواصلة توظيف أفراد الشرطة من أصل الروما وتوسيع مهام أخصائيي شرطة الروما.</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التعقيم غير الطوعي لنساء الروما</w:t>
      </w:r>
    </w:p>
    <w:p w:rsidR="000D0270" w:rsidRDefault="000D0270" w:rsidP="000D0270">
      <w:pPr>
        <w:pStyle w:val="SingleTxt"/>
        <w:rPr>
          <w:rtl/>
        </w:rPr>
      </w:pPr>
      <w:r>
        <w:rPr>
          <w:rFonts w:hint="cs"/>
          <w:rtl/>
        </w:rPr>
        <w:t>12-</w:t>
      </w:r>
      <w:r>
        <w:rPr>
          <w:rFonts w:hint="cs"/>
          <w:rtl/>
        </w:rPr>
        <w:tab/>
        <w:t>تعرب اللجنة عن قلقها إزاء تقارير تفيد بتعقيم نساء الروما بدون موافقة حرة مستنيرة وبشأن الصعوبات التي تواجهها الضحايا في مجال الحصول على جبر (المواد 2 و14 و16).</w:t>
      </w:r>
    </w:p>
    <w:p w:rsidR="000D0270" w:rsidRDefault="000D0270" w:rsidP="000D0270">
      <w:pPr>
        <w:pStyle w:val="SingleTxt"/>
        <w:rPr>
          <w:b/>
          <w:bCs/>
          <w:rtl/>
        </w:rPr>
      </w:pPr>
      <w:r>
        <w:rPr>
          <w:rFonts w:hint="cs"/>
          <w:b/>
          <w:bCs/>
          <w:rtl/>
        </w:rPr>
        <w:tab/>
        <w:t>توصي اللجنة بأن تحقق الدولة الطرف فوراً وبشكل حيادي وفعال في جميع ادعاءات التعقيم القسري للنساء من الروما وبأن توفر للضحايا سبلاً عادلة وكافية للانتصاف. وينبغي أن يُساءَل جنائياً الموظفون الطبيون الذين يجرون عمليات التعقيم دون الموافقة الحرة والكاملة والمستنيرة</w:t>
      </w:r>
      <w:r w:rsidRPr="00D118A6">
        <w:rPr>
          <w:rFonts w:hint="cs"/>
          <w:b/>
          <w:bCs/>
          <w:rtl/>
        </w:rPr>
        <w:t xml:space="preserve">، </w:t>
      </w:r>
      <w:r>
        <w:rPr>
          <w:rFonts w:hint="cs"/>
          <w:b/>
          <w:bCs/>
          <w:rtl/>
        </w:rPr>
        <w:t xml:space="preserve">وأن يلاحَقوا ويعاقَبوا. وينبغي أيضاً تدريبهم على الوسائل المناسبة للحصول على الموافقة الحرة والمستنيرة من النساء اللائي يخضعن لعمليات التعقيم كما ينبغي ترجمة جميع المواد الكتابية المتعلقة بالتعقيم إلى لغة الروما وغير ذلك من اللغات ذات الصلة. </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فعالية النظام القضائي وطول الإجراءات القضائية</w:t>
      </w:r>
    </w:p>
    <w:p w:rsidR="000D0270" w:rsidRDefault="000D0270" w:rsidP="000D0270">
      <w:pPr>
        <w:pStyle w:val="SingleTxt"/>
        <w:rPr>
          <w:rtl/>
        </w:rPr>
      </w:pPr>
      <w:r>
        <w:rPr>
          <w:rFonts w:hint="cs"/>
          <w:rtl/>
        </w:rPr>
        <w:t>13-</w:t>
      </w:r>
      <w:r>
        <w:rPr>
          <w:rFonts w:hint="cs"/>
          <w:rtl/>
        </w:rPr>
        <w:tab/>
        <w:t>تعرب اللجنة عن قلقها إزاء عدم فعالية النظام القضائي، بما في ذلك بطء الإجراءات القضائية، مما يحدث تراكماً في حجم القضايا. وتعرب اللجنة عن قلقها بشكل خاص إزاء الإجراءات الجنائية المتعلقة بقضايا الاستخدام المفرط للقوة وإساءة استعمال السلطة من قبل موظفي إنفاذ القانون، الإجراءات التي أسفرت عن تبرئة المتهمين وأَبطلتها لاحقاً هيئة قضائية عليا</w:t>
      </w:r>
      <w:r>
        <w:rPr>
          <w:rFonts w:hint="eastAsia"/>
          <w:rtl/>
        </w:rPr>
        <w:t> </w:t>
      </w:r>
      <w:r>
        <w:rPr>
          <w:rFonts w:hint="cs"/>
          <w:rtl/>
        </w:rPr>
        <w:t>وظلت معروضة على المحاكم الدنيا لعدة سنوات، مثل قضية كوشيتس (المواد 2 و12 و13</w:t>
      </w:r>
      <w:r>
        <w:rPr>
          <w:rFonts w:hint="eastAsia"/>
          <w:rtl/>
        </w:rPr>
        <w:t> </w:t>
      </w:r>
      <w:r>
        <w:rPr>
          <w:rFonts w:hint="cs"/>
          <w:rtl/>
        </w:rPr>
        <w:t>و16).</w:t>
      </w:r>
    </w:p>
    <w:p w:rsidR="000D0270" w:rsidRDefault="000D0270" w:rsidP="000D0270">
      <w:pPr>
        <w:pStyle w:val="SingleTxt"/>
        <w:rPr>
          <w:b/>
          <w:bCs/>
          <w:rtl/>
        </w:rPr>
      </w:pPr>
      <w:r>
        <w:rPr>
          <w:rFonts w:hint="cs"/>
          <w:rtl/>
        </w:rPr>
        <w:tab/>
      </w:r>
      <w:r>
        <w:rPr>
          <w:rFonts w:hint="cs"/>
          <w:b/>
          <w:bCs/>
          <w:rtl/>
        </w:rPr>
        <w:t>ينبغي للدولة الطرف أن تحسن من عمل النظام القضائي تعزيزاً لسرعة الإجراءات القضائية وفعاليتها، لا سيما فيما يتعلق بالعدالة الجنائية، وخفض حجم القضايا المتراكمة في محاكمها.</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العنف المنزلي</w:t>
      </w:r>
    </w:p>
    <w:p w:rsidR="000D0270" w:rsidRDefault="000D0270" w:rsidP="000D0270">
      <w:pPr>
        <w:pStyle w:val="SingleTxt"/>
        <w:rPr>
          <w:rtl/>
        </w:rPr>
      </w:pPr>
      <w:r>
        <w:rPr>
          <w:rFonts w:hint="cs"/>
          <w:rtl/>
        </w:rPr>
        <w:t>14-</w:t>
      </w:r>
      <w:r>
        <w:rPr>
          <w:rFonts w:hint="cs"/>
          <w:rtl/>
        </w:rPr>
        <w:tab/>
        <w:t>بينما تلاحظ اللجنة الخطوات التي اتخذتها الدولة الطرف لمعالجة مشكلة العنف ضد المرأة والعنف المنزلي، تعرب اللجنة عن قلقها لأن العنف المنزلي لا يعد جريمة قائمة بذاتها في القانون الجنائي. واللجنة قلقة أيضاً إزاء انتشار العنف ضد المرأة انتشاراً واسعاً في الدولة الطرف وإزاء تدني عدد الشكاوى المقدمة في هذا الصدد، وكذا تدني عدد عمليات التحقيق والملاحقة (المواد 2 و12-14 و16).</w:t>
      </w:r>
    </w:p>
    <w:p w:rsidR="000D0270" w:rsidRDefault="000D0270" w:rsidP="000D0270">
      <w:pPr>
        <w:pStyle w:val="SingleTxt"/>
        <w:rPr>
          <w:b/>
          <w:bCs/>
          <w:rtl/>
        </w:rPr>
      </w:pPr>
      <w:r>
        <w:rPr>
          <w:rFonts w:hint="cs"/>
          <w:b/>
          <w:bCs/>
          <w:rtl/>
        </w:rPr>
        <w:tab/>
        <w:t xml:space="preserve">توصي اللجنة بأن تقوم الدولة الطرف بما يلي: </w:t>
      </w:r>
    </w:p>
    <w:p w:rsidR="000D0270" w:rsidRDefault="000D0270" w:rsidP="000D0270">
      <w:pPr>
        <w:pStyle w:val="SingleTxt"/>
        <w:rPr>
          <w:b/>
          <w:bCs/>
          <w:rtl/>
        </w:rPr>
      </w:pPr>
      <w:r w:rsidRPr="00D64D02">
        <w:rPr>
          <w:rFonts w:hint="cs"/>
          <w:rtl/>
          <w:lang w:bidi="ar"/>
        </w:rPr>
        <w:tab/>
        <w:t>(أ)</w:t>
      </w:r>
      <w:r>
        <w:rPr>
          <w:rFonts w:hint="cs"/>
          <w:b/>
          <w:bCs/>
          <w:rtl/>
        </w:rPr>
        <w:tab/>
        <w:t>تعريف جريمة العنف المنزلي وجعلها جريمة قائمة بذاتها، بما في ذلك العنف المنزلي والاغتصاب الزوجي، بوصف ذلك جرائم محددة في القانون الجنائي، مع النص على العقوبات الملائمة؛</w:t>
      </w:r>
    </w:p>
    <w:p w:rsidR="000D0270" w:rsidRDefault="000D0270" w:rsidP="000D0270">
      <w:pPr>
        <w:pStyle w:val="SingleTxt"/>
        <w:rPr>
          <w:b/>
          <w:bCs/>
          <w:rtl/>
        </w:rPr>
      </w:pPr>
      <w:r w:rsidRPr="00D64D02">
        <w:rPr>
          <w:rFonts w:hint="cs"/>
          <w:rtl/>
          <w:lang w:bidi="ar"/>
        </w:rPr>
        <w:tab/>
        <w:t>(ب)</w:t>
      </w:r>
      <w:r>
        <w:rPr>
          <w:rFonts w:hint="cs"/>
          <w:b/>
          <w:bCs/>
          <w:rtl/>
        </w:rPr>
        <w:tab/>
        <w:t>ضمان التنفيذ الفعلي لخطة العمل الوطنية لمنع العنف ضد المرأة والقضاء عليه للفترة 2014-2019 وتقييم نتائجها بشكل منتظم؛</w:t>
      </w:r>
    </w:p>
    <w:p w:rsidR="000D0270" w:rsidRDefault="000D0270" w:rsidP="000D0270">
      <w:pPr>
        <w:pStyle w:val="SingleTxt"/>
        <w:rPr>
          <w:b/>
          <w:bCs/>
          <w:rtl/>
        </w:rPr>
      </w:pPr>
      <w:r w:rsidRPr="00D64D02">
        <w:rPr>
          <w:rFonts w:hint="cs"/>
          <w:rtl/>
          <w:lang w:bidi="ar"/>
        </w:rPr>
        <w:tab/>
        <w:t>(ج)</w:t>
      </w:r>
      <w:r>
        <w:rPr>
          <w:rFonts w:hint="cs"/>
          <w:b/>
          <w:bCs/>
          <w:rtl/>
        </w:rPr>
        <w:tab/>
        <w:t>ضمان العمل الفعلي لخط المساعدة المجاني العامل على مدار الساعة والمموَّل من الدولة لمساعدة النساء اللواتي يتعرضن للعنف؛</w:t>
      </w:r>
    </w:p>
    <w:p w:rsidR="000D0270" w:rsidRDefault="000D0270" w:rsidP="000D0270">
      <w:pPr>
        <w:pStyle w:val="SingleTxt"/>
        <w:rPr>
          <w:b/>
          <w:bCs/>
          <w:rtl/>
        </w:rPr>
      </w:pPr>
      <w:r w:rsidRPr="00D64D02">
        <w:rPr>
          <w:rFonts w:hint="cs"/>
          <w:rtl/>
          <w:lang w:bidi="ar"/>
        </w:rPr>
        <w:tab/>
        <w:t>(د)</w:t>
      </w:r>
      <w:r>
        <w:rPr>
          <w:rFonts w:hint="cs"/>
          <w:b/>
          <w:bCs/>
          <w:rtl/>
        </w:rPr>
        <w:tab/>
        <w:t>إنشاء آلية فعالة ومستقلة لمعالجة الشكاوى المقدمة من ضحايا العنف المنزلي؛</w:t>
      </w:r>
    </w:p>
    <w:p w:rsidR="000D0270" w:rsidRDefault="000D0270" w:rsidP="000D0270">
      <w:pPr>
        <w:pStyle w:val="SingleTxt"/>
        <w:rPr>
          <w:b/>
          <w:bCs/>
          <w:rtl/>
        </w:rPr>
      </w:pPr>
      <w:r w:rsidRPr="00D64D02">
        <w:rPr>
          <w:rFonts w:hint="cs"/>
          <w:rtl/>
          <w:lang w:bidi="ar"/>
        </w:rPr>
        <w:tab/>
        <w:t>(ه)</w:t>
      </w:r>
      <w:r>
        <w:rPr>
          <w:rFonts w:hint="cs"/>
          <w:b/>
          <w:bCs/>
          <w:rtl/>
        </w:rPr>
        <w:tab/>
        <w:t xml:space="preserve">الحرص على أن تسجل الشرطة جميع ادعاءات العنف المنزلي بما فيها العنف الجنسي والعنف الذي يستهدف الأطفال والتحقيق فوراً وبنزاهة وفعالية في جميع ادعاءات ممارسة العنف، ومقاضاة الجناة ومعاقبتهم؛ </w:t>
      </w:r>
    </w:p>
    <w:p w:rsidR="000D0270" w:rsidRPr="00D118A6" w:rsidRDefault="000D0270" w:rsidP="000D0270">
      <w:pPr>
        <w:pStyle w:val="SingleTxt"/>
        <w:rPr>
          <w:b/>
          <w:bCs/>
          <w:u w:val="single"/>
          <w:rtl/>
        </w:rPr>
      </w:pPr>
      <w:r w:rsidRPr="00D64D02">
        <w:rPr>
          <w:rFonts w:hint="cs"/>
          <w:rtl/>
          <w:lang w:bidi="ar"/>
        </w:rPr>
        <w:lastRenderedPageBreak/>
        <w:tab/>
        <w:t>(و)</w:t>
      </w:r>
      <w:r>
        <w:rPr>
          <w:rFonts w:hint="cs"/>
          <w:b/>
          <w:bCs/>
          <w:rtl/>
        </w:rPr>
        <w:tab/>
        <w:t xml:space="preserve">ضمان استفادة ضحايا العنف المنزلي من تدابير الحماية، بما فيها الأوامر الزجرية الوقائية، وتيسير حصولهم على الخدمات الطبية والقانونية، بما في ذلك المشورة، وتوفير ملاجئ مأمونة وممولة بشكل كافٍ، وإتاحة وسائل الجبر للضحايا، بما فيها إعادة التأهيل. </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الاتجار بالبشر</w:t>
      </w:r>
    </w:p>
    <w:p w:rsidR="000D0270" w:rsidRPr="000D0270" w:rsidRDefault="000D0270" w:rsidP="000D0270">
      <w:pPr>
        <w:pStyle w:val="SingleTxt"/>
        <w:rPr>
          <w:spacing w:val="-4"/>
          <w:rtl/>
        </w:rPr>
      </w:pPr>
      <w:r>
        <w:rPr>
          <w:rFonts w:hint="cs"/>
          <w:rtl/>
        </w:rPr>
        <w:t>15-</w:t>
      </w:r>
      <w:r>
        <w:rPr>
          <w:rFonts w:hint="cs"/>
          <w:rtl/>
        </w:rPr>
        <w:tab/>
        <w:t xml:space="preserve">بينما ترحب اللجنة بالتعديلات التي أُجريت على القوانين والتي تغيّر تعريف الاتجار بالبشر ليشمل الأشكال الجديدة للسلوك المعاقَب عليه، تُعرب اللجنة عن قلقها لأن الدولة </w:t>
      </w:r>
      <w:r w:rsidRPr="000D0270">
        <w:rPr>
          <w:rFonts w:hint="cs"/>
          <w:spacing w:val="-4"/>
          <w:rtl/>
        </w:rPr>
        <w:t>الطرف لا تزال بلد مصدر، وعبور ومقصد للاتجار بالبشر، لا سيما بالنسبة لأغراض الاستغلال في العمل والاستغلال الجنسي والتسوّل القسري. وتُعرب اللجنة عن قلقها أيضاً إزاء الأحكام المتساهلة جداً أو المعلّقة الصادرة في حق الجناة المتجرين بالبشر (المواد 2 و10 و12-14 و16).</w:t>
      </w:r>
    </w:p>
    <w:p w:rsidR="000D0270" w:rsidRDefault="000D0270" w:rsidP="000D0270">
      <w:pPr>
        <w:pStyle w:val="SingleTxt"/>
        <w:rPr>
          <w:b/>
          <w:bCs/>
          <w:rtl/>
        </w:rPr>
      </w:pPr>
      <w:r>
        <w:rPr>
          <w:rFonts w:hint="cs"/>
          <w:b/>
          <w:bCs/>
          <w:rtl/>
        </w:rPr>
        <w:tab/>
        <w:t>ينبغي للدولة الطرف أن تقوم بما يلي:</w:t>
      </w:r>
    </w:p>
    <w:p w:rsidR="000D0270" w:rsidRDefault="000D0270" w:rsidP="000D0270">
      <w:pPr>
        <w:pStyle w:val="SingleTxt"/>
        <w:rPr>
          <w:b/>
          <w:bCs/>
          <w:rtl/>
        </w:rPr>
      </w:pPr>
      <w:r>
        <w:rPr>
          <w:rFonts w:hint="cs"/>
          <w:b/>
          <w:bCs/>
          <w:rtl/>
        </w:rPr>
        <w:tab/>
      </w:r>
      <w:r w:rsidRPr="00D64D02">
        <w:rPr>
          <w:rFonts w:hint="cs"/>
          <w:rtl/>
          <w:lang w:bidi="ar"/>
        </w:rPr>
        <w:t>(أ)</w:t>
      </w:r>
      <w:r>
        <w:rPr>
          <w:rFonts w:hint="cs"/>
          <w:b/>
          <w:bCs/>
          <w:rtl/>
        </w:rPr>
        <w:tab/>
        <w:t>أن تنفذ بحزم التشريعات الدولية والداخلية الرامية إلى مكافحة الاتجار، وتخصيص الأموال الكافية لمكافحة الاتجار وإجراء حملات وقائية وطنية بشأن الطابع الإجرامي لهذه الأفعال؛</w:t>
      </w:r>
    </w:p>
    <w:p w:rsidR="000D0270" w:rsidRDefault="000D0270" w:rsidP="000D0270">
      <w:pPr>
        <w:pStyle w:val="SingleTxt"/>
        <w:rPr>
          <w:b/>
          <w:bCs/>
          <w:rtl/>
        </w:rPr>
      </w:pPr>
      <w:r>
        <w:rPr>
          <w:rFonts w:hint="cs"/>
          <w:b/>
          <w:bCs/>
          <w:rtl/>
        </w:rPr>
        <w:tab/>
      </w:r>
      <w:r w:rsidRPr="00D64D02">
        <w:rPr>
          <w:rFonts w:hint="cs"/>
          <w:rtl/>
          <w:lang w:bidi="ar"/>
        </w:rPr>
        <w:t>(ب)</w:t>
      </w:r>
      <w:r>
        <w:rPr>
          <w:rFonts w:hint="cs"/>
          <w:b/>
          <w:bCs/>
          <w:rtl/>
        </w:rPr>
        <w:tab/>
        <w:t>اتخاذ تدابير فعالة لمنع الاتجار بالبشر والقضاء عليه بما في ذلك من خلال تقديم التدريب المتخصص لفائدة الموظفين العموميين بشأن تحديد هوية الضحايا والتحقيق، وملاحقة الجناة ومعاقبتهم؛</w:t>
      </w:r>
    </w:p>
    <w:p w:rsidR="000D0270" w:rsidRDefault="000D0270" w:rsidP="000D0270">
      <w:pPr>
        <w:pStyle w:val="SingleTxt"/>
        <w:rPr>
          <w:b/>
          <w:bCs/>
          <w:rtl/>
        </w:rPr>
      </w:pPr>
      <w:r w:rsidRPr="00D64D02">
        <w:rPr>
          <w:rFonts w:hint="cs"/>
          <w:rtl/>
          <w:lang w:bidi="ar"/>
        </w:rPr>
        <w:tab/>
        <w:t>(ج)</w:t>
      </w:r>
      <w:r>
        <w:rPr>
          <w:rFonts w:hint="cs"/>
          <w:b/>
          <w:bCs/>
          <w:rtl/>
        </w:rPr>
        <w:tab/>
        <w:t>ضمان التنفيذ الفعلي للبرنامج الوطني لمكافحة الاتجار بالبشر للفترة</w:t>
      </w:r>
      <w:r>
        <w:rPr>
          <w:rFonts w:hint="eastAsia"/>
          <w:b/>
          <w:bCs/>
          <w:rtl/>
        </w:rPr>
        <w:t> </w:t>
      </w:r>
      <w:r>
        <w:rPr>
          <w:rFonts w:hint="cs"/>
          <w:b/>
          <w:bCs/>
          <w:rtl/>
        </w:rPr>
        <w:t>2015-2018 وضمان عمل الخط الساخن الوطني على مدار الساعة لغرض حماية ضحايا الاتجار بالبشر؛</w:t>
      </w:r>
    </w:p>
    <w:p w:rsidR="000D0270" w:rsidRDefault="000D0270" w:rsidP="000D0270">
      <w:pPr>
        <w:pStyle w:val="SingleTxt"/>
        <w:rPr>
          <w:b/>
          <w:bCs/>
          <w:rtl/>
        </w:rPr>
      </w:pPr>
      <w:r w:rsidRPr="00D64D02">
        <w:rPr>
          <w:rFonts w:hint="cs"/>
          <w:rtl/>
          <w:lang w:bidi="ar"/>
        </w:rPr>
        <w:tab/>
        <w:t>(د)</w:t>
      </w:r>
      <w:r>
        <w:rPr>
          <w:rFonts w:hint="cs"/>
          <w:b/>
          <w:bCs/>
          <w:rtl/>
        </w:rPr>
        <w:tab/>
        <w:t>التحقيق فوراً وبفعالية ونزاهة بشأن جرائم الاتجار بالأشخاص والممارسات المتصلة بذلك، وملاحقة الجناة ومعاقبتهم وفقاً لجسامة الجريمة المرتكبة؛</w:t>
      </w:r>
    </w:p>
    <w:p w:rsidR="000D0270" w:rsidRDefault="000D0270" w:rsidP="000D0270">
      <w:pPr>
        <w:pStyle w:val="SingleTxt"/>
        <w:rPr>
          <w:b/>
          <w:bCs/>
          <w:rtl/>
        </w:rPr>
      </w:pPr>
      <w:r w:rsidRPr="00D64D02">
        <w:rPr>
          <w:rFonts w:hint="cs"/>
          <w:rtl/>
          <w:lang w:bidi="ar"/>
        </w:rPr>
        <w:tab/>
        <w:t>(ه)</w:t>
      </w:r>
      <w:r>
        <w:rPr>
          <w:rFonts w:hint="cs"/>
          <w:b/>
          <w:bCs/>
          <w:rtl/>
        </w:rPr>
        <w:tab/>
        <w:t>زيادة حماية ضحايا الاتجار وجبر ضررهم، بما في ذلك تقديم المعونة القانونية والطبية والنفسية وإعادة التأهيل، إضافة إلى تقديم الملجأ الملائم والمساعدة في الإبلاغ عن حوادث الاتجار لدى الشرطة؛</w:t>
      </w:r>
    </w:p>
    <w:p w:rsidR="000D0270" w:rsidRDefault="000D0270" w:rsidP="000D0270">
      <w:pPr>
        <w:pStyle w:val="SingleTxt"/>
        <w:rPr>
          <w:b/>
          <w:bCs/>
          <w:rtl/>
        </w:rPr>
      </w:pPr>
      <w:r w:rsidRPr="00D64D02">
        <w:rPr>
          <w:rFonts w:hint="cs"/>
          <w:rtl/>
          <w:lang w:bidi="ar"/>
        </w:rPr>
        <w:tab/>
        <w:t>(و)</w:t>
      </w:r>
      <w:r>
        <w:rPr>
          <w:rFonts w:hint="cs"/>
          <w:b/>
          <w:bCs/>
          <w:rtl/>
        </w:rPr>
        <w:tab/>
        <w:t>تعزيز التعاون الدولي فيما يتعلق بمنع الاتجار والمعاقبة عليه، ومنع عودة الأشخاص المتجر بهم إلى بلدانهم الأصلية إذا كانت هناك أسباب موضوعية تدعو إلى الاعتقاد أنهم سيكونون عرضة لخطر التعذيب؛</w:t>
      </w:r>
    </w:p>
    <w:p w:rsidR="000D0270" w:rsidRDefault="000D0270" w:rsidP="000D0270">
      <w:pPr>
        <w:pStyle w:val="SingleTxt"/>
        <w:rPr>
          <w:b/>
          <w:bCs/>
          <w:rtl/>
        </w:rPr>
      </w:pPr>
      <w:r w:rsidRPr="00D64D02">
        <w:rPr>
          <w:rFonts w:hint="cs"/>
          <w:rtl/>
          <w:lang w:bidi="ar"/>
        </w:rPr>
        <w:lastRenderedPageBreak/>
        <w:tab/>
        <w:t>(ز)</w:t>
      </w:r>
      <w:r>
        <w:rPr>
          <w:rFonts w:hint="cs"/>
          <w:b/>
          <w:bCs/>
          <w:rtl/>
        </w:rPr>
        <w:tab/>
        <w:t>تزويد اللجنة ببيانات شاملة مصنّفة بشأن عدد التحقيقات، والملاحقات والأحكام الصادرة فيما يتعلق بمرتكبي جرائم الاتجار بالبشر، وبشأن تقديم الانتصاف الفعال لفائدة الضحايا.</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المؤسسة الوطنية لحقوق الإنسان</w:t>
      </w:r>
    </w:p>
    <w:p w:rsidR="000D0270" w:rsidRDefault="000D0270" w:rsidP="000D0270">
      <w:pPr>
        <w:pStyle w:val="SingleTxt"/>
        <w:rPr>
          <w:rtl/>
        </w:rPr>
      </w:pPr>
      <w:r>
        <w:rPr>
          <w:rFonts w:hint="cs"/>
          <w:rtl/>
        </w:rPr>
        <w:t>16-</w:t>
      </w:r>
      <w:r>
        <w:rPr>
          <w:rFonts w:hint="cs"/>
          <w:rtl/>
        </w:rPr>
        <w:tab/>
        <w:t xml:space="preserve">تُعرب اللجنة عن قلقها لأن المركز الوطني السلوفاكي لحقوق الإنسان ليست له ولاية شاملة كافية. وتُعرب اللجنة عن قلقها أيضاً لعدم شفافية إجراءات التوظيف بالمركز، وعدم تنوع موظفيه، وعدم كفاية درجة الحصانة والاستقلالية فيه. </w:t>
      </w:r>
    </w:p>
    <w:p w:rsidR="000D0270" w:rsidRDefault="000D0270" w:rsidP="000D0270">
      <w:pPr>
        <w:pStyle w:val="SingleTxt"/>
        <w:rPr>
          <w:b/>
          <w:bCs/>
          <w:rtl/>
        </w:rPr>
      </w:pPr>
      <w:r>
        <w:rPr>
          <w:rFonts w:hint="cs"/>
          <w:rtl/>
        </w:rPr>
        <w:tab/>
      </w:r>
      <w:r>
        <w:rPr>
          <w:rFonts w:hint="cs"/>
          <w:b/>
          <w:bCs/>
          <w:rtl/>
        </w:rPr>
        <w:t xml:space="preserve">توصي اللجنة بأن تعدّل الدولة الطرف القانون ذا الصلة، بهدف تعزيز ولاية واستقلالية المركز الوطني السلوفاكي لحقوق الإنسان من أجل جعل المركز في تطابق تام مع المبادئ المتصلة بمركز المؤسسات الوطنية لتعزيز وحماية حقوق الإنسان (مبادئ باريس) وأن تتخذ خطوات لضمان تقديم الموارد المالية والبشرية الكافية لتمكين المركز من الاضطلاع بولايته باستقلالية وفعالية. </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Pr="004E7E7E"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 xml:space="preserve">عدم الإعادة القسرية واستخدام الضمانات الدبلوماسية </w:t>
      </w:r>
    </w:p>
    <w:p w:rsidR="000D0270" w:rsidRDefault="000D0270" w:rsidP="000D0270">
      <w:pPr>
        <w:pStyle w:val="SingleTxt"/>
        <w:rPr>
          <w:rtl/>
        </w:rPr>
      </w:pPr>
      <w:r>
        <w:rPr>
          <w:rFonts w:hint="cs"/>
          <w:rtl/>
        </w:rPr>
        <w:t>17-</w:t>
      </w:r>
      <w:r>
        <w:rPr>
          <w:rFonts w:hint="cs"/>
          <w:rtl/>
        </w:rPr>
        <w:tab/>
        <w:t>تُعرب اللجنة عن قلقها لأن الدولة الطرف لا تمتثل بالكامل لالتزاماتها المنصوص عليها في المادة 3 من الاتفاقية فيما يتعلق باحترام مبدأ عدم الإعادة القسرية. واللجنة قلقة أيضاً لأن الدولة الطرف تقبل الضمانات الدبلوماسية فيما يتعلق بتسليم الأشخاص من إقليمها إلى دول قد تشكّل خطراً على حياة هؤلاء الأشخاص أو سلامتهم الشخصية، بما في ذلك قضية أنزور شينتييف (المادتان 3 و16).</w:t>
      </w:r>
    </w:p>
    <w:p w:rsidR="000D0270" w:rsidRDefault="000D0270" w:rsidP="000D0270">
      <w:pPr>
        <w:pStyle w:val="SingleTxt"/>
        <w:rPr>
          <w:b/>
          <w:bCs/>
          <w:rtl/>
        </w:rPr>
      </w:pPr>
      <w:r>
        <w:rPr>
          <w:rFonts w:hint="cs"/>
          <w:rtl/>
        </w:rPr>
        <w:tab/>
      </w:r>
      <w:r>
        <w:rPr>
          <w:rFonts w:hint="cs"/>
          <w:b/>
          <w:bCs/>
          <w:rtl/>
        </w:rPr>
        <w:t>توصي اللجنة بأن تقوم الدولة الطرف بما يلي:</w:t>
      </w:r>
    </w:p>
    <w:p w:rsidR="000D0270" w:rsidRDefault="000D0270" w:rsidP="000D0270">
      <w:pPr>
        <w:pStyle w:val="SingleTxt"/>
        <w:rPr>
          <w:b/>
          <w:bCs/>
          <w:rtl/>
        </w:rPr>
      </w:pPr>
      <w:r w:rsidRPr="00D64D02">
        <w:rPr>
          <w:rFonts w:hint="cs"/>
          <w:rtl/>
          <w:lang w:bidi="ar"/>
        </w:rPr>
        <w:tab/>
        <w:t>(أ)</w:t>
      </w:r>
      <w:r w:rsidRPr="00D64D02">
        <w:rPr>
          <w:rFonts w:hint="cs"/>
          <w:rtl/>
          <w:lang w:bidi="ar"/>
        </w:rPr>
        <w:tab/>
      </w:r>
      <w:r>
        <w:rPr>
          <w:rFonts w:hint="cs"/>
          <w:b/>
          <w:bCs/>
          <w:rtl/>
        </w:rPr>
        <w:t>أن تكفل امتثالها التام لالتزاماتها بموجب المادة 3 من الاتفاقية، وأن تولي سلطات الدولة الطرف المختصة الأفراد الخاضعين لولايتها الاهتمام المناسب وتكفل المعاملة العادلة لهم في جميع مراحل الإجراءات، بما في ذلك أن تتيح لهم فرصة إجراء مراجعة فعالة ونزيهة تقوم بها آلية مستقلة لاتخاذ القرار بشأن الطرد أو الإعادة أو الترحيل، مع وقف التنفيذ؛</w:t>
      </w:r>
    </w:p>
    <w:p w:rsidR="000D0270" w:rsidRDefault="000D0270" w:rsidP="000D0270">
      <w:pPr>
        <w:pStyle w:val="SingleTxt"/>
        <w:rPr>
          <w:b/>
          <w:bCs/>
          <w:rtl/>
        </w:rPr>
      </w:pPr>
      <w:r w:rsidRPr="00D64D02">
        <w:rPr>
          <w:rFonts w:hint="cs"/>
          <w:rtl/>
          <w:lang w:bidi="ar"/>
        </w:rPr>
        <w:tab/>
        <w:t>(ب)</w:t>
      </w:r>
      <w:r w:rsidRPr="00D64D02">
        <w:rPr>
          <w:rFonts w:hint="cs"/>
          <w:rtl/>
          <w:lang w:bidi="ar"/>
        </w:rPr>
        <w:tab/>
      </w:r>
      <w:r>
        <w:rPr>
          <w:rFonts w:hint="cs"/>
          <w:b/>
          <w:bCs/>
          <w:rtl/>
        </w:rPr>
        <w:t>أن تفي بالتزاماتها بعدم الإعادة القسرية، وبأن تكفل الحق في الطعن في قرار إصدار مذكرة ترحيل إذا وُجدت أسباب موضوعية تدعو إلى الاعتقاد بأن الشخص سيكون عُرضة لخطر التعذيب؛</w:t>
      </w:r>
    </w:p>
    <w:p w:rsidR="000D0270" w:rsidRDefault="000D0270" w:rsidP="000D0270">
      <w:pPr>
        <w:pStyle w:val="SingleTxt"/>
        <w:rPr>
          <w:b/>
          <w:bCs/>
          <w:rtl/>
        </w:rPr>
      </w:pPr>
      <w:r w:rsidRPr="00D64D02">
        <w:rPr>
          <w:rFonts w:hint="cs"/>
          <w:rtl/>
          <w:lang w:bidi="ar"/>
        </w:rPr>
        <w:tab/>
        <w:t>(ج)</w:t>
      </w:r>
      <w:r>
        <w:rPr>
          <w:rFonts w:hint="cs"/>
          <w:b/>
          <w:bCs/>
          <w:rtl/>
        </w:rPr>
        <w:tab/>
        <w:t xml:space="preserve">رفض قبول الضمانات الدبلوماسية فيما يتعلق بترحيل الأشخاص من أراضيها، لأن هذه الضمانات لا يمكن اعتبارها حماية من التعذيب أو إساءة المعاملة في </w:t>
      </w:r>
      <w:r>
        <w:rPr>
          <w:rFonts w:hint="cs"/>
          <w:b/>
          <w:bCs/>
          <w:rtl/>
        </w:rPr>
        <w:lastRenderedPageBreak/>
        <w:t>الدول التي توجد فيها أسباب موضوعية تدعو إلى الاعتقاد بأن هؤلاء الأشخاص قد يتعرضون فيها للتعذيب لدى عودتهم.</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Pr="001903A4"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التدريب</w:t>
      </w:r>
    </w:p>
    <w:p w:rsidR="000D0270" w:rsidRDefault="000D0270" w:rsidP="000D0270">
      <w:pPr>
        <w:pStyle w:val="SingleTxt"/>
        <w:rPr>
          <w:rtl/>
        </w:rPr>
      </w:pPr>
      <w:r>
        <w:rPr>
          <w:rFonts w:hint="cs"/>
          <w:rtl/>
        </w:rPr>
        <w:t>18-</w:t>
      </w:r>
      <w:r>
        <w:rPr>
          <w:rFonts w:hint="cs"/>
          <w:rtl/>
        </w:rPr>
        <w:tab/>
        <w:t>تُعرب اللجنة عن قلقها إزاء غياب منهجيات محددة لتقييم فعالية وأثر التدريب والبرامج التثقيفية المقدمة إلى موظفي إنفاذ القانون وغيرهم من المسؤولين العموميين بشأن أحكام الاتفاقية المتعلقة بخفض عدد قضايا التعذيب وإساءة المعاملة. واللجنة قلقة أيضاً لأن التدريب المتعلق بدليل التقصي والتوثيق الفعالين بشأن التعذيب وغيره من ضروب المعاملة أو العقوبة القاسية أو اللاإنسانية أو المهينة (بروتوكول اسطنبول) لا يُقدم إلى جميع المهنيين الطبيين الذين يتعاملون مع الأشخاص المسلوبة حريتهم (المادة 10).</w:t>
      </w:r>
    </w:p>
    <w:p w:rsidR="000D0270" w:rsidRDefault="000D0270" w:rsidP="000D0270">
      <w:pPr>
        <w:pStyle w:val="SingleTxt"/>
        <w:rPr>
          <w:b/>
          <w:bCs/>
          <w:rtl/>
        </w:rPr>
      </w:pPr>
      <w:r>
        <w:rPr>
          <w:rFonts w:hint="cs"/>
          <w:rtl/>
        </w:rPr>
        <w:tab/>
      </w:r>
      <w:r>
        <w:rPr>
          <w:rFonts w:hint="cs"/>
          <w:b/>
          <w:bCs/>
          <w:rtl/>
        </w:rPr>
        <w:t>ينبغي للدولة الطرف أن تقوم بما يلي:</w:t>
      </w:r>
    </w:p>
    <w:p w:rsidR="000D0270" w:rsidRDefault="000D0270" w:rsidP="000D0270">
      <w:pPr>
        <w:pStyle w:val="SingleTxt"/>
        <w:rPr>
          <w:b/>
          <w:bCs/>
          <w:rtl/>
        </w:rPr>
      </w:pPr>
      <w:r>
        <w:rPr>
          <w:rFonts w:hint="cs"/>
          <w:b/>
          <w:bCs/>
          <w:rtl/>
        </w:rPr>
        <w:tab/>
      </w:r>
      <w:r w:rsidRPr="00D64D02">
        <w:rPr>
          <w:rFonts w:hint="cs"/>
          <w:rtl/>
          <w:lang w:bidi="ar"/>
        </w:rPr>
        <w:t>(أ)</w:t>
      </w:r>
      <w:r>
        <w:rPr>
          <w:rFonts w:hint="cs"/>
          <w:b/>
          <w:bCs/>
          <w:rtl/>
        </w:rPr>
        <w:tab/>
        <w:t>وضع وتنفيذ منهجيات محددة لتقييم فعالية وأثر التدريب والبرامج التثقيفية المقدمة إلى موظفي إنفاذ القانون وغيرهم من الموظفين العموميين بشأن أحكام الاتفاقية؛</w:t>
      </w:r>
    </w:p>
    <w:p w:rsidR="000D0270" w:rsidRDefault="000D0270" w:rsidP="000D0270">
      <w:pPr>
        <w:pStyle w:val="SingleTxt"/>
        <w:rPr>
          <w:b/>
          <w:bCs/>
          <w:rtl/>
        </w:rPr>
      </w:pPr>
      <w:r w:rsidRPr="00D64D02">
        <w:rPr>
          <w:rFonts w:hint="cs"/>
          <w:rtl/>
          <w:lang w:bidi="ar"/>
        </w:rPr>
        <w:tab/>
        <w:t>(ب)</w:t>
      </w:r>
      <w:r>
        <w:rPr>
          <w:rFonts w:hint="cs"/>
          <w:b/>
          <w:bCs/>
          <w:rtl/>
        </w:rPr>
        <w:tab/>
        <w:t>ضمان جعل بروتوكول اسطنبول جزءاً أساسياً من التدريب الموجّه إلى جميع المهنيين الطبيين وغيرهم من الموظفين العموميين المشاركين في العمل مع الأشخاص المسلوبة حريتهم؛</w:t>
      </w:r>
    </w:p>
    <w:p w:rsidR="000D0270" w:rsidRDefault="000D0270" w:rsidP="000D0270">
      <w:pPr>
        <w:pStyle w:val="SingleTxt"/>
        <w:rPr>
          <w:b/>
          <w:bCs/>
          <w:rtl/>
        </w:rPr>
      </w:pPr>
      <w:r w:rsidRPr="00D64D02">
        <w:rPr>
          <w:rFonts w:hint="cs"/>
          <w:rtl/>
          <w:lang w:bidi="ar"/>
        </w:rPr>
        <w:tab/>
        <w:t>(ج)</w:t>
      </w:r>
      <w:r>
        <w:rPr>
          <w:rFonts w:hint="cs"/>
          <w:b/>
          <w:bCs/>
          <w:rtl/>
        </w:rPr>
        <w:tab/>
        <w:t>ضمان التدريب والتوجيه المنهجي لأفراد الشرطة بشأن ضرورة احترام مبدأي الضرورة والتناسب أثناء عمليات تدخّل الشرطة، وكذا بشأن الحظر المطلق للتعذيب والالتزامات الأخرى للدولة بموجب الاتفاقية.</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جمع البيانات</w:t>
      </w:r>
    </w:p>
    <w:p w:rsidR="000D0270" w:rsidRDefault="000D0270" w:rsidP="000D0270">
      <w:pPr>
        <w:pStyle w:val="SingleTxt"/>
        <w:rPr>
          <w:rtl/>
        </w:rPr>
      </w:pPr>
      <w:r>
        <w:rPr>
          <w:rFonts w:hint="cs"/>
          <w:rtl/>
        </w:rPr>
        <w:t>19-</w:t>
      </w:r>
      <w:r>
        <w:rPr>
          <w:rFonts w:hint="cs"/>
          <w:rtl/>
        </w:rPr>
        <w:tab/>
        <w:t xml:space="preserve">تُعرب اللجنة عن أسفها لغياب بيانات إحصائية شاملة، مصنفة حسب السن، والجنس والأصل الإثني أو القومي، بشأن الشكاوى، والتحقيقات والملاحقات والإدانات في قضايا التعذيب وإساءة المعاملة من قِبل موظفي إنفاذ القانون وموظفي السجون، أو بشأن الاتجار والعنف المنزلي والجنسي، بما في ذلك وسائل الجبر. </w:t>
      </w:r>
    </w:p>
    <w:p w:rsidR="000D0270" w:rsidRDefault="000D0270" w:rsidP="000D0270">
      <w:pPr>
        <w:pStyle w:val="SingleTxt"/>
        <w:rPr>
          <w:b/>
          <w:bCs/>
          <w:rtl/>
        </w:rPr>
      </w:pPr>
      <w:r>
        <w:rPr>
          <w:rFonts w:hint="cs"/>
          <w:rtl/>
        </w:rPr>
        <w:tab/>
      </w:r>
      <w:r>
        <w:rPr>
          <w:rFonts w:hint="cs"/>
          <w:b/>
          <w:bCs/>
          <w:rtl/>
        </w:rPr>
        <w:t>ينبغي للدولة الطرف أن تجمّع بيانات إحصائية تتعلق برصد تنفيذ الاتفاقية على الصعيد الوطني، بما في ذلك إحصاءات مصنّفة حسب السن، والجنس والأصل الإثني أو القومي، بشأن الشكاوى والتحقيقات والملاحقات القضائية والإدانات في قضايا التعذيب وإساءة المعاملة والاتجار بالبشر والعنف المنزلي والجنسي وكذلك بشأن سبل جبر الضرر المتاحة للضحايا، بما فيها التعويض وإعادة التأهيل.</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إجراء المتابعة</w:t>
      </w:r>
    </w:p>
    <w:p w:rsidR="000D0270" w:rsidRDefault="000D0270" w:rsidP="000D0270">
      <w:pPr>
        <w:pStyle w:val="SingleTxt"/>
        <w:rPr>
          <w:rtl/>
        </w:rPr>
      </w:pPr>
      <w:r>
        <w:rPr>
          <w:rFonts w:hint="cs"/>
          <w:rtl/>
        </w:rPr>
        <w:t>20-</w:t>
      </w:r>
      <w:r>
        <w:rPr>
          <w:rFonts w:hint="cs"/>
          <w:rtl/>
        </w:rPr>
        <w:tab/>
        <w:t>تطلب اللجنة إلى الدولة الطرف أن تقدم، بحلول 14 آب/أغسطس 2016، معلومات متابعة رداً على توصيات اللجنة المتعلقة بما يلي: الضمانات القانونية الأساسية؛ وإجراء تحقيقات في ادعاءات الاستخدام المفرط للقوة؛ وتقديم بيانات بشأن هذه التحقيقات؛ والتصريح علناً بنهج سياسة عدم التسامح مع الاستخدام المفرط للقوة، على النحو الوارد في الفقرات 8، و11(أ)، و11(ب) و11(ز)، على التوالي من هذه الوثيقة.</w:t>
      </w:r>
    </w:p>
    <w:p w:rsidR="000D0270" w:rsidRP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270" w:rsidRDefault="000D0270" w:rsidP="000D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مسائل أخرى</w:t>
      </w:r>
    </w:p>
    <w:p w:rsidR="000D0270" w:rsidRDefault="000D0270" w:rsidP="000D0270">
      <w:pPr>
        <w:pStyle w:val="SingleTxt"/>
        <w:rPr>
          <w:rtl/>
        </w:rPr>
      </w:pPr>
      <w:r>
        <w:rPr>
          <w:rFonts w:hint="cs"/>
          <w:rtl/>
        </w:rPr>
        <w:t>21-</w:t>
      </w:r>
      <w:r>
        <w:rPr>
          <w:rFonts w:hint="cs"/>
          <w:rtl/>
        </w:rPr>
        <w:tab/>
        <w:t>تدعو اللجنة الدولة الطرف إلى النظر في التصديق على معاهدات الأمم المتحدة لحقوق الإنسان التي ليست طرفاً فيها بعد، أي، البروتوكول الاختياري الملحق باتفاقية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w:t>
      </w:r>
    </w:p>
    <w:p w:rsidR="000D0270" w:rsidRDefault="000D0270" w:rsidP="000D0270">
      <w:pPr>
        <w:pStyle w:val="SingleTxt"/>
        <w:rPr>
          <w:rtl/>
        </w:rPr>
      </w:pPr>
      <w:r>
        <w:rPr>
          <w:rFonts w:hint="cs"/>
          <w:rtl/>
        </w:rPr>
        <w:t>22-</w:t>
      </w:r>
      <w:r>
        <w:rPr>
          <w:rFonts w:hint="cs"/>
          <w:rtl/>
        </w:rPr>
        <w:tab/>
        <w:t>ويُطلب إلى الدولة الطرف أن تنشر على نطاق واسع التقرير المقدم إلى اللجنة وهذه الملاحظات الختامية باللغات المناسبة عبر المواقع الشبكية الرسمية، ووسائط الإعلام والمنظمات غير الحكومية.</w:t>
      </w:r>
    </w:p>
    <w:p w:rsidR="000D0270" w:rsidRDefault="000D0270" w:rsidP="000D0270">
      <w:pPr>
        <w:pStyle w:val="SingleTxt"/>
        <w:rPr>
          <w:rtl/>
        </w:rPr>
      </w:pPr>
      <w:r>
        <w:rPr>
          <w:rFonts w:hint="cs"/>
          <w:rtl/>
        </w:rPr>
        <w:t>23-</w:t>
      </w:r>
      <w:r>
        <w:rPr>
          <w:rFonts w:hint="cs"/>
          <w:rtl/>
        </w:rPr>
        <w:tab/>
        <w:t>والدولة الطرف مدعوة إلى تقديم تقريرها المقبل، الذي سيكون التقرير الدوري الرابع، بحلول 14 آب/أغسطس 2019. ولهذا الغرض، ستحيل اللجنة إلى الدولة الطرف، في الوقت المناسب، قائمة المسائل السابقة لتقديم التقارير، علماً بأن الدولة الطرف وافقت على تقديم تقاريرها إلى اللجنة بموجب الإجراء الاختياري لتقديم التقارير.</w:t>
      </w:r>
    </w:p>
    <w:p w:rsidR="000D0270" w:rsidRPr="00C61F0B" w:rsidRDefault="000D0270" w:rsidP="000D0270">
      <w:pPr>
        <w:pStyle w:val="SingleTxt"/>
        <w:spacing w:after="0" w:line="240" w:lineRule="auto"/>
        <w:rPr>
          <w:rtl/>
        </w:rPr>
      </w:pPr>
      <w:r>
        <w:rPr>
          <w:rFonts w:hint="cs"/>
          <w:noProof/>
          <w:w w:val="100"/>
          <w:rtl/>
        </w:rPr>
        <mc:AlternateContent>
          <mc:Choice Requires="wps">
            <w:drawing>
              <wp:anchor distT="0" distB="0" distL="114300" distR="114300" simplePos="0" relativeHeight="251659264" behindDoc="0" locked="0" layoutInCell="1" allowOverlap="1" wp14:anchorId="471117C8" wp14:editId="75CA204E">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p w:rsidR="00E10080" w:rsidRPr="00E10080" w:rsidRDefault="00E10080" w:rsidP="00E10080">
      <w:pPr>
        <w:pStyle w:val="SingleTxt"/>
      </w:pPr>
    </w:p>
    <w:sectPr w:rsidR="00E10080" w:rsidRPr="00E10080" w:rsidSect="00E10080">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2T10:42:00Z" w:initials="Start">
    <w:p w:rsidR="00E10080" w:rsidRDefault="00E1008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E920AC">
        <w:t>&lt;&lt;ODS JOB NO&gt;&gt;G</w:t>
      </w:r>
      <w:r>
        <w:t>1520350A&lt;&lt;ODS JOB NO&gt;&gt;</w:t>
      </w:r>
    </w:p>
    <w:p w:rsidR="00E10080" w:rsidRDefault="00E10080">
      <w:pPr>
        <w:pStyle w:val="CommentText"/>
      </w:pPr>
      <w:r>
        <w:t>&lt;&lt;ODS DOC SYMBOL1&gt;&gt;CAT/C/SVK/CO/3&lt;&lt;ODS DOC SYMBOL1&gt;&gt;</w:t>
      </w:r>
    </w:p>
    <w:p w:rsidR="00E10080" w:rsidRDefault="00E100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1E5" w:rsidRDefault="000931E5" w:rsidP="00693CF9">
      <w:pPr>
        <w:spacing w:line="240" w:lineRule="auto"/>
      </w:pPr>
      <w:r>
        <w:separator/>
      </w:r>
    </w:p>
  </w:endnote>
  <w:endnote w:type="continuationSeparator" w:id="0">
    <w:p w:rsidR="000931E5" w:rsidRDefault="000931E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10080" w:rsidTr="00E10080">
      <w:trPr>
        <w:jc w:val="center"/>
      </w:trPr>
      <w:tc>
        <w:tcPr>
          <w:tcW w:w="5126" w:type="dxa"/>
          <w:shd w:val="clear" w:color="auto" w:fill="auto"/>
        </w:tcPr>
        <w:p w:rsidR="00E10080" w:rsidRPr="00E10080" w:rsidRDefault="00E10080" w:rsidP="00E10080">
          <w:pPr>
            <w:pStyle w:val="Footer"/>
            <w:rPr>
              <w:w w:val="103"/>
            </w:rPr>
          </w:pPr>
          <w:r>
            <w:rPr>
              <w:w w:val="103"/>
            </w:rPr>
            <w:fldChar w:fldCharType="begin"/>
          </w:r>
          <w:r>
            <w:rPr>
              <w:w w:val="103"/>
            </w:rPr>
            <w:instrText xml:space="preserve"> PAGE  \* Arabic  \* MERGEFORMAT </w:instrText>
          </w:r>
          <w:r>
            <w:rPr>
              <w:w w:val="103"/>
            </w:rPr>
            <w:fldChar w:fldCharType="separate"/>
          </w:r>
          <w:r w:rsidR="00B538EC">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538EC">
            <w:rPr>
              <w:noProof/>
              <w:w w:val="103"/>
            </w:rPr>
            <w:t>11</w:t>
          </w:r>
          <w:r>
            <w:rPr>
              <w:w w:val="103"/>
            </w:rPr>
            <w:fldChar w:fldCharType="end"/>
          </w:r>
        </w:p>
      </w:tc>
      <w:tc>
        <w:tcPr>
          <w:tcW w:w="5127" w:type="dxa"/>
          <w:shd w:val="clear" w:color="auto" w:fill="auto"/>
        </w:tcPr>
        <w:p w:rsidR="00E10080" w:rsidRPr="00E10080" w:rsidRDefault="00E10080" w:rsidP="00E1008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38EC">
            <w:rPr>
              <w:b w:val="0"/>
              <w:w w:val="103"/>
            </w:rPr>
            <w:t>GE.15-15220</w:t>
          </w:r>
          <w:r>
            <w:rPr>
              <w:b w:val="0"/>
              <w:w w:val="103"/>
            </w:rPr>
            <w:fldChar w:fldCharType="end"/>
          </w:r>
        </w:p>
      </w:tc>
    </w:tr>
  </w:tbl>
  <w:p w:rsidR="00E10080" w:rsidRPr="00E10080" w:rsidRDefault="00E10080" w:rsidP="00E100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10080" w:rsidTr="00E10080">
      <w:trPr>
        <w:jc w:val="center"/>
      </w:trPr>
      <w:tc>
        <w:tcPr>
          <w:tcW w:w="5126" w:type="dxa"/>
          <w:shd w:val="clear" w:color="auto" w:fill="auto"/>
        </w:tcPr>
        <w:p w:rsidR="00E10080" w:rsidRPr="00E10080" w:rsidRDefault="00E10080" w:rsidP="00E1008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38EC">
            <w:rPr>
              <w:b w:val="0"/>
              <w:w w:val="103"/>
            </w:rPr>
            <w:t>GE.15-15220</w:t>
          </w:r>
          <w:r>
            <w:rPr>
              <w:b w:val="0"/>
              <w:w w:val="103"/>
            </w:rPr>
            <w:fldChar w:fldCharType="end"/>
          </w:r>
        </w:p>
      </w:tc>
      <w:tc>
        <w:tcPr>
          <w:tcW w:w="5127" w:type="dxa"/>
          <w:shd w:val="clear" w:color="auto" w:fill="auto"/>
        </w:tcPr>
        <w:p w:rsidR="00E10080" w:rsidRPr="00E10080" w:rsidRDefault="00E10080" w:rsidP="00E10080">
          <w:pPr>
            <w:pStyle w:val="Footer"/>
            <w:jc w:val="left"/>
            <w:rPr>
              <w:w w:val="103"/>
            </w:rPr>
          </w:pPr>
          <w:r>
            <w:rPr>
              <w:w w:val="103"/>
            </w:rPr>
            <w:fldChar w:fldCharType="begin"/>
          </w:r>
          <w:r>
            <w:rPr>
              <w:w w:val="103"/>
            </w:rPr>
            <w:instrText xml:space="preserve"> PAGE  \* Arabic  \* MERGEFORMAT </w:instrText>
          </w:r>
          <w:r>
            <w:rPr>
              <w:w w:val="103"/>
            </w:rPr>
            <w:fldChar w:fldCharType="separate"/>
          </w:r>
          <w:r w:rsidR="00B538EC">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538EC">
            <w:rPr>
              <w:noProof/>
              <w:w w:val="103"/>
            </w:rPr>
            <w:t>11</w:t>
          </w:r>
          <w:r>
            <w:rPr>
              <w:w w:val="103"/>
            </w:rPr>
            <w:fldChar w:fldCharType="end"/>
          </w:r>
        </w:p>
      </w:tc>
    </w:tr>
  </w:tbl>
  <w:p w:rsidR="00E10080" w:rsidRPr="00E10080" w:rsidRDefault="00E10080" w:rsidP="00E100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E10080" w:rsidTr="00E10080">
      <w:trPr>
        <w:jc w:val="right"/>
      </w:trPr>
      <w:tc>
        <w:tcPr>
          <w:tcW w:w="4046" w:type="dxa"/>
        </w:tcPr>
        <w:p w:rsidR="00E10080" w:rsidRDefault="00E10080" w:rsidP="00E1008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3BD3217" wp14:editId="1C377AF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AT/C/SVK/CO/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VK/CO/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7762590" wp14:editId="2A8BBD2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E10080" w:rsidRDefault="00E10080" w:rsidP="00E10080">
          <w:pPr>
            <w:pStyle w:val="ReleaseDate"/>
          </w:pPr>
          <w:r>
            <w:t>011215</w:t>
          </w:r>
          <w:r w:rsidR="00972357">
            <w:t xml:space="preserve">  </w:t>
          </w:r>
          <w:r w:rsidR="00441AB4">
            <w:t xml:space="preserve">  </w:t>
          </w:r>
          <w:r w:rsidR="00743E2E">
            <w:t>02</w:t>
          </w:r>
          <w:r>
            <w:t>1215</w:t>
          </w:r>
          <w:r w:rsidR="00441AB4">
            <w:t xml:space="preserve"> </w:t>
          </w:r>
          <w:r w:rsidR="00972357">
            <w:t xml:space="preserve">  </w:t>
          </w:r>
          <w:r w:rsidR="00441AB4">
            <w:t xml:space="preserve"> </w:t>
          </w:r>
          <w:r w:rsidR="00B538EC">
            <w:fldChar w:fldCharType="begin"/>
          </w:r>
          <w:r w:rsidR="00B538EC">
            <w:instrText xml:space="preserve"> DOCVARIABLE "jobn" \* MERGEFORMAT </w:instrText>
          </w:r>
          <w:r w:rsidR="00B538EC">
            <w:fldChar w:fldCharType="separate"/>
          </w:r>
          <w:r w:rsidR="00B538EC">
            <w:t>GE.15-15220 (A)</w:t>
          </w:r>
          <w:r w:rsidR="00B538EC">
            <w:fldChar w:fldCharType="end"/>
          </w:r>
        </w:p>
        <w:p w:rsidR="00E10080" w:rsidRPr="00E10080" w:rsidRDefault="00E10080" w:rsidP="00E1008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538EC">
            <w:rPr>
              <w:rFonts w:ascii="Barcode 3 of 9 by request" w:hAnsi="Barcode 3 of 9 by request"/>
              <w:sz w:val="24"/>
            </w:rPr>
            <w:t>*1515220*</w:t>
          </w:r>
          <w:r>
            <w:rPr>
              <w:rFonts w:ascii="Barcode 3 of 9 by request" w:hAnsi="Barcode 3 of 9 by request"/>
              <w:sz w:val="24"/>
            </w:rPr>
            <w:fldChar w:fldCharType="end"/>
          </w:r>
        </w:p>
      </w:tc>
    </w:tr>
  </w:tbl>
  <w:p w:rsidR="00E10080" w:rsidRPr="00E10080" w:rsidRDefault="00E10080" w:rsidP="00E1008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1E5" w:rsidRDefault="000931E5" w:rsidP="00693CF9">
      <w:pPr>
        <w:spacing w:line="240" w:lineRule="auto"/>
      </w:pPr>
      <w:r>
        <w:separator/>
      </w:r>
    </w:p>
  </w:footnote>
  <w:footnote w:type="continuationSeparator" w:id="0">
    <w:p w:rsidR="000931E5" w:rsidRDefault="000931E5"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E10080" w:rsidTr="00E10080">
      <w:trPr>
        <w:trHeight w:hRule="exact" w:val="864"/>
        <w:jc w:val="center"/>
      </w:trPr>
      <w:tc>
        <w:tcPr>
          <w:tcW w:w="4882" w:type="dxa"/>
          <w:shd w:val="clear" w:color="auto" w:fill="auto"/>
          <w:vAlign w:val="bottom"/>
        </w:tcPr>
        <w:p w:rsidR="00E10080" w:rsidRDefault="00E10080" w:rsidP="00E10080">
          <w:pPr>
            <w:pStyle w:val="Header"/>
            <w:bidi/>
          </w:pPr>
        </w:p>
      </w:tc>
      <w:tc>
        <w:tcPr>
          <w:tcW w:w="5127" w:type="dxa"/>
          <w:shd w:val="clear" w:color="auto" w:fill="auto"/>
          <w:vAlign w:val="bottom"/>
        </w:tcPr>
        <w:p w:rsidR="00E10080" w:rsidRPr="00E10080" w:rsidRDefault="00E10080" w:rsidP="00E1008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538EC">
            <w:rPr>
              <w:w w:val="103"/>
            </w:rPr>
            <w:t>CAT/C/SVK/CO/3</w:t>
          </w:r>
          <w:r>
            <w:rPr>
              <w:w w:val="103"/>
            </w:rPr>
            <w:fldChar w:fldCharType="end"/>
          </w:r>
        </w:p>
      </w:tc>
    </w:tr>
  </w:tbl>
  <w:p w:rsidR="00E10080" w:rsidRPr="00E10080" w:rsidRDefault="00E10080" w:rsidP="00E100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E10080" w:rsidTr="00E10080">
      <w:trPr>
        <w:trHeight w:hRule="exact" w:val="864"/>
        <w:jc w:val="center"/>
      </w:trPr>
      <w:tc>
        <w:tcPr>
          <w:tcW w:w="4882" w:type="dxa"/>
          <w:shd w:val="clear" w:color="auto" w:fill="auto"/>
          <w:vAlign w:val="bottom"/>
        </w:tcPr>
        <w:p w:rsidR="00E10080" w:rsidRPr="00E10080" w:rsidRDefault="00E10080" w:rsidP="00E1008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538EC">
            <w:rPr>
              <w:w w:val="103"/>
            </w:rPr>
            <w:t>CAT/C/SVK/CO/3</w:t>
          </w:r>
          <w:r>
            <w:rPr>
              <w:w w:val="103"/>
            </w:rPr>
            <w:fldChar w:fldCharType="end"/>
          </w:r>
        </w:p>
      </w:tc>
      <w:tc>
        <w:tcPr>
          <w:tcW w:w="5127" w:type="dxa"/>
          <w:shd w:val="clear" w:color="auto" w:fill="auto"/>
          <w:vAlign w:val="bottom"/>
        </w:tcPr>
        <w:p w:rsidR="00E10080" w:rsidRDefault="00E10080" w:rsidP="00E10080">
          <w:pPr>
            <w:pStyle w:val="Header"/>
          </w:pPr>
        </w:p>
      </w:tc>
    </w:tr>
  </w:tbl>
  <w:p w:rsidR="00E10080" w:rsidRPr="00E10080" w:rsidRDefault="00E10080" w:rsidP="00E100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E10080" w:rsidTr="00E10080">
      <w:trPr>
        <w:gridAfter w:val="1"/>
        <w:wAfter w:w="25" w:type="dxa"/>
        <w:trHeight w:hRule="exact" w:val="864"/>
      </w:trPr>
      <w:tc>
        <w:tcPr>
          <w:tcW w:w="1282" w:type="dxa"/>
          <w:tcBorders>
            <w:bottom w:val="single" w:sz="4" w:space="0" w:color="auto"/>
          </w:tcBorders>
          <w:shd w:val="clear" w:color="auto" w:fill="auto"/>
          <w:vAlign w:val="bottom"/>
        </w:tcPr>
        <w:p w:rsidR="00E10080" w:rsidRDefault="00E10080" w:rsidP="00E10080">
          <w:pPr>
            <w:pStyle w:val="Header"/>
            <w:spacing w:after="120"/>
          </w:pPr>
        </w:p>
      </w:tc>
      <w:tc>
        <w:tcPr>
          <w:tcW w:w="1786" w:type="dxa"/>
          <w:tcBorders>
            <w:bottom w:val="single" w:sz="4" w:space="0" w:color="auto"/>
          </w:tcBorders>
          <w:shd w:val="clear" w:color="auto" w:fill="auto"/>
          <w:vAlign w:val="bottom"/>
        </w:tcPr>
        <w:p w:rsidR="00E10080" w:rsidRPr="00E10080" w:rsidRDefault="00E10080" w:rsidP="00E1008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10080" w:rsidRDefault="00E10080" w:rsidP="00E10080">
          <w:pPr>
            <w:pStyle w:val="Header"/>
            <w:spacing w:after="120"/>
          </w:pPr>
        </w:p>
      </w:tc>
      <w:tc>
        <w:tcPr>
          <w:tcW w:w="6696" w:type="dxa"/>
          <w:gridSpan w:val="3"/>
          <w:tcBorders>
            <w:bottom w:val="single" w:sz="4" w:space="0" w:color="auto"/>
          </w:tcBorders>
          <w:shd w:val="clear" w:color="auto" w:fill="auto"/>
          <w:vAlign w:val="bottom"/>
        </w:tcPr>
        <w:p w:rsidR="00E10080" w:rsidRPr="00E10080" w:rsidRDefault="00E10080" w:rsidP="00E10080">
          <w:pPr>
            <w:spacing w:line="380" w:lineRule="exact"/>
            <w:jc w:val="right"/>
          </w:pPr>
          <w:r>
            <w:rPr>
              <w:sz w:val="40"/>
            </w:rPr>
            <w:t>CAT</w:t>
          </w:r>
          <w:r>
            <w:t>/C/SVK/CO/3</w:t>
          </w:r>
        </w:p>
      </w:tc>
    </w:tr>
    <w:tr w:rsidR="00E10080" w:rsidRPr="00E10080" w:rsidTr="00E10080">
      <w:trPr>
        <w:trHeight w:hRule="exact" w:val="2880"/>
      </w:trPr>
      <w:tc>
        <w:tcPr>
          <w:tcW w:w="1282" w:type="dxa"/>
          <w:tcBorders>
            <w:top w:val="single" w:sz="4" w:space="0" w:color="auto"/>
            <w:bottom w:val="single" w:sz="12" w:space="0" w:color="auto"/>
          </w:tcBorders>
          <w:shd w:val="clear" w:color="auto" w:fill="auto"/>
        </w:tcPr>
        <w:p w:rsidR="00E10080" w:rsidRDefault="00E10080" w:rsidP="00E10080">
          <w:pPr>
            <w:pStyle w:val="Header"/>
            <w:spacing w:before="120"/>
            <w:jc w:val="center"/>
          </w:pPr>
          <w:r>
            <w:t xml:space="preserve"> </w:t>
          </w:r>
          <w:r>
            <w:rPr>
              <w:noProof/>
            </w:rPr>
            <w:drawing>
              <wp:inline distT="0" distB="0" distL="0" distR="0" wp14:anchorId="6104CF24" wp14:editId="108B86C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E10080" w:rsidRPr="00E10080" w:rsidRDefault="00E10080" w:rsidP="00E10080">
          <w:pPr>
            <w:pStyle w:val="Header"/>
            <w:spacing w:before="120"/>
            <w:jc w:val="center"/>
          </w:pPr>
        </w:p>
      </w:tc>
      <w:tc>
        <w:tcPr>
          <w:tcW w:w="5227" w:type="dxa"/>
          <w:gridSpan w:val="3"/>
          <w:tcBorders>
            <w:top w:val="single" w:sz="4" w:space="0" w:color="auto"/>
            <w:bottom w:val="single" w:sz="12" w:space="0" w:color="auto"/>
          </w:tcBorders>
          <w:shd w:val="clear" w:color="auto" w:fill="auto"/>
        </w:tcPr>
        <w:p w:rsidR="00E10080" w:rsidRPr="00E10080" w:rsidRDefault="00E10080" w:rsidP="00E10080">
          <w:pPr>
            <w:pStyle w:val="XLarge"/>
            <w:spacing w:before="109"/>
            <w:ind w:left="14"/>
            <w:jc w:val="lowKashida"/>
          </w:pPr>
          <w:r>
            <w:rPr>
              <w:rtl/>
            </w:rPr>
            <w:t>اتفاقية مناهضة التعذيب وغيره</w:t>
          </w:r>
          <w:r>
            <w:rPr>
              <w:rtl/>
            </w:rPr>
            <w:br/>
            <w:t>من ضروب المعاملة أو العقوبة</w:t>
          </w:r>
          <w:r>
            <w:rPr>
              <w:rtl/>
            </w:rPr>
            <w:br/>
            <w:t>القاسية أو اللاإنسانية أو المهينة</w:t>
          </w:r>
        </w:p>
      </w:tc>
      <w:tc>
        <w:tcPr>
          <w:tcW w:w="245" w:type="dxa"/>
          <w:tcBorders>
            <w:top w:val="single" w:sz="4" w:space="0" w:color="auto"/>
            <w:bottom w:val="single" w:sz="12" w:space="0" w:color="auto"/>
          </w:tcBorders>
          <w:shd w:val="clear" w:color="auto" w:fill="auto"/>
        </w:tcPr>
        <w:p w:rsidR="00E10080" w:rsidRPr="00E10080" w:rsidRDefault="00E10080" w:rsidP="00E10080">
          <w:pPr>
            <w:pStyle w:val="Header"/>
            <w:spacing w:before="109"/>
          </w:pPr>
        </w:p>
      </w:tc>
      <w:tc>
        <w:tcPr>
          <w:tcW w:w="3280" w:type="dxa"/>
          <w:gridSpan w:val="2"/>
          <w:tcBorders>
            <w:top w:val="single" w:sz="4" w:space="0" w:color="auto"/>
            <w:bottom w:val="single" w:sz="12" w:space="0" w:color="auto"/>
          </w:tcBorders>
          <w:shd w:val="clear" w:color="auto" w:fill="auto"/>
        </w:tcPr>
        <w:p w:rsidR="00E10080" w:rsidRDefault="00E10080" w:rsidP="00E10080">
          <w:pPr>
            <w:pStyle w:val="Distribution"/>
            <w:bidi w:val="0"/>
            <w:spacing w:before="240"/>
          </w:pPr>
          <w:r>
            <w:t>Distr.: General</w:t>
          </w:r>
        </w:p>
        <w:p w:rsidR="00E10080" w:rsidRDefault="000D0270" w:rsidP="000D0270">
          <w:pPr>
            <w:pStyle w:val="Publication"/>
            <w:bidi w:val="0"/>
          </w:pPr>
          <w:r>
            <w:t xml:space="preserve">8 September </w:t>
          </w:r>
          <w:r w:rsidR="00E10080">
            <w:t>2015</w:t>
          </w:r>
        </w:p>
        <w:p w:rsidR="00E10080" w:rsidRDefault="00E10080" w:rsidP="00E10080">
          <w:pPr>
            <w:bidi w:val="0"/>
            <w:spacing w:line="240" w:lineRule="exact"/>
            <w:jc w:val="left"/>
          </w:pPr>
          <w:r>
            <w:t>Arabic</w:t>
          </w:r>
        </w:p>
        <w:p w:rsidR="00E10080" w:rsidRDefault="00E10080" w:rsidP="00E10080">
          <w:pPr>
            <w:pStyle w:val="Original"/>
            <w:bidi w:val="0"/>
          </w:pPr>
          <w:r>
            <w:t>Original: English</w:t>
          </w:r>
        </w:p>
        <w:p w:rsidR="00E10080" w:rsidRPr="00E10080" w:rsidRDefault="00E10080" w:rsidP="00E10080">
          <w:pPr>
            <w:bidi w:val="0"/>
            <w:spacing w:line="240" w:lineRule="exact"/>
            <w:jc w:val="left"/>
          </w:pPr>
        </w:p>
      </w:tc>
    </w:tr>
  </w:tbl>
  <w:p w:rsidR="00E10080" w:rsidRPr="00E10080" w:rsidRDefault="00E10080" w:rsidP="00E1008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220*"/>
    <w:docVar w:name="CreationDt" w:val="12/1/2015 3:20: PM"/>
    <w:docVar w:name="DocCategory" w:val="Doc"/>
    <w:docVar w:name="DocType" w:val="Final"/>
    <w:docVar w:name="DutyStation" w:val="Geneva"/>
    <w:docVar w:name="FooterJN" w:val="GE.15-15220"/>
    <w:docVar w:name="jobn" w:val="GE.15-15220 (A)"/>
    <w:docVar w:name="jobnDT" w:val="GE.15-15220 (A)   011215"/>
    <w:docVar w:name="jobnDTDT" w:val="GE.15-15220 (A)   011215   011215"/>
    <w:docVar w:name="JobNo" w:val="GE.1515220A"/>
    <w:docVar w:name="LocalDrive" w:val="0"/>
    <w:docVar w:name="OandT" w:val="buhnam"/>
    <w:docVar w:name="PaperSize" w:val="A4"/>
    <w:docVar w:name="sss1" w:val="CAT/C/SVK/CO/3"/>
    <w:docVar w:name="sss2" w:val="-"/>
    <w:docVar w:name="Symbol1" w:val="CAT/C/SVK/CO/3"/>
    <w:docVar w:name="Symbol2" w:val="-"/>
  </w:docVars>
  <w:rsids>
    <w:rsidRoot w:val="000931E5"/>
    <w:rsid w:val="000020C4"/>
    <w:rsid w:val="0000693B"/>
    <w:rsid w:val="000170D3"/>
    <w:rsid w:val="0002744A"/>
    <w:rsid w:val="000311C9"/>
    <w:rsid w:val="00042425"/>
    <w:rsid w:val="00047F6A"/>
    <w:rsid w:val="0005137B"/>
    <w:rsid w:val="00056AA7"/>
    <w:rsid w:val="0006648F"/>
    <w:rsid w:val="00070E09"/>
    <w:rsid w:val="00087310"/>
    <w:rsid w:val="000927B5"/>
    <w:rsid w:val="000931E5"/>
    <w:rsid w:val="0009732C"/>
    <w:rsid w:val="000974BE"/>
    <w:rsid w:val="000B640C"/>
    <w:rsid w:val="000C4EED"/>
    <w:rsid w:val="000D0270"/>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1AB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3E2E"/>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25B7A"/>
    <w:rsid w:val="00830E32"/>
    <w:rsid w:val="00845A14"/>
    <w:rsid w:val="0085331D"/>
    <w:rsid w:val="00853F0F"/>
    <w:rsid w:val="00854563"/>
    <w:rsid w:val="008569BB"/>
    <w:rsid w:val="008616DB"/>
    <w:rsid w:val="00861BB3"/>
    <w:rsid w:val="008624AF"/>
    <w:rsid w:val="00873A11"/>
    <w:rsid w:val="00873AF9"/>
    <w:rsid w:val="00881022"/>
    <w:rsid w:val="0088317F"/>
    <w:rsid w:val="00887330"/>
    <w:rsid w:val="008913BC"/>
    <w:rsid w:val="008A3FCA"/>
    <w:rsid w:val="008D1C04"/>
    <w:rsid w:val="008E36F7"/>
    <w:rsid w:val="008E5298"/>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2357"/>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5680"/>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38E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E2D9C"/>
    <w:rsid w:val="00CE3386"/>
    <w:rsid w:val="00CF4D77"/>
    <w:rsid w:val="00CF7384"/>
    <w:rsid w:val="00D00717"/>
    <w:rsid w:val="00D0526B"/>
    <w:rsid w:val="00D221F3"/>
    <w:rsid w:val="00D2343D"/>
    <w:rsid w:val="00D30EAE"/>
    <w:rsid w:val="00D318F1"/>
    <w:rsid w:val="00D40B0E"/>
    <w:rsid w:val="00D416C2"/>
    <w:rsid w:val="00D44FE0"/>
    <w:rsid w:val="00D4694F"/>
    <w:rsid w:val="00D5423E"/>
    <w:rsid w:val="00D64D02"/>
    <w:rsid w:val="00D66413"/>
    <w:rsid w:val="00D93F5A"/>
    <w:rsid w:val="00DA46A0"/>
    <w:rsid w:val="00DA66B7"/>
    <w:rsid w:val="00DB0865"/>
    <w:rsid w:val="00DB0C91"/>
    <w:rsid w:val="00DB7206"/>
    <w:rsid w:val="00DB7FB0"/>
    <w:rsid w:val="00DC36C8"/>
    <w:rsid w:val="00DC5C1E"/>
    <w:rsid w:val="00DE5433"/>
    <w:rsid w:val="00DE68A7"/>
    <w:rsid w:val="00DF2A65"/>
    <w:rsid w:val="00DF2AE6"/>
    <w:rsid w:val="00DF5A43"/>
    <w:rsid w:val="00DF5F38"/>
    <w:rsid w:val="00DF6AA9"/>
    <w:rsid w:val="00E04526"/>
    <w:rsid w:val="00E07BAA"/>
    <w:rsid w:val="00E10080"/>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920AC"/>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10080"/>
    <w:pPr>
      <w:spacing w:line="240" w:lineRule="auto"/>
    </w:pPr>
    <w:rPr>
      <w:szCs w:val="20"/>
    </w:rPr>
  </w:style>
  <w:style w:type="character" w:customStyle="1" w:styleId="CommentTextChar">
    <w:name w:val="Comment Text Char"/>
    <w:basedOn w:val="DefaultParagraphFont"/>
    <w:link w:val="CommentText"/>
    <w:rsid w:val="00E10080"/>
    <w:rPr>
      <w:w w:val="103"/>
      <w:kern w:val="14"/>
    </w:rPr>
  </w:style>
  <w:style w:type="paragraph" w:styleId="CommentSubject">
    <w:name w:val="annotation subject"/>
    <w:basedOn w:val="CommentText"/>
    <w:next w:val="CommentText"/>
    <w:link w:val="CommentSubjectChar"/>
    <w:rsid w:val="00E10080"/>
    <w:rPr>
      <w:b/>
      <w:bCs/>
    </w:rPr>
  </w:style>
  <w:style w:type="character" w:customStyle="1" w:styleId="CommentSubjectChar">
    <w:name w:val="Comment Subject Char"/>
    <w:basedOn w:val="CommentTextChar"/>
    <w:link w:val="CommentSubject"/>
    <w:rsid w:val="00E10080"/>
    <w:rPr>
      <w:b/>
      <w:bCs/>
      <w:w w:val="103"/>
      <w:kern w:val="14"/>
    </w:rPr>
  </w:style>
  <w:style w:type="paragraph" w:customStyle="1" w:styleId="FootnoteText1">
    <w:name w:val="Footnote Text1"/>
    <w:aliases w:val="5_GA"/>
    <w:basedOn w:val="Normal"/>
    <w:rsid w:val="000D0270"/>
    <w:pPr>
      <w:tabs>
        <w:tab w:val="right" w:pos="1021"/>
      </w:tabs>
      <w:spacing w:after="60" w:line="300" w:lineRule="exact"/>
      <w:ind w:left="1247" w:right="1247" w:hanging="1247"/>
    </w:pPr>
    <w:rPr>
      <w:rFonts w:eastAsia="Times New Roman"/>
      <w:w w:val="100"/>
      <w:kern w:val="0"/>
      <w:sz w:val="1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10080"/>
    <w:pPr>
      <w:spacing w:line="240" w:lineRule="auto"/>
    </w:pPr>
    <w:rPr>
      <w:szCs w:val="20"/>
    </w:rPr>
  </w:style>
  <w:style w:type="character" w:customStyle="1" w:styleId="CommentTextChar">
    <w:name w:val="Comment Text Char"/>
    <w:basedOn w:val="DefaultParagraphFont"/>
    <w:link w:val="CommentText"/>
    <w:rsid w:val="00E10080"/>
    <w:rPr>
      <w:w w:val="103"/>
      <w:kern w:val="14"/>
    </w:rPr>
  </w:style>
  <w:style w:type="paragraph" w:styleId="CommentSubject">
    <w:name w:val="annotation subject"/>
    <w:basedOn w:val="CommentText"/>
    <w:next w:val="CommentText"/>
    <w:link w:val="CommentSubjectChar"/>
    <w:rsid w:val="00E10080"/>
    <w:rPr>
      <w:b/>
      <w:bCs/>
    </w:rPr>
  </w:style>
  <w:style w:type="character" w:customStyle="1" w:styleId="CommentSubjectChar">
    <w:name w:val="Comment Subject Char"/>
    <w:basedOn w:val="CommentTextChar"/>
    <w:link w:val="CommentSubject"/>
    <w:rsid w:val="00E10080"/>
    <w:rPr>
      <w:b/>
      <w:bCs/>
      <w:w w:val="103"/>
      <w:kern w:val="14"/>
    </w:rPr>
  </w:style>
  <w:style w:type="paragraph" w:customStyle="1" w:styleId="FootnoteText1">
    <w:name w:val="Footnote Text1"/>
    <w:aliases w:val="5_GA"/>
    <w:basedOn w:val="Normal"/>
    <w:rsid w:val="000D0270"/>
    <w:pPr>
      <w:tabs>
        <w:tab w:val="right" w:pos="1021"/>
      </w:tabs>
      <w:spacing w:after="60" w:line="300" w:lineRule="exact"/>
      <w:ind w:left="1247" w:right="1247" w:hanging="1247"/>
    </w:pPr>
    <w:rPr>
      <w:rFonts w:eastAsia="Times New Roman"/>
      <w:w w:val="100"/>
      <w:kern w:val="0"/>
      <w:sz w:val="1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FB133-52B4-46BD-84E4-E64A8B409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2997</Words>
  <Characters>15949</Characters>
  <Application>Microsoft Office Word</Application>
  <DocSecurity>0</DocSecurity>
  <Lines>279</Lines>
  <Paragraphs>132</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18814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Buhnam</dc:creator>
  <cp:lastModifiedBy>Tpsara</cp:lastModifiedBy>
  <cp:revision>3</cp:revision>
  <cp:lastPrinted>2015-12-02T10:04:00Z</cp:lastPrinted>
  <dcterms:created xsi:type="dcterms:W3CDTF">2015-12-02T10:04:00Z</dcterms:created>
  <dcterms:modified xsi:type="dcterms:W3CDTF">2015-12-02T10:04:00Z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1515220</vt:lpwstr>
  </property>
  <property fmtid="{D5CDD505-2E9C-101B-9397-08002B2CF9AE}" pid="3" name="ODSRefJobNo">
    <vt:lpwstr>1520350A</vt:lpwstr>
  </property>
  <property fmtid="{D5CDD505-2E9C-101B-9397-08002B2CF9AE}" pid="4" name="Symbol1">
    <vt:lpwstr>CAT/C/SVK/CO/3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 December 2015</vt:lpwstr>
  </property>
  <property fmtid="{D5CDD505-2E9C-101B-9397-08002B2CF9AE}" pid="9" name="Original">
    <vt:lpwstr>English</vt:lpwstr>
  </property>
  <property fmtid="{D5CDD505-2E9C-101B-9397-08002B2CF9AE}" pid="10" name="Release Date">
    <vt:lpwstr>011215</vt:lpwstr>
  </property>
  <property fmtid="{D5CDD505-2E9C-101B-9397-08002B2CF9AE}" pid="11" name="Comment">
    <vt:lpwstr>Abdelmajid ALAOUI</vt:lpwstr>
  </property>
  <property fmtid="{D5CDD505-2E9C-101B-9397-08002B2CF9AE}" pid="12" name="DraftPages">
    <vt:lpwstr> 11</vt:lpwstr>
  </property>
  <property fmtid="{D5CDD505-2E9C-101B-9397-08002B2CF9AE}" pid="13" name="Operator">
    <vt:lpwstr>buhnam</vt:lpwstr>
  </property>
</Properties>
</file>