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4604F2">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4604F2" w:rsidP="004604F2">
            <w:pPr>
              <w:jc w:val="right"/>
            </w:pPr>
            <w:r w:rsidRPr="004604F2">
              <w:rPr>
                <w:sz w:val="40"/>
              </w:rPr>
              <w:t>E</w:t>
            </w:r>
            <w:r>
              <w:t>/C.12/NZL/Q/3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4604F2" w:rsidRDefault="004604F2" w:rsidP="00F01516">
            <w:pPr>
              <w:spacing w:before="240"/>
            </w:pPr>
            <w:proofErr w:type="spellStart"/>
            <w:r>
              <w:t>Distr</w:t>
            </w:r>
            <w:proofErr w:type="spellEnd"/>
            <w:r>
              <w:t>. générale</w:t>
            </w:r>
          </w:p>
          <w:p w:rsidR="004604F2" w:rsidRDefault="004604F2" w:rsidP="004604F2">
            <w:pPr>
              <w:spacing w:line="240" w:lineRule="exact"/>
            </w:pPr>
            <w:r>
              <w:t>14 juin 2011</w:t>
            </w:r>
          </w:p>
          <w:p w:rsidR="004604F2" w:rsidRDefault="004604F2" w:rsidP="004604F2">
            <w:pPr>
              <w:spacing w:line="240" w:lineRule="exact"/>
            </w:pPr>
            <w:r>
              <w:t>Français</w:t>
            </w:r>
          </w:p>
          <w:p w:rsidR="003D1DF3" w:rsidRPr="00DB58B5" w:rsidRDefault="004604F2" w:rsidP="004604F2">
            <w:pPr>
              <w:spacing w:line="240" w:lineRule="exact"/>
            </w:pPr>
            <w:r>
              <w:t>Original: anglais</w:t>
            </w:r>
          </w:p>
        </w:tc>
      </w:tr>
    </w:tbl>
    <w:p w:rsidR="004604F2" w:rsidRPr="00095D6B" w:rsidRDefault="004604F2" w:rsidP="004604F2">
      <w:pPr>
        <w:spacing w:before="120"/>
        <w:rPr>
          <w:b/>
          <w:bCs/>
          <w:sz w:val="24"/>
          <w:szCs w:val="24"/>
        </w:rPr>
      </w:pPr>
      <w:r w:rsidRPr="00095D6B">
        <w:rPr>
          <w:b/>
          <w:bCs/>
          <w:sz w:val="24"/>
          <w:szCs w:val="24"/>
        </w:rPr>
        <w:t xml:space="preserve">Comité </w:t>
      </w:r>
      <w:r w:rsidRPr="00391072">
        <w:rPr>
          <w:b/>
          <w:bCs/>
          <w:sz w:val="24"/>
          <w:szCs w:val="24"/>
        </w:rPr>
        <w:t xml:space="preserve">des </w:t>
      </w:r>
      <w:r w:rsidRPr="00391072">
        <w:rPr>
          <w:b/>
          <w:sz w:val="24"/>
          <w:szCs w:val="24"/>
        </w:rPr>
        <w:t>droits</w:t>
      </w:r>
      <w:r w:rsidRPr="00391072">
        <w:rPr>
          <w:b/>
          <w:bCs/>
          <w:sz w:val="24"/>
          <w:szCs w:val="24"/>
        </w:rPr>
        <w:t xml:space="preserve"> économiques</w:t>
      </w:r>
      <w:r w:rsidRPr="00095D6B">
        <w:rPr>
          <w:b/>
          <w:bCs/>
          <w:sz w:val="24"/>
          <w:szCs w:val="24"/>
        </w:rPr>
        <w:t>, sociaux et culturels</w:t>
      </w:r>
    </w:p>
    <w:p w:rsidR="004604F2" w:rsidRPr="00FD5D17" w:rsidRDefault="004604F2" w:rsidP="004604F2">
      <w:pPr>
        <w:suppressAutoHyphens w:val="0"/>
        <w:spacing w:line="240" w:lineRule="auto"/>
        <w:rPr>
          <w:b/>
          <w:bCs/>
        </w:rPr>
      </w:pPr>
      <w:r w:rsidRPr="00FD5D17">
        <w:rPr>
          <w:b/>
          <w:bCs/>
        </w:rPr>
        <w:t xml:space="preserve">Groupe de travail </w:t>
      </w:r>
      <w:r>
        <w:rPr>
          <w:b/>
          <w:bCs/>
        </w:rPr>
        <w:t xml:space="preserve">de </w:t>
      </w:r>
      <w:proofErr w:type="spellStart"/>
      <w:r>
        <w:rPr>
          <w:b/>
          <w:bCs/>
        </w:rPr>
        <w:t>prés</w:t>
      </w:r>
      <w:r w:rsidRPr="00FD5D17">
        <w:rPr>
          <w:b/>
          <w:bCs/>
        </w:rPr>
        <w:t>ession</w:t>
      </w:r>
      <w:proofErr w:type="spellEnd"/>
    </w:p>
    <w:p w:rsidR="004604F2" w:rsidRPr="00FD5D17" w:rsidRDefault="004604F2" w:rsidP="004604F2">
      <w:pPr>
        <w:suppressAutoHyphens w:val="0"/>
        <w:spacing w:line="240" w:lineRule="auto"/>
      </w:pPr>
      <w:r w:rsidRPr="004604F2">
        <w:rPr>
          <w:bCs/>
          <w:noProof/>
          <w:lang w:val="fr-FR" w:eastAsia="fr-FR"/>
        </w:rPr>
        <w:t>23-27</w:t>
      </w:r>
      <w:r w:rsidRPr="00FD5D17">
        <w:t xml:space="preserve"> mai 20</w:t>
      </w:r>
      <w:r>
        <w:t>11</w:t>
      </w:r>
    </w:p>
    <w:p w:rsidR="004604F2" w:rsidRPr="004604F2" w:rsidRDefault="004604F2" w:rsidP="004604F2">
      <w:pPr>
        <w:pStyle w:val="HChG"/>
        <w:rPr>
          <w:lang w:val="fr-FR"/>
        </w:rPr>
      </w:pPr>
      <w:r>
        <w:rPr>
          <w:lang w:val="fr-FR"/>
        </w:rPr>
        <w:tab/>
      </w:r>
      <w:r>
        <w:rPr>
          <w:lang w:val="fr-FR"/>
        </w:rPr>
        <w:tab/>
      </w:r>
      <w:r w:rsidRPr="004604F2">
        <w:rPr>
          <w:lang w:val="fr-FR"/>
        </w:rPr>
        <w:t>Application du Pacte international relatif aux droits économiques, sociaux et culturels</w:t>
      </w:r>
    </w:p>
    <w:p w:rsidR="004604F2" w:rsidRPr="004604F2" w:rsidRDefault="004604F2" w:rsidP="004604F2">
      <w:pPr>
        <w:pStyle w:val="H1G"/>
        <w:rPr>
          <w:lang w:val="fr-FR"/>
        </w:rPr>
      </w:pPr>
      <w:r>
        <w:rPr>
          <w:lang w:val="fr-FR"/>
        </w:rPr>
        <w:tab/>
      </w:r>
      <w:r>
        <w:rPr>
          <w:lang w:val="fr-FR"/>
        </w:rPr>
        <w:tab/>
      </w:r>
      <w:r w:rsidRPr="004604F2">
        <w:rPr>
          <w:lang w:val="fr-FR"/>
        </w:rPr>
        <w:t>Liste de points à traiter à l’occasion de l’examen du troisième rapport périodique de la Nouvelle-Zélande concernant les articles 1</w:t>
      </w:r>
      <w:r w:rsidR="004A5B17" w:rsidRPr="004A5B17">
        <w:rPr>
          <w:vertAlign w:val="superscript"/>
          <w:lang w:val="fr-FR"/>
        </w:rPr>
        <w:t>er</w:t>
      </w:r>
      <w:r w:rsidR="004A5B17">
        <w:rPr>
          <w:lang w:val="fr-FR"/>
        </w:rPr>
        <w:t xml:space="preserve"> </w:t>
      </w:r>
      <w:r w:rsidRPr="004604F2">
        <w:rPr>
          <w:lang w:val="fr-FR"/>
        </w:rPr>
        <w:t>à 15 du Pacte international relatif aux droits économiques, sociaux et culturels (E/C.12/NZL/3)</w:t>
      </w:r>
    </w:p>
    <w:p w:rsidR="004604F2" w:rsidRPr="004604F2" w:rsidRDefault="004604F2" w:rsidP="004604F2">
      <w:pPr>
        <w:pStyle w:val="HChG"/>
        <w:rPr>
          <w:lang w:val="fr-FR"/>
        </w:rPr>
      </w:pPr>
      <w:r>
        <w:rPr>
          <w:lang w:val="fr-FR"/>
        </w:rPr>
        <w:tab/>
      </w:r>
      <w:r w:rsidRPr="004604F2">
        <w:rPr>
          <w:lang w:val="fr-FR"/>
        </w:rPr>
        <w:t>I.</w:t>
      </w:r>
      <w:r w:rsidRPr="004604F2">
        <w:rPr>
          <w:lang w:val="fr-FR"/>
        </w:rPr>
        <w:tab/>
        <w:t>Renseignement</w:t>
      </w:r>
      <w:r>
        <w:rPr>
          <w:lang w:val="fr-FR"/>
        </w:rPr>
        <w:t>s</w:t>
      </w:r>
      <w:r w:rsidRPr="004604F2">
        <w:rPr>
          <w:lang w:val="fr-FR"/>
        </w:rPr>
        <w:t xml:space="preserve"> d’ordre général</w:t>
      </w:r>
    </w:p>
    <w:p w:rsidR="004604F2" w:rsidRPr="004604F2" w:rsidRDefault="004604F2" w:rsidP="004604F2">
      <w:pPr>
        <w:pStyle w:val="SingleTxtG"/>
        <w:rPr>
          <w:lang w:val="fr-FR"/>
        </w:rPr>
      </w:pPr>
      <w:r w:rsidRPr="004604F2">
        <w:rPr>
          <w:lang w:val="fr-FR"/>
        </w:rPr>
        <w:t>1.</w:t>
      </w:r>
      <w:r w:rsidRPr="004604F2">
        <w:rPr>
          <w:lang w:val="fr-FR"/>
        </w:rPr>
        <w:tab/>
        <w:t xml:space="preserve">Fournir des informations sur l’état d’avancement de la réforme constitutionnelle entreprise par l’État partie et sur la place de la </w:t>
      </w:r>
      <w:r>
        <w:rPr>
          <w:lang w:val="fr-FR"/>
        </w:rPr>
        <w:t>C</w:t>
      </w:r>
      <w:r w:rsidRPr="004604F2">
        <w:rPr>
          <w:lang w:val="fr-FR"/>
        </w:rPr>
        <w:t>harte des droits (</w:t>
      </w:r>
      <w:r w:rsidRPr="004604F2">
        <w:rPr>
          <w:i/>
          <w:lang w:val="fr-FR"/>
        </w:rPr>
        <w:t xml:space="preserve">Bill of </w:t>
      </w:r>
      <w:r w:rsidR="0001400B">
        <w:rPr>
          <w:i/>
          <w:lang w:val="fr-FR"/>
        </w:rPr>
        <w:t>R</w:t>
      </w:r>
      <w:r w:rsidRPr="004604F2">
        <w:rPr>
          <w:i/>
          <w:lang w:val="fr-FR"/>
        </w:rPr>
        <w:t>ights</w:t>
      </w:r>
      <w:r w:rsidRPr="004604F2">
        <w:rPr>
          <w:lang w:val="fr-FR"/>
        </w:rPr>
        <w:t xml:space="preserve">) dans l’ordre juridique de l’État partie tel qu’envisagé dans le cadre de la réforme. Indiquer également si des mesures sont prises pour faire des droits consacrés par le Pacte des droits justiciables dans l’ordre juridique de l’État partie. Indiquer également au Comité </w:t>
      </w:r>
      <w:r>
        <w:rPr>
          <w:lang w:val="fr-FR"/>
        </w:rPr>
        <w:t xml:space="preserve">par quels moyens </w:t>
      </w:r>
      <w:r w:rsidRPr="004604F2">
        <w:rPr>
          <w:lang w:val="fr-FR"/>
        </w:rPr>
        <w:t xml:space="preserve">l’État partie garantit le droit d’intenter une action devant les tribunaux nationaux et de demander réparation </w:t>
      </w:r>
      <w:r>
        <w:rPr>
          <w:lang w:val="fr-FR"/>
        </w:rPr>
        <w:t xml:space="preserve">en cas de </w:t>
      </w:r>
      <w:r w:rsidRPr="004604F2">
        <w:rPr>
          <w:lang w:val="fr-FR"/>
        </w:rPr>
        <w:t xml:space="preserve">violation des droits économiques, sociaux et culturels qui ne sont pas </w:t>
      </w:r>
      <w:r>
        <w:rPr>
          <w:lang w:val="fr-FR"/>
        </w:rPr>
        <w:t>expressément protégés par les lois nationales</w:t>
      </w:r>
      <w:r w:rsidRPr="004604F2">
        <w:rPr>
          <w:lang w:val="fr-FR"/>
        </w:rPr>
        <w:t xml:space="preserve">, comme le droit au logement </w:t>
      </w:r>
      <w:r>
        <w:rPr>
          <w:lang w:val="fr-FR"/>
        </w:rPr>
        <w:t xml:space="preserve">par exemple, </w:t>
      </w:r>
      <w:r w:rsidRPr="004604F2">
        <w:rPr>
          <w:lang w:val="fr-FR"/>
        </w:rPr>
        <w:t xml:space="preserve">et </w:t>
      </w:r>
      <w:r>
        <w:rPr>
          <w:lang w:val="fr-FR"/>
        </w:rPr>
        <w:t xml:space="preserve">lorsque </w:t>
      </w:r>
      <w:r w:rsidRPr="004604F2">
        <w:rPr>
          <w:lang w:val="fr-FR"/>
        </w:rPr>
        <w:t xml:space="preserve">les dispositions de la loi sur les droits de l’homme </w:t>
      </w:r>
      <w:r>
        <w:rPr>
          <w:lang w:val="fr-FR"/>
        </w:rPr>
        <w:t>(</w:t>
      </w:r>
      <w:r w:rsidRPr="004604F2">
        <w:rPr>
          <w:i/>
          <w:lang w:val="fr-FR"/>
        </w:rPr>
        <w:t>Human Rights Act</w:t>
      </w:r>
      <w:r>
        <w:rPr>
          <w:lang w:val="fr-FR"/>
        </w:rPr>
        <w:t xml:space="preserve">) relatives à la </w:t>
      </w:r>
      <w:r w:rsidRPr="004604F2">
        <w:rPr>
          <w:lang w:val="fr-FR"/>
        </w:rPr>
        <w:t xml:space="preserve">non-discrimination ne </w:t>
      </w:r>
      <w:r>
        <w:rPr>
          <w:lang w:val="fr-FR"/>
        </w:rPr>
        <w:t xml:space="preserve">peuvent être </w:t>
      </w:r>
      <w:r w:rsidRPr="004604F2">
        <w:rPr>
          <w:lang w:val="fr-FR"/>
        </w:rPr>
        <w:t>invoqué</w:t>
      </w:r>
      <w:r>
        <w:rPr>
          <w:lang w:val="fr-FR"/>
        </w:rPr>
        <w:t>e</w:t>
      </w:r>
      <w:r w:rsidRPr="004604F2">
        <w:rPr>
          <w:lang w:val="fr-FR"/>
        </w:rPr>
        <w:t>s (HRI/CORE/NZL/</w:t>
      </w:r>
      <w:r>
        <w:rPr>
          <w:lang w:val="fr-FR"/>
        </w:rPr>
        <w:t>2010</w:t>
      </w:r>
      <w:r w:rsidRPr="004604F2">
        <w:rPr>
          <w:lang w:val="fr-FR"/>
        </w:rPr>
        <w:t>, par. 173 et 177; E/C.12/NZL/3, par. 23).</w:t>
      </w:r>
    </w:p>
    <w:p w:rsidR="004604F2" w:rsidRPr="004604F2" w:rsidRDefault="004604F2" w:rsidP="004604F2">
      <w:pPr>
        <w:pStyle w:val="SingleTxtG"/>
        <w:rPr>
          <w:lang w:val="fr-FR"/>
        </w:rPr>
      </w:pPr>
      <w:r w:rsidRPr="004604F2">
        <w:rPr>
          <w:lang w:val="fr-FR"/>
        </w:rPr>
        <w:t>2.</w:t>
      </w:r>
      <w:r w:rsidRPr="004604F2">
        <w:rPr>
          <w:lang w:val="fr-FR"/>
        </w:rPr>
        <w:tab/>
      </w:r>
      <w:r>
        <w:rPr>
          <w:lang w:val="fr-FR"/>
        </w:rPr>
        <w:t xml:space="preserve">Donner des renseignements </w:t>
      </w:r>
      <w:r w:rsidRPr="004604F2">
        <w:rPr>
          <w:lang w:val="fr-FR"/>
        </w:rPr>
        <w:t xml:space="preserve">sur les efforts déployés par l’État partie en vue </w:t>
      </w:r>
      <w:r>
        <w:rPr>
          <w:lang w:val="fr-FR"/>
        </w:rPr>
        <w:t xml:space="preserve">de consacrer au minimum </w:t>
      </w:r>
      <w:r w:rsidRPr="004604F2">
        <w:rPr>
          <w:lang w:val="fr-FR"/>
        </w:rPr>
        <w:t xml:space="preserve">0,7 % </w:t>
      </w:r>
      <w:r>
        <w:rPr>
          <w:lang w:val="fr-FR"/>
        </w:rPr>
        <w:t xml:space="preserve">(montant net) </w:t>
      </w:r>
      <w:r w:rsidRPr="004604F2">
        <w:rPr>
          <w:lang w:val="fr-FR"/>
        </w:rPr>
        <w:t xml:space="preserve">du produit intérieur brut (PIB) à l’aide publique au développement. </w:t>
      </w:r>
      <w:r>
        <w:rPr>
          <w:lang w:val="fr-FR"/>
        </w:rPr>
        <w:t xml:space="preserve">Expliquer </w:t>
      </w:r>
      <w:r w:rsidRPr="004604F2">
        <w:rPr>
          <w:lang w:val="fr-FR"/>
        </w:rPr>
        <w:t xml:space="preserve">également </w:t>
      </w:r>
      <w:r>
        <w:rPr>
          <w:lang w:val="fr-FR"/>
        </w:rPr>
        <w:t xml:space="preserve">dans quelle </w:t>
      </w:r>
      <w:r w:rsidRPr="004604F2">
        <w:rPr>
          <w:lang w:val="fr-FR"/>
        </w:rPr>
        <w:t xml:space="preserve">mesure l’État partie </w:t>
      </w:r>
      <w:r>
        <w:rPr>
          <w:lang w:val="fr-FR"/>
        </w:rPr>
        <w:t xml:space="preserve">s’efforce </w:t>
      </w:r>
      <w:r w:rsidRPr="004604F2">
        <w:rPr>
          <w:lang w:val="fr-FR"/>
        </w:rPr>
        <w:t>de promouvoir la réalisation des droits économiques, sociaux et culturels à travers sa politique de coopération internationale pour le développement.</w:t>
      </w:r>
    </w:p>
    <w:p w:rsidR="004604F2" w:rsidRPr="004604F2" w:rsidRDefault="004604F2" w:rsidP="004604F2">
      <w:pPr>
        <w:pStyle w:val="HChG"/>
        <w:rPr>
          <w:lang w:val="fr-FR"/>
        </w:rPr>
      </w:pPr>
      <w:r>
        <w:rPr>
          <w:lang w:val="fr-FR"/>
        </w:rPr>
        <w:tab/>
      </w:r>
      <w:r w:rsidRPr="004604F2">
        <w:rPr>
          <w:lang w:val="fr-FR"/>
        </w:rPr>
        <w:t>II.</w:t>
      </w:r>
      <w:r w:rsidRPr="004604F2">
        <w:rPr>
          <w:lang w:val="fr-FR"/>
        </w:rPr>
        <w:tab/>
        <w:t>Points se rapportant aux dispositions générales du Pacte (art. 1</w:t>
      </w:r>
      <w:r w:rsidRPr="004604F2">
        <w:rPr>
          <w:vertAlign w:val="superscript"/>
          <w:lang w:val="fr-FR"/>
        </w:rPr>
        <w:t>er</w:t>
      </w:r>
      <w:r>
        <w:rPr>
          <w:lang w:val="fr-FR"/>
        </w:rPr>
        <w:t xml:space="preserve"> à </w:t>
      </w:r>
      <w:r w:rsidRPr="004604F2">
        <w:rPr>
          <w:lang w:val="fr-FR"/>
        </w:rPr>
        <w:t>5)</w:t>
      </w:r>
    </w:p>
    <w:p w:rsidR="004604F2" w:rsidRPr="004604F2" w:rsidRDefault="004604F2" w:rsidP="004604F2">
      <w:pPr>
        <w:pStyle w:val="H1G"/>
        <w:rPr>
          <w:lang w:val="fr-FR"/>
        </w:rPr>
      </w:pPr>
      <w:r>
        <w:rPr>
          <w:lang w:val="fr-FR"/>
        </w:rPr>
        <w:tab/>
      </w:r>
      <w:r>
        <w:rPr>
          <w:lang w:val="fr-FR"/>
        </w:rPr>
        <w:tab/>
      </w:r>
      <w:r w:rsidRPr="004604F2">
        <w:rPr>
          <w:lang w:val="fr-FR"/>
        </w:rPr>
        <w:t>Article 2</w:t>
      </w:r>
      <w:r>
        <w:rPr>
          <w:lang w:val="fr-FR"/>
        </w:rPr>
        <w:t>,</w:t>
      </w:r>
      <w:r w:rsidRPr="004604F2">
        <w:rPr>
          <w:lang w:val="fr-FR"/>
        </w:rPr>
        <w:t xml:space="preserve"> paragraphe 2 − Non-discrimination</w:t>
      </w:r>
    </w:p>
    <w:p w:rsidR="004604F2" w:rsidRPr="004604F2" w:rsidRDefault="004604F2" w:rsidP="004604F2">
      <w:pPr>
        <w:pStyle w:val="SingleTxtG"/>
        <w:rPr>
          <w:lang w:val="fr-FR"/>
        </w:rPr>
      </w:pPr>
      <w:r w:rsidRPr="004604F2">
        <w:rPr>
          <w:lang w:val="fr-FR"/>
        </w:rPr>
        <w:t>3.</w:t>
      </w:r>
      <w:r w:rsidRPr="004604F2">
        <w:rPr>
          <w:lang w:val="fr-FR"/>
        </w:rPr>
        <w:tab/>
        <w:t xml:space="preserve">Indiquer dans quelle mesure l’État partie garantit l’égalité de droits des personnes handicapées dans </w:t>
      </w:r>
      <w:r>
        <w:rPr>
          <w:lang w:val="fr-FR"/>
        </w:rPr>
        <w:t xml:space="preserve">la jouissance </w:t>
      </w:r>
      <w:r w:rsidRPr="004604F2">
        <w:rPr>
          <w:lang w:val="fr-FR"/>
        </w:rPr>
        <w:t>du droit au travail. Expliquer comment se traduit le principe d’«aménagement raisonnable» dans la législation de l’État partie</w:t>
      </w:r>
      <w:r>
        <w:rPr>
          <w:lang w:val="fr-FR"/>
        </w:rPr>
        <w:t>,</w:t>
      </w:r>
      <w:r w:rsidRPr="004604F2">
        <w:rPr>
          <w:lang w:val="fr-FR"/>
        </w:rPr>
        <w:t xml:space="preserve"> s’agissant en particulier des </w:t>
      </w:r>
      <w:r>
        <w:rPr>
          <w:lang w:val="fr-FR"/>
        </w:rPr>
        <w:t xml:space="preserve">obligations </w:t>
      </w:r>
      <w:r w:rsidRPr="004604F2">
        <w:rPr>
          <w:lang w:val="fr-FR"/>
        </w:rPr>
        <w:t>des employeurs (E/C.12/NZL, par. 117).</w:t>
      </w:r>
    </w:p>
    <w:p w:rsidR="004604F2" w:rsidRPr="004604F2" w:rsidRDefault="004604F2" w:rsidP="004604F2">
      <w:pPr>
        <w:pStyle w:val="SingleTxtG"/>
        <w:rPr>
          <w:lang w:val="fr-FR"/>
        </w:rPr>
      </w:pPr>
      <w:r w:rsidRPr="004604F2">
        <w:rPr>
          <w:lang w:val="fr-FR"/>
        </w:rPr>
        <w:t>4.</w:t>
      </w:r>
      <w:r w:rsidRPr="004604F2">
        <w:rPr>
          <w:lang w:val="fr-FR"/>
        </w:rPr>
        <w:tab/>
      </w:r>
      <w:r>
        <w:rPr>
          <w:lang w:val="fr-FR"/>
        </w:rPr>
        <w:t xml:space="preserve">Préciser </w:t>
      </w:r>
      <w:r w:rsidRPr="004604F2">
        <w:rPr>
          <w:lang w:val="fr-FR"/>
        </w:rPr>
        <w:t xml:space="preserve">dans quelle mesure les réfugiés et les demandeurs d’asile jouissent des droits économiques, sociaux et culturels sur un pied d’égalité avec le reste de la population. Indiquer au Comité si la loi sur l’émigration a été modifiée </w:t>
      </w:r>
      <w:r w:rsidR="0066503C">
        <w:rPr>
          <w:lang w:val="fr-FR"/>
        </w:rPr>
        <w:t xml:space="preserve">de façon à </w:t>
      </w:r>
      <w:r w:rsidRPr="004604F2">
        <w:rPr>
          <w:lang w:val="fr-FR"/>
        </w:rPr>
        <w:t xml:space="preserve">abroger les dispositions interdisant l’inscription dans les écoles d’enfants sans </w:t>
      </w:r>
      <w:r w:rsidR="0066503C">
        <w:rPr>
          <w:lang w:val="fr-FR"/>
        </w:rPr>
        <w:t>papiers</w:t>
      </w:r>
      <w:r w:rsidRPr="004604F2">
        <w:rPr>
          <w:lang w:val="fr-FR"/>
        </w:rPr>
        <w:t>.</w:t>
      </w:r>
    </w:p>
    <w:p w:rsidR="004604F2" w:rsidRPr="004604F2" w:rsidRDefault="004604F2" w:rsidP="004604F2">
      <w:pPr>
        <w:pStyle w:val="SingleTxtG"/>
        <w:rPr>
          <w:lang w:val="fr-FR"/>
        </w:rPr>
      </w:pPr>
      <w:r w:rsidRPr="004604F2">
        <w:rPr>
          <w:lang w:val="fr-FR"/>
        </w:rPr>
        <w:t>5.</w:t>
      </w:r>
      <w:r w:rsidRPr="004604F2">
        <w:rPr>
          <w:lang w:val="fr-FR"/>
        </w:rPr>
        <w:tab/>
        <w:t xml:space="preserve">Compte tenu de ce </w:t>
      </w:r>
      <w:r w:rsidR="004A5B17">
        <w:rPr>
          <w:lang w:val="fr-FR"/>
        </w:rPr>
        <w:t xml:space="preserve">que </w:t>
      </w:r>
      <w:r w:rsidRPr="004604F2">
        <w:rPr>
          <w:lang w:val="fr-FR"/>
        </w:rPr>
        <w:t xml:space="preserve">les Maoris sont gravement lésés dans </w:t>
      </w:r>
      <w:r w:rsidR="0066503C">
        <w:rPr>
          <w:lang w:val="fr-FR"/>
        </w:rPr>
        <w:t xml:space="preserve">la jouissance </w:t>
      </w:r>
      <w:r w:rsidRPr="004604F2">
        <w:rPr>
          <w:lang w:val="fr-FR"/>
        </w:rPr>
        <w:t xml:space="preserve">de leurs droits économiques, sociaux et culturels, </w:t>
      </w:r>
      <w:r w:rsidR="0066503C">
        <w:rPr>
          <w:lang w:val="fr-FR"/>
        </w:rPr>
        <w:t xml:space="preserve">informer le Comité des </w:t>
      </w:r>
      <w:r w:rsidRPr="004604F2">
        <w:rPr>
          <w:lang w:val="fr-FR"/>
        </w:rPr>
        <w:t>mesures spéciales en place pour accélérer la réalisation de l’égalité, y compris dans les domaines de l’éducation et de l’emploi.</w:t>
      </w:r>
    </w:p>
    <w:p w:rsidR="004604F2" w:rsidRPr="004604F2" w:rsidRDefault="0066503C" w:rsidP="0066503C">
      <w:pPr>
        <w:pStyle w:val="H1G"/>
        <w:rPr>
          <w:lang w:val="fr-FR"/>
        </w:rPr>
      </w:pPr>
      <w:r>
        <w:rPr>
          <w:lang w:val="fr-FR"/>
        </w:rPr>
        <w:tab/>
      </w:r>
      <w:r>
        <w:rPr>
          <w:lang w:val="fr-FR"/>
        </w:rPr>
        <w:tab/>
      </w:r>
      <w:r w:rsidR="004604F2" w:rsidRPr="004604F2">
        <w:rPr>
          <w:lang w:val="fr-FR"/>
        </w:rPr>
        <w:t xml:space="preserve">Article 3 − Égalité </w:t>
      </w:r>
      <w:r>
        <w:rPr>
          <w:lang w:val="fr-FR"/>
        </w:rPr>
        <w:t>de droit</w:t>
      </w:r>
      <w:r w:rsidR="004A5B17">
        <w:rPr>
          <w:lang w:val="fr-FR"/>
        </w:rPr>
        <w:t>s</w:t>
      </w:r>
      <w:r>
        <w:rPr>
          <w:lang w:val="fr-FR"/>
        </w:rPr>
        <w:t xml:space="preserve"> </w:t>
      </w:r>
      <w:r w:rsidR="004604F2" w:rsidRPr="004604F2">
        <w:rPr>
          <w:lang w:val="fr-FR"/>
        </w:rPr>
        <w:t xml:space="preserve">des hommes et des femmes </w:t>
      </w:r>
    </w:p>
    <w:p w:rsidR="004604F2" w:rsidRPr="004604F2" w:rsidRDefault="004604F2" w:rsidP="004604F2">
      <w:pPr>
        <w:pStyle w:val="SingleTxtG"/>
        <w:rPr>
          <w:lang w:val="fr-FR"/>
        </w:rPr>
      </w:pPr>
      <w:r w:rsidRPr="004604F2">
        <w:rPr>
          <w:lang w:val="fr-FR"/>
        </w:rPr>
        <w:t>6.</w:t>
      </w:r>
      <w:r w:rsidRPr="004604F2">
        <w:rPr>
          <w:lang w:val="fr-FR"/>
        </w:rPr>
        <w:tab/>
      </w:r>
      <w:r w:rsidR="0066503C">
        <w:rPr>
          <w:lang w:val="fr-FR"/>
        </w:rPr>
        <w:t xml:space="preserve">Indiquer </w:t>
      </w:r>
      <w:r w:rsidRPr="004604F2">
        <w:rPr>
          <w:lang w:val="fr-FR"/>
        </w:rPr>
        <w:t xml:space="preserve">la mesure dans laquelle le cadre institutionnel et législatif garantit effectivement le droit à une rémunération égale pour un travail de valeur égale. Faire également part au Comité des cas </w:t>
      </w:r>
      <w:r w:rsidR="0066503C">
        <w:rPr>
          <w:lang w:val="fr-FR"/>
        </w:rPr>
        <w:t xml:space="preserve">où </w:t>
      </w:r>
      <w:r w:rsidRPr="004604F2">
        <w:rPr>
          <w:lang w:val="fr-FR"/>
        </w:rPr>
        <w:t>il a été procédé à des règlements de salaire</w:t>
      </w:r>
      <w:r w:rsidR="0066503C">
        <w:rPr>
          <w:lang w:val="fr-FR"/>
        </w:rPr>
        <w:t>s</w:t>
      </w:r>
      <w:r w:rsidRPr="004604F2">
        <w:rPr>
          <w:lang w:val="fr-FR"/>
        </w:rPr>
        <w:t xml:space="preserve"> compensatoire</w:t>
      </w:r>
      <w:r w:rsidR="0066503C">
        <w:rPr>
          <w:lang w:val="fr-FR"/>
        </w:rPr>
        <w:t>s</w:t>
      </w:r>
      <w:r w:rsidRPr="004604F2">
        <w:rPr>
          <w:lang w:val="fr-FR"/>
        </w:rPr>
        <w:t xml:space="preserve"> par suite de la revalorisation des postes occupés essentiell</w:t>
      </w:r>
      <w:r w:rsidR="0066503C">
        <w:rPr>
          <w:lang w:val="fr-FR"/>
        </w:rPr>
        <w:t>ement par des femmes (E/C.12/NZ</w:t>
      </w:r>
      <w:r w:rsidRPr="004604F2">
        <w:rPr>
          <w:lang w:val="fr-FR"/>
        </w:rPr>
        <w:t>L, par. 152).</w:t>
      </w:r>
    </w:p>
    <w:p w:rsidR="004604F2" w:rsidRPr="004604F2" w:rsidRDefault="004604F2" w:rsidP="004604F2">
      <w:pPr>
        <w:pStyle w:val="SingleTxtG"/>
        <w:rPr>
          <w:lang w:val="fr-FR"/>
        </w:rPr>
      </w:pPr>
      <w:r w:rsidRPr="004604F2">
        <w:rPr>
          <w:lang w:val="fr-FR"/>
        </w:rPr>
        <w:t>7.</w:t>
      </w:r>
      <w:r w:rsidRPr="004604F2">
        <w:rPr>
          <w:lang w:val="fr-FR"/>
        </w:rPr>
        <w:tab/>
      </w:r>
      <w:r w:rsidR="0066503C">
        <w:rPr>
          <w:lang w:val="fr-FR"/>
        </w:rPr>
        <w:t xml:space="preserve">Indiquer </w:t>
      </w:r>
      <w:r w:rsidRPr="004604F2">
        <w:rPr>
          <w:lang w:val="fr-FR"/>
        </w:rPr>
        <w:t xml:space="preserve">l’impact des mesures prises par l’État partie pour développer l’emploi des femmes, </w:t>
      </w:r>
      <w:r w:rsidR="0066503C">
        <w:rPr>
          <w:lang w:val="fr-FR"/>
        </w:rPr>
        <w:t xml:space="preserve">et </w:t>
      </w:r>
      <w:r w:rsidRPr="004604F2">
        <w:rPr>
          <w:lang w:val="fr-FR"/>
        </w:rPr>
        <w:t>pour inciter davantage les filles à poursuivre des études dans les domaines où elles sont traditionnellement minoritaires.</w:t>
      </w:r>
    </w:p>
    <w:p w:rsidR="004604F2" w:rsidRPr="004604F2" w:rsidRDefault="004604F2" w:rsidP="004604F2">
      <w:pPr>
        <w:pStyle w:val="SingleTxtG"/>
        <w:rPr>
          <w:lang w:val="fr-FR"/>
        </w:rPr>
      </w:pPr>
      <w:r w:rsidRPr="004604F2">
        <w:rPr>
          <w:lang w:val="fr-FR"/>
        </w:rPr>
        <w:t>8.</w:t>
      </w:r>
      <w:r w:rsidRPr="004604F2">
        <w:rPr>
          <w:lang w:val="fr-FR"/>
        </w:rPr>
        <w:tab/>
        <w:t>Expliquer au Comité dans quelle mesure la loi de 2009 (</w:t>
      </w:r>
      <w:r w:rsidR="0066503C">
        <w:rPr>
          <w:lang w:val="fr-FR"/>
        </w:rPr>
        <w:t xml:space="preserve">art. </w:t>
      </w:r>
      <w:r w:rsidRPr="004604F2">
        <w:rPr>
          <w:lang w:val="fr-FR"/>
        </w:rPr>
        <w:t xml:space="preserve">69Y de </w:t>
      </w:r>
      <w:r w:rsidR="0066503C">
        <w:rPr>
          <w:lang w:val="fr-FR"/>
        </w:rPr>
        <w:t xml:space="preserve">la loi sur les relations professionnelles de </w:t>
      </w:r>
      <w:r w:rsidRPr="004604F2">
        <w:rPr>
          <w:lang w:val="fr-FR"/>
        </w:rPr>
        <w:t xml:space="preserve">2000) permet à l’État partie de s’acquitter de son obligation de garantir l’égalité des hommes et des femmes dans </w:t>
      </w:r>
      <w:r w:rsidR="0066503C">
        <w:rPr>
          <w:lang w:val="fr-FR"/>
        </w:rPr>
        <w:t xml:space="preserve">la jouissance </w:t>
      </w:r>
      <w:r w:rsidRPr="004604F2">
        <w:rPr>
          <w:lang w:val="fr-FR"/>
        </w:rPr>
        <w:t>du droit au travail et du droit à un niveau de vie suffisant.</w:t>
      </w:r>
    </w:p>
    <w:p w:rsidR="004604F2" w:rsidRPr="004604F2" w:rsidRDefault="0066503C" w:rsidP="0066503C">
      <w:pPr>
        <w:pStyle w:val="HChG"/>
        <w:rPr>
          <w:lang w:val="fr-FR"/>
        </w:rPr>
      </w:pPr>
      <w:r>
        <w:rPr>
          <w:lang w:val="fr-FR"/>
        </w:rPr>
        <w:tab/>
      </w:r>
      <w:r w:rsidR="004604F2" w:rsidRPr="004604F2">
        <w:rPr>
          <w:lang w:val="fr-FR"/>
        </w:rPr>
        <w:t>III.</w:t>
      </w:r>
      <w:r w:rsidR="004604F2" w:rsidRPr="004604F2">
        <w:rPr>
          <w:lang w:val="fr-FR"/>
        </w:rPr>
        <w:tab/>
        <w:t>Points se rapportant à des dispositions spécifiques du Pacte (art. 6 à 15)</w:t>
      </w:r>
    </w:p>
    <w:p w:rsidR="004604F2" w:rsidRPr="004604F2" w:rsidRDefault="0066503C" w:rsidP="0066503C">
      <w:pPr>
        <w:pStyle w:val="H1G"/>
        <w:rPr>
          <w:lang w:val="fr-FR"/>
        </w:rPr>
      </w:pPr>
      <w:r>
        <w:rPr>
          <w:lang w:val="fr-FR"/>
        </w:rPr>
        <w:tab/>
      </w:r>
      <w:r>
        <w:rPr>
          <w:lang w:val="fr-FR"/>
        </w:rPr>
        <w:tab/>
      </w:r>
      <w:r w:rsidR="004604F2" w:rsidRPr="004604F2">
        <w:rPr>
          <w:lang w:val="fr-FR"/>
        </w:rPr>
        <w:t xml:space="preserve">Article 6 </w:t>
      </w:r>
      <w:r>
        <w:rPr>
          <w:lang w:val="fr-FR"/>
        </w:rPr>
        <w:t>−</w:t>
      </w:r>
      <w:r w:rsidR="004604F2" w:rsidRPr="004604F2">
        <w:rPr>
          <w:lang w:val="fr-FR"/>
        </w:rPr>
        <w:t xml:space="preserve"> Droit au travail </w:t>
      </w:r>
    </w:p>
    <w:p w:rsidR="004604F2" w:rsidRPr="004604F2" w:rsidRDefault="004604F2" w:rsidP="004604F2">
      <w:pPr>
        <w:pStyle w:val="SingleTxtG"/>
        <w:rPr>
          <w:lang w:val="fr-FR"/>
        </w:rPr>
      </w:pPr>
      <w:r w:rsidRPr="004604F2">
        <w:rPr>
          <w:lang w:val="fr-FR"/>
        </w:rPr>
        <w:t>9.</w:t>
      </w:r>
      <w:r w:rsidRPr="004604F2">
        <w:rPr>
          <w:lang w:val="fr-FR"/>
        </w:rPr>
        <w:tab/>
        <w:t xml:space="preserve">Fournir des informations sur l’impact des mesures prises pour atteindre l’objectif 1 de la </w:t>
      </w:r>
      <w:r w:rsidR="0066503C">
        <w:rPr>
          <w:lang w:val="fr-FR"/>
        </w:rPr>
        <w:t>S</w:t>
      </w:r>
      <w:r w:rsidRPr="004604F2">
        <w:rPr>
          <w:lang w:val="fr-FR"/>
        </w:rPr>
        <w:t>tratégie de l’État partie sur le vieillissement</w:t>
      </w:r>
      <w:r w:rsidR="0066503C">
        <w:rPr>
          <w:lang w:val="fr-FR"/>
        </w:rPr>
        <w:t>, et indiquer si la S</w:t>
      </w:r>
      <w:r w:rsidRPr="004604F2">
        <w:rPr>
          <w:lang w:val="fr-FR"/>
        </w:rPr>
        <w:t xml:space="preserve">tratégie </w:t>
      </w:r>
      <w:r w:rsidR="0066503C">
        <w:rPr>
          <w:lang w:val="fr-FR"/>
        </w:rPr>
        <w:t xml:space="preserve">est suffisante </w:t>
      </w:r>
      <w:r w:rsidRPr="004604F2">
        <w:rPr>
          <w:lang w:val="fr-FR"/>
        </w:rPr>
        <w:t xml:space="preserve">pour garantir </w:t>
      </w:r>
      <w:r w:rsidR="0066503C">
        <w:rPr>
          <w:lang w:val="fr-FR"/>
        </w:rPr>
        <w:t xml:space="preserve">la réalisation des objectifs </w:t>
      </w:r>
      <w:r w:rsidRPr="004604F2">
        <w:rPr>
          <w:lang w:val="fr-FR"/>
        </w:rPr>
        <w:t>en matière d’emploi et de revenu pour les personnes âgées (E/C.12/NZL/3, par. 118).</w:t>
      </w:r>
    </w:p>
    <w:p w:rsidR="004604F2" w:rsidRPr="004604F2" w:rsidRDefault="0066503C" w:rsidP="0066503C">
      <w:pPr>
        <w:pStyle w:val="H1G"/>
        <w:rPr>
          <w:lang w:val="fr-FR"/>
        </w:rPr>
      </w:pPr>
      <w:r>
        <w:rPr>
          <w:lang w:val="fr-FR"/>
        </w:rPr>
        <w:tab/>
      </w:r>
      <w:r>
        <w:rPr>
          <w:lang w:val="fr-FR"/>
        </w:rPr>
        <w:tab/>
      </w:r>
      <w:r w:rsidR="004604F2" w:rsidRPr="004604F2">
        <w:rPr>
          <w:lang w:val="fr-FR"/>
        </w:rPr>
        <w:t>Article 7 − Droit à des conditions de travail justes et favorables</w:t>
      </w:r>
    </w:p>
    <w:p w:rsidR="004604F2" w:rsidRPr="004604F2" w:rsidRDefault="004604F2" w:rsidP="004604F2">
      <w:pPr>
        <w:pStyle w:val="SingleTxtG"/>
        <w:rPr>
          <w:lang w:val="fr-FR"/>
        </w:rPr>
      </w:pPr>
      <w:r w:rsidRPr="004604F2">
        <w:rPr>
          <w:lang w:val="fr-FR"/>
        </w:rPr>
        <w:t>10.</w:t>
      </w:r>
      <w:r w:rsidRPr="004604F2">
        <w:rPr>
          <w:lang w:val="fr-FR"/>
        </w:rPr>
        <w:tab/>
      </w:r>
      <w:r w:rsidR="0066503C">
        <w:rPr>
          <w:lang w:val="fr-FR"/>
        </w:rPr>
        <w:t xml:space="preserve">Donner des informations relatives à </w:t>
      </w:r>
      <w:r w:rsidRPr="004604F2">
        <w:rPr>
          <w:lang w:val="fr-FR"/>
        </w:rPr>
        <w:t xml:space="preserve">l’impact des mesures prises pour faire appliquer le salaire minimum, en particulier </w:t>
      </w:r>
      <w:r w:rsidR="0066503C">
        <w:rPr>
          <w:lang w:val="fr-FR"/>
        </w:rPr>
        <w:t xml:space="preserve">à l’égard </w:t>
      </w:r>
      <w:r w:rsidRPr="004604F2">
        <w:rPr>
          <w:lang w:val="fr-FR"/>
        </w:rPr>
        <w:t xml:space="preserve">des </w:t>
      </w:r>
      <w:r w:rsidR="0066503C">
        <w:rPr>
          <w:lang w:val="fr-FR"/>
        </w:rPr>
        <w:t>P</w:t>
      </w:r>
      <w:r w:rsidRPr="004604F2">
        <w:rPr>
          <w:lang w:val="fr-FR"/>
        </w:rPr>
        <w:t>olynésiens.</w:t>
      </w:r>
    </w:p>
    <w:p w:rsidR="004604F2" w:rsidRPr="004604F2" w:rsidRDefault="004604F2" w:rsidP="004604F2">
      <w:pPr>
        <w:pStyle w:val="SingleTxtG"/>
        <w:rPr>
          <w:lang w:val="fr-FR"/>
        </w:rPr>
      </w:pPr>
      <w:r w:rsidRPr="004604F2">
        <w:rPr>
          <w:lang w:val="fr-FR"/>
        </w:rPr>
        <w:t>11.</w:t>
      </w:r>
      <w:r w:rsidRPr="004604F2">
        <w:rPr>
          <w:lang w:val="fr-FR"/>
        </w:rPr>
        <w:tab/>
      </w:r>
      <w:r w:rsidR="0066503C">
        <w:rPr>
          <w:lang w:val="fr-FR"/>
        </w:rPr>
        <w:t xml:space="preserve">Fournir des renseignements </w:t>
      </w:r>
      <w:r w:rsidRPr="004604F2">
        <w:rPr>
          <w:lang w:val="fr-FR"/>
        </w:rPr>
        <w:t xml:space="preserve">sur les mesures prises par l’État partie pour renforcer </w:t>
      </w:r>
      <w:r w:rsidR="0066503C">
        <w:rPr>
          <w:lang w:val="fr-FR"/>
        </w:rPr>
        <w:t xml:space="preserve">les lois </w:t>
      </w:r>
      <w:r w:rsidRPr="004604F2">
        <w:rPr>
          <w:lang w:val="fr-FR"/>
        </w:rPr>
        <w:t xml:space="preserve">et règlements se rapportant aux conditions de travail et, en particulier, au nombre d’heures travaillées, en vue de les mettre en conformité avec les dispositions de l’article 7 du Pacte, ainsi que sur les mesures </w:t>
      </w:r>
      <w:r w:rsidR="0066503C">
        <w:rPr>
          <w:lang w:val="fr-FR"/>
        </w:rPr>
        <w:t xml:space="preserve">visant à </w:t>
      </w:r>
      <w:r w:rsidRPr="004604F2">
        <w:rPr>
          <w:lang w:val="fr-FR"/>
        </w:rPr>
        <w:t>assurer la surveillance des conditions de travail</w:t>
      </w:r>
      <w:r w:rsidR="0066503C">
        <w:rPr>
          <w:lang w:val="fr-FR"/>
        </w:rPr>
        <w:t xml:space="preserve">, </w:t>
      </w:r>
      <w:r w:rsidRPr="004604F2">
        <w:rPr>
          <w:lang w:val="fr-FR"/>
        </w:rPr>
        <w:t>tout particulièrement dans des secteurs comme l’agriculture.</w:t>
      </w:r>
    </w:p>
    <w:p w:rsidR="004604F2" w:rsidRPr="004604F2" w:rsidRDefault="0066503C" w:rsidP="0066503C">
      <w:pPr>
        <w:pStyle w:val="H1G"/>
        <w:rPr>
          <w:lang w:val="fr-FR"/>
        </w:rPr>
      </w:pPr>
      <w:r>
        <w:rPr>
          <w:lang w:val="fr-FR"/>
        </w:rPr>
        <w:tab/>
      </w:r>
      <w:r>
        <w:rPr>
          <w:lang w:val="fr-FR"/>
        </w:rPr>
        <w:tab/>
      </w:r>
      <w:r w:rsidR="004604F2" w:rsidRPr="004604F2">
        <w:rPr>
          <w:lang w:val="fr-FR"/>
        </w:rPr>
        <w:t>Article 9 − Droit à la sécurité sociale</w:t>
      </w:r>
    </w:p>
    <w:p w:rsidR="004604F2" w:rsidRPr="004604F2" w:rsidRDefault="004604F2" w:rsidP="004604F2">
      <w:pPr>
        <w:pStyle w:val="SingleTxtG"/>
        <w:rPr>
          <w:lang w:val="fr-FR"/>
        </w:rPr>
      </w:pPr>
      <w:r w:rsidRPr="004604F2">
        <w:rPr>
          <w:lang w:val="fr-FR"/>
        </w:rPr>
        <w:t>12.</w:t>
      </w:r>
      <w:r w:rsidRPr="004604F2">
        <w:rPr>
          <w:lang w:val="fr-FR"/>
        </w:rPr>
        <w:tab/>
        <w:t>Donner des informations sur la loi de 2007 portant modification de la loi sur la sécurité sociale</w:t>
      </w:r>
      <w:r w:rsidR="0066503C">
        <w:rPr>
          <w:lang w:val="fr-FR"/>
        </w:rPr>
        <w:t xml:space="preserve"> </w:t>
      </w:r>
      <w:r w:rsidRPr="004604F2">
        <w:rPr>
          <w:lang w:val="fr-FR"/>
        </w:rPr>
        <w:t xml:space="preserve">et indiquer dans quelle mesure elle </w:t>
      </w:r>
      <w:r w:rsidR="0066503C">
        <w:rPr>
          <w:lang w:val="fr-FR"/>
        </w:rPr>
        <w:t xml:space="preserve">contribue au respect par </w:t>
      </w:r>
      <w:r w:rsidRPr="004604F2">
        <w:rPr>
          <w:lang w:val="fr-FR"/>
        </w:rPr>
        <w:t xml:space="preserve">l’État partie </w:t>
      </w:r>
      <w:r w:rsidR="0066503C">
        <w:rPr>
          <w:lang w:val="fr-FR"/>
        </w:rPr>
        <w:t xml:space="preserve">de </w:t>
      </w:r>
      <w:r w:rsidRPr="004604F2">
        <w:rPr>
          <w:lang w:val="fr-FR"/>
        </w:rPr>
        <w:t>ses obligations au titre de l’article 9 du Pacte.</w:t>
      </w:r>
    </w:p>
    <w:p w:rsidR="004604F2" w:rsidRPr="004604F2" w:rsidRDefault="0066503C" w:rsidP="0066503C">
      <w:pPr>
        <w:pStyle w:val="H1G"/>
        <w:rPr>
          <w:lang w:val="fr-FR"/>
        </w:rPr>
      </w:pPr>
      <w:r>
        <w:rPr>
          <w:lang w:val="fr-FR"/>
        </w:rPr>
        <w:tab/>
      </w:r>
      <w:r>
        <w:rPr>
          <w:lang w:val="fr-FR"/>
        </w:rPr>
        <w:tab/>
      </w:r>
      <w:r w:rsidR="004604F2" w:rsidRPr="004604F2">
        <w:rPr>
          <w:lang w:val="fr-FR"/>
        </w:rPr>
        <w:t>Article 11 − Droit à un niveau de vie suffisant</w:t>
      </w:r>
    </w:p>
    <w:p w:rsidR="004604F2" w:rsidRPr="004604F2" w:rsidRDefault="004604F2" w:rsidP="004604F2">
      <w:pPr>
        <w:pStyle w:val="SingleTxtG"/>
        <w:rPr>
          <w:lang w:val="fr-FR"/>
        </w:rPr>
      </w:pPr>
      <w:r w:rsidRPr="004604F2">
        <w:rPr>
          <w:lang w:val="fr-FR"/>
        </w:rPr>
        <w:t>13.</w:t>
      </w:r>
      <w:r w:rsidRPr="004604F2">
        <w:rPr>
          <w:lang w:val="fr-FR"/>
        </w:rPr>
        <w:tab/>
        <w:t>Indiquer dans quelle mesure le droit au logement est protégé en cas d’exécution des préavis d’expulsion sous quatre-vingt-dix jours, sans motif.</w:t>
      </w:r>
    </w:p>
    <w:p w:rsidR="004604F2" w:rsidRPr="004604F2" w:rsidRDefault="004604F2" w:rsidP="004604F2">
      <w:pPr>
        <w:pStyle w:val="SingleTxtG"/>
        <w:rPr>
          <w:lang w:val="fr-FR"/>
        </w:rPr>
      </w:pPr>
      <w:r w:rsidRPr="004604F2">
        <w:rPr>
          <w:lang w:val="fr-FR"/>
        </w:rPr>
        <w:t>14.</w:t>
      </w:r>
      <w:r w:rsidRPr="004604F2">
        <w:rPr>
          <w:lang w:val="fr-FR"/>
        </w:rPr>
        <w:tab/>
        <w:t xml:space="preserve">Fournir des renseignements sur les diverses mesures prises par l’État partie pour lutter contre la pauvreté des enfants et indiquer si </w:t>
      </w:r>
      <w:r w:rsidR="0066503C">
        <w:rPr>
          <w:lang w:val="fr-FR"/>
        </w:rPr>
        <w:t xml:space="preserve">elles visent aussi à remédier </w:t>
      </w:r>
      <w:r w:rsidRPr="004604F2">
        <w:rPr>
          <w:lang w:val="fr-FR"/>
        </w:rPr>
        <w:t>à ses causes profondes.</w:t>
      </w:r>
    </w:p>
    <w:p w:rsidR="004604F2" w:rsidRPr="004604F2" w:rsidRDefault="004604F2" w:rsidP="004604F2">
      <w:pPr>
        <w:pStyle w:val="SingleTxtG"/>
        <w:rPr>
          <w:lang w:val="fr-FR"/>
        </w:rPr>
      </w:pPr>
      <w:r w:rsidRPr="004604F2">
        <w:rPr>
          <w:lang w:val="fr-FR"/>
        </w:rPr>
        <w:t>15.</w:t>
      </w:r>
      <w:r w:rsidRPr="004604F2">
        <w:rPr>
          <w:lang w:val="fr-FR"/>
        </w:rPr>
        <w:tab/>
        <w:t xml:space="preserve">Donner des informations sur la mesure dans laquelle les droits des Maoris </w:t>
      </w:r>
      <w:r w:rsidR="0066503C">
        <w:rPr>
          <w:lang w:val="fr-FR"/>
        </w:rPr>
        <w:t xml:space="preserve">d’avoir </w:t>
      </w:r>
      <w:r w:rsidRPr="004604F2">
        <w:rPr>
          <w:lang w:val="fr-FR"/>
        </w:rPr>
        <w:t>leur propre m</w:t>
      </w:r>
      <w:r w:rsidR="0066503C">
        <w:rPr>
          <w:lang w:val="fr-FR"/>
        </w:rPr>
        <w:t>ode</w:t>
      </w:r>
      <w:r w:rsidRPr="004604F2">
        <w:rPr>
          <w:lang w:val="fr-FR"/>
        </w:rPr>
        <w:t xml:space="preserve"> de vie, </w:t>
      </w:r>
      <w:r w:rsidR="0066503C">
        <w:rPr>
          <w:lang w:val="fr-FR"/>
        </w:rPr>
        <w:t xml:space="preserve">d’exercer </w:t>
      </w:r>
      <w:r w:rsidRPr="004604F2">
        <w:rPr>
          <w:lang w:val="fr-FR"/>
        </w:rPr>
        <w:t xml:space="preserve">leurs droits coutumiers sur </w:t>
      </w:r>
      <w:r w:rsidR="0066503C">
        <w:rPr>
          <w:lang w:val="fr-FR"/>
        </w:rPr>
        <w:t xml:space="preserve">les </w:t>
      </w:r>
      <w:r w:rsidRPr="004604F2">
        <w:rPr>
          <w:lang w:val="fr-FR"/>
        </w:rPr>
        <w:t>terre</w:t>
      </w:r>
      <w:r w:rsidR="0066503C">
        <w:rPr>
          <w:lang w:val="fr-FR"/>
        </w:rPr>
        <w:t>s</w:t>
      </w:r>
      <w:r w:rsidRPr="004604F2">
        <w:rPr>
          <w:lang w:val="fr-FR"/>
        </w:rPr>
        <w:t xml:space="preserve"> et </w:t>
      </w:r>
      <w:r w:rsidR="0066503C">
        <w:rPr>
          <w:lang w:val="fr-FR"/>
        </w:rPr>
        <w:t xml:space="preserve">de </w:t>
      </w:r>
      <w:r w:rsidRPr="004604F2">
        <w:rPr>
          <w:lang w:val="fr-FR"/>
        </w:rPr>
        <w:t>ne pas être privés de</w:t>
      </w:r>
      <w:r w:rsidR="0066503C">
        <w:rPr>
          <w:lang w:val="fr-FR"/>
        </w:rPr>
        <w:t xml:space="preserve"> leur</w:t>
      </w:r>
      <w:r w:rsidRPr="004604F2">
        <w:rPr>
          <w:lang w:val="fr-FR"/>
        </w:rPr>
        <w:t>s moyens de subsistance sont respectés dans le ca</w:t>
      </w:r>
      <w:r w:rsidR="0066503C">
        <w:rPr>
          <w:lang w:val="fr-FR"/>
        </w:rPr>
        <w:t>dre</w:t>
      </w:r>
      <w:r w:rsidRPr="004604F2">
        <w:rPr>
          <w:lang w:val="fr-FR"/>
        </w:rPr>
        <w:t xml:space="preserve"> du projet de plate</w:t>
      </w:r>
      <w:r w:rsidR="0066503C">
        <w:rPr>
          <w:lang w:val="fr-FR"/>
        </w:rPr>
        <w:t>-</w:t>
      </w:r>
      <w:r w:rsidRPr="004604F2">
        <w:rPr>
          <w:lang w:val="fr-FR"/>
        </w:rPr>
        <w:t>forme de forage pétrolier et gazier dans le bassin Raukumara.</w:t>
      </w:r>
    </w:p>
    <w:p w:rsidR="004604F2" w:rsidRPr="004604F2" w:rsidRDefault="0066503C" w:rsidP="0066503C">
      <w:pPr>
        <w:pStyle w:val="H1G"/>
        <w:rPr>
          <w:lang w:val="fr-FR"/>
        </w:rPr>
      </w:pPr>
      <w:r>
        <w:rPr>
          <w:lang w:val="fr-FR"/>
        </w:rPr>
        <w:tab/>
      </w:r>
      <w:r>
        <w:rPr>
          <w:lang w:val="fr-FR"/>
        </w:rPr>
        <w:tab/>
      </w:r>
      <w:r w:rsidR="004604F2" w:rsidRPr="004604F2">
        <w:rPr>
          <w:lang w:val="fr-FR"/>
        </w:rPr>
        <w:t>Article 12 − Droit à la santé physique et mentale</w:t>
      </w:r>
    </w:p>
    <w:p w:rsidR="004604F2" w:rsidRPr="004604F2" w:rsidRDefault="004604F2" w:rsidP="004604F2">
      <w:pPr>
        <w:pStyle w:val="SingleTxtG"/>
        <w:rPr>
          <w:lang w:val="fr-FR"/>
        </w:rPr>
      </w:pPr>
      <w:r w:rsidRPr="004604F2">
        <w:rPr>
          <w:lang w:val="fr-FR"/>
        </w:rPr>
        <w:t>16.</w:t>
      </w:r>
      <w:r w:rsidRPr="004604F2">
        <w:rPr>
          <w:lang w:val="fr-FR"/>
        </w:rPr>
        <w:tab/>
        <w:t xml:space="preserve">Donner des informations sur les causes des disparités entres groupes ethniques dans la jouissance du droit à la santé en </w:t>
      </w:r>
      <w:r w:rsidR="0066503C">
        <w:rPr>
          <w:lang w:val="fr-FR"/>
        </w:rPr>
        <w:t xml:space="preserve">indiquant </w:t>
      </w:r>
      <w:r w:rsidRPr="004604F2">
        <w:rPr>
          <w:lang w:val="fr-FR"/>
        </w:rPr>
        <w:t>la disponibilité, l’accessibilité, l’acceptabilité</w:t>
      </w:r>
      <w:r w:rsidR="0066503C">
        <w:rPr>
          <w:lang w:val="fr-FR"/>
        </w:rPr>
        <w:t>,</w:t>
      </w:r>
      <w:r w:rsidRPr="004604F2">
        <w:rPr>
          <w:lang w:val="fr-FR"/>
        </w:rPr>
        <w:t xml:space="preserve"> l’adéquation et la qualité des installations, biens et services de santé. Indiquer </w:t>
      </w:r>
      <w:r w:rsidR="009F7F71">
        <w:rPr>
          <w:lang w:val="fr-FR"/>
        </w:rPr>
        <w:t xml:space="preserve">la </w:t>
      </w:r>
      <w:r w:rsidRPr="004604F2">
        <w:rPr>
          <w:lang w:val="fr-FR"/>
        </w:rPr>
        <w:t xml:space="preserve">mesure </w:t>
      </w:r>
      <w:r w:rsidR="009F7F71">
        <w:rPr>
          <w:lang w:val="fr-FR"/>
        </w:rPr>
        <w:t xml:space="preserve">dans laquelle </w:t>
      </w:r>
      <w:r w:rsidRPr="004604F2">
        <w:rPr>
          <w:lang w:val="fr-FR"/>
        </w:rPr>
        <w:t>les réformes engagées dans le secteur de la santé ont remédié à ces disparités dans la jouissance du droit à la santé.</w:t>
      </w:r>
    </w:p>
    <w:p w:rsidR="004604F2" w:rsidRPr="004604F2" w:rsidRDefault="004604F2" w:rsidP="004604F2">
      <w:pPr>
        <w:pStyle w:val="SingleTxtG"/>
        <w:rPr>
          <w:lang w:val="fr-FR"/>
        </w:rPr>
      </w:pPr>
      <w:r w:rsidRPr="004604F2">
        <w:rPr>
          <w:lang w:val="fr-FR"/>
        </w:rPr>
        <w:t>17.</w:t>
      </w:r>
      <w:r w:rsidRPr="004604F2">
        <w:rPr>
          <w:lang w:val="fr-FR"/>
        </w:rPr>
        <w:tab/>
        <w:t>Donner des informations sur les programmes d’</w:t>
      </w:r>
      <w:r w:rsidR="009F7F71">
        <w:rPr>
          <w:lang w:val="fr-FR"/>
        </w:rPr>
        <w:t xml:space="preserve">enseignement </w:t>
      </w:r>
      <w:r w:rsidRPr="004604F2">
        <w:rPr>
          <w:lang w:val="fr-FR"/>
        </w:rPr>
        <w:t xml:space="preserve">en matière de santé sexuelle et procréative dans l’État partie et </w:t>
      </w:r>
      <w:r w:rsidR="009F7F71">
        <w:rPr>
          <w:lang w:val="fr-FR"/>
        </w:rPr>
        <w:t xml:space="preserve">indiquer s’ils font partie du </w:t>
      </w:r>
      <w:r w:rsidRPr="004604F2">
        <w:rPr>
          <w:lang w:val="fr-FR"/>
        </w:rPr>
        <w:t>cursus scolaire.</w:t>
      </w:r>
    </w:p>
    <w:p w:rsidR="004604F2" w:rsidRPr="004604F2" w:rsidRDefault="009F7F71" w:rsidP="009F7F71">
      <w:pPr>
        <w:pStyle w:val="H1G"/>
        <w:rPr>
          <w:lang w:val="fr-FR"/>
        </w:rPr>
      </w:pPr>
      <w:r>
        <w:rPr>
          <w:lang w:val="fr-FR"/>
        </w:rPr>
        <w:tab/>
      </w:r>
      <w:r>
        <w:rPr>
          <w:lang w:val="fr-FR"/>
        </w:rPr>
        <w:tab/>
      </w:r>
      <w:r w:rsidR="004604F2" w:rsidRPr="004604F2">
        <w:rPr>
          <w:lang w:val="fr-FR"/>
        </w:rPr>
        <w:t>Articles 13 et 14 − Droit à l’éducation</w:t>
      </w:r>
    </w:p>
    <w:p w:rsidR="004604F2" w:rsidRPr="004604F2" w:rsidRDefault="004604F2" w:rsidP="004604F2">
      <w:pPr>
        <w:pStyle w:val="SingleTxtG"/>
        <w:rPr>
          <w:lang w:val="fr-FR"/>
        </w:rPr>
      </w:pPr>
      <w:r w:rsidRPr="004604F2">
        <w:rPr>
          <w:lang w:val="fr-FR"/>
        </w:rPr>
        <w:t>18.</w:t>
      </w:r>
      <w:r w:rsidRPr="004604F2">
        <w:rPr>
          <w:lang w:val="fr-FR"/>
        </w:rPr>
        <w:tab/>
      </w:r>
      <w:r w:rsidR="009F7F71">
        <w:rPr>
          <w:lang w:val="fr-FR"/>
        </w:rPr>
        <w:t>D</w:t>
      </w:r>
      <w:r w:rsidRPr="004604F2">
        <w:rPr>
          <w:lang w:val="fr-FR"/>
        </w:rPr>
        <w:t xml:space="preserve">onner des renseignements sur les mesures spécifiques prises par l’État partie pour réduire le taux </w:t>
      </w:r>
      <w:r w:rsidR="009F7F71">
        <w:rPr>
          <w:lang w:val="fr-FR"/>
        </w:rPr>
        <w:t xml:space="preserve">élevé </w:t>
      </w:r>
      <w:r w:rsidRPr="004604F2">
        <w:rPr>
          <w:lang w:val="fr-FR"/>
        </w:rPr>
        <w:t xml:space="preserve">d’abandon scolaire </w:t>
      </w:r>
      <w:r w:rsidR="009F7F71">
        <w:rPr>
          <w:lang w:val="fr-FR"/>
        </w:rPr>
        <w:t xml:space="preserve">dans l’enseignement secondaire </w:t>
      </w:r>
      <w:r w:rsidRPr="004604F2">
        <w:rPr>
          <w:lang w:val="fr-FR"/>
        </w:rPr>
        <w:t>et le recours aux dérogations à l’abandon scolaire prématuré par les Maoris et les élèves de sexe masculin, et indiquer dans quelle mesure les dispositions prises s’attaquent aux causes sous-jacentes du phénomène.</w:t>
      </w:r>
    </w:p>
    <w:p w:rsidR="004604F2" w:rsidRPr="004604F2" w:rsidRDefault="009F7F71" w:rsidP="009F7F71">
      <w:pPr>
        <w:pStyle w:val="H1G"/>
        <w:rPr>
          <w:lang w:val="fr-FR"/>
        </w:rPr>
      </w:pPr>
      <w:r>
        <w:rPr>
          <w:lang w:val="fr-FR"/>
        </w:rPr>
        <w:tab/>
      </w:r>
      <w:r>
        <w:rPr>
          <w:lang w:val="fr-FR"/>
        </w:rPr>
        <w:tab/>
      </w:r>
      <w:r w:rsidR="004604F2" w:rsidRPr="004604F2">
        <w:rPr>
          <w:lang w:val="fr-FR"/>
        </w:rPr>
        <w:t>Article 15 − Droits culturels</w:t>
      </w:r>
    </w:p>
    <w:p w:rsidR="004604F2" w:rsidRPr="004604F2" w:rsidRDefault="004604F2" w:rsidP="004604F2">
      <w:pPr>
        <w:pStyle w:val="SingleTxtG"/>
        <w:rPr>
          <w:lang w:val="fr-FR"/>
        </w:rPr>
      </w:pPr>
      <w:r w:rsidRPr="004604F2">
        <w:rPr>
          <w:lang w:val="fr-FR"/>
        </w:rPr>
        <w:t>19.</w:t>
      </w:r>
      <w:r w:rsidRPr="004604F2">
        <w:rPr>
          <w:lang w:val="fr-FR"/>
        </w:rPr>
        <w:tab/>
        <w:t xml:space="preserve">Donner des informations sur la </w:t>
      </w:r>
      <w:r w:rsidR="009F7F71">
        <w:rPr>
          <w:lang w:val="fr-FR"/>
        </w:rPr>
        <w:t xml:space="preserve">mesure dans laquelle </w:t>
      </w:r>
      <w:r w:rsidRPr="004604F2">
        <w:rPr>
          <w:lang w:val="fr-FR"/>
        </w:rPr>
        <w:t xml:space="preserve">la législation de l’État partie </w:t>
      </w:r>
      <w:r w:rsidR="009F7F71">
        <w:rPr>
          <w:lang w:val="fr-FR"/>
        </w:rPr>
        <w:t xml:space="preserve">protège et respecte les </w:t>
      </w:r>
      <w:r w:rsidRPr="004604F2">
        <w:rPr>
          <w:lang w:val="fr-FR"/>
        </w:rPr>
        <w:t xml:space="preserve">droits des Maoris </w:t>
      </w:r>
      <w:r w:rsidR="009F7F71">
        <w:rPr>
          <w:lang w:val="fr-FR"/>
        </w:rPr>
        <w:t xml:space="preserve">sur </w:t>
      </w:r>
      <w:r w:rsidRPr="004604F2">
        <w:rPr>
          <w:lang w:val="fr-FR"/>
        </w:rPr>
        <w:t>leurs terres et ressources ancestrales, y compris celles se trouvant dans les zones côtières et marines (</w:t>
      </w:r>
      <w:proofErr w:type="spellStart"/>
      <w:r w:rsidRPr="004604F2">
        <w:rPr>
          <w:lang w:val="fr-FR"/>
        </w:rPr>
        <w:t>Taku</w:t>
      </w:r>
      <w:r w:rsidR="004A5B17">
        <w:rPr>
          <w:lang w:val="fr-FR"/>
        </w:rPr>
        <w:t>t</w:t>
      </w:r>
      <w:r w:rsidRPr="004604F2">
        <w:rPr>
          <w:lang w:val="fr-FR"/>
        </w:rPr>
        <w:t>ai</w:t>
      </w:r>
      <w:proofErr w:type="spellEnd"/>
      <w:r w:rsidRPr="004604F2">
        <w:rPr>
          <w:lang w:val="fr-FR"/>
        </w:rPr>
        <w:t xml:space="preserve"> Moana).</w:t>
      </w:r>
    </w:p>
    <w:p w:rsidR="004604F2" w:rsidRPr="004604F2" w:rsidRDefault="004604F2" w:rsidP="004604F2">
      <w:pPr>
        <w:pStyle w:val="SingleTxtG"/>
        <w:rPr>
          <w:lang w:val="fr-FR"/>
        </w:rPr>
      </w:pPr>
      <w:r w:rsidRPr="004604F2">
        <w:rPr>
          <w:lang w:val="fr-FR"/>
        </w:rPr>
        <w:t>20.</w:t>
      </w:r>
      <w:r w:rsidRPr="004604F2">
        <w:rPr>
          <w:lang w:val="fr-FR"/>
        </w:rPr>
        <w:tab/>
        <w:t>Donner des informations sur les mesures prises pour donner suite aux re</w:t>
      </w:r>
      <w:r w:rsidR="009F7F71">
        <w:rPr>
          <w:lang w:val="fr-FR"/>
        </w:rPr>
        <w:t>commandations formulées par le T</w:t>
      </w:r>
      <w:r w:rsidRPr="004604F2">
        <w:rPr>
          <w:lang w:val="fr-FR"/>
        </w:rPr>
        <w:t xml:space="preserve">ribunal </w:t>
      </w:r>
      <w:r w:rsidR="009F7F71">
        <w:rPr>
          <w:lang w:val="fr-FR"/>
        </w:rPr>
        <w:t xml:space="preserve">de </w:t>
      </w:r>
      <w:r w:rsidRPr="004604F2">
        <w:rPr>
          <w:lang w:val="fr-FR"/>
        </w:rPr>
        <w:t>Wai</w:t>
      </w:r>
      <w:r w:rsidR="009F7F71">
        <w:rPr>
          <w:lang w:val="fr-FR"/>
        </w:rPr>
        <w:t>tangi (r</w:t>
      </w:r>
      <w:r w:rsidRPr="004604F2">
        <w:rPr>
          <w:lang w:val="fr-FR"/>
        </w:rPr>
        <w:t>éclamation 262) au sujet de la stratégie de l’État visant à promouvoir la langue maori</w:t>
      </w:r>
      <w:r w:rsidR="004822A2">
        <w:rPr>
          <w:lang w:val="fr-FR"/>
        </w:rPr>
        <w:t>e</w:t>
      </w:r>
      <w:r w:rsidRPr="004604F2">
        <w:rPr>
          <w:lang w:val="fr-FR"/>
        </w:rPr>
        <w:t>.</w:t>
      </w:r>
    </w:p>
    <w:p w:rsidR="00FF1DBD" w:rsidRPr="00287E79" w:rsidRDefault="009F7F71" w:rsidP="009F7F71">
      <w:pPr>
        <w:pStyle w:val="SingleTxtG"/>
        <w:spacing w:before="240" w:after="0"/>
        <w:jc w:val="center"/>
      </w:pPr>
      <w:r>
        <w:rPr>
          <w:u w:val="single"/>
          <w:lang w:val="fr-FR"/>
        </w:rPr>
        <w:tab/>
      </w:r>
      <w:r>
        <w:rPr>
          <w:u w:val="single"/>
          <w:lang w:val="fr-FR"/>
        </w:rPr>
        <w:tab/>
      </w:r>
      <w:r>
        <w:rPr>
          <w:u w:val="single"/>
          <w:lang w:val="fr-FR"/>
        </w:rPr>
        <w:tab/>
      </w:r>
    </w:p>
    <w:sectPr w:rsidR="00FF1DBD" w:rsidRPr="00287E79" w:rsidSect="004604F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E8C" w:rsidRDefault="006B3E8C"/>
  </w:endnote>
  <w:endnote w:type="continuationSeparator" w:id="0">
    <w:p w:rsidR="006B3E8C" w:rsidRDefault="006B3E8C"/>
  </w:endnote>
  <w:endnote w:type="continuationNotice" w:id="1">
    <w:p w:rsidR="006B3E8C" w:rsidRDefault="006B3E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F2" w:rsidRPr="004604F2" w:rsidRDefault="004604F2" w:rsidP="004604F2">
    <w:pPr>
      <w:pStyle w:val="Footer"/>
      <w:tabs>
        <w:tab w:val="right" w:pos="9638"/>
      </w:tabs>
    </w:pPr>
    <w:r w:rsidRPr="004604F2">
      <w:rPr>
        <w:b/>
        <w:sz w:val="18"/>
      </w:rPr>
      <w:fldChar w:fldCharType="begin"/>
    </w:r>
    <w:r w:rsidRPr="004604F2">
      <w:rPr>
        <w:b/>
        <w:sz w:val="18"/>
      </w:rPr>
      <w:instrText xml:space="preserve"> PAGE  \* MERGEFORMAT </w:instrText>
    </w:r>
    <w:r w:rsidRPr="004604F2">
      <w:rPr>
        <w:b/>
        <w:sz w:val="18"/>
      </w:rPr>
      <w:fldChar w:fldCharType="separate"/>
    </w:r>
    <w:r w:rsidR="0056709B">
      <w:rPr>
        <w:b/>
        <w:noProof/>
        <w:sz w:val="18"/>
      </w:rPr>
      <w:t>2</w:t>
    </w:r>
    <w:r w:rsidRPr="004604F2">
      <w:rPr>
        <w:b/>
        <w:sz w:val="18"/>
      </w:rPr>
      <w:fldChar w:fldCharType="end"/>
    </w:r>
    <w:r>
      <w:rPr>
        <w:b/>
        <w:sz w:val="18"/>
      </w:rPr>
      <w:tab/>
    </w:r>
    <w:r>
      <w:t>GE.11-43556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F2" w:rsidRPr="004604F2" w:rsidRDefault="004604F2" w:rsidP="004604F2">
    <w:pPr>
      <w:pStyle w:val="Footer"/>
      <w:tabs>
        <w:tab w:val="right" w:pos="9638"/>
      </w:tabs>
      <w:rPr>
        <w:b/>
        <w:sz w:val="18"/>
      </w:rPr>
    </w:pPr>
    <w:r>
      <w:t>GE.11-43556</w:t>
    </w:r>
    <w:r>
      <w:tab/>
    </w:r>
    <w:r w:rsidRPr="004604F2">
      <w:rPr>
        <w:b/>
        <w:sz w:val="18"/>
      </w:rPr>
      <w:fldChar w:fldCharType="begin"/>
    </w:r>
    <w:r w:rsidRPr="004604F2">
      <w:rPr>
        <w:b/>
        <w:sz w:val="18"/>
      </w:rPr>
      <w:instrText xml:space="preserve"> PAGE  \* MERGEFORMAT </w:instrText>
    </w:r>
    <w:r w:rsidRPr="004604F2">
      <w:rPr>
        <w:b/>
        <w:sz w:val="18"/>
      </w:rPr>
      <w:fldChar w:fldCharType="separate"/>
    </w:r>
    <w:r w:rsidR="00D329BC">
      <w:rPr>
        <w:b/>
        <w:noProof/>
        <w:sz w:val="18"/>
      </w:rPr>
      <w:t>3</w:t>
    </w:r>
    <w:r w:rsidRPr="004604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109" w:rsidRPr="004604F2" w:rsidRDefault="004604F2">
    <w:pPr>
      <w:pStyle w:val="Footer"/>
      <w:rPr>
        <w:sz w:val="20"/>
      </w:rPr>
    </w:pPr>
    <w:r>
      <w:rPr>
        <w:sz w:val="20"/>
      </w:rPr>
      <w:t>GE.</w:t>
    </w:r>
    <w:r w:rsidR="0007610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4A5B17">
      <w:rPr>
        <w:sz w:val="20"/>
      </w:rPr>
      <w:t>1</w:t>
    </w:r>
    <w:r>
      <w:rPr>
        <w:sz w:val="20"/>
      </w:rPr>
      <w:t>1-43556  (F)</w:t>
    </w:r>
    <w:r w:rsidR="004A5B17">
      <w:rPr>
        <w:sz w:val="20"/>
      </w:rPr>
      <w:t xml:space="preserve">    200611    </w:t>
    </w:r>
    <w:r w:rsidR="004822A2">
      <w:rPr>
        <w:sz w:val="20"/>
      </w:rPr>
      <w:t>210611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E8C" w:rsidRPr="00D27D5E" w:rsidRDefault="006B3E8C" w:rsidP="00D27D5E">
      <w:pPr>
        <w:tabs>
          <w:tab w:val="right" w:pos="2155"/>
        </w:tabs>
        <w:spacing w:after="80"/>
        <w:ind w:left="680"/>
        <w:rPr>
          <w:u w:val="single"/>
        </w:rPr>
      </w:pPr>
      <w:r>
        <w:rPr>
          <w:u w:val="single"/>
        </w:rPr>
        <w:tab/>
      </w:r>
    </w:p>
  </w:footnote>
  <w:footnote w:type="continuationSeparator" w:id="0">
    <w:p w:rsidR="006B3E8C" w:rsidRPr="005B09DD" w:rsidRDefault="006B3E8C" w:rsidP="005B09DD">
      <w:pPr>
        <w:tabs>
          <w:tab w:val="right" w:pos="2155"/>
        </w:tabs>
        <w:spacing w:after="80"/>
        <w:ind w:left="680"/>
        <w:rPr>
          <w:u w:val="single"/>
        </w:rPr>
      </w:pPr>
      <w:r w:rsidRPr="005B09DD">
        <w:rPr>
          <w:u w:val="single"/>
        </w:rPr>
        <w:tab/>
      </w:r>
    </w:p>
  </w:footnote>
  <w:footnote w:type="continuationNotice" w:id="1">
    <w:p w:rsidR="006B3E8C" w:rsidRDefault="006B3E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F2" w:rsidRPr="004604F2" w:rsidRDefault="004604F2">
    <w:pPr>
      <w:pStyle w:val="Header"/>
    </w:pPr>
    <w:r>
      <w:t>E/C.12/NZL/Q/3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F2" w:rsidRPr="004604F2" w:rsidRDefault="004604F2" w:rsidP="004604F2">
    <w:pPr>
      <w:pStyle w:val="Header"/>
      <w:jc w:val="right"/>
    </w:pPr>
    <w:r>
      <w:t>E/C.12/NZL/Q/3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6109"/>
    <w:rsid w:val="0000696F"/>
    <w:rsid w:val="0001400B"/>
    <w:rsid w:val="00016AC5"/>
    <w:rsid w:val="00030ADE"/>
    <w:rsid w:val="00076109"/>
    <w:rsid w:val="000F41F2"/>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604F2"/>
    <w:rsid w:val="004822A2"/>
    <w:rsid w:val="004A5B17"/>
    <w:rsid w:val="004A7FCC"/>
    <w:rsid w:val="004F3E8B"/>
    <w:rsid w:val="005046DB"/>
    <w:rsid w:val="00543D5E"/>
    <w:rsid w:val="0056709B"/>
    <w:rsid w:val="00571F41"/>
    <w:rsid w:val="005B09DD"/>
    <w:rsid w:val="005E5D1F"/>
    <w:rsid w:val="00603391"/>
    <w:rsid w:val="00611D43"/>
    <w:rsid w:val="00612D48"/>
    <w:rsid w:val="00616B45"/>
    <w:rsid w:val="00630D9B"/>
    <w:rsid w:val="00631953"/>
    <w:rsid w:val="006439EC"/>
    <w:rsid w:val="00652353"/>
    <w:rsid w:val="0066503C"/>
    <w:rsid w:val="006B3E8C"/>
    <w:rsid w:val="006B4590"/>
    <w:rsid w:val="006C340C"/>
    <w:rsid w:val="0070347C"/>
    <w:rsid w:val="007176C1"/>
    <w:rsid w:val="007C0E8B"/>
    <w:rsid w:val="007F55CB"/>
    <w:rsid w:val="008317F6"/>
    <w:rsid w:val="00844750"/>
    <w:rsid w:val="008B44C4"/>
    <w:rsid w:val="008B7879"/>
    <w:rsid w:val="008E7FAE"/>
    <w:rsid w:val="00911BF7"/>
    <w:rsid w:val="009422C4"/>
    <w:rsid w:val="00977EC8"/>
    <w:rsid w:val="009B6C14"/>
    <w:rsid w:val="009D3A8C"/>
    <w:rsid w:val="009E7956"/>
    <w:rsid w:val="009F5257"/>
    <w:rsid w:val="009F759C"/>
    <w:rsid w:val="009F7F71"/>
    <w:rsid w:val="00A02E14"/>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329BC"/>
    <w:rsid w:val="00D9270D"/>
    <w:rsid w:val="00DA57D4"/>
    <w:rsid w:val="00DB4793"/>
    <w:rsid w:val="00DB50B4"/>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1182</Words>
  <Characters>6400</Characters>
  <Application>Microsoft Office Word</Application>
  <DocSecurity>4</DocSecurity>
  <Lines>116</Lines>
  <Paragraphs>52</Paragraphs>
  <ScaleCrop>false</ScaleCrop>
  <HeadingPairs>
    <vt:vector size="2" baseType="variant">
      <vt:variant>
        <vt:lpstr>Titre</vt:lpstr>
      </vt:variant>
      <vt:variant>
        <vt:i4>1</vt:i4>
      </vt:variant>
    </vt:vector>
  </HeadingPairs>
  <TitlesOfParts>
    <vt:vector size="1" baseType="lpstr">
      <vt:lpstr>E/C.12/NZL/Q/3</vt:lpstr>
    </vt:vector>
  </TitlesOfParts>
  <Company>Corinne</Company>
  <LinksUpToDate>false</LinksUpToDate>
  <CharactersWithSpaces>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E/C.12/NZL/Q/3</dc:title>
  <dc:subject/>
  <dc:creator>Pool</dc:creator>
  <cp:keywords/>
  <dc:description/>
  <cp:lastModifiedBy>Pool</cp:lastModifiedBy>
  <cp:revision>2</cp:revision>
  <cp:lastPrinted>2011-06-20T13:40:00Z</cp:lastPrinted>
  <dcterms:created xsi:type="dcterms:W3CDTF">2011-06-21T09:17:00Z</dcterms:created>
  <dcterms:modified xsi:type="dcterms:W3CDTF">2011-06-21T09:17:00Z</dcterms:modified>
</cp:coreProperties>
</file>