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112"/>
        <w:gridCol w:w="4253"/>
      </w:tblGrid>
      <w:tr w:rsidR="006B3E27" w:rsidRPr="00DB7679" w:rsidTr="003D3E2B">
        <w:trPr>
          <w:trHeight w:hRule="exact" w:val="851"/>
        </w:trPr>
        <w:tc>
          <w:tcPr>
            <w:tcW w:w="1274" w:type="dxa"/>
            <w:tcBorders>
              <w:bottom w:val="single" w:sz="4" w:space="0" w:color="auto"/>
            </w:tcBorders>
            <w:shd w:val="clear" w:color="auto" w:fill="auto"/>
          </w:tcPr>
          <w:p w:rsidR="006B3E27" w:rsidRPr="00983870" w:rsidRDefault="006B3E27" w:rsidP="003D3E2B">
            <w:pPr>
              <w:bidi w:val="0"/>
              <w:jc w:val="right"/>
            </w:pPr>
          </w:p>
        </w:tc>
        <w:tc>
          <w:tcPr>
            <w:tcW w:w="4112" w:type="dxa"/>
            <w:tcBorders>
              <w:bottom w:val="single" w:sz="4" w:space="0" w:color="auto"/>
            </w:tcBorders>
            <w:shd w:val="clear" w:color="auto" w:fill="auto"/>
            <w:vAlign w:val="bottom"/>
          </w:tcPr>
          <w:p w:rsidR="006B3E27" w:rsidRPr="003D3E2B" w:rsidRDefault="006B3E27" w:rsidP="003D3E2B">
            <w:pPr>
              <w:spacing w:after="80" w:line="480" w:lineRule="exact"/>
              <w:jc w:val="left"/>
              <w:rPr>
                <w:szCs w:val="40"/>
                <w:rtl/>
              </w:rPr>
            </w:pPr>
            <w:r w:rsidRPr="003D3E2B">
              <w:rPr>
                <w:rFonts w:hint="cs"/>
                <w:szCs w:val="40"/>
                <w:rtl/>
              </w:rPr>
              <w:t>الأمم المتحدة</w:t>
            </w:r>
          </w:p>
        </w:tc>
        <w:tc>
          <w:tcPr>
            <w:tcW w:w="4253" w:type="dxa"/>
            <w:tcBorders>
              <w:bottom w:val="single" w:sz="4" w:space="0" w:color="auto"/>
            </w:tcBorders>
            <w:shd w:val="clear" w:color="auto" w:fill="auto"/>
            <w:vAlign w:val="bottom"/>
          </w:tcPr>
          <w:p w:rsidR="006B3E27" w:rsidRPr="003D3E2B" w:rsidRDefault="00A03EB4" w:rsidP="003D3E2B">
            <w:pPr>
              <w:bidi w:val="0"/>
              <w:spacing w:after="20"/>
              <w:jc w:val="left"/>
              <w:rPr>
                <w:szCs w:val="20"/>
              </w:rPr>
            </w:pPr>
            <w:r w:rsidRPr="003D3E2B">
              <w:rPr>
                <w:sz w:val="40"/>
                <w:szCs w:val="20"/>
              </w:rPr>
              <w:t>A</w:t>
            </w:r>
            <w:r w:rsidRPr="003D3E2B">
              <w:rPr>
                <w:szCs w:val="20"/>
              </w:rPr>
              <w:t>/HRC/RES/28/9</w:t>
            </w:r>
          </w:p>
        </w:tc>
      </w:tr>
      <w:tr w:rsidR="006B3E27" w:rsidRPr="00DB7679" w:rsidTr="003D3E2B">
        <w:trPr>
          <w:trHeight w:hRule="exact" w:val="2835"/>
        </w:trPr>
        <w:tc>
          <w:tcPr>
            <w:tcW w:w="1274" w:type="dxa"/>
            <w:tcBorders>
              <w:top w:val="single" w:sz="4" w:space="0" w:color="auto"/>
              <w:bottom w:val="single" w:sz="12" w:space="0" w:color="auto"/>
            </w:tcBorders>
            <w:shd w:val="clear" w:color="auto" w:fill="auto"/>
          </w:tcPr>
          <w:p w:rsidR="006B3E27" w:rsidRPr="00DB7679" w:rsidRDefault="004C03F3" w:rsidP="003D3E2B">
            <w:pPr>
              <w:jc w:val="center"/>
              <w:rPr>
                <w:rtl/>
              </w:rPr>
            </w:pPr>
            <w:r>
              <w:rPr>
                <w:noProof/>
              </w:rPr>
              <w:drawing>
                <wp:inline distT="0" distB="0" distL="0" distR="0">
                  <wp:extent cx="629285" cy="61468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52" t="-1387" r="-52" b="-1387"/>
                          <a:stretch>
                            <a:fillRect/>
                          </a:stretch>
                        </pic:blipFill>
                        <pic:spPr bwMode="auto">
                          <a:xfrm>
                            <a:off x="0" y="0"/>
                            <a:ext cx="629285" cy="614680"/>
                          </a:xfrm>
                          <a:prstGeom prst="rect">
                            <a:avLst/>
                          </a:prstGeom>
                          <a:noFill/>
                          <a:ln>
                            <a:noFill/>
                          </a:ln>
                        </pic:spPr>
                      </pic:pic>
                    </a:graphicData>
                  </a:graphic>
                </wp:inline>
              </w:drawing>
            </w:r>
          </w:p>
        </w:tc>
        <w:tc>
          <w:tcPr>
            <w:tcW w:w="4112" w:type="dxa"/>
            <w:tcBorders>
              <w:top w:val="single" w:sz="4" w:space="0" w:color="auto"/>
              <w:bottom w:val="single" w:sz="12" w:space="0" w:color="auto"/>
            </w:tcBorders>
            <w:shd w:val="clear" w:color="auto" w:fill="auto"/>
          </w:tcPr>
          <w:p w:rsidR="006B3E27" w:rsidRPr="003D3E2B" w:rsidRDefault="001E1CAD" w:rsidP="003D3E2B">
            <w:pPr>
              <w:spacing w:before="120" w:after="40" w:line="640" w:lineRule="exact"/>
              <w:jc w:val="left"/>
              <w:rPr>
                <w:b/>
                <w:bCs/>
                <w:sz w:val="60"/>
                <w:szCs w:val="60"/>
              </w:rPr>
            </w:pPr>
            <w:r w:rsidRPr="003D3E2B">
              <w:rPr>
                <w:rFonts w:hint="cs"/>
                <w:b/>
                <w:bCs/>
                <w:sz w:val="60"/>
                <w:szCs w:val="60"/>
                <w:rtl/>
              </w:rPr>
              <w:t>الجمعية العامة</w:t>
            </w:r>
          </w:p>
        </w:tc>
        <w:tc>
          <w:tcPr>
            <w:tcW w:w="4253" w:type="dxa"/>
            <w:tcBorders>
              <w:top w:val="single" w:sz="4" w:space="0" w:color="auto"/>
              <w:bottom w:val="single" w:sz="12" w:space="0" w:color="auto"/>
            </w:tcBorders>
            <w:shd w:val="clear" w:color="auto" w:fill="auto"/>
          </w:tcPr>
          <w:p w:rsidR="006B3E27" w:rsidRDefault="00A03EB4" w:rsidP="003D3E2B">
            <w:pPr>
              <w:bidi w:val="0"/>
              <w:spacing w:before="240"/>
              <w:jc w:val="left"/>
            </w:pPr>
            <w:r>
              <w:t>Distr.: General</w:t>
            </w:r>
          </w:p>
          <w:p w:rsidR="00A03EB4" w:rsidRDefault="00A03EB4" w:rsidP="003D3E2B">
            <w:pPr>
              <w:bidi w:val="0"/>
              <w:jc w:val="left"/>
            </w:pPr>
            <w:r>
              <w:t>15 April 2015</w:t>
            </w:r>
          </w:p>
          <w:p w:rsidR="00A03EB4" w:rsidRDefault="00A03EB4" w:rsidP="003D3E2B">
            <w:pPr>
              <w:bidi w:val="0"/>
              <w:jc w:val="left"/>
            </w:pPr>
            <w:r>
              <w:t>Arabic</w:t>
            </w:r>
          </w:p>
          <w:p w:rsidR="00A03EB4" w:rsidRPr="008B4BC6" w:rsidRDefault="00A03EB4" w:rsidP="003D3E2B">
            <w:pPr>
              <w:bidi w:val="0"/>
              <w:jc w:val="left"/>
            </w:pPr>
            <w:r>
              <w:t>Original: English</w:t>
            </w:r>
          </w:p>
        </w:tc>
      </w:tr>
    </w:tbl>
    <w:p w:rsidR="00A03EB4" w:rsidRPr="00A03EB4" w:rsidRDefault="00A03EB4" w:rsidP="00A03EB4">
      <w:pPr>
        <w:spacing w:before="120" w:line="380" w:lineRule="exact"/>
        <w:rPr>
          <w:b/>
          <w:bCs/>
          <w:sz w:val="26"/>
          <w:szCs w:val="36"/>
          <w:rtl/>
        </w:rPr>
      </w:pPr>
      <w:r w:rsidRPr="00A03EB4">
        <w:rPr>
          <w:b/>
          <w:bCs/>
          <w:sz w:val="26"/>
          <w:szCs w:val="36"/>
          <w:rtl/>
        </w:rPr>
        <w:t>مجلس حقوق الإنسان</w:t>
      </w:r>
    </w:p>
    <w:p w:rsidR="00A03EB4" w:rsidRPr="00A03EB4" w:rsidRDefault="00A03EB4" w:rsidP="00A03EB4">
      <w:pPr>
        <w:spacing w:line="380" w:lineRule="exact"/>
        <w:rPr>
          <w:b/>
          <w:bCs/>
          <w:rtl/>
        </w:rPr>
      </w:pPr>
      <w:r w:rsidRPr="00A03EB4">
        <w:rPr>
          <w:b/>
          <w:bCs/>
          <w:rtl/>
        </w:rPr>
        <w:t>الدورة الثامنة والعشرون</w:t>
      </w:r>
    </w:p>
    <w:p w:rsidR="00A03EB4" w:rsidRPr="00A03EB4" w:rsidRDefault="00A03EB4" w:rsidP="00A03EB4">
      <w:pPr>
        <w:spacing w:line="380" w:lineRule="exact"/>
        <w:rPr>
          <w:rtl/>
        </w:rPr>
      </w:pPr>
      <w:r w:rsidRPr="00A03EB4">
        <w:rPr>
          <w:rtl/>
        </w:rPr>
        <w:t>البند 3 من جدول الأعمال</w:t>
      </w:r>
    </w:p>
    <w:p w:rsidR="00A03EB4" w:rsidRPr="00A03EB4" w:rsidRDefault="00A03EB4" w:rsidP="00A03EB4">
      <w:pPr>
        <w:spacing w:line="380" w:lineRule="exact"/>
        <w:ind w:right="4253"/>
        <w:rPr>
          <w:b/>
          <w:bCs/>
          <w:rtl/>
        </w:rPr>
      </w:pPr>
      <w:r w:rsidRPr="00A03EB4">
        <w:rPr>
          <w:b/>
          <w:bCs/>
          <w:rtl/>
        </w:rPr>
        <w:t>تعزيز وحماية جميع حقوق الإنسان، المدنية والسياسية والاقتصادية والاجتماعية والثقافية، بما في ذلك الحق في التنمية</w:t>
      </w:r>
    </w:p>
    <w:p w:rsidR="00A03EB4" w:rsidRPr="00A03EB4" w:rsidRDefault="00A03EB4" w:rsidP="00A03EB4">
      <w:pPr>
        <w:pStyle w:val="HChGA"/>
        <w:rPr>
          <w:rtl/>
        </w:rPr>
      </w:pPr>
      <w:r>
        <w:rPr>
          <w:rtl/>
        </w:rPr>
        <w:tab/>
      </w:r>
      <w:r>
        <w:rPr>
          <w:rtl/>
        </w:rPr>
        <w:tab/>
        <w:t>قرار اعتمده مجلس حقوق الإنسان</w:t>
      </w:r>
    </w:p>
    <w:p w:rsidR="00A03EB4" w:rsidRPr="00A03EB4" w:rsidRDefault="00A03EB4" w:rsidP="00A03EB4">
      <w:pPr>
        <w:pStyle w:val="HChGA"/>
        <w:rPr>
          <w:rtl/>
        </w:rPr>
      </w:pPr>
      <w:r>
        <w:rPr>
          <w:rtl/>
        </w:rPr>
        <w:tab/>
      </w:r>
      <w:r>
        <w:rPr>
          <w:rtl/>
        </w:rPr>
        <w:tab/>
        <w:t>28/9</w:t>
      </w:r>
      <w:r>
        <w:rPr>
          <w:rFonts w:hint="cs"/>
          <w:rtl/>
        </w:rPr>
        <w:tab/>
      </w:r>
      <w:r>
        <w:rPr>
          <w:rtl/>
        </w:rPr>
        <w:br/>
      </w:r>
      <w:r w:rsidRPr="00A03EB4">
        <w:rPr>
          <w:rtl/>
        </w:rPr>
        <w:t>ولاية المقررة</w:t>
      </w:r>
      <w:r>
        <w:rPr>
          <w:rtl/>
        </w:rPr>
        <w:t xml:space="preserve"> الخاصة في مجال الحقوق الثقافية</w:t>
      </w:r>
    </w:p>
    <w:p w:rsidR="00A03EB4" w:rsidRPr="00A03EB4" w:rsidRDefault="00A03EB4" w:rsidP="00A03EB4">
      <w:pPr>
        <w:pStyle w:val="SingleTxtGA"/>
        <w:rPr>
          <w:i/>
          <w:iCs/>
          <w:rtl/>
          <w:lang w:bidi="ar"/>
        </w:rPr>
      </w:pPr>
      <w:r w:rsidRPr="00A03EB4">
        <w:rPr>
          <w:i/>
          <w:iCs/>
          <w:rtl/>
          <w:lang w:bidi="ar"/>
        </w:rPr>
        <w:tab/>
        <w:t>إن مجلس حقوق الإنسان،</w:t>
      </w:r>
    </w:p>
    <w:p w:rsidR="00A03EB4" w:rsidRDefault="00A03EB4" w:rsidP="00A03EB4">
      <w:pPr>
        <w:pStyle w:val="SingleTxtGA"/>
        <w:rPr>
          <w:rtl/>
          <w:lang w:bidi="ar"/>
        </w:rPr>
      </w:pPr>
      <w:r>
        <w:rPr>
          <w:rtl/>
          <w:lang w:bidi="ar"/>
        </w:rPr>
        <w:tab/>
      </w:r>
      <w:r w:rsidRPr="00C75945">
        <w:rPr>
          <w:i/>
          <w:iCs/>
          <w:rtl/>
          <w:lang w:bidi="ar"/>
        </w:rPr>
        <w:t>إذ يسترشد</w:t>
      </w:r>
      <w:r>
        <w:rPr>
          <w:rtl/>
          <w:lang w:bidi="ar"/>
        </w:rPr>
        <w:t xml:space="preserve"> بمقاصد ميثاق الأمم المتحدة ومبادئه،</w:t>
      </w:r>
    </w:p>
    <w:p w:rsidR="00A03EB4" w:rsidRDefault="00A03EB4" w:rsidP="00A03EB4">
      <w:pPr>
        <w:pStyle w:val="SingleTxtGA"/>
        <w:rPr>
          <w:rtl/>
          <w:lang w:bidi="ar"/>
        </w:rPr>
      </w:pPr>
      <w:r>
        <w:rPr>
          <w:rtl/>
          <w:lang w:bidi="ar"/>
        </w:rPr>
        <w:tab/>
      </w:r>
      <w:r w:rsidRPr="00E07E0C">
        <w:rPr>
          <w:i/>
          <w:iCs/>
          <w:rtl/>
          <w:lang w:bidi="ar"/>
        </w:rPr>
        <w:t>وإذ يشير</w:t>
      </w:r>
      <w:r>
        <w:rPr>
          <w:rtl/>
          <w:lang w:bidi="ar"/>
        </w:rPr>
        <w:t xml:space="preserve"> إلى الإعلان العالمي لحقوق الإنسان، والعهد الدولي الخاص بالحقوق الاقتصادية والاجتماعية والثقافية، والعهد الدولي الخاص بالحقوق المدنية والسياسية، وإعلان وبرنامج عمل فيينا، وسائر صكوك حقوق الإنسان ذات الصلة،</w:t>
      </w:r>
    </w:p>
    <w:p w:rsidR="00A03EB4" w:rsidRDefault="00A03EB4" w:rsidP="001B53AE">
      <w:pPr>
        <w:pStyle w:val="SingleTxtGA"/>
        <w:rPr>
          <w:rtl/>
          <w:lang w:bidi="ar"/>
        </w:rPr>
      </w:pPr>
      <w:r>
        <w:rPr>
          <w:rtl/>
          <w:lang w:bidi="ar"/>
        </w:rPr>
        <w:tab/>
      </w:r>
      <w:r w:rsidRPr="00E07E0C">
        <w:rPr>
          <w:i/>
          <w:iCs/>
          <w:rtl/>
          <w:lang w:bidi="ar"/>
        </w:rPr>
        <w:t>وإذ يشير أيضاً</w:t>
      </w:r>
      <w:r>
        <w:rPr>
          <w:rtl/>
          <w:lang w:bidi="ar"/>
        </w:rPr>
        <w:t xml:space="preserve"> إلى جميع القرارات ذات الصلة الصادرة عن الجمعية العامة ولجنة حقوق الإنسان ومجلس حقوق الإنسان، بما في ذلك قرارا الجمعية العامة 64/81 المؤرخ 7 كانون الأول/ديسمبر 2009، و64/174 المؤرخ 18 كانون الأول/ديسمبر 2009، وقرارات المجلس</w:t>
      </w:r>
      <w:r w:rsidR="00C75945">
        <w:rPr>
          <w:rFonts w:hint="eastAsia"/>
          <w:rtl/>
          <w:lang w:bidi="ar"/>
        </w:rPr>
        <w:t> </w:t>
      </w:r>
      <w:r>
        <w:rPr>
          <w:rtl/>
          <w:lang w:bidi="ar"/>
        </w:rPr>
        <w:t>10/23 المؤرخ 26 آذار/مارس 2009، و14/9 المؤرخ 18 حزيران/يونيه 2010، و17/15 المؤرخ 17 حزيران/يونيه 2011، و19/6 المؤرخ 22 آذار/مارس 2012، و20/11 المؤرخ 5 تموز/يوليه 2012، و23/10 المؤرخ 13 حزيران/يونيه 2013، و25/19 المؤرخ 28 آذار/مارس 2014،</w:t>
      </w:r>
    </w:p>
    <w:p w:rsidR="00A03EB4" w:rsidRDefault="00A03EB4" w:rsidP="00C75945">
      <w:pPr>
        <w:pStyle w:val="SingleTxtGA"/>
        <w:rPr>
          <w:rtl/>
          <w:lang w:bidi="ar"/>
        </w:rPr>
      </w:pPr>
      <w:r>
        <w:rPr>
          <w:rtl/>
          <w:lang w:bidi="ar"/>
        </w:rPr>
        <w:lastRenderedPageBreak/>
        <w:tab/>
      </w:r>
      <w:r w:rsidRPr="00E07E0C">
        <w:rPr>
          <w:i/>
          <w:iCs/>
          <w:rtl/>
          <w:lang w:bidi="ar"/>
        </w:rPr>
        <w:t>وإذ يحيط علماً</w:t>
      </w:r>
      <w:r>
        <w:rPr>
          <w:rtl/>
          <w:lang w:bidi="ar"/>
        </w:rPr>
        <w:t xml:space="preserve"> بالإعلانات الصادرة في إطار منظومة الأمم المتحدة بشأن التنوع الثقافي والتعاون الثقافي الدولي، لا سيما إعلان مبادئ التعاون الثقافي الدولي والإعلان العالمي بشأن التنوع الثقافي، اللذين اعتمدهما المؤتمر العام لمنظمة الأمم المتحدة للتربية والعلم والثقافية في عام</w:t>
      </w:r>
      <w:r w:rsidR="00C75945">
        <w:rPr>
          <w:rFonts w:hint="cs"/>
          <w:rtl/>
          <w:lang w:bidi="ar"/>
        </w:rPr>
        <w:t> </w:t>
      </w:r>
      <w:r>
        <w:rPr>
          <w:rtl/>
          <w:lang w:bidi="ar"/>
        </w:rPr>
        <w:t>1966 وعام 2001، على التوالي،</w:t>
      </w:r>
    </w:p>
    <w:p w:rsidR="00A03EB4" w:rsidRDefault="00A03EB4" w:rsidP="001B53AE">
      <w:pPr>
        <w:pStyle w:val="SingleTxtGA"/>
        <w:rPr>
          <w:rtl/>
          <w:lang w:bidi="ar"/>
        </w:rPr>
      </w:pPr>
      <w:r>
        <w:rPr>
          <w:rtl/>
          <w:lang w:bidi="ar"/>
        </w:rPr>
        <w:tab/>
      </w:r>
      <w:r w:rsidRPr="00E07E0C">
        <w:rPr>
          <w:i/>
          <w:iCs/>
          <w:rtl/>
          <w:lang w:bidi="ar"/>
        </w:rPr>
        <w:t>وإذ يشير</w:t>
      </w:r>
      <w:r>
        <w:rPr>
          <w:rtl/>
          <w:lang w:bidi="ar"/>
        </w:rPr>
        <w:t xml:space="preserve"> إلى قراريه 5/1 بشأن بناء مؤسسات المجلس و5/2 بشأن مدونة قواعد سلوك المكلفين بولايات في إطار الإجراءات ال</w:t>
      </w:r>
      <w:r w:rsidR="00C75945">
        <w:rPr>
          <w:rtl/>
          <w:lang w:bidi="ar"/>
        </w:rPr>
        <w:t>خاصة للمجلس المؤرخين 18 حزيران/</w:t>
      </w:r>
      <w:r w:rsidR="00C75945">
        <w:rPr>
          <w:rFonts w:hint="cs"/>
          <w:rtl/>
          <w:lang w:bidi="ar"/>
        </w:rPr>
        <w:t xml:space="preserve"> </w:t>
      </w:r>
      <w:r>
        <w:rPr>
          <w:rtl/>
          <w:lang w:bidi="ar"/>
        </w:rPr>
        <w:t>يونيه</w:t>
      </w:r>
      <w:r w:rsidR="00C75945">
        <w:rPr>
          <w:rFonts w:hint="cs"/>
          <w:rtl/>
          <w:lang w:bidi="ar"/>
        </w:rPr>
        <w:t> </w:t>
      </w:r>
      <w:r>
        <w:rPr>
          <w:rtl/>
          <w:lang w:bidi="ar"/>
        </w:rPr>
        <w:t>2007، وإذ يشدد على أن جميع المكلفين بولاي</w:t>
      </w:r>
      <w:r w:rsidR="001B53AE">
        <w:rPr>
          <w:rFonts w:hint="cs"/>
          <w:rtl/>
          <w:lang w:bidi="ar"/>
        </w:rPr>
        <w:t>ات</w:t>
      </w:r>
      <w:r>
        <w:rPr>
          <w:rtl/>
          <w:lang w:bidi="ar"/>
        </w:rPr>
        <w:t xml:space="preserve"> سيضطلعون بواجباتهم وفقاً لهذين القرارين ومرفقاتهما،</w:t>
      </w:r>
    </w:p>
    <w:p w:rsidR="00A03EB4" w:rsidRDefault="00A03EB4" w:rsidP="00A03EB4">
      <w:pPr>
        <w:pStyle w:val="SingleTxtGA"/>
        <w:rPr>
          <w:rtl/>
          <w:lang w:bidi="ar"/>
        </w:rPr>
      </w:pPr>
      <w:r>
        <w:rPr>
          <w:rtl/>
          <w:lang w:bidi="ar"/>
        </w:rPr>
        <w:tab/>
      </w:r>
      <w:r w:rsidRPr="00E07E0C">
        <w:rPr>
          <w:i/>
          <w:iCs/>
          <w:rtl/>
          <w:lang w:bidi="ar"/>
        </w:rPr>
        <w:t>وإذ يرحب</w:t>
      </w:r>
      <w:r>
        <w:rPr>
          <w:rtl/>
          <w:lang w:bidi="ar"/>
        </w:rPr>
        <w:t xml:space="preserve"> بالعدد المتزايد للدول الأطراف في اتفاقية حماية وتعزيز تنوع أشكال التعبير الثقافي التي اعتمدها المؤتمر العام لمنظمة الأمم المتحدة للتربية والعلم والثقافة في 20 تشرين الأول/أكتوبر 2005، والتي دخلت حيز النفاذ في 18 آذار/مارس 2007،</w:t>
      </w:r>
    </w:p>
    <w:p w:rsidR="00A03EB4" w:rsidRDefault="00A03EB4" w:rsidP="00A03EB4">
      <w:pPr>
        <w:pStyle w:val="SingleTxtGA"/>
        <w:rPr>
          <w:rtl/>
          <w:lang w:bidi="ar"/>
        </w:rPr>
      </w:pPr>
      <w:r>
        <w:rPr>
          <w:rtl/>
          <w:lang w:bidi="ar"/>
        </w:rPr>
        <w:tab/>
      </w:r>
      <w:r w:rsidRPr="00E07E0C">
        <w:rPr>
          <w:i/>
          <w:iCs/>
          <w:rtl/>
          <w:lang w:bidi="ar"/>
        </w:rPr>
        <w:t>واقتناعاً منه</w:t>
      </w:r>
      <w:r>
        <w:rPr>
          <w:rtl/>
          <w:lang w:bidi="ar"/>
        </w:rPr>
        <w:t xml:space="preserve"> بأن التعاون الدولي في مجال تعزيز وتشجيع احترام حقوق الإنسان والحريات الأساسية للجميع ينبغي أن يستند إلى فهم الخصائص الاقتصادية والاجتماعية والثقافية لكل بلد وإلى الاعتراف الكامل بعالمية حقوق الإنسان كافة ومبادئ الحرية والعدل والمساواة وعدم التمييز، وإلى إعمال هذه الحقوق إعمالاً تاماً،</w:t>
      </w:r>
    </w:p>
    <w:p w:rsidR="00A03EB4" w:rsidRDefault="00A03EB4" w:rsidP="00A03EB4">
      <w:pPr>
        <w:pStyle w:val="SingleTxtGA"/>
        <w:rPr>
          <w:rtl/>
          <w:lang w:bidi="ar"/>
        </w:rPr>
      </w:pPr>
      <w:r>
        <w:rPr>
          <w:rtl/>
          <w:lang w:bidi="ar"/>
        </w:rPr>
        <w:tab/>
      </w:r>
      <w:r w:rsidRPr="00E07E0C">
        <w:rPr>
          <w:i/>
          <w:iCs/>
          <w:rtl/>
          <w:lang w:bidi="ar"/>
        </w:rPr>
        <w:t>وإذ يسلِّم</w:t>
      </w:r>
      <w:r>
        <w:rPr>
          <w:rtl/>
          <w:lang w:bidi="ar"/>
        </w:rPr>
        <w:t xml:space="preserve"> بأن التنوع الثقافي وسعي جميع الشعوب والأمم للتنمية الثقافية هما مصدران للإثراء المتبادل لحياة البشر الثقافية،</w:t>
      </w:r>
    </w:p>
    <w:p w:rsidR="00A03EB4" w:rsidRDefault="00A03EB4" w:rsidP="00A03EB4">
      <w:pPr>
        <w:pStyle w:val="SingleTxtGA"/>
        <w:rPr>
          <w:rtl/>
          <w:lang w:bidi="ar"/>
        </w:rPr>
      </w:pPr>
      <w:r>
        <w:rPr>
          <w:rtl/>
          <w:lang w:bidi="ar"/>
        </w:rPr>
        <w:tab/>
      </w:r>
      <w:r w:rsidRPr="00E07E0C">
        <w:rPr>
          <w:i/>
          <w:iCs/>
          <w:rtl/>
          <w:lang w:bidi="ar"/>
        </w:rPr>
        <w:t>وقد عقد العزم</w:t>
      </w:r>
      <w:r>
        <w:rPr>
          <w:rtl/>
          <w:lang w:bidi="ar"/>
        </w:rPr>
        <w:t xml:space="preserve"> على معالجة حقوق الإنسان معالجةً شاملةً بإنصاف وعدل وعلى قَدَم المساواة وبنفس القدر من الاهتمام،</w:t>
      </w:r>
    </w:p>
    <w:p w:rsidR="00A03EB4" w:rsidRDefault="00A03EB4" w:rsidP="00A03EB4">
      <w:pPr>
        <w:pStyle w:val="SingleTxtGA"/>
        <w:rPr>
          <w:rtl/>
          <w:lang w:bidi="ar"/>
        </w:rPr>
      </w:pPr>
      <w:r>
        <w:rPr>
          <w:rtl/>
          <w:lang w:bidi="ar"/>
        </w:rPr>
        <w:tab/>
        <w:t>1-</w:t>
      </w:r>
      <w:r>
        <w:rPr>
          <w:rtl/>
          <w:lang w:bidi="ar"/>
        </w:rPr>
        <w:tab/>
      </w:r>
      <w:r w:rsidRPr="00E07E0C">
        <w:rPr>
          <w:i/>
          <w:iCs/>
          <w:rtl/>
          <w:lang w:bidi="ar"/>
        </w:rPr>
        <w:t>يؤكد من جديد</w:t>
      </w:r>
      <w:r>
        <w:rPr>
          <w:rtl/>
          <w:lang w:bidi="ar"/>
        </w:rPr>
        <w:t xml:space="preserve"> أن الحقوق الثقافية تشكِّل جزءاً لا يتجزأ من حقوق الإنسان التي هي حقوق عالمية وغير قابلة للتجزئة ومتشابكة ومترابطة؛</w:t>
      </w:r>
    </w:p>
    <w:p w:rsidR="00A03EB4" w:rsidRDefault="00A03EB4" w:rsidP="00A03EB4">
      <w:pPr>
        <w:pStyle w:val="SingleTxtGA"/>
        <w:rPr>
          <w:rtl/>
          <w:lang w:bidi="ar"/>
        </w:rPr>
      </w:pPr>
      <w:r>
        <w:rPr>
          <w:rtl/>
          <w:lang w:bidi="ar"/>
        </w:rPr>
        <w:tab/>
        <w:t>2-</w:t>
      </w:r>
      <w:r>
        <w:rPr>
          <w:rtl/>
          <w:lang w:bidi="ar"/>
        </w:rPr>
        <w:tab/>
      </w:r>
      <w:r w:rsidRPr="00E07E0C">
        <w:rPr>
          <w:i/>
          <w:iCs/>
          <w:rtl/>
          <w:lang w:bidi="ar"/>
        </w:rPr>
        <w:t>يسلِّم</w:t>
      </w:r>
      <w:r>
        <w:rPr>
          <w:rtl/>
          <w:lang w:bidi="ar"/>
        </w:rPr>
        <w:t xml:space="preserve"> بحق كل فرد في أن يشارك في الحياة الثقافية وأن يتمتع بفوائد التقدم العلمي وتطبيقاته؛</w:t>
      </w:r>
    </w:p>
    <w:p w:rsidR="00A03EB4" w:rsidRDefault="00A03EB4" w:rsidP="00A03EB4">
      <w:pPr>
        <w:pStyle w:val="SingleTxtGA"/>
        <w:rPr>
          <w:rtl/>
          <w:lang w:bidi="ar"/>
        </w:rPr>
      </w:pPr>
      <w:r>
        <w:rPr>
          <w:rtl/>
          <w:lang w:bidi="ar"/>
        </w:rPr>
        <w:tab/>
        <w:t>3-</w:t>
      </w:r>
      <w:r>
        <w:rPr>
          <w:rtl/>
          <w:lang w:bidi="ar"/>
        </w:rPr>
        <w:tab/>
      </w:r>
      <w:r w:rsidRPr="00E07E0C">
        <w:rPr>
          <w:i/>
          <w:iCs/>
          <w:rtl/>
          <w:lang w:bidi="ar"/>
        </w:rPr>
        <w:t>يؤكد من جديد</w:t>
      </w:r>
      <w:r>
        <w:rPr>
          <w:rtl/>
          <w:lang w:bidi="ar"/>
        </w:rPr>
        <w:t xml:space="preserve"> أنه في حين يجب وضع أهمية الخصوصية الوطنية والإقليمية ومختلف الخلفيات التاريخية والثقافية والدينية في الاعتبار، فإن من واجب الدولة، بصرف النظر عن نظامها السياسي والاقتصادي والثقافي، تعزيز وحماية جميع حقوق الإنسان والحريات الأساسية؛</w:t>
      </w:r>
    </w:p>
    <w:p w:rsidR="00A03EB4" w:rsidRDefault="00A03EB4" w:rsidP="00A03EB4">
      <w:pPr>
        <w:pStyle w:val="SingleTxtGA"/>
        <w:rPr>
          <w:rtl/>
          <w:lang w:bidi="ar"/>
        </w:rPr>
      </w:pPr>
      <w:r>
        <w:rPr>
          <w:rtl/>
          <w:lang w:bidi="ar"/>
        </w:rPr>
        <w:tab/>
        <w:t>4-</w:t>
      </w:r>
      <w:r w:rsidRPr="00E07E0C">
        <w:rPr>
          <w:i/>
          <w:iCs/>
          <w:rtl/>
          <w:lang w:bidi="ar"/>
        </w:rPr>
        <w:tab/>
        <w:t>يذكِّر</w:t>
      </w:r>
      <w:r>
        <w:rPr>
          <w:rtl/>
          <w:lang w:bidi="ar"/>
        </w:rPr>
        <w:t xml:space="preserve"> بأنه وفقاً لما يرد في الإعلان العالمي بشأن التنوع الثقافي، لا يجوز لأحد أن يحتج بالتنوع الثقافي للتعدي على حقوق الإنسان التي يكفلها القانون الدولي، أو للحد من نطاقها؛</w:t>
      </w:r>
    </w:p>
    <w:p w:rsidR="00A03EB4" w:rsidRDefault="00A03EB4" w:rsidP="00A03EB4">
      <w:pPr>
        <w:pStyle w:val="SingleTxtGA"/>
        <w:rPr>
          <w:rtl/>
          <w:lang w:bidi="ar"/>
        </w:rPr>
      </w:pPr>
      <w:r>
        <w:rPr>
          <w:rtl/>
          <w:lang w:bidi="ar"/>
        </w:rPr>
        <w:lastRenderedPageBreak/>
        <w:tab/>
        <w:t>5-</w:t>
      </w:r>
      <w:r>
        <w:rPr>
          <w:rtl/>
          <w:lang w:bidi="ar"/>
        </w:rPr>
        <w:tab/>
      </w:r>
      <w:r w:rsidRPr="00E07E0C">
        <w:rPr>
          <w:i/>
          <w:iCs/>
          <w:rtl/>
          <w:lang w:bidi="ar"/>
        </w:rPr>
        <w:t>يؤكد من جديد</w:t>
      </w:r>
      <w:r>
        <w:rPr>
          <w:rtl/>
          <w:lang w:bidi="ar"/>
        </w:rPr>
        <w:t xml:space="preserve"> أن على الدول مسؤولية تعزيز وحماية الحقوق الثقافية وأنه ينبغي ضمان هذه الحقوق للجميع دون تمييز؛</w:t>
      </w:r>
    </w:p>
    <w:p w:rsidR="00A03EB4" w:rsidRDefault="00A03EB4" w:rsidP="00A03EB4">
      <w:pPr>
        <w:pStyle w:val="SingleTxtGA"/>
        <w:rPr>
          <w:rtl/>
          <w:lang w:bidi="ar"/>
        </w:rPr>
      </w:pPr>
      <w:r>
        <w:rPr>
          <w:rtl/>
          <w:lang w:bidi="ar"/>
        </w:rPr>
        <w:tab/>
        <w:t>6-</w:t>
      </w:r>
      <w:r>
        <w:rPr>
          <w:rtl/>
          <w:lang w:bidi="ar"/>
        </w:rPr>
        <w:tab/>
      </w:r>
      <w:r w:rsidRPr="00E07E0C">
        <w:rPr>
          <w:i/>
          <w:iCs/>
          <w:rtl/>
          <w:lang w:bidi="ar"/>
        </w:rPr>
        <w:t>يسلِّم</w:t>
      </w:r>
      <w:r>
        <w:rPr>
          <w:rtl/>
          <w:lang w:bidi="ar"/>
        </w:rPr>
        <w:t xml:space="preserve"> بأن احترام التنوع الثقافي والحقوق الثقافية للجميع يعزز التعددية الثقافية، ويُسهم في توسيع نطاق تبادل المعارف وفهم التراث الثقافي والخلفية الثقافية، ويعزز إعمال حقوق الإنسان والتمتع بها في جميع أنحاء العالم، ويشجع إقامة علاقات ودية مستقرة بين الشعوب والأمم على نطاق العالم؛</w:t>
      </w:r>
    </w:p>
    <w:p w:rsidR="00A03EB4" w:rsidRDefault="00A03EB4" w:rsidP="00A03EB4">
      <w:pPr>
        <w:pStyle w:val="SingleTxtGA"/>
        <w:rPr>
          <w:rtl/>
          <w:lang w:bidi="ar"/>
        </w:rPr>
      </w:pPr>
      <w:r>
        <w:rPr>
          <w:rtl/>
          <w:lang w:bidi="ar"/>
        </w:rPr>
        <w:tab/>
        <w:t>7-</w:t>
      </w:r>
      <w:r>
        <w:rPr>
          <w:rtl/>
          <w:lang w:bidi="ar"/>
        </w:rPr>
        <w:tab/>
      </w:r>
      <w:r w:rsidRPr="00E07E0C">
        <w:rPr>
          <w:i/>
          <w:iCs/>
          <w:rtl/>
          <w:lang w:bidi="ar"/>
        </w:rPr>
        <w:t>يسلِّم أيضاً</w:t>
      </w:r>
      <w:r>
        <w:rPr>
          <w:rtl/>
          <w:lang w:bidi="ar"/>
        </w:rPr>
        <w:t xml:space="preserve"> بأن احترام الحقوق الثقافية أمر لا غنى عنه لتحقيق التنمية والسلام والقضاء على الفقر وتحقيق التلاحم الاجتماعي وتعزيز الاحترام المتبادل والتسامح والتفاهم بين الأفراد والجماعات على تنوعها؛</w:t>
      </w:r>
    </w:p>
    <w:p w:rsidR="00A03EB4" w:rsidRDefault="00A03EB4" w:rsidP="00C75945">
      <w:pPr>
        <w:pStyle w:val="SingleTxtGA"/>
        <w:rPr>
          <w:rtl/>
          <w:lang w:bidi="ar"/>
        </w:rPr>
      </w:pPr>
      <w:r>
        <w:rPr>
          <w:rtl/>
          <w:lang w:bidi="ar"/>
        </w:rPr>
        <w:tab/>
        <w:t>8-</w:t>
      </w:r>
      <w:r>
        <w:rPr>
          <w:rtl/>
          <w:lang w:bidi="ar"/>
        </w:rPr>
        <w:tab/>
      </w:r>
      <w:r w:rsidRPr="00E07E0C">
        <w:rPr>
          <w:i/>
          <w:iCs/>
          <w:rtl/>
          <w:lang w:bidi="ar"/>
        </w:rPr>
        <w:t>يشدِّد</w:t>
      </w:r>
      <w:r>
        <w:rPr>
          <w:rtl/>
          <w:lang w:bidi="ar"/>
        </w:rPr>
        <w:t xml:space="preserve"> على ضرورة وجود دعم متبادل بين تعزيز وحماية حقوق الإنسان، بما</w:t>
      </w:r>
      <w:r w:rsidR="00C75945">
        <w:rPr>
          <w:rFonts w:hint="cs"/>
          <w:rtl/>
          <w:lang w:bidi="ar"/>
        </w:rPr>
        <w:t> </w:t>
      </w:r>
      <w:r>
        <w:rPr>
          <w:rtl/>
          <w:lang w:bidi="ar"/>
        </w:rPr>
        <w:t>في ذلك الحقوق الثقافية، على الصعيد العالمي، واحترام التنوع الثقافي؛</w:t>
      </w:r>
    </w:p>
    <w:p w:rsidR="00A03EB4" w:rsidRDefault="00A03EB4" w:rsidP="00A03EB4">
      <w:pPr>
        <w:pStyle w:val="SingleTxtGA"/>
        <w:rPr>
          <w:rtl/>
          <w:lang w:bidi="ar"/>
        </w:rPr>
      </w:pPr>
      <w:r>
        <w:rPr>
          <w:rtl/>
          <w:lang w:bidi="ar"/>
        </w:rPr>
        <w:tab/>
        <w:t>9-</w:t>
      </w:r>
      <w:r>
        <w:rPr>
          <w:rtl/>
          <w:lang w:bidi="ar"/>
        </w:rPr>
        <w:tab/>
      </w:r>
      <w:r w:rsidRPr="00E07E0C">
        <w:rPr>
          <w:i/>
          <w:iCs/>
          <w:rtl/>
          <w:lang w:bidi="ar"/>
        </w:rPr>
        <w:t>يرحب</w:t>
      </w:r>
      <w:r>
        <w:rPr>
          <w:rtl/>
          <w:lang w:bidi="ar"/>
        </w:rPr>
        <w:t xml:space="preserve"> بعمل وإسهامات المقررة الخاصة في مجال الحقوق الثقافية، ويحيط علماً مع التقدير بالتقارير الأخيرة التي قدمتها إلى مجلس حقوق الإنسان؛</w:t>
      </w:r>
      <w:r w:rsidR="00C75945">
        <w:rPr>
          <w:rtl/>
          <w:lang w:bidi="ar"/>
        </w:rPr>
        <w:t xml:space="preserve"> </w:t>
      </w:r>
    </w:p>
    <w:p w:rsidR="00A03EB4" w:rsidRDefault="00A03EB4" w:rsidP="00A03EB4">
      <w:pPr>
        <w:pStyle w:val="SingleTxtGA"/>
        <w:rPr>
          <w:rtl/>
          <w:lang w:bidi="ar"/>
        </w:rPr>
      </w:pPr>
      <w:r>
        <w:rPr>
          <w:rtl/>
          <w:lang w:bidi="ar"/>
        </w:rPr>
        <w:tab/>
        <w:t>10-</w:t>
      </w:r>
      <w:r>
        <w:rPr>
          <w:rtl/>
          <w:lang w:bidi="ar"/>
        </w:rPr>
        <w:tab/>
      </w:r>
      <w:r w:rsidRPr="00E07E0C">
        <w:rPr>
          <w:i/>
          <w:iCs/>
          <w:rtl/>
          <w:lang w:bidi="ar"/>
        </w:rPr>
        <w:t>يقرر</w:t>
      </w:r>
      <w:r>
        <w:rPr>
          <w:rtl/>
          <w:lang w:bidi="ar"/>
        </w:rPr>
        <w:t xml:space="preserve"> تمديد ولاية المقررة الخاصة في مجال الحقوق الثقافية لفترة ثلاث سنوات، لتمكينها من مواصلة العمل بموجب الولاية </w:t>
      </w:r>
      <w:r w:rsidR="00C75945">
        <w:rPr>
          <w:rtl/>
          <w:lang w:bidi="ar"/>
        </w:rPr>
        <w:t>التي حددها المجلس في قراره 19/6</w:t>
      </w:r>
      <w:r>
        <w:rPr>
          <w:rtl/>
          <w:lang w:bidi="ar"/>
        </w:rPr>
        <w:t>؛</w:t>
      </w:r>
    </w:p>
    <w:p w:rsidR="00A03EB4" w:rsidRDefault="00A03EB4" w:rsidP="00A03EB4">
      <w:pPr>
        <w:pStyle w:val="SingleTxtGA"/>
        <w:rPr>
          <w:rtl/>
          <w:lang w:bidi="ar"/>
        </w:rPr>
      </w:pPr>
      <w:r>
        <w:rPr>
          <w:rtl/>
          <w:lang w:bidi="ar"/>
        </w:rPr>
        <w:tab/>
        <w:t>11-</w:t>
      </w:r>
      <w:r>
        <w:rPr>
          <w:rtl/>
          <w:lang w:bidi="ar"/>
        </w:rPr>
        <w:tab/>
      </w:r>
      <w:r w:rsidRPr="00E07E0C">
        <w:rPr>
          <w:i/>
          <w:iCs/>
          <w:rtl/>
          <w:lang w:bidi="ar"/>
        </w:rPr>
        <w:t>يهيب</w:t>
      </w:r>
      <w:r>
        <w:rPr>
          <w:rtl/>
          <w:lang w:bidi="ar"/>
        </w:rPr>
        <w:t xml:space="preserve"> بجميع الحكومات أن تتعاون مع المقررة الخاصة وتساعدها في الاضطلاع بولايتها، وتزودها بجميع المعلومات اللازمة التي تطلبها، وأن تنظر بجدية في الاستجابة للطلبات التي تقدمها لزيارة بلدانها لتمكينها من القيام بواجباتها على نحو فعال؛</w:t>
      </w:r>
    </w:p>
    <w:p w:rsidR="00A03EB4" w:rsidRDefault="00A03EB4" w:rsidP="00A03EB4">
      <w:pPr>
        <w:pStyle w:val="SingleTxtGA"/>
        <w:rPr>
          <w:rtl/>
          <w:lang w:bidi="ar"/>
        </w:rPr>
      </w:pPr>
      <w:r>
        <w:rPr>
          <w:rtl/>
          <w:lang w:bidi="ar"/>
        </w:rPr>
        <w:tab/>
        <w:t>12-</w:t>
      </w:r>
      <w:r>
        <w:rPr>
          <w:rtl/>
          <w:lang w:bidi="ar"/>
        </w:rPr>
        <w:tab/>
      </w:r>
      <w:r w:rsidRPr="00E07E0C">
        <w:rPr>
          <w:i/>
          <w:iCs/>
          <w:rtl/>
          <w:lang w:bidi="ar"/>
        </w:rPr>
        <w:t>يطلب</w:t>
      </w:r>
      <w:r>
        <w:rPr>
          <w:rtl/>
          <w:lang w:bidi="ar"/>
        </w:rPr>
        <w:t xml:space="preserve"> إلى مفوض الأمم المتحدة السامي لحقوق الإنسان توفير جميع الموارد البشرية والمالية اللازمة لتمكين المقررة الخاصة من أداء ولايتها بفعالية؛</w:t>
      </w:r>
    </w:p>
    <w:p w:rsidR="00A03EB4" w:rsidRDefault="00A03EB4" w:rsidP="00A03EB4">
      <w:pPr>
        <w:pStyle w:val="SingleTxtGA"/>
        <w:rPr>
          <w:rtl/>
          <w:lang w:bidi="ar"/>
        </w:rPr>
      </w:pPr>
      <w:r>
        <w:rPr>
          <w:rtl/>
          <w:lang w:bidi="ar"/>
        </w:rPr>
        <w:tab/>
        <w:t>13-</w:t>
      </w:r>
      <w:r>
        <w:rPr>
          <w:rtl/>
          <w:lang w:bidi="ar"/>
        </w:rPr>
        <w:tab/>
      </w:r>
      <w:r w:rsidRPr="00E07E0C">
        <w:rPr>
          <w:i/>
          <w:iCs/>
          <w:rtl/>
          <w:lang w:bidi="ar"/>
        </w:rPr>
        <w:t>يطلب</w:t>
      </w:r>
      <w:r>
        <w:rPr>
          <w:rtl/>
          <w:lang w:bidi="ar"/>
        </w:rPr>
        <w:t xml:space="preserve"> إلى المقررة الخاصة أن تقدم بانتظام تقريراً إلى مجلس حقوق الإنسان والجمعية العامة وفقاً لبرنامج عمل كل منهما؛</w:t>
      </w:r>
    </w:p>
    <w:p w:rsidR="00A03EB4" w:rsidRDefault="00A03EB4" w:rsidP="00787E8B">
      <w:pPr>
        <w:pStyle w:val="SingleTxtGA"/>
        <w:rPr>
          <w:rtl/>
          <w:lang w:bidi="ar"/>
        </w:rPr>
      </w:pPr>
      <w:r>
        <w:rPr>
          <w:rtl/>
          <w:lang w:bidi="ar"/>
        </w:rPr>
        <w:tab/>
        <w:t>14-</w:t>
      </w:r>
      <w:r w:rsidR="00787E8B">
        <w:rPr>
          <w:rFonts w:hint="cs"/>
          <w:i/>
          <w:iCs/>
          <w:rtl/>
          <w:lang w:bidi="ar"/>
        </w:rPr>
        <w:tab/>
      </w:r>
      <w:r w:rsidRPr="00E07E0C">
        <w:rPr>
          <w:i/>
          <w:iCs/>
          <w:rtl/>
          <w:lang w:bidi="ar"/>
        </w:rPr>
        <w:t xml:space="preserve">يقرر </w:t>
      </w:r>
      <w:r>
        <w:rPr>
          <w:rtl/>
          <w:lang w:bidi="ar"/>
        </w:rPr>
        <w:t>مواصلة النظر في هذه المسألة في إطار البند نفسه من جدول الأعمال وفقاً لبرنامج عمله.</w:t>
      </w:r>
    </w:p>
    <w:p w:rsidR="00A03EB4" w:rsidRPr="00C75945" w:rsidRDefault="00A03EB4" w:rsidP="00E07E0C">
      <w:pPr>
        <w:pStyle w:val="SingleTxtGA"/>
        <w:jc w:val="right"/>
        <w:rPr>
          <w:i/>
          <w:iCs/>
          <w:rtl/>
          <w:lang w:bidi="ar"/>
        </w:rPr>
      </w:pPr>
      <w:r w:rsidRPr="00C75945">
        <w:rPr>
          <w:i/>
          <w:iCs/>
          <w:rtl/>
          <w:lang w:bidi="ar"/>
        </w:rPr>
        <w:t>الجلسة 55</w:t>
      </w:r>
      <w:r w:rsidR="00E07E0C" w:rsidRPr="00C75945">
        <w:rPr>
          <w:i/>
          <w:iCs/>
          <w:rtl/>
          <w:lang w:bidi="ar"/>
        </w:rPr>
        <w:br/>
      </w:r>
      <w:r w:rsidRPr="00C75945">
        <w:rPr>
          <w:i/>
          <w:iCs/>
          <w:rtl/>
          <w:lang w:bidi="ar"/>
        </w:rPr>
        <w:t>26 آذار/مارس 2015</w:t>
      </w:r>
    </w:p>
    <w:p w:rsidR="00B54045" w:rsidRDefault="00A03EB4" w:rsidP="00E07E0C">
      <w:pPr>
        <w:pStyle w:val="SingleTxtGA"/>
        <w:rPr>
          <w:rtl/>
          <w:lang w:bidi="ar"/>
        </w:rPr>
      </w:pPr>
      <w:r>
        <w:rPr>
          <w:rtl/>
          <w:lang w:bidi="ar"/>
        </w:rPr>
        <w:t>[اعتمد دون تصويت</w:t>
      </w:r>
      <w:r w:rsidR="00E07E0C">
        <w:rPr>
          <w:rFonts w:hint="cs"/>
          <w:rtl/>
          <w:lang w:bidi="ar"/>
        </w:rPr>
        <w:t>.</w:t>
      </w:r>
      <w:r>
        <w:rPr>
          <w:rtl/>
          <w:lang w:bidi="ar"/>
        </w:rPr>
        <w:t>]</w:t>
      </w:r>
    </w:p>
    <w:p w:rsidR="00E07E0C" w:rsidRPr="00E07E0C" w:rsidRDefault="00E07E0C" w:rsidP="00E07E0C">
      <w:pPr>
        <w:spacing w:before="120"/>
        <w:jc w:val="center"/>
        <w:rPr>
          <w:rFonts w:hint="cs"/>
          <w:u w:val="single"/>
          <w:rtl/>
        </w:rPr>
      </w:pPr>
      <w:r>
        <w:rPr>
          <w:u w:val="single"/>
          <w:rtl/>
          <w:lang w:bidi="ar"/>
        </w:rPr>
        <w:tab/>
      </w:r>
      <w:r>
        <w:rPr>
          <w:u w:val="single"/>
          <w:rtl/>
          <w:lang w:bidi="ar"/>
        </w:rPr>
        <w:tab/>
      </w:r>
      <w:r>
        <w:rPr>
          <w:u w:val="single"/>
          <w:rtl/>
          <w:lang w:bidi="ar"/>
        </w:rPr>
        <w:tab/>
      </w:r>
      <w:bookmarkStart w:id="0" w:name="_GoBack"/>
      <w:bookmarkEnd w:id="0"/>
    </w:p>
    <w:sectPr w:rsidR="00E07E0C" w:rsidRPr="00E07E0C" w:rsidSect="00A03EB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F4F" w:rsidRPr="002901D9" w:rsidRDefault="002E1F4F" w:rsidP="002901D9">
      <w:pPr>
        <w:spacing w:after="60" w:line="240" w:lineRule="auto"/>
        <w:rPr>
          <w:i/>
          <w:iCs/>
        </w:rPr>
      </w:pPr>
      <w:r>
        <w:rPr>
          <w:rFonts w:hint="cs"/>
          <w:i/>
          <w:iCs/>
          <w:rtl/>
        </w:rPr>
        <w:t>الحواشي</w:t>
      </w:r>
    </w:p>
  </w:endnote>
  <w:endnote w:type="continuationSeparator" w:id="0">
    <w:p w:rsidR="002E1F4F" w:rsidRDefault="002E1F4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EB4" w:rsidRPr="00A03EB4" w:rsidRDefault="00A03EB4" w:rsidP="00A03EB4">
    <w:pPr>
      <w:pStyle w:val="Footer"/>
      <w:tabs>
        <w:tab w:val="right" w:pos="9598"/>
      </w:tabs>
    </w:pPr>
    <w:r>
      <w:t>GE.15-07540</w:t>
    </w:r>
    <w:r>
      <w:tab/>
    </w:r>
    <w:r w:rsidRPr="00A03EB4">
      <w:rPr>
        <w:b/>
        <w:sz w:val="18"/>
      </w:rPr>
      <w:fldChar w:fldCharType="begin"/>
    </w:r>
    <w:r w:rsidRPr="00A03EB4">
      <w:rPr>
        <w:b/>
        <w:sz w:val="18"/>
      </w:rPr>
      <w:instrText xml:space="preserve"> PAGE  \* MERGEFORMAT </w:instrText>
    </w:r>
    <w:r w:rsidRPr="00A03EB4">
      <w:rPr>
        <w:b/>
        <w:sz w:val="18"/>
      </w:rPr>
      <w:fldChar w:fldCharType="separate"/>
    </w:r>
    <w:r w:rsidR="003D3E2B">
      <w:rPr>
        <w:b/>
        <w:noProof/>
        <w:sz w:val="18"/>
      </w:rPr>
      <w:t>2</w:t>
    </w:r>
    <w:r w:rsidRPr="00A03EB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03EB4" w:rsidRDefault="00A03EB4" w:rsidP="006959B0">
    <w:pPr>
      <w:pStyle w:val="Footer"/>
      <w:tabs>
        <w:tab w:val="right" w:pos="9599"/>
      </w:tabs>
      <w:jc w:val="left"/>
      <w:rPr>
        <w:b/>
        <w:sz w:val="18"/>
        <w:lang w:val="en-US"/>
      </w:rPr>
    </w:pPr>
    <w:r w:rsidRPr="00A03EB4">
      <w:rPr>
        <w:b/>
        <w:sz w:val="18"/>
        <w:lang w:val="en-US"/>
      </w:rPr>
      <w:fldChar w:fldCharType="begin"/>
    </w:r>
    <w:r w:rsidRPr="00A03EB4">
      <w:rPr>
        <w:b/>
        <w:sz w:val="18"/>
        <w:lang w:val="en-US"/>
      </w:rPr>
      <w:instrText xml:space="preserve"> PAGE  \* MERGEFORMAT </w:instrText>
    </w:r>
    <w:r w:rsidRPr="00A03EB4">
      <w:rPr>
        <w:b/>
        <w:sz w:val="18"/>
        <w:lang w:val="en-US"/>
      </w:rPr>
      <w:fldChar w:fldCharType="separate"/>
    </w:r>
    <w:r w:rsidR="003D3E2B">
      <w:rPr>
        <w:b/>
        <w:noProof/>
        <w:sz w:val="18"/>
        <w:lang w:val="en-US"/>
      </w:rPr>
      <w:t>3</w:t>
    </w:r>
    <w:r w:rsidRPr="00A03EB4">
      <w:rPr>
        <w:b/>
        <w:sz w:val="18"/>
        <w:lang w:val="en-US"/>
      </w:rPr>
      <w:fldChar w:fldCharType="end"/>
    </w:r>
    <w:r>
      <w:rPr>
        <w:b/>
        <w:sz w:val="18"/>
        <w:lang w:val="en-US"/>
      </w:rPr>
      <w:tab/>
    </w:r>
    <w:r>
      <w:rPr>
        <w:lang w:val="en-US"/>
      </w:rPr>
      <w:t>GE.15-07540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A03EB4" w:rsidP="00A03EB4">
    <w:pPr>
      <w:pStyle w:val="Footer"/>
      <w:jc w:val="right"/>
    </w:pPr>
    <w:r>
      <w:rPr>
        <w:sz w:val="20"/>
      </w:rPr>
      <w:t>(A)   GE.15-07540</w:t>
    </w:r>
    <w:r w:rsidR="004C03F3">
      <w:rPr>
        <w:noProof/>
        <w:lang w:val="en-US"/>
      </w:rPr>
      <w:drawing>
        <wp:anchor distT="0" distB="0" distL="114300" distR="114300" simplePos="0" relativeHeight="251658240" behindDoc="1" locked="1" layoutInCell="0" allowOverlap="1">
          <wp:simplePos x="0" y="0"/>
          <wp:positionH relativeFrom="margin">
            <wp:posOffset>706755</wp:posOffset>
          </wp:positionH>
          <wp:positionV relativeFrom="margin">
            <wp:posOffset>8190865</wp:posOffset>
          </wp:positionV>
          <wp:extent cx="1162685" cy="323850"/>
          <wp:effectExtent l="0" t="0" r="0" b="0"/>
          <wp:wrapTight wrapText="bothSides">
            <wp:wrapPolygon edited="0">
              <wp:start x="0" y="0"/>
              <wp:lineTo x="0" y="20329"/>
              <wp:lineTo x="21234" y="20329"/>
              <wp:lineTo x="21234" y="0"/>
              <wp:lineTo x="0" y="0"/>
            </wp:wrapPolygon>
          </wp:wrapTight>
          <wp:docPr id="5"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270415    290415</w:t>
    </w:r>
    <w:r w:rsidR="001B53AE">
      <w:rPr>
        <w:sz w:val="20"/>
      </w:rPr>
      <w:br/>
    </w:r>
    <w:r w:rsidR="001B53AE" w:rsidRPr="001B53AE">
      <w:rPr>
        <w:rFonts w:ascii="C39T30Lfz" w:hAnsi="C39T30Lfz"/>
        <w:sz w:val="56"/>
      </w:rPr>
      <w:t></w:t>
    </w:r>
    <w:r w:rsidR="001B53AE" w:rsidRPr="001B53AE">
      <w:rPr>
        <w:rFonts w:ascii="C39T30Lfz" w:hAnsi="C39T30Lfz"/>
        <w:sz w:val="56"/>
      </w:rPr>
      <w:t></w:t>
    </w:r>
    <w:r w:rsidR="001B53AE" w:rsidRPr="001B53AE">
      <w:rPr>
        <w:rFonts w:ascii="C39T30Lfz" w:hAnsi="C39T30Lfz"/>
        <w:sz w:val="56"/>
      </w:rPr>
      <w:t></w:t>
    </w:r>
    <w:r w:rsidR="001B53AE" w:rsidRPr="001B53AE">
      <w:rPr>
        <w:rFonts w:ascii="C39T30Lfz" w:hAnsi="C39T30Lfz"/>
        <w:sz w:val="56"/>
      </w:rPr>
      <w:t></w:t>
    </w:r>
    <w:r w:rsidR="001B53AE" w:rsidRPr="001B53AE">
      <w:rPr>
        <w:rFonts w:ascii="C39T30Lfz" w:hAnsi="C39T30Lfz"/>
        <w:sz w:val="56"/>
      </w:rPr>
      <w:t></w:t>
    </w:r>
    <w:r w:rsidR="001B53AE" w:rsidRPr="001B53AE">
      <w:rPr>
        <w:rFonts w:ascii="C39T30Lfz" w:hAnsi="C39T30Lfz"/>
        <w:sz w:val="56"/>
      </w:rPr>
      <w:t></w:t>
    </w:r>
    <w:r w:rsidR="001B53AE" w:rsidRPr="001B53AE">
      <w:rPr>
        <w:rFonts w:ascii="C39T30Lfz" w:hAnsi="C39T30Lfz"/>
        <w:sz w:val="56"/>
      </w:rPr>
      <w:t></w:t>
    </w:r>
    <w:r w:rsidR="001B53AE" w:rsidRPr="001B53AE">
      <w:rPr>
        <w:rFonts w:ascii="C39T30Lfz" w:hAnsi="C39T30Lfz"/>
        <w:sz w:val="56"/>
      </w:rPr>
      <w:t></w:t>
    </w:r>
    <w:r w:rsidR="001B53AE" w:rsidRPr="001B53AE">
      <w:rPr>
        <w:rFonts w:ascii="C39T30Lfz" w:hAnsi="C39T30Lfz"/>
        <w:sz w:val="56"/>
      </w:rPr>
      <w:t></w:t>
    </w:r>
    <w:r w:rsidR="004C03F3">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4" name="Picture 1" descr="http://undocs.org/m2/QRCode.ashx?DS=A/HRC/RES/28/9&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9&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F4F" w:rsidRDefault="002E1F4F" w:rsidP="00CB28F9">
      <w:pPr>
        <w:pStyle w:val="Footer"/>
        <w:bidi/>
        <w:spacing w:after="80" w:line="200" w:lineRule="exact"/>
        <w:ind w:left="680"/>
      </w:pPr>
      <w:r>
        <w:rPr>
          <w:rtl/>
        </w:rPr>
        <w:t>__________</w:t>
      </w:r>
    </w:p>
    <w:p w:rsidR="002E1F4F" w:rsidRPr="00CB28F9" w:rsidRDefault="002E1F4F" w:rsidP="00CB28F9">
      <w:pPr>
        <w:pStyle w:val="Footer"/>
      </w:pPr>
    </w:p>
  </w:footnote>
  <w:footnote w:type="continuationSeparator" w:id="0">
    <w:p w:rsidR="002E1F4F" w:rsidRDefault="002E1F4F" w:rsidP="006563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EB4" w:rsidRPr="00A03EB4" w:rsidRDefault="00A03EB4" w:rsidP="00A03EB4">
    <w:pPr>
      <w:pStyle w:val="Header"/>
      <w:jc w:val="right"/>
    </w:pPr>
    <w:r w:rsidRPr="00A03EB4">
      <w:t>A/HRC/RES/28/9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EB4" w:rsidRPr="00A03EB4" w:rsidRDefault="00A03EB4" w:rsidP="00A03EB4">
    <w:pPr>
      <w:pStyle w:val="Header"/>
      <w:jc w:val="left"/>
    </w:pPr>
    <w:r w:rsidRPr="00A03EB4">
      <w:t>A/HRC/RES/28/9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efaultTabStop w:val="567"/>
  <w:evenAndOddHeaders/>
  <w:characterSpacingControl w:val="doNotCompress"/>
  <w:hdrShapeDefaults>
    <o:shapedefaults v:ext="edit" spidmax="410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1F4F"/>
    <w:rsid w:val="000076D5"/>
    <w:rsid w:val="00043663"/>
    <w:rsid w:val="000505CF"/>
    <w:rsid w:val="000D701C"/>
    <w:rsid w:val="000E2A71"/>
    <w:rsid w:val="00160263"/>
    <w:rsid w:val="00181F96"/>
    <w:rsid w:val="001A1371"/>
    <w:rsid w:val="001B346A"/>
    <w:rsid w:val="001B53AE"/>
    <w:rsid w:val="001E1CAD"/>
    <w:rsid w:val="001E290D"/>
    <w:rsid w:val="002144FA"/>
    <w:rsid w:val="0023469A"/>
    <w:rsid w:val="00243C8A"/>
    <w:rsid w:val="00267A0E"/>
    <w:rsid w:val="002901D9"/>
    <w:rsid w:val="002976C2"/>
    <w:rsid w:val="002E1F4F"/>
    <w:rsid w:val="003260FF"/>
    <w:rsid w:val="00343D95"/>
    <w:rsid w:val="00374341"/>
    <w:rsid w:val="003D1062"/>
    <w:rsid w:val="003D3E2B"/>
    <w:rsid w:val="00420D7B"/>
    <w:rsid w:val="00450B21"/>
    <w:rsid w:val="00453B63"/>
    <w:rsid w:val="00455780"/>
    <w:rsid w:val="004B0A1C"/>
    <w:rsid w:val="004C03F3"/>
    <w:rsid w:val="004D298E"/>
    <w:rsid w:val="005305C6"/>
    <w:rsid w:val="0054472E"/>
    <w:rsid w:val="005662A9"/>
    <w:rsid w:val="005827D4"/>
    <w:rsid w:val="0059622A"/>
    <w:rsid w:val="005C5878"/>
    <w:rsid w:val="005C7CEA"/>
    <w:rsid w:val="005D3C0B"/>
    <w:rsid w:val="005E5217"/>
    <w:rsid w:val="005F0FA4"/>
    <w:rsid w:val="005F30EE"/>
    <w:rsid w:val="0060473A"/>
    <w:rsid w:val="00656392"/>
    <w:rsid w:val="00663BEC"/>
    <w:rsid w:val="0068781D"/>
    <w:rsid w:val="006959B0"/>
    <w:rsid w:val="006B3E27"/>
    <w:rsid w:val="006B6507"/>
    <w:rsid w:val="006C104C"/>
    <w:rsid w:val="00733704"/>
    <w:rsid w:val="0078071A"/>
    <w:rsid w:val="00787E8B"/>
    <w:rsid w:val="00852A9A"/>
    <w:rsid w:val="008F49E1"/>
    <w:rsid w:val="0090370F"/>
    <w:rsid w:val="00926091"/>
    <w:rsid w:val="009269D2"/>
    <w:rsid w:val="00942135"/>
    <w:rsid w:val="009521B0"/>
    <w:rsid w:val="00994130"/>
    <w:rsid w:val="009A7E9F"/>
    <w:rsid w:val="009E5018"/>
    <w:rsid w:val="00A03EB4"/>
    <w:rsid w:val="00A12B37"/>
    <w:rsid w:val="00AB6758"/>
    <w:rsid w:val="00B13763"/>
    <w:rsid w:val="00B477A4"/>
    <w:rsid w:val="00B54045"/>
    <w:rsid w:val="00C438D7"/>
    <w:rsid w:val="00C75945"/>
    <w:rsid w:val="00C81B50"/>
    <w:rsid w:val="00CB28F9"/>
    <w:rsid w:val="00CD1801"/>
    <w:rsid w:val="00D10EF1"/>
    <w:rsid w:val="00D42810"/>
    <w:rsid w:val="00D914A7"/>
    <w:rsid w:val="00DD13C3"/>
    <w:rsid w:val="00DD596E"/>
    <w:rsid w:val="00DD621E"/>
    <w:rsid w:val="00DF0575"/>
    <w:rsid w:val="00E07E0C"/>
    <w:rsid w:val="00E70E04"/>
    <w:rsid w:val="00E76499"/>
    <w:rsid w:val="00EC05A7"/>
    <w:rsid w:val="00EC4B6B"/>
    <w:rsid w:val="00EF1EE5"/>
    <w:rsid w:val="00F763B4"/>
    <w:rsid w:val="00F900C3"/>
    <w:rsid w:val="00FB36D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1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9569C-B2C0-4CA5-87DA-3A52BE3A9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731</Words>
  <Characters>4043</Characters>
  <Application>Microsoft Office Word</Application>
  <DocSecurity>0</DocSecurity>
  <Lines>70</Lines>
  <Paragraphs>31</Paragraphs>
  <ScaleCrop>false</ScaleCrop>
  <HeadingPairs>
    <vt:vector size="2" baseType="variant">
      <vt:variant>
        <vt:lpstr>Title</vt:lpstr>
      </vt:variant>
      <vt:variant>
        <vt:i4>1</vt:i4>
      </vt:variant>
    </vt:vector>
  </HeadingPairs>
  <TitlesOfParts>
    <vt:vector size="1" baseType="lpstr">
      <vt:lpstr>A/HRC/RES/28/9</vt:lpstr>
    </vt:vector>
  </TitlesOfParts>
  <Company>DCM</Company>
  <LinksUpToDate>false</LinksUpToDate>
  <CharactersWithSpaces>4743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A/HRC/RES/28/9</dc:title>
  <dc:subject>Mr. M. Abdel-Shakour</dc:subject>
  <dc:creator>Chedad Jamila</dc:creator>
  <cp:keywords/>
  <dc:description/>
  <cp:lastModifiedBy>Alkahlout Jamel</cp:lastModifiedBy>
  <cp:revision>2</cp:revision>
  <cp:lastPrinted>2015-04-29T07:47:00Z</cp:lastPrinted>
  <dcterms:created xsi:type="dcterms:W3CDTF">2015-04-29T09:36:00Z</dcterms:created>
  <dcterms:modified xsi:type="dcterms:W3CDTF">2015-04-29T09:36:00Z</dcterms:modified>
</cp:coreProperties>
</file>