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702" w:rsidRDefault="00E15702" w:rsidP="00E15702">
      <w:pPr>
        <w:pStyle w:val="4"/>
        <w:spacing w:line="60" w:lineRule="exact"/>
        <w:rPr>
          <w:sz w:val="6"/>
        </w:rPr>
        <w:sectPr w:rsidR="00E15702" w:rsidSect="00E1570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p>
    <w:p w:rsidR="00B31E9D" w:rsidRDefault="00B31E9D" w:rsidP="00E15702">
      <w:pPr>
        <w:pStyle w:val="4"/>
        <w:spacing w:line="60" w:lineRule="exact"/>
        <w:rPr>
          <w:sz w:val="6"/>
        </w:rPr>
      </w:pPr>
    </w:p>
    <w:p w:rsidR="00231934" w:rsidRPr="00231934" w:rsidRDefault="00231934" w:rsidP="00231934">
      <w:pPr>
        <w:tabs>
          <w:tab w:val="left" w:pos="431"/>
        </w:tabs>
        <w:overflowPunct w:val="0"/>
        <w:adjustRightInd w:val="0"/>
        <w:snapToGrid w:val="0"/>
        <w:spacing w:before="20"/>
        <w:rPr>
          <w:rFonts w:eastAsia="SimHei" w:hint="eastAsia"/>
          <w:snapToGrid w:val="0"/>
          <w:kern w:val="0"/>
          <w:sz w:val="24"/>
          <w:szCs w:val="24"/>
        </w:rPr>
      </w:pPr>
      <w:r w:rsidRPr="00231934">
        <w:rPr>
          <w:rFonts w:eastAsia="SimHei" w:hint="eastAsia"/>
          <w:snapToGrid w:val="0"/>
          <w:kern w:val="0"/>
          <w:sz w:val="24"/>
          <w:szCs w:val="24"/>
        </w:rPr>
        <w:t>消除对妇女歧视委员会</w:t>
      </w:r>
    </w:p>
    <w:p w:rsidR="00231934" w:rsidRPr="00231934" w:rsidRDefault="00231934" w:rsidP="00231934">
      <w:pPr>
        <w:keepNext/>
        <w:keepLines/>
        <w:tabs>
          <w:tab w:val="right" w:pos="851"/>
        </w:tabs>
        <w:overflowPunct w:val="0"/>
        <w:adjustRightInd w:val="0"/>
        <w:snapToGrid w:val="0"/>
        <w:spacing w:before="360" w:after="240" w:line="400" w:lineRule="exact"/>
        <w:ind w:left="1134" w:right="1134" w:hanging="1134"/>
        <w:outlineLvl w:val="1"/>
        <w:rPr>
          <w:rFonts w:eastAsia="SimHei" w:hint="eastAsia"/>
          <w:snapToGrid w:val="0"/>
          <w:spacing w:val="-4"/>
          <w:kern w:val="0"/>
          <w:sz w:val="28"/>
          <w:szCs w:val="28"/>
        </w:rPr>
      </w:pPr>
      <w:r w:rsidRPr="00231934">
        <w:rPr>
          <w:rFonts w:eastAsia="SimHei" w:hint="eastAsia"/>
          <w:snapToGrid w:val="0"/>
          <w:kern w:val="0"/>
          <w:sz w:val="28"/>
        </w:rPr>
        <w:tab/>
      </w:r>
      <w:r w:rsidRPr="00231934">
        <w:rPr>
          <w:rFonts w:eastAsia="SimHei" w:hint="eastAsia"/>
          <w:snapToGrid w:val="0"/>
          <w:kern w:val="0"/>
          <w:sz w:val="28"/>
        </w:rPr>
        <w:tab/>
      </w:r>
      <w:r w:rsidRPr="00231934">
        <w:rPr>
          <w:rFonts w:eastAsia="SimHei" w:hint="eastAsia"/>
          <w:snapToGrid w:val="0"/>
          <w:spacing w:val="-4"/>
          <w:kern w:val="0"/>
          <w:sz w:val="28"/>
        </w:rPr>
        <w:t>与图瓦卢第三次和第四次合并定期报告有关的议题和问题清单</w:t>
      </w:r>
      <w:r w:rsidRPr="004926EF">
        <w:rPr>
          <w:rFonts w:ascii="SimSun" w:hAnsi="SimSun"/>
          <w:snapToGrid w:val="0"/>
          <w:color w:val="0000FF"/>
          <w:spacing w:val="-4"/>
          <w:kern w:val="0"/>
          <w:sz w:val="24"/>
          <w:szCs w:val="24"/>
          <w:vertAlign w:val="superscript"/>
        </w:rPr>
        <w:footnoteReference w:customMarkFollows="1" w:id="1"/>
        <w:t>*</w:t>
      </w:r>
    </w:p>
    <w:p w:rsidR="00231934" w:rsidRPr="00231934" w:rsidRDefault="00231934" w:rsidP="00231934">
      <w:pPr>
        <w:keepNext/>
        <w:keepLines/>
        <w:tabs>
          <w:tab w:val="right" w:pos="851"/>
        </w:tabs>
        <w:overflowPunct w:val="0"/>
        <w:adjustRightInd w:val="0"/>
        <w:snapToGrid w:val="0"/>
        <w:spacing w:after="140"/>
        <w:ind w:left="1134" w:right="1134" w:hanging="1134"/>
        <w:outlineLvl w:val="2"/>
        <w:rPr>
          <w:rFonts w:eastAsia="SimHei" w:hint="eastAsia"/>
          <w:snapToGrid w:val="0"/>
          <w:kern w:val="0"/>
          <w:sz w:val="24"/>
        </w:rPr>
      </w:pPr>
      <w:r w:rsidRPr="00231934">
        <w:rPr>
          <w:rFonts w:eastAsia="SimHei" w:hint="eastAsia"/>
          <w:snapToGrid w:val="0"/>
          <w:kern w:val="0"/>
          <w:sz w:val="24"/>
        </w:rPr>
        <w:tab/>
      </w:r>
      <w:r w:rsidRPr="00231934">
        <w:rPr>
          <w:rFonts w:eastAsia="SimHei" w:hint="eastAsia"/>
          <w:snapToGrid w:val="0"/>
          <w:kern w:val="0"/>
          <w:sz w:val="24"/>
        </w:rPr>
        <w:tab/>
      </w:r>
      <w:r w:rsidRPr="00231934">
        <w:rPr>
          <w:rFonts w:eastAsia="SimHei" w:hint="eastAsia"/>
          <w:snapToGrid w:val="0"/>
          <w:kern w:val="0"/>
          <w:sz w:val="24"/>
        </w:rPr>
        <w:t>歧视的定义</w:t>
      </w:r>
    </w:p>
    <w:p w:rsidR="00231934" w:rsidRPr="00231934" w:rsidRDefault="00231934" w:rsidP="00231934">
      <w:pPr>
        <w:tabs>
          <w:tab w:val="left" w:pos="431"/>
          <w:tab w:val="left" w:pos="1560"/>
        </w:tabs>
        <w:overflowPunct w:val="0"/>
        <w:adjustRightInd w:val="0"/>
        <w:snapToGrid w:val="0"/>
        <w:spacing w:line="120" w:lineRule="exact"/>
        <w:ind w:left="1134" w:right="1134"/>
        <w:rPr>
          <w:snapToGrid w:val="0"/>
          <w:kern w:val="0"/>
          <w:sz w:val="10"/>
          <w:szCs w:val="21"/>
        </w:rPr>
      </w:pPr>
    </w:p>
    <w:p w:rsidR="00231934" w:rsidRPr="00231934" w:rsidRDefault="00231934" w:rsidP="00231934">
      <w:pPr>
        <w:tabs>
          <w:tab w:val="left" w:pos="431"/>
          <w:tab w:val="left" w:pos="1560"/>
        </w:tabs>
        <w:overflowPunct w:val="0"/>
        <w:adjustRightInd w:val="0"/>
        <w:snapToGrid w:val="0"/>
        <w:spacing w:after="140"/>
        <w:ind w:left="1134" w:right="1134"/>
        <w:rPr>
          <w:snapToGrid w:val="0"/>
          <w:kern w:val="0"/>
          <w:szCs w:val="21"/>
        </w:rPr>
      </w:pPr>
      <w:r w:rsidRPr="00231934">
        <w:rPr>
          <w:snapToGrid w:val="0"/>
          <w:kern w:val="0"/>
          <w:szCs w:val="21"/>
        </w:rPr>
        <w:t>1.</w:t>
      </w:r>
      <w:r w:rsidRPr="00231934">
        <w:rPr>
          <w:snapToGrid w:val="0"/>
          <w:kern w:val="0"/>
          <w:szCs w:val="21"/>
        </w:rPr>
        <w:tab/>
      </w:r>
      <w:r w:rsidRPr="00231934">
        <w:rPr>
          <w:rFonts w:hint="eastAsia"/>
          <w:snapToGrid w:val="0"/>
          <w:kern w:val="0"/>
          <w:szCs w:val="21"/>
        </w:rPr>
        <w:t>报告确认，图瓦卢一直没有修正《宪法》，禁止性歧视和性别歧视。</w:t>
      </w:r>
      <w:bookmarkStart w:id="1" w:name="OLE_LINK111"/>
      <w:r>
        <w:rPr>
          <w:rFonts w:hint="eastAsia"/>
          <w:snapToGrid w:val="0"/>
          <w:kern w:val="0"/>
          <w:szCs w:val="21"/>
        </w:rPr>
        <w:t>(</w:t>
      </w:r>
      <w:r w:rsidRPr="00231934">
        <w:rPr>
          <w:snapToGrid w:val="0"/>
          <w:kern w:val="0"/>
          <w:szCs w:val="21"/>
        </w:rPr>
        <w:t>CEDAW/C/</w:t>
      </w:r>
      <w:r>
        <w:rPr>
          <w:rFonts w:hint="eastAsia"/>
          <w:snapToGrid w:val="0"/>
          <w:kern w:val="0"/>
          <w:szCs w:val="21"/>
        </w:rPr>
        <w:t xml:space="preserve"> </w:t>
      </w:r>
      <w:r w:rsidRPr="00231934">
        <w:rPr>
          <w:snapToGrid w:val="0"/>
          <w:kern w:val="0"/>
          <w:szCs w:val="21"/>
        </w:rPr>
        <w:t>TUV/3-4</w:t>
      </w:r>
      <w:bookmarkEnd w:id="1"/>
      <w:r>
        <w:rPr>
          <w:rFonts w:hint="eastAsia"/>
          <w:snapToGrid w:val="0"/>
          <w:kern w:val="0"/>
          <w:szCs w:val="21"/>
        </w:rPr>
        <w:t>，</w:t>
      </w:r>
      <w:r w:rsidRPr="00231934">
        <w:rPr>
          <w:rFonts w:hint="eastAsia"/>
          <w:snapToGrid w:val="0"/>
          <w:kern w:val="0"/>
          <w:szCs w:val="21"/>
        </w:rPr>
        <w:t>第</w:t>
      </w:r>
      <w:r w:rsidRPr="00231934">
        <w:rPr>
          <w:snapToGrid w:val="0"/>
          <w:kern w:val="0"/>
          <w:szCs w:val="21"/>
        </w:rPr>
        <w:t>14</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w:t>
      </w:r>
      <w:r w:rsidRPr="00231934">
        <w:rPr>
          <w:snapToGrid w:val="0"/>
          <w:color w:val="0000FF"/>
          <w:kern w:val="0"/>
          <w:szCs w:val="21"/>
          <w:vertAlign w:val="superscript"/>
        </w:rPr>
        <w:footnoteReference w:id="2"/>
      </w:r>
      <w:r w:rsidRPr="00231934">
        <w:rPr>
          <w:snapToGrid w:val="0"/>
          <w:kern w:val="0"/>
          <w:szCs w:val="21"/>
        </w:rPr>
        <w:t xml:space="preserve"> </w:t>
      </w:r>
      <w:r w:rsidRPr="00231934">
        <w:rPr>
          <w:rFonts w:hint="eastAsia"/>
          <w:snapToGrid w:val="0"/>
          <w:kern w:val="0"/>
          <w:szCs w:val="21"/>
        </w:rPr>
        <w:t>请说明，缔约国是否采取或计划采取措施修正宪法或其他适用法律，以载入男女平等原则，并根据《公约》第</w:t>
      </w:r>
      <w:r w:rsidRPr="00231934">
        <w:rPr>
          <w:rFonts w:hint="eastAsia"/>
          <w:snapToGrid w:val="0"/>
          <w:kern w:val="0"/>
          <w:szCs w:val="21"/>
        </w:rPr>
        <w:t>1</w:t>
      </w:r>
      <w:r w:rsidRPr="00231934">
        <w:rPr>
          <w:rFonts w:hint="eastAsia"/>
          <w:snapToGrid w:val="0"/>
          <w:kern w:val="0"/>
          <w:szCs w:val="21"/>
        </w:rPr>
        <w:t>条的规定，界定和禁止对妇女的一切形式歧视，包括直接歧视、间接歧视、法律上的歧视和实质性歧视。</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歧视性法律和做法</w:t>
      </w:r>
    </w:p>
    <w:p w:rsidR="00231934" w:rsidRPr="00231934" w:rsidRDefault="00231934" w:rsidP="00231934">
      <w:pPr>
        <w:tabs>
          <w:tab w:val="left" w:pos="1560"/>
        </w:tabs>
        <w:suppressAutoHyphens/>
        <w:spacing w:after="140"/>
        <w:ind w:left="1134" w:right="1134"/>
        <w:rPr>
          <w:rFonts w:hint="eastAsia"/>
          <w:kern w:val="0"/>
          <w:szCs w:val="21"/>
          <w:lang w:val="en-GB"/>
        </w:rPr>
      </w:pPr>
      <w:r w:rsidRPr="00231934">
        <w:rPr>
          <w:kern w:val="0"/>
          <w:szCs w:val="21"/>
          <w:lang w:val="en-GB"/>
        </w:rPr>
        <w:t>2.</w:t>
      </w:r>
      <w:r w:rsidRPr="00231934">
        <w:rPr>
          <w:kern w:val="0"/>
          <w:szCs w:val="21"/>
          <w:lang w:val="en-GB"/>
        </w:rPr>
        <w:tab/>
      </w:r>
      <w:r w:rsidRPr="00231934">
        <w:rPr>
          <w:rFonts w:hint="eastAsia"/>
          <w:kern w:val="0"/>
          <w:szCs w:val="21"/>
          <w:lang w:val="en-GB"/>
        </w:rPr>
        <w:t>报告提到一些载有直接或间接歧视妇女规定的法律，例如《原住民土地法》、</w:t>
      </w:r>
      <w:r w:rsidRPr="00841A68">
        <w:rPr>
          <w:rFonts w:hint="eastAsia"/>
          <w:spacing w:val="-4"/>
          <w:kern w:val="0"/>
          <w:szCs w:val="21"/>
          <w:lang w:val="en-GB"/>
        </w:rPr>
        <w:t>《图瓦卢土地法》、</w:t>
      </w:r>
      <w:bookmarkStart w:id="2" w:name="OLE_LINK179"/>
      <w:r w:rsidRPr="00841A68">
        <w:rPr>
          <w:rFonts w:hint="eastAsia"/>
          <w:spacing w:val="-4"/>
          <w:kern w:val="0"/>
          <w:szCs w:val="21"/>
          <w:lang w:val="en-GB"/>
        </w:rPr>
        <w:t>《酋长院法》</w:t>
      </w:r>
      <w:bookmarkEnd w:id="2"/>
      <w:r w:rsidRPr="00841A68">
        <w:rPr>
          <w:rFonts w:hint="eastAsia"/>
          <w:spacing w:val="-4"/>
          <w:kern w:val="0"/>
          <w:szCs w:val="21"/>
          <w:lang w:val="en-GB"/>
        </w:rPr>
        <w:t>、《婚姻法》、《就业法》和《刑法》</w:t>
      </w:r>
      <w:r w:rsidRPr="00841A68">
        <w:rPr>
          <w:rFonts w:hint="eastAsia"/>
          <w:spacing w:val="-4"/>
          <w:kern w:val="0"/>
          <w:szCs w:val="21"/>
          <w:lang w:val="en-GB"/>
        </w:rPr>
        <w:t>(</w:t>
      </w:r>
      <w:r w:rsidRPr="00841A68">
        <w:rPr>
          <w:rFonts w:hint="eastAsia"/>
          <w:spacing w:val="-4"/>
          <w:kern w:val="0"/>
          <w:szCs w:val="21"/>
          <w:lang w:val="en-GB"/>
        </w:rPr>
        <w:t>第</w:t>
      </w:r>
      <w:r w:rsidRPr="00841A68">
        <w:rPr>
          <w:rFonts w:hint="eastAsia"/>
          <w:spacing w:val="-4"/>
          <w:kern w:val="0"/>
          <w:szCs w:val="21"/>
          <w:lang w:val="en-GB"/>
        </w:rPr>
        <w:t>10-13</w:t>
      </w:r>
      <w:r w:rsidRPr="00841A68">
        <w:rPr>
          <w:rFonts w:hint="eastAsia"/>
          <w:spacing w:val="-4"/>
          <w:kern w:val="0"/>
          <w:szCs w:val="21"/>
          <w:lang w:val="en-GB"/>
        </w:rPr>
        <w:t>段</w:t>
      </w:r>
      <w:r w:rsidRPr="00231934">
        <w:rPr>
          <w:rFonts w:hint="eastAsia"/>
          <w:kern w:val="0"/>
          <w:szCs w:val="21"/>
          <w:lang w:val="en-GB"/>
        </w:rPr>
        <w:t>及第</w:t>
      </w:r>
      <w:r w:rsidRPr="00231934">
        <w:rPr>
          <w:rFonts w:hint="eastAsia"/>
          <w:kern w:val="0"/>
          <w:szCs w:val="21"/>
          <w:lang w:val="en-GB"/>
        </w:rPr>
        <w:t>56</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。报告还确认，自缔约国提交上次报告以来，没有开展全面的立法审查，以消除对妇女的歧视性条款</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7</w:t>
      </w:r>
      <w:r w:rsidRPr="00231934">
        <w:rPr>
          <w:rFonts w:hint="eastAsia"/>
          <w:kern w:val="0"/>
          <w:szCs w:val="21"/>
          <w:lang w:val="en-GB"/>
        </w:rPr>
        <w:t>段和第</w:t>
      </w:r>
      <w:r w:rsidRPr="00231934">
        <w:rPr>
          <w:rFonts w:hint="eastAsia"/>
          <w:kern w:val="0"/>
          <w:szCs w:val="21"/>
          <w:lang w:val="en-GB"/>
        </w:rPr>
        <w:t>33</w:t>
      </w:r>
      <w:r w:rsidRPr="00231934">
        <w:rPr>
          <w:rFonts w:hint="eastAsia"/>
          <w:kern w:val="0"/>
          <w:szCs w:val="21"/>
          <w:lang w:val="en-GB"/>
        </w:rPr>
        <w:t>段下的表格</w:t>
      </w:r>
      <w:r>
        <w:rPr>
          <w:rFonts w:hint="eastAsia"/>
          <w:kern w:val="0"/>
          <w:szCs w:val="21"/>
          <w:lang w:val="en-GB"/>
        </w:rPr>
        <w:t>)</w:t>
      </w:r>
      <w:r w:rsidRPr="00231934">
        <w:rPr>
          <w:rFonts w:hint="eastAsia"/>
          <w:kern w:val="0"/>
          <w:szCs w:val="21"/>
          <w:lang w:val="en-GB"/>
        </w:rPr>
        <w:t>。请说明缔约国是否计划对其立法开展一次类似审查，并为完成审查设定明确的时限，以便修正或废除所有歧视性立法，并</w:t>
      </w:r>
      <w:r w:rsidRPr="00231934">
        <w:rPr>
          <w:kern w:val="0"/>
          <w:szCs w:val="21"/>
          <w:lang w:val="en-GB"/>
        </w:rPr>
        <w:t>切实遵守《公约》和委员会的一般性建议</w:t>
      </w:r>
      <w:r w:rsidRPr="00231934">
        <w:rPr>
          <w:rFonts w:hint="eastAsia"/>
          <w:kern w:val="0"/>
          <w:szCs w:val="21"/>
          <w:lang w:val="en-GB"/>
        </w:rPr>
        <w:t>。</w:t>
      </w:r>
      <w:r w:rsidRPr="00231934">
        <w:rPr>
          <w:rFonts w:hint="eastAsia"/>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3.</w:t>
      </w:r>
      <w:r w:rsidRPr="00231934">
        <w:rPr>
          <w:snapToGrid w:val="0"/>
          <w:kern w:val="0"/>
          <w:szCs w:val="21"/>
        </w:rPr>
        <w:tab/>
      </w:r>
      <w:r w:rsidRPr="00231934">
        <w:rPr>
          <w:rFonts w:hint="eastAsia"/>
          <w:snapToGrid w:val="0"/>
          <w:kern w:val="0"/>
          <w:szCs w:val="21"/>
        </w:rPr>
        <w:t>依据《</w:t>
      </w:r>
      <w:r w:rsidRPr="00231934">
        <w:rPr>
          <w:rFonts w:hint="eastAsia"/>
          <w:snapToGrid w:val="0"/>
          <w:kern w:val="0"/>
          <w:szCs w:val="21"/>
        </w:rPr>
        <w:t>1987</w:t>
      </w:r>
      <w:r w:rsidRPr="00231934">
        <w:rPr>
          <w:rFonts w:hint="eastAsia"/>
          <w:snapToGrid w:val="0"/>
          <w:kern w:val="0"/>
          <w:szCs w:val="21"/>
        </w:rPr>
        <w:t>年图瓦卢法律法案》，习惯法作为缔约国的法律渊源之一与成文法一样得到确认</w:t>
      </w:r>
      <w:r>
        <w:rPr>
          <w:rFonts w:hint="eastAsia"/>
          <w:snapToGrid w:val="0"/>
          <w:kern w:val="0"/>
          <w:szCs w:val="21"/>
        </w:rPr>
        <w:t>(</w:t>
      </w:r>
      <w:r w:rsidRPr="00231934">
        <w:rPr>
          <w:snapToGrid w:val="0"/>
          <w:kern w:val="0"/>
          <w:szCs w:val="21"/>
        </w:rPr>
        <w:t>HRI/CORE/TUV/2012</w:t>
      </w:r>
      <w:r w:rsidRPr="00231934">
        <w:rPr>
          <w:rFonts w:hint="eastAsia"/>
          <w:snapToGrid w:val="0"/>
          <w:kern w:val="0"/>
          <w:szCs w:val="21"/>
        </w:rPr>
        <w:t>，第</w:t>
      </w:r>
      <w:r w:rsidRPr="00231934">
        <w:rPr>
          <w:rFonts w:hint="eastAsia"/>
          <w:snapToGrid w:val="0"/>
          <w:kern w:val="0"/>
          <w:szCs w:val="21"/>
        </w:rPr>
        <w:t>37</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。请指出是否采取任何措施，以便使习惯法和做法与缔约国对《公约》的义务保持一致。</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《公约》的知名度</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4.</w:t>
      </w:r>
      <w:r w:rsidRPr="00231934">
        <w:rPr>
          <w:snapToGrid w:val="0"/>
          <w:kern w:val="0"/>
          <w:szCs w:val="21"/>
        </w:rPr>
        <w:tab/>
      </w:r>
      <w:r w:rsidRPr="00231934">
        <w:rPr>
          <w:rFonts w:hint="eastAsia"/>
          <w:snapToGrid w:val="0"/>
          <w:kern w:val="0"/>
          <w:szCs w:val="21"/>
        </w:rPr>
        <w:t>缔约国确认，并未依据以前的建议</w:t>
      </w:r>
      <w:r>
        <w:rPr>
          <w:rFonts w:hint="eastAsia"/>
          <w:snapToGrid w:val="0"/>
          <w:kern w:val="0"/>
          <w:szCs w:val="21"/>
        </w:rPr>
        <w:t>(</w:t>
      </w:r>
      <w:r w:rsidRPr="00231934">
        <w:rPr>
          <w:snapToGrid w:val="0"/>
          <w:kern w:val="0"/>
          <w:szCs w:val="21"/>
        </w:rPr>
        <w:t>CEDAW/C/TUV/CO/2</w:t>
      </w:r>
      <w:r w:rsidRPr="00231934">
        <w:rPr>
          <w:rFonts w:hint="eastAsia"/>
          <w:snapToGrid w:val="0"/>
          <w:kern w:val="0"/>
          <w:szCs w:val="21"/>
        </w:rPr>
        <w:t>，第</w:t>
      </w:r>
      <w:r w:rsidRPr="00231934">
        <w:rPr>
          <w:rFonts w:hint="eastAsia"/>
          <w:snapToGrid w:val="0"/>
          <w:kern w:val="0"/>
          <w:szCs w:val="21"/>
        </w:rPr>
        <w:t>18</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，将《公约》下发至政府各部门及司法机构。报告还确认，为执法官员开展的最近一次关于《公约》的培训是在</w:t>
      </w:r>
      <w:r w:rsidRPr="00231934">
        <w:rPr>
          <w:rFonts w:hint="eastAsia"/>
          <w:snapToGrid w:val="0"/>
          <w:kern w:val="0"/>
          <w:szCs w:val="21"/>
        </w:rPr>
        <w:t>2007</w:t>
      </w:r>
      <w:r w:rsidRPr="00231934">
        <w:rPr>
          <w:rFonts w:hint="eastAsia"/>
          <w:snapToGrid w:val="0"/>
          <w:kern w:val="0"/>
          <w:szCs w:val="21"/>
        </w:rPr>
        <w:t>年</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22</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。请说明，缔约国是否计划为执法官员开展关于《公约》的新培训。</w:t>
      </w:r>
      <w:r w:rsidRPr="00231934">
        <w:rPr>
          <w:snapToGrid w:val="0"/>
          <w:kern w:val="0"/>
          <w:szCs w:val="21"/>
        </w:rPr>
        <w:t>正在进行哪些努力来加强</w:t>
      </w:r>
      <w:r w:rsidRPr="00231934">
        <w:rPr>
          <w:rFonts w:hint="eastAsia"/>
          <w:snapToGrid w:val="0"/>
          <w:kern w:val="0"/>
          <w:szCs w:val="21"/>
        </w:rPr>
        <w:t>政府、</w:t>
      </w:r>
      <w:r w:rsidRPr="00231934">
        <w:rPr>
          <w:snapToGrid w:val="0"/>
          <w:kern w:val="0"/>
          <w:szCs w:val="21"/>
        </w:rPr>
        <w:t>司法机关、教育部门、民间社会和公众与性别平等有关的能力和知识？</w:t>
      </w:r>
      <w:r w:rsidRPr="00231934">
        <w:rPr>
          <w:rFonts w:hint="eastAsia"/>
          <w:snapToGrid w:val="0"/>
          <w:kern w:val="0"/>
          <w:szCs w:val="21"/>
        </w:rPr>
        <w:t>请提供详细资料说明，</w:t>
      </w:r>
      <w:r w:rsidRPr="00231934">
        <w:rPr>
          <w:snapToGrid w:val="0"/>
          <w:kern w:val="0"/>
          <w:szCs w:val="21"/>
        </w:rPr>
        <w:t>缔约国正如何加强妇女</w:t>
      </w:r>
      <w:r w:rsidRPr="00231934">
        <w:rPr>
          <w:rFonts w:hint="eastAsia"/>
          <w:snapToGrid w:val="0"/>
          <w:kern w:val="0"/>
          <w:szCs w:val="21"/>
        </w:rPr>
        <w:t>，特别是诸如农村妇女、残疾妇女和年纪较长妇女等最弱势妇女</w:t>
      </w:r>
      <w:r w:rsidRPr="00231934">
        <w:rPr>
          <w:snapToGrid w:val="0"/>
          <w:kern w:val="0"/>
          <w:szCs w:val="21"/>
        </w:rPr>
        <w:t>对《公约》和相关国家立法规定的妇女</w:t>
      </w:r>
      <w:r w:rsidRPr="00231934">
        <w:rPr>
          <w:rFonts w:hint="eastAsia"/>
          <w:snapToGrid w:val="0"/>
          <w:kern w:val="0"/>
          <w:szCs w:val="21"/>
        </w:rPr>
        <w:t>应享</w:t>
      </w:r>
      <w:r w:rsidRPr="00231934">
        <w:rPr>
          <w:snapToGrid w:val="0"/>
          <w:kern w:val="0"/>
          <w:szCs w:val="21"/>
        </w:rPr>
        <w:t>权利的认识和了解。</w:t>
      </w:r>
      <w:r w:rsidRPr="00231934">
        <w:rPr>
          <w:rFonts w:hint="eastAsia"/>
          <w:snapToGrid w:val="0"/>
          <w:kern w:val="0"/>
          <w:szCs w:val="21"/>
        </w:rPr>
        <w:t xml:space="preserve"> </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司法救助</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5.</w:t>
      </w:r>
      <w:r w:rsidRPr="00231934">
        <w:rPr>
          <w:snapToGrid w:val="0"/>
          <w:kern w:val="0"/>
          <w:szCs w:val="21"/>
        </w:rPr>
        <w:tab/>
      </w:r>
      <w:r w:rsidRPr="00231934">
        <w:rPr>
          <w:rFonts w:hint="eastAsia"/>
          <w:snapToGrid w:val="0"/>
          <w:kern w:val="0"/>
          <w:szCs w:val="21"/>
        </w:rPr>
        <w:t>请提供资料，说明为消除妇女获得司法救助面临的障碍，</w:t>
      </w:r>
      <w:r w:rsidRPr="00231934">
        <w:rPr>
          <w:snapToGrid w:val="0"/>
          <w:kern w:val="0"/>
          <w:szCs w:val="21"/>
        </w:rPr>
        <w:t>特别是消除妇女对她们的权利所知有限、在争取这些权利方面得不到支持、法律费用昂贵等障碍</w:t>
      </w:r>
      <w:r w:rsidRPr="00231934">
        <w:rPr>
          <w:rFonts w:hint="eastAsia"/>
          <w:snapToGrid w:val="0"/>
          <w:kern w:val="0"/>
          <w:szCs w:val="21"/>
        </w:rPr>
        <w:t>所采取的措施</w:t>
      </w:r>
      <w:r w:rsidRPr="00231934">
        <w:rPr>
          <w:snapToGrid w:val="0"/>
          <w:kern w:val="0"/>
          <w:szCs w:val="21"/>
        </w:rPr>
        <w:t>。</w:t>
      </w:r>
      <w:r w:rsidRPr="00231934">
        <w:rPr>
          <w:rFonts w:hint="eastAsia"/>
          <w:snapToGrid w:val="0"/>
          <w:kern w:val="0"/>
          <w:szCs w:val="21"/>
        </w:rPr>
        <w:t>鉴于委员会之前的建议</w:t>
      </w:r>
      <w:r>
        <w:rPr>
          <w:rFonts w:hint="eastAsia"/>
          <w:snapToGrid w:val="0"/>
          <w:kern w:val="0"/>
          <w:szCs w:val="21"/>
        </w:rPr>
        <w:t>(</w:t>
      </w:r>
      <w:r w:rsidRPr="00231934">
        <w:rPr>
          <w:snapToGrid w:val="0"/>
          <w:kern w:val="0"/>
          <w:szCs w:val="21"/>
        </w:rPr>
        <w:t>CEDAW/C/TUV/CO/2</w:t>
      </w:r>
      <w:r w:rsidRPr="00231934">
        <w:rPr>
          <w:rFonts w:hint="eastAsia"/>
          <w:snapToGrid w:val="0"/>
          <w:kern w:val="0"/>
          <w:szCs w:val="21"/>
        </w:rPr>
        <w:t>，第</w:t>
      </w:r>
      <w:r w:rsidRPr="00231934">
        <w:rPr>
          <w:rFonts w:hint="eastAsia"/>
          <w:snapToGrid w:val="0"/>
          <w:kern w:val="0"/>
          <w:szCs w:val="21"/>
        </w:rPr>
        <w:t>18</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提供资料，说明缔约国为扩大对妇女的法律援助所采取的措施。同时，请提供资料，说明司法机构发布的关于侵犯妇女权利以及确保受害者获得补偿，包括适足的赔偿方面的决定。还请提供最新资料，说明向人民律师办公室</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25</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提供的人力及财政资源。</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提高妇女地位的国家机构</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6.</w:t>
      </w:r>
      <w:r w:rsidRPr="00231934">
        <w:rPr>
          <w:snapToGrid w:val="0"/>
          <w:kern w:val="0"/>
          <w:szCs w:val="21"/>
        </w:rPr>
        <w:tab/>
      </w:r>
      <w:r w:rsidRPr="00231934">
        <w:rPr>
          <w:rFonts w:hint="eastAsia"/>
          <w:snapToGrid w:val="0"/>
          <w:kern w:val="0"/>
          <w:szCs w:val="21"/>
        </w:rPr>
        <w:t>请提供最新资料，说明是否依据委员会此前的建议</w:t>
      </w:r>
      <w:r>
        <w:rPr>
          <w:rFonts w:hint="eastAsia"/>
          <w:snapToGrid w:val="0"/>
          <w:kern w:val="0"/>
          <w:szCs w:val="21"/>
        </w:rPr>
        <w:t>(</w:t>
      </w:r>
      <w:r w:rsidRPr="00231934">
        <w:rPr>
          <w:snapToGrid w:val="0"/>
          <w:kern w:val="0"/>
          <w:szCs w:val="21"/>
        </w:rPr>
        <w:t>CEDAW/C/TUV/CO/2</w:t>
      </w:r>
      <w:r w:rsidRPr="00231934">
        <w:rPr>
          <w:rFonts w:hint="eastAsia"/>
          <w:snapToGrid w:val="0"/>
          <w:kern w:val="0"/>
          <w:szCs w:val="21"/>
        </w:rPr>
        <w:t>，第</w:t>
      </w:r>
      <w:r w:rsidRPr="00231934">
        <w:rPr>
          <w:rFonts w:hint="eastAsia"/>
          <w:snapToGrid w:val="0"/>
          <w:kern w:val="0"/>
          <w:szCs w:val="21"/>
        </w:rPr>
        <w:t>24</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向提高妇女地位的国家机构</w:t>
      </w:r>
      <w:r>
        <w:rPr>
          <w:rFonts w:hint="eastAsia"/>
          <w:snapToGrid w:val="0"/>
          <w:kern w:val="0"/>
          <w:szCs w:val="21"/>
        </w:rPr>
        <w:t>(</w:t>
      </w:r>
      <w:r w:rsidRPr="00231934">
        <w:rPr>
          <w:rFonts w:hint="eastAsia"/>
          <w:snapToGrid w:val="0"/>
          <w:kern w:val="0"/>
          <w:szCs w:val="21"/>
        </w:rPr>
        <w:t>妇女事务司</w:t>
      </w:r>
      <w:r>
        <w:rPr>
          <w:rFonts w:hint="eastAsia"/>
          <w:snapToGrid w:val="0"/>
          <w:kern w:val="0"/>
          <w:szCs w:val="21"/>
        </w:rPr>
        <w:t>)</w:t>
      </w:r>
      <w:r w:rsidRPr="00231934">
        <w:rPr>
          <w:rFonts w:hint="eastAsia"/>
          <w:snapToGrid w:val="0"/>
          <w:kern w:val="0"/>
          <w:szCs w:val="21"/>
        </w:rPr>
        <w:t>提供了适足的人力、财政和技术资源，以及为促进性别平等和性别问题主流化所必需的管辖权和决策权。另请说明，在执行《</w:t>
      </w:r>
      <w:r w:rsidRPr="00231934">
        <w:rPr>
          <w:rFonts w:hint="eastAsia"/>
          <w:snapToGrid w:val="0"/>
          <w:kern w:val="0"/>
          <w:szCs w:val="21"/>
        </w:rPr>
        <w:t>2005-2015</w:t>
      </w:r>
      <w:r w:rsidRPr="00231934">
        <w:rPr>
          <w:rFonts w:hint="eastAsia"/>
          <w:snapToGrid w:val="0"/>
          <w:kern w:val="0"/>
          <w:szCs w:val="21"/>
        </w:rPr>
        <w:t>年可持续发展国家战略》</w:t>
      </w:r>
      <w:r>
        <w:rPr>
          <w:rFonts w:hint="eastAsia"/>
          <w:snapToGrid w:val="0"/>
          <w:kern w:val="0"/>
          <w:szCs w:val="21"/>
        </w:rPr>
        <w:t>(</w:t>
      </w:r>
      <w:r w:rsidRPr="00231934">
        <w:rPr>
          <w:rFonts w:hint="eastAsia"/>
          <w:snapToGrid w:val="0"/>
          <w:kern w:val="0"/>
          <w:szCs w:val="21"/>
        </w:rPr>
        <w:t xml:space="preserve">Te </w:t>
      </w:r>
      <w:r w:rsidRPr="00231934">
        <w:rPr>
          <w:snapToGrid w:val="0"/>
          <w:kern w:val="0"/>
          <w:szCs w:val="21"/>
        </w:rPr>
        <w:t>Kak</w:t>
      </w:r>
      <w:r w:rsidRPr="00231934">
        <w:rPr>
          <w:rFonts w:hint="eastAsia"/>
          <w:snapToGrid w:val="0"/>
          <w:kern w:val="0"/>
          <w:szCs w:val="21"/>
        </w:rPr>
        <w:t>eega II</w:t>
      </w:r>
      <w:r>
        <w:rPr>
          <w:rFonts w:hint="eastAsia"/>
          <w:snapToGrid w:val="0"/>
          <w:kern w:val="0"/>
          <w:szCs w:val="21"/>
        </w:rPr>
        <w:t>)</w:t>
      </w:r>
      <w:r w:rsidRPr="00231934">
        <w:rPr>
          <w:rFonts w:hint="eastAsia"/>
          <w:snapToGrid w:val="0"/>
          <w:kern w:val="0"/>
          <w:szCs w:val="21"/>
        </w:rPr>
        <w:t>方面取得的任何进展和面临的挑战，特别是考虑到与妇女和性别问题有关的中期审查成果以及妇女的其他创收机会</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15</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。另请说明，在编制妇女局的《性别平等政策》、《战略计划》和《共同计划》方面所取得的进展</w:t>
      </w:r>
      <w:r>
        <w:rPr>
          <w:rFonts w:hint="eastAsia"/>
          <w:snapToGrid w:val="0"/>
          <w:kern w:val="0"/>
          <w:szCs w:val="21"/>
        </w:rPr>
        <w:t>(</w:t>
      </w:r>
      <w:r w:rsidRPr="00231934">
        <w:rPr>
          <w:rFonts w:hint="eastAsia"/>
          <w:snapToGrid w:val="0"/>
          <w:kern w:val="0"/>
          <w:szCs w:val="21"/>
        </w:rPr>
        <w:t>33</w:t>
      </w:r>
      <w:r w:rsidRPr="00231934">
        <w:rPr>
          <w:rFonts w:hint="eastAsia"/>
          <w:snapToGrid w:val="0"/>
          <w:kern w:val="0"/>
          <w:szCs w:val="21"/>
        </w:rPr>
        <w:t>段下的表格</w:t>
      </w:r>
      <w:r>
        <w:rPr>
          <w:rFonts w:hint="eastAsia"/>
          <w:snapToGrid w:val="0"/>
          <w:kern w:val="0"/>
          <w:szCs w:val="21"/>
        </w:rPr>
        <w:t>)</w:t>
      </w:r>
      <w:r w:rsidRPr="00231934">
        <w:rPr>
          <w:rFonts w:hint="eastAsia"/>
          <w:snapToGrid w:val="0"/>
          <w:kern w:val="0"/>
          <w:szCs w:val="21"/>
        </w:rPr>
        <w:t>。</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暂行特别措施</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snapToGrid w:val="0"/>
          <w:kern w:val="0"/>
          <w:szCs w:val="21"/>
        </w:rPr>
      </w:pPr>
      <w:r w:rsidRPr="00231934">
        <w:rPr>
          <w:snapToGrid w:val="0"/>
          <w:kern w:val="0"/>
          <w:szCs w:val="21"/>
        </w:rPr>
        <w:t>7.</w:t>
      </w:r>
      <w:r w:rsidRPr="00231934">
        <w:rPr>
          <w:snapToGrid w:val="0"/>
          <w:kern w:val="0"/>
          <w:szCs w:val="21"/>
        </w:rPr>
        <w:tab/>
      </w:r>
      <w:r w:rsidRPr="00231934">
        <w:rPr>
          <w:rFonts w:hint="eastAsia"/>
          <w:snapToGrid w:val="0"/>
          <w:kern w:val="0"/>
          <w:szCs w:val="21"/>
        </w:rPr>
        <w:t>报告确认，《宪法》在提供暂行特别措施方面仍显不足，且此类措施被错误地视为是使男子处于不利地位的工具</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32</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。请提供资料，说明依据《公约》第</w:t>
      </w:r>
      <w:r w:rsidRPr="00231934">
        <w:rPr>
          <w:rFonts w:hint="eastAsia"/>
          <w:snapToGrid w:val="0"/>
          <w:kern w:val="0"/>
          <w:szCs w:val="21"/>
        </w:rPr>
        <w:t>4</w:t>
      </w:r>
      <w:r w:rsidRPr="00231934">
        <w:rPr>
          <w:rFonts w:hint="eastAsia"/>
          <w:snapToGrid w:val="0"/>
          <w:kern w:val="0"/>
          <w:szCs w:val="21"/>
        </w:rPr>
        <w:t>条第</w:t>
      </w:r>
      <w:r w:rsidRPr="00231934">
        <w:rPr>
          <w:rFonts w:hint="eastAsia"/>
          <w:snapToGrid w:val="0"/>
          <w:kern w:val="0"/>
          <w:szCs w:val="21"/>
        </w:rPr>
        <w:t>1</w:t>
      </w:r>
      <w:r w:rsidRPr="00231934">
        <w:rPr>
          <w:rFonts w:hint="eastAsia"/>
          <w:snapToGrid w:val="0"/>
          <w:kern w:val="0"/>
          <w:szCs w:val="21"/>
        </w:rPr>
        <w:t>款及委员会就该主题的第</w:t>
      </w:r>
      <w:r w:rsidRPr="00231934">
        <w:rPr>
          <w:rFonts w:hint="eastAsia"/>
          <w:snapToGrid w:val="0"/>
          <w:kern w:val="0"/>
          <w:szCs w:val="21"/>
        </w:rPr>
        <w:t>25</w:t>
      </w:r>
      <w:r w:rsidRPr="00231934">
        <w:rPr>
          <w:rFonts w:hint="eastAsia"/>
          <w:snapToGrid w:val="0"/>
          <w:kern w:val="0"/>
          <w:szCs w:val="21"/>
        </w:rPr>
        <w:t>号一般性建议所采取举措，以促进对提高妇女地位的暂行特别措施的理解。</w:t>
      </w:r>
      <w:r w:rsidRPr="00231934">
        <w:rPr>
          <w:rFonts w:hint="eastAsia"/>
          <w:snapToGrid w:val="0"/>
          <w:kern w:val="0"/>
          <w:szCs w:val="21"/>
        </w:rPr>
        <w:t xml:space="preserve"> </w:t>
      </w:r>
      <w:r w:rsidRPr="00231934">
        <w:rPr>
          <w:rFonts w:hint="eastAsia"/>
          <w:snapToGrid w:val="0"/>
          <w:kern w:val="0"/>
          <w:szCs w:val="21"/>
        </w:rPr>
        <w:t>报告提到，已制定关于为妇女保留席位的战略</w:t>
      </w:r>
      <w:r w:rsidRPr="00231934">
        <w:rPr>
          <w:rFonts w:hint="eastAsia"/>
          <w:snapToGrid w:val="0"/>
          <w:kern w:val="0"/>
          <w:szCs w:val="21"/>
        </w:rPr>
        <w:t>/</w:t>
      </w:r>
      <w:r w:rsidRPr="00231934">
        <w:rPr>
          <w:rFonts w:hint="eastAsia"/>
          <w:snapToGrid w:val="0"/>
          <w:kern w:val="0"/>
          <w:szCs w:val="21"/>
        </w:rPr>
        <w:t>政策文件，并提交至发展协调委员会和内阁</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33</w:t>
      </w:r>
      <w:r w:rsidRPr="00231934">
        <w:rPr>
          <w:rFonts w:hint="eastAsia"/>
          <w:snapToGrid w:val="0"/>
          <w:kern w:val="0"/>
          <w:szCs w:val="21"/>
        </w:rPr>
        <w:t>段下的表格及第</w:t>
      </w:r>
      <w:r w:rsidRPr="00231934">
        <w:rPr>
          <w:rFonts w:hint="eastAsia"/>
          <w:snapToGrid w:val="0"/>
          <w:kern w:val="0"/>
          <w:szCs w:val="21"/>
        </w:rPr>
        <w:t>35</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，同时还提到旨在为妇女保留议会席位</w:t>
      </w:r>
      <w:r>
        <w:rPr>
          <w:rFonts w:hint="eastAsia"/>
          <w:snapToGrid w:val="0"/>
          <w:kern w:val="0"/>
          <w:szCs w:val="21"/>
        </w:rPr>
        <w:t>(</w:t>
      </w:r>
      <w:r w:rsidRPr="00231934">
        <w:rPr>
          <w:rFonts w:hint="eastAsia"/>
          <w:snapToGrid w:val="0"/>
          <w:kern w:val="0"/>
          <w:szCs w:val="21"/>
        </w:rPr>
        <w:t>总共</w:t>
      </w:r>
      <w:r w:rsidRPr="00231934">
        <w:rPr>
          <w:rFonts w:hint="eastAsia"/>
          <w:snapToGrid w:val="0"/>
          <w:kern w:val="0"/>
          <w:szCs w:val="21"/>
        </w:rPr>
        <w:t>2</w:t>
      </w:r>
      <w:r w:rsidRPr="00231934">
        <w:rPr>
          <w:rFonts w:hint="eastAsia"/>
          <w:snapToGrid w:val="0"/>
          <w:kern w:val="0"/>
          <w:szCs w:val="21"/>
        </w:rPr>
        <w:t>个席位，每</w:t>
      </w:r>
      <w:r w:rsidRPr="00231934">
        <w:rPr>
          <w:rFonts w:hint="eastAsia"/>
          <w:snapToGrid w:val="0"/>
          <w:kern w:val="0"/>
          <w:szCs w:val="21"/>
        </w:rPr>
        <w:t>4</w:t>
      </w:r>
      <w:r w:rsidRPr="00231934">
        <w:rPr>
          <w:rFonts w:hint="eastAsia"/>
          <w:snapToGrid w:val="0"/>
          <w:kern w:val="0"/>
          <w:szCs w:val="21"/>
        </w:rPr>
        <w:t>个岛屿</w:t>
      </w:r>
      <w:r w:rsidRPr="00231934">
        <w:rPr>
          <w:rFonts w:hint="eastAsia"/>
          <w:snapToGrid w:val="0"/>
          <w:kern w:val="0"/>
          <w:szCs w:val="21"/>
        </w:rPr>
        <w:t>1</w:t>
      </w:r>
      <w:r w:rsidRPr="00231934">
        <w:rPr>
          <w:rFonts w:hint="eastAsia"/>
          <w:snapToGrid w:val="0"/>
          <w:kern w:val="0"/>
          <w:szCs w:val="21"/>
        </w:rPr>
        <w:t>个席位</w:t>
      </w:r>
      <w:r>
        <w:rPr>
          <w:rFonts w:hint="eastAsia"/>
          <w:snapToGrid w:val="0"/>
          <w:kern w:val="0"/>
          <w:szCs w:val="21"/>
        </w:rPr>
        <w:t>)</w:t>
      </w:r>
      <w:r w:rsidRPr="00231934">
        <w:rPr>
          <w:rFonts w:hint="eastAsia"/>
          <w:snapToGrid w:val="0"/>
          <w:kern w:val="0"/>
          <w:szCs w:val="21"/>
        </w:rPr>
        <w:t>的立法仍有待实施。请提供资料，说明该文件的内容、现状以及为加快通过相关立法草案所采取的措施。</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hint="eastAsia"/>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定型观念和文化习俗</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8.</w:t>
      </w:r>
      <w:r w:rsidRPr="00231934">
        <w:rPr>
          <w:snapToGrid w:val="0"/>
          <w:kern w:val="0"/>
          <w:szCs w:val="21"/>
        </w:rPr>
        <w:tab/>
      </w:r>
      <w:r w:rsidRPr="00231934">
        <w:rPr>
          <w:rFonts w:hint="eastAsia"/>
          <w:snapToGrid w:val="0"/>
          <w:kern w:val="0"/>
          <w:szCs w:val="21"/>
        </w:rPr>
        <w:t>缔约国确认，传统重男轻女态度、性别陈规定性观念的存在助长性别歧视，并加强妇女和男子在社会及家庭中所担任角色的定型形象</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32</w:t>
      </w:r>
      <w:r w:rsidRPr="00231934">
        <w:rPr>
          <w:rFonts w:hint="eastAsia"/>
          <w:snapToGrid w:val="0"/>
          <w:kern w:val="0"/>
          <w:szCs w:val="21"/>
        </w:rPr>
        <w:t>、</w:t>
      </w:r>
      <w:r w:rsidRPr="00231934">
        <w:rPr>
          <w:rFonts w:hint="eastAsia"/>
          <w:snapToGrid w:val="0"/>
          <w:kern w:val="0"/>
          <w:szCs w:val="21"/>
        </w:rPr>
        <w:t>36-37</w:t>
      </w:r>
      <w:r w:rsidRPr="00231934">
        <w:rPr>
          <w:rFonts w:hint="eastAsia"/>
          <w:snapToGrid w:val="0"/>
          <w:kern w:val="0"/>
          <w:szCs w:val="21"/>
        </w:rPr>
        <w:t>段及第</w:t>
      </w:r>
      <w:r w:rsidRPr="00231934">
        <w:rPr>
          <w:rFonts w:hint="eastAsia"/>
          <w:snapToGrid w:val="0"/>
          <w:kern w:val="0"/>
          <w:szCs w:val="21"/>
        </w:rPr>
        <w:t>70</w:t>
      </w:r>
      <w:r w:rsidRPr="00231934">
        <w:rPr>
          <w:rFonts w:hint="eastAsia"/>
          <w:snapToGrid w:val="0"/>
          <w:kern w:val="0"/>
          <w:szCs w:val="21"/>
        </w:rPr>
        <w:t>段；</w:t>
      </w:r>
      <w:r w:rsidRPr="00231934">
        <w:rPr>
          <w:snapToGrid w:val="0"/>
          <w:kern w:val="0"/>
          <w:szCs w:val="21"/>
        </w:rPr>
        <w:t>HRI/CORE/TUV/2012</w:t>
      </w:r>
      <w:r w:rsidRPr="00231934">
        <w:rPr>
          <w:rFonts w:hint="eastAsia"/>
          <w:snapToGrid w:val="0"/>
          <w:kern w:val="0"/>
          <w:szCs w:val="21"/>
        </w:rPr>
        <w:t>，第</w:t>
      </w:r>
      <w:r w:rsidRPr="00231934">
        <w:rPr>
          <w:rFonts w:hint="eastAsia"/>
          <w:snapToGrid w:val="0"/>
          <w:kern w:val="0"/>
          <w:szCs w:val="21"/>
        </w:rPr>
        <w:t>10</w:t>
      </w:r>
      <w:r w:rsidRPr="00231934">
        <w:rPr>
          <w:rFonts w:hint="eastAsia"/>
          <w:snapToGrid w:val="0"/>
          <w:kern w:val="0"/>
          <w:szCs w:val="21"/>
        </w:rPr>
        <w:t>、</w:t>
      </w:r>
      <w:r w:rsidRPr="00231934">
        <w:rPr>
          <w:rFonts w:hint="eastAsia"/>
          <w:snapToGrid w:val="0"/>
          <w:kern w:val="0"/>
          <w:szCs w:val="21"/>
        </w:rPr>
        <w:t>62</w:t>
      </w:r>
      <w:r w:rsidRPr="00231934">
        <w:rPr>
          <w:rFonts w:hint="eastAsia"/>
          <w:snapToGrid w:val="0"/>
          <w:kern w:val="0"/>
          <w:szCs w:val="21"/>
        </w:rPr>
        <w:t>及</w:t>
      </w:r>
      <w:r w:rsidRPr="00231934">
        <w:rPr>
          <w:rFonts w:hint="eastAsia"/>
          <w:snapToGrid w:val="0"/>
          <w:kern w:val="0"/>
          <w:szCs w:val="21"/>
        </w:rPr>
        <w:t>64</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。请提供详细资料，说明为消除阻碍妇女充分行使其权利的重男轻女态度和歧视性的定型观念的措施，并说明缔约国是否有计划依据委员会此前的建议</w:t>
      </w:r>
      <w:r>
        <w:rPr>
          <w:rFonts w:hint="eastAsia"/>
          <w:snapToGrid w:val="0"/>
          <w:kern w:val="0"/>
          <w:szCs w:val="21"/>
        </w:rPr>
        <w:t>(</w:t>
      </w:r>
      <w:r w:rsidRPr="00231934">
        <w:rPr>
          <w:snapToGrid w:val="0"/>
          <w:kern w:val="0"/>
          <w:szCs w:val="21"/>
        </w:rPr>
        <w:t>CEDAW/C/TUV/CO/2</w:t>
      </w:r>
      <w:r w:rsidRPr="00231934">
        <w:rPr>
          <w:rFonts w:hint="eastAsia"/>
          <w:snapToGrid w:val="0"/>
          <w:kern w:val="0"/>
          <w:szCs w:val="21"/>
        </w:rPr>
        <w:t>，第</w:t>
      </w:r>
      <w:r w:rsidRPr="00231934">
        <w:rPr>
          <w:rFonts w:hint="eastAsia"/>
          <w:snapToGrid w:val="0"/>
          <w:kern w:val="0"/>
          <w:szCs w:val="21"/>
        </w:rPr>
        <w:t>28</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制定一项包括立法在内的全面战略，建立一项监测机制并开展有关该主题的研究。</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暴力侵害妇女行为</w:t>
      </w:r>
      <w:r w:rsidRPr="00231934">
        <w:rPr>
          <w:rFonts w:eastAsia="SimHei"/>
          <w:kern w:val="0"/>
          <w:szCs w:val="21"/>
          <w:lang w:val="en-GB"/>
        </w:rPr>
        <w:t xml:space="preserve"> </w:t>
      </w:r>
    </w:p>
    <w:p w:rsidR="00231934" w:rsidRPr="00231934" w:rsidRDefault="00231934" w:rsidP="00231934">
      <w:pPr>
        <w:tabs>
          <w:tab w:val="left" w:pos="1560"/>
        </w:tabs>
        <w:suppressAutoHyphens/>
        <w:spacing w:after="140"/>
        <w:ind w:left="1134" w:right="1134"/>
        <w:rPr>
          <w:rFonts w:hint="eastAsia"/>
          <w:kern w:val="0"/>
          <w:szCs w:val="21"/>
          <w:lang w:val="en-GB"/>
        </w:rPr>
      </w:pPr>
      <w:r w:rsidRPr="00231934">
        <w:rPr>
          <w:kern w:val="0"/>
          <w:szCs w:val="21"/>
          <w:lang w:val="en-GB"/>
        </w:rPr>
        <w:t>9.</w:t>
      </w:r>
      <w:r w:rsidRPr="00231934">
        <w:rPr>
          <w:kern w:val="0"/>
          <w:szCs w:val="21"/>
          <w:lang w:val="en-GB"/>
        </w:rPr>
        <w:tab/>
      </w:r>
      <w:r w:rsidRPr="00231934">
        <w:rPr>
          <w:rFonts w:hint="eastAsia"/>
          <w:kern w:val="0"/>
          <w:szCs w:val="21"/>
          <w:lang w:val="en-GB"/>
        </w:rPr>
        <w:t>报告指出，</w:t>
      </w:r>
      <w:r w:rsidRPr="00231934">
        <w:rPr>
          <w:rFonts w:hint="eastAsia"/>
          <w:kern w:val="0"/>
          <w:szCs w:val="21"/>
          <w:lang w:val="en-GB"/>
        </w:rPr>
        <w:t>40%</w:t>
      </w:r>
      <w:r w:rsidRPr="00231934">
        <w:rPr>
          <w:rFonts w:hint="eastAsia"/>
          <w:kern w:val="0"/>
          <w:szCs w:val="21"/>
          <w:lang w:val="en-GB"/>
        </w:rPr>
        <w:t>的妇女报告曾经历过某些类型的身体暴力或性暴力</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46</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。报告还指出，为消除暴力侵害妇女行为，并制定一项关于家庭保护和家庭暴力的法案，但目前仍有待进行进一步的社区磋商，然后交回内阁批准</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48</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。请提供资料，说明该法案的现状，包括其获得通过的明确时限、其内容、目标以及妇女在编制该法案过程中的参与度如何。另请说明，缔约国是否计划按照委员会此前的结论意见</w:t>
      </w:r>
      <w:r>
        <w:rPr>
          <w:rFonts w:hint="eastAsia"/>
          <w:kern w:val="0"/>
          <w:szCs w:val="21"/>
          <w:lang w:val="en-GB"/>
        </w:rPr>
        <w:t>(</w:t>
      </w:r>
      <w:r w:rsidRPr="00231934">
        <w:rPr>
          <w:rFonts w:hint="eastAsia"/>
          <w:kern w:val="0"/>
          <w:szCs w:val="21"/>
          <w:lang w:val="en-GB"/>
        </w:rPr>
        <w:t>CEDAW/C/TUV/CO/2</w:t>
      </w:r>
      <w:r w:rsidRPr="00231934">
        <w:rPr>
          <w:rFonts w:hint="eastAsia"/>
          <w:kern w:val="0"/>
          <w:szCs w:val="21"/>
          <w:lang w:val="en-GB"/>
        </w:rPr>
        <w:t>，第</w:t>
      </w:r>
      <w:r w:rsidRPr="00231934">
        <w:rPr>
          <w:rFonts w:hint="eastAsia"/>
          <w:kern w:val="0"/>
          <w:szCs w:val="21"/>
          <w:lang w:val="en-GB"/>
        </w:rPr>
        <w:t>32</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废除《刑法》中的歧视性条款。请阐述旨在扩展强奸、包括婚内强奸定义的拟议修正案</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58</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。另请说明，在禁止对女童及男童的各种形式体罚、包括家中体罚方面所取得的进展。</w:t>
      </w:r>
    </w:p>
    <w:p w:rsidR="00231934" w:rsidRPr="00231934" w:rsidRDefault="00231934" w:rsidP="00231934">
      <w:pPr>
        <w:tabs>
          <w:tab w:val="left" w:pos="1560"/>
        </w:tabs>
        <w:suppressAutoHyphens/>
        <w:spacing w:after="140"/>
        <w:ind w:left="1134" w:right="1134"/>
        <w:rPr>
          <w:rFonts w:hint="eastAsia"/>
          <w:kern w:val="0"/>
          <w:szCs w:val="21"/>
          <w:lang w:val="en-GB"/>
        </w:rPr>
      </w:pPr>
      <w:r w:rsidRPr="00231934">
        <w:rPr>
          <w:kern w:val="0"/>
          <w:szCs w:val="21"/>
          <w:lang w:val="en-GB"/>
        </w:rPr>
        <w:t>10.</w:t>
      </w:r>
      <w:r w:rsidRPr="00231934">
        <w:rPr>
          <w:kern w:val="0"/>
          <w:szCs w:val="21"/>
          <w:lang w:val="en-GB"/>
        </w:rPr>
        <w:tab/>
      </w:r>
      <w:r w:rsidRPr="00231934">
        <w:rPr>
          <w:rFonts w:hint="eastAsia"/>
          <w:kern w:val="0"/>
          <w:szCs w:val="21"/>
          <w:lang w:val="en-GB"/>
        </w:rPr>
        <w:t>报告还进一步确认，缔约国没有收容家庭暴力受害者的收容所</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53</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。请说明，缔约国是否正采取措施</w:t>
      </w:r>
      <w:r w:rsidRPr="00231934">
        <w:rPr>
          <w:kern w:val="0"/>
          <w:szCs w:val="21"/>
          <w:lang w:val="en-GB"/>
        </w:rPr>
        <w:t>确保暴力</w:t>
      </w:r>
      <w:r w:rsidRPr="00231934">
        <w:rPr>
          <w:rFonts w:hint="eastAsia"/>
          <w:kern w:val="0"/>
          <w:szCs w:val="21"/>
          <w:lang w:val="en-GB"/>
        </w:rPr>
        <w:t>受害者</w:t>
      </w:r>
      <w:r w:rsidRPr="00231934">
        <w:rPr>
          <w:kern w:val="0"/>
          <w:szCs w:val="21"/>
          <w:lang w:val="en-GB"/>
        </w:rPr>
        <w:t>立即且有效地获得补偿和保护，包括</w:t>
      </w:r>
      <w:r w:rsidRPr="00231934">
        <w:rPr>
          <w:rFonts w:hint="eastAsia"/>
          <w:kern w:val="0"/>
          <w:szCs w:val="21"/>
          <w:lang w:val="en-GB"/>
        </w:rPr>
        <w:t>收容所。另请阐述危机中心项目</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52</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，以及除了提供关于该中心使用人按性别分类的数据外的其他成果，获得该中心援助的条件以及提供哪些援助。</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贩运妇女及利用妇女卖淫盈利</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11.</w:t>
      </w:r>
      <w:r w:rsidRPr="00231934">
        <w:rPr>
          <w:snapToGrid w:val="0"/>
          <w:kern w:val="0"/>
          <w:szCs w:val="21"/>
        </w:rPr>
        <w:tab/>
      </w:r>
      <w:r w:rsidRPr="00231934">
        <w:rPr>
          <w:rFonts w:hint="eastAsia"/>
          <w:snapToGrid w:val="0"/>
          <w:kern w:val="0"/>
          <w:szCs w:val="21"/>
        </w:rPr>
        <w:t>缔约国确认，缺乏关于利用妇女卖淫或贩运对妇女方面的信息</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60</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。请说明，缔约国是否有意根据委员会此前的建议</w:t>
      </w:r>
      <w:r>
        <w:rPr>
          <w:rFonts w:hint="eastAsia"/>
          <w:snapToGrid w:val="0"/>
          <w:kern w:val="0"/>
          <w:szCs w:val="21"/>
        </w:rPr>
        <w:t>(</w:t>
      </w:r>
      <w:r w:rsidRPr="00231934">
        <w:rPr>
          <w:snapToGrid w:val="0"/>
          <w:kern w:val="0"/>
          <w:szCs w:val="21"/>
        </w:rPr>
        <w:t>CEDAW/C/TUV/CO/2</w:t>
      </w:r>
      <w:r w:rsidRPr="00231934">
        <w:rPr>
          <w:rFonts w:hint="eastAsia"/>
          <w:snapToGrid w:val="0"/>
          <w:kern w:val="0"/>
          <w:szCs w:val="21"/>
        </w:rPr>
        <w:t>，第</w:t>
      </w:r>
      <w:r w:rsidRPr="00231934">
        <w:rPr>
          <w:rFonts w:hint="eastAsia"/>
          <w:snapToGrid w:val="0"/>
          <w:kern w:val="0"/>
          <w:szCs w:val="21"/>
        </w:rPr>
        <w:t>34</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，建立一个数据收集系统，并就缔约国剥削妇女和女童的普遍程度和根源开展研究和调查。</w:t>
      </w:r>
      <w:r w:rsidRPr="00231934">
        <w:rPr>
          <w:snapToGrid w:val="0"/>
          <w:kern w:val="0"/>
          <w:szCs w:val="21"/>
        </w:rPr>
        <w:t>请提供资料，说明为</w:t>
      </w:r>
      <w:r w:rsidRPr="00231934">
        <w:rPr>
          <w:rFonts w:hint="eastAsia"/>
          <w:snapToGrid w:val="0"/>
          <w:kern w:val="0"/>
          <w:szCs w:val="21"/>
        </w:rPr>
        <w:t>查明</w:t>
      </w:r>
      <w:r w:rsidRPr="00231934">
        <w:rPr>
          <w:snapToGrid w:val="0"/>
          <w:kern w:val="0"/>
          <w:szCs w:val="21"/>
        </w:rPr>
        <w:t>贩运受害者、给予保护并向她们提供康复和重返社会服务而采取的措施。</w:t>
      </w:r>
      <w:r w:rsidRPr="00231934">
        <w:rPr>
          <w:rFonts w:hint="eastAsia"/>
          <w:snapToGrid w:val="0"/>
          <w:kern w:val="0"/>
          <w:szCs w:val="21"/>
        </w:rPr>
        <w:t>另请提供资料，说明贩运案件中开展调查和实施起诉的数量，以及针对犯罪人的刑事判决情况。请说明，缔约国是否有意审查并废除《刑法》中与卖淫有关的歧视性条款。</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参与政治和公共生活</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12.</w:t>
      </w:r>
      <w:r w:rsidRPr="00231934">
        <w:rPr>
          <w:snapToGrid w:val="0"/>
          <w:kern w:val="0"/>
          <w:szCs w:val="21"/>
        </w:rPr>
        <w:tab/>
      </w:r>
      <w:r w:rsidRPr="00231934">
        <w:rPr>
          <w:rFonts w:hint="eastAsia"/>
          <w:snapToGrid w:val="0"/>
          <w:kern w:val="0"/>
          <w:szCs w:val="21"/>
        </w:rPr>
        <w:t>缔约国确认，由于在领导职位方面盛行对妇女的重男轻女态度，妇女参与政治和公共生活存在障碍</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70</w:t>
      </w:r>
      <w:r w:rsidRPr="00231934">
        <w:rPr>
          <w:rFonts w:hint="eastAsia"/>
          <w:snapToGrid w:val="0"/>
          <w:kern w:val="0"/>
          <w:szCs w:val="21"/>
        </w:rPr>
        <w:t>段；</w:t>
      </w:r>
      <w:r w:rsidRPr="00231934">
        <w:rPr>
          <w:snapToGrid w:val="0"/>
          <w:kern w:val="0"/>
          <w:szCs w:val="21"/>
        </w:rPr>
        <w:t>HRI/CORE/TUV/2012</w:t>
      </w:r>
      <w:r w:rsidRPr="00231934">
        <w:rPr>
          <w:rFonts w:hint="eastAsia"/>
          <w:snapToGrid w:val="0"/>
          <w:kern w:val="0"/>
          <w:szCs w:val="21"/>
        </w:rPr>
        <w:t>，第</w:t>
      </w:r>
      <w:r w:rsidRPr="00231934">
        <w:rPr>
          <w:rFonts w:hint="eastAsia"/>
          <w:snapToGrid w:val="0"/>
          <w:kern w:val="0"/>
          <w:szCs w:val="21"/>
        </w:rPr>
        <w:t>64</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提供资料，说明为提高对妇女充分及平等参与领导职位的认识，并加速提高妇女在政治和公共生活，特别是在地方和国家两级的议会和其他决策机构中代表性所采取的措施，包括暂行特别措施和宣传活动。请说明，制定了哪些特别措施，以确保妇女充分参与讨论、设计和制定关于适应气候变化的政策。请阐述，对《酋长院法案》的拟议修正案，包括为</w:t>
      </w:r>
      <w:r w:rsidRPr="00231934">
        <w:rPr>
          <w:snapToGrid w:val="0"/>
          <w:kern w:val="0"/>
          <w:szCs w:val="21"/>
        </w:rPr>
        <w:t>确保年满</w:t>
      </w:r>
      <w:r w:rsidRPr="00231934">
        <w:rPr>
          <w:snapToGrid w:val="0"/>
          <w:kern w:val="0"/>
          <w:szCs w:val="21"/>
        </w:rPr>
        <w:t>18</w:t>
      </w:r>
      <w:r w:rsidRPr="00231934">
        <w:rPr>
          <w:snapToGrid w:val="0"/>
          <w:kern w:val="0"/>
          <w:szCs w:val="21"/>
        </w:rPr>
        <w:t>岁的妇女和男子有资格在酋长院会议和批准酋长院年度预算时投票</w:t>
      </w:r>
      <w:r w:rsidRPr="00231934">
        <w:rPr>
          <w:rFonts w:hint="eastAsia"/>
          <w:snapToGrid w:val="0"/>
          <w:kern w:val="0"/>
          <w:szCs w:val="21"/>
        </w:rPr>
        <w:t>的拟议修正案的情况</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9</w:t>
      </w:r>
      <w:r w:rsidRPr="00231934">
        <w:rPr>
          <w:rFonts w:hint="eastAsia"/>
          <w:snapToGrid w:val="0"/>
          <w:kern w:val="0"/>
          <w:szCs w:val="21"/>
        </w:rPr>
        <w:t>段和第</w:t>
      </w:r>
      <w:r w:rsidRPr="00231934">
        <w:rPr>
          <w:rFonts w:hint="eastAsia"/>
          <w:snapToGrid w:val="0"/>
          <w:kern w:val="0"/>
          <w:szCs w:val="21"/>
        </w:rPr>
        <w:t>11</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国籍</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13.</w:t>
      </w:r>
      <w:r w:rsidRPr="00231934">
        <w:rPr>
          <w:snapToGrid w:val="0"/>
          <w:kern w:val="0"/>
          <w:szCs w:val="21"/>
        </w:rPr>
        <w:tab/>
      </w:r>
      <w:r w:rsidRPr="00231934">
        <w:rPr>
          <w:rFonts w:hint="eastAsia"/>
          <w:snapToGrid w:val="0"/>
          <w:kern w:val="0"/>
          <w:szCs w:val="21"/>
        </w:rPr>
        <w:t>请提供资料，说明缔约国采取任何措施以修正其关于国籍的立法，特别是关于</w:t>
      </w:r>
      <w:r w:rsidRPr="00231934">
        <w:rPr>
          <w:snapToGrid w:val="0"/>
          <w:kern w:val="0"/>
          <w:szCs w:val="21"/>
        </w:rPr>
        <w:t>影响图瓦卢妇女在与男子平等的基础上将国籍传给子女</w:t>
      </w:r>
      <w:r w:rsidRPr="00231934">
        <w:rPr>
          <w:rFonts w:hint="eastAsia"/>
          <w:snapToGrid w:val="0"/>
          <w:kern w:val="0"/>
          <w:szCs w:val="21"/>
        </w:rPr>
        <w:t>的立法，</w:t>
      </w:r>
      <w:r w:rsidRPr="00231934">
        <w:rPr>
          <w:snapToGrid w:val="0"/>
          <w:kern w:val="0"/>
          <w:szCs w:val="21"/>
        </w:rPr>
        <w:t>使之完全符合《公约》第</w:t>
      </w:r>
      <w:r w:rsidRPr="00231934">
        <w:rPr>
          <w:snapToGrid w:val="0"/>
          <w:kern w:val="0"/>
          <w:szCs w:val="21"/>
        </w:rPr>
        <w:t>9</w:t>
      </w:r>
      <w:r w:rsidRPr="00231934">
        <w:rPr>
          <w:snapToGrid w:val="0"/>
          <w:kern w:val="0"/>
          <w:szCs w:val="21"/>
        </w:rPr>
        <w:t>条的规定</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75</w:t>
      </w:r>
      <w:r w:rsidRPr="00231934">
        <w:rPr>
          <w:rFonts w:hint="eastAsia"/>
          <w:snapToGrid w:val="0"/>
          <w:kern w:val="0"/>
          <w:szCs w:val="21"/>
        </w:rPr>
        <w:t>段</w:t>
      </w:r>
      <w:r>
        <w:rPr>
          <w:rFonts w:hint="eastAsia"/>
          <w:snapToGrid w:val="0"/>
          <w:kern w:val="0"/>
          <w:szCs w:val="21"/>
        </w:rPr>
        <w:t>)</w:t>
      </w:r>
      <w:r w:rsidRPr="00231934">
        <w:rPr>
          <w:snapToGrid w:val="0"/>
          <w:kern w:val="0"/>
          <w:szCs w:val="21"/>
        </w:rPr>
        <w:t>。</w:t>
      </w:r>
    </w:p>
    <w:p w:rsidR="00231934" w:rsidRPr="00231934" w:rsidRDefault="00231934" w:rsidP="00231934">
      <w:pPr>
        <w:keepNext/>
        <w:keepLines/>
        <w:tabs>
          <w:tab w:val="right" w:pos="851"/>
          <w:tab w:val="left" w:pos="1560"/>
        </w:tabs>
        <w:suppressAutoHyphens/>
        <w:spacing w:after="140" w:line="330" w:lineRule="exact"/>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教育</w:t>
      </w:r>
      <w:r w:rsidRPr="00231934">
        <w:rPr>
          <w:rFonts w:eastAsia="SimHei"/>
          <w:kern w:val="0"/>
          <w:szCs w:val="21"/>
          <w:lang w:val="en-GB"/>
        </w:rPr>
        <w:t xml:space="preserve"> </w:t>
      </w:r>
    </w:p>
    <w:p w:rsidR="00231934" w:rsidRPr="00231934" w:rsidRDefault="00231934" w:rsidP="00231934">
      <w:pPr>
        <w:tabs>
          <w:tab w:val="left" w:pos="1560"/>
        </w:tabs>
        <w:suppressAutoHyphens/>
        <w:spacing w:after="140" w:line="330" w:lineRule="exact"/>
        <w:ind w:left="1134" w:right="1134"/>
        <w:rPr>
          <w:rFonts w:hint="eastAsia"/>
          <w:kern w:val="0"/>
          <w:szCs w:val="21"/>
          <w:lang w:val="en-GB"/>
        </w:rPr>
      </w:pPr>
      <w:r w:rsidRPr="00231934">
        <w:rPr>
          <w:kern w:val="0"/>
          <w:szCs w:val="21"/>
          <w:lang w:val="en-GB"/>
        </w:rPr>
        <w:t>14.</w:t>
      </w:r>
      <w:r w:rsidRPr="00231934">
        <w:rPr>
          <w:kern w:val="0"/>
          <w:szCs w:val="21"/>
          <w:lang w:val="en-GB"/>
        </w:rPr>
        <w:tab/>
      </w:r>
      <w:r w:rsidRPr="00231934">
        <w:rPr>
          <w:rFonts w:hint="eastAsia"/>
          <w:kern w:val="0"/>
          <w:szCs w:val="21"/>
          <w:lang w:val="en-GB"/>
        </w:rPr>
        <w:t>请提供最新资料，说明在首都和外岛的女孩和妇女入读小学、中学和接受高等教育的比例。报告确认，父母通常让年纪更大的女孩呆在家照顾兄弟姊妹</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79</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。请说明，计划采取哪些措施，以便更有效地解决该问题，并确保女孩能平等获得各级教育。另请提供资料，说明在确保青年妇女进入图瓦卢海事培训学院方面所取得的进展，包括按照《公约》第</w:t>
      </w:r>
      <w:r w:rsidRPr="00231934">
        <w:rPr>
          <w:rFonts w:hint="eastAsia"/>
          <w:kern w:val="0"/>
          <w:szCs w:val="21"/>
          <w:lang w:val="en-GB"/>
        </w:rPr>
        <w:t>4</w:t>
      </w:r>
      <w:r w:rsidRPr="00231934">
        <w:rPr>
          <w:rFonts w:hint="eastAsia"/>
          <w:kern w:val="0"/>
          <w:szCs w:val="21"/>
          <w:lang w:val="en-GB"/>
        </w:rPr>
        <w:t>条以及第</w:t>
      </w:r>
      <w:r w:rsidRPr="00231934">
        <w:rPr>
          <w:rFonts w:hint="eastAsia"/>
          <w:kern w:val="0"/>
          <w:szCs w:val="21"/>
          <w:lang w:val="en-GB"/>
        </w:rPr>
        <w:t>25</w:t>
      </w:r>
      <w:r w:rsidRPr="00231934">
        <w:rPr>
          <w:rFonts w:hint="eastAsia"/>
          <w:kern w:val="0"/>
          <w:szCs w:val="21"/>
          <w:lang w:val="en-GB"/>
        </w:rPr>
        <w:t>号一般性建议制定的暂行特别措施，以及通过这些措施所取得的进展</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77-78</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w:t>
      </w:r>
    </w:p>
    <w:p w:rsidR="00231934" w:rsidRPr="00231934" w:rsidRDefault="00231934" w:rsidP="00231934">
      <w:pPr>
        <w:tabs>
          <w:tab w:val="left" w:pos="1560"/>
        </w:tabs>
        <w:suppressAutoHyphens/>
        <w:spacing w:after="140" w:line="330" w:lineRule="exact"/>
        <w:ind w:left="1134" w:right="1134"/>
        <w:rPr>
          <w:kern w:val="0"/>
          <w:szCs w:val="21"/>
          <w:lang w:val="en-GB"/>
        </w:rPr>
      </w:pPr>
      <w:r w:rsidRPr="00231934">
        <w:rPr>
          <w:kern w:val="0"/>
          <w:szCs w:val="21"/>
          <w:lang w:val="en-GB"/>
        </w:rPr>
        <w:t>15.</w:t>
      </w:r>
      <w:r w:rsidRPr="00231934">
        <w:rPr>
          <w:kern w:val="0"/>
          <w:szCs w:val="21"/>
          <w:lang w:val="en-GB"/>
        </w:rPr>
        <w:tab/>
      </w:r>
      <w:r w:rsidRPr="00231934">
        <w:rPr>
          <w:rFonts w:hint="eastAsia"/>
          <w:kern w:val="0"/>
          <w:szCs w:val="21"/>
          <w:lang w:val="en-GB"/>
        </w:rPr>
        <w:t>报告确认，没有获得有关“退学”的信息，也没有制定相应的监测系统</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82</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，《教育法》和《刑法》对体罚的态度也没有改变</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83</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。请提供资料，说明缔约国是否计划按照委员会此前的建议</w:t>
      </w:r>
      <w:r>
        <w:rPr>
          <w:rFonts w:hint="eastAsia"/>
          <w:kern w:val="0"/>
          <w:szCs w:val="21"/>
          <w:lang w:val="en-GB"/>
        </w:rPr>
        <w:t>(</w:t>
      </w:r>
      <w:r w:rsidRPr="00231934">
        <w:rPr>
          <w:kern w:val="0"/>
          <w:szCs w:val="21"/>
          <w:lang w:val="en-GB"/>
        </w:rPr>
        <w:t>CEDAW/C/TUV/CO/2</w:t>
      </w:r>
      <w:r w:rsidRPr="00231934">
        <w:rPr>
          <w:rFonts w:hint="eastAsia"/>
          <w:kern w:val="0"/>
          <w:szCs w:val="21"/>
          <w:lang w:val="en-GB"/>
        </w:rPr>
        <w:t>，第</w:t>
      </w:r>
      <w:r w:rsidRPr="00231934">
        <w:rPr>
          <w:rFonts w:hint="eastAsia"/>
          <w:kern w:val="0"/>
          <w:szCs w:val="21"/>
          <w:lang w:val="en-GB"/>
        </w:rPr>
        <w:t>40</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建立并执行一套适当的系统，以监测学校“退学”，并在《教育法》和《刑法》中禁止体罚。另请提供资料，说明为培养学校“退学者”在诸如木工和厨师等方面的技能所引入的职业培训</w:t>
      </w:r>
      <w:r>
        <w:rPr>
          <w:rFonts w:hint="eastAsia"/>
          <w:kern w:val="0"/>
          <w:szCs w:val="21"/>
          <w:lang w:val="en-GB"/>
        </w:rPr>
        <w:t>(</w:t>
      </w:r>
      <w:r w:rsidRPr="00231934">
        <w:rPr>
          <w:rFonts w:hint="eastAsia"/>
          <w:kern w:val="0"/>
          <w:szCs w:val="21"/>
          <w:lang w:val="en-GB"/>
        </w:rPr>
        <w:t>第</w:t>
      </w:r>
      <w:r w:rsidRPr="00231934">
        <w:rPr>
          <w:rFonts w:hint="eastAsia"/>
          <w:kern w:val="0"/>
          <w:szCs w:val="21"/>
          <w:lang w:val="en-GB"/>
        </w:rPr>
        <w:t>85</w:t>
      </w:r>
      <w:r w:rsidRPr="00231934">
        <w:rPr>
          <w:rFonts w:hint="eastAsia"/>
          <w:kern w:val="0"/>
          <w:szCs w:val="21"/>
          <w:lang w:val="en-GB"/>
        </w:rPr>
        <w:t>段</w:t>
      </w:r>
      <w:r>
        <w:rPr>
          <w:rFonts w:hint="eastAsia"/>
          <w:kern w:val="0"/>
          <w:szCs w:val="21"/>
          <w:lang w:val="en-GB"/>
        </w:rPr>
        <w:t>)</w:t>
      </w:r>
      <w:r w:rsidRPr="00231934">
        <w:rPr>
          <w:rFonts w:hint="eastAsia"/>
          <w:kern w:val="0"/>
          <w:szCs w:val="21"/>
          <w:lang w:val="en-GB"/>
        </w:rPr>
        <w:t>。</w:t>
      </w:r>
    </w:p>
    <w:p w:rsidR="00231934" w:rsidRPr="00231934" w:rsidRDefault="00231934" w:rsidP="00231934">
      <w:pPr>
        <w:keepNext/>
        <w:keepLines/>
        <w:tabs>
          <w:tab w:val="right" w:pos="851"/>
          <w:tab w:val="left" w:pos="1560"/>
        </w:tabs>
        <w:suppressAutoHyphens/>
        <w:spacing w:after="140" w:line="330" w:lineRule="exact"/>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就业</w:t>
      </w:r>
    </w:p>
    <w:p w:rsidR="00231934" w:rsidRPr="00231934" w:rsidRDefault="00231934" w:rsidP="00231934">
      <w:pPr>
        <w:tabs>
          <w:tab w:val="left" w:pos="431"/>
          <w:tab w:val="left" w:pos="1560"/>
        </w:tabs>
        <w:overflowPunct w:val="0"/>
        <w:adjustRightInd w:val="0"/>
        <w:snapToGrid w:val="0"/>
        <w:spacing w:after="140" w:line="330" w:lineRule="exact"/>
        <w:ind w:left="1134" w:right="1134"/>
        <w:rPr>
          <w:snapToGrid w:val="0"/>
          <w:kern w:val="0"/>
          <w:szCs w:val="21"/>
        </w:rPr>
      </w:pPr>
      <w:r w:rsidRPr="00231934">
        <w:rPr>
          <w:snapToGrid w:val="0"/>
          <w:kern w:val="0"/>
          <w:szCs w:val="21"/>
        </w:rPr>
        <w:t>16.</w:t>
      </w:r>
      <w:r w:rsidRPr="00231934">
        <w:rPr>
          <w:snapToGrid w:val="0"/>
          <w:kern w:val="0"/>
          <w:szCs w:val="21"/>
        </w:rPr>
        <w:tab/>
      </w:r>
      <w:r w:rsidRPr="00231934">
        <w:rPr>
          <w:rFonts w:hint="eastAsia"/>
          <w:snapToGrid w:val="0"/>
          <w:kern w:val="0"/>
          <w:szCs w:val="21"/>
        </w:rPr>
        <w:t>报告指出，《就业法》在有关产假和妇女择业方面仍包含歧视性条款</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86</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。请说明，缔约国是否计划废除此类规定，且是否计划制定就业机会均等政策</w:t>
      </w:r>
      <w:r>
        <w:rPr>
          <w:rFonts w:hint="eastAsia"/>
          <w:snapToGrid w:val="0"/>
          <w:kern w:val="0"/>
          <w:szCs w:val="21"/>
        </w:rPr>
        <w:t>(</w:t>
      </w:r>
      <w:r w:rsidRPr="00231934">
        <w:rPr>
          <w:snapToGrid w:val="0"/>
          <w:kern w:val="0"/>
          <w:szCs w:val="21"/>
        </w:rPr>
        <w:t>HRI/CORE/TUV/2012</w:t>
      </w:r>
      <w:r w:rsidRPr="00231934">
        <w:rPr>
          <w:rFonts w:hint="eastAsia"/>
          <w:snapToGrid w:val="0"/>
          <w:kern w:val="0"/>
          <w:szCs w:val="21"/>
        </w:rPr>
        <w:t>，第</w:t>
      </w:r>
      <w:r w:rsidRPr="00231934">
        <w:rPr>
          <w:rFonts w:hint="eastAsia"/>
          <w:snapToGrid w:val="0"/>
          <w:kern w:val="0"/>
          <w:szCs w:val="21"/>
        </w:rPr>
        <w:t>73</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。另请提供资料，说明按照委员会此前建议</w:t>
      </w:r>
      <w:r>
        <w:rPr>
          <w:rFonts w:hint="eastAsia"/>
          <w:snapToGrid w:val="0"/>
          <w:kern w:val="0"/>
          <w:szCs w:val="21"/>
        </w:rPr>
        <w:t>(</w:t>
      </w:r>
      <w:r w:rsidRPr="00231934">
        <w:rPr>
          <w:snapToGrid w:val="0"/>
          <w:kern w:val="0"/>
          <w:szCs w:val="21"/>
        </w:rPr>
        <w:t>CEDAW/C/TUV/CO/2</w:t>
      </w:r>
      <w:r w:rsidRPr="00231934">
        <w:rPr>
          <w:rFonts w:hint="eastAsia"/>
          <w:snapToGrid w:val="0"/>
          <w:kern w:val="0"/>
          <w:szCs w:val="21"/>
        </w:rPr>
        <w:t>，第</w:t>
      </w:r>
      <w:r w:rsidRPr="00231934">
        <w:rPr>
          <w:rFonts w:hint="eastAsia"/>
          <w:snapToGrid w:val="0"/>
          <w:kern w:val="0"/>
          <w:szCs w:val="21"/>
        </w:rPr>
        <w:t>42</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，为在就业领域保护妇女免遭歧视和剥削所采取的措施，包括</w:t>
      </w:r>
      <w:r w:rsidRPr="00231934">
        <w:rPr>
          <w:snapToGrid w:val="0"/>
          <w:kern w:val="0"/>
          <w:szCs w:val="21"/>
        </w:rPr>
        <w:t>监测和消除男女工资差别，适用同等报酬和工作机会均等原则</w:t>
      </w:r>
      <w:r w:rsidRPr="00231934">
        <w:rPr>
          <w:rFonts w:hint="eastAsia"/>
          <w:snapToGrid w:val="0"/>
          <w:kern w:val="0"/>
          <w:szCs w:val="21"/>
        </w:rPr>
        <w:t>的措施</w:t>
      </w:r>
      <w:r w:rsidRPr="00231934">
        <w:rPr>
          <w:snapToGrid w:val="0"/>
          <w:kern w:val="0"/>
          <w:szCs w:val="21"/>
        </w:rPr>
        <w:t>。</w:t>
      </w:r>
      <w:r w:rsidRPr="00231934">
        <w:rPr>
          <w:rFonts w:hint="eastAsia"/>
          <w:snapToGrid w:val="0"/>
          <w:kern w:val="0"/>
          <w:szCs w:val="21"/>
        </w:rPr>
        <w:t>另请提供资料，说明关于劳动法案的情况，该法案意在使国际劳工组织的八项基本公约更加具有效力，同时说明通过该法案的时限。</w:t>
      </w:r>
    </w:p>
    <w:p w:rsidR="00231934" w:rsidRPr="00231934" w:rsidRDefault="00231934" w:rsidP="00231934">
      <w:pPr>
        <w:keepNext/>
        <w:keepLines/>
        <w:tabs>
          <w:tab w:val="right" w:pos="851"/>
          <w:tab w:val="left" w:pos="1560"/>
        </w:tabs>
        <w:suppressAutoHyphens/>
        <w:spacing w:after="140" w:line="330" w:lineRule="exact"/>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卫生</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line="330" w:lineRule="exact"/>
        <w:ind w:left="1134" w:right="1134"/>
        <w:rPr>
          <w:rFonts w:hint="eastAsia"/>
          <w:snapToGrid w:val="0"/>
          <w:kern w:val="0"/>
          <w:szCs w:val="21"/>
        </w:rPr>
      </w:pPr>
      <w:r w:rsidRPr="00231934">
        <w:rPr>
          <w:snapToGrid w:val="0"/>
          <w:kern w:val="0"/>
          <w:szCs w:val="21"/>
        </w:rPr>
        <w:t>17.</w:t>
      </w:r>
      <w:r w:rsidRPr="00231934">
        <w:rPr>
          <w:snapToGrid w:val="0"/>
          <w:kern w:val="0"/>
          <w:szCs w:val="21"/>
        </w:rPr>
        <w:tab/>
      </w:r>
      <w:r w:rsidRPr="00231934">
        <w:rPr>
          <w:rFonts w:hint="eastAsia"/>
          <w:snapToGrid w:val="0"/>
          <w:kern w:val="0"/>
          <w:szCs w:val="21"/>
        </w:rPr>
        <w:t>请说明，缔约国是否按照委员会关于妇女和健康问题的第</w:t>
      </w:r>
      <w:r w:rsidRPr="00231934">
        <w:rPr>
          <w:rFonts w:hint="eastAsia"/>
          <w:snapToGrid w:val="0"/>
          <w:kern w:val="0"/>
          <w:szCs w:val="21"/>
        </w:rPr>
        <w:t>24</w:t>
      </w:r>
      <w:r w:rsidRPr="00231934">
        <w:rPr>
          <w:rFonts w:hint="eastAsia"/>
          <w:snapToGrid w:val="0"/>
          <w:kern w:val="0"/>
          <w:szCs w:val="21"/>
        </w:rPr>
        <w:t>号一般性建议，采取或打算采取措施实现强奸、乱伦、危及母亲生命或健康或胚胎严重受损情况下的堕胎非罪化。已经采取哪些措施提高社区对该问题的认识？另请提供最新资料，说明孕产妇死亡率</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97</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情况及</w:t>
      </w:r>
      <w:r w:rsidRPr="00231934">
        <w:rPr>
          <w:snapToGrid w:val="0"/>
          <w:kern w:val="0"/>
          <w:szCs w:val="21"/>
        </w:rPr>
        <w:t>按性别、年龄和地理位置分列的艾滋病毒</w:t>
      </w:r>
      <w:r w:rsidRPr="00231934">
        <w:rPr>
          <w:snapToGrid w:val="0"/>
          <w:kern w:val="0"/>
          <w:szCs w:val="21"/>
        </w:rPr>
        <w:t>/</w:t>
      </w:r>
      <w:r w:rsidRPr="00231934">
        <w:rPr>
          <w:snapToGrid w:val="0"/>
          <w:kern w:val="0"/>
          <w:szCs w:val="21"/>
        </w:rPr>
        <w:t>艾滋病发病率最新数据</w:t>
      </w:r>
      <w:r w:rsidRPr="00231934">
        <w:rPr>
          <w:rFonts w:hint="eastAsia"/>
          <w:snapToGrid w:val="0"/>
          <w:kern w:val="0"/>
          <w:szCs w:val="21"/>
        </w:rPr>
        <w:t>。请提供详细资料，说明为应对艾滋病毒</w:t>
      </w:r>
      <w:r w:rsidRPr="00231934">
        <w:rPr>
          <w:rFonts w:hint="eastAsia"/>
          <w:snapToGrid w:val="0"/>
          <w:kern w:val="0"/>
          <w:szCs w:val="21"/>
        </w:rPr>
        <w:t>/</w:t>
      </w:r>
      <w:r w:rsidRPr="00231934">
        <w:rPr>
          <w:rFonts w:hint="eastAsia"/>
          <w:snapToGrid w:val="0"/>
          <w:kern w:val="0"/>
          <w:szCs w:val="21"/>
        </w:rPr>
        <w:t>艾滋病对妇女及女童的影响所采取的措施，以及关于执行《</w:t>
      </w:r>
      <w:r w:rsidRPr="00231934">
        <w:rPr>
          <w:snapToGrid w:val="0"/>
          <w:kern w:val="0"/>
          <w:szCs w:val="21"/>
        </w:rPr>
        <w:t>2009-2013</w:t>
      </w:r>
      <w:r w:rsidRPr="00231934">
        <w:rPr>
          <w:rFonts w:hint="eastAsia"/>
          <w:snapToGrid w:val="0"/>
          <w:kern w:val="0"/>
          <w:szCs w:val="21"/>
        </w:rPr>
        <w:t>年图瓦卢艾滋病毒和性传播感染国家战略计划》</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111</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的成果，并说明是否已通过一项新的国家战略计划。另请阐述，关于提高对艾滋病毒及其他性传播感染认识的各种方案</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111</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，特别是此类方案是否尤为侧重于妇女，并说明旨在提高政府工作人员对艾滋病毒</w:t>
      </w:r>
      <w:r w:rsidRPr="00231934">
        <w:rPr>
          <w:snapToGrid w:val="0"/>
          <w:kern w:val="0"/>
          <w:szCs w:val="21"/>
        </w:rPr>
        <w:t>/</w:t>
      </w:r>
      <w:r w:rsidRPr="00231934">
        <w:rPr>
          <w:rFonts w:hint="eastAsia"/>
          <w:snapToGrid w:val="0"/>
          <w:kern w:val="0"/>
          <w:szCs w:val="21"/>
        </w:rPr>
        <w:t>艾滋病问题的认识的努力被证实未能取得成功的原因</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112</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农村妇女</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18.</w:t>
      </w:r>
      <w:r w:rsidRPr="00231934">
        <w:rPr>
          <w:snapToGrid w:val="0"/>
          <w:kern w:val="0"/>
          <w:szCs w:val="21"/>
        </w:rPr>
        <w:tab/>
      </w:r>
      <w:r w:rsidRPr="00231934">
        <w:rPr>
          <w:rFonts w:hint="eastAsia"/>
          <w:snapToGrid w:val="0"/>
          <w:kern w:val="0"/>
          <w:szCs w:val="21"/>
        </w:rPr>
        <w:t>报告提到，在获得土地方面，妇女们经常受到歧视</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120</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。请提供详细资料，说明为确保妇女和男子平等获得土地所有权所采取的任何措施，其中包括废除歧视性立法。</w:t>
      </w:r>
      <w:r w:rsidRPr="00231934">
        <w:rPr>
          <w:snapToGrid w:val="0"/>
          <w:kern w:val="0"/>
          <w:szCs w:val="21"/>
        </w:rPr>
        <w:t>享有安全饮用水和卫生设施的人权问题特别报告员</w:t>
      </w:r>
      <w:r w:rsidRPr="00231934">
        <w:rPr>
          <w:rFonts w:hint="eastAsia"/>
          <w:snapToGrid w:val="0"/>
          <w:kern w:val="0"/>
          <w:szCs w:val="21"/>
        </w:rPr>
        <w:t>在其关于</w:t>
      </w:r>
      <w:r w:rsidRPr="00231934">
        <w:rPr>
          <w:rFonts w:hint="eastAsia"/>
          <w:snapToGrid w:val="0"/>
          <w:kern w:val="0"/>
          <w:szCs w:val="21"/>
        </w:rPr>
        <w:t>2012</w:t>
      </w:r>
      <w:r w:rsidRPr="00231934">
        <w:rPr>
          <w:rFonts w:hint="eastAsia"/>
          <w:snapToGrid w:val="0"/>
          <w:kern w:val="0"/>
          <w:szCs w:val="21"/>
        </w:rPr>
        <w:t>年图瓦卢特派任务的报告中，欢迎该国正在制定《水资源法草案》及《卫生管理法》，并</w:t>
      </w:r>
      <w:r w:rsidRPr="00231934">
        <w:rPr>
          <w:snapToGrid w:val="0"/>
          <w:kern w:val="0"/>
          <w:szCs w:val="21"/>
        </w:rPr>
        <w:t>鼓励该国政府尽快通过这些文书，以制订和落实水资源和卫生管理架构。</w:t>
      </w:r>
      <w:r>
        <w:rPr>
          <w:rFonts w:hint="eastAsia"/>
          <w:snapToGrid w:val="0"/>
          <w:kern w:val="0"/>
          <w:szCs w:val="21"/>
        </w:rPr>
        <w:t>(</w:t>
      </w:r>
      <w:r w:rsidRPr="00231934">
        <w:rPr>
          <w:bCs/>
          <w:snapToGrid w:val="0"/>
          <w:kern w:val="0"/>
          <w:szCs w:val="21"/>
        </w:rPr>
        <w:t>A/HRC/24/44/Add.2</w:t>
      </w:r>
      <w:r w:rsidRPr="00231934">
        <w:rPr>
          <w:rFonts w:hint="eastAsia"/>
          <w:bCs/>
          <w:snapToGrid w:val="0"/>
          <w:kern w:val="0"/>
          <w:szCs w:val="21"/>
        </w:rPr>
        <w:t>，第</w:t>
      </w:r>
      <w:r w:rsidRPr="00231934">
        <w:rPr>
          <w:rFonts w:hint="eastAsia"/>
          <w:bCs/>
          <w:snapToGrid w:val="0"/>
          <w:kern w:val="0"/>
          <w:szCs w:val="21"/>
        </w:rPr>
        <w:t>7</w:t>
      </w:r>
      <w:r w:rsidRPr="00231934">
        <w:rPr>
          <w:rFonts w:hint="eastAsia"/>
          <w:bCs/>
          <w:snapToGrid w:val="0"/>
          <w:kern w:val="0"/>
          <w:szCs w:val="21"/>
        </w:rPr>
        <w:t>段</w:t>
      </w:r>
      <w:r>
        <w:rPr>
          <w:rFonts w:hint="eastAsia"/>
          <w:bCs/>
          <w:snapToGrid w:val="0"/>
          <w:kern w:val="0"/>
          <w:szCs w:val="21"/>
        </w:rPr>
        <w:t>)</w:t>
      </w:r>
      <w:r w:rsidRPr="00231934">
        <w:rPr>
          <w:rFonts w:hint="eastAsia"/>
          <w:bCs/>
          <w:snapToGrid w:val="0"/>
          <w:kern w:val="0"/>
          <w:szCs w:val="21"/>
        </w:rPr>
        <w:t>。</w:t>
      </w:r>
      <w:r w:rsidRPr="00231934">
        <w:rPr>
          <w:rFonts w:hint="eastAsia"/>
          <w:snapToGrid w:val="0"/>
          <w:kern w:val="0"/>
          <w:szCs w:val="21"/>
        </w:rPr>
        <w:t>请说明上述法案的现状，并阐述为确保所有人，特别是处于贫穷并居住在外岛的妇女享有负担得起的水和卫生设施而计划采取的措施。另请提供资料，说明为确保农村妇女获得贷款，以及为发展外岛妇女的技能和知识以使其能开办微型企业所采取的措施。</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hint="eastAsia"/>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弱势妇女群体</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spacing w:val="-2"/>
          <w:kern w:val="0"/>
          <w:szCs w:val="21"/>
        </w:rPr>
      </w:pPr>
      <w:r w:rsidRPr="00231934">
        <w:rPr>
          <w:snapToGrid w:val="0"/>
          <w:kern w:val="0"/>
          <w:szCs w:val="21"/>
        </w:rPr>
        <w:t>19.</w:t>
      </w:r>
      <w:r w:rsidRPr="00231934">
        <w:rPr>
          <w:snapToGrid w:val="0"/>
          <w:kern w:val="0"/>
          <w:szCs w:val="21"/>
        </w:rPr>
        <w:tab/>
      </w:r>
      <w:r w:rsidRPr="00231934">
        <w:rPr>
          <w:rFonts w:hint="eastAsia"/>
          <w:snapToGrid w:val="0"/>
          <w:spacing w:val="-2"/>
          <w:kern w:val="0"/>
          <w:szCs w:val="21"/>
        </w:rPr>
        <w:t>报告确认，没有正式的社会或政治框架确保残疾妇女解决除家庭团结之外的权利</w:t>
      </w:r>
      <w:r w:rsidRPr="00231934">
        <w:rPr>
          <w:rFonts w:hint="eastAsia"/>
          <w:snapToGrid w:val="0"/>
          <w:spacing w:val="-2"/>
          <w:kern w:val="0"/>
          <w:szCs w:val="21"/>
        </w:rPr>
        <w:t>(</w:t>
      </w:r>
      <w:r w:rsidRPr="00231934">
        <w:rPr>
          <w:rFonts w:hint="eastAsia"/>
          <w:snapToGrid w:val="0"/>
          <w:spacing w:val="-2"/>
          <w:kern w:val="0"/>
          <w:szCs w:val="21"/>
        </w:rPr>
        <w:t>第</w:t>
      </w:r>
      <w:r w:rsidRPr="00231934">
        <w:rPr>
          <w:rFonts w:hint="eastAsia"/>
          <w:snapToGrid w:val="0"/>
          <w:spacing w:val="-2"/>
          <w:kern w:val="0"/>
          <w:szCs w:val="21"/>
        </w:rPr>
        <w:t>125</w:t>
      </w:r>
      <w:r w:rsidRPr="00231934">
        <w:rPr>
          <w:rFonts w:hint="eastAsia"/>
          <w:snapToGrid w:val="0"/>
          <w:spacing w:val="-2"/>
          <w:kern w:val="0"/>
          <w:szCs w:val="21"/>
        </w:rPr>
        <w:t>段</w:t>
      </w:r>
      <w:r w:rsidRPr="00231934">
        <w:rPr>
          <w:rFonts w:hint="eastAsia"/>
          <w:snapToGrid w:val="0"/>
          <w:spacing w:val="-2"/>
          <w:kern w:val="0"/>
          <w:szCs w:val="21"/>
        </w:rPr>
        <w:t>)</w:t>
      </w:r>
      <w:r w:rsidRPr="00231934">
        <w:rPr>
          <w:rFonts w:hint="eastAsia"/>
          <w:snapToGrid w:val="0"/>
          <w:spacing w:val="-2"/>
          <w:kern w:val="0"/>
          <w:szCs w:val="21"/>
        </w:rPr>
        <w:t>。请提供资料，说明弱势或被边缘化妇女群体，包括老年妇女和残疾妇女在《公约》所涉的各个领域的状况。请阐述，与通过《国家残疾政策》有关的讨论，包括关于妇女参与其编制的情况</w:t>
      </w:r>
      <w:r w:rsidRPr="00231934">
        <w:rPr>
          <w:rFonts w:hint="eastAsia"/>
          <w:snapToGrid w:val="0"/>
          <w:spacing w:val="-2"/>
          <w:kern w:val="0"/>
          <w:szCs w:val="21"/>
        </w:rPr>
        <w:t>(</w:t>
      </w:r>
      <w:r w:rsidRPr="00231934">
        <w:rPr>
          <w:rFonts w:hint="eastAsia"/>
          <w:snapToGrid w:val="0"/>
          <w:spacing w:val="-2"/>
          <w:kern w:val="0"/>
          <w:szCs w:val="21"/>
        </w:rPr>
        <w:t>第</w:t>
      </w:r>
      <w:r w:rsidRPr="00231934">
        <w:rPr>
          <w:rFonts w:hint="eastAsia"/>
          <w:snapToGrid w:val="0"/>
          <w:spacing w:val="-2"/>
          <w:kern w:val="0"/>
          <w:szCs w:val="21"/>
        </w:rPr>
        <w:t>127</w:t>
      </w:r>
      <w:r w:rsidRPr="00231934">
        <w:rPr>
          <w:rFonts w:hint="eastAsia"/>
          <w:snapToGrid w:val="0"/>
          <w:spacing w:val="-2"/>
          <w:kern w:val="0"/>
          <w:szCs w:val="21"/>
        </w:rPr>
        <w:t>段</w:t>
      </w:r>
      <w:r w:rsidRPr="00231934">
        <w:rPr>
          <w:rFonts w:hint="eastAsia"/>
          <w:snapToGrid w:val="0"/>
          <w:spacing w:val="-2"/>
          <w:kern w:val="0"/>
          <w:szCs w:val="21"/>
        </w:rPr>
        <w:t>)</w:t>
      </w:r>
      <w:r w:rsidRPr="00231934">
        <w:rPr>
          <w:rFonts w:hint="eastAsia"/>
          <w:snapToGrid w:val="0"/>
          <w:spacing w:val="-2"/>
          <w:kern w:val="0"/>
          <w:szCs w:val="21"/>
        </w:rPr>
        <w:t>，并说明该政策是否符合《残疾人权利公约》。另请阐述，在关于加强地方治理的项目下为调查残疾人所采取的举措。</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hint="eastAsia"/>
          <w:kern w:val="0"/>
          <w:szCs w:val="21"/>
          <w:lang w:val="en-GB"/>
        </w:rPr>
        <w:t>婚姻及家庭关系</w:t>
      </w:r>
      <w:r w:rsidRPr="00231934">
        <w:rPr>
          <w:rFonts w:eastAsia="SimHei"/>
          <w:kern w:val="0"/>
          <w:szCs w:val="21"/>
          <w:lang w:val="en-GB"/>
        </w:rPr>
        <w:t xml:space="preserve"> </w:t>
      </w:r>
    </w:p>
    <w:p w:rsidR="00231934" w:rsidRPr="00231934" w:rsidRDefault="00231934" w:rsidP="00231934">
      <w:pPr>
        <w:tabs>
          <w:tab w:val="left" w:pos="431"/>
          <w:tab w:val="left" w:pos="1560"/>
        </w:tabs>
        <w:overflowPunct w:val="0"/>
        <w:adjustRightInd w:val="0"/>
        <w:snapToGrid w:val="0"/>
        <w:spacing w:after="140"/>
        <w:ind w:left="1134" w:right="1134"/>
        <w:rPr>
          <w:rFonts w:hint="eastAsia"/>
          <w:snapToGrid w:val="0"/>
          <w:kern w:val="0"/>
          <w:szCs w:val="21"/>
        </w:rPr>
      </w:pPr>
      <w:r w:rsidRPr="00231934">
        <w:rPr>
          <w:snapToGrid w:val="0"/>
          <w:kern w:val="0"/>
          <w:szCs w:val="21"/>
        </w:rPr>
        <w:t>20.</w:t>
      </w:r>
      <w:r w:rsidRPr="00231934">
        <w:rPr>
          <w:snapToGrid w:val="0"/>
          <w:kern w:val="0"/>
          <w:szCs w:val="21"/>
        </w:rPr>
        <w:tab/>
      </w:r>
      <w:r w:rsidRPr="00231934">
        <w:rPr>
          <w:rFonts w:hint="eastAsia"/>
          <w:snapToGrid w:val="0"/>
          <w:kern w:val="0"/>
          <w:szCs w:val="21"/>
        </w:rPr>
        <w:t>请提供详细资料，说明为改革缔约国《家庭法》所开展的持续磋商</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134</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，以及妇女在其中的参与程度如何。另请说明，缔约国是否已采取措施将男女儿童的最低结婚年龄提高至</w:t>
      </w:r>
      <w:r w:rsidRPr="00231934">
        <w:rPr>
          <w:rFonts w:hint="eastAsia"/>
          <w:snapToGrid w:val="0"/>
          <w:kern w:val="0"/>
          <w:szCs w:val="21"/>
        </w:rPr>
        <w:t>18</w:t>
      </w:r>
      <w:r w:rsidRPr="00231934">
        <w:rPr>
          <w:rFonts w:hint="eastAsia"/>
          <w:snapToGrid w:val="0"/>
          <w:kern w:val="0"/>
          <w:szCs w:val="21"/>
        </w:rPr>
        <w:t>岁，以预防童婚和强迫或包办婚姻，尤其是在外岛。另请说明，缔约国是否已采取措施，废除或修正《原住民土地法案》和《图瓦卢土地法》中关于非婚生儿童监护的歧视性条款</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129</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。报告确认，由于在文化上人们预期离婚妇女应回娘家，由娘家人照料她，人们很难理解赡养概念</w:t>
      </w:r>
      <w:r>
        <w:rPr>
          <w:rFonts w:hint="eastAsia"/>
          <w:snapToGrid w:val="0"/>
          <w:kern w:val="0"/>
          <w:szCs w:val="21"/>
        </w:rPr>
        <w:t>(</w:t>
      </w:r>
      <w:r w:rsidRPr="00231934">
        <w:rPr>
          <w:rFonts w:hint="eastAsia"/>
          <w:snapToGrid w:val="0"/>
          <w:kern w:val="0"/>
          <w:szCs w:val="21"/>
        </w:rPr>
        <w:t>第</w:t>
      </w:r>
      <w:r w:rsidRPr="00231934">
        <w:rPr>
          <w:rFonts w:hint="eastAsia"/>
          <w:snapToGrid w:val="0"/>
          <w:kern w:val="0"/>
          <w:szCs w:val="21"/>
        </w:rPr>
        <w:t>133</w:t>
      </w:r>
      <w:r w:rsidRPr="00231934">
        <w:rPr>
          <w:rFonts w:hint="eastAsia"/>
          <w:snapToGrid w:val="0"/>
          <w:kern w:val="0"/>
          <w:szCs w:val="21"/>
        </w:rPr>
        <w:t>段</w:t>
      </w:r>
      <w:r>
        <w:rPr>
          <w:rFonts w:hint="eastAsia"/>
          <w:snapToGrid w:val="0"/>
          <w:kern w:val="0"/>
          <w:szCs w:val="21"/>
        </w:rPr>
        <w:t>)</w:t>
      </w:r>
      <w:r w:rsidRPr="00231934">
        <w:rPr>
          <w:rFonts w:hint="eastAsia"/>
          <w:snapToGrid w:val="0"/>
          <w:kern w:val="0"/>
          <w:szCs w:val="21"/>
        </w:rPr>
        <w:t>。请说明，是否采取任何措施提高对该问题的认识，并确保《赡养令》的落实。</w:t>
      </w:r>
    </w:p>
    <w:p w:rsidR="00231934" w:rsidRPr="00231934" w:rsidRDefault="00231934" w:rsidP="00231934">
      <w:pPr>
        <w:keepNext/>
        <w:keepLines/>
        <w:tabs>
          <w:tab w:val="right" w:pos="851"/>
          <w:tab w:val="left" w:pos="1560"/>
        </w:tabs>
        <w:suppressAutoHyphens/>
        <w:spacing w:after="140"/>
        <w:ind w:left="1134" w:right="1134" w:hanging="1134"/>
        <w:jc w:val="left"/>
        <w:rPr>
          <w:rFonts w:eastAsia="SimHei"/>
          <w:kern w:val="0"/>
          <w:szCs w:val="21"/>
          <w:lang w:val="en-GB"/>
        </w:rPr>
      </w:pPr>
      <w:r w:rsidRPr="00231934">
        <w:rPr>
          <w:rFonts w:eastAsia="SimHei"/>
          <w:kern w:val="0"/>
          <w:szCs w:val="21"/>
          <w:lang w:val="en-GB"/>
        </w:rPr>
        <w:tab/>
      </w:r>
      <w:r w:rsidRPr="00231934">
        <w:rPr>
          <w:rFonts w:eastAsia="SimHei"/>
          <w:kern w:val="0"/>
          <w:szCs w:val="21"/>
          <w:lang w:val="en-GB"/>
        </w:rPr>
        <w:tab/>
      </w:r>
      <w:r w:rsidRPr="00231934">
        <w:rPr>
          <w:rFonts w:eastAsia="SimHei"/>
          <w:kern w:val="0"/>
          <w:szCs w:val="21"/>
          <w:lang w:val="en-GB"/>
        </w:rPr>
        <w:t>《任择议定书》和对第二十条第</w:t>
      </w:r>
      <w:r w:rsidRPr="00231934">
        <w:rPr>
          <w:rFonts w:eastAsia="SimHei"/>
          <w:kern w:val="0"/>
          <w:szCs w:val="21"/>
          <w:lang w:val="en-GB"/>
        </w:rPr>
        <w:t>1</w:t>
      </w:r>
      <w:r w:rsidRPr="00231934">
        <w:rPr>
          <w:rFonts w:eastAsia="SimHei"/>
          <w:kern w:val="0"/>
          <w:szCs w:val="21"/>
          <w:lang w:val="en-GB"/>
        </w:rPr>
        <w:t>款的修正</w:t>
      </w:r>
    </w:p>
    <w:p w:rsidR="00E15702" w:rsidRDefault="00231934" w:rsidP="00231934">
      <w:pPr>
        <w:pStyle w:val="SingleTxt"/>
        <w:rPr>
          <w:rFonts w:hint="eastAsia"/>
          <w:snapToGrid w:val="0"/>
          <w:kern w:val="0"/>
          <w:szCs w:val="21"/>
        </w:rPr>
      </w:pPr>
      <w:r w:rsidRPr="00231934">
        <w:rPr>
          <w:snapToGrid w:val="0"/>
          <w:kern w:val="0"/>
          <w:szCs w:val="21"/>
        </w:rPr>
        <w:t>21.</w:t>
      </w:r>
      <w:r w:rsidRPr="00231934">
        <w:rPr>
          <w:snapToGrid w:val="0"/>
          <w:kern w:val="0"/>
          <w:szCs w:val="21"/>
        </w:rPr>
        <w:tab/>
      </w:r>
      <w:r w:rsidRPr="00231934">
        <w:rPr>
          <w:snapToGrid w:val="0"/>
          <w:kern w:val="0"/>
          <w:szCs w:val="21"/>
        </w:rPr>
        <w:t>请说明在加入《公约任择议定书》方面取得的任何进展。另外，请说明在接受对《公约》第二十条第</w:t>
      </w:r>
      <w:r w:rsidRPr="00231934">
        <w:rPr>
          <w:snapToGrid w:val="0"/>
          <w:kern w:val="0"/>
          <w:szCs w:val="21"/>
        </w:rPr>
        <w:t>1</w:t>
      </w:r>
      <w:r w:rsidRPr="00231934">
        <w:rPr>
          <w:snapToGrid w:val="0"/>
          <w:kern w:val="0"/>
          <w:szCs w:val="21"/>
        </w:rPr>
        <w:t>款有关委员会开会时间的修正方面取得了什么进展。</w:t>
      </w:r>
    </w:p>
    <w:p w:rsidR="00231934" w:rsidRPr="00231934" w:rsidRDefault="00231934" w:rsidP="0023193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231934" w:rsidRPr="00231934" w:rsidSect="00E15702">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7T15:40:00Z" w:initials="Start">
    <w:p w:rsidR="00E15702" w:rsidRDefault="00E1570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8373CD">
        <w:fldChar w:fldCharType="separate"/>
      </w:r>
      <w:r w:rsidR="008373CD">
        <w:rPr>
          <w:rFonts w:hint="eastAsia"/>
          <w:noProof/>
        </w:rPr>
        <w:t>页</w:t>
      </w:r>
      <w:r w:rsidR="008373CD">
        <w:rPr>
          <w:rFonts w:hint="eastAsia"/>
          <w:noProof/>
        </w:rPr>
        <w:t xml:space="preserve">: </w:t>
      </w:r>
      <w:r w:rsidR="008373CD">
        <w:rPr>
          <w:noProof/>
        </w:rPr>
        <w:t>1</w:t>
      </w:r>
      <w:r w:rsidR="008373CD">
        <w:rPr>
          <w:rFonts w:hint="eastAsia"/>
          <w:noProof/>
        </w:rPr>
        <w:br/>
      </w:r>
      <w:r>
        <w:fldChar w:fldCharType="end"/>
      </w:r>
      <w:r>
        <w:rPr>
          <w:rStyle w:val="CommentReference"/>
        </w:rPr>
        <w:annotationRef/>
      </w:r>
      <w:r>
        <w:t>&lt;&lt;ODS JOB NO&gt;&gt;N1448415C&lt;&lt;ODS JOB NO&gt;&gt;</w:t>
      </w:r>
    </w:p>
    <w:p w:rsidR="00E15702" w:rsidRDefault="00E15702">
      <w:pPr>
        <w:pStyle w:val="CommentText"/>
      </w:pPr>
      <w:r>
        <w:t>&lt;&lt;ODS DOC SYMBOL1&gt;&gt;CEDAW/C/TUV/Q/3-4&lt;&lt;ODS DOC SYMBOL1&gt;&gt;</w:t>
      </w:r>
    </w:p>
    <w:p w:rsidR="00E15702" w:rsidRDefault="00E1570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79A" w:rsidRDefault="0009279A">
      <w:r>
        <w:separator/>
      </w:r>
    </w:p>
  </w:endnote>
  <w:endnote w:type="continuationSeparator" w:id="0">
    <w:p w:rsidR="0009279A" w:rsidRDefault="000927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5702" w:rsidTr="00E15702">
      <w:tblPrEx>
        <w:tblCellMar>
          <w:top w:w="0" w:type="dxa"/>
          <w:bottom w:w="0" w:type="dxa"/>
        </w:tblCellMar>
      </w:tblPrEx>
      <w:tc>
        <w:tcPr>
          <w:tcW w:w="5033" w:type="dxa"/>
          <w:shd w:val="clear" w:color="auto" w:fill="auto"/>
        </w:tcPr>
        <w:p w:rsidR="00E15702" w:rsidRPr="00E15702" w:rsidRDefault="00E15702" w:rsidP="00E15702">
          <w:pPr>
            <w:pStyle w:val="Footer"/>
            <w:jc w:val="right"/>
            <w:rPr>
              <w:b w:val="0"/>
              <w:w w:val="103"/>
              <w:sz w:val="14"/>
            </w:rPr>
          </w:pPr>
          <w:fldSimple w:instr=" DOCVARIABLE &quot;FooterJN&quot; \* MERGEFORMAT ">
            <w:r w:rsidR="008373CD">
              <w:rPr>
                <w:b w:val="0"/>
                <w:w w:val="103"/>
                <w:sz w:val="14"/>
              </w:rPr>
              <w:t>14-58329 (C)</w:t>
            </w:r>
          </w:fldSimple>
        </w:p>
      </w:tc>
      <w:tc>
        <w:tcPr>
          <w:tcW w:w="5033" w:type="dxa"/>
          <w:shd w:val="clear" w:color="auto" w:fill="auto"/>
        </w:tcPr>
        <w:p w:rsidR="00E15702" w:rsidRPr="00E15702" w:rsidRDefault="00E15702" w:rsidP="00E15702">
          <w:pPr>
            <w:pStyle w:val="Footer"/>
            <w:jc w:val="left"/>
            <w:rPr>
              <w:w w:val="103"/>
            </w:rPr>
          </w:pPr>
          <w:r>
            <w:rPr>
              <w:w w:val="103"/>
            </w:rPr>
            <w:fldChar w:fldCharType="begin"/>
          </w:r>
          <w:r>
            <w:rPr>
              <w:w w:val="103"/>
            </w:rPr>
            <w:instrText xml:space="preserve"> PAGE  \* Arabic  \* MERGEFORMAT </w:instrText>
          </w:r>
          <w:r>
            <w:rPr>
              <w:w w:val="103"/>
            </w:rPr>
            <w:fldChar w:fldCharType="separate"/>
          </w:r>
          <w:r w:rsidR="002D7299">
            <w:rPr>
              <w:w w:val="103"/>
            </w:rPr>
            <w:t>2</w:t>
          </w:r>
          <w:r>
            <w:rPr>
              <w:w w:val="103"/>
            </w:rPr>
            <w:fldChar w:fldCharType="end"/>
          </w:r>
          <w:r>
            <w:rPr>
              <w:w w:val="103"/>
            </w:rPr>
            <w:t>/</w:t>
          </w:r>
          <w:fldSimple w:instr=" NUMPAGES  \* Arabic  \* MERGEFORMAT ">
            <w:r w:rsidR="002D7299">
              <w:rPr>
                <w:w w:val="103"/>
              </w:rPr>
              <w:t>5</w:t>
            </w:r>
          </w:fldSimple>
        </w:p>
      </w:tc>
    </w:tr>
  </w:tbl>
  <w:p w:rsidR="00E15702" w:rsidRPr="00E15702" w:rsidRDefault="00E15702" w:rsidP="00E1570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15702" w:rsidTr="00E15702">
      <w:tblPrEx>
        <w:tblCellMar>
          <w:top w:w="0" w:type="dxa"/>
          <w:bottom w:w="0" w:type="dxa"/>
        </w:tblCellMar>
      </w:tblPrEx>
      <w:tc>
        <w:tcPr>
          <w:tcW w:w="5033" w:type="dxa"/>
          <w:shd w:val="clear" w:color="auto" w:fill="auto"/>
        </w:tcPr>
        <w:p w:rsidR="00E15702" w:rsidRPr="00E15702" w:rsidRDefault="00E15702" w:rsidP="00E15702">
          <w:pPr>
            <w:pStyle w:val="Footer"/>
            <w:jc w:val="right"/>
          </w:pPr>
          <w:fldSimple w:instr=" PAGE  \* Arabic  \* MERGEFORMAT ">
            <w:r w:rsidR="002D7299">
              <w:t>5</w:t>
            </w:r>
          </w:fldSimple>
          <w:r>
            <w:t>/</w:t>
          </w:r>
          <w:fldSimple w:instr=" NUMPAGES  \* Arabic  \* MERGEFORMAT ">
            <w:r w:rsidR="002D7299">
              <w:t>5</w:t>
            </w:r>
          </w:fldSimple>
        </w:p>
      </w:tc>
      <w:tc>
        <w:tcPr>
          <w:tcW w:w="5033" w:type="dxa"/>
          <w:shd w:val="clear" w:color="auto" w:fill="auto"/>
        </w:tcPr>
        <w:p w:rsidR="00E15702" w:rsidRPr="00E15702" w:rsidRDefault="00E15702" w:rsidP="00E15702">
          <w:pPr>
            <w:pStyle w:val="Footer"/>
            <w:jc w:val="left"/>
            <w:rPr>
              <w:b w:val="0"/>
              <w:w w:val="103"/>
              <w:sz w:val="14"/>
            </w:rPr>
          </w:pPr>
          <w:fldSimple w:instr=" DOCVARIABLE &quot;FooterJN&quot; \* MERGEFORMAT ">
            <w:r w:rsidR="008373CD">
              <w:rPr>
                <w:b w:val="0"/>
                <w:w w:val="103"/>
                <w:sz w:val="14"/>
              </w:rPr>
              <w:t>14-58329 (C)</w:t>
            </w:r>
          </w:fldSimple>
        </w:p>
      </w:tc>
    </w:tr>
  </w:tbl>
  <w:p w:rsidR="00E15702" w:rsidRPr="00E15702" w:rsidRDefault="00E15702" w:rsidP="00E1570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15702" w:rsidTr="00E15702">
      <w:tblPrEx>
        <w:tblCellMar>
          <w:top w:w="0" w:type="dxa"/>
          <w:bottom w:w="0" w:type="dxa"/>
        </w:tblCellMar>
      </w:tblPrEx>
      <w:tc>
        <w:tcPr>
          <w:tcW w:w="5033" w:type="dxa"/>
        </w:tcPr>
        <w:p w:rsidR="00E15702" w:rsidRDefault="00E15702" w:rsidP="00E15702">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3-4Size =1Lang = C"/>
                <w10:wrap anchorx="page" anchory="page"/>
              </v:shape>
            </w:pict>
          </w:r>
          <w:r w:rsidR="00054B58" w:rsidRPr="00054B58">
            <w:t>14-58329</w:t>
          </w:r>
          <w:r w:rsidR="00054B58">
            <w:t xml:space="preserve"> X</w:t>
          </w:r>
          <w:r w:rsidR="00054B58" w:rsidRPr="00054B58">
            <w:t xml:space="preserve"> (C)</w:t>
          </w:r>
          <w:r>
            <w:t xml:space="preserve">    1</w:t>
          </w:r>
          <w:r w:rsidR="002D7299">
            <w:rPr>
              <w:rFonts w:hint="eastAsia"/>
            </w:rPr>
            <w:t>8</w:t>
          </w:r>
          <w:r>
            <w:t>0</w:t>
          </w:r>
          <w:r w:rsidR="002D7299">
            <w:rPr>
              <w:rFonts w:hint="eastAsia"/>
            </w:rPr>
            <w:t>8</w:t>
          </w:r>
          <w:r>
            <w:t>14    1</w:t>
          </w:r>
          <w:r w:rsidR="002D7299">
            <w:rPr>
              <w:rFonts w:hint="eastAsia"/>
            </w:rPr>
            <w:t>710</w:t>
          </w:r>
          <w:r>
            <w:t>14</w:t>
          </w:r>
        </w:p>
        <w:p w:rsidR="00E15702" w:rsidRPr="00E15702" w:rsidRDefault="00E15702" w:rsidP="00E15702">
          <w:pPr>
            <w:spacing w:before="80" w:line="210" w:lineRule="exact"/>
            <w:rPr>
              <w:rFonts w:ascii="Barcode 3 of 9 by request" w:hAnsi="Barcode 3 of 9 by request"/>
              <w:sz w:val="24"/>
            </w:rPr>
          </w:pPr>
          <w:r>
            <w:rPr>
              <w:rFonts w:ascii="Barcode 3 of 9 by request" w:hAnsi="Barcode 3 of 9 by request"/>
              <w:sz w:val="24"/>
            </w:rPr>
            <w:t>*1458329*</w:t>
          </w:r>
        </w:p>
      </w:tc>
      <w:tc>
        <w:tcPr>
          <w:tcW w:w="3686" w:type="dxa"/>
        </w:tcPr>
        <w:p w:rsidR="00E15702" w:rsidRDefault="00E15702" w:rsidP="00E15702">
          <w:pPr>
            <w:pStyle w:val="Footer"/>
            <w:jc w:val="right"/>
            <w:rPr>
              <w:b w:val="0"/>
              <w:sz w:val="21"/>
            </w:rPr>
          </w:pPr>
          <w:r>
            <w:rPr>
              <w:b w:val="0"/>
              <w:sz w:val="21"/>
            </w:rPr>
            <w:pict>
              <v:shape id="_x0000_i1026" type="#_x0000_t75" style="width:48.75pt;height:18pt">
                <v:imagedata r:id="rId2" o:title="recycle_Chinese"/>
              </v:shape>
            </w:pict>
          </w:r>
        </w:p>
      </w:tc>
    </w:tr>
  </w:tbl>
  <w:p w:rsidR="00E15702" w:rsidRPr="00E15702" w:rsidRDefault="00E15702" w:rsidP="00E1570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79A" w:rsidRPr="00231934" w:rsidRDefault="0009279A" w:rsidP="00231934">
      <w:pPr>
        <w:pStyle w:val="Footer"/>
        <w:spacing w:after="80"/>
        <w:ind w:left="792"/>
        <w:rPr>
          <w:sz w:val="16"/>
        </w:rPr>
      </w:pPr>
      <w:r w:rsidRPr="00231934">
        <w:rPr>
          <w:sz w:val="16"/>
        </w:rPr>
        <w:t>__________________</w:t>
      </w:r>
    </w:p>
  </w:footnote>
  <w:footnote w:type="continuationSeparator" w:id="0">
    <w:p w:rsidR="0009279A" w:rsidRPr="00231934" w:rsidRDefault="0009279A" w:rsidP="00231934">
      <w:pPr>
        <w:pStyle w:val="Footer"/>
        <w:spacing w:after="80"/>
        <w:ind w:left="792"/>
        <w:rPr>
          <w:sz w:val="16"/>
        </w:rPr>
      </w:pPr>
      <w:r w:rsidRPr="00231934">
        <w:rPr>
          <w:sz w:val="16"/>
        </w:rPr>
        <w:t>__________________</w:t>
      </w:r>
    </w:p>
  </w:footnote>
  <w:footnote w:id="1">
    <w:p w:rsidR="00231934" w:rsidRPr="00942C10" w:rsidRDefault="00231934" w:rsidP="00231934">
      <w:pPr>
        <w:pStyle w:val="FootnoteText"/>
        <w:tabs>
          <w:tab w:val="clear" w:pos="418"/>
          <w:tab w:val="right" w:pos="1195"/>
          <w:tab w:val="left" w:pos="1264"/>
          <w:tab w:val="left" w:pos="1695"/>
          <w:tab w:val="left" w:pos="2126"/>
          <w:tab w:val="left" w:pos="2557"/>
        </w:tabs>
        <w:ind w:left="1264" w:right="1264" w:hanging="432"/>
      </w:pPr>
      <w:r>
        <w:rPr>
          <w:rStyle w:val="FootnoteReference"/>
        </w:rPr>
        <w:tab/>
      </w:r>
      <w:r w:rsidRPr="00D86231">
        <w:rPr>
          <w:rStyle w:val="FootnoteReference"/>
          <w:sz w:val="20"/>
        </w:rPr>
        <w:t>*</w:t>
      </w:r>
      <w:r>
        <w:rPr>
          <w:rStyle w:val="FootnoteReference"/>
          <w:sz w:val="20"/>
        </w:rPr>
        <w:tab/>
      </w:r>
      <w:r>
        <w:rPr>
          <w:rFonts w:hint="eastAsia"/>
        </w:rPr>
        <w:t xml:space="preserve"> </w:t>
      </w:r>
      <w:r w:rsidRPr="00344327">
        <w:rPr>
          <w:rFonts w:hint="eastAsia"/>
        </w:rPr>
        <w:t>2014</w:t>
      </w:r>
      <w:r w:rsidRPr="00344327">
        <w:rPr>
          <w:rFonts w:hint="eastAsia"/>
        </w:rPr>
        <w:t>年</w:t>
      </w:r>
      <w:r w:rsidRPr="00344327">
        <w:rPr>
          <w:rFonts w:hint="eastAsia"/>
        </w:rPr>
        <w:t>7</w:t>
      </w:r>
      <w:r w:rsidRPr="00344327">
        <w:rPr>
          <w:rFonts w:hint="eastAsia"/>
        </w:rPr>
        <w:t>月</w:t>
      </w:r>
      <w:r w:rsidRPr="00344327">
        <w:rPr>
          <w:rFonts w:hint="eastAsia"/>
        </w:rPr>
        <w:t>21</w:t>
      </w:r>
      <w:r w:rsidRPr="00344327">
        <w:rPr>
          <w:rFonts w:hint="eastAsia"/>
        </w:rPr>
        <w:t>日至</w:t>
      </w:r>
      <w:r w:rsidRPr="00344327">
        <w:rPr>
          <w:rFonts w:hint="eastAsia"/>
        </w:rPr>
        <w:t>25</w:t>
      </w:r>
      <w:r w:rsidRPr="00344327">
        <w:rPr>
          <w:rFonts w:hint="eastAsia"/>
        </w:rPr>
        <w:t>日举行会议的第六十届会议会前工作组通过。</w:t>
      </w:r>
    </w:p>
  </w:footnote>
  <w:footnote w:id="2">
    <w:p w:rsidR="00231934" w:rsidRPr="00942C10" w:rsidRDefault="00231934" w:rsidP="00231934">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t xml:space="preserve"> </w:t>
      </w:r>
      <w:r w:rsidRPr="00E05B2E">
        <w:t>除非另有说明，段号是指缔约国第三次和第四次合并定期报告</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15702" w:rsidTr="00E15702">
      <w:tblPrEx>
        <w:tblCellMar>
          <w:top w:w="0" w:type="dxa"/>
          <w:bottom w:w="0" w:type="dxa"/>
        </w:tblCellMar>
      </w:tblPrEx>
      <w:trPr>
        <w:trHeight w:hRule="exact" w:val="864"/>
      </w:trPr>
      <w:tc>
        <w:tcPr>
          <w:tcW w:w="4838" w:type="dxa"/>
          <w:shd w:val="clear" w:color="auto" w:fill="auto"/>
          <w:vAlign w:val="bottom"/>
        </w:tcPr>
        <w:p w:rsidR="00E15702" w:rsidRPr="00E15702" w:rsidRDefault="00E15702" w:rsidP="00E15702">
          <w:pPr>
            <w:pStyle w:val="Header"/>
            <w:spacing w:after="80"/>
            <w:jc w:val="left"/>
            <w:rPr>
              <w:b/>
              <w:sz w:val="17"/>
            </w:rPr>
          </w:pPr>
          <w:fldSimple w:instr=" DOCVARIABLE &quot;sss1&quot; \* MERGEFORMAT ">
            <w:r w:rsidR="008373CD">
              <w:rPr>
                <w:b/>
                <w:sz w:val="17"/>
              </w:rPr>
              <w:t>CEDAW/C/TUV/Q/3-4</w:t>
            </w:r>
          </w:fldSimple>
        </w:p>
      </w:tc>
      <w:tc>
        <w:tcPr>
          <w:tcW w:w="5033" w:type="dxa"/>
          <w:shd w:val="clear" w:color="auto" w:fill="auto"/>
          <w:vAlign w:val="bottom"/>
        </w:tcPr>
        <w:p w:rsidR="00E15702" w:rsidRDefault="00E15702" w:rsidP="00E15702">
          <w:pPr>
            <w:pStyle w:val="Header"/>
          </w:pPr>
        </w:p>
      </w:tc>
    </w:tr>
  </w:tbl>
  <w:p w:rsidR="00E15702" w:rsidRPr="00E15702" w:rsidRDefault="00E15702" w:rsidP="00E1570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15702" w:rsidTr="00E15702">
      <w:tblPrEx>
        <w:tblCellMar>
          <w:top w:w="0" w:type="dxa"/>
          <w:bottom w:w="0" w:type="dxa"/>
        </w:tblCellMar>
      </w:tblPrEx>
      <w:trPr>
        <w:trHeight w:hRule="exact" w:val="864"/>
      </w:trPr>
      <w:tc>
        <w:tcPr>
          <w:tcW w:w="4838" w:type="dxa"/>
          <w:shd w:val="clear" w:color="auto" w:fill="auto"/>
          <w:vAlign w:val="bottom"/>
        </w:tcPr>
        <w:p w:rsidR="00E15702" w:rsidRDefault="00E15702" w:rsidP="00E15702">
          <w:pPr>
            <w:pStyle w:val="Header"/>
          </w:pPr>
        </w:p>
      </w:tc>
      <w:tc>
        <w:tcPr>
          <w:tcW w:w="5033" w:type="dxa"/>
          <w:shd w:val="clear" w:color="auto" w:fill="auto"/>
          <w:vAlign w:val="bottom"/>
        </w:tcPr>
        <w:p w:rsidR="00E15702" w:rsidRPr="00E15702" w:rsidRDefault="00E15702" w:rsidP="00E15702">
          <w:pPr>
            <w:pStyle w:val="Header"/>
            <w:spacing w:after="80"/>
            <w:jc w:val="right"/>
            <w:rPr>
              <w:b/>
              <w:sz w:val="17"/>
            </w:rPr>
          </w:pPr>
          <w:fldSimple w:instr=" DOCVARIABLE &quot;sss1&quot; \* MERGEFORMAT ">
            <w:r w:rsidR="008373CD">
              <w:rPr>
                <w:b/>
                <w:sz w:val="17"/>
              </w:rPr>
              <w:t>CEDAW/C/TUV/Q/3-4</w:t>
            </w:r>
          </w:fldSimple>
        </w:p>
      </w:tc>
    </w:tr>
  </w:tbl>
  <w:p w:rsidR="00E15702" w:rsidRPr="00E15702" w:rsidRDefault="00E15702" w:rsidP="00E1570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15702" w:rsidTr="00E157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15702" w:rsidRDefault="00E15702" w:rsidP="00E15702">
          <w:pPr>
            <w:pStyle w:val="Header"/>
            <w:spacing w:after="120"/>
          </w:pPr>
        </w:p>
      </w:tc>
      <w:tc>
        <w:tcPr>
          <w:tcW w:w="1872" w:type="dxa"/>
          <w:tcBorders>
            <w:bottom w:val="single" w:sz="4" w:space="0" w:color="auto"/>
          </w:tcBorders>
          <w:shd w:val="clear" w:color="auto" w:fill="auto"/>
          <w:vAlign w:val="bottom"/>
        </w:tcPr>
        <w:p w:rsidR="00E15702" w:rsidRPr="00E15702" w:rsidRDefault="00E15702" w:rsidP="00E1570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15702" w:rsidRDefault="00E15702" w:rsidP="00E15702">
          <w:pPr>
            <w:pStyle w:val="Header"/>
            <w:spacing w:after="120"/>
          </w:pPr>
        </w:p>
      </w:tc>
      <w:tc>
        <w:tcPr>
          <w:tcW w:w="6523" w:type="dxa"/>
          <w:gridSpan w:val="3"/>
          <w:tcBorders>
            <w:bottom w:val="single" w:sz="4" w:space="0" w:color="auto"/>
          </w:tcBorders>
          <w:shd w:val="clear" w:color="auto" w:fill="auto"/>
          <w:vAlign w:val="bottom"/>
        </w:tcPr>
        <w:p w:rsidR="00E15702" w:rsidRPr="00E15702" w:rsidRDefault="00E15702" w:rsidP="00E15702">
          <w:pPr>
            <w:spacing w:after="80" w:line="240" w:lineRule="auto"/>
            <w:jc w:val="right"/>
            <w:rPr>
              <w:position w:val="-4"/>
            </w:rPr>
          </w:pPr>
          <w:r>
            <w:rPr>
              <w:position w:val="-4"/>
              <w:sz w:val="40"/>
            </w:rPr>
            <w:t>CEDAW</w:t>
          </w:r>
          <w:r>
            <w:rPr>
              <w:position w:val="-4"/>
            </w:rPr>
            <w:t>/C/TUV/Q/3-4</w:t>
          </w:r>
        </w:p>
      </w:tc>
    </w:tr>
    <w:tr w:rsidR="00E15702" w:rsidRPr="00E15702" w:rsidTr="00E157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5702" w:rsidRDefault="00E15702" w:rsidP="00E1570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15702" w:rsidRPr="00E15702" w:rsidRDefault="00E15702" w:rsidP="00E15702">
          <w:pPr>
            <w:pStyle w:val="Header"/>
            <w:spacing w:before="109"/>
            <w:ind w:left="-72"/>
          </w:pPr>
        </w:p>
      </w:tc>
      <w:tc>
        <w:tcPr>
          <w:tcW w:w="5227" w:type="dxa"/>
          <w:gridSpan w:val="3"/>
          <w:tcBorders>
            <w:top w:val="single" w:sz="4" w:space="0" w:color="auto"/>
            <w:bottom w:val="single" w:sz="12" w:space="0" w:color="auto"/>
          </w:tcBorders>
          <w:shd w:val="clear" w:color="auto" w:fill="auto"/>
        </w:tcPr>
        <w:p w:rsidR="00E15702" w:rsidRPr="00E15702" w:rsidRDefault="00E15702" w:rsidP="00E1570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15702" w:rsidRPr="00E15702" w:rsidRDefault="00E15702" w:rsidP="00E15702">
          <w:pPr>
            <w:pStyle w:val="Header"/>
            <w:spacing w:before="109"/>
          </w:pPr>
        </w:p>
      </w:tc>
      <w:tc>
        <w:tcPr>
          <w:tcW w:w="3180" w:type="dxa"/>
          <w:gridSpan w:val="2"/>
          <w:tcBorders>
            <w:top w:val="single" w:sz="4" w:space="0" w:color="auto"/>
            <w:bottom w:val="single" w:sz="12" w:space="0" w:color="auto"/>
          </w:tcBorders>
          <w:shd w:val="clear" w:color="auto" w:fill="auto"/>
        </w:tcPr>
        <w:p w:rsidR="00E15702" w:rsidRDefault="00E15702" w:rsidP="00E15702">
          <w:pPr>
            <w:pStyle w:val="Distr"/>
          </w:pPr>
          <w:r>
            <w:t>Distr.: General</w:t>
          </w:r>
        </w:p>
        <w:p w:rsidR="00E15702" w:rsidRDefault="00E15702" w:rsidP="00E15702">
          <w:pPr>
            <w:pStyle w:val="Publication"/>
          </w:pPr>
          <w:r>
            <w:t>25 July 2014</w:t>
          </w:r>
        </w:p>
        <w:p w:rsidR="00E15702" w:rsidRDefault="00E15702" w:rsidP="00E15702">
          <w:pPr>
            <w:spacing w:line="240" w:lineRule="exact"/>
          </w:pPr>
          <w:r>
            <w:t>Chinese</w:t>
          </w:r>
        </w:p>
        <w:p w:rsidR="00E15702" w:rsidRDefault="00E15702" w:rsidP="00E15702">
          <w:pPr>
            <w:pStyle w:val="Original"/>
          </w:pPr>
          <w:r>
            <w:t>Original: English</w:t>
          </w:r>
        </w:p>
        <w:p w:rsidR="00E15702" w:rsidRPr="00E15702" w:rsidRDefault="00E15702" w:rsidP="00E15702"/>
      </w:tc>
    </w:tr>
  </w:tbl>
  <w:p w:rsidR="00E15702" w:rsidRPr="00E15702" w:rsidRDefault="00E15702" w:rsidP="00E1570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9*"/>
    <w:docVar w:name="CreationDt" w:val="17/09/2014 15:24:58"/>
    <w:docVar w:name="DocCategory" w:val="Doc"/>
    <w:docVar w:name="DocType" w:val="Final"/>
    <w:docVar w:name="FooterJN" w:val="14-58329 (C)"/>
    <w:docVar w:name="jobn" w:val="14-58329 (C)"/>
    <w:docVar w:name="jobnDT" w:val="14-58329 (C)   170914"/>
    <w:docVar w:name="jobnDTDT" w:val="14-58329 (C)   170914   170914"/>
    <w:docVar w:name="JobNo" w:val="1458329C"/>
    <w:docVar w:name="OandT" w:val="cai"/>
    <w:docVar w:name="sss1" w:val="CEDAW/C/TUV/Q/3-4"/>
    <w:docVar w:name="sss2" w:val="-"/>
    <w:docVar w:name="Symbol1" w:val="CEDAW/C/TUV/Q/3-4"/>
    <w:docVar w:name="Symbol2" w:val="-"/>
  </w:docVars>
  <w:rsids>
    <w:rsidRoot w:val="001B127A"/>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4B58"/>
    <w:rsid w:val="00056952"/>
    <w:rsid w:val="00066B28"/>
    <w:rsid w:val="00067AEB"/>
    <w:rsid w:val="0007337D"/>
    <w:rsid w:val="00074771"/>
    <w:rsid w:val="000758DF"/>
    <w:rsid w:val="00076EB8"/>
    <w:rsid w:val="000777FC"/>
    <w:rsid w:val="00077AEE"/>
    <w:rsid w:val="00082CCB"/>
    <w:rsid w:val="00083CAB"/>
    <w:rsid w:val="000863AD"/>
    <w:rsid w:val="0009279A"/>
    <w:rsid w:val="00095C67"/>
    <w:rsid w:val="000A31F9"/>
    <w:rsid w:val="000C1786"/>
    <w:rsid w:val="000C4C08"/>
    <w:rsid w:val="000C4DDE"/>
    <w:rsid w:val="000C5208"/>
    <w:rsid w:val="000D32BA"/>
    <w:rsid w:val="000E240F"/>
    <w:rsid w:val="000E49A4"/>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127A"/>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1934"/>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299"/>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0007"/>
    <w:rsid w:val="004821D0"/>
    <w:rsid w:val="00483BDA"/>
    <w:rsid w:val="00487444"/>
    <w:rsid w:val="004926EF"/>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17C7"/>
    <w:rsid w:val="00776537"/>
    <w:rsid w:val="00780C90"/>
    <w:rsid w:val="00783A25"/>
    <w:rsid w:val="007843DB"/>
    <w:rsid w:val="007877F4"/>
    <w:rsid w:val="007A78EE"/>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3CD"/>
    <w:rsid w:val="008378D1"/>
    <w:rsid w:val="00841A68"/>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2E17"/>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2D2A"/>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631D"/>
    <w:rsid w:val="00E076AC"/>
    <w:rsid w:val="00E15702"/>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5</Pages>
  <Words>731</Words>
  <Characters>4173</Characters>
  <Application>Microsoft Office Outlook</Application>
  <DocSecurity>4</DocSecurity>
  <Lines>34</Lines>
  <Paragraphs>9</Paragraphs>
  <ScaleCrop>false</ScaleCrop>
  <Company>United Nations</Company>
  <LinksUpToDate>false</LinksUpToDate>
  <CharactersWithSpaces>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Yanhuang Cai</dc:creator>
  <cp:keywords/>
  <dc:description/>
  <cp:lastModifiedBy>Ctpu1</cp:lastModifiedBy>
  <cp:revision>13</cp:revision>
  <cp:lastPrinted>2014-09-17T13:40:00Z</cp:lastPrinted>
  <dcterms:created xsi:type="dcterms:W3CDTF">2014-09-17T13:23:00Z</dcterms:created>
  <dcterms:modified xsi:type="dcterms:W3CDTF">2014-10-17T07:57:00Z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1458329</vt:lpwstr>
  </property>
  <property fmtid="{D5CDD505-2E9C-101B-9397-08002B2CF9AE}" pid="3" name="ODSRefJobNo">
    <vt:lpwstr>1448415C</vt:lpwstr>
  </property>
  <property fmtid="{D5CDD505-2E9C-101B-9397-08002B2CF9AE}" pid="4" name="Symbol1">
    <vt:lpwstr>CEDAW/C/TUV/Q/3-4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170914</vt:lpwstr>
  </property>
  <property fmtid="{D5CDD505-2E9C-101B-9397-08002B2CF9AE}" pid="11" name="Comment">
    <vt:lpwstr/>
  </property>
  <property fmtid="{D5CDD505-2E9C-101B-9397-08002B2CF9AE}" pid="12" name="DraftPages">
    <vt:lpwstr> </vt:lpwstr>
  </property>
  <property fmtid="{D5CDD505-2E9C-101B-9397-08002B2CF9AE}" pid="13" name="Operator">
    <vt:lpwstr>cai</vt:lpwstr>
  </property>
</Properties>
</file>