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1581350" w14:textId="77777777" w:rsidTr="00F90E40">
        <w:trPr>
          <w:trHeight w:hRule="exact" w:val="851"/>
        </w:trPr>
        <w:tc>
          <w:tcPr>
            <w:tcW w:w="142" w:type="dxa"/>
            <w:tcBorders>
              <w:bottom w:val="single" w:sz="4" w:space="0" w:color="auto"/>
            </w:tcBorders>
          </w:tcPr>
          <w:p w14:paraId="2AF3A5ED" w14:textId="77777777" w:rsidR="002D5AAC" w:rsidRDefault="002D5AAC" w:rsidP="004854D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03137A2"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B302714" w14:textId="2921FC9A" w:rsidR="002D5AAC" w:rsidRDefault="004854D8" w:rsidP="004854D8">
            <w:pPr>
              <w:jc w:val="right"/>
            </w:pPr>
            <w:r w:rsidRPr="004854D8">
              <w:rPr>
                <w:sz w:val="40"/>
              </w:rPr>
              <w:t>CAT</w:t>
            </w:r>
            <w:r>
              <w:t>/C/84/2</w:t>
            </w:r>
          </w:p>
        </w:tc>
      </w:tr>
      <w:tr w:rsidR="002D5AAC" w:rsidRPr="00B17197" w14:paraId="5D414DA5" w14:textId="77777777" w:rsidTr="00F90E40">
        <w:trPr>
          <w:trHeight w:hRule="exact" w:val="2835"/>
        </w:trPr>
        <w:tc>
          <w:tcPr>
            <w:tcW w:w="1280" w:type="dxa"/>
            <w:gridSpan w:val="2"/>
            <w:tcBorders>
              <w:top w:val="single" w:sz="4" w:space="0" w:color="auto"/>
              <w:bottom w:val="single" w:sz="12" w:space="0" w:color="auto"/>
            </w:tcBorders>
          </w:tcPr>
          <w:p w14:paraId="0AE9D73B" w14:textId="77777777" w:rsidR="002D5AAC" w:rsidRDefault="002E5067" w:rsidP="00F90E40">
            <w:pPr>
              <w:spacing w:before="120"/>
              <w:jc w:val="center"/>
            </w:pPr>
            <w:r>
              <w:rPr>
                <w:noProof/>
                <w:lang w:val="fr-CH" w:eastAsia="fr-CH"/>
              </w:rPr>
              <w:drawing>
                <wp:inline distT="0" distB="0" distL="0" distR="0" wp14:anchorId="72907FE1" wp14:editId="2C86CBE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F2ACE1" w14:textId="77777777" w:rsidR="002D5AAC" w:rsidRPr="00C23549" w:rsidRDefault="00C23549" w:rsidP="00E25141">
            <w:pPr>
              <w:spacing w:before="120" w:line="38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28226487" w14:textId="238DA79F" w:rsidR="002D5AAC" w:rsidRPr="004854D8" w:rsidRDefault="004854D8" w:rsidP="00F90E40">
            <w:pPr>
              <w:spacing w:before="240"/>
              <w:rPr>
                <w:lang w:val="en-US"/>
              </w:rPr>
            </w:pPr>
            <w:r w:rsidRPr="004854D8">
              <w:rPr>
                <w:lang w:val="en-US"/>
              </w:rPr>
              <w:t xml:space="preserve">Distr.: </w:t>
            </w:r>
            <w:r w:rsidRPr="004854D8">
              <w:rPr>
                <w:rFonts w:eastAsia="Calibri" w:cs="Times New Roman"/>
                <w:szCs w:val="20"/>
                <w:lang w:val="en-GB"/>
              </w:rPr>
              <w:t>General</w:t>
            </w:r>
          </w:p>
          <w:p w14:paraId="5F84345A" w14:textId="2DA4218A" w:rsidR="004854D8" w:rsidRPr="004854D8" w:rsidRDefault="004854D8" w:rsidP="004854D8">
            <w:pPr>
              <w:spacing w:line="240" w:lineRule="exact"/>
              <w:rPr>
                <w:lang w:val="en-US"/>
              </w:rPr>
            </w:pPr>
            <w:r w:rsidRPr="004854D8">
              <w:rPr>
                <w:rFonts w:eastAsia="Calibri" w:cs="Times New Roman"/>
                <w:szCs w:val="20"/>
                <w:lang w:val="en-GB"/>
              </w:rPr>
              <w:t>11 March 2026</w:t>
            </w:r>
          </w:p>
          <w:p w14:paraId="7B69F0BB" w14:textId="77777777" w:rsidR="004854D8" w:rsidRPr="004854D8" w:rsidRDefault="004854D8" w:rsidP="004854D8">
            <w:pPr>
              <w:spacing w:line="240" w:lineRule="exact"/>
              <w:rPr>
                <w:lang w:val="en-US"/>
              </w:rPr>
            </w:pPr>
            <w:r w:rsidRPr="004854D8">
              <w:rPr>
                <w:lang w:val="en-US"/>
              </w:rPr>
              <w:t>Russian</w:t>
            </w:r>
          </w:p>
          <w:p w14:paraId="43DF014A" w14:textId="6F2DB431" w:rsidR="004854D8" w:rsidRPr="004854D8" w:rsidRDefault="004854D8" w:rsidP="004854D8">
            <w:pPr>
              <w:spacing w:line="240" w:lineRule="exact"/>
              <w:rPr>
                <w:lang w:val="en-US"/>
              </w:rPr>
            </w:pPr>
            <w:r w:rsidRPr="004854D8">
              <w:rPr>
                <w:lang w:val="en-US"/>
              </w:rPr>
              <w:t xml:space="preserve">Original: </w:t>
            </w:r>
            <w:r w:rsidRPr="00B17197">
              <w:rPr>
                <w:lang w:val="en-US"/>
              </w:rPr>
              <w:t>English</w:t>
            </w:r>
          </w:p>
        </w:tc>
      </w:tr>
    </w:tbl>
    <w:p w14:paraId="66CAA83D" w14:textId="3D6CD8E9" w:rsidR="004854D8" w:rsidRPr="00B17197" w:rsidRDefault="004854D8" w:rsidP="004854D8">
      <w:pPr>
        <w:spacing w:before="120"/>
        <w:rPr>
          <w:b/>
          <w:bCs/>
          <w:color w:val="000000" w:themeColor="text1"/>
        </w:rPr>
      </w:pPr>
      <w:r w:rsidRPr="004854D8">
        <w:rPr>
          <w:b/>
          <w:bCs/>
          <w:sz w:val="24"/>
          <w:szCs w:val="24"/>
        </w:rPr>
        <w:t>Комитет против пыток</w:t>
      </w:r>
      <w:r w:rsidRPr="004854D8">
        <w:rPr>
          <w:b/>
          <w:bCs/>
          <w:sz w:val="24"/>
          <w:szCs w:val="24"/>
        </w:rPr>
        <w:br/>
      </w:r>
      <w:r>
        <w:rPr>
          <w:b/>
          <w:bCs/>
        </w:rPr>
        <w:t>Восемьдесят четвертая сессия</w:t>
      </w:r>
      <w:r w:rsidRPr="004854D8">
        <w:rPr>
          <w:b/>
          <w:bCs/>
        </w:rPr>
        <w:br/>
      </w:r>
      <w:r>
        <w:t>Женева, 13 апреля — 8 мая 2026 года</w:t>
      </w:r>
      <w:r w:rsidRPr="004854D8">
        <w:br/>
      </w:r>
      <w:r>
        <w:rPr>
          <w:b/>
          <w:bCs/>
        </w:rPr>
        <w:t>Организационные и другие вопросы</w:t>
      </w:r>
    </w:p>
    <w:p w14:paraId="07A51B6F" w14:textId="13C690DC" w:rsidR="004854D8" w:rsidRPr="00247FA7" w:rsidRDefault="004854D8" w:rsidP="004854D8">
      <w:pPr>
        <w:pStyle w:val="HChG"/>
        <w:rPr>
          <w:b w:val="0"/>
          <w:bCs/>
          <w:sz w:val="20"/>
        </w:rPr>
      </w:pPr>
      <w:bookmarkStart w:id="0" w:name="_Toc161321095"/>
      <w:bookmarkStart w:id="1" w:name="_Toc97717812"/>
      <w:bookmarkStart w:id="2" w:name="_Toc97794991"/>
      <w:bookmarkStart w:id="3" w:name="_Toc185542929"/>
      <w:bookmarkStart w:id="4" w:name="_Toc192081299"/>
      <w:bookmarkStart w:id="5" w:name="_Toc218941322"/>
      <w:r>
        <w:tab/>
      </w:r>
      <w:r>
        <w:tab/>
      </w:r>
      <w:r>
        <w:rPr>
          <w:bCs/>
        </w:rPr>
        <w:t>Девятнадцатый ежегодный доклад Подкомитета по</w:t>
      </w:r>
      <w:r>
        <w:rPr>
          <w:bCs/>
          <w:lang w:val="fr-CH"/>
        </w:rPr>
        <w:t> </w:t>
      </w:r>
      <w:r>
        <w:rPr>
          <w:bCs/>
        </w:rPr>
        <w:t>предупреждению пыток и других жестоких, бесчеловечных или унижающих достоинство</w:t>
      </w:r>
      <w:r w:rsidRPr="004854D8">
        <w:rPr>
          <w:bCs/>
        </w:rPr>
        <w:br/>
      </w:r>
      <w:r>
        <w:rPr>
          <w:bCs/>
        </w:rPr>
        <w:t>видов обращения и наказания</w:t>
      </w:r>
      <w:r w:rsidRPr="004854D8">
        <w:rPr>
          <w:rStyle w:val="aa"/>
          <w:b w:val="0"/>
          <w:bCs/>
          <w:position w:val="6"/>
          <w:sz w:val="20"/>
          <w:vertAlign w:val="baseline"/>
        </w:rPr>
        <w:footnoteReference w:customMarkFollows="1" w:id="1"/>
        <w:t>*</w:t>
      </w:r>
      <w:bookmarkStart w:id="6" w:name="_Toc224043347"/>
      <w:bookmarkStart w:id="7" w:name="_Toc534899831"/>
      <w:bookmarkEnd w:id="0"/>
      <w:bookmarkEnd w:id="1"/>
      <w:bookmarkEnd w:id="2"/>
      <w:bookmarkEnd w:id="3"/>
      <w:bookmarkEnd w:id="4"/>
      <w:bookmarkEnd w:id="5"/>
      <w:bookmarkEnd w:id="6"/>
      <w:bookmarkEnd w:id="7"/>
    </w:p>
    <w:tbl>
      <w:tblPr>
        <w:tblStyle w:val="ac"/>
        <w:tblW w:w="0" w:type="auto"/>
        <w:jc w:val="center"/>
        <w:tblLayout w:type="fixed"/>
        <w:tblLook w:val="05E0" w:firstRow="1" w:lastRow="1" w:firstColumn="1" w:lastColumn="1" w:noHBand="0" w:noVBand="1"/>
      </w:tblPr>
      <w:tblGrid>
        <w:gridCol w:w="9629"/>
      </w:tblGrid>
      <w:tr w:rsidR="004854D8" w14:paraId="587E8F9A" w14:textId="77777777" w:rsidTr="00B15703">
        <w:trPr>
          <w:jc w:val="center"/>
        </w:trPr>
        <w:tc>
          <w:tcPr>
            <w:tcW w:w="9629" w:type="dxa"/>
            <w:tcBorders>
              <w:bottom w:val="nil"/>
            </w:tcBorders>
          </w:tcPr>
          <w:p w14:paraId="641A1AAF" w14:textId="77777777" w:rsidR="004854D8" w:rsidRPr="004854D8" w:rsidRDefault="004854D8" w:rsidP="00B15703">
            <w:pPr>
              <w:tabs>
                <w:tab w:val="left" w:pos="255"/>
              </w:tabs>
              <w:suppressAutoHyphens w:val="0"/>
              <w:spacing w:before="240" w:after="120"/>
              <w:rPr>
                <w:sz w:val="24"/>
                <w:szCs w:val="24"/>
              </w:rPr>
            </w:pPr>
            <w:r>
              <w:rPr>
                <w:color w:val="000000"/>
              </w:rPr>
              <w:tab/>
            </w:r>
            <w:r w:rsidRPr="004854D8">
              <w:rPr>
                <w:i/>
                <w:iCs/>
                <w:color w:val="000000"/>
                <w:sz w:val="24"/>
                <w:szCs w:val="24"/>
              </w:rPr>
              <w:t>Резюме</w:t>
            </w:r>
          </w:p>
        </w:tc>
      </w:tr>
      <w:tr w:rsidR="004854D8" w14:paraId="6B28D03A" w14:textId="77777777" w:rsidTr="00B15703">
        <w:trPr>
          <w:jc w:val="center"/>
        </w:trPr>
        <w:tc>
          <w:tcPr>
            <w:tcW w:w="9629" w:type="dxa"/>
            <w:tcBorders>
              <w:top w:val="nil"/>
              <w:bottom w:val="nil"/>
            </w:tcBorders>
          </w:tcPr>
          <w:p w14:paraId="0A57F398" w14:textId="7CCC362A" w:rsidR="004854D8" w:rsidRPr="004854D8" w:rsidRDefault="004854D8" w:rsidP="00B15703">
            <w:pPr>
              <w:pStyle w:val="SingleTxtG"/>
              <w:rPr>
                <w:lang w:val="fr-CH"/>
              </w:rPr>
            </w:pPr>
            <w:r>
              <w:rPr>
                <w:color w:val="000000"/>
              </w:rPr>
              <w:tab/>
              <w:t>В настоящем ежегодном докладе Подкомитет приводит обновленную информацию по вопросам, которые касаются системы Факультативного протокола к</w:t>
            </w:r>
            <w:r>
              <w:rPr>
                <w:color w:val="000000"/>
                <w:lang w:val="fr-CH"/>
              </w:rPr>
              <w:t> </w:t>
            </w:r>
            <w:r>
              <w:rPr>
                <w:color w:val="000000"/>
              </w:rPr>
              <w:t>Конвенции против пыток и других жестоких, бесчеловечных или унижающих достоинство видов обращения и наказания, включая сведения о числе государств-участников, сессиях и членском составе Подкомитета, а также о деятельности Специального фонда, учрежденного Факультативным протоколом (разд. II).</w:t>
            </w:r>
          </w:p>
        </w:tc>
      </w:tr>
      <w:tr w:rsidR="004854D8" w14:paraId="1EFF4A6C" w14:textId="77777777" w:rsidTr="00B15703">
        <w:trPr>
          <w:jc w:val="center"/>
        </w:trPr>
        <w:tc>
          <w:tcPr>
            <w:tcW w:w="9629" w:type="dxa"/>
            <w:tcBorders>
              <w:top w:val="nil"/>
              <w:bottom w:val="nil"/>
            </w:tcBorders>
          </w:tcPr>
          <w:p w14:paraId="17C94240" w14:textId="35C74C8B" w:rsidR="004854D8" w:rsidRPr="004B1EF7" w:rsidRDefault="004854D8" w:rsidP="00B15703">
            <w:pPr>
              <w:pStyle w:val="SingleTxtG"/>
              <w:rPr>
                <w:lang w:val="fr-CH"/>
              </w:rPr>
            </w:pPr>
            <w:r>
              <w:rPr>
                <w:color w:val="000000"/>
              </w:rPr>
              <w:tab/>
              <w:t>Кроме того, Подкомитет приводит содержательную информацию о своих посещениях, докладах о них и последующих диалогах (разд.</w:t>
            </w:r>
            <w:r w:rsidR="004B1EF7">
              <w:rPr>
                <w:color w:val="000000"/>
                <w:lang w:val="fr-CH"/>
              </w:rPr>
              <w:t> </w:t>
            </w:r>
            <w:r>
              <w:rPr>
                <w:color w:val="000000"/>
              </w:rPr>
              <w:t>III), национальных превентивных механизмах (разд. IV) и взаимодействии с другими органами в области предупреждения пыток (разд. V).</w:t>
            </w:r>
          </w:p>
        </w:tc>
      </w:tr>
      <w:tr w:rsidR="004854D8" w:rsidRPr="00247FA7" w14:paraId="47AC449A" w14:textId="77777777" w:rsidTr="00B15703">
        <w:trPr>
          <w:jc w:val="center"/>
        </w:trPr>
        <w:tc>
          <w:tcPr>
            <w:tcW w:w="9629" w:type="dxa"/>
            <w:tcBorders>
              <w:top w:val="nil"/>
              <w:bottom w:val="nil"/>
            </w:tcBorders>
          </w:tcPr>
          <w:p w14:paraId="42D6DB6A" w14:textId="07281243" w:rsidR="004854D8" w:rsidRPr="00247FA7" w:rsidRDefault="004854D8" w:rsidP="00B15703">
            <w:pPr>
              <w:pStyle w:val="SingleTxtG"/>
            </w:pPr>
            <w:r>
              <w:rPr>
                <w:color w:val="000000"/>
              </w:rPr>
              <w:tab/>
              <w:t>В заключение Подкомитет описывает свой план работы на 2026 год (разд. VI) и</w:t>
            </w:r>
            <w:r w:rsidR="004B1EF7">
              <w:rPr>
                <w:color w:val="000000"/>
                <w:lang w:val="fr-CH"/>
              </w:rPr>
              <w:t> </w:t>
            </w:r>
            <w:r>
              <w:rPr>
                <w:color w:val="000000"/>
              </w:rPr>
              <w:t>делится соображениями и задачами на будущее (разд. VII).</w:t>
            </w:r>
          </w:p>
        </w:tc>
      </w:tr>
      <w:tr w:rsidR="004854D8" w:rsidRPr="00247FA7" w14:paraId="7F623097" w14:textId="77777777" w:rsidTr="00B15703">
        <w:trPr>
          <w:jc w:val="center"/>
        </w:trPr>
        <w:tc>
          <w:tcPr>
            <w:tcW w:w="9629" w:type="dxa"/>
            <w:tcBorders>
              <w:top w:val="nil"/>
            </w:tcBorders>
          </w:tcPr>
          <w:p w14:paraId="36D0B2A5" w14:textId="77777777" w:rsidR="004854D8" w:rsidRPr="00247FA7" w:rsidRDefault="004854D8" w:rsidP="00B15703">
            <w:pPr>
              <w:suppressAutoHyphens w:val="0"/>
            </w:pPr>
          </w:p>
        </w:tc>
      </w:tr>
    </w:tbl>
    <w:p w14:paraId="7C08C49B" w14:textId="77777777" w:rsidR="004854D8" w:rsidRDefault="004854D8" w:rsidP="004854D8">
      <w:pPr>
        <w:pageBreakBefore/>
        <w:spacing w:after="120"/>
        <w:rPr>
          <w:sz w:val="28"/>
        </w:rPr>
      </w:pPr>
      <w:r>
        <w:rPr>
          <w:sz w:val="28"/>
        </w:rPr>
        <w:lastRenderedPageBreak/>
        <w:t>Содержание</w:t>
      </w:r>
    </w:p>
    <w:p w14:paraId="776B5E79" w14:textId="77777777" w:rsidR="004854D8" w:rsidRDefault="004854D8" w:rsidP="00F1583A">
      <w:pPr>
        <w:tabs>
          <w:tab w:val="right" w:pos="9638"/>
        </w:tabs>
        <w:spacing w:after="120"/>
        <w:ind w:left="283"/>
        <w:rPr>
          <w:sz w:val="18"/>
        </w:rPr>
      </w:pPr>
      <w:r>
        <w:rPr>
          <w:i/>
          <w:sz w:val="18"/>
        </w:rPr>
        <w:tab/>
        <w:t>Стр.</w:t>
      </w:r>
    </w:p>
    <w:p w14:paraId="515FD9B0" w14:textId="73AD15AE" w:rsidR="004854D8" w:rsidRPr="004854D8" w:rsidRDefault="004854D8" w:rsidP="004854D8">
      <w:pPr>
        <w:tabs>
          <w:tab w:val="right" w:pos="850"/>
          <w:tab w:val="left" w:pos="1134"/>
          <w:tab w:val="left" w:pos="1559"/>
          <w:tab w:val="left" w:leader="dot" w:pos="8787"/>
          <w:tab w:val="right" w:pos="9638"/>
        </w:tabs>
        <w:spacing w:after="120"/>
      </w:pPr>
      <w:r w:rsidRPr="00B17197">
        <w:tab/>
      </w:r>
      <w:r w:rsidRPr="004854D8">
        <w:rPr>
          <w:lang w:val="fr-CH"/>
        </w:rPr>
        <w:t>I</w:t>
      </w:r>
      <w:r w:rsidRPr="004854D8">
        <w:t>.</w:t>
      </w:r>
      <w:r w:rsidRPr="004854D8">
        <w:tab/>
        <w:t xml:space="preserve">Введение </w:t>
      </w:r>
      <w:r w:rsidRPr="004854D8">
        <w:tab/>
      </w:r>
      <w:r w:rsidRPr="004854D8">
        <w:tab/>
        <w:t>3</w:t>
      </w:r>
    </w:p>
    <w:p w14:paraId="652F11EC" w14:textId="5225B5D6" w:rsidR="004854D8" w:rsidRPr="004854D8" w:rsidRDefault="004854D8" w:rsidP="004854D8">
      <w:pPr>
        <w:tabs>
          <w:tab w:val="right" w:pos="850"/>
          <w:tab w:val="left" w:pos="1134"/>
          <w:tab w:val="left" w:pos="1559"/>
          <w:tab w:val="left" w:pos="1984"/>
          <w:tab w:val="left" w:leader="dot" w:pos="8787"/>
          <w:tab w:val="right" w:pos="9638"/>
        </w:tabs>
        <w:spacing w:after="120"/>
      </w:pPr>
      <w:r w:rsidRPr="004854D8">
        <w:tab/>
      </w:r>
      <w:r w:rsidRPr="004854D8">
        <w:rPr>
          <w:lang w:val="fr-CH"/>
        </w:rPr>
        <w:t>II</w:t>
      </w:r>
      <w:r w:rsidRPr="004854D8">
        <w:t>.</w:t>
      </w:r>
      <w:r w:rsidRPr="004854D8">
        <w:tab/>
        <w:t xml:space="preserve">Организационные и другие вопросы </w:t>
      </w:r>
      <w:r w:rsidRPr="004854D8">
        <w:tab/>
      </w:r>
      <w:r w:rsidRPr="004854D8">
        <w:tab/>
        <w:t>3</w:t>
      </w:r>
    </w:p>
    <w:p w14:paraId="59CF7488" w14:textId="0BBDB5E0" w:rsidR="004854D8" w:rsidRPr="004854D8"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A</w:t>
      </w:r>
      <w:r w:rsidRPr="004854D8">
        <w:t>.</w:t>
      </w:r>
      <w:r w:rsidRPr="004854D8">
        <w:tab/>
        <w:t xml:space="preserve">Участие государств в системе Факультативного протокола </w:t>
      </w:r>
      <w:r w:rsidRPr="004854D8">
        <w:tab/>
      </w:r>
      <w:r w:rsidRPr="004854D8">
        <w:tab/>
        <w:t>3</w:t>
      </w:r>
    </w:p>
    <w:p w14:paraId="06B67188" w14:textId="175F66B1" w:rsidR="004854D8" w:rsidRPr="00B17197"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B</w:t>
      </w:r>
      <w:r w:rsidRPr="004854D8">
        <w:t>.</w:t>
      </w:r>
      <w:r w:rsidRPr="004854D8">
        <w:tab/>
        <w:t xml:space="preserve">Сессии </w:t>
      </w:r>
      <w:r w:rsidRPr="004854D8">
        <w:tab/>
      </w:r>
      <w:r w:rsidRPr="004854D8">
        <w:tab/>
      </w:r>
      <w:r w:rsidR="002061AB" w:rsidRPr="00B17197">
        <w:t>4</w:t>
      </w:r>
    </w:p>
    <w:p w14:paraId="202E2601" w14:textId="2C71594E" w:rsidR="004854D8" w:rsidRPr="004854D8"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C</w:t>
      </w:r>
      <w:r w:rsidRPr="004854D8">
        <w:t>.</w:t>
      </w:r>
      <w:r w:rsidRPr="004854D8">
        <w:tab/>
        <w:t xml:space="preserve">Членский состав, должностные лица и мандаты </w:t>
      </w:r>
      <w:r w:rsidRPr="004854D8">
        <w:tab/>
      </w:r>
      <w:r w:rsidRPr="004854D8">
        <w:tab/>
        <w:t>4</w:t>
      </w:r>
    </w:p>
    <w:p w14:paraId="2574C5AA" w14:textId="137BDBA8" w:rsidR="004854D8" w:rsidRPr="004854D8"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D</w:t>
      </w:r>
      <w:r w:rsidRPr="004854D8">
        <w:t>.</w:t>
      </w:r>
      <w:r w:rsidRPr="004854D8">
        <w:tab/>
        <w:t xml:space="preserve">Специальный фонд, учрежденный Факультативным протоколом </w:t>
      </w:r>
      <w:r w:rsidRPr="004854D8">
        <w:tab/>
      </w:r>
      <w:r w:rsidRPr="004854D8">
        <w:tab/>
        <w:t>5</w:t>
      </w:r>
    </w:p>
    <w:p w14:paraId="0BCFC14F" w14:textId="2DF884C0"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rPr>
          <w:lang w:val="fr-CH"/>
        </w:rPr>
        <w:t>III</w:t>
      </w:r>
      <w:r w:rsidRPr="004854D8">
        <w:t>.</w:t>
      </w:r>
      <w:r w:rsidRPr="004854D8">
        <w:tab/>
        <w:t xml:space="preserve">Посещения </w:t>
      </w:r>
      <w:r w:rsidRPr="004854D8">
        <w:tab/>
      </w:r>
      <w:r w:rsidRPr="004854D8">
        <w:tab/>
      </w:r>
      <w:r w:rsidR="002061AB" w:rsidRPr="002061AB">
        <w:t>6</w:t>
      </w:r>
    </w:p>
    <w:p w14:paraId="3C37B02B" w14:textId="3192DA82"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A</w:t>
      </w:r>
      <w:r w:rsidRPr="004854D8">
        <w:t>.</w:t>
      </w:r>
      <w:r w:rsidRPr="004854D8">
        <w:tab/>
        <w:t xml:space="preserve">Посещения, проведенные за отчетный период </w:t>
      </w:r>
      <w:r w:rsidRPr="004854D8">
        <w:tab/>
      </w:r>
      <w:r w:rsidRPr="004854D8">
        <w:tab/>
      </w:r>
      <w:r w:rsidR="002061AB" w:rsidRPr="002061AB">
        <w:t>6</w:t>
      </w:r>
    </w:p>
    <w:p w14:paraId="3F6E2B80" w14:textId="0C8891A8"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B</w:t>
      </w:r>
      <w:r w:rsidRPr="004854D8">
        <w:t>.</w:t>
      </w:r>
      <w:r w:rsidRPr="004854D8">
        <w:tab/>
        <w:t xml:space="preserve">Доклады о посещениях </w:t>
      </w:r>
      <w:r w:rsidRPr="004854D8">
        <w:tab/>
      </w:r>
      <w:r w:rsidRPr="004854D8">
        <w:tab/>
      </w:r>
      <w:r w:rsidR="002061AB" w:rsidRPr="002061AB">
        <w:t>7</w:t>
      </w:r>
    </w:p>
    <w:p w14:paraId="0087AB17" w14:textId="6E4886D6"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C</w:t>
      </w:r>
      <w:r w:rsidRPr="004854D8">
        <w:t>.</w:t>
      </w:r>
      <w:r w:rsidRPr="004854D8">
        <w:tab/>
        <w:t xml:space="preserve">Ответы государств на доклады о посещениях и последующие диалоги </w:t>
      </w:r>
      <w:r w:rsidRPr="004854D8">
        <w:tab/>
      </w:r>
      <w:r w:rsidRPr="004854D8">
        <w:tab/>
      </w:r>
      <w:r w:rsidR="002061AB" w:rsidRPr="002061AB">
        <w:t>8</w:t>
      </w:r>
    </w:p>
    <w:p w14:paraId="6FBB3FCF" w14:textId="6F69B168"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rPr>
          <w:lang w:val="fr-CH"/>
        </w:rPr>
        <w:t>IV</w:t>
      </w:r>
      <w:r w:rsidRPr="004854D8">
        <w:t>.</w:t>
      </w:r>
      <w:r w:rsidRPr="004854D8">
        <w:tab/>
        <w:t xml:space="preserve">Национальные превентивные механизмы </w:t>
      </w:r>
      <w:r w:rsidRPr="004854D8">
        <w:tab/>
      </w:r>
      <w:r w:rsidRPr="004854D8">
        <w:tab/>
      </w:r>
      <w:r w:rsidR="002061AB" w:rsidRPr="002061AB">
        <w:t>8</w:t>
      </w:r>
    </w:p>
    <w:p w14:paraId="7D8BD9B7" w14:textId="44C7D1C0" w:rsidR="004854D8" w:rsidRPr="002061AB" w:rsidRDefault="004854D8" w:rsidP="004854D8">
      <w:pPr>
        <w:tabs>
          <w:tab w:val="right" w:pos="850"/>
          <w:tab w:val="left" w:pos="1134"/>
          <w:tab w:val="left" w:pos="1559"/>
          <w:tab w:val="left" w:pos="1984"/>
          <w:tab w:val="left" w:leader="dot" w:pos="8787"/>
          <w:tab w:val="right" w:pos="9638"/>
        </w:tabs>
        <w:spacing w:after="120"/>
        <w:ind w:left="1559" w:hanging="1559"/>
      </w:pPr>
      <w:r w:rsidRPr="004854D8">
        <w:tab/>
      </w:r>
      <w:r w:rsidRPr="004854D8">
        <w:tab/>
      </w:r>
      <w:r w:rsidRPr="004854D8">
        <w:rPr>
          <w:lang w:val="fr-CH"/>
        </w:rPr>
        <w:t>A</w:t>
      </w:r>
      <w:r w:rsidRPr="004854D8">
        <w:t>.</w:t>
      </w:r>
      <w:r w:rsidRPr="004854D8">
        <w:tab/>
        <w:t>Обязательства государств относительно национальных превентивных</w:t>
      </w:r>
      <w:r w:rsidRPr="004854D8">
        <w:br/>
        <w:t xml:space="preserve">механизмов </w:t>
      </w:r>
      <w:r w:rsidRPr="004854D8">
        <w:tab/>
      </w:r>
      <w:r w:rsidRPr="004854D8">
        <w:tab/>
      </w:r>
      <w:r w:rsidR="002061AB" w:rsidRPr="002061AB">
        <w:t>8</w:t>
      </w:r>
    </w:p>
    <w:p w14:paraId="792C2E0C" w14:textId="40C68D0A"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B</w:t>
      </w:r>
      <w:r w:rsidRPr="004854D8">
        <w:t>.</w:t>
      </w:r>
      <w:r w:rsidRPr="004854D8">
        <w:tab/>
        <w:t xml:space="preserve">Совещания </w:t>
      </w:r>
      <w:r w:rsidRPr="004854D8">
        <w:tab/>
      </w:r>
      <w:r w:rsidRPr="004854D8">
        <w:tab/>
      </w:r>
      <w:r w:rsidR="002061AB" w:rsidRPr="002061AB">
        <w:t>9</w:t>
      </w:r>
    </w:p>
    <w:p w14:paraId="2EEF8A35" w14:textId="34D3E5C7"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C</w:t>
      </w:r>
      <w:r w:rsidRPr="004854D8">
        <w:t>.</w:t>
      </w:r>
      <w:r w:rsidRPr="004854D8">
        <w:tab/>
        <w:t xml:space="preserve">Консультации для национальных превентивных механизмов </w:t>
      </w:r>
      <w:r w:rsidRPr="004854D8">
        <w:tab/>
      </w:r>
      <w:r w:rsidRPr="004854D8">
        <w:tab/>
      </w:r>
      <w:r w:rsidR="002061AB" w:rsidRPr="002061AB">
        <w:t>12</w:t>
      </w:r>
    </w:p>
    <w:p w14:paraId="3695D2DE" w14:textId="1322E331"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rPr>
          <w:lang w:val="fr-CH"/>
        </w:rPr>
        <w:t>V</w:t>
      </w:r>
      <w:r w:rsidRPr="004854D8">
        <w:t>.</w:t>
      </w:r>
      <w:r w:rsidRPr="004854D8">
        <w:tab/>
        <w:t xml:space="preserve">Взаимодействие с другими органами в области предупреждения пыток </w:t>
      </w:r>
      <w:r w:rsidRPr="004854D8">
        <w:tab/>
      </w:r>
      <w:r w:rsidRPr="004854D8">
        <w:tab/>
      </w:r>
      <w:r w:rsidR="002061AB" w:rsidRPr="002061AB">
        <w:t>15</w:t>
      </w:r>
    </w:p>
    <w:p w14:paraId="2CC770A8" w14:textId="1260F3EC" w:rsidR="004854D8" w:rsidRPr="002061AB" w:rsidRDefault="004854D8" w:rsidP="004854D8">
      <w:pPr>
        <w:tabs>
          <w:tab w:val="right" w:pos="850"/>
          <w:tab w:val="left" w:pos="1134"/>
          <w:tab w:val="left" w:pos="1559"/>
          <w:tab w:val="left" w:pos="1984"/>
          <w:tab w:val="left" w:leader="dot" w:pos="8787"/>
          <w:tab w:val="right" w:pos="9638"/>
        </w:tabs>
        <w:spacing w:after="120"/>
        <w:ind w:left="1559" w:hanging="1559"/>
      </w:pPr>
      <w:r w:rsidRPr="004854D8">
        <w:tab/>
      </w:r>
      <w:r w:rsidRPr="004854D8">
        <w:tab/>
      </w:r>
      <w:r w:rsidRPr="004854D8">
        <w:rPr>
          <w:lang w:val="fr-CH"/>
        </w:rPr>
        <w:t>A</w:t>
      </w:r>
      <w:r w:rsidRPr="004854D8">
        <w:t>.</w:t>
      </w:r>
      <w:r w:rsidRPr="004854D8">
        <w:tab/>
        <w:t>Подкомитет как часть правозащитной системы Организации Объединенных</w:t>
      </w:r>
      <w:r w:rsidRPr="004854D8">
        <w:br/>
        <w:t xml:space="preserve">Наций </w:t>
      </w:r>
      <w:r w:rsidRPr="004854D8">
        <w:tab/>
      </w:r>
      <w:r w:rsidRPr="004854D8">
        <w:tab/>
      </w:r>
      <w:r w:rsidR="002061AB" w:rsidRPr="002061AB">
        <w:t>15</w:t>
      </w:r>
    </w:p>
    <w:p w14:paraId="7A39A6FB" w14:textId="6D34FA2C"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B</w:t>
      </w:r>
      <w:r w:rsidRPr="004854D8">
        <w:t>.</w:t>
      </w:r>
      <w:r w:rsidRPr="004854D8">
        <w:tab/>
        <w:t xml:space="preserve">Региональное сотрудничество </w:t>
      </w:r>
      <w:r w:rsidRPr="004854D8">
        <w:tab/>
      </w:r>
      <w:r w:rsidRPr="004854D8">
        <w:tab/>
      </w:r>
      <w:r w:rsidR="002061AB" w:rsidRPr="002061AB">
        <w:t>17</w:t>
      </w:r>
    </w:p>
    <w:p w14:paraId="10C7F61B" w14:textId="3B625FCF" w:rsidR="004854D8" w:rsidRPr="002061AB" w:rsidRDefault="004854D8" w:rsidP="004854D8">
      <w:pPr>
        <w:tabs>
          <w:tab w:val="right" w:pos="850"/>
          <w:tab w:val="left" w:pos="1134"/>
          <w:tab w:val="left" w:pos="1559"/>
          <w:tab w:val="left" w:pos="1984"/>
          <w:tab w:val="left" w:leader="dot" w:pos="8787"/>
          <w:tab w:val="right" w:pos="9638"/>
        </w:tabs>
        <w:spacing w:after="120"/>
        <w:ind w:left="1559" w:hanging="1559"/>
      </w:pPr>
      <w:r w:rsidRPr="004854D8">
        <w:tab/>
      </w:r>
      <w:r w:rsidRPr="004854D8">
        <w:tab/>
      </w:r>
      <w:r w:rsidRPr="004854D8">
        <w:rPr>
          <w:lang w:val="fr-CH"/>
        </w:rPr>
        <w:t>C</w:t>
      </w:r>
      <w:r w:rsidRPr="004854D8">
        <w:t>.</w:t>
      </w:r>
      <w:r w:rsidRPr="004854D8">
        <w:tab/>
        <w:t>Сотрудничество с гражданским обществом и другими заинтересованными</w:t>
      </w:r>
      <w:r w:rsidRPr="004854D8">
        <w:br/>
        <w:t xml:space="preserve">сторонами </w:t>
      </w:r>
      <w:r w:rsidRPr="004854D8">
        <w:tab/>
      </w:r>
      <w:r w:rsidRPr="004854D8">
        <w:tab/>
      </w:r>
      <w:r w:rsidR="002061AB" w:rsidRPr="002061AB">
        <w:t>17</w:t>
      </w:r>
    </w:p>
    <w:p w14:paraId="6239144B" w14:textId="37466531"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rPr>
          <w:lang w:val="fr-CH"/>
        </w:rPr>
        <w:t>VI</w:t>
      </w:r>
      <w:r w:rsidRPr="004854D8">
        <w:t>.</w:t>
      </w:r>
      <w:r w:rsidRPr="004854D8">
        <w:tab/>
        <w:t xml:space="preserve">План работы на предстоящий год </w:t>
      </w:r>
      <w:r w:rsidRPr="004854D8">
        <w:tab/>
      </w:r>
      <w:r w:rsidRPr="004854D8">
        <w:tab/>
      </w:r>
      <w:r w:rsidR="002061AB" w:rsidRPr="002061AB">
        <w:t>18</w:t>
      </w:r>
    </w:p>
    <w:p w14:paraId="42CC5AB6" w14:textId="22903A9C"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A</w:t>
      </w:r>
      <w:r w:rsidRPr="004854D8">
        <w:t>.</w:t>
      </w:r>
      <w:r w:rsidRPr="004854D8">
        <w:tab/>
        <w:t xml:space="preserve">Сессии </w:t>
      </w:r>
      <w:r w:rsidRPr="004854D8">
        <w:tab/>
      </w:r>
      <w:r w:rsidRPr="004854D8">
        <w:tab/>
      </w:r>
      <w:r w:rsidR="002061AB" w:rsidRPr="002061AB">
        <w:t>18</w:t>
      </w:r>
    </w:p>
    <w:p w14:paraId="34C0CD50" w14:textId="1C13A6DB"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B</w:t>
      </w:r>
      <w:r w:rsidRPr="004854D8">
        <w:t>.</w:t>
      </w:r>
      <w:r w:rsidRPr="004854D8">
        <w:tab/>
        <w:t xml:space="preserve">Посещения </w:t>
      </w:r>
      <w:r w:rsidRPr="004854D8">
        <w:tab/>
      </w:r>
      <w:r w:rsidRPr="004854D8">
        <w:tab/>
      </w:r>
      <w:r w:rsidR="002061AB" w:rsidRPr="002061AB">
        <w:t>18</w:t>
      </w:r>
    </w:p>
    <w:p w14:paraId="63913DB1" w14:textId="29586D9B" w:rsidR="004854D8" w:rsidRPr="002061AB" w:rsidRDefault="004854D8" w:rsidP="004854D8">
      <w:pPr>
        <w:tabs>
          <w:tab w:val="right" w:pos="850"/>
          <w:tab w:val="left" w:pos="1134"/>
          <w:tab w:val="left" w:pos="1559"/>
          <w:tab w:val="left" w:pos="1984"/>
          <w:tab w:val="left" w:leader="dot" w:pos="8787"/>
          <w:tab w:val="right" w:pos="9638"/>
        </w:tabs>
        <w:spacing w:after="120"/>
      </w:pPr>
      <w:r w:rsidRPr="004854D8">
        <w:tab/>
      </w:r>
      <w:r w:rsidRPr="004854D8">
        <w:tab/>
      </w:r>
      <w:r w:rsidRPr="004854D8">
        <w:rPr>
          <w:lang w:val="fr-CH"/>
        </w:rPr>
        <w:t>C</w:t>
      </w:r>
      <w:r w:rsidRPr="004854D8">
        <w:t>.</w:t>
      </w:r>
      <w:r w:rsidRPr="004854D8">
        <w:tab/>
        <w:t xml:space="preserve">Прочие виды деятельности </w:t>
      </w:r>
      <w:r w:rsidRPr="004854D8">
        <w:tab/>
      </w:r>
      <w:r w:rsidRPr="004854D8">
        <w:tab/>
      </w:r>
      <w:r w:rsidR="002061AB" w:rsidRPr="002061AB">
        <w:t>19</w:t>
      </w:r>
    </w:p>
    <w:p w14:paraId="55F8A204" w14:textId="638B024B" w:rsidR="004854D8" w:rsidRPr="00B17197" w:rsidRDefault="004854D8" w:rsidP="004854D8">
      <w:pPr>
        <w:tabs>
          <w:tab w:val="right" w:pos="850"/>
          <w:tab w:val="left" w:pos="1134"/>
          <w:tab w:val="left" w:pos="1559"/>
          <w:tab w:val="left" w:pos="1984"/>
          <w:tab w:val="left" w:leader="dot" w:pos="8787"/>
          <w:tab w:val="right" w:pos="9638"/>
        </w:tabs>
        <w:spacing w:after="120"/>
      </w:pPr>
      <w:r w:rsidRPr="004854D8">
        <w:tab/>
      </w:r>
      <w:r w:rsidRPr="004854D8">
        <w:rPr>
          <w:lang w:val="fr-CH"/>
        </w:rPr>
        <w:t>VII</w:t>
      </w:r>
      <w:r w:rsidRPr="002061AB">
        <w:t>.</w:t>
      </w:r>
      <w:r w:rsidRPr="002061AB">
        <w:tab/>
        <w:t xml:space="preserve">Задачи на будущее </w:t>
      </w:r>
      <w:r w:rsidRPr="002061AB">
        <w:tab/>
      </w:r>
      <w:r w:rsidRPr="002061AB">
        <w:tab/>
      </w:r>
      <w:r w:rsidR="002061AB" w:rsidRPr="002061AB">
        <w:t>1</w:t>
      </w:r>
      <w:r w:rsidR="002061AB" w:rsidRPr="00B17197">
        <w:t>9</w:t>
      </w:r>
    </w:p>
    <w:p w14:paraId="5C6521D7" w14:textId="5AD33535" w:rsidR="004854D8" w:rsidRPr="00247FA7" w:rsidRDefault="004854D8" w:rsidP="004854D8">
      <w:pPr>
        <w:pStyle w:val="HChG"/>
        <w:pageBreakBefore/>
      </w:pPr>
      <w:bookmarkStart w:id="8" w:name="_Toc534899833"/>
      <w:bookmarkStart w:id="9" w:name="_Toc97717813"/>
      <w:bookmarkStart w:id="10" w:name="_Toc97794992"/>
      <w:bookmarkStart w:id="11" w:name="_Toc161321096"/>
      <w:bookmarkStart w:id="12" w:name="_Toc185542931"/>
      <w:bookmarkStart w:id="13" w:name="_Toc192081300"/>
      <w:bookmarkStart w:id="14" w:name="_Toc218941323"/>
      <w:bookmarkStart w:id="15" w:name="_Hlk160116257"/>
      <w:r w:rsidRPr="002061AB">
        <w:rPr>
          <w:bCs/>
        </w:rPr>
        <w:lastRenderedPageBreak/>
        <w:tab/>
      </w:r>
      <w:r>
        <w:rPr>
          <w:bCs/>
        </w:rPr>
        <w:t>I.</w:t>
      </w:r>
      <w:r>
        <w:tab/>
        <w:t>Введение</w:t>
      </w:r>
      <w:bookmarkStart w:id="16" w:name="_Toc224043348"/>
      <w:bookmarkEnd w:id="8"/>
      <w:bookmarkEnd w:id="9"/>
      <w:bookmarkEnd w:id="10"/>
      <w:bookmarkEnd w:id="11"/>
      <w:bookmarkEnd w:id="12"/>
      <w:bookmarkEnd w:id="13"/>
      <w:bookmarkEnd w:id="14"/>
      <w:bookmarkEnd w:id="16"/>
    </w:p>
    <w:p w14:paraId="2ED00CA0" w14:textId="5299BAB9" w:rsidR="004854D8" w:rsidRPr="00247FA7" w:rsidRDefault="004854D8" w:rsidP="002061AB">
      <w:pPr>
        <w:pStyle w:val="SingleTxtG"/>
      </w:pPr>
      <w:bookmarkStart w:id="17" w:name="_Hlk160116560"/>
      <w:r w:rsidRPr="00247FA7">
        <w:t>1.</w:t>
      </w:r>
      <w:r w:rsidRPr="00247FA7">
        <w:tab/>
      </w:r>
      <w:r>
        <w:t>В соответствии с пунктом 3 статьи 16 Факультативного протокола к Конвенции против пыток и других жестоких, бесчеловечных или унижающих достоинство видов обращения и наказания и правилом 33 своих правил процедуры Подкомитет по предупреждению пыток и других жестоких, бесчеловечных или унижающих достоинство видов обращения и наказания готовит ежегодный доклад о своей деятельности в виде открытого документа. Настоящий доклад охватывает деятельность Подкомитета за период с 1 января по 31 декабря 2025 года и был утвержден в межсессионный период в соответствии с решением Подкомитета, принятым им в ходе его пятьдесят шестой сессии, которая проходила в Женеве</w:t>
      </w:r>
      <w:r w:rsidRPr="004854D8">
        <w:br/>
      </w:r>
      <w:r>
        <w:t>с 10 по 14 ноября 2025 года. Утверждение доклада в межсессионный период обусловлено тем, что Подкомитет в качестве чрезвычайной и временной меры по сокращению расходов принял решение скорректировать порядок проведения своих сессий на 2026 год. В</w:t>
      </w:r>
      <w:r>
        <w:rPr>
          <w:lang w:val="fr-CH"/>
        </w:rPr>
        <w:t> </w:t>
      </w:r>
      <w:r>
        <w:t>частности, Подкомитет принял решение не проводить сессию в феврале 2026 года, на которой обычно утверждается ежегодный доклад.</w:t>
      </w:r>
      <w:bookmarkStart w:id="18" w:name="_Hlk58255257"/>
      <w:bookmarkEnd w:id="18"/>
    </w:p>
    <w:p w14:paraId="7E810F97" w14:textId="28B20A60" w:rsidR="004854D8" w:rsidRPr="00247FA7" w:rsidRDefault="004854D8" w:rsidP="004854D8">
      <w:pPr>
        <w:pStyle w:val="HChG"/>
      </w:pPr>
      <w:r w:rsidRPr="004854D8">
        <w:rPr>
          <w:bCs/>
        </w:rPr>
        <w:tab/>
      </w:r>
      <w:r>
        <w:rPr>
          <w:bCs/>
        </w:rPr>
        <w:t>II.</w:t>
      </w:r>
      <w:r>
        <w:tab/>
        <w:t>Организационные и другие вопросы</w:t>
      </w:r>
      <w:bookmarkStart w:id="19" w:name="_Toc97717814"/>
      <w:bookmarkStart w:id="20" w:name="_Toc97794993"/>
      <w:bookmarkStart w:id="21" w:name="_Toc161321097"/>
      <w:bookmarkStart w:id="22" w:name="_Toc534899834"/>
      <w:bookmarkStart w:id="23" w:name="_Toc185542932"/>
      <w:bookmarkStart w:id="24" w:name="_Toc192081301"/>
      <w:bookmarkStart w:id="25" w:name="_Toc218941324"/>
      <w:bookmarkStart w:id="26" w:name="_Toc224043349"/>
      <w:bookmarkEnd w:id="19"/>
      <w:bookmarkEnd w:id="20"/>
      <w:bookmarkEnd w:id="21"/>
      <w:bookmarkEnd w:id="22"/>
      <w:bookmarkEnd w:id="23"/>
      <w:bookmarkEnd w:id="24"/>
      <w:bookmarkEnd w:id="25"/>
      <w:bookmarkEnd w:id="26"/>
    </w:p>
    <w:bookmarkEnd w:id="17"/>
    <w:p w14:paraId="38402046" w14:textId="5144BAE6" w:rsidR="004854D8" w:rsidRPr="00247FA7" w:rsidRDefault="004854D8" w:rsidP="004854D8">
      <w:pPr>
        <w:pStyle w:val="H1G"/>
      </w:pPr>
      <w:r w:rsidRPr="00B17197">
        <w:rPr>
          <w:bCs/>
        </w:rPr>
        <w:tab/>
      </w:r>
      <w:r>
        <w:rPr>
          <w:bCs/>
        </w:rPr>
        <w:t>A.</w:t>
      </w:r>
      <w:r>
        <w:tab/>
        <w:t>Участие государств в системе Факультативного протокола</w:t>
      </w:r>
      <w:bookmarkStart w:id="27" w:name="_Toc97717815"/>
      <w:bookmarkStart w:id="28" w:name="_Toc97794994"/>
      <w:bookmarkStart w:id="29" w:name="_Toc534899835"/>
      <w:bookmarkStart w:id="30" w:name="_Toc161321098"/>
      <w:bookmarkStart w:id="31" w:name="_Toc185542933"/>
      <w:bookmarkStart w:id="32" w:name="_Toc192081302"/>
      <w:bookmarkStart w:id="33" w:name="_Toc218941325"/>
      <w:bookmarkStart w:id="34" w:name="_Toc224043350"/>
      <w:bookmarkEnd w:id="27"/>
      <w:bookmarkEnd w:id="28"/>
      <w:bookmarkEnd w:id="29"/>
      <w:bookmarkEnd w:id="30"/>
      <w:bookmarkEnd w:id="31"/>
      <w:bookmarkEnd w:id="32"/>
      <w:bookmarkEnd w:id="33"/>
      <w:bookmarkEnd w:id="34"/>
    </w:p>
    <w:p w14:paraId="0F22E032" w14:textId="14806D24" w:rsidR="004854D8" w:rsidRPr="00B17197" w:rsidRDefault="004854D8" w:rsidP="002061AB">
      <w:pPr>
        <w:pStyle w:val="SingleTxtG"/>
      </w:pPr>
      <w:r w:rsidRPr="00247FA7">
        <w:t>2.</w:t>
      </w:r>
      <w:r w:rsidRPr="00247FA7">
        <w:tab/>
      </w:r>
      <w:r>
        <w:t>По состоянию на 31 декабря 2025 года участниками Факультативного протокола являлись 96 государств и 11 государств его подписали</w:t>
      </w:r>
      <w:r w:rsidRPr="001D1211">
        <w:rPr>
          <w:rStyle w:val="aa"/>
        </w:rPr>
        <w:footnoteReference w:id="2"/>
      </w:r>
      <w:r>
        <w:t>. Бангладеш присоединилось к Факультативному протоколу 17 июля 2025 года, Колумбия —</w:t>
      </w:r>
      <w:r w:rsidRPr="004854D8">
        <w:br/>
      </w:r>
      <w:r>
        <w:t>10 ноября 2025 года.</w:t>
      </w:r>
    </w:p>
    <w:p w14:paraId="47FF8B92" w14:textId="3EBB487E" w:rsidR="004854D8" w:rsidRPr="00B17197" w:rsidRDefault="004854D8" w:rsidP="004854D8">
      <w:pPr>
        <w:pStyle w:val="ParaNoG"/>
        <w:numPr>
          <w:ilvl w:val="0"/>
          <w:numId w:val="0"/>
        </w:numPr>
        <w:tabs>
          <w:tab w:val="left" w:pos="0"/>
          <w:tab w:val="left" w:pos="1701"/>
        </w:tabs>
        <w:ind w:left="1134"/>
        <w:outlineLvl w:val="9"/>
      </w:pPr>
      <w:r w:rsidRPr="00247FA7">
        <w:t>3.</w:t>
      </w:r>
      <w:r w:rsidRPr="00247FA7">
        <w:tab/>
      </w:r>
      <w:r>
        <w:t>Распределение участников по регионам выглядело следующим образом:</w:t>
      </w:r>
    </w:p>
    <w:tbl>
      <w:tblPr>
        <w:tblStyle w:val="ac"/>
        <w:tblW w:w="0" w:type="auto"/>
        <w:tblInd w:w="1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4"/>
        <w:gridCol w:w="2785"/>
      </w:tblGrid>
      <w:tr w:rsidR="004854D8" w14:paraId="7522473F" w14:textId="77777777" w:rsidTr="00CD5478">
        <w:tc>
          <w:tcPr>
            <w:tcW w:w="3444" w:type="dxa"/>
          </w:tcPr>
          <w:p w14:paraId="30400C9C" w14:textId="5F2903E2" w:rsidR="004854D8" w:rsidRDefault="00CD5478" w:rsidP="00CD5478">
            <w:pPr>
              <w:spacing w:after="120"/>
              <w:rPr>
                <w:lang w:val="fr-CH" w:eastAsia="ru-RU"/>
              </w:rPr>
            </w:pPr>
            <w:r>
              <w:t>Государства Африки</w:t>
            </w:r>
          </w:p>
        </w:tc>
        <w:tc>
          <w:tcPr>
            <w:tcW w:w="2785" w:type="dxa"/>
          </w:tcPr>
          <w:p w14:paraId="243089C6" w14:textId="7B37F07E" w:rsidR="004854D8" w:rsidRDefault="00CD5478" w:rsidP="00CD5478">
            <w:pPr>
              <w:spacing w:after="120"/>
              <w:rPr>
                <w:lang w:val="fr-CH" w:eastAsia="ru-RU"/>
              </w:rPr>
            </w:pPr>
            <w:r>
              <w:t>25</w:t>
            </w:r>
          </w:p>
        </w:tc>
      </w:tr>
      <w:tr w:rsidR="004854D8" w:rsidRPr="00CD5478" w14:paraId="2BA1BFCA" w14:textId="77777777" w:rsidTr="00CD5478">
        <w:tc>
          <w:tcPr>
            <w:tcW w:w="3444" w:type="dxa"/>
          </w:tcPr>
          <w:p w14:paraId="3F141F51" w14:textId="02B41002" w:rsidR="004854D8" w:rsidRPr="00CD5478" w:rsidRDefault="00CD5478" w:rsidP="00CD5478">
            <w:pPr>
              <w:spacing w:after="120"/>
              <w:rPr>
                <w:lang w:eastAsia="ru-RU"/>
              </w:rPr>
            </w:pPr>
            <w:r>
              <w:t>Государства Азии и Тихого океана</w:t>
            </w:r>
          </w:p>
        </w:tc>
        <w:tc>
          <w:tcPr>
            <w:tcW w:w="2785" w:type="dxa"/>
          </w:tcPr>
          <w:p w14:paraId="020241C4" w14:textId="4179E7A2" w:rsidR="004854D8" w:rsidRPr="00CD5478" w:rsidRDefault="00CD5478" w:rsidP="00CD5478">
            <w:pPr>
              <w:spacing w:after="120"/>
              <w:rPr>
                <w:lang w:eastAsia="ru-RU"/>
              </w:rPr>
            </w:pPr>
            <w:r>
              <w:t>14</w:t>
            </w:r>
          </w:p>
        </w:tc>
      </w:tr>
      <w:tr w:rsidR="004854D8" w:rsidRPr="00CD5478" w14:paraId="3E896DF7" w14:textId="77777777" w:rsidTr="00CD5478">
        <w:tc>
          <w:tcPr>
            <w:tcW w:w="3444" w:type="dxa"/>
          </w:tcPr>
          <w:p w14:paraId="77477C14" w14:textId="12A4D990" w:rsidR="004854D8" w:rsidRPr="00CD5478" w:rsidRDefault="00CD5478" w:rsidP="00CD5478">
            <w:pPr>
              <w:spacing w:after="120"/>
              <w:rPr>
                <w:lang w:eastAsia="ru-RU"/>
              </w:rPr>
            </w:pPr>
            <w:r>
              <w:t>Государства Восточной Европы</w:t>
            </w:r>
          </w:p>
        </w:tc>
        <w:tc>
          <w:tcPr>
            <w:tcW w:w="2785" w:type="dxa"/>
          </w:tcPr>
          <w:p w14:paraId="0C6FF7FD" w14:textId="377190E5" w:rsidR="004854D8" w:rsidRPr="00CD5478" w:rsidRDefault="00CD5478" w:rsidP="00CD5478">
            <w:pPr>
              <w:spacing w:after="120"/>
              <w:rPr>
                <w:lang w:eastAsia="ru-RU"/>
              </w:rPr>
            </w:pPr>
            <w:r>
              <w:t>21</w:t>
            </w:r>
          </w:p>
        </w:tc>
      </w:tr>
      <w:tr w:rsidR="004854D8" w:rsidRPr="00CD5478" w14:paraId="0F5C87EF" w14:textId="77777777" w:rsidTr="00CD5478">
        <w:tc>
          <w:tcPr>
            <w:tcW w:w="3444" w:type="dxa"/>
          </w:tcPr>
          <w:p w14:paraId="394C7A64" w14:textId="7566C597" w:rsidR="004854D8" w:rsidRPr="00CD5478" w:rsidRDefault="00CD5478" w:rsidP="00CD5478">
            <w:pPr>
              <w:spacing w:after="120"/>
              <w:rPr>
                <w:lang w:eastAsia="ru-RU"/>
              </w:rPr>
            </w:pPr>
            <w:r>
              <w:t>Государства Латинской Америки и</w:t>
            </w:r>
            <w:r>
              <w:rPr>
                <w:lang w:val="fr-CH"/>
              </w:rPr>
              <w:t> </w:t>
            </w:r>
            <w:r>
              <w:t>Карибского бассейна</w:t>
            </w:r>
          </w:p>
        </w:tc>
        <w:tc>
          <w:tcPr>
            <w:tcW w:w="2785" w:type="dxa"/>
          </w:tcPr>
          <w:p w14:paraId="46002A1E" w14:textId="0617B438" w:rsidR="004854D8" w:rsidRPr="00CD5478" w:rsidRDefault="00CD5478" w:rsidP="00CD5478">
            <w:pPr>
              <w:spacing w:after="120"/>
              <w:rPr>
                <w:lang w:eastAsia="ru-RU"/>
              </w:rPr>
            </w:pPr>
            <w:r>
              <w:t>16</w:t>
            </w:r>
          </w:p>
        </w:tc>
      </w:tr>
      <w:tr w:rsidR="004854D8" w:rsidRPr="00CD5478" w14:paraId="25D4468D" w14:textId="77777777" w:rsidTr="00CD5478">
        <w:tc>
          <w:tcPr>
            <w:tcW w:w="3444" w:type="dxa"/>
          </w:tcPr>
          <w:p w14:paraId="6BD796CA" w14:textId="670689F4" w:rsidR="004854D8" w:rsidRPr="00CD5478" w:rsidRDefault="00CD5478" w:rsidP="00CD5478">
            <w:pPr>
              <w:spacing w:after="120"/>
              <w:rPr>
                <w:lang w:eastAsia="ru-RU"/>
              </w:rPr>
            </w:pPr>
            <w:r>
              <w:t>Государства Западной Европы</w:t>
            </w:r>
            <w:r w:rsidRPr="00CD5478">
              <w:br/>
            </w:r>
            <w:r>
              <w:t>и</w:t>
            </w:r>
            <w:r>
              <w:rPr>
                <w:lang w:val="fr-CH"/>
              </w:rPr>
              <w:t> </w:t>
            </w:r>
            <w:r>
              <w:t>другие государства</w:t>
            </w:r>
          </w:p>
        </w:tc>
        <w:tc>
          <w:tcPr>
            <w:tcW w:w="2785" w:type="dxa"/>
          </w:tcPr>
          <w:p w14:paraId="48C0C1B6" w14:textId="1C886403" w:rsidR="004854D8" w:rsidRPr="00CD5478" w:rsidRDefault="00CD5478" w:rsidP="00CD5478">
            <w:pPr>
              <w:spacing w:after="120"/>
              <w:rPr>
                <w:lang w:eastAsia="ru-RU"/>
              </w:rPr>
            </w:pPr>
            <w:r>
              <w:t>20</w:t>
            </w:r>
          </w:p>
        </w:tc>
      </w:tr>
    </w:tbl>
    <w:p w14:paraId="42C0B4C0" w14:textId="78786B5A" w:rsidR="004854D8" w:rsidRPr="00B17197" w:rsidRDefault="004854D8" w:rsidP="002061AB">
      <w:pPr>
        <w:pStyle w:val="SingleTxtG"/>
      </w:pPr>
      <w:r w:rsidRPr="00247FA7">
        <w:t>4.</w:t>
      </w:r>
      <w:r w:rsidRPr="00247FA7">
        <w:tab/>
      </w:r>
      <w:r>
        <w:t>Распределение 11 подписавших Протокол государств по регионам продолжает выглядеть следующим образом:</w:t>
      </w:r>
    </w:p>
    <w:tbl>
      <w:tblPr>
        <w:tblStyle w:val="ac"/>
        <w:tblW w:w="0" w:type="auto"/>
        <w:tblInd w:w="17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4"/>
        <w:gridCol w:w="2785"/>
      </w:tblGrid>
      <w:tr w:rsidR="00CD5478" w14:paraId="2B0987E6" w14:textId="77777777" w:rsidTr="00B15703">
        <w:tc>
          <w:tcPr>
            <w:tcW w:w="3444" w:type="dxa"/>
          </w:tcPr>
          <w:p w14:paraId="65AC32E1" w14:textId="77777777" w:rsidR="00CD5478" w:rsidRDefault="00CD5478" w:rsidP="00B15703">
            <w:pPr>
              <w:spacing w:after="120"/>
              <w:rPr>
                <w:lang w:val="fr-CH" w:eastAsia="ru-RU"/>
              </w:rPr>
            </w:pPr>
            <w:r>
              <w:t>Государства Африки</w:t>
            </w:r>
          </w:p>
        </w:tc>
        <w:tc>
          <w:tcPr>
            <w:tcW w:w="2785" w:type="dxa"/>
          </w:tcPr>
          <w:p w14:paraId="1A28D1E9" w14:textId="163E252F" w:rsidR="00CD5478" w:rsidRDefault="00CD5478" w:rsidP="00B15703">
            <w:pPr>
              <w:spacing w:after="120"/>
              <w:rPr>
                <w:lang w:val="fr-CH" w:eastAsia="ru-RU"/>
              </w:rPr>
            </w:pPr>
            <w:r>
              <w:t>7</w:t>
            </w:r>
          </w:p>
        </w:tc>
      </w:tr>
      <w:tr w:rsidR="00CD5478" w:rsidRPr="00CD5478" w14:paraId="32C8B27D" w14:textId="77777777" w:rsidTr="00B15703">
        <w:tc>
          <w:tcPr>
            <w:tcW w:w="3444" w:type="dxa"/>
          </w:tcPr>
          <w:p w14:paraId="27AF5B7F" w14:textId="77777777" w:rsidR="00CD5478" w:rsidRPr="00CD5478" w:rsidRDefault="00CD5478" w:rsidP="00B15703">
            <w:pPr>
              <w:spacing w:after="120"/>
              <w:rPr>
                <w:lang w:eastAsia="ru-RU"/>
              </w:rPr>
            </w:pPr>
            <w:r>
              <w:t>Государства Азии и Тихого океана</w:t>
            </w:r>
          </w:p>
        </w:tc>
        <w:tc>
          <w:tcPr>
            <w:tcW w:w="2785" w:type="dxa"/>
          </w:tcPr>
          <w:p w14:paraId="0D55E1EB" w14:textId="4A998DD6" w:rsidR="00CD5478" w:rsidRPr="00CD5478" w:rsidRDefault="00CD5478" w:rsidP="00B15703">
            <w:pPr>
              <w:spacing w:after="120"/>
              <w:rPr>
                <w:lang w:eastAsia="ru-RU"/>
              </w:rPr>
            </w:pPr>
            <w:r w:rsidRPr="00B634AB">
              <w:t>1</w:t>
            </w:r>
          </w:p>
        </w:tc>
      </w:tr>
      <w:tr w:rsidR="00CD5478" w:rsidRPr="00CD5478" w14:paraId="6F6987A1" w14:textId="77777777" w:rsidTr="00B15703">
        <w:tc>
          <w:tcPr>
            <w:tcW w:w="3444" w:type="dxa"/>
          </w:tcPr>
          <w:p w14:paraId="58742F23" w14:textId="77777777" w:rsidR="00CD5478" w:rsidRPr="00CD5478" w:rsidRDefault="00CD5478" w:rsidP="00B15703">
            <w:pPr>
              <w:spacing w:after="120"/>
              <w:rPr>
                <w:lang w:eastAsia="ru-RU"/>
              </w:rPr>
            </w:pPr>
            <w:r>
              <w:t>Государства Восточной Европы</w:t>
            </w:r>
          </w:p>
        </w:tc>
        <w:tc>
          <w:tcPr>
            <w:tcW w:w="2785" w:type="dxa"/>
          </w:tcPr>
          <w:p w14:paraId="7C4147B9" w14:textId="4DADB646" w:rsidR="00CD5478" w:rsidRPr="00CD5478" w:rsidRDefault="00CD5478" w:rsidP="00B15703">
            <w:pPr>
              <w:spacing w:after="120"/>
              <w:rPr>
                <w:lang w:val="fr-CH" w:eastAsia="ru-RU"/>
              </w:rPr>
            </w:pPr>
            <w:r>
              <w:rPr>
                <w:lang w:val="fr-CH"/>
              </w:rPr>
              <w:t>0</w:t>
            </w:r>
          </w:p>
        </w:tc>
      </w:tr>
      <w:tr w:rsidR="00CD5478" w:rsidRPr="00CD5478" w14:paraId="6B9B0605" w14:textId="77777777" w:rsidTr="00B15703">
        <w:tc>
          <w:tcPr>
            <w:tcW w:w="3444" w:type="dxa"/>
          </w:tcPr>
          <w:p w14:paraId="3E851C68" w14:textId="77777777" w:rsidR="00CD5478" w:rsidRPr="00CD5478" w:rsidRDefault="00CD5478" w:rsidP="00B15703">
            <w:pPr>
              <w:spacing w:after="120"/>
              <w:rPr>
                <w:lang w:eastAsia="ru-RU"/>
              </w:rPr>
            </w:pPr>
            <w:r>
              <w:t>Государства Латинской Америки и</w:t>
            </w:r>
            <w:r>
              <w:rPr>
                <w:lang w:val="fr-CH"/>
              </w:rPr>
              <w:t> </w:t>
            </w:r>
            <w:r>
              <w:t>Карибского бассейна</w:t>
            </w:r>
          </w:p>
        </w:tc>
        <w:tc>
          <w:tcPr>
            <w:tcW w:w="2785" w:type="dxa"/>
          </w:tcPr>
          <w:p w14:paraId="139F916F" w14:textId="7DA6AD8E" w:rsidR="00CD5478" w:rsidRPr="00CD5478" w:rsidRDefault="00CD5478" w:rsidP="00B15703">
            <w:pPr>
              <w:spacing w:after="120"/>
              <w:rPr>
                <w:lang w:val="fr-CH" w:eastAsia="ru-RU"/>
              </w:rPr>
            </w:pPr>
            <w:r>
              <w:rPr>
                <w:lang w:val="fr-CH"/>
              </w:rPr>
              <w:t>1</w:t>
            </w:r>
          </w:p>
        </w:tc>
      </w:tr>
      <w:tr w:rsidR="00CD5478" w:rsidRPr="00CD5478" w14:paraId="032FCA33" w14:textId="77777777" w:rsidTr="00B15703">
        <w:tc>
          <w:tcPr>
            <w:tcW w:w="3444" w:type="dxa"/>
          </w:tcPr>
          <w:p w14:paraId="3542DE96" w14:textId="77777777" w:rsidR="00CD5478" w:rsidRPr="00CD5478" w:rsidRDefault="00CD5478" w:rsidP="00B15703">
            <w:pPr>
              <w:spacing w:after="120"/>
              <w:rPr>
                <w:lang w:eastAsia="ru-RU"/>
              </w:rPr>
            </w:pPr>
            <w:r>
              <w:t>Государства Западной Европы</w:t>
            </w:r>
            <w:r w:rsidRPr="00CD5478">
              <w:br/>
            </w:r>
            <w:r>
              <w:t>и</w:t>
            </w:r>
            <w:r>
              <w:rPr>
                <w:lang w:val="fr-CH"/>
              </w:rPr>
              <w:t> </w:t>
            </w:r>
            <w:r>
              <w:t>другие государства</w:t>
            </w:r>
          </w:p>
        </w:tc>
        <w:tc>
          <w:tcPr>
            <w:tcW w:w="2785" w:type="dxa"/>
          </w:tcPr>
          <w:p w14:paraId="6161E234" w14:textId="544727FF" w:rsidR="00CD5478" w:rsidRPr="00CD5478" w:rsidRDefault="00CD5478" w:rsidP="00B15703">
            <w:pPr>
              <w:spacing w:after="120"/>
              <w:rPr>
                <w:lang w:val="fr-CH" w:eastAsia="ru-RU"/>
              </w:rPr>
            </w:pPr>
            <w:r>
              <w:rPr>
                <w:lang w:val="fr-CH"/>
              </w:rPr>
              <w:t>2</w:t>
            </w:r>
          </w:p>
        </w:tc>
      </w:tr>
    </w:tbl>
    <w:p w14:paraId="2D610655" w14:textId="54C2E1F8" w:rsidR="004854D8" w:rsidRPr="00B634AB" w:rsidRDefault="004854D8" w:rsidP="004854D8">
      <w:pPr>
        <w:pStyle w:val="H1G"/>
      </w:pPr>
      <w:r>
        <w:rPr>
          <w:bCs/>
          <w:lang w:val="fr-CH"/>
        </w:rPr>
        <w:lastRenderedPageBreak/>
        <w:tab/>
      </w:r>
      <w:r>
        <w:rPr>
          <w:bCs/>
        </w:rPr>
        <w:t>B.</w:t>
      </w:r>
      <w:r>
        <w:tab/>
        <w:t>Сессии</w:t>
      </w:r>
      <w:bookmarkStart w:id="35" w:name="_Toc534899836"/>
      <w:bookmarkStart w:id="36" w:name="_Toc97717816"/>
      <w:bookmarkStart w:id="37" w:name="_Toc97794995"/>
      <w:bookmarkStart w:id="38" w:name="_Toc185542934"/>
      <w:bookmarkStart w:id="39" w:name="_Toc192081303"/>
      <w:bookmarkStart w:id="40" w:name="_Toc218941326"/>
      <w:bookmarkStart w:id="41" w:name="_Toc224043351"/>
      <w:bookmarkEnd w:id="35"/>
      <w:bookmarkEnd w:id="36"/>
      <w:bookmarkEnd w:id="37"/>
      <w:bookmarkEnd w:id="38"/>
      <w:bookmarkEnd w:id="39"/>
      <w:bookmarkEnd w:id="40"/>
      <w:bookmarkEnd w:id="41"/>
    </w:p>
    <w:p w14:paraId="7E3CC3D1" w14:textId="52F6BF2F" w:rsidR="004854D8" w:rsidRPr="00B634AB" w:rsidRDefault="004854D8" w:rsidP="002061AB">
      <w:pPr>
        <w:pStyle w:val="SingleTxtG"/>
      </w:pPr>
      <w:bookmarkStart w:id="42" w:name="_Hlk58255486"/>
      <w:r w:rsidRPr="00B634AB">
        <w:t>5.</w:t>
      </w:r>
      <w:r w:rsidRPr="00B634AB">
        <w:tab/>
      </w:r>
      <w:r>
        <w:t>В 2025 году Подкомитет планировал провести три сессии: с 27 января</w:t>
      </w:r>
      <w:r w:rsidR="00CD5478">
        <w:br/>
      </w:r>
      <w:r>
        <w:t>по 7 февраля, с 16 по 20 июня и с 10 по 14 ноября. В связи с ограничениями, вызванными кризисом ликвидности в течение отчетного периода, Подкомитет</w:t>
      </w:r>
      <w:r w:rsidR="00FD39AF">
        <w:br/>
      </w:r>
      <w:r>
        <w:t>провел только две сессии в Женеве, обе в очном формате: пятьдесят пятую сессию</w:t>
      </w:r>
      <w:r w:rsidR="00FD39AF">
        <w:br/>
      </w:r>
      <w:r>
        <w:t>(27 января — 7 февраля 2025 года) и пятьдесят шестую сессию (10–14 ноября</w:t>
      </w:r>
      <w:r w:rsidR="00AB0881">
        <w:br/>
      </w:r>
      <w:r>
        <w:t>2025 года).</w:t>
      </w:r>
      <w:bookmarkEnd w:id="42"/>
    </w:p>
    <w:p w14:paraId="7C311A10" w14:textId="57924EBB" w:rsidR="004854D8" w:rsidRPr="00B17197" w:rsidRDefault="004854D8" w:rsidP="002061AB">
      <w:pPr>
        <w:pStyle w:val="SingleTxtG"/>
      </w:pPr>
      <w:r w:rsidRPr="00247FA7">
        <w:t>6.</w:t>
      </w:r>
      <w:r w:rsidRPr="00247FA7">
        <w:tab/>
      </w:r>
      <w:r>
        <w:t>В связи с финансовыми трудностями по причине кризиса ликвидности, затрагивающего Организацию Объединенных Наций, и понимая, что первоочередное внимание следует уделить проведению превентивных посещений государств-участников, после внутренних консультаций Подкомитет в упреждающем порядке принял решение перенести на ноябрь свою вторую сессию, запланированную</w:t>
      </w:r>
      <w:r w:rsidR="00E33282" w:rsidRPr="00E33282">
        <w:br/>
      </w:r>
      <w:r>
        <w:t>на 16–20 июня 2025 года, предпочтя вместо этого использовать имеющиеся средства для проведения своих первых двух посещений — Перу и Сербии — в рамках данного года. В июне в связи с отсутствием средств для обеспечения работы третьих сессий договорных органов по правам человека четвертая неделя сессионного времени, выделенного Подкомитету, была отменена, в результате чего время проведения ноябрьской сессии Подкомитета было сокращено до одной недели.</w:t>
      </w:r>
    </w:p>
    <w:p w14:paraId="02C1E2CF" w14:textId="2AB4988F" w:rsidR="004854D8" w:rsidRPr="00B17197" w:rsidRDefault="004854D8" w:rsidP="002061AB">
      <w:pPr>
        <w:pStyle w:val="SingleTxtG"/>
      </w:pPr>
      <w:r w:rsidRPr="00247FA7">
        <w:t>7.</w:t>
      </w:r>
      <w:r w:rsidRPr="00247FA7">
        <w:tab/>
      </w:r>
      <w:r>
        <w:t xml:space="preserve">На обеих сессиях проходили заседания региональных групп без устного перевода с представлением Подкомитету докладов на его пленарном заседании и, при необходимости, вынесением рекомендаций. Рабочая группа по правовой практике и рабочая группа по медицинским аспектам предупреждения пыток заседали во время пленарных заседаний в ходе обеих сессий. Рабочая группа по Специальному фонду, учрежденному Факультативным протоколом, провела межсессионные заседания </w:t>
      </w:r>
      <w:r w:rsidR="00E33282" w:rsidRPr="00E33282">
        <w:br/>
      </w:r>
      <w:r>
        <w:t>4 и 15 октября 2025 года.</w:t>
      </w:r>
      <w:bookmarkStart w:id="43" w:name="OLE_LINK3"/>
      <w:bookmarkStart w:id="44" w:name="OLE_LINK4"/>
      <w:bookmarkEnd w:id="43"/>
      <w:bookmarkEnd w:id="44"/>
    </w:p>
    <w:p w14:paraId="6326D093" w14:textId="6D4D650A" w:rsidR="004854D8" w:rsidRPr="00B17197" w:rsidRDefault="004854D8" w:rsidP="002061AB">
      <w:pPr>
        <w:pStyle w:val="SingleTxtG"/>
      </w:pPr>
      <w:r w:rsidRPr="00247FA7">
        <w:t>8.</w:t>
      </w:r>
      <w:r w:rsidRPr="00247FA7">
        <w:tab/>
      </w:r>
      <w:r>
        <w:t>На пятьдесят пятой сессии региональные группы для Африки, для Северной и Южной Америки, для Азии и Тихого океана и для Европы провели свои ежегодные региональные совещания с национальными превентивными механизмами. Подкомитет провел неофициальное открытое совещание с 36 государствами-участниками и подписавшими Протокол государствами</w:t>
      </w:r>
      <w:r w:rsidRPr="001D1211">
        <w:rPr>
          <w:rStyle w:val="aa"/>
        </w:rPr>
        <w:footnoteReference w:id="3"/>
      </w:r>
      <w:r>
        <w:t>, рассказав о своей деятельности и мероприятиях, в том числе о своей роли в процессе укрепления договорных органов, а также о проблемах, включая нехватку ресурсов. Он разъяснил также цели своего замечания общего порядка № 1 (2024) об определении и сфере охвата понятия «места лишения свободы». Кроме того, Подкомитет провел встречи с Глобальным альянсом национальных правозащитных учреждений, Консорциумом «Объединенные против пыток»</w:t>
      </w:r>
      <w:r w:rsidRPr="001D1211">
        <w:rPr>
          <w:rStyle w:val="aa"/>
        </w:rPr>
        <w:footnoteReference w:id="4"/>
      </w:r>
      <w:r>
        <w:t xml:space="preserve"> и рядом других заинтересованных сторон. На своей пятьдесят шестой сессии Подкомитет провел совместное совещание с Комитетом против пыток и встречи с представителями Бюджетно-финансовой секции Управления Верховного комиссара Организации Объединенных Наций по правам человека (УВКПЧ). На обеих сессиях Подкомитет провел встречи с Ассоциацией за предотвращение пыток.</w:t>
      </w:r>
    </w:p>
    <w:p w14:paraId="631C8C24" w14:textId="5363CDD2" w:rsidR="004854D8" w:rsidRPr="00247FA7" w:rsidRDefault="004854D8" w:rsidP="004854D8">
      <w:pPr>
        <w:pStyle w:val="H1G"/>
      </w:pPr>
      <w:r w:rsidRPr="00B17197">
        <w:rPr>
          <w:bCs/>
        </w:rPr>
        <w:tab/>
      </w:r>
      <w:r>
        <w:rPr>
          <w:bCs/>
        </w:rPr>
        <w:t>C.</w:t>
      </w:r>
      <w:r>
        <w:tab/>
        <w:t>Членский состав, должностные лица и мандаты</w:t>
      </w:r>
      <w:bookmarkStart w:id="45" w:name="_Toc534899837"/>
      <w:bookmarkStart w:id="46" w:name="_Toc97717817"/>
      <w:bookmarkStart w:id="47" w:name="_Toc97794996"/>
      <w:bookmarkStart w:id="48" w:name="_Toc185542935"/>
      <w:bookmarkStart w:id="49" w:name="_Toc192081304"/>
      <w:bookmarkStart w:id="50" w:name="_Toc218941327"/>
      <w:bookmarkStart w:id="51" w:name="_Toc224043352"/>
      <w:bookmarkStart w:id="52" w:name="_Hlk184650216"/>
      <w:bookmarkEnd w:id="45"/>
      <w:bookmarkEnd w:id="46"/>
      <w:bookmarkEnd w:id="47"/>
      <w:bookmarkEnd w:id="48"/>
      <w:bookmarkEnd w:id="49"/>
      <w:bookmarkEnd w:id="50"/>
      <w:bookmarkEnd w:id="51"/>
      <w:bookmarkEnd w:id="52"/>
    </w:p>
    <w:p w14:paraId="593931C5" w14:textId="63FCD1CE" w:rsidR="004854D8" w:rsidRPr="00247FA7" w:rsidRDefault="004854D8" w:rsidP="002061AB">
      <w:pPr>
        <w:pStyle w:val="SingleTxtG"/>
      </w:pPr>
      <w:bookmarkStart w:id="53" w:name="OLE_LINK53"/>
      <w:bookmarkStart w:id="54" w:name="OLE_LINK54"/>
      <w:r w:rsidRPr="00247FA7">
        <w:t>9.</w:t>
      </w:r>
      <w:r w:rsidRPr="00247FA7">
        <w:tab/>
      </w:r>
      <w:r>
        <w:t>За рассматриваемый период состав Подкомитета претерпел изменения</w:t>
      </w:r>
      <w:r w:rsidRPr="001D1211">
        <w:rPr>
          <w:rStyle w:val="aa"/>
        </w:rPr>
        <w:footnoteReference w:id="5"/>
      </w:r>
      <w:r>
        <w:t>.</w:t>
      </w:r>
      <w:r w:rsidR="00E33282" w:rsidRPr="00E33282">
        <w:br/>
      </w:r>
      <w:r>
        <w:t xml:space="preserve">На первом совещании пятьдесят пятой сессии шесть вновь избранных членов — Джордже Алемпиевич, Омар Баттас, Барбара Берна Тевено, Каллиопи Камбанелла, Лучиано Мариз Майя и Пол Лам Шан Линь — сделали торжественное заявление в </w:t>
      </w:r>
      <w:r>
        <w:lastRenderedPageBreak/>
        <w:t>соответствии с правилом 14 правил процедуры Подкомитета и приступили к исполнению своих обязанностей.</w:t>
      </w:r>
    </w:p>
    <w:p w14:paraId="0237339A" w14:textId="3DB8304A" w:rsidR="004854D8" w:rsidRPr="00247FA7" w:rsidRDefault="004854D8" w:rsidP="002061AB">
      <w:pPr>
        <w:pStyle w:val="SingleTxtG"/>
      </w:pPr>
      <w:r w:rsidRPr="00247FA7">
        <w:t>10.</w:t>
      </w:r>
      <w:r w:rsidRPr="00247FA7">
        <w:tab/>
      </w:r>
      <w:r>
        <w:t>Также на своей пятьдесят пятой сессии Подкомитет избрал Марию Луису Ромеро в качестве Председателя, а следующих членов в качестве заместителей Председателя и членов Бюро: Марию Брасхольт (заместителем Председателя по</w:t>
      </w:r>
      <w:r w:rsidR="00B53245">
        <w:rPr>
          <w:lang w:val="fr-CH"/>
        </w:rPr>
        <w:t> </w:t>
      </w:r>
      <w:r>
        <w:t>внешним сношениям), Хамета Салума Дияхате (заместителем Председателя по</w:t>
      </w:r>
      <w:r w:rsidR="00B53245">
        <w:rPr>
          <w:lang w:val="fr-CH"/>
        </w:rPr>
        <w:t> </w:t>
      </w:r>
      <w:r>
        <w:t>посещениям), Айшу Шуджуне Мухаммад (заместителем Председателя и</w:t>
      </w:r>
      <w:r w:rsidR="00B53245">
        <w:rPr>
          <w:lang w:val="fr-CH"/>
        </w:rPr>
        <w:t> </w:t>
      </w:r>
      <w:r>
        <w:t xml:space="preserve">Докладчиком) и Элину Стейнерте (заместителем Председателя по национальным превентивным механизмам). Все сроки полномочий Бюро составляют два года. Аница Томшич была избрана Докладчиком по вопросу о репрессиях на двухлетний срок. </w:t>
      </w:r>
    </w:p>
    <w:p w14:paraId="1AC3570A" w14:textId="7509AE97" w:rsidR="004854D8" w:rsidRPr="00B17197" w:rsidRDefault="004854D8" w:rsidP="002061AB">
      <w:pPr>
        <w:pStyle w:val="SingleTxtG"/>
      </w:pPr>
      <w:r w:rsidRPr="00247FA7">
        <w:t>11.</w:t>
      </w:r>
      <w:r w:rsidRPr="00247FA7">
        <w:tab/>
      </w:r>
      <w:r>
        <w:t>Произошли изменения также в составе региональных групп и постоянных рабочих групп. По состоянию на 31 декабря 2025 года руководителями региональных групп были г-н Лам Шан Линь для Африки, Виктор Захария для Азии и Тихого океана, Василики Артинопулу для Европы и Марко Феоли Вильялобос для Северной и Южной Америки. Подробно с составом региональных групп можно ознакомиться на веб-сайте Подкомитета</w:t>
      </w:r>
      <w:r w:rsidRPr="001D1211">
        <w:rPr>
          <w:rStyle w:val="aa"/>
        </w:rPr>
        <w:footnoteReference w:id="6"/>
      </w:r>
      <w:r>
        <w:t>.</w:t>
      </w:r>
    </w:p>
    <w:p w14:paraId="52EEE809" w14:textId="0F7BC022" w:rsidR="004854D8" w:rsidRPr="00B17197" w:rsidRDefault="004854D8" w:rsidP="002061AB">
      <w:pPr>
        <w:pStyle w:val="SingleTxtG"/>
      </w:pPr>
      <w:r w:rsidRPr="00247FA7">
        <w:t>12.</w:t>
      </w:r>
      <w:r w:rsidRPr="00247FA7">
        <w:tab/>
      </w:r>
      <w:r>
        <w:t>По состоянию на 31 декабря 2025 года руководителями постоянных рабочих групп по правовой практике, по медицинским аспектам предупреждения пыток и по Специальному фонду, учрежденному Факультативным протоколом, являлись соответственно Якуб Юлиан Чепек, г-н Алемпиевич и г-жа Ромеро.</w:t>
      </w:r>
    </w:p>
    <w:p w14:paraId="3248841A" w14:textId="36DBCC41" w:rsidR="004854D8" w:rsidRPr="00247FA7" w:rsidRDefault="004854D8" w:rsidP="004854D8">
      <w:pPr>
        <w:pStyle w:val="H1G"/>
      </w:pPr>
      <w:bookmarkStart w:id="55" w:name="_Toc534899838"/>
      <w:bookmarkStart w:id="56" w:name="_Toc97717818"/>
      <w:bookmarkStart w:id="57" w:name="_Toc97794997"/>
      <w:bookmarkEnd w:id="53"/>
      <w:bookmarkEnd w:id="54"/>
      <w:r w:rsidRPr="00E33282">
        <w:rPr>
          <w:bCs/>
        </w:rPr>
        <w:tab/>
      </w:r>
      <w:r>
        <w:rPr>
          <w:bCs/>
        </w:rPr>
        <w:t>D.</w:t>
      </w:r>
      <w:r>
        <w:tab/>
        <w:t>Специальный фонд, учрежденный Факультативным протоколом</w:t>
      </w:r>
      <w:bookmarkStart w:id="58" w:name="_Toc185542936"/>
      <w:bookmarkStart w:id="59" w:name="_Toc192081305"/>
      <w:bookmarkStart w:id="60" w:name="_Toc218941328"/>
      <w:bookmarkStart w:id="61" w:name="_Toc224043353"/>
      <w:bookmarkStart w:id="62" w:name="_Hlk184650256"/>
      <w:bookmarkEnd w:id="58"/>
      <w:bookmarkEnd w:id="59"/>
      <w:bookmarkEnd w:id="60"/>
      <w:bookmarkEnd w:id="61"/>
      <w:bookmarkEnd w:id="62"/>
    </w:p>
    <w:p w14:paraId="2300A354" w14:textId="1B3EF602" w:rsidR="004854D8" w:rsidRPr="00B634AB" w:rsidRDefault="004854D8" w:rsidP="002061AB">
      <w:pPr>
        <w:pStyle w:val="SingleTxtG"/>
      </w:pPr>
      <w:bookmarkStart w:id="63" w:name="_Toc161321100"/>
      <w:r w:rsidRPr="00B634AB">
        <w:t>13.</w:t>
      </w:r>
      <w:r w:rsidRPr="00B634AB">
        <w:tab/>
      </w:r>
      <w:r>
        <w:t>Специальный фонд, учрежденный в соответствии с пунктом 1 статьи</w:t>
      </w:r>
      <w:r w:rsidR="00B53245">
        <w:rPr>
          <w:lang w:val="fr-CH"/>
        </w:rPr>
        <w:t> </w:t>
      </w:r>
      <w:r>
        <w:t>26 Факультативного протокола, оказывает поддержку проектам по созданию или укреплению национальных превентивных механизмов, способствуя выполнению рекомендаций, вынесенных Подкомитетом по итогам посещения им стран. Национальные превентивные механизмы могут также самостоятельно направлять предложения о проектах, связанных с финансированием их образовательных программ, независимо от проведенного Подкомитетом посещения. В 2025 году были выделены гранты на общую сумму 423 926 долл. США для содействия реализации в 2026 году 16 проектов по предупреждению пыток в 15 государствах. Подкомитет помогал оценивать предложения и рекомендовать выделение грантов.</w:t>
      </w:r>
    </w:p>
    <w:p w14:paraId="6A8684BC" w14:textId="0060CC3D" w:rsidR="004854D8" w:rsidRPr="00247FA7" w:rsidRDefault="004854D8" w:rsidP="002061AB">
      <w:pPr>
        <w:pStyle w:val="SingleTxtG"/>
      </w:pPr>
      <w:r w:rsidRPr="00247FA7">
        <w:t>14.</w:t>
      </w:r>
      <w:r w:rsidRPr="00247FA7">
        <w:tab/>
      </w:r>
      <w:r>
        <w:t>Впервые был одобрен проект по наращиванию потенциала в целях поддержки вновь созданного национального превентивного механизма в Нигерии, а также продолжилась реализация проектов в Бенине и Габоне. Были одобрены проекты также для Аргентины, Мавритании, Мальдивских Островов, Сенегала и Того; эти проекты были направлены на укрепление потенциала членов национальных превентивных механизмов, работников судебных органов, магистратов, сотрудников правоохранительных органов, администрации пенитенциарных учреждений и других заинтересованных сторон в области предупреждения пыток; повышение уровня осведомленности о механизмах; укрепление сотрудничества национальных превентивных механизмов с организациями гражданского общества; разработку инструментов мониторинга для отслеживания выполнения рекомендаций национальных превентивных механизмов; и мониторинг нетрадиционных мест лишения свободы в соответствии с замечанием общего порядка №</w:t>
      </w:r>
      <w:r w:rsidR="00E33282">
        <w:rPr>
          <w:lang w:val="fr-CH"/>
        </w:rPr>
        <w:t> </w:t>
      </w:r>
      <w:r>
        <w:t>1</w:t>
      </w:r>
      <w:r w:rsidR="00E33282">
        <w:rPr>
          <w:lang w:val="fr-CH"/>
        </w:rPr>
        <w:t> </w:t>
      </w:r>
      <w:r>
        <w:t>(2024) Подкомитета.</w:t>
      </w:r>
    </w:p>
    <w:p w14:paraId="459F1B7B" w14:textId="6F314C97" w:rsidR="004854D8" w:rsidRPr="00247FA7" w:rsidRDefault="004854D8" w:rsidP="002061AB">
      <w:pPr>
        <w:pStyle w:val="SingleTxtG"/>
      </w:pPr>
      <w:r w:rsidRPr="00247FA7">
        <w:t>15.</w:t>
      </w:r>
      <w:r w:rsidRPr="00247FA7">
        <w:tab/>
      </w:r>
      <w:r>
        <w:t>В целях повышения значимости работы Специального фонда и</w:t>
      </w:r>
      <w:r w:rsidR="00E33282">
        <w:rPr>
          <w:lang w:val="fr-CH"/>
        </w:rPr>
        <w:t> </w:t>
      </w:r>
      <w:r>
        <w:t xml:space="preserve">осведомленности о ней Подкомитет оказал через Специальный фонд поддержку в проведении совещаний сети национальных превентивных механизмов стран Африки, состоявшихся в Кабо-Верде 25 и 26 июня 2025 года, и совещаний сети национальных превентивных механизмов стран Южной Америки, состоявшихся в Чили 24 и 25 июля 2025 года, а также принял участие в обоих совещаниях посредством очного присутствия членов Подкомитета. Подкомитет принял участие в режиме онлайн также </w:t>
      </w:r>
      <w:r>
        <w:lastRenderedPageBreak/>
        <w:t>в параллельных мероприятиях в рамках восемьдесят пятой сессии Африканской комиссии по правам человека и народов, которая состоялась в Банжуле 21–30 октября 2025 года. Кроме того, 15 и 16 сентября 2025 года один из членов Подкомитета совершил поездку в Монровию в целях проведения информационно-просветительской работы и укрепления потенциала для содействия созданию национального превентивного механизма в Либерии как в рамках проекта Специального фонда,</w:t>
      </w:r>
      <w:r w:rsidR="00E33282" w:rsidRPr="00E33282">
        <w:br/>
      </w:r>
      <w:r>
        <w:t>так и в рамках деятельности Ассоциации за предотвращение пыток в этой стране.</w:t>
      </w:r>
    </w:p>
    <w:p w14:paraId="03EE08D7" w14:textId="6B10794A" w:rsidR="004854D8" w:rsidRPr="00B17197" w:rsidRDefault="004854D8" w:rsidP="002061AB">
      <w:pPr>
        <w:pStyle w:val="SingleTxtG"/>
      </w:pPr>
      <w:r w:rsidRPr="00B634AB">
        <w:t>16.</w:t>
      </w:r>
      <w:r w:rsidRPr="00B634AB">
        <w:tab/>
      </w:r>
      <w:r>
        <w:t>Подкомитет выражает глубокую признательность за первые взносы в Специальный фонд со стороны Армении (5000 долл. США) и Саудовской</w:t>
      </w:r>
      <w:r w:rsidR="00E33282" w:rsidRPr="007874A0">
        <w:br/>
      </w:r>
      <w:r>
        <w:t>Аравии (50 000 долл. США), а также за продолжение поддержки со стороны</w:t>
      </w:r>
      <w:r w:rsidR="007874A0" w:rsidRPr="007874A0">
        <w:br/>
      </w:r>
      <w:r>
        <w:t>Австрии (81 871 долл. США), Германии (200 000 евро), Дании (141 000 долл. США), Испании (10 000 евро) и Швейцарии (120 000 долл. США).</w:t>
      </w:r>
    </w:p>
    <w:p w14:paraId="5DD5DAB3" w14:textId="594C1295" w:rsidR="004854D8" w:rsidRPr="00247FA7" w:rsidRDefault="004854D8" w:rsidP="002061AB">
      <w:pPr>
        <w:pStyle w:val="SingleTxtG"/>
      </w:pPr>
      <w:r w:rsidRPr="00247FA7">
        <w:t>17.</w:t>
      </w:r>
      <w:r w:rsidRPr="00247FA7">
        <w:tab/>
      </w:r>
      <w:r>
        <w:t>Подкомитет хотел бы отметить, что его члены на протяжении всего года активно участвовали в мероприятиях по сбору средств и что его обнадеживает положительный отклик со стороны государств. Подкомитет призывает к оказанию дальнейшей поддержки, с тем чтобы в 2026 году Специальный фонд смог объявить прием заявок на финансирование проектов по предупреждению пыток во всем мире, и будет и впредь проводить встречи с соответствующими заинтересованными сторонами для обсуждения возможных финансовых взносов.</w:t>
      </w:r>
    </w:p>
    <w:p w14:paraId="7033E083" w14:textId="2937A0B9" w:rsidR="004854D8" w:rsidRPr="00247FA7" w:rsidRDefault="004854D8" w:rsidP="004854D8">
      <w:pPr>
        <w:pStyle w:val="HChG"/>
      </w:pPr>
      <w:bookmarkStart w:id="64" w:name="_Toc534899842"/>
      <w:bookmarkEnd w:id="55"/>
      <w:bookmarkEnd w:id="56"/>
      <w:bookmarkEnd w:id="57"/>
      <w:r w:rsidRPr="00B17197">
        <w:rPr>
          <w:bCs/>
        </w:rPr>
        <w:tab/>
      </w:r>
      <w:r>
        <w:rPr>
          <w:bCs/>
        </w:rPr>
        <w:t>III.</w:t>
      </w:r>
      <w:r>
        <w:tab/>
        <w:t>Посещения</w:t>
      </w:r>
      <w:bookmarkStart w:id="65" w:name="_Toc97717823"/>
      <w:bookmarkStart w:id="66" w:name="_Toc97795002"/>
      <w:bookmarkStart w:id="67" w:name="_Toc185542937"/>
      <w:bookmarkStart w:id="68" w:name="_Toc192081306"/>
      <w:bookmarkStart w:id="69" w:name="_Toc218941329"/>
      <w:bookmarkStart w:id="70" w:name="_Toc224043354"/>
      <w:bookmarkEnd w:id="64"/>
      <w:bookmarkEnd w:id="65"/>
      <w:bookmarkEnd w:id="66"/>
      <w:bookmarkEnd w:id="67"/>
      <w:bookmarkEnd w:id="68"/>
      <w:bookmarkEnd w:id="69"/>
      <w:bookmarkEnd w:id="70"/>
    </w:p>
    <w:p w14:paraId="1138F97A" w14:textId="561D9B25" w:rsidR="004854D8" w:rsidRPr="00247FA7" w:rsidRDefault="004854D8" w:rsidP="004854D8">
      <w:pPr>
        <w:pStyle w:val="H1G"/>
      </w:pPr>
      <w:r w:rsidRPr="00B17197">
        <w:rPr>
          <w:bCs/>
        </w:rPr>
        <w:tab/>
      </w:r>
      <w:r>
        <w:rPr>
          <w:bCs/>
        </w:rPr>
        <w:t>A.</w:t>
      </w:r>
      <w:r>
        <w:tab/>
        <w:t>Посещения, проведенные за отчетный период</w:t>
      </w:r>
      <w:bookmarkStart w:id="71" w:name="_Toc185542938"/>
      <w:bookmarkStart w:id="72" w:name="_Toc192081307"/>
      <w:bookmarkStart w:id="73" w:name="_Toc218941330"/>
      <w:bookmarkStart w:id="74" w:name="_Toc224043355"/>
      <w:bookmarkEnd w:id="63"/>
      <w:bookmarkEnd w:id="71"/>
      <w:bookmarkEnd w:id="72"/>
      <w:bookmarkEnd w:id="73"/>
      <w:bookmarkEnd w:id="74"/>
    </w:p>
    <w:p w14:paraId="51C788C6" w14:textId="141734AA" w:rsidR="004854D8" w:rsidRPr="00247FA7" w:rsidRDefault="004854D8" w:rsidP="002061AB">
      <w:pPr>
        <w:pStyle w:val="SingleTxtG"/>
      </w:pPr>
      <w:r w:rsidRPr="00247FA7">
        <w:t>18.</w:t>
      </w:r>
      <w:r w:rsidRPr="00247FA7">
        <w:tab/>
      </w:r>
      <w:r>
        <w:t>В связи с затрагивающим Организацию Объединенных Наций кризисом ликвидности, по причине которого к марту 2025 года были перенесены первые четыре посещения Подкомитета, запланированные на 2025 год, Подкомитет был вынужден изменить свою стратегию, поскольку смог осуществить лишь четыре из восьми первоначально запланированных посещений. Так, запланированные посещения Афганистана, Бурунди, Мексики и Франции были отложены. В соответствии со своим мандатом в рамках статей 11 и 13 Факультативного протокола Подкомитет в 2025 году провел посещения следующих стран</w:t>
      </w:r>
      <w:r w:rsidRPr="001D1211">
        <w:rPr>
          <w:rStyle w:val="aa"/>
        </w:rPr>
        <w:footnoteReference w:id="7"/>
      </w:r>
      <w:r>
        <w:t>: Перу (15–21 июня), Сербии (15–21 июня), Новой Зеландии (13–25 сентября) и Мозамбика (18–30 октября).</w:t>
      </w:r>
    </w:p>
    <w:p w14:paraId="6ED6EA65" w14:textId="08D8581B" w:rsidR="004854D8" w:rsidRPr="00B17197" w:rsidRDefault="004854D8" w:rsidP="002061AB">
      <w:pPr>
        <w:pStyle w:val="SingleTxtG"/>
      </w:pPr>
      <w:r w:rsidRPr="00247FA7">
        <w:t>19.</w:t>
      </w:r>
      <w:r w:rsidRPr="00247FA7">
        <w:tab/>
      </w:r>
      <w:r>
        <w:t>Подкомитет хотел бы отметить также, что, поскольку финансирование на проведение посещений раскрывалось и выделялось по частям, Подкомитет столкнулся с рядом трудностей при планировании и осуществлении посещений ввиду отсутствия надлежащей управленческой предсказуемости. Подкомитет выражает благодарность посетившим Мозамбик и Новую Зеландию членам делегаций, которые приняли решение отказаться от ряда привилегий в целях содействия выполнению мандата на посещение в соответствии с Факультативным протоколом. Подкомитет выражает признательность также сотрудникам секретариата за их неустанные усилия, благодаря которым посещения, которые Подкомитет смог осуществить в 2025 году, состоялись несмотря на организационные сложности.</w:t>
      </w:r>
    </w:p>
    <w:p w14:paraId="45EB160F" w14:textId="1A426889" w:rsidR="004854D8" w:rsidRPr="00B17197" w:rsidRDefault="004854D8" w:rsidP="002061AB">
      <w:pPr>
        <w:pStyle w:val="SingleTxtG"/>
      </w:pPr>
      <w:r w:rsidRPr="00247FA7">
        <w:t>20.</w:t>
      </w:r>
      <w:r w:rsidRPr="00247FA7">
        <w:tab/>
      </w:r>
      <w:r>
        <w:t>В ходе этих посещений Подкомитет провел более 550 индивидуальных или коллективных бесед с более чем 900 лицами, главным образом с лицами, лишенными свободы, а также с должностными лицами, сотрудниками правоохранительных органов и медицинским персоналом. Он посетил более 100 мест лишения свободы:</w:t>
      </w:r>
      <w:r w:rsidR="007874A0" w:rsidRPr="007874A0">
        <w:br/>
      </w:r>
      <w:r>
        <w:t>29 тюрем, 7 мест содержания под стражей для женщин, 35 отделений полиции,</w:t>
      </w:r>
      <w:r w:rsidR="007874A0" w:rsidRPr="007874A0">
        <w:br/>
      </w:r>
      <w:r>
        <w:t>13 центров содержания под стражей для несовершеннолетних, 1 психиатрическое и медицинское учреждение, 5 центров содержания под стражей для недокументированных мигрантов, 3 наркологических реабилитационных центра,</w:t>
      </w:r>
      <w:r w:rsidR="007874A0" w:rsidRPr="007874A0">
        <w:br/>
      </w:r>
      <w:r>
        <w:t>4 камеры для лиц, пребывающих под охраной в суде, и 5 учреждений социального обслуживания пожилых людей.</w:t>
      </w:r>
      <w:bookmarkStart w:id="75" w:name="_Hlk158908921"/>
      <w:bookmarkStart w:id="76" w:name="_Hlk158909101"/>
      <w:bookmarkEnd w:id="75"/>
      <w:bookmarkEnd w:id="76"/>
    </w:p>
    <w:p w14:paraId="66BA108B" w14:textId="00B1025A" w:rsidR="004854D8" w:rsidRPr="00B17197" w:rsidRDefault="004854D8" w:rsidP="002061AB">
      <w:pPr>
        <w:pStyle w:val="SingleTxtG"/>
      </w:pPr>
      <w:r w:rsidRPr="00247FA7">
        <w:lastRenderedPageBreak/>
        <w:t>21.</w:t>
      </w:r>
      <w:r w:rsidRPr="00247FA7">
        <w:tab/>
      </w:r>
      <w:r>
        <w:t>По итогам каждого посещения Подкомитет публикует пресс-релизы. После посещения Перу Подкомитет выразил обеспокоенность в связи с содержанием детей в тюрьмах для взрослых, а также в связи с широким применением длительных сроков наказания и мер досудебного содержания под стражей несмотря на переполненность учреждений пенитенциарной системы страны. Подкомитет подчеркнул настоятельную необходимость укрепления национального превентивного механизма, с тем чтобы он мог эффективно выполнять свою важную работу</w:t>
      </w:r>
      <w:r w:rsidRPr="001D1211">
        <w:rPr>
          <w:rStyle w:val="aa"/>
        </w:rPr>
        <w:footnoteReference w:id="8"/>
      </w:r>
      <w:r>
        <w:t>.</w:t>
      </w:r>
    </w:p>
    <w:p w14:paraId="0B198F33" w14:textId="0BE9A5A8" w:rsidR="004854D8" w:rsidRPr="00247FA7" w:rsidRDefault="004854D8" w:rsidP="002061AB">
      <w:pPr>
        <w:pStyle w:val="SingleTxtG"/>
      </w:pPr>
      <w:r w:rsidRPr="00247FA7">
        <w:t>22.</w:t>
      </w:r>
      <w:r w:rsidRPr="00247FA7">
        <w:tab/>
      </w:r>
      <w:r>
        <w:t>По итогам посещения Сербии Подкомитет призвал власти страны принять дополнительные меры для защиты лишенных свободы лиц от пыток и неправомерного обращения, а также обеспечить, чтобы национальный превентивный механизм играл существенную и ключевую роль в этом процессе; Подкомитет подчеркнул также, что</w:t>
      </w:r>
      <w:r w:rsidR="007874A0">
        <w:rPr>
          <w:lang w:val="fr-CH"/>
        </w:rPr>
        <w:t> </w:t>
      </w:r>
      <w:r>
        <w:t>для выполнения этой роли механизм должен быть независимым, обеспеченным достаточными ресурсами и эффективным</w:t>
      </w:r>
      <w:r w:rsidRPr="001D1211">
        <w:rPr>
          <w:rStyle w:val="aa"/>
        </w:rPr>
        <w:footnoteReference w:id="9"/>
      </w:r>
      <w:r>
        <w:t>.</w:t>
      </w:r>
      <w:bookmarkStart w:id="77" w:name="_Toc161321101"/>
    </w:p>
    <w:p w14:paraId="6E973DD0" w14:textId="1D84CCE7" w:rsidR="004854D8" w:rsidRPr="00B17197" w:rsidRDefault="004854D8" w:rsidP="002061AB">
      <w:pPr>
        <w:pStyle w:val="SingleTxtG"/>
      </w:pPr>
      <w:r w:rsidRPr="00247FA7">
        <w:t>23.</w:t>
      </w:r>
      <w:r w:rsidRPr="00247FA7">
        <w:tab/>
      </w:r>
      <w:r>
        <w:t>По итогам посещения Новой Зеландии Подкомитет указал, что государство-участник должно принять меры по снижению растущего числа заключенных, а также более эффективно использовать независимый механизм мониторинга в стране за счет обеспечения его достаточным финансированием и выполнения его рекомендаций</w:t>
      </w:r>
      <w:r w:rsidRPr="001D1211">
        <w:rPr>
          <w:rStyle w:val="aa"/>
        </w:rPr>
        <w:footnoteReference w:id="10"/>
      </w:r>
      <w:r>
        <w:t>.</w:t>
      </w:r>
    </w:p>
    <w:p w14:paraId="3B2B4DCC" w14:textId="0AB571DB" w:rsidR="004854D8" w:rsidRPr="00B17197" w:rsidRDefault="004854D8" w:rsidP="002061AB">
      <w:pPr>
        <w:pStyle w:val="SingleTxtG"/>
      </w:pPr>
      <w:r w:rsidRPr="00247FA7">
        <w:t>24.</w:t>
      </w:r>
      <w:r w:rsidRPr="00247FA7">
        <w:tab/>
      </w:r>
      <w:r>
        <w:t>После посещения Мозамбика Подкомитет подчеркнул необходимость укрепления мандата и повышения эффективности национального превентивного механизма страны и вновь заявил, что для претворения обязательств в конкретные действия, направленные на эффективное предупреждение пыток и других жестоких, бесчеловечных или унижающих достоинство видов обращения или наказания, крайне необходимо проводить последовательные институциональные реформы</w:t>
      </w:r>
      <w:r w:rsidRPr="001D1211">
        <w:rPr>
          <w:rStyle w:val="aa"/>
        </w:rPr>
        <w:footnoteReference w:id="11"/>
      </w:r>
      <w:r>
        <w:t>.</w:t>
      </w:r>
      <w:bookmarkStart w:id="78" w:name="OLE_LINK5"/>
      <w:bookmarkStart w:id="79" w:name="OLE_LINK6"/>
      <w:bookmarkEnd w:id="78"/>
      <w:bookmarkEnd w:id="79"/>
    </w:p>
    <w:p w14:paraId="0754610E" w14:textId="48D5AE49" w:rsidR="004854D8" w:rsidRPr="00B634AB" w:rsidRDefault="004854D8" w:rsidP="004854D8">
      <w:pPr>
        <w:pStyle w:val="H1G"/>
      </w:pPr>
      <w:r w:rsidRPr="007874A0">
        <w:rPr>
          <w:bCs/>
        </w:rPr>
        <w:tab/>
      </w:r>
      <w:r>
        <w:rPr>
          <w:bCs/>
        </w:rPr>
        <w:t>B.</w:t>
      </w:r>
      <w:r>
        <w:tab/>
      </w:r>
      <w:r>
        <w:rPr>
          <w:bCs/>
        </w:rPr>
        <w:t>Доклады о посещениях</w:t>
      </w:r>
      <w:r w:rsidRPr="00015D50">
        <w:rPr>
          <w:rStyle w:val="aa"/>
          <w:b w:val="0"/>
          <w:bCs/>
        </w:rPr>
        <w:footnoteReference w:id="12"/>
      </w:r>
      <w:bookmarkStart w:id="80" w:name="_Toc534899844"/>
      <w:bookmarkStart w:id="81" w:name="_Toc97717825"/>
      <w:bookmarkStart w:id="82" w:name="_Toc97795004"/>
      <w:bookmarkStart w:id="83" w:name="_Toc185542939"/>
      <w:bookmarkStart w:id="84" w:name="_Toc192081308"/>
      <w:bookmarkStart w:id="85" w:name="_Toc218941331"/>
      <w:bookmarkStart w:id="86" w:name="_Toc224043356"/>
      <w:bookmarkEnd w:id="77"/>
      <w:bookmarkEnd w:id="80"/>
      <w:bookmarkEnd w:id="81"/>
      <w:bookmarkEnd w:id="82"/>
      <w:bookmarkEnd w:id="83"/>
      <w:bookmarkEnd w:id="84"/>
      <w:bookmarkEnd w:id="85"/>
      <w:bookmarkEnd w:id="86"/>
    </w:p>
    <w:p w14:paraId="4B1C16AC" w14:textId="522AE89A" w:rsidR="004854D8" w:rsidRPr="00247FA7" w:rsidRDefault="004854D8" w:rsidP="002061AB">
      <w:pPr>
        <w:pStyle w:val="SingleTxtG"/>
      </w:pPr>
      <w:r w:rsidRPr="00247FA7">
        <w:t>25.</w:t>
      </w:r>
      <w:r w:rsidRPr="00247FA7">
        <w:tab/>
      </w:r>
      <w:r>
        <w:t>В соответствии со статьей 16 Факультативного протокола существенные аспекты, которые проявляются в ходе посещений стран Подкомитетом, носят конфиденциальный характер. Доклады публикуются только по просьбе посещаемого государства-участника. По состоянию на 31 декабря 2025 года Подкомитет препроводил государствам-участникам 95 докладов о посещениях, в том числе</w:t>
      </w:r>
      <w:r w:rsidR="007874A0" w:rsidRPr="007874A0">
        <w:t xml:space="preserve"> </w:t>
      </w:r>
      <w:r>
        <w:t>6</w:t>
      </w:r>
      <w:r w:rsidR="007874A0" w:rsidRPr="007874A0">
        <w:br/>
      </w:r>
      <w:r>
        <w:t>в течение отчетного периода следующим странам: Албании, Боливии (Многонациональное Государство), Габону, Греции, Монголии и Перу.</w:t>
      </w:r>
    </w:p>
    <w:p w14:paraId="0F9EB45B" w14:textId="2BF4DD83" w:rsidR="004854D8" w:rsidRPr="00B17197" w:rsidRDefault="004854D8" w:rsidP="002061AB">
      <w:pPr>
        <w:pStyle w:val="SingleTxtG"/>
      </w:pPr>
      <w:r w:rsidRPr="00247FA7">
        <w:t>26.</w:t>
      </w:r>
      <w:r w:rsidRPr="00247FA7">
        <w:tab/>
      </w:r>
      <w:r>
        <w:t>По состоянию на 31 декабря 2025 года по просьбе государств-участников</w:t>
      </w:r>
      <w:r w:rsidR="007874A0" w:rsidRPr="007874A0">
        <w:br/>
      </w:r>
      <w:r>
        <w:t>из 95 докладов о посещениях государств-участников было обнародовано 58, в том числе 3 в отчетный период: о посещениях Казахстана, Сенегала и Хорватии</w:t>
      </w:r>
      <w:r w:rsidRPr="001D1211">
        <w:rPr>
          <w:rStyle w:val="aa"/>
        </w:rPr>
        <w:footnoteReference w:id="13"/>
      </w:r>
      <w:r>
        <w:t>.</w:t>
      </w:r>
    </w:p>
    <w:p w14:paraId="5679C1CD" w14:textId="74407105" w:rsidR="004854D8" w:rsidRPr="00247FA7" w:rsidRDefault="004854D8" w:rsidP="002061AB">
      <w:pPr>
        <w:pStyle w:val="SingleTxtG"/>
      </w:pPr>
      <w:r w:rsidRPr="00247FA7">
        <w:t>27.</w:t>
      </w:r>
      <w:r w:rsidRPr="00247FA7">
        <w:tab/>
      </w:r>
      <w:r>
        <w:t>В то время как Подкомитет в полной мере уважает принцип конфиденциальности и право на нее, предусмотренные Факультативным протоколом, Подкомитет приветствует и поощряет публикацию докладов о его посещениях, поскольку это отражает дух транспарентности, лежащий в основе превентивных посещений, способствует лучшему выполнению вынесенных рекомендаций и</w:t>
      </w:r>
      <w:r w:rsidR="007874A0">
        <w:rPr>
          <w:lang w:val="fr-CH"/>
        </w:rPr>
        <w:t> </w:t>
      </w:r>
      <w:r>
        <w:t xml:space="preserve">позволяет другим государствам-участникам и национальным превентивным механизмам извлекать опыт из практических методов, проблем и достижений друг друга в области предупреждения пыток. Подкомитет настоятельно призывает </w:t>
      </w:r>
      <w:r>
        <w:lastRenderedPageBreak/>
        <w:t>государства-участники, которые со времени его первого посещения в 2007 году получили доклады о посещениях и по состоянию на конец 2025 года не обратились с просьбой об их опубликовании, сделать это в духе транспарентности. Подкомитет напоминает, что государства, запросившие публикацию докладов об их посещениях, получают доступ к Специальному фонду, учрежденному Факультативным протоколом, — важному ресурсу, способствующему осуществлению Факультативного протокола путем финансирования проектов, направленных на выполнение рекомендаций Подкомитета.</w:t>
      </w:r>
    </w:p>
    <w:p w14:paraId="180CBEE6" w14:textId="488C0A2D" w:rsidR="004854D8" w:rsidRPr="00247FA7" w:rsidRDefault="004854D8" w:rsidP="004854D8">
      <w:pPr>
        <w:pStyle w:val="H1G"/>
      </w:pPr>
      <w:r w:rsidRPr="00B17197">
        <w:rPr>
          <w:bCs/>
        </w:rPr>
        <w:tab/>
      </w:r>
      <w:r>
        <w:rPr>
          <w:bCs/>
        </w:rPr>
        <w:t>C.</w:t>
      </w:r>
      <w:r>
        <w:tab/>
        <w:t>Ответы государств на доклады о посещениях и последующие диалоги</w:t>
      </w:r>
      <w:bookmarkStart w:id="87" w:name="_Toc534899845"/>
      <w:bookmarkStart w:id="88" w:name="_Toc97717826"/>
      <w:bookmarkStart w:id="89" w:name="_Toc97795005"/>
      <w:bookmarkStart w:id="90" w:name="_Toc185542940"/>
      <w:bookmarkStart w:id="91" w:name="_Toc192081309"/>
      <w:bookmarkStart w:id="92" w:name="_Toc218941332"/>
      <w:bookmarkStart w:id="93" w:name="_Toc224043357"/>
      <w:bookmarkEnd w:id="87"/>
      <w:bookmarkEnd w:id="88"/>
      <w:bookmarkEnd w:id="89"/>
      <w:bookmarkEnd w:id="90"/>
      <w:bookmarkEnd w:id="91"/>
      <w:bookmarkEnd w:id="92"/>
      <w:bookmarkEnd w:id="93"/>
    </w:p>
    <w:p w14:paraId="3C0446D6" w14:textId="6BEE3416" w:rsidR="004854D8" w:rsidRPr="00247FA7" w:rsidRDefault="004854D8" w:rsidP="002061AB">
      <w:pPr>
        <w:pStyle w:val="SingleTxtG"/>
      </w:pPr>
      <w:r w:rsidRPr="00247FA7">
        <w:t>28.</w:t>
      </w:r>
      <w:r w:rsidRPr="00247FA7">
        <w:tab/>
      </w:r>
      <w:r>
        <w:t>В соответствии со статьей 12 Факультативного протокола получателям докладов предлагается в течение шести месяцев с момента их препровождения представить письменный ответ с подробной информацией о принятых и запланированных мерах по выполнению рекомендаций Подкомитета. Своевременный и всесторонний ответ государства-участника является необходимой основой конструктивного диалога с Подкомитетом по вопросу о выполнении его рекомендаций, как это предусмотрено пунктом d) статьи 12 Факультативного протокола. За отчетный период Подкомитет получил шесть ответов: от Гватемалы, Гондураса, Ливана, Мозамбика, Сенегала и Хорватии. Была запрошена публикация ответов Мозамбика, Сенегала и Хорватии</w:t>
      </w:r>
      <w:r w:rsidRPr="001D1211">
        <w:rPr>
          <w:rStyle w:val="aa"/>
        </w:rPr>
        <w:footnoteReference w:id="14"/>
      </w:r>
      <w:r>
        <w:t xml:space="preserve">, и Подкомитет оценивает этот шаг положительно. Подкомитет призывает все государства-участники запрашивать публикацию своих ответов, так как это само по себе является превентивным инструментом и соответствует духу транспарентности. </w:t>
      </w:r>
      <w:bookmarkStart w:id="94" w:name="_Toc534899839"/>
      <w:bookmarkStart w:id="95" w:name="_Toc97717819"/>
      <w:bookmarkStart w:id="96" w:name="_Toc97794998"/>
    </w:p>
    <w:p w14:paraId="0B1E4BF3" w14:textId="21449991" w:rsidR="004854D8" w:rsidRPr="00247FA7" w:rsidRDefault="004854D8" w:rsidP="002061AB">
      <w:pPr>
        <w:pStyle w:val="SingleTxtG"/>
      </w:pPr>
      <w:r w:rsidRPr="00247FA7">
        <w:t>29.</w:t>
      </w:r>
      <w:r w:rsidRPr="00247FA7">
        <w:tab/>
      </w:r>
      <w:r>
        <w:t>В соответствии с практикой Подкомитета и духом конструктивного диалога с государствами-участниками, который занимает центральное место в системе Факультативного протокола, Подкомитет продолжает обсуждать с государствами-участниками выполнение рекомендаций после получения их ответов, как это предусмотрено пунктом d) статьи 12 Факультативного протокола. В 2025 году были проведены диалоги о последующей деятельности с Австралией, Боснией и</w:t>
      </w:r>
      <w:r w:rsidR="007874A0">
        <w:rPr>
          <w:lang w:val="fr-CH"/>
        </w:rPr>
        <w:t> </w:t>
      </w:r>
      <w:r>
        <w:t>Герцеговиной, Гватемалой, Гондурасом, Грузией, Науру, Турцией и Хорватией.</w:t>
      </w:r>
    </w:p>
    <w:p w14:paraId="24545257" w14:textId="5FC41B5A" w:rsidR="004854D8" w:rsidRPr="00B17197" w:rsidRDefault="004854D8" w:rsidP="002061AB">
      <w:pPr>
        <w:pStyle w:val="SingleTxtG"/>
      </w:pPr>
      <w:r w:rsidRPr="00247FA7">
        <w:t>30.</w:t>
      </w:r>
      <w:r w:rsidRPr="00247FA7">
        <w:tab/>
      </w:r>
      <w:r>
        <w:t>В соответствии со сложившейся практикой Подкомитет не требует публикации докладов, адресованных национальным превентивным механизмам, укрепляя тем самым принцип конфиденциальности своего общения с ними. Однако, как и в случае с государствами-участниками, Подкомитет требует от всех национальных превентивных механизмов представлять ответы на эти доклады в целях поддержания диалога. В конце 2025 года Подкомитет провел диалоги о последующей деятельности с национальными превентивными механизмами Гватемалы, Гондураса и Монголии.</w:t>
      </w:r>
    </w:p>
    <w:p w14:paraId="51E79BC3" w14:textId="3F6F2A27" w:rsidR="004854D8" w:rsidRPr="00247FA7" w:rsidRDefault="004854D8" w:rsidP="004854D8">
      <w:pPr>
        <w:pStyle w:val="HChG"/>
      </w:pPr>
      <w:bookmarkStart w:id="97" w:name="_Toc97717828"/>
      <w:bookmarkStart w:id="98" w:name="_Toc97795007"/>
      <w:bookmarkStart w:id="99" w:name="_Toc534899846"/>
      <w:bookmarkStart w:id="100" w:name="_Toc185542941"/>
      <w:bookmarkStart w:id="101" w:name="_Toc192081310"/>
      <w:bookmarkStart w:id="102" w:name="_Toc218941333"/>
      <w:bookmarkStart w:id="103" w:name="_Hlk184650539"/>
      <w:bookmarkEnd w:id="94"/>
      <w:bookmarkEnd w:id="95"/>
      <w:bookmarkEnd w:id="96"/>
      <w:r w:rsidRPr="00B17197">
        <w:rPr>
          <w:bCs/>
        </w:rPr>
        <w:tab/>
      </w:r>
      <w:r>
        <w:rPr>
          <w:bCs/>
        </w:rPr>
        <w:t>IV.</w:t>
      </w:r>
      <w:r>
        <w:tab/>
        <w:t>Национальные превентивные механизмы</w:t>
      </w:r>
      <w:bookmarkStart w:id="104" w:name="_Toc224043358"/>
      <w:bookmarkEnd w:id="97"/>
      <w:bookmarkEnd w:id="98"/>
      <w:bookmarkEnd w:id="99"/>
      <w:bookmarkEnd w:id="100"/>
      <w:bookmarkEnd w:id="101"/>
      <w:bookmarkEnd w:id="102"/>
      <w:bookmarkEnd w:id="104"/>
    </w:p>
    <w:bookmarkEnd w:id="103"/>
    <w:p w14:paraId="3D4F5E9B" w14:textId="26B0F0C9" w:rsidR="004854D8" w:rsidRPr="00247FA7" w:rsidRDefault="004854D8" w:rsidP="004854D8">
      <w:pPr>
        <w:pStyle w:val="H1G"/>
      </w:pPr>
      <w:r w:rsidRPr="00B17197">
        <w:rPr>
          <w:bCs/>
        </w:rPr>
        <w:tab/>
      </w:r>
      <w:r>
        <w:rPr>
          <w:bCs/>
        </w:rPr>
        <w:t>A.</w:t>
      </w:r>
      <w:r>
        <w:tab/>
        <w:t>Обязательства государств относительно национальных превентивных механизмов</w:t>
      </w:r>
      <w:bookmarkStart w:id="105" w:name="_Toc192081311"/>
      <w:bookmarkStart w:id="106" w:name="_Toc218941334"/>
      <w:bookmarkStart w:id="107" w:name="_Toc224043359"/>
      <w:bookmarkEnd w:id="105"/>
      <w:bookmarkEnd w:id="106"/>
      <w:bookmarkEnd w:id="107"/>
    </w:p>
    <w:p w14:paraId="28ED4730" w14:textId="015A3712" w:rsidR="004854D8" w:rsidRPr="00B17197" w:rsidRDefault="004854D8" w:rsidP="002061AB">
      <w:pPr>
        <w:pStyle w:val="SingleTxtG"/>
      </w:pPr>
      <w:r w:rsidRPr="00247FA7">
        <w:t>31.</w:t>
      </w:r>
      <w:r w:rsidRPr="00247FA7">
        <w:tab/>
      </w:r>
      <w:r>
        <w:t>Подкомитет продолжает вести диалог с государствами-участниками, подписавшими Протокол государствами и национальными превентивными механизмами по вопросам назначения и/или функционирования национальных превентивных механизмов и другим связанным вопросам.</w:t>
      </w:r>
    </w:p>
    <w:p w14:paraId="31D0BEFA" w14:textId="2D3CA35D" w:rsidR="004854D8" w:rsidRPr="00247FA7" w:rsidRDefault="004854D8" w:rsidP="002061AB">
      <w:pPr>
        <w:pStyle w:val="SingleTxtG"/>
      </w:pPr>
      <w:r w:rsidRPr="00247FA7">
        <w:t>32.</w:t>
      </w:r>
      <w:r w:rsidRPr="00247FA7">
        <w:tab/>
      </w:r>
      <w:r>
        <w:t xml:space="preserve">В 2025 году Подкомитет с признательностью принял уведомления от Австралии, Бенина, Мадагаскара, Нигерии и Южной Африки о создании их национальных превентивных механизмов. Подкомитет приветствует эти недавно созданные механизмы и рассчитывает на сотрудничество с ними по мере их </w:t>
      </w:r>
      <w:r>
        <w:lastRenderedPageBreak/>
        <w:t>присоединения к семейству механизмов, действующих в рамках Факультативного протокола.</w:t>
      </w:r>
    </w:p>
    <w:p w14:paraId="303B3BB0" w14:textId="4C1A6FB7" w:rsidR="004854D8" w:rsidRPr="00247FA7" w:rsidRDefault="004854D8" w:rsidP="002061AB">
      <w:pPr>
        <w:pStyle w:val="SingleTxtG"/>
      </w:pPr>
      <w:r w:rsidRPr="00247FA7">
        <w:t>33.</w:t>
      </w:r>
      <w:r w:rsidRPr="00247FA7">
        <w:tab/>
      </w:r>
      <w:r>
        <w:t xml:space="preserve">На своей двадцать седьмой сессии Подкомитет постановил составить список государств-участников, </w:t>
      </w:r>
      <w:r w:rsidRPr="00954A85">
        <w:t>в которых создание национального превентивного механизма существенно задерживается</w:t>
      </w:r>
      <w:r>
        <w:t>. Чтобы уточнить критерии определения того, был ли, согласно статье 17 Факультативного протокола, в соответствующих обстоятельствах поддержан, назначен или создан национальный превентивный механизм, и для целей исключения государства-участника из вышеупомянутого списка Подкомитет приводит на своем веб-сайте сведения, которые государство-участник должно включить в свою вербальную ноту</w:t>
      </w:r>
      <w:r w:rsidRPr="001D1211">
        <w:rPr>
          <w:rStyle w:val="aa"/>
        </w:rPr>
        <w:footnoteReference w:id="15"/>
      </w:r>
      <w:r>
        <w:t xml:space="preserve">. Подкомитет подчеркивает важность оперативного получения всей релевантной информации о создании или назначении национальных превентивных механизмов. </w:t>
      </w:r>
      <w:bookmarkStart w:id="108" w:name="_Hlk160119219"/>
    </w:p>
    <w:bookmarkEnd w:id="108"/>
    <w:p w14:paraId="6B6D919F" w14:textId="29EF5A57" w:rsidR="004854D8" w:rsidRPr="00B17197" w:rsidRDefault="004854D8" w:rsidP="002061AB">
      <w:pPr>
        <w:pStyle w:val="SingleTxtG"/>
      </w:pPr>
      <w:r w:rsidRPr="00247FA7">
        <w:t>34.</w:t>
      </w:r>
      <w:r w:rsidRPr="00247FA7">
        <w:tab/>
      </w:r>
      <w:r>
        <w:t>По состоянию на 31 декабря 2025 года среди не соблюдающих статью 17 числились следующие 12 государств-участников: Афганистан, Белиз, Бурунди, Габон, Гана, Демократическая Республика Конго, Либерия, Науру, Филиппины, Центральноафриканская Республика, Южный Судан и</w:t>
      </w:r>
      <w:r w:rsidRPr="009E40FE">
        <w:t xml:space="preserve"> </w:t>
      </w:r>
      <w:r>
        <w:t>Государство Палестина. Чрезвычайную обеспокоенность Подкомитета по-прежнему вызывает тот факт,</w:t>
      </w:r>
      <w:r w:rsidR="007874A0" w:rsidRPr="007874A0">
        <w:br/>
      </w:r>
      <w:r>
        <w:t xml:space="preserve">что некоторые из включенных в список государств-участников, как представляется, достигли лишь незначительного прогресса или совсем не продвинулись в соблюдении обязательств, </w:t>
      </w:r>
      <w:r w:rsidRPr="00531483">
        <w:t xml:space="preserve">исполнение которых задерживается </w:t>
      </w:r>
      <w:r>
        <w:t xml:space="preserve">уже </w:t>
      </w:r>
      <w:r w:rsidRPr="00531483">
        <w:t>давно</w:t>
      </w:r>
      <w:r>
        <w:t>. Некоторые из этих государств-участников фигурируют в списке уже более десяти лет.</w:t>
      </w:r>
    </w:p>
    <w:p w14:paraId="657873ED" w14:textId="5E697AEB" w:rsidR="004854D8" w:rsidRPr="00B17197" w:rsidRDefault="004854D8" w:rsidP="002061AB">
      <w:pPr>
        <w:pStyle w:val="SingleTxtG"/>
      </w:pPr>
      <w:r w:rsidRPr="00247FA7">
        <w:t>35.</w:t>
      </w:r>
      <w:r w:rsidRPr="00247FA7">
        <w:tab/>
      </w:r>
      <w:r>
        <w:t>Подкомитет подчеркивает, что создание национального превентивного механизма и наделение его необходимым мандатом является одним из основных обязательств каждого государства-участника. Это также является важнейшим шагом на пути к выполнению государствами-участниками обязательств по предупреждению актов пыток и других видов неправомерного обращения в рамках Конвенции против пыток и других жестоких, бесчеловечных или унижающих достоинство видов обращения и наказания. Подкомитет вновь заявляет о своей готовности оказывать этим государствам-участникам помощь в создании их национальных превентивных механизмов в соответствии со своей консультативной функцией, предусмотренной статьей 11 Факультативного протокола.</w:t>
      </w:r>
    </w:p>
    <w:p w14:paraId="59042BFB" w14:textId="6D1227F5" w:rsidR="004854D8" w:rsidRPr="00247FA7" w:rsidRDefault="004854D8" w:rsidP="004854D8">
      <w:pPr>
        <w:pStyle w:val="H1G"/>
      </w:pPr>
      <w:bookmarkStart w:id="109" w:name="_Toc185542943"/>
      <w:r w:rsidRPr="00B17197">
        <w:rPr>
          <w:bCs/>
        </w:rPr>
        <w:tab/>
      </w:r>
      <w:r>
        <w:rPr>
          <w:bCs/>
        </w:rPr>
        <w:t>B.</w:t>
      </w:r>
      <w:r>
        <w:tab/>
        <w:t>Совещания</w:t>
      </w:r>
      <w:bookmarkStart w:id="110" w:name="_Toc192081312"/>
      <w:bookmarkStart w:id="111" w:name="_Toc218941335"/>
      <w:bookmarkStart w:id="112" w:name="_Toc224043360"/>
      <w:bookmarkEnd w:id="109"/>
      <w:bookmarkEnd w:id="110"/>
      <w:bookmarkEnd w:id="111"/>
      <w:bookmarkEnd w:id="112"/>
    </w:p>
    <w:p w14:paraId="101810B5" w14:textId="0F9D75DF" w:rsidR="004854D8" w:rsidRPr="00B17197" w:rsidRDefault="004854D8" w:rsidP="004854D8">
      <w:pPr>
        <w:pStyle w:val="H23G"/>
      </w:pPr>
      <w:r>
        <w:tab/>
      </w:r>
      <w:r>
        <w:tab/>
      </w:r>
      <w:r>
        <w:rPr>
          <w:bCs/>
        </w:rPr>
        <w:t>Взаимодействие с национальными превентивными механизмами</w:t>
      </w:r>
      <w:bookmarkStart w:id="113" w:name="_Toc224043361"/>
      <w:bookmarkEnd w:id="113"/>
    </w:p>
    <w:p w14:paraId="06459F0A" w14:textId="26BFA017" w:rsidR="004854D8" w:rsidRPr="00B17197" w:rsidRDefault="004854D8" w:rsidP="002061AB">
      <w:pPr>
        <w:pStyle w:val="SingleTxtG"/>
      </w:pPr>
      <w:r w:rsidRPr="00247FA7">
        <w:t>36.</w:t>
      </w:r>
      <w:r w:rsidRPr="00247FA7">
        <w:tab/>
      </w:r>
      <w:r>
        <w:t>В соответствии со своим мандатом, предусмотренным в подпунктах b) i) и ii) статьи 11 Факультативного протокола, Подкомитет установил и поддерживал в ходе сессий и в межсессионные периоды прямые контакты с национальными превентивными механизмами. В дополнение к этому региональные группы проводили ежегодные онлайн-совещания с национальными превентивными механизмами своих регионов в соответствии с обычной практикой.</w:t>
      </w:r>
    </w:p>
    <w:p w14:paraId="37F2E759" w14:textId="70FEA874" w:rsidR="004854D8" w:rsidRPr="00247FA7" w:rsidRDefault="004854D8" w:rsidP="002061AB">
      <w:pPr>
        <w:pStyle w:val="SingleTxtG"/>
      </w:pPr>
      <w:r w:rsidRPr="00247FA7">
        <w:t>37.</w:t>
      </w:r>
      <w:r w:rsidRPr="00247FA7">
        <w:tab/>
      </w:r>
      <w:r>
        <w:t>В ходе пятьдесят пятой сессии региональные группы Подкомитета провели вебинары с национальными превентивными механизмами, посвященные замечанию общего порядка № 1 (2024) Подкомитета. В ходе вебинаров члены Подкомитета выступали с кратким сообщением по вопросу этого замечания общего порядка — первого, выпущенного Подкомитетом. Представители национальных превентивных механизмов, принявшие участие в вебинарах, делились своим опытом, связанным с определением понятия «места лишения свободы». Высказанные наблюдения касались, в частности, вопросов практического применения данного определения, проблем с доступом, с которыми сталкивались национальные превентивные механизмы в связи с тем, как определялось понятие «места лишения свободы», а также уровня осведомленности органов власти государств-участников о самом замечании общего порядка.</w:t>
      </w:r>
    </w:p>
    <w:p w14:paraId="7CA21B51" w14:textId="771789B3" w:rsidR="004854D8" w:rsidRPr="00B17197" w:rsidRDefault="004854D8" w:rsidP="002061AB">
      <w:pPr>
        <w:pStyle w:val="SingleTxtG"/>
      </w:pPr>
      <w:bookmarkStart w:id="114" w:name="_Toc185542948"/>
      <w:r w:rsidRPr="00247FA7">
        <w:lastRenderedPageBreak/>
        <w:t>38.</w:t>
      </w:r>
      <w:r w:rsidRPr="00247FA7">
        <w:tab/>
      </w:r>
      <w:r>
        <w:t>Кроме того, в ноябре и декабре 2025 года Подкомитет в сотрудничестве с</w:t>
      </w:r>
      <w:r w:rsidR="007874A0">
        <w:rPr>
          <w:lang w:val="fr-CH"/>
        </w:rPr>
        <w:t> </w:t>
      </w:r>
      <w:r>
        <w:t>Международным консорциумом по политике регулирования наркотических средств провел межсессионные вебинары, посвященные влиянию мер наркополитики на эффективное предупреждение пыток и неправомерного обращения, в которых приняли участие национальные превентивные механизмы, учреждения, занимающиеся предупреждением пыток в государствах-участниках, а также партнеры из гражданского общества из региона Северной и Южной Америки и региона Азии и Тихого океана</w:t>
      </w:r>
      <w:r w:rsidRPr="001D1211">
        <w:rPr>
          <w:rStyle w:val="aa"/>
        </w:rPr>
        <w:footnoteReference w:id="16"/>
      </w:r>
      <w:r>
        <w:t>. Эти вебинары стали первыми двумя из четырех подобных мероприятий, организованных в сотрудничестве с Международным консорциумом по политике регулирования наркотических средств; вебинары для регионов Африки и Европы запланированы на первую половину 2026 года.</w:t>
      </w:r>
    </w:p>
    <w:p w14:paraId="71FEF865" w14:textId="1D6851CC" w:rsidR="004854D8" w:rsidRPr="00247FA7" w:rsidRDefault="004854D8" w:rsidP="007874A0">
      <w:pPr>
        <w:pStyle w:val="ParaNoG"/>
        <w:numPr>
          <w:ilvl w:val="0"/>
          <w:numId w:val="0"/>
        </w:numPr>
        <w:tabs>
          <w:tab w:val="left" w:pos="0"/>
          <w:tab w:val="left" w:pos="1701"/>
        </w:tabs>
        <w:spacing w:after="160"/>
        <w:ind w:left="1134"/>
        <w:outlineLvl w:val="9"/>
      </w:pPr>
      <w:r w:rsidRPr="00247FA7">
        <w:t>39.</w:t>
      </w:r>
      <w:r w:rsidRPr="00247FA7">
        <w:tab/>
      </w:r>
      <w:r>
        <w:t>Этим вебинарам предшествовало опубликование рекомендаций Подкомитета национальным превентивным механизмам относительно влияния мер наркополитики на эффективное предупреждение пыток и неправомерного обращения, о чем упоминается в восемнадцатом ежегодном докладе Подкомитета</w:t>
      </w:r>
      <w:r w:rsidRPr="001D1211">
        <w:rPr>
          <w:rStyle w:val="aa"/>
        </w:rPr>
        <w:footnoteReference w:id="17"/>
      </w:r>
      <w:r>
        <w:t>. Обсуждения в ходе вебинаров были посвящены анализу разнообразных подходов к наркополитике, применяемых различными государствами-участниками, а также значительному влиянию такой политики на права лишенных свободы лиц, включая право на свободу от пыток и других видов неправомерного обращения, в самых разных условиях.</w:t>
      </w:r>
    </w:p>
    <w:p w14:paraId="5D8C3233" w14:textId="77777777" w:rsidR="004854D8" w:rsidRPr="00247FA7" w:rsidRDefault="004854D8" w:rsidP="004854D8">
      <w:pPr>
        <w:pStyle w:val="H23G"/>
      </w:pPr>
      <w:r>
        <w:tab/>
      </w:r>
      <w:r>
        <w:tab/>
      </w:r>
      <w:r>
        <w:rPr>
          <w:bCs/>
        </w:rPr>
        <w:t>Участие в совещаниях, связанных с национальными превентивными механизмами</w:t>
      </w:r>
      <w:bookmarkStart w:id="115" w:name="_Toc224043362"/>
      <w:bookmarkEnd w:id="114"/>
      <w:bookmarkEnd w:id="115"/>
    </w:p>
    <w:p w14:paraId="666EC3F0" w14:textId="49C4C938" w:rsidR="004854D8" w:rsidRPr="00247FA7" w:rsidRDefault="004854D8" w:rsidP="007874A0">
      <w:pPr>
        <w:pStyle w:val="ParaNoG"/>
        <w:numPr>
          <w:ilvl w:val="0"/>
          <w:numId w:val="0"/>
        </w:numPr>
        <w:tabs>
          <w:tab w:val="left" w:pos="0"/>
          <w:tab w:val="left" w:pos="1701"/>
        </w:tabs>
        <w:spacing w:after="160"/>
        <w:ind w:left="1134"/>
        <w:outlineLvl w:val="9"/>
      </w:pPr>
      <w:r w:rsidRPr="00247FA7">
        <w:t>40.</w:t>
      </w:r>
      <w:r w:rsidRPr="00247FA7">
        <w:tab/>
      </w:r>
      <w:r>
        <w:t>Подкомитет продолжал получать приглашения на многочисленные национальные, региональные и международные совещания, посвященные назначению, созданию и развитию национальных превентивных механизмов, а также эффективному осуществлению их полномочий и мандатов. Поскольку кризис ликвидности, затрагивающий Организацию Объединенных Наций, затруднил выполнение Подкомитетом своего основного мандата, заключающегося в посещении мест лишения свободы в государствах-участниках, Подкомитет выражает особую благодарность за приглашения принять участие в мероприятиях, касающихся деятельности национальных превентивных механизмов, и выражает признательность организаторам за полученные приглашения, а также партнерам за предоставленное в случае необходимости финансирование.</w:t>
      </w:r>
    </w:p>
    <w:p w14:paraId="425FC03B" w14:textId="18BDF09F" w:rsidR="004854D8" w:rsidRPr="00247FA7" w:rsidRDefault="004854D8" w:rsidP="007874A0">
      <w:pPr>
        <w:pStyle w:val="ParaNoG"/>
        <w:numPr>
          <w:ilvl w:val="0"/>
          <w:numId w:val="0"/>
        </w:numPr>
        <w:tabs>
          <w:tab w:val="left" w:pos="0"/>
          <w:tab w:val="left" w:pos="1701"/>
        </w:tabs>
        <w:spacing w:after="160"/>
        <w:ind w:left="1134"/>
        <w:outlineLvl w:val="9"/>
      </w:pPr>
      <w:r w:rsidRPr="00247FA7">
        <w:t>41.</w:t>
      </w:r>
      <w:r w:rsidRPr="00247FA7">
        <w:tab/>
      </w:r>
      <w:r>
        <w:t>Участие в таких мероприятиях позволило Подкомитету выполнять свой мандат в части консультирования и оказания помощи в вопросах назначения, создания или поддержания национальных превентивных механизмов и/или эффективного осуществления полномочий и мандата национальных превентивных механизмов. Благодаря онлайн-формату Подкомитету удалось принять участие в большем числе мероприятий, чем это было бы возможно в ином случае. Тем не менее очное участие в национальных, региональных и международных совещаниях также предоставило важные возможности для налаживания контактов, которые способствуют укреплению доверия и установлению отношений, содействующих текущей и будущей работе Подкомитета.</w:t>
      </w:r>
    </w:p>
    <w:p w14:paraId="6E5E5C71" w14:textId="25390D3F" w:rsidR="004854D8" w:rsidRPr="00247FA7" w:rsidRDefault="004854D8" w:rsidP="007874A0">
      <w:pPr>
        <w:pStyle w:val="ParaNoG"/>
        <w:numPr>
          <w:ilvl w:val="0"/>
          <w:numId w:val="0"/>
        </w:numPr>
        <w:tabs>
          <w:tab w:val="left" w:pos="0"/>
          <w:tab w:val="left" w:pos="1701"/>
        </w:tabs>
        <w:spacing w:after="160"/>
        <w:ind w:left="1134"/>
        <w:outlineLvl w:val="9"/>
      </w:pPr>
      <w:bookmarkStart w:id="116" w:name="OLE_LINK49"/>
      <w:bookmarkStart w:id="117" w:name="OLE_LINK50"/>
      <w:r w:rsidRPr="00247FA7">
        <w:t>42.</w:t>
      </w:r>
      <w:r w:rsidRPr="00247FA7">
        <w:tab/>
      </w:r>
      <w:r>
        <w:t xml:space="preserve">Подкомитет с глубоким удовлетворением отмечает, что трансграничное сотрудничество способствует все большему укреплению национальных превентивных </w:t>
      </w:r>
      <w:r>
        <w:lastRenderedPageBreak/>
        <w:t>механизмов за счет взаимной поддержки и обмена опытом. В этой связи деятельность Подкомитета на региональном уровне включала следующее:</w:t>
      </w:r>
    </w:p>
    <w:p w14:paraId="350D400E" w14:textId="47B538BC" w:rsidR="004854D8" w:rsidRPr="00247FA7" w:rsidRDefault="007874A0" w:rsidP="004854D8">
      <w:pPr>
        <w:pStyle w:val="SingleTxtG"/>
      </w:pPr>
      <w:r w:rsidRPr="00B17197">
        <w:tab/>
      </w:r>
      <w:r w:rsidR="004854D8">
        <w:t>a)</w:t>
      </w:r>
      <w:r w:rsidR="004854D8">
        <w:tab/>
        <w:t>9 и 10 апреля Подкомитет был представлен на семинаре, посвященном осуществлению национальными превентивными механизмами мониторинга в</w:t>
      </w:r>
      <w:r w:rsidR="00B53245">
        <w:rPr>
          <w:lang w:val="fr-CH"/>
        </w:rPr>
        <w:t> </w:t>
      </w:r>
      <w:r w:rsidR="004854D8">
        <w:t>контексте миграции и организованном Европейским форумом национальных превентивных механизмов Совета Европы, в ходе которого рассматривался вопрос об определении мест лишения свободы в данном контексте; непосредственное отношение к обсуждению имело первое замечание общего порядка Подкомитета;</w:t>
      </w:r>
    </w:p>
    <w:p w14:paraId="585F2D3B" w14:textId="6AAF6FB0" w:rsidR="004854D8" w:rsidRPr="00247FA7" w:rsidRDefault="007874A0" w:rsidP="004854D8">
      <w:pPr>
        <w:pStyle w:val="SingleTxtG"/>
      </w:pPr>
      <w:r w:rsidRPr="00B53245">
        <w:tab/>
      </w:r>
      <w:r w:rsidR="004854D8">
        <w:t>b)</w:t>
      </w:r>
      <w:r w:rsidR="004854D8">
        <w:tab/>
        <w:t>Подкомитет принял участие в организованной Африканской сетью национальных превентивных механизмов двухдневной конференции, которая прошла в Кабо-Верде 25 и 26 июня 2025 года и собрала представителей 14 национальных превентивных механизмов и других заинтересованных сторон; обсуждения в рамках встречи были сосредоточены на вопросах использования технологий для предупреждения пыток;</w:t>
      </w:r>
      <w:bookmarkStart w:id="118" w:name="OLE_LINK51"/>
      <w:bookmarkStart w:id="119" w:name="OLE_LINK52"/>
      <w:bookmarkEnd w:id="116"/>
      <w:bookmarkEnd w:id="117"/>
    </w:p>
    <w:p w14:paraId="56570999" w14:textId="0E4E5765" w:rsidR="004854D8" w:rsidRPr="00B17197" w:rsidRDefault="007874A0" w:rsidP="004854D8">
      <w:pPr>
        <w:pStyle w:val="SingleTxtG"/>
        <w:keepNext/>
        <w:keepLines/>
      </w:pPr>
      <w:r w:rsidRPr="00B17197">
        <w:tab/>
      </w:r>
      <w:r w:rsidR="004854D8">
        <w:t>c)</w:t>
      </w:r>
      <w:r w:rsidR="004854D8">
        <w:tab/>
        <w:t>Подкомитет был представлен на саммите национальных превентивных механизмов стран Латинской Америки, который был проведен и организован Ассоциацией за предотвращение пыток и национальным превентивным механизмом Чили и состоялся в Сантьяго 23 и 24 июля 2025 года; участники обсудили общие проблемы национальных превентивных механизмов и вопросы предупреждения пыток в Латинской Америке в целом; в своем выступлении Подкомитет уделил особое внимание положению женщин в тюрьмах и вопросам психического здоровья.</w:t>
      </w:r>
      <w:bookmarkEnd w:id="118"/>
      <w:bookmarkEnd w:id="119"/>
    </w:p>
    <w:p w14:paraId="64181243" w14:textId="3F88D304" w:rsidR="004854D8" w:rsidRPr="00247FA7" w:rsidRDefault="004854D8" w:rsidP="007874A0">
      <w:pPr>
        <w:pStyle w:val="SingleTxtG"/>
      </w:pPr>
      <w:r w:rsidRPr="00247FA7">
        <w:t>43.</w:t>
      </w:r>
      <w:r w:rsidRPr="00247FA7">
        <w:tab/>
      </w:r>
      <w:r>
        <w:t>Кроме того, Подкомитет оказывал поддержку государствам-участникам, в</w:t>
      </w:r>
      <w:r w:rsidR="007874A0">
        <w:rPr>
          <w:lang w:val="fr-CH"/>
        </w:rPr>
        <w:t> </w:t>
      </w:r>
      <w:r>
        <w:t>которых создание национального превентивного механизма еще не завершено. В</w:t>
      </w:r>
      <w:r w:rsidR="007874A0">
        <w:rPr>
          <w:lang w:val="fr-CH"/>
        </w:rPr>
        <w:t> </w:t>
      </w:r>
      <w:r>
        <w:t>Либерии прошли совещания высокого уровня и круглый стол с участием ряда заинтересованных сторон, посвященные вопросу создания национального превентивного механизма. В Габоне были проведены совещания высокого уровня и семинары по этой же теме с участием парламентариев и представителей гражданского общества.</w:t>
      </w:r>
    </w:p>
    <w:p w14:paraId="0A8192D3" w14:textId="13381333" w:rsidR="004854D8" w:rsidRPr="00247FA7" w:rsidRDefault="004854D8" w:rsidP="007874A0">
      <w:pPr>
        <w:pStyle w:val="SingleTxtG"/>
      </w:pPr>
      <w:r w:rsidRPr="00247FA7">
        <w:t>44.</w:t>
      </w:r>
      <w:r w:rsidRPr="00247FA7">
        <w:tab/>
      </w:r>
      <w:r>
        <w:t>8 и 9 сентября 2025 года Подкомитет был представлен на семинаре, посвященном физическим условиям содержания под стражей, который был проведен в Лиме национальным превентивным механизмом Соединенного Королевства Великобритании и Северной Ирландии совместно с юридическим факультетом Эдинбургского университета. Целью семинара было укрепление потенциала национальных превентивных механизмов в целях совершенствования их надзорной деятельности, содействия проведению системных реформ и обеспечения соблюдения национальных, международных и региональных стандартов, включая рекомендации Подкомитета. В дополнение к этому Подкомитет принял участие в семинаре по вопросам предупреждения и искоренения пыток в Латинской Америке, посвященном международному надзору и превентивным мерам, который прошел в Аргентине</w:t>
      </w:r>
      <w:r w:rsidR="00B53245" w:rsidRPr="00B53245">
        <w:br/>
      </w:r>
      <w:r>
        <w:t xml:space="preserve">30 сентября и 1 октября и собрал представителей национальных превентивных механизмов региона. </w:t>
      </w:r>
    </w:p>
    <w:p w14:paraId="27EA4D25" w14:textId="6A8B99DF" w:rsidR="004854D8" w:rsidRPr="00247FA7" w:rsidRDefault="004854D8" w:rsidP="007874A0">
      <w:pPr>
        <w:pStyle w:val="SingleTxtG"/>
      </w:pPr>
      <w:r w:rsidRPr="00247FA7">
        <w:t>45.</w:t>
      </w:r>
      <w:r w:rsidRPr="00247FA7">
        <w:tab/>
      </w:r>
      <w:r>
        <w:t xml:space="preserve">Кроме того, перед присоединением Колумбии к Факультативному протоколу Подкомитет приветствовал приглашения представителей правительства этой страны принять участие в диалогах с соответствующими заинтересованными сторонами и разъяснить обязательства государств-участников, в том числе в отношении создания национального превентивного механизма. </w:t>
      </w:r>
    </w:p>
    <w:p w14:paraId="629E4986" w14:textId="1F8666EF" w:rsidR="004854D8" w:rsidRPr="00B17197" w:rsidRDefault="004854D8" w:rsidP="007874A0">
      <w:pPr>
        <w:pStyle w:val="SingleTxtG"/>
      </w:pPr>
      <w:r w:rsidRPr="00247FA7">
        <w:t>46.</w:t>
      </w:r>
      <w:r w:rsidRPr="00247FA7">
        <w:tab/>
      </w:r>
      <w:r>
        <w:t>В течение года страновые докладчики поддерживали тесные контакты с</w:t>
      </w:r>
      <w:r w:rsidR="007874A0">
        <w:rPr>
          <w:lang w:val="fr-CH"/>
        </w:rPr>
        <w:t> </w:t>
      </w:r>
      <w:r>
        <w:t>национальными превентивными механизмами соответствующих стран. В</w:t>
      </w:r>
      <w:r w:rsidR="00B53245">
        <w:rPr>
          <w:lang w:val="fr-CH"/>
        </w:rPr>
        <w:t> </w:t>
      </w:r>
      <w:r>
        <w:t>дополнение к этому Подкомитет оказывал поддержку национальным превентивным механизмам Кыргызстана и Южной Африки, а также принял участие в мероприятиях, организованных национальными превентивными механизмами Соединенного Королевства, Монголии и Туниса. Наконец, в декабре секретарь Подкомитета принял участие в коллоквиуме, организованном национальным превентивным механизмом Туниса и прошедшем в Тунисе, на котором собрались представители национальных превентивных механизмов региона.</w:t>
      </w:r>
    </w:p>
    <w:p w14:paraId="6D7785A6" w14:textId="6C93D325" w:rsidR="004854D8" w:rsidRPr="00247FA7" w:rsidRDefault="004854D8" w:rsidP="004854D8">
      <w:pPr>
        <w:pStyle w:val="H1G"/>
      </w:pPr>
      <w:r w:rsidRPr="00B17197">
        <w:rPr>
          <w:bCs/>
        </w:rPr>
        <w:lastRenderedPageBreak/>
        <w:tab/>
      </w:r>
      <w:r>
        <w:rPr>
          <w:bCs/>
        </w:rPr>
        <w:t>C.</w:t>
      </w:r>
      <w:r>
        <w:tab/>
        <w:t>Консультации для национальных превентивных механизмов</w:t>
      </w:r>
      <w:bookmarkStart w:id="120" w:name="_Toc218941336"/>
      <w:bookmarkStart w:id="121" w:name="_Toc224043363"/>
      <w:bookmarkEnd w:id="120"/>
      <w:bookmarkEnd w:id="121"/>
    </w:p>
    <w:p w14:paraId="1D4F27B2" w14:textId="1AD1649B" w:rsidR="004854D8" w:rsidRPr="00247FA7" w:rsidDel="0048216E" w:rsidRDefault="004854D8" w:rsidP="007874A0">
      <w:pPr>
        <w:pStyle w:val="SingleTxtG"/>
      </w:pPr>
      <w:bookmarkStart w:id="122" w:name="_Toc185542949"/>
      <w:bookmarkStart w:id="123" w:name="_Toc192081313"/>
      <w:bookmarkEnd w:id="122"/>
      <w:bookmarkEnd w:id="123"/>
      <w:r w:rsidRPr="00247FA7" w:rsidDel="0048216E">
        <w:t>47.</w:t>
      </w:r>
      <w:r w:rsidRPr="00247FA7" w:rsidDel="0048216E">
        <w:tab/>
      </w:r>
      <w:r>
        <w:t>В течение отчетного периода Подкомитет получил ряд запросов от</w:t>
      </w:r>
      <w:r w:rsidR="007874A0">
        <w:rPr>
          <w:lang w:val="fr-CH"/>
        </w:rPr>
        <w:t> </w:t>
      </w:r>
      <w:r>
        <w:t xml:space="preserve">национальных превентивных механизмов о проведении консультаций. Учитывая, что эти консультации могут касаться проблем, с которыми сталкиваются другие национальные превентивные механизмы во всем мире, Подкомитет хотел бы поделиться предоставленными рекомендациями. </w:t>
      </w:r>
    </w:p>
    <w:p w14:paraId="00B28AD8" w14:textId="6E0D3F29" w:rsidR="004854D8" w:rsidRPr="00B17197" w:rsidDel="0048216E" w:rsidRDefault="004854D8" w:rsidP="004854D8">
      <w:pPr>
        <w:pStyle w:val="H23G"/>
      </w:pPr>
      <w:r>
        <w:tab/>
      </w:r>
      <w:r>
        <w:tab/>
      </w:r>
      <w:r>
        <w:rPr>
          <w:bCs/>
        </w:rPr>
        <w:t>Стандарты Организации Объединенных Наций как основа для подхода национальных превентивных механизмов</w:t>
      </w:r>
      <w:bookmarkStart w:id="124" w:name="_Toc224043364"/>
      <w:bookmarkEnd w:id="124"/>
    </w:p>
    <w:p w14:paraId="5C853644" w14:textId="4BCAAAA1" w:rsidR="004854D8" w:rsidRPr="00247FA7" w:rsidDel="0048216E" w:rsidRDefault="004854D8" w:rsidP="007874A0">
      <w:pPr>
        <w:pStyle w:val="SingleTxtG"/>
      </w:pPr>
      <w:r w:rsidRPr="00247FA7" w:rsidDel="0048216E">
        <w:t>48.</w:t>
      </w:r>
      <w:r w:rsidRPr="00247FA7" w:rsidDel="0048216E">
        <w:tab/>
      </w:r>
      <w:r>
        <w:t>В пункте b) статьи 19 Факультативного протокола изложен мандат национальных превентивных механизмов в отношении представления рекомендаций и предусмотрены полномочия таких механизмов представлять рекомендации соответствующим органам в целях улучшения обращения с лишенными свободы лицами и условий их содержания и предупреждать пытки и другие жестокие, бесчеловечные или унижающие достоинство виды обращения и наказания «с учетом соответствующих норм Организации Объединенных Наций». Исходя из изложенного, данное положение четко требует, чтобы национальные превентивные механизмы основывали свои рекомендации и общий подход к выполнению своих мандатов на стандартах, установленных Организацией Объединенных Наций, включая специализированные договоры по правам человека.</w:t>
      </w:r>
    </w:p>
    <w:p w14:paraId="7D7FB893" w14:textId="77777777" w:rsidR="004854D8" w:rsidRPr="00070993" w:rsidDel="0048216E" w:rsidRDefault="004854D8" w:rsidP="004854D8">
      <w:pPr>
        <w:pStyle w:val="H23G"/>
      </w:pPr>
      <w:r>
        <w:tab/>
      </w:r>
      <w:r>
        <w:tab/>
      </w:r>
      <w:r>
        <w:rPr>
          <w:bCs/>
        </w:rPr>
        <w:t>Вознаграждение экспертов национальных превентивных механизмов</w:t>
      </w:r>
      <w:bookmarkStart w:id="125" w:name="_Toc224043365"/>
      <w:bookmarkEnd w:id="125"/>
    </w:p>
    <w:p w14:paraId="27D8DDF5" w14:textId="5018DAA3" w:rsidR="004854D8" w:rsidRPr="00B17197" w:rsidDel="0048216E" w:rsidRDefault="004854D8" w:rsidP="007874A0">
      <w:pPr>
        <w:pStyle w:val="SingleTxtG"/>
      </w:pPr>
      <w:r w:rsidRPr="00247FA7" w:rsidDel="0048216E">
        <w:t>49.</w:t>
      </w:r>
      <w:r w:rsidRPr="00247FA7" w:rsidDel="0048216E">
        <w:tab/>
      </w:r>
      <w:r>
        <w:t>В соответствии с пунктом 2 статьи 18 Факультативного протокола эксперты национального превентивного механизма должны в совокупности обладать разнообразием знаний и профессиональных навыков, необходимых для эффективного выполнения механизмом своего мандата</w:t>
      </w:r>
      <w:r w:rsidRPr="001D1211">
        <w:rPr>
          <w:rStyle w:val="aa"/>
        </w:rPr>
        <w:footnoteReference w:id="18"/>
      </w:r>
      <w:r>
        <w:t>. Однако для этого в некоторых случаях национальному превентивному механизму может потребоваться привлечение экспертов, дополняющих его собственный экспертный потенциал.</w:t>
      </w:r>
    </w:p>
    <w:p w14:paraId="45C7D1E7" w14:textId="63DAD145" w:rsidR="004854D8" w:rsidRPr="00B17197" w:rsidDel="0048216E" w:rsidRDefault="004854D8" w:rsidP="007874A0">
      <w:pPr>
        <w:pStyle w:val="SingleTxtG"/>
      </w:pPr>
      <w:r w:rsidRPr="00247FA7" w:rsidDel="0048216E">
        <w:t>50.</w:t>
      </w:r>
      <w:r w:rsidRPr="00247FA7" w:rsidDel="0048216E">
        <w:tab/>
      </w:r>
      <w:r>
        <w:t>Кроме того, как предусмотрено в пункте 3 статьи 18 Факультативного протокола и разъяснено Подкомитетом</w:t>
      </w:r>
      <w:r w:rsidRPr="001D1211">
        <w:rPr>
          <w:rStyle w:val="aa"/>
        </w:rPr>
        <w:footnoteReference w:id="19"/>
      </w:r>
      <w:r>
        <w:t>, национальному превентивному механизму должны предоставляться необходимые ресурсы для эффективного выполнения его мандата. В связи с этим крайне важно, чтобы не существовало никаких административных препятствий, которые могли бы поставить под угрозу или исключить возможность национальных превентивных механизмов привлекать необходимых экспертов.</w:t>
      </w:r>
    </w:p>
    <w:p w14:paraId="1DCC52DA" w14:textId="64888172" w:rsidR="004854D8" w:rsidRPr="00B17197" w:rsidRDefault="004854D8" w:rsidP="007874A0">
      <w:pPr>
        <w:pStyle w:val="SingleTxtG"/>
      </w:pPr>
      <w:r w:rsidRPr="00247FA7">
        <w:t>51.</w:t>
      </w:r>
      <w:r w:rsidRPr="00247FA7">
        <w:tab/>
      </w:r>
      <w:r>
        <w:t>В связи с этим, хотя Факультативный протокол, разумеется, не устанавливает размер вознаграждения членов национальных превентивных механизмов и/или экспертов, привлекаемых для содействия работе механизма, очевидно, что такое вознаграждение должно быть соразмерно предоставляемым экспертным консультациям и не должно устанавливаться на столь низком уровне, чтобы фактически лишать экспертов мотивации поддерживать работу национального превентивного механизма, поскольку это негативно отразится на способности механизма выполнять свой мандат. В этой связи уместно напомнить, что Подкомитет четко указал — в конкретной ситуации, но применительно и к более широкому контексту — что невозможно поверить в то, что небольшая группа неоплачиваемых, работающих неполный рабочий день и не получающих поддержки лиц могла бы эффективно осуществлять превентивные посещения всех мест, подпадающих под действие их мандата, таким образом, чтобы это соответствовало Факультативному протоколу</w:t>
      </w:r>
      <w:r w:rsidRPr="001D1211">
        <w:rPr>
          <w:rStyle w:val="aa"/>
        </w:rPr>
        <w:footnoteReference w:id="20"/>
      </w:r>
      <w:r>
        <w:t>. Из этого следует, что надлежащее вознаграждение за работу членов национального превентивного механизма, включая экспертов, имеет решающее значение для выполнения требований Факультативного протокола.</w:t>
      </w:r>
      <w:bookmarkStart w:id="126" w:name="_Toc161321108"/>
    </w:p>
    <w:p w14:paraId="4293370F" w14:textId="77777777" w:rsidR="004854D8" w:rsidRPr="00247FA7" w:rsidRDefault="004854D8" w:rsidP="004854D8">
      <w:pPr>
        <w:pStyle w:val="H23G"/>
      </w:pPr>
      <w:r>
        <w:lastRenderedPageBreak/>
        <w:tab/>
      </w:r>
      <w:r>
        <w:tab/>
      </w:r>
      <w:r>
        <w:rPr>
          <w:bCs/>
        </w:rPr>
        <w:t>Национальные превентивные механизмы в рамках учреждений с несколькими мандатами</w:t>
      </w:r>
      <w:bookmarkStart w:id="127" w:name="_Toc224043366"/>
      <w:bookmarkEnd w:id="127"/>
    </w:p>
    <w:p w14:paraId="24B40754" w14:textId="20F3462D" w:rsidR="004854D8" w:rsidRPr="00247FA7" w:rsidRDefault="004854D8" w:rsidP="007874A0">
      <w:pPr>
        <w:pStyle w:val="SingleTxtG"/>
      </w:pPr>
      <w:r w:rsidRPr="00247FA7">
        <w:t>52.</w:t>
      </w:r>
      <w:r w:rsidRPr="00247FA7">
        <w:tab/>
      </w:r>
      <w:r>
        <w:t>Создание национального превентивного механизма является основным обязательством всех государств — участников Факультативного протокола. Национальные превентивные механизмы могут состоять из одного или нескольких органов, будь то уже существующие органы или совершенно новые, созданные специально в качестве национального превентивного механизма</w:t>
      </w:r>
      <w:r w:rsidRPr="001D1211">
        <w:rPr>
          <w:rStyle w:val="aa"/>
        </w:rPr>
        <w:footnoteReference w:id="21"/>
      </w:r>
      <w:r>
        <w:t>. Не существует универсального подхода к созданию такого механизма, как и не существует какой-либо предпочтительной модели национального превентивного механизма</w:t>
      </w:r>
      <w:r w:rsidRPr="001D1211">
        <w:rPr>
          <w:rStyle w:val="aa"/>
        </w:rPr>
        <w:footnoteReference w:id="22"/>
      </w:r>
      <w:r>
        <w:t>. Каждое государство-участник само принимает решение о том, какой тип национального превентивного механизма будет для него наиболее эффективным.</w:t>
      </w:r>
    </w:p>
    <w:p w14:paraId="2989E2EE" w14:textId="5A6B522C" w:rsidR="004854D8" w:rsidRPr="00247FA7" w:rsidRDefault="004854D8" w:rsidP="00076CD7">
      <w:pPr>
        <w:pStyle w:val="SingleTxtG"/>
      </w:pPr>
      <w:r w:rsidRPr="00247FA7">
        <w:t>53.</w:t>
      </w:r>
      <w:r w:rsidRPr="00247FA7">
        <w:tab/>
      </w:r>
      <w:r>
        <w:t>Однако при выборе национального превентивного механизма крайне важно, чтобы этот механизм, независимо от его формы, был структурирован и выполнял свой мандат в соответствии с требованиями, изложенными в Факультативном протоколе</w:t>
      </w:r>
      <w:r w:rsidRPr="001D1211">
        <w:rPr>
          <w:rStyle w:val="aa"/>
        </w:rPr>
        <w:footnoteReference w:id="23"/>
      </w:r>
      <w:r>
        <w:t>. Эти требования можно условно разделить на две категории: институциональные и</w:t>
      </w:r>
      <w:r w:rsidR="007874A0">
        <w:rPr>
          <w:lang w:val="fr-CH"/>
        </w:rPr>
        <w:t> </w:t>
      </w:r>
      <w:r>
        <w:t>операционные. В соответствии с институциональными требованиями государства-участники обязаны обеспечивать независимость своих национальных превентивных механизмов, включая независимость персонала, функциональную независимость и</w:t>
      </w:r>
      <w:r w:rsidR="007874A0">
        <w:rPr>
          <w:lang w:val="fr-CH"/>
        </w:rPr>
        <w:t> </w:t>
      </w:r>
      <w:r>
        <w:t>финансовую независимость, а также должным образом учитывать принципы, касающиеся статуса национальных учреждений, занимающихся поощрением и</w:t>
      </w:r>
      <w:r w:rsidR="007874A0">
        <w:rPr>
          <w:lang w:val="fr-CH"/>
        </w:rPr>
        <w:t> </w:t>
      </w:r>
      <w:r>
        <w:t>защитой прав человека (Парижские принципы)</w:t>
      </w:r>
      <w:r w:rsidRPr="001D1211">
        <w:rPr>
          <w:rStyle w:val="aa"/>
        </w:rPr>
        <w:footnoteReference w:id="24"/>
      </w:r>
      <w:r>
        <w:t>. Операционные требования касаются основополагающих аспектов мандата национального превентивного механизма, включая право посещать все места лишения свободы, их объекты и сооружения, право иметь доступ к информации о лишенных свободы лицах, право проводить беседы с такими и другими лицами в частном порядке и право выносить рекомендации, а также закрепляют соответствующее обязательство органов власти вести диалог с национальным превентивным механизмом</w:t>
      </w:r>
      <w:r w:rsidRPr="001D1211">
        <w:rPr>
          <w:rStyle w:val="aa"/>
        </w:rPr>
        <w:footnoteReference w:id="25"/>
      </w:r>
      <w:r>
        <w:t xml:space="preserve"> по вопросам осуществления рекомендаций. </w:t>
      </w:r>
    </w:p>
    <w:p w14:paraId="29D38DE4" w14:textId="3A29E9C3" w:rsidR="004854D8" w:rsidRPr="00247FA7" w:rsidRDefault="004854D8" w:rsidP="00076CD7">
      <w:pPr>
        <w:pStyle w:val="SingleTxtG"/>
      </w:pPr>
      <w:r w:rsidRPr="00247FA7">
        <w:t>54.</w:t>
      </w:r>
      <w:r w:rsidRPr="00247FA7">
        <w:tab/>
      </w:r>
      <w:r>
        <w:t>На сегодняшний день в мире действует около 80 национальных превентивных механизмов. Большинство из них представляют собой национальные правозащитные учреждения, такие как комиссии по правам человека и управления омбудсменов. В</w:t>
      </w:r>
      <w:r w:rsidR="007874A0">
        <w:rPr>
          <w:lang w:val="fr-CH"/>
        </w:rPr>
        <w:t> </w:t>
      </w:r>
      <w:r>
        <w:t>этой связи Подкомитет напоминает, что мандаты в области прав человека, которыми наделены национальные правозащитные учреждения, являются значительно более широкими, чем конкретная задача по предупреждению пыток, возлагаемая на национальные превентивные механизмы в соответствии с Факультативным протоколом. Тем не менее наделение национального правозащитного учреждения мандатом национального превентивного механизма имеет ряд преимуществ, в том числе возможность опираться на обширный опыт этого учреждения в сфере защиты прав человека на национальном уровне, его устоявшиеся связи и прочную репутацию, что вносит значительный вклад в эффективность национального превентивного механизма. Однако национальные превентивные механизмы не следует отождествлять с национальными правозащитными учреждениями</w:t>
      </w:r>
      <w:r w:rsidRPr="001D1211">
        <w:rPr>
          <w:rStyle w:val="aa"/>
        </w:rPr>
        <w:footnoteReference w:id="26"/>
      </w:r>
      <w:r>
        <w:t>, и в тех случаях, когда орган, назначенный в качестве национального превентивного механизма, выполняет другие функции в дополнение к функциям, предусмотренным в Факультативном протоколе, выполнение его функций в качестве национального превентивного механизма должно осуществляться в рамках отдельного подразделения или департамента, имеющего собственный персонал и отдельный бюджет</w:t>
      </w:r>
      <w:r w:rsidRPr="001D1211">
        <w:rPr>
          <w:rStyle w:val="aa"/>
        </w:rPr>
        <w:footnoteReference w:id="27"/>
      </w:r>
      <w:r>
        <w:t>, и он должен иметь возможность самостоятельно выполнять мандат национального превентивного механизма.</w:t>
      </w:r>
    </w:p>
    <w:p w14:paraId="33F73DF8" w14:textId="21204CBF" w:rsidR="004854D8" w:rsidRPr="00247FA7" w:rsidRDefault="004854D8" w:rsidP="00076CD7">
      <w:pPr>
        <w:pStyle w:val="SingleTxtG"/>
      </w:pPr>
      <w:r w:rsidRPr="00247FA7">
        <w:lastRenderedPageBreak/>
        <w:t>55.</w:t>
      </w:r>
      <w:r w:rsidRPr="00247FA7">
        <w:tab/>
      </w:r>
      <w:r>
        <w:t>Обеспечение осведомленности об отдельном мандате и роли национального превентивного механизма в таких учреждениях, как национальные правозащитные учреждения, по-прежнему может представлять собой сложную задачу, поскольку, помимо выполнения общего мандата в области прав человека, охватывающего весь широкий спектр различных прав, и/или выполнения функций управления омбудсмена, национальные правозащитные учреждения все чаще наделяются иными мандатами, вытекающими из национальных и/или международных обязательств. Они могут быть назначены, среди прочего, в качестве национальных органов по вопросам равенства, органов по защите разоблачителей, антикоррупционных ведомств, учреждений по защите данных, национальных механизмов мониторинга в рамках Конвенции о правах инвалидов, независимых механизмов мониторинга в рамках Пакта Европейского союза о миграции и убежище, а также национальных превентивных механизмов.</w:t>
      </w:r>
    </w:p>
    <w:p w14:paraId="2F111A47" w14:textId="68AD07B2" w:rsidR="004854D8" w:rsidRPr="00B17197" w:rsidRDefault="004854D8" w:rsidP="00076CD7">
      <w:pPr>
        <w:pStyle w:val="SingleTxtG"/>
      </w:pPr>
      <w:r w:rsidRPr="00247FA7">
        <w:t>56.</w:t>
      </w:r>
      <w:r w:rsidRPr="00247FA7">
        <w:tab/>
      </w:r>
      <w:r>
        <w:t>Несомненно, такое многообразие мандатов открывает возможности для плодотворного взаимообогащения, позволяет оптимально использовать уже существующие механизмы взаимодействия с различными органами власти и</w:t>
      </w:r>
      <w:r w:rsidR="007874A0">
        <w:rPr>
          <w:lang w:val="fr-CH"/>
        </w:rPr>
        <w:t> </w:t>
      </w:r>
      <w:r>
        <w:t>способствует эффективному взаимному укреплению мандатов, особенно в части последующей деятельности. Однако каждый из этих мандатов имеет свою собственную направленность, которую необходимо должным образом сохранить; с</w:t>
      </w:r>
      <w:r w:rsidR="007874A0">
        <w:rPr>
          <w:lang w:val="fr-CH"/>
        </w:rPr>
        <w:t> </w:t>
      </w:r>
      <w:r>
        <w:t>учетом этого, а также в соответствии с Факультативным протоколом мандат национального превентивного механизма должен всегда быть понятным и четким как в институциональном, так и в операционном плане. Кроме того, национальные превентивные механизмы, будучи превентивными органами, должны всегда придерживаться перспективного подхода</w:t>
      </w:r>
      <w:r w:rsidRPr="001D1211">
        <w:rPr>
          <w:rStyle w:val="aa"/>
        </w:rPr>
        <w:footnoteReference w:id="28"/>
      </w:r>
      <w:r>
        <w:t>, который существенно отличается от защитного и более реактивного подхода, ориентированного на расследование и рассмотрение жалоб, характерного для других мандатов, возложенных на то же национальное правозащитное учреждение.</w:t>
      </w:r>
    </w:p>
    <w:p w14:paraId="3E29DEB3" w14:textId="510D2C7A" w:rsidR="004854D8" w:rsidRPr="00B17197" w:rsidRDefault="004854D8" w:rsidP="00076CD7">
      <w:pPr>
        <w:pStyle w:val="SingleTxtG"/>
      </w:pPr>
      <w:r w:rsidRPr="00247FA7">
        <w:t>57.</w:t>
      </w:r>
      <w:r w:rsidRPr="00247FA7">
        <w:tab/>
      </w:r>
      <w:r>
        <w:t>Наконец, требования Факультативного протокола, особенно в части обеспечения достаточного финансирования, защиты независимости и выполнения рекомендаций национального превентивного механизма, носят постоянный и непрерывный характер, независимо от какого-либо другого мандата или мандатов, которыми наделено учреждение, назначенное в качестве национального превентивного механизма. Обязательства государства-участника в отношении своего национального превентивного механизма не заканчиваются с момента его назначения, поскольку они носят непрерывный характер и требуют от государства-участника поддержания своего национального превентивного механизма, в том числе путем предоставления необходимых ресурсов непосредственно для выполнения его мандата. Это обязательство остается неизменным, даже если учреждение, назначенное в качестве национального превентивного механизма, осуществляет также и другие мандаты.</w:t>
      </w:r>
    </w:p>
    <w:p w14:paraId="675148C0" w14:textId="77777777" w:rsidR="004854D8" w:rsidRPr="00247FA7" w:rsidRDefault="004854D8" w:rsidP="004854D8">
      <w:pPr>
        <w:pStyle w:val="H23G"/>
      </w:pPr>
      <w:r>
        <w:tab/>
      </w:r>
      <w:r>
        <w:tab/>
      </w:r>
      <w:r>
        <w:rPr>
          <w:bCs/>
        </w:rPr>
        <w:t>Изменение решения о назначении национального превентивного механизма</w:t>
      </w:r>
      <w:bookmarkStart w:id="128" w:name="_Toc224043367"/>
      <w:bookmarkEnd w:id="128"/>
    </w:p>
    <w:p w14:paraId="3460D1C8" w14:textId="0B4DCFB0" w:rsidR="004854D8" w:rsidRPr="00B17197" w:rsidRDefault="004854D8" w:rsidP="00076CD7">
      <w:pPr>
        <w:pStyle w:val="SingleTxtG"/>
      </w:pPr>
      <w:r w:rsidRPr="00247FA7">
        <w:t>58.</w:t>
      </w:r>
      <w:r w:rsidRPr="00247FA7">
        <w:tab/>
      </w:r>
      <w:r>
        <w:t>Помимо того, что назначение национального превентивного механизма является основным обязательством каждого государства-участника Факультативного протокола, оно представляет собой также постоянное обязательство, предполагающее регулярную оценку эффективности национального превентивного механизма как государством-участником, так и самим механизмом, с учетом мнений Подкомитета, с целью его усиления и укрепления по мере и в случае необходимости</w:t>
      </w:r>
      <w:r w:rsidRPr="001D1211">
        <w:rPr>
          <w:rStyle w:val="aa"/>
        </w:rPr>
        <w:footnoteReference w:id="29"/>
      </w:r>
      <w:r>
        <w:t>. В</w:t>
      </w:r>
      <w:r w:rsidR="00076CD7">
        <w:rPr>
          <w:lang w:val="fr-CH"/>
        </w:rPr>
        <w:t> </w:t>
      </w:r>
      <w:r>
        <w:t>исключительных случаях это может означать, что государство-участник изменяет свое решение относительно назначения национального превентивного механизма. В</w:t>
      </w:r>
      <w:r w:rsidR="00076CD7">
        <w:rPr>
          <w:lang w:val="fr-CH"/>
        </w:rPr>
        <w:t> </w:t>
      </w:r>
      <w:r>
        <w:t>случае возникновения таких изменений государствам-участникам рекомендуется должным образом проинформировать об этом Подкомитет</w:t>
      </w:r>
      <w:r w:rsidRPr="001D1211">
        <w:rPr>
          <w:rStyle w:val="aa"/>
        </w:rPr>
        <w:footnoteReference w:id="30"/>
      </w:r>
      <w:r>
        <w:t>.</w:t>
      </w:r>
    </w:p>
    <w:p w14:paraId="015CABF1" w14:textId="39174B5A" w:rsidR="004854D8" w:rsidRPr="00247FA7" w:rsidRDefault="004854D8" w:rsidP="00076CD7">
      <w:pPr>
        <w:pStyle w:val="SingleTxtG"/>
      </w:pPr>
      <w:bookmarkStart w:id="129" w:name="_Toc534899850"/>
      <w:r w:rsidRPr="00247FA7">
        <w:t>59.</w:t>
      </w:r>
      <w:r w:rsidRPr="00247FA7">
        <w:tab/>
      </w:r>
      <w:r>
        <w:t>Кроме того, в случае изменения решения о назначении крайне важно</w:t>
      </w:r>
      <w:r w:rsidR="00076CD7" w:rsidRPr="00076CD7">
        <w:br/>
      </w:r>
      <w:r>
        <w:t xml:space="preserve">всегда соблюдать требования Факультативного протокола, особенно в том, что </w:t>
      </w:r>
      <w:r>
        <w:lastRenderedPageBreak/>
        <w:t>касается полномочий и мандата национального превентивного механизма</w:t>
      </w:r>
      <w:r w:rsidRPr="001D1211">
        <w:rPr>
          <w:rStyle w:val="aa"/>
        </w:rPr>
        <w:footnoteReference w:id="31"/>
      </w:r>
      <w:r>
        <w:t>, его</w:t>
      </w:r>
      <w:r w:rsidR="00076CD7">
        <w:rPr>
          <w:lang w:val="fr-CH"/>
        </w:rPr>
        <w:t> </w:t>
      </w:r>
      <w:r>
        <w:t>независимости</w:t>
      </w:r>
      <w:r w:rsidRPr="001D1211">
        <w:rPr>
          <w:rStyle w:val="aa"/>
        </w:rPr>
        <w:footnoteReference w:id="32"/>
      </w:r>
      <w:r>
        <w:t>, а также непрерывности обязательства по его поддержанию</w:t>
      </w:r>
      <w:r w:rsidRPr="001D1211">
        <w:rPr>
          <w:rStyle w:val="aa"/>
        </w:rPr>
        <w:footnoteReference w:id="33"/>
      </w:r>
      <w:r>
        <w:t>. Важно отметить, что изменение относительно назначения национального превентивного механизма не создает оснований для какого-либо ограничения его полномочий, мандата или независимости, а также для сокращения выделяемых ему кадровых или финансовых ресурсов.</w:t>
      </w:r>
    </w:p>
    <w:p w14:paraId="5B3CFE90" w14:textId="2907D138" w:rsidR="004854D8" w:rsidRPr="00B17197" w:rsidRDefault="004854D8" w:rsidP="00076CD7">
      <w:pPr>
        <w:pStyle w:val="SingleTxtG"/>
      </w:pPr>
      <w:r w:rsidRPr="00247FA7">
        <w:t>60.</w:t>
      </w:r>
      <w:r w:rsidRPr="00247FA7">
        <w:tab/>
      </w:r>
      <w:r>
        <w:t>Кроме того, чрезвычайно важно, чтобы национальный превентивный механизм всегда устанавливался путем открытого, транспарентного и представительного процесса с участием широкого круга заинтересованных сторон, включая гражданское общество</w:t>
      </w:r>
      <w:r w:rsidRPr="001D1211">
        <w:rPr>
          <w:rStyle w:val="aa"/>
        </w:rPr>
        <w:footnoteReference w:id="34"/>
      </w:r>
      <w:r>
        <w:t>. В отсутствие такого процесса воспринимаемая легитимность национального превентивного механизма, а также его будущее могут оказаться под серьезной угрозой, что негативно скажется на его способности эффективно выполнять свой мандат.</w:t>
      </w:r>
    </w:p>
    <w:p w14:paraId="4DFEB520" w14:textId="7E181711" w:rsidR="004854D8" w:rsidRPr="00247FA7" w:rsidRDefault="004854D8" w:rsidP="004854D8">
      <w:pPr>
        <w:pStyle w:val="HChG"/>
      </w:pPr>
      <w:bookmarkStart w:id="130" w:name="_Toc97717832"/>
      <w:bookmarkStart w:id="131" w:name="_Toc97795011"/>
      <w:bookmarkStart w:id="132" w:name="_Toc185542951"/>
      <w:bookmarkStart w:id="133" w:name="_Toc192081315"/>
      <w:bookmarkStart w:id="134" w:name="_Toc218941337"/>
      <w:r w:rsidRPr="00B17197">
        <w:rPr>
          <w:bCs/>
        </w:rPr>
        <w:tab/>
      </w:r>
      <w:r>
        <w:rPr>
          <w:bCs/>
        </w:rPr>
        <w:t>V.</w:t>
      </w:r>
      <w:r>
        <w:tab/>
        <w:t>Взаимодействие с другими органами в области предупреждения пыток</w:t>
      </w:r>
      <w:bookmarkStart w:id="135" w:name="_Toc224043368"/>
      <w:bookmarkEnd w:id="126"/>
      <w:bookmarkEnd w:id="129"/>
      <w:bookmarkEnd w:id="130"/>
      <w:bookmarkEnd w:id="131"/>
      <w:bookmarkEnd w:id="132"/>
      <w:bookmarkEnd w:id="133"/>
      <w:bookmarkEnd w:id="134"/>
      <w:bookmarkEnd w:id="135"/>
    </w:p>
    <w:p w14:paraId="3F77779F" w14:textId="7D39E547" w:rsidR="004854D8" w:rsidRPr="00247FA7" w:rsidRDefault="004854D8" w:rsidP="004854D8">
      <w:pPr>
        <w:pStyle w:val="H1G"/>
      </w:pPr>
      <w:bookmarkStart w:id="136" w:name="_Hlk184650882"/>
      <w:r w:rsidRPr="00B17197">
        <w:rPr>
          <w:bCs/>
        </w:rPr>
        <w:tab/>
      </w:r>
      <w:r>
        <w:rPr>
          <w:bCs/>
        </w:rPr>
        <w:t>A.</w:t>
      </w:r>
      <w:r>
        <w:tab/>
        <w:t>Подкомитет как часть правозащитной системы Организации Объединенных Наций</w:t>
      </w:r>
      <w:bookmarkStart w:id="137" w:name="_Toc185542952"/>
      <w:bookmarkStart w:id="138" w:name="_Toc192081316"/>
      <w:bookmarkStart w:id="139" w:name="_Toc218941338"/>
      <w:bookmarkStart w:id="140" w:name="_Toc224043369"/>
      <w:bookmarkEnd w:id="137"/>
      <w:bookmarkEnd w:id="138"/>
      <w:bookmarkEnd w:id="139"/>
      <w:bookmarkEnd w:id="140"/>
    </w:p>
    <w:bookmarkEnd w:id="136"/>
    <w:p w14:paraId="6534F749" w14:textId="68AE5729" w:rsidR="004854D8" w:rsidRPr="00B17197" w:rsidRDefault="004854D8" w:rsidP="00076CD7">
      <w:pPr>
        <w:pStyle w:val="SingleTxtG"/>
      </w:pPr>
      <w:r w:rsidRPr="00B634AB">
        <w:t>61.</w:t>
      </w:r>
      <w:r w:rsidRPr="00B634AB">
        <w:tab/>
      </w:r>
      <w:r>
        <w:t>14 апреля 2025 года Председатель Подкомитета представила Комитету против пыток восемнадцатый ежегодный доклад Подкомитета</w:t>
      </w:r>
      <w:r w:rsidRPr="001D1211">
        <w:rPr>
          <w:rStyle w:val="aa"/>
        </w:rPr>
        <w:footnoteReference w:id="35"/>
      </w:r>
      <w:r>
        <w:t xml:space="preserve"> и обсудила этот доклад с Комитетом на пленарном заседании в ходе его восемьдесят второй сессии. 14 октября Председатель представила (в онлайн-формате) ежегодный доклад также Третьему комитету Генеральной Ассамблеи в ходе восьмидесятой сессии Ассамблеи. Таким образом, ежегодный доклад не мог быть представлен в Нью-Йорке в очном формате второй год подряд из-за финансового кризиса и кризиса ликвидности, затрагивающего Организацию Объединенных Наций.</w:t>
      </w:r>
    </w:p>
    <w:p w14:paraId="3BFF9445" w14:textId="134DF212" w:rsidR="004854D8" w:rsidRPr="00247FA7" w:rsidRDefault="004854D8" w:rsidP="00076CD7">
      <w:pPr>
        <w:pStyle w:val="SingleTxtG"/>
      </w:pPr>
      <w:r w:rsidRPr="00247FA7">
        <w:t>62.</w:t>
      </w:r>
      <w:r w:rsidRPr="00247FA7">
        <w:tab/>
      </w:r>
      <w:r>
        <w:t>По случаю Международного дня Организации Объединенных Наций в поддержку жертв пыток, который проводится 26 июня, Подкомитет, Комитет против пыток, Специальный фонд, учрежденный Факультативным протоколом, Специальный докладчик по вопросу о пытках и других жестоких, бесчеловечных или унижающих достоинство видах обращения и наказания и Совет попечителей Фонда добровольных взносов Организации Объединенных Наций для жертв пыток опубликовали совместное заявление, в котором призвали к большей ответственности и подотчетности при обеспечении порядка во время протестов на фоне серьезных нарушений прав человека</w:t>
      </w:r>
      <w:r w:rsidRPr="001D1211">
        <w:rPr>
          <w:rStyle w:val="aa"/>
        </w:rPr>
        <w:footnoteReference w:id="36"/>
      </w:r>
      <w:r>
        <w:t>.</w:t>
      </w:r>
    </w:p>
    <w:p w14:paraId="56E7F25B" w14:textId="6127C832" w:rsidR="004854D8" w:rsidRPr="00B17197" w:rsidRDefault="004854D8" w:rsidP="00076CD7">
      <w:pPr>
        <w:pStyle w:val="SingleTxtG"/>
      </w:pPr>
      <w:r w:rsidRPr="00247FA7">
        <w:t>63.</w:t>
      </w:r>
      <w:r w:rsidRPr="00247FA7">
        <w:tab/>
      </w:r>
      <w:r>
        <w:t>На совместном заседании Подкомитета и Комитета против пыток 13 ноября 2025 года оба договорных органа проанализировали свою работу за прошедший год, включая как достижения, так и трудности в условиях кризиса ликвидности, затрагивающего Организацию Объединенных Наций; вопросы, связанные с</w:t>
      </w:r>
      <w:r w:rsidR="008E5322">
        <w:rPr>
          <w:lang w:val="fr-CH"/>
        </w:rPr>
        <w:t> </w:t>
      </w:r>
      <w:r>
        <w:t>государствами-участниками, не обеспечивающими взаимодействия, и дальнейшие шаги в отношении таких государств; а также вопросы, касающиеся взаимного сотрудничества в рамках соответствующих мандатов этих двух органов.</w:t>
      </w:r>
    </w:p>
    <w:p w14:paraId="1B497E5A" w14:textId="59DFE46F" w:rsidR="004854D8" w:rsidRPr="00247FA7" w:rsidRDefault="004854D8" w:rsidP="008E5322">
      <w:pPr>
        <w:pStyle w:val="SingleTxtG"/>
      </w:pPr>
      <w:r w:rsidRPr="00247FA7">
        <w:t>64.</w:t>
      </w:r>
      <w:r w:rsidRPr="00247FA7">
        <w:tab/>
      </w:r>
      <w:r>
        <w:t xml:space="preserve">Председатель Подкомитета представляла Подкомитет на тридцать седьмом совещании Председателей договорных органов по правам человека, прошедшем в Женеве 2–6 июня 2025 года. Подкомитет сожалеет о том, что в связи с финансовыми и логистическими проблемами было невозможно провести совещание в Нью-Йорке в </w:t>
      </w:r>
      <w:r>
        <w:lastRenderedPageBreak/>
        <w:t>соответствии с установившейся практикой, поскольку проведение совещания</w:t>
      </w:r>
      <w:r w:rsidR="001D0098" w:rsidRPr="001D0098">
        <w:br/>
      </w:r>
      <w:r>
        <w:t>в Нью-Йорке позволило бы обеспечить более широкое взаимодействие с руководством Организации Объединенных Наций и государствами-членами, укрепило бы институциональную заметность системы договорных органов по правам человека и предоставило бы важную площадку для обсуждения как основной работы договорных органов, так и трудностей, препятствующих эффективному выполнению их мандатов, включая последствия кризиса ликвидности. В своих выводах Председатели подчеркнули существенное негативное воздействие кризиса на эффективное выполнение мандатов договорных органов, отметив, в частности, что уникальный превентивный мандат Подкомитета был серьезно ослаблен в результате переноса половины запланированных на 2025 год посещений. Председатели отметили, что государства-члены должны принять срочные меры для обеспечения устойчивости системы договорных органов, и признали, что нынешний кризис требует принятия срочных мер и от самих договорных органов для обеспечения непрерывности выполнения функций, предусмотренных договорами. Кроме того, в контексте осуществления Руководящих принципов по борьбе с запугиванием и репрессиями («Руководящие принципы Сан-Хосе»), а также в знак важного признания системы предупреждения пыток и конкретных рисков, с которыми могут сталкиваться члены национальных превентивных механизмов при выполнении своего превентивного мандата, Председатели приняли решение включить членов национальных превентивных механизмов в число субъектов, которые могут подвергаться репрессиям</w:t>
      </w:r>
      <w:r w:rsidRPr="001D1211">
        <w:rPr>
          <w:rStyle w:val="aa"/>
        </w:rPr>
        <w:footnoteReference w:id="37"/>
      </w:r>
      <w:r>
        <w:t>.</w:t>
      </w:r>
    </w:p>
    <w:p w14:paraId="6D810EBF" w14:textId="73018C30" w:rsidR="004854D8" w:rsidRPr="00247FA7" w:rsidRDefault="004854D8" w:rsidP="001D0098">
      <w:pPr>
        <w:pStyle w:val="SingleTxtG"/>
      </w:pPr>
      <w:r w:rsidRPr="00247FA7">
        <w:t>65.</w:t>
      </w:r>
      <w:r w:rsidRPr="00247FA7">
        <w:tab/>
      </w:r>
      <w:r>
        <w:t>В течение года Председатель приняла участие также в ряде неофициальных совещаний, в рамках которых обсуждался процесс укрепления договорных органов и уделялось особое внимание сложной ситуации, в которой находится Организация Объединенных Наций. В частности, 5 и 6 декабря в Женеве состоялась неформальная встреча, организованная Женевской академией международного гуманитарного права и прав человека, на которой Председатель присутствовала в режиме онлайн, а</w:t>
      </w:r>
      <w:r w:rsidR="001D0098">
        <w:rPr>
          <w:lang w:val="en-US"/>
        </w:rPr>
        <w:t> </w:t>
      </w:r>
      <w:r>
        <w:t xml:space="preserve">Подкомитет был представлен очно заместителем Председателя по внешним сношениям. </w:t>
      </w:r>
    </w:p>
    <w:p w14:paraId="0B1F9D3E" w14:textId="7F8B8E8F" w:rsidR="004854D8" w:rsidRPr="00247FA7" w:rsidRDefault="004854D8" w:rsidP="001D0098">
      <w:pPr>
        <w:pStyle w:val="SingleTxtG"/>
      </w:pPr>
      <w:r w:rsidRPr="00247FA7">
        <w:t>66.</w:t>
      </w:r>
      <w:r w:rsidRPr="00247FA7">
        <w:tab/>
      </w:r>
      <w:r>
        <w:t>Подкомитет продолжал сотрудничать с региональными отделениями УВКПЧ, страновыми группами Организации Объединенных Наций и программой по наращиванию потенциала договорных органов, содействуя работе национальных превентивных механизмов и ратификации Факультативного протокола. Подкомитет в сотрудничестве с Региональным отделением для Центральной Азии провел ряд встреч с государственными органами Кыргызстана в целях обсуждения планов государства-участника по изменению типа его национального превентивного механизма, а именно планов по переводу этого механизма, ранее имевшего независимый статус, в</w:t>
      </w:r>
      <w:r w:rsidR="001D0098">
        <w:rPr>
          <w:lang w:val="en-US"/>
        </w:rPr>
        <w:t> </w:t>
      </w:r>
      <w:r>
        <w:t>подчинение национального правозащитного учреждения. Подкомитет принял участие также в шестьдесят восьмой сессии Комиссии по наркотическим средствам, состоявшейся в Вене, и в четырех параллельных мероприятиях в рамках этой сессии. Обсуждалась деятельность Подкомитета в области наркополитики, в частности в контексте собранной им информации и выводов, сделанных им в ходе посещений стран и в рамках сотрудничества с национальными превентивными механизмами. В</w:t>
      </w:r>
      <w:r w:rsidR="001D0098">
        <w:rPr>
          <w:lang w:val="en-US"/>
        </w:rPr>
        <w:t> </w:t>
      </w:r>
      <w:r>
        <w:t>дополнение к этому в рамках сессии было уделено внимание вопросу влияния мер политики в области наркотиков на права человека и подчеркнута важность обеспечения того, чтобы такая политика в полной мере основывалась на уважении прав человека; Подкомитет отметил свою роль и роль национальных превентивных механизмов в этом отношении.</w:t>
      </w:r>
    </w:p>
    <w:p w14:paraId="56DFFDB5" w14:textId="237CFB84" w:rsidR="004854D8" w:rsidRPr="00247FA7" w:rsidRDefault="004854D8" w:rsidP="001D0098">
      <w:pPr>
        <w:pStyle w:val="SingleTxtG"/>
      </w:pPr>
      <w:r w:rsidRPr="00247FA7">
        <w:t>67.</w:t>
      </w:r>
      <w:r w:rsidRPr="00247FA7">
        <w:tab/>
      </w:r>
      <w:r>
        <w:t>Кроме того, при содействии Регионального отделения для Юго-Восточной Азии Подкомитет провел очные консультации по вопросу ратификации Факультативного протокола в Таиланде и организовал онлайн-встречу с национальным правозащитным учреждением Тимора-Лешти.</w:t>
      </w:r>
    </w:p>
    <w:p w14:paraId="6A14ECB5" w14:textId="48266BF7" w:rsidR="004854D8" w:rsidRPr="00247FA7" w:rsidRDefault="004854D8" w:rsidP="001D0098">
      <w:pPr>
        <w:pStyle w:val="SingleTxtG"/>
      </w:pPr>
      <w:r w:rsidRPr="00247FA7">
        <w:t>68.</w:t>
      </w:r>
      <w:r w:rsidRPr="00247FA7">
        <w:tab/>
      </w:r>
      <w:r>
        <w:t xml:space="preserve">Подкомитет был представлен на Международном конгрессе по вопросам мобильности населения и прав человека, который прошел в Панаме 29 и 30 апреля </w:t>
      </w:r>
      <w:r>
        <w:lastRenderedPageBreak/>
        <w:t>2025 года в ходе Генеральной ассамблеи Сети национальных учреждений, занимающихся поощрением и защитой прав человека в Северной и Южной Америке, при поддержке Регионального отделения УВКПЧ для Центральной Америки и</w:t>
      </w:r>
      <w:r w:rsidR="00B53245">
        <w:rPr>
          <w:lang w:val="fr-CH"/>
        </w:rPr>
        <w:t> </w:t>
      </w:r>
      <w:r>
        <w:t>Доминиканской Республики. Председатель приняла участие в дискуссионном форуме, посвященном руководящим принципам мониторинга в целях предупреждения пыток и неправомерного обращения в условиях мобильности населения, а также в контексте замечания общего порядка № 1 (2024) Подкомитета.</w:t>
      </w:r>
    </w:p>
    <w:p w14:paraId="3FC9C16F" w14:textId="2E596944" w:rsidR="004854D8" w:rsidRPr="00B17197" w:rsidRDefault="004854D8" w:rsidP="001D0098">
      <w:pPr>
        <w:pStyle w:val="SingleTxtG"/>
      </w:pPr>
      <w:r w:rsidRPr="00247FA7">
        <w:t>69.</w:t>
      </w:r>
      <w:r w:rsidRPr="00247FA7">
        <w:tab/>
      </w:r>
      <w:r>
        <w:t>Учитывая, что превентивный мандат в соответствии с Факультативным протоколом основан на принципе, согласно которому основной целью лишения свободы является социальная реинтеграция</w:t>
      </w:r>
      <w:r w:rsidRPr="001D1211">
        <w:rPr>
          <w:rStyle w:val="aa"/>
        </w:rPr>
        <w:footnoteReference w:id="38"/>
      </w:r>
      <w:r>
        <w:t>, Подкомитет представил конфиденциальный материал для подготовленного УВКПЧ доклада о социальной реинтеграции лиц, освободившихся из мест лишения свободы, и лиц, в отношении которых применены меры, не связанные с лишением свободы</w:t>
      </w:r>
      <w:r w:rsidRPr="001D1211">
        <w:rPr>
          <w:rStyle w:val="aa"/>
        </w:rPr>
        <w:footnoteReference w:id="39"/>
      </w:r>
      <w:r>
        <w:t>. На протяжении почти двадцати лет своей деятельности и посещений мест лишения свободы в государствах-участниках Подкомитет уделял значительное внимание вопросу социальной реинтеграции. Представляя краткий обзор своих многочисленных замечаний и рекомендаций, касающихся предупреждения пыток и социальной реинтеграции лишенных свободы лиц, Подкомитет подчеркнул важность уважения человеческого достоинства, поддержки применения индивидуального подхода и подготовки людей к возвращению в общество таким образом, чтобы они могли вести законопослушный и самостоятельный образ жизни, несмотря на то, что они были лишены свободы в прошлом. Подкомитет отмечал также, что меры по реинтеграции имеют решающее значение для предупреждения рецидивизма</w:t>
      </w:r>
      <w:r w:rsidRPr="001D1211">
        <w:rPr>
          <w:rStyle w:val="aa"/>
        </w:rPr>
        <w:footnoteReference w:id="40"/>
      </w:r>
      <w:r>
        <w:t>.</w:t>
      </w:r>
    </w:p>
    <w:p w14:paraId="3A0E8575" w14:textId="280220ED" w:rsidR="004854D8" w:rsidRPr="00247FA7" w:rsidRDefault="004854D8" w:rsidP="001D0098">
      <w:pPr>
        <w:pStyle w:val="SingleTxtG"/>
      </w:pPr>
      <w:r w:rsidRPr="00247FA7">
        <w:t>70.</w:t>
      </w:r>
      <w:r w:rsidRPr="00247FA7">
        <w:tab/>
      </w:r>
      <w:r>
        <w:t>Подкомитет принимает к сведению и высоко оценивает также приглашение Управления Организации Объединенных Наций по наркотикам и преступности принять участие в разработке нового руководства по управлению коррупционными рисками в пенитенциарных системах. Подкомитет с удовлетворением отмечает, что благодаря материалам, поступившим как в электронном виде, так и в ходе очных встреч, в руководстве нашли отражение вопросы, относящиеся к мандату Подкомитета, в частности касающиеся важности мониторинга для снижения рисков коррупции.</w:t>
      </w:r>
    </w:p>
    <w:p w14:paraId="5A22B3F1" w14:textId="311DC99B" w:rsidR="004854D8" w:rsidRPr="00B634AB" w:rsidRDefault="004854D8" w:rsidP="004854D8">
      <w:pPr>
        <w:pStyle w:val="H1G"/>
      </w:pPr>
      <w:bookmarkStart w:id="141" w:name="_Toc192081317"/>
      <w:bookmarkStart w:id="142" w:name="_Toc218941339"/>
      <w:r w:rsidRPr="00B17197">
        <w:rPr>
          <w:bCs/>
        </w:rPr>
        <w:tab/>
      </w:r>
      <w:r>
        <w:rPr>
          <w:bCs/>
        </w:rPr>
        <w:t>B.</w:t>
      </w:r>
      <w:r>
        <w:tab/>
        <w:t>Региональное сотрудничество</w:t>
      </w:r>
      <w:bookmarkStart w:id="143" w:name="_Toc224043370"/>
      <w:bookmarkEnd w:id="141"/>
      <w:bookmarkEnd w:id="142"/>
      <w:bookmarkEnd w:id="143"/>
    </w:p>
    <w:p w14:paraId="005E079C" w14:textId="6A9317BA" w:rsidR="004854D8" w:rsidRPr="00247FA7" w:rsidRDefault="004854D8" w:rsidP="001D0098">
      <w:pPr>
        <w:pStyle w:val="SingleTxtG"/>
      </w:pPr>
      <w:r w:rsidRPr="00247FA7">
        <w:t>71.</w:t>
      </w:r>
      <w:r w:rsidRPr="00247FA7">
        <w:tab/>
      </w:r>
      <w:r>
        <w:t>Подкомитет продолжил сотрудничество с Европейским комитетом по предупреждению пыток и бесчеловечного или унижающего достоинство обращения или наказания и принял меры по укреплению сотрудничества с другими региональными органами. 21 мая 2025 года Подкомитет провел плодотворную встречу с Межамериканской комиссией по правам человека, в ходе которой обсуждались вопросы укрепления сотрудничества между этими двумя органами, в частности в контексте национальных превентивных механизмов.</w:t>
      </w:r>
    </w:p>
    <w:p w14:paraId="3256A418" w14:textId="5ECC200A" w:rsidR="004854D8" w:rsidRPr="00247FA7" w:rsidRDefault="004854D8" w:rsidP="004854D8">
      <w:pPr>
        <w:pStyle w:val="H1G"/>
      </w:pPr>
      <w:r w:rsidRPr="00B17197">
        <w:rPr>
          <w:bCs/>
        </w:rPr>
        <w:tab/>
      </w:r>
      <w:r>
        <w:rPr>
          <w:bCs/>
        </w:rPr>
        <w:t>C.</w:t>
      </w:r>
      <w:r>
        <w:tab/>
        <w:t>Сотрудничество с гражданским обществом и другими заинтересованными сторонами</w:t>
      </w:r>
      <w:bookmarkStart w:id="144" w:name="_Toc161321111"/>
      <w:bookmarkStart w:id="145" w:name="_Toc185542956"/>
      <w:bookmarkStart w:id="146" w:name="_Toc192081318"/>
      <w:bookmarkStart w:id="147" w:name="_Toc218941340"/>
      <w:bookmarkStart w:id="148" w:name="_Toc224043371"/>
      <w:bookmarkEnd w:id="144"/>
      <w:bookmarkEnd w:id="145"/>
      <w:bookmarkEnd w:id="146"/>
      <w:bookmarkEnd w:id="147"/>
      <w:bookmarkEnd w:id="148"/>
    </w:p>
    <w:p w14:paraId="40E1FDF1" w14:textId="4E5D01AB" w:rsidR="004854D8" w:rsidRPr="00B17197" w:rsidRDefault="004854D8" w:rsidP="001D0098">
      <w:pPr>
        <w:pStyle w:val="SingleTxtG"/>
      </w:pPr>
      <w:r w:rsidRPr="00247FA7">
        <w:t>72.</w:t>
      </w:r>
      <w:r w:rsidRPr="00247FA7">
        <w:tab/>
      </w:r>
      <w:r>
        <w:t xml:space="preserve">Подкомитет продолжал получать и высоко оценивал поддержку со стороны гражданского общества, в частности со стороны Ассоциации за предотвращение пыток, с которой он поддерживал тесное сотрудничество. Подкомитет принял участие в семинаре по предупреждению пыток для национальных правозащитных учреждений, совместно организованном Ассоциацией за предотвращение пыток и Азиатско-Тихоокеанским форумом национальных правозащитных учреждений. Подкомитет поддерживал конструктивные отношения также с Всемирной </w:t>
      </w:r>
      <w:r>
        <w:lastRenderedPageBreak/>
        <w:t>организацией против пыток и другими членами Консорциума «Объединенные против пыток».</w:t>
      </w:r>
    </w:p>
    <w:p w14:paraId="38D7EAE1" w14:textId="6D18A5E3" w:rsidR="004854D8" w:rsidRPr="00247FA7" w:rsidRDefault="004854D8" w:rsidP="001D0098">
      <w:pPr>
        <w:pStyle w:val="SingleTxtG"/>
      </w:pPr>
      <w:r w:rsidRPr="00247FA7">
        <w:t>73.</w:t>
      </w:r>
      <w:r w:rsidRPr="00247FA7">
        <w:tab/>
      </w:r>
      <w:r>
        <w:t>Кроме того, в результате сотрудничества между Подкомитетом и Международным консорциумом по политике регулирования наркотических средств были разработаны и начали проводиться вебинары, посвященные влиянию мер наркополитики на эффективное предупреждение пыток и неправомерного обращения (см. пункты 38 и 39 выше).</w:t>
      </w:r>
    </w:p>
    <w:p w14:paraId="4E5A9BE5" w14:textId="43B3119E" w:rsidR="004854D8" w:rsidRPr="00247FA7" w:rsidRDefault="004854D8" w:rsidP="001D0098">
      <w:pPr>
        <w:pStyle w:val="SingleTxtG"/>
      </w:pPr>
      <w:r w:rsidRPr="00247FA7">
        <w:t>74.</w:t>
      </w:r>
      <w:r w:rsidRPr="00247FA7">
        <w:tab/>
      </w:r>
      <w:r>
        <w:t>Признавая, что национальные превентивные механизмы во многих государствах-участниках входят в состав национальных правозащитных учреждений, Подкомитет продолжает поддерживать тесные контакты с Глобальным альянсом национальных правозащитных учреждений и принял участие в двух организованных Альянсом вебинарах по вопросам мониторинга мест содержания под стражей. В</w:t>
      </w:r>
      <w:r w:rsidR="001D0098">
        <w:rPr>
          <w:lang w:val="en-US"/>
        </w:rPr>
        <w:t> </w:t>
      </w:r>
      <w:r>
        <w:t>частности, в сентябре 2025 года он принял участие в вебинаре, посвященном стратегиям эффективного мониторинга мест содержания под стражей национальными правозащитными учреждениями, который стал частью серии вебинаров под названием «Укрепление роли национальных правозащитных учреждений в предупреждении пыток и осуществлении Факультативного протокола к Конвенции против пыток», организованной Глобальным альянсом национальных правозащитных учреждений в сотрудничестве с Ассоциацией за предотвращение пыток.</w:t>
      </w:r>
    </w:p>
    <w:p w14:paraId="051B7816" w14:textId="3BAA108B" w:rsidR="004854D8" w:rsidRPr="00B53245" w:rsidRDefault="004854D8" w:rsidP="001D0098">
      <w:pPr>
        <w:pStyle w:val="SingleTxtG"/>
      </w:pPr>
      <w:r w:rsidRPr="00247FA7">
        <w:t>75.</w:t>
      </w:r>
      <w:r w:rsidRPr="00247FA7">
        <w:tab/>
      </w:r>
      <w:r>
        <w:t>Подкомитет выражает удовлетворение также в связи с получением приглашений принять участие в ряде мероприятий, проводимых организациями гражданского общества в честь Международного дня в поддержку жертв пыток, и</w:t>
      </w:r>
      <w:r w:rsidR="00B53245">
        <w:rPr>
          <w:lang w:val="fr-CH"/>
        </w:rPr>
        <w:t> </w:t>
      </w:r>
      <w:r>
        <w:t>высоко ценит все совместные усилия.</w:t>
      </w:r>
    </w:p>
    <w:p w14:paraId="09DA99F2" w14:textId="48D83C36" w:rsidR="004854D8" w:rsidRPr="00247FA7" w:rsidRDefault="004854D8" w:rsidP="001D0098">
      <w:pPr>
        <w:pStyle w:val="SingleTxtG"/>
      </w:pPr>
      <w:r w:rsidRPr="00247FA7">
        <w:t>76.</w:t>
      </w:r>
      <w:r w:rsidRPr="00247FA7">
        <w:tab/>
      </w:r>
      <w:r>
        <w:t>Кроме того, до и во время проведения посещений Подкомитет активно взаимодействовал с национальными и международными организациями гражданского общества, которые предоставляли ему ценную информацию. Подкомитет хотел бы поблагодарить эти организации за содействие и поддержку в осуществлении мандата, закрепленного в Факультативном протоколе, и рассчитывает на дальнейшее сотрудничество с организациями гражданского общества.</w:t>
      </w:r>
    </w:p>
    <w:p w14:paraId="22508400" w14:textId="472908BE" w:rsidR="004854D8" w:rsidRPr="00247FA7" w:rsidRDefault="004854D8" w:rsidP="004854D8">
      <w:pPr>
        <w:pStyle w:val="ParaNoG"/>
        <w:numPr>
          <w:ilvl w:val="0"/>
          <w:numId w:val="0"/>
        </w:numPr>
        <w:tabs>
          <w:tab w:val="left" w:pos="0"/>
          <w:tab w:val="left" w:pos="1701"/>
        </w:tabs>
        <w:ind w:left="1134"/>
        <w:outlineLvl w:val="9"/>
      </w:pPr>
      <w:bookmarkStart w:id="149" w:name="_Toc185542957"/>
      <w:bookmarkStart w:id="150" w:name="_Toc192081319"/>
      <w:r w:rsidRPr="00247FA7">
        <w:t>77.</w:t>
      </w:r>
      <w:r w:rsidRPr="00247FA7">
        <w:tab/>
      </w:r>
      <w:r>
        <w:t>Подкомитет подчеркивает важную роль научных кругов в сфере предупреждения пыток. Университеты выступали в качестве соорганизаторов ряда вышеупомянутых мероприятий, а члены Подкомитета приняли участие в</w:t>
      </w:r>
      <w:r w:rsidR="001D0098">
        <w:rPr>
          <w:lang w:val="en-US"/>
        </w:rPr>
        <w:t> </w:t>
      </w:r>
      <w:r>
        <w:t>соответствующих конференциях в Бельгии, Казахстане, Перу и Украине.</w:t>
      </w:r>
    </w:p>
    <w:p w14:paraId="05E4B87D" w14:textId="57F60C94" w:rsidR="004854D8" w:rsidRPr="00247FA7" w:rsidRDefault="004854D8" w:rsidP="004854D8">
      <w:pPr>
        <w:pStyle w:val="HChG"/>
      </w:pPr>
      <w:bookmarkStart w:id="151" w:name="_Toc97717829"/>
      <w:bookmarkStart w:id="152" w:name="_Toc97795008"/>
      <w:bookmarkStart w:id="153" w:name="_Toc161321113"/>
      <w:r w:rsidRPr="001D0098">
        <w:rPr>
          <w:bCs/>
        </w:rPr>
        <w:tab/>
      </w:r>
      <w:r>
        <w:rPr>
          <w:bCs/>
        </w:rPr>
        <w:t>VI.</w:t>
      </w:r>
      <w:r>
        <w:tab/>
        <w:t>План работы на предстоящий год</w:t>
      </w:r>
      <w:bookmarkStart w:id="154" w:name="_Toc224043372"/>
      <w:bookmarkEnd w:id="149"/>
      <w:bookmarkEnd w:id="150"/>
      <w:bookmarkEnd w:id="154"/>
    </w:p>
    <w:p w14:paraId="328647A3" w14:textId="154D67A7" w:rsidR="004854D8" w:rsidRPr="00B634AB" w:rsidRDefault="004854D8" w:rsidP="004854D8">
      <w:pPr>
        <w:pStyle w:val="H1G"/>
      </w:pPr>
      <w:r w:rsidRPr="00B17197">
        <w:rPr>
          <w:bCs/>
        </w:rPr>
        <w:tab/>
      </w:r>
      <w:r>
        <w:rPr>
          <w:bCs/>
        </w:rPr>
        <w:t>A.</w:t>
      </w:r>
      <w:r>
        <w:tab/>
        <w:t>Сессии</w:t>
      </w:r>
      <w:bookmarkStart w:id="155" w:name="_Toc185542958"/>
      <w:bookmarkStart w:id="156" w:name="_Toc192081320"/>
      <w:bookmarkStart w:id="157" w:name="_Toc218941342"/>
      <w:bookmarkStart w:id="158" w:name="_Toc224043373"/>
      <w:bookmarkEnd w:id="155"/>
      <w:bookmarkEnd w:id="156"/>
      <w:bookmarkEnd w:id="157"/>
      <w:bookmarkEnd w:id="158"/>
    </w:p>
    <w:p w14:paraId="647702D7" w14:textId="495E7EFF" w:rsidR="004854D8" w:rsidRPr="00247FA7" w:rsidRDefault="004854D8" w:rsidP="001D0098">
      <w:pPr>
        <w:pStyle w:val="SingleTxtG"/>
      </w:pPr>
      <w:r w:rsidRPr="00247FA7">
        <w:t>78.</w:t>
      </w:r>
      <w:r w:rsidRPr="00247FA7">
        <w:tab/>
      </w:r>
      <w:r>
        <w:t>Как правило, Подкомитет ежегодно проводит три сессии в Женеве. Однако в качестве чрезвычайной и упреждающей меры по сокращению расходов, принятой в связи с кризисом ликвидности, с которым в настоящее время сталкивается Организация Объединенных Наций, после активных обсуждений Подкомитет постановил, что в 2026 году он проведет только две сессии в Женеве. Есть основания полагать, что выделенное Подкомитету сессионное время будет сокращено, как и в 2025 году, в связи с ограниченностью имеющихся средств. Кроме того, хотя Подкомитет был проинформирован о том, что его сессии состоятся в мае и ноябре, на</w:t>
      </w:r>
      <w:r w:rsidR="00B53245">
        <w:rPr>
          <w:lang w:val="fr-CH"/>
        </w:rPr>
        <w:t> </w:t>
      </w:r>
      <w:r>
        <w:t xml:space="preserve">момент подготовки настоящего доклада точные даты проведения сессий в 2026 году подтверждены не были. </w:t>
      </w:r>
    </w:p>
    <w:p w14:paraId="44B4EF03" w14:textId="558E3BFF" w:rsidR="004854D8" w:rsidRPr="00B634AB" w:rsidRDefault="004854D8" w:rsidP="004854D8">
      <w:pPr>
        <w:pStyle w:val="H1G"/>
      </w:pPr>
      <w:r w:rsidRPr="00B53245">
        <w:rPr>
          <w:bCs/>
        </w:rPr>
        <w:tab/>
      </w:r>
      <w:r>
        <w:rPr>
          <w:bCs/>
        </w:rPr>
        <w:t>B.</w:t>
      </w:r>
      <w:r>
        <w:tab/>
        <w:t>Посещения</w:t>
      </w:r>
      <w:bookmarkStart w:id="159" w:name="_Toc185542959"/>
      <w:bookmarkStart w:id="160" w:name="_Toc192081321"/>
      <w:bookmarkStart w:id="161" w:name="_Toc218941343"/>
      <w:bookmarkStart w:id="162" w:name="_Toc224043374"/>
      <w:bookmarkEnd w:id="151"/>
      <w:bookmarkEnd w:id="152"/>
      <w:bookmarkEnd w:id="159"/>
      <w:bookmarkEnd w:id="160"/>
      <w:bookmarkEnd w:id="161"/>
      <w:bookmarkEnd w:id="162"/>
    </w:p>
    <w:p w14:paraId="6C42180F" w14:textId="3A55B11F" w:rsidR="004854D8" w:rsidRPr="00247FA7" w:rsidRDefault="004854D8" w:rsidP="001D0098">
      <w:pPr>
        <w:pStyle w:val="SingleTxtG"/>
      </w:pPr>
      <w:r w:rsidRPr="00247FA7">
        <w:t>79.</w:t>
      </w:r>
      <w:r w:rsidRPr="00247FA7">
        <w:tab/>
      </w:r>
      <w:r>
        <w:t xml:space="preserve">Учитывая имевшиеся в 2025 году трудности при планировании и проведении посещений, а также уроки, извлеченные Подкомитетом в процессе преодоления сложностей, связанных с финансовой ситуацией, в ходе своей пятьдесят шестой сессии Подкомитет как на уровне региональных групп, так и на пленарных заседаниях уделил </w:t>
      </w:r>
      <w:r>
        <w:lastRenderedPageBreak/>
        <w:t>значительное время обсуждениям, посвященным анализу его стратегических приоритетов в свете текущих финансовых и операционных ограничений, а также рассмотрению возможных вариантов действий на случай необходимости дальнейших корректировок. Среди прочего, в ходе обсуждений рассматривался вопрос о</w:t>
      </w:r>
      <w:r w:rsidR="001D0098">
        <w:rPr>
          <w:lang w:val="en-US"/>
        </w:rPr>
        <w:t> </w:t>
      </w:r>
      <w:r>
        <w:t>поддержании эффективности мандата Подкомитета в части проведения превентивных посещений в нынешних условиях, в том числе за счет большей гибкости в отношении продолжительности и тематической направленности посещений, размера делегаций и видов проводимых мероприятий; продолжения принятия мер по сокращению расходов; и обеспечения координации и синергии с национальными превентивными механизмами и другими правозащитными структурами несмотря на существующие ограничения.</w:t>
      </w:r>
    </w:p>
    <w:p w14:paraId="3EA1ECB6" w14:textId="67DA3847" w:rsidR="004854D8" w:rsidRPr="00247FA7" w:rsidRDefault="004854D8" w:rsidP="007C7F5F">
      <w:pPr>
        <w:pStyle w:val="SingleTxtG"/>
      </w:pPr>
      <w:r w:rsidRPr="00247FA7">
        <w:t>80.</w:t>
      </w:r>
      <w:r w:rsidRPr="00247FA7">
        <w:tab/>
      </w:r>
      <w:r>
        <w:t>По итогам пятьдесят шестой сессии Подкомитет объявил, что в 2026 году он проведет отложенные посещения Бурунди, Мексики и Франции. Кроме того, он</w:t>
      </w:r>
      <w:r w:rsidR="007C7F5F">
        <w:rPr>
          <w:lang w:val="en-US"/>
        </w:rPr>
        <w:t> </w:t>
      </w:r>
      <w:r>
        <w:t>сообщил о планировании новых посещений Парагвая, Руанды и Шри</w:t>
      </w:r>
      <w:r>
        <w:noBreakHyphen/>
        <w:t>Ланки, которые также предполагается провести в 2026 году. Программа посещений</w:t>
      </w:r>
      <w:r w:rsidR="007C7F5F" w:rsidRPr="007C7F5F">
        <w:br/>
      </w:r>
      <w:r>
        <w:t>на 2026 год отражает тщательно продуманные и взвешенные решения Подкомитета и учитывает тот факт, что нынешние условия не позволяют действовать в обычном режиме. Она демонстрирует стратегическую адаптацию, направленную на обеспечение того, чтобы превентивная деятельность оставалась в центре мандата Подкомитета несмотря на ограниченные ресурсы, и одновременно подчеркивает важность гибкости, инноваций и институциональной устойчивости.</w:t>
      </w:r>
    </w:p>
    <w:p w14:paraId="6502E64B" w14:textId="2851A49B" w:rsidR="004854D8" w:rsidRPr="00247FA7" w:rsidRDefault="004854D8" w:rsidP="007C7F5F">
      <w:pPr>
        <w:pStyle w:val="SingleTxtG"/>
      </w:pPr>
      <w:r w:rsidRPr="00247FA7">
        <w:t>81.</w:t>
      </w:r>
      <w:r w:rsidRPr="00247FA7">
        <w:tab/>
      </w:r>
      <w:r>
        <w:t>Поскольку уровень обеспеченности ресурсами напрямую влияет на способность Подкомитета эффективно выполнять свой мандат, Подкомитет осознает, что ему необходимо и впредь проявлять гибкость и творческий подход в планировании своей деятельности, в том числе посещений; в то же время он вновь подчеркивает, что превентивные посещения являются одной из основных возложенных на него функций. В связи с этим Подкомитет оставляет за собой право в случае необходимости корректировать планы посещений с учетом реальных условий, с которыми он, вероятно, столкнется в 2026 году, особенно в части финансирования, выделяемого на осуществление этого ключевого элемента его мандата.</w:t>
      </w:r>
    </w:p>
    <w:p w14:paraId="3B49C5D4" w14:textId="00F02D84" w:rsidR="004854D8" w:rsidRPr="00B17197" w:rsidRDefault="004854D8" w:rsidP="004854D8">
      <w:pPr>
        <w:pStyle w:val="H1G"/>
      </w:pPr>
      <w:r w:rsidRPr="00B17197">
        <w:rPr>
          <w:bCs/>
        </w:rPr>
        <w:tab/>
      </w:r>
      <w:r>
        <w:rPr>
          <w:bCs/>
        </w:rPr>
        <w:t>C.</w:t>
      </w:r>
      <w:r>
        <w:tab/>
        <w:t>Прочие виды деятельности</w:t>
      </w:r>
      <w:bookmarkStart w:id="163" w:name="_Toc224043375"/>
      <w:bookmarkStart w:id="164" w:name="_Toc185542960"/>
      <w:bookmarkStart w:id="165" w:name="_Toc192081322"/>
      <w:bookmarkStart w:id="166" w:name="_Toc218941344"/>
      <w:bookmarkEnd w:id="163"/>
      <w:bookmarkEnd w:id="164"/>
      <w:bookmarkEnd w:id="165"/>
      <w:bookmarkEnd w:id="166"/>
    </w:p>
    <w:p w14:paraId="18373627" w14:textId="71067AB5" w:rsidR="004854D8" w:rsidRPr="000F3338" w:rsidRDefault="004854D8" w:rsidP="007C7F5F">
      <w:pPr>
        <w:pStyle w:val="SingleTxtG"/>
        <w:rPr>
          <w:b/>
        </w:rPr>
      </w:pPr>
      <w:r w:rsidRPr="000F3338">
        <w:rPr>
          <w:b/>
        </w:rPr>
        <w:t>82.</w:t>
      </w:r>
      <w:r w:rsidRPr="000F3338">
        <w:rPr>
          <w:b/>
        </w:rPr>
        <w:tab/>
      </w:r>
      <w:r>
        <w:t>Дальнейшее выполнение мандата, закрепленного в Факультативном протоколе, является приоритетной задачей Подкомитета, и он будет и впредь для ее выполнения взаимодействовать с государствами-участниками, национальными превентивными механизмами и другими соответствующими заинтересованными сторонами, включая организации гражданского общества. Это взаимодействие будет осуществляться, в</w:t>
      </w:r>
      <w:r w:rsidR="00B53245">
        <w:rPr>
          <w:lang w:val="fr-CH"/>
        </w:rPr>
        <w:t> </w:t>
      </w:r>
      <w:r>
        <w:t>частности, посредством укрепления сотрудничества, поддержания постоянного диалога и активного участия в конференциях, семинарах и учебных мероприятиях. В</w:t>
      </w:r>
      <w:r w:rsidR="007C7F5F">
        <w:rPr>
          <w:lang w:val="en-US"/>
        </w:rPr>
        <w:t> </w:t>
      </w:r>
      <w:r>
        <w:t>будущем Подкомитет намерен развивать инклюзивные и конструктивные партнерские отношения, способствующие укреплению взаимопонимания, потенциала и эффективности в деле предупреждения пыток и неправомерного обращения. Приглашения на официальные мероприятия следует направлять через секретариат Подкомитета.</w:t>
      </w:r>
    </w:p>
    <w:p w14:paraId="19252B5F" w14:textId="56636B2A" w:rsidR="004854D8" w:rsidRPr="00B634AB" w:rsidRDefault="004854D8" w:rsidP="004854D8">
      <w:pPr>
        <w:pStyle w:val="HChG"/>
      </w:pPr>
      <w:r w:rsidRPr="00B17197">
        <w:rPr>
          <w:bCs/>
        </w:rPr>
        <w:tab/>
      </w:r>
      <w:r>
        <w:rPr>
          <w:bCs/>
        </w:rPr>
        <w:t>VII.</w:t>
      </w:r>
      <w:r>
        <w:tab/>
        <w:t>Задачи на будущее</w:t>
      </w:r>
      <w:bookmarkStart w:id="167" w:name="_Toc185542961"/>
      <w:bookmarkStart w:id="168" w:name="_Toc192081323"/>
      <w:bookmarkStart w:id="169" w:name="_Toc224043376"/>
      <w:bookmarkStart w:id="170" w:name="_Hlk184651610"/>
      <w:bookmarkEnd w:id="167"/>
      <w:bookmarkEnd w:id="168"/>
      <w:bookmarkEnd w:id="169"/>
      <w:bookmarkEnd w:id="170"/>
    </w:p>
    <w:p w14:paraId="41FD8DA4" w14:textId="59AE8FCC" w:rsidR="004854D8" w:rsidRPr="00247FA7" w:rsidRDefault="004854D8" w:rsidP="007C7F5F">
      <w:pPr>
        <w:pStyle w:val="SingleTxtG"/>
      </w:pPr>
      <w:r w:rsidRPr="00247FA7">
        <w:t>83.</w:t>
      </w:r>
      <w:r w:rsidRPr="00247FA7">
        <w:tab/>
      </w:r>
      <w:r>
        <w:t>2025 год стал одним из самых сложных в истории Подкомитета, уступая лишь периоду работы в условиях пандемии коронавирусной инфекции (COVID-19). Кризис ликвидности, с которым сталкивается Организация Объединенных Наций, в</w:t>
      </w:r>
      <w:r w:rsidR="007C7F5F">
        <w:rPr>
          <w:lang w:val="en-US"/>
        </w:rPr>
        <w:t> </w:t>
      </w:r>
      <w:r>
        <w:t xml:space="preserve">последние годы затронул все договорные органы, однако он оказал особенно пагубное воздействие на Подкомитет и его способность выполнять свой мандат в соответствии с Факультативным протоколом, учитывая, что его основной задачей является проведение превентивных посещений. Как упоминалось выше, в связи с продолжающимся кризисом Подкомитет смог осуществить лишь половину посещений, запланированных на 2025 год (число которых уже было меньше, чем в </w:t>
      </w:r>
      <w:r>
        <w:lastRenderedPageBreak/>
        <w:t>предыдущем году), несмотря на то, что члены Подкомитета и сотрудники секретариата отказались от некоторых привилегий для содействия проведению посещений. Трудности, с которыми сталкивается Подкомитет, следует рассматривать в контексте более широкого общемирового ослабления приверженности правам человека и многостороннему сотрудничеству, которое сказывается на способности государств выполнять свои правозащитные обязательства в соответствии с международным правом и делает мандат Подкомитета в части предупреждения пыток еще более важным.</w:t>
      </w:r>
    </w:p>
    <w:p w14:paraId="372F93E9" w14:textId="28FE24BD" w:rsidR="004854D8" w:rsidRPr="00247FA7" w:rsidRDefault="004854D8" w:rsidP="007C7F5F">
      <w:pPr>
        <w:pStyle w:val="SingleTxtG"/>
      </w:pPr>
      <w:r w:rsidRPr="00247FA7">
        <w:t>84.</w:t>
      </w:r>
      <w:r w:rsidRPr="00247FA7">
        <w:tab/>
      </w:r>
      <w:r>
        <w:t>Проведение превентивных посещений является основой работы Подкомитета. В его рамках требуется осуществление работы на местах, посещение мест лишения свободы и взаимодействие с государствами-участниками, национальными превентивными механизмами и другими заинтересованными сторонами. Этот мандат существует в силу признания государствами того, что предупреждение пыток требует особого подхода и что регулярные посещения содействуют усилиям по предупреждению пыток. Именно на этой основе данная превентивная система развивается на протяжении двух десятилетий — благодаря независимому мониторингу, сотрудничеству, диалогу и прозрачности, причем посещения государств</w:t>
      </w:r>
      <w:r>
        <w:noBreakHyphen/>
        <w:t>участников, как того требует Факультативный протокол, являются ее ключевым компонентом. Если Подкомитет не проводит запланированное посещение, это влечет за собой прямые последствия для лишенных свободы лиц, чьи голоса остаются неуслышанными и мониторинг чьих условий содержания под стражей не осуществляется международным органом, созданным международным сообществом специально для целей мониторинга.</w:t>
      </w:r>
    </w:p>
    <w:p w14:paraId="374A287D" w14:textId="68464D41" w:rsidR="004854D8" w:rsidRPr="00247FA7" w:rsidRDefault="004854D8" w:rsidP="007C7F5F">
      <w:pPr>
        <w:pStyle w:val="SingleTxtG"/>
      </w:pPr>
      <w:r w:rsidRPr="00247FA7">
        <w:t>85.</w:t>
      </w:r>
      <w:r w:rsidRPr="00247FA7">
        <w:tab/>
      </w:r>
      <w:r>
        <w:t>Для предоставления Подкомитету возможности эффективно выполнять свой конкретный и уникальный мандат необходимо не только признание и понимание его мандата в соответствии с Факультативным протоколом — и существенных отличий, которые его характеризуют, — но и выделение достаточных ресурсов для осуществления той особой работы, которой он занимается. Работа, которую необходимо выполнять, остается прежней; нельзя игнорировать тяжелое положение лишенных свободы лиц и поступаться ценностями, которые Подкомитет стремится отстаивать при осуществлении деятельности по предупреждению пыток и</w:t>
      </w:r>
      <w:r w:rsidR="007C7F5F">
        <w:rPr>
          <w:lang w:val="en-US"/>
        </w:rPr>
        <w:t> </w:t>
      </w:r>
      <w:r>
        <w:t>неправомерного обращения.</w:t>
      </w:r>
    </w:p>
    <w:p w14:paraId="33000AE5" w14:textId="7A6FD6B0" w:rsidR="004854D8" w:rsidRPr="007C7F5F" w:rsidRDefault="004854D8" w:rsidP="007C7F5F">
      <w:pPr>
        <w:pStyle w:val="SingleTxtG"/>
      </w:pPr>
      <w:r w:rsidRPr="00247FA7">
        <w:t>86.</w:t>
      </w:r>
      <w:r w:rsidRPr="00247FA7">
        <w:tab/>
      </w:r>
      <w:r>
        <w:t>Хотя Подкомитет продолжит изучать пути смягчения дефицита ресурсов, используя инновационные подходы там, где это возможно, специфика его работы допускает применение творческих решений лишь в ограниченных пределах. Творческий подход и гибкость не могут заменить финансовую и политическую приверженность государств. В связи с этим Подкомитет призывает государства подтвердить и укрепить свою приверженность правозащитной деятельности и</w:t>
      </w:r>
      <w:r w:rsidR="007C7F5F">
        <w:rPr>
          <w:lang w:val="en-US"/>
        </w:rPr>
        <w:t> </w:t>
      </w:r>
      <w:r>
        <w:t>системе, созданной Факультативным протоколом, в целях предупреждения пыток в</w:t>
      </w:r>
      <w:r w:rsidR="007C7F5F">
        <w:rPr>
          <w:lang w:val="en-US"/>
        </w:rPr>
        <w:t> </w:t>
      </w:r>
      <w:r>
        <w:t>этот период глубоких преобразований в многостороннем порядке.</w:t>
      </w:r>
    </w:p>
    <w:p w14:paraId="23AEB19C" w14:textId="2A1D22E7" w:rsidR="004854D8" w:rsidRPr="00247FA7" w:rsidRDefault="004854D8" w:rsidP="007C7F5F">
      <w:pPr>
        <w:pStyle w:val="SingleTxtG"/>
      </w:pPr>
      <w:r w:rsidRPr="00247FA7">
        <w:t>87.</w:t>
      </w:r>
      <w:r w:rsidRPr="00247FA7">
        <w:tab/>
      </w:r>
      <w:r>
        <w:t>В контексте неизменной актуальности Факультативного протокола Подкомитет с удовлетворением приветствует Бангладеш и Колумбию в качестве государств-участников Факультативного протокола. Подкомитет рассчитывает на взаимодействие с новыми государствами-участниками, проведение консультаций по вопросам создания их национальных превентивных механизмов и продвижение работы по предупреждению пыток в целом. Подкомитет приветствует также присоединение недавно назначенных национальных превентивных механизмов Австралии, Бенина, Мадагаскара, Нигерии и Южной Африки к семейству механизмов, действующих в рамках Факультативного протокола, и надеется наладить с ними конструктивные рабочие отношения в целях обеспечения их соответствия потребностям и</w:t>
      </w:r>
      <w:r w:rsidR="007C7F5F">
        <w:rPr>
          <w:lang w:val="en-US"/>
        </w:rPr>
        <w:t> </w:t>
      </w:r>
      <w:r>
        <w:t>эффективности их функционирования.</w:t>
      </w:r>
    </w:p>
    <w:p w14:paraId="7FE06CE8" w14:textId="138B6B2E" w:rsidR="004854D8" w:rsidRPr="00247FA7" w:rsidRDefault="004854D8" w:rsidP="007C7F5F">
      <w:pPr>
        <w:pStyle w:val="SingleTxtG"/>
      </w:pPr>
      <w:r w:rsidRPr="00247FA7">
        <w:t>88.</w:t>
      </w:r>
      <w:r w:rsidRPr="00247FA7">
        <w:tab/>
      </w:r>
      <w:r>
        <w:t xml:space="preserve">В дальнейшем Подкомитет намерен продолжать тесное сотрудничество с национальными превентивными механизмами для обеспечения жизнестойкости превентивной системы перед лицом тяжелых последствий, вызванных сложившейся ситуацией. Деятельность национальных превентивных механизмов составляет основу системы, созданной Факультативным протоколом, и ее архитектуры предупреждения пыток, и Подкомитет считает эти механизмы своими неотъемлемыми партнерами. </w:t>
      </w:r>
      <w:r>
        <w:lastRenderedPageBreak/>
        <w:t xml:space="preserve">Подкомитет признает, что взаимодействие с национальными превентивными механизмами в дистанционном формате, хотя и является необходимым, сопряжено с определенными трудностями ввиду разнообразия мандатов, возможностей и ресурсов национальных превентивных механизмов во всем мире. В этой связи Подкомитет призывает национальные превентивные механизмы активно взаимодействовать с Подкомитетом, друг с другом и с другими соответствующими партнерами, а также, по возможности, обмениваться информацией, инструментами и ресурсами в рамках Факультативного протокола с целью свести к минимуму последствия нынешнего кризиса для деятельности по предупреждению пыток. </w:t>
      </w:r>
    </w:p>
    <w:p w14:paraId="5FBF0C2C" w14:textId="5A784792" w:rsidR="004854D8" w:rsidRPr="00247FA7" w:rsidRDefault="004854D8" w:rsidP="007C7F5F">
      <w:pPr>
        <w:pStyle w:val="SingleTxtG"/>
      </w:pPr>
      <w:r w:rsidRPr="00247FA7">
        <w:t>89.</w:t>
      </w:r>
      <w:r w:rsidRPr="00247FA7">
        <w:tab/>
      </w:r>
      <w:r>
        <w:t>Подкомитет будет и впредь активно участвовать в процессе укрепления договорных органов и сохранять приверженность этому процессу, а также продолжит акцентировать внимание на особой модели своей деятельности в рамках мандата, включая вытекающие из нее потребности в человеческих и финансовых ресурсах. Это</w:t>
      </w:r>
      <w:r w:rsidR="007C7F5F">
        <w:rPr>
          <w:lang w:val="en-US"/>
        </w:rPr>
        <w:t> </w:t>
      </w:r>
      <w:r>
        <w:t>участие приобретает все большее значение для Подкомитета, учитывая серьезные операционные трудности, с которыми он сталкивается, как в связи с тяжелой кадровой ситуацией, так и, как объяснялось выше, в контексте выполнения своего основного мандата, заключающегося в проведении превентивных посещений.</w:t>
      </w:r>
    </w:p>
    <w:p w14:paraId="3F42D29F" w14:textId="69597BFD" w:rsidR="004854D8" w:rsidRPr="00247FA7" w:rsidRDefault="004854D8" w:rsidP="007C7F5F">
      <w:pPr>
        <w:pStyle w:val="SingleTxtG"/>
      </w:pPr>
      <w:r w:rsidRPr="00247FA7">
        <w:t>90.</w:t>
      </w:r>
      <w:r w:rsidRPr="00247FA7">
        <w:tab/>
      </w:r>
      <w:r>
        <w:t>Подкомитет осознает также, что в 2026 году в соответствии со статьями 5–9 Факультативного протокола состоятся выборы членов Подкомитета, которые потенциально могут привести к изменению половины состава. Подкомитет считает, что эти изменения, заложенные в его концепцию, необходимы для обеспечения баланса между преемственностью и новыми идеями и подходами в работе по предупреждению пыток. В связи с этим Подкомитет призывает государства-участники выдвигать опытных кандидатов из различных смежных профессиональных сфер, обладающих разным опытом, а также представляющих разные национальные и этнические группы и гендеры, с тем чтобы Подкомитет мог выполнять стоящие перед ним задачи и решать вопросы комплексно и эффективно.</w:t>
      </w:r>
    </w:p>
    <w:p w14:paraId="0196E10D" w14:textId="2EDE9F11" w:rsidR="004854D8" w:rsidRPr="00247FA7" w:rsidRDefault="004854D8" w:rsidP="007C7F5F">
      <w:pPr>
        <w:pStyle w:val="SingleTxtG"/>
      </w:pPr>
      <w:r w:rsidRPr="00247FA7">
        <w:t>91.</w:t>
      </w:r>
      <w:r w:rsidRPr="00247FA7">
        <w:tab/>
      </w:r>
      <w:r>
        <w:t>Подкомитет будет стремиться вести еще более стратегическое сотрудничество с государствами-участниками, национальными превентивными механизмами, организациями гражданского общества и другими субъектами в целях содействия осуществлению Факультативного протокола. В этой связи Подкомитет приветствует инициативы различных заинтересованных сторон по разным аспектам, связанным с</w:t>
      </w:r>
      <w:r w:rsidR="00B53245">
        <w:rPr>
          <w:lang w:val="fr-CH"/>
        </w:rPr>
        <w:t> </w:t>
      </w:r>
      <w:r>
        <w:t>Факультативным протоколом и предупреждением пыток, включая, помимо прочего, инициативы по созданию и укреплению национальных превентивных механизмов, а</w:t>
      </w:r>
      <w:r w:rsidR="00B53245">
        <w:rPr>
          <w:lang w:val="fr-CH"/>
        </w:rPr>
        <w:t> </w:t>
      </w:r>
      <w:r>
        <w:t>также инициативы, затрагивающие другие существенные вопросы, касающиеся эффективного осуществления Факультативного протокола в различных условиях.</w:t>
      </w:r>
    </w:p>
    <w:p w14:paraId="1444678C" w14:textId="415F72BC" w:rsidR="004854D8" w:rsidRPr="00247FA7" w:rsidRDefault="004854D8" w:rsidP="007C7F5F">
      <w:pPr>
        <w:pStyle w:val="SingleTxtG"/>
      </w:pPr>
      <w:r w:rsidRPr="00247FA7">
        <w:t>92.</w:t>
      </w:r>
      <w:r w:rsidRPr="00247FA7">
        <w:tab/>
      </w:r>
      <w:r>
        <w:t>Подкомитет продолжит также обсуждение путей смягчения воздействия кризиса ликвидности на выполнение мандата в соответствии с Факультативным протоколом и возможных способов обеспечения максимальной эффективности и результативности работы Подкомитета в эти сложные времена. Подкомитет остается приверженным адаптации своей деятельности в целях выполнения мандата, которым он наделен в соответствии с Факультативным протоколом, и ориентированным эту адаптацию.</w:t>
      </w:r>
    </w:p>
    <w:p w14:paraId="1F4525B4" w14:textId="7F370FCE" w:rsidR="004854D8" w:rsidRPr="004854D8" w:rsidRDefault="004854D8" w:rsidP="007C7F5F">
      <w:pPr>
        <w:pStyle w:val="SingleTxtG"/>
      </w:pPr>
      <w:r w:rsidRPr="00247FA7">
        <w:t>93.</w:t>
      </w:r>
      <w:r w:rsidRPr="00247FA7">
        <w:tab/>
      </w:r>
      <w:r>
        <w:t>В 2026 и 2027 годах будут отмечаться важные юбилеи, связанные с</w:t>
      </w:r>
      <w:r w:rsidR="00B53245">
        <w:rPr>
          <w:lang w:val="fr-CH"/>
        </w:rPr>
        <w:t> </w:t>
      </w:r>
      <w:r>
        <w:t>Факультативным протоколом, — двадцатилетие вступления Факультативного протокола в силу и двадцатилетие создания Подкомитета соответственно. Эти</w:t>
      </w:r>
      <w:r w:rsidR="007C7F5F">
        <w:rPr>
          <w:lang w:val="en-US"/>
        </w:rPr>
        <w:t> </w:t>
      </w:r>
      <w:r>
        <w:t>знаменательные даты предоставляют своевременную возможность подвести итоги достижений на сегодняшний день, укрепить вновь заявленную приверженность и вовлеченность государств-участников, национальных превентивных механизмов и других заинтересованных сторон в контексте содействия предупреждению пыток, а</w:t>
      </w:r>
      <w:r>
        <w:rPr>
          <w:lang w:val="fr-CH"/>
        </w:rPr>
        <w:t> </w:t>
      </w:r>
      <w:r>
        <w:t>также определить дальнейший вектор развития превентивной системы</w:t>
      </w:r>
      <w:bookmarkEnd w:id="15"/>
      <w:bookmarkEnd w:id="153"/>
    </w:p>
    <w:p w14:paraId="3AC42014" w14:textId="77777777" w:rsidR="004854D8" w:rsidRPr="00247FA7" w:rsidRDefault="004854D8" w:rsidP="004854D8">
      <w:pPr>
        <w:jc w:val="center"/>
        <w:rPr>
          <w:u w:val="single"/>
        </w:rPr>
      </w:pPr>
      <w:r w:rsidRPr="00247FA7">
        <w:rPr>
          <w:u w:val="single"/>
        </w:rPr>
        <w:tab/>
      </w:r>
      <w:r w:rsidRPr="00247FA7">
        <w:rPr>
          <w:u w:val="single"/>
        </w:rPr>
        <w:tab/>
      </w:r>
      <w:r w:rsidRPr="00247FA7">
        <w:rPr>
          <w:u w:val="single"/>
        </w:rPr>
        <w:tab/>
      </w:r>
    </w:p>
    <w:sectPr w:rsidR="004854D8" w:rsidRPr="00247FA7" w:rsidSect="004854D8">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C539F" w14:textId="77777777" w:rsidR="000B32B4" w:rsidRPr="00A312BC" w:rsidRDefault="000B32B4" w:rsidP="00A312BC"/>
  </w:endnote>
  <w:endnote w:type="continuationSeparator" w:id="0">
    <w:p w14:paraId="6F7245FF" w14:textId="77777777" w:rsidR="000B32B4" w:rsidRPr="00A312BC" w:rsidRDefault="000B32B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panose1 w:val="00000000000000000000"/>
    <w:charset w:val="CC"/>
    <w:family w:val="auto"/>
    <w:pitch w:val="variable"/>
    <w:sig w:usb0="E00002EF"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3B12E" w14:textId="3590E7EE" w:rsidR="004854D8" w:rsidRPr="004854D8" w:rsidRDefault="004854D8">
    <w:pPr>
      <w:pStyle w:val="a8"/>
    </w:pPr>
    <w:r w:rsidRPr="004854D8">
      <w:rPr>
        <w:b/>
        <w:sz w:val="18"/>
      </w:rPr>
      <w:fldChar w:fldCharType="begin"/>
    </w:r>
    <w:r w:rsidRPr="004854D8">
      <w:rPr>
        <w:b/>
        <w:sz w:val="18"/>
      </w:rPr>
      <w:instrText xml:space="preserve"> PAGE  \* MERGEFORMAT </w:instrText>
    </w:r>
    <w:r w:rsidRPr="004854D8">
      <w:rPr>
        <w:b/>
        <w:sz w:val="18"/>
      </w:rPr>
      <w:fldChar w:fldCharType="separate"/>
    </w:r>
    <w:r w:rsidRPr="004854D8">
      <w:rPr>
        <w:b/>
        <w:noProof/>
        <w:sz w:val="18"/>
      </w:rPr>
      <w:t>2</w:t>
    </w:r>
    <w:r w:rsidRPr="004854D8">
      <w:rPr>
        <w:b/>
        <w:sz w:val="18"/>
      </w:rPr>
      <w:fldChar w:fldCharType="end"/>
    </w:r>
    <w:r>
      <w:rPr>
        <w:b/>
        <w:sz w:val="18"/>
      </w:rPr>
      <w:tab/>
    </w:r>
    <w:r>
      <w:t>GE.26-02735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106DD" w14:textId="3814B08F" w:rsidR="004854D8" w:rsidRPr="004854D8" w:rsidRDefault="004854D8" w:rsidP="004854D8">
    <w:pPr>
      <w:pStyle w:val="a8"/>
      <w:tabs>
        <w:tab w:val="clear" w:pos="9639"/>
        <w:tab w:val="right" w:pos="9638"/>
      </w:tabs>
      <w:rPr>
        <w:b/>
        <w:sz w:val="18"/>
      </w:rPr>
    </w:pPr>
    <w:r>
      <w:t>GE.26-02735</w:t>
    </w:r>
    <w:r>
      <w:tab/>
    </w:r>
    <w:r w:rsidRPr="004854D8">
      <w:rPr>
        <w:b/>
        <w:sz w:val="18"/>
      </w:rPr>
      <w:fldChar w:fldCharType="begin"/>
    </w:r>
    <w:r w:rsidRPr="004854D8">
      <w:rPr>
        <w:b/>
        <w:sz w:val="18"/>
      </w:rPr>
      <w:instrText xml:space="preserve"> PAGE  \* MERGEFORMAT </w:instrText>
    </w:r>
    <w:r w:rsidRPr="004854D8">
      <w:rPr>
        <w:b/>
        <w:sz w:val="18"/>
      </w:rPr>
      <w:fldChar w:fldCharType="separate"/>
    </w:r>
    <w:r w:rsidRPr="004854D8">
      <w:rPr>
        <w:b/>
        <w:noProof/>
        <w:sz w:val="18"/>
      </w:rPr>
      <w:t>3</w:t>
    </w:r>
    <w:r w:rsidRPr="004854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4DB94" w14:textId="5FB162E2" w:rsidR="00042B72" w:rsidRPr="004854D8" w:rsidRDefault="004854D8" w:rsidP="004854D8">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B7EB2BB" wp14:editId="2836D3F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26-02735  (R)</w:t>
    </w:r>
    <w:r>
      <w:rPr>
        <w:noProof/>
      </w:rPr>
      <w:drawing>
        <wp:anchor distT="0" distB="0" distL="114300" distR="114300" simplePos="0" relativeHeight="251659264" behindDoc="0" locked="0" layoutInCell="1" allowOverlap="1" wp14:anchorId="7B9616BF" wp14:editId="1A205BCB">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190326  2</w:t>
    </w:r>
    <w:r w:rsidR="00B17197">
      <w:rPr>
        <w:lang w:val="fr-CH"/>
      </w:rPr>
      <w:t>4</w:t>
    </w:r>
    <w:r>
      <w:rPr>
        <w:lang w:val="fr-CH"/>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519C6" w14:textId="77777777" w:rsidR="000B32B4" w:rsidRPr="001075E9" w:rsidRDefault="000B32B4" w:rsidP="001075E9">
      <w:pPr>
        <w:tabs>
          <w:tab w:val="right" w:pos="2155"/>
        </w:tabs>
        <w:spacing w:after="80" w:line="240" w:lineRule="auto"/>
        <w:ind w:left="680"/>
        <w:rPr>
          <w:u w:val="single"/>
        </w:rPr>
      </w:pPr>
      <w:r>
        <w:rPr>
          <w:u w:val="single"/>
        </w:rPr>
        <w:tab/>
      </w:r>
    </w:p>
  </w:footnote>
  <w:footnote w:type="continuationSeparator" w:id="0">
    <w:p w14:paraId="66D62E56" w14:textId="77777777" w:rsidR="000B32B4" w:rsidRDefault="000B32B4" w:rsidP="00407B78">
      <w:pPr>
        <w:tabs>
          <w:tab w:val="right" w:pos="2155"/>
        </w:tabs>
        <w:spacing w:after="80"/>
        <w:ind w:left="680"/>
        <w:rPr>
          <w:u w:val="single"/>
        </w:rPr>
      </w:pPr>
      <w:r>
        <w:rPr>
          <w:u w:val="single"/>
        </w:rPr>
        <w:tab/>
      </w:r>
    </w:p>
  </w:footnote>
  <w:footnote w:id="1">
    <w:p w14:paraId="110F6B82" w14:textId="37780815" w:rsidR="004854D8" w:rsidRPr="00247FA7" w:rsidRDefault="004854D8" w:rsidP="004854D8">
      <w:pPr>
        <w:pStyle w:val="ad"/>
        <w:spacing w:after="240"/>
      </w:pPr>
      <w:r>
        <w:tab/>
        <w:t>*</w:t>
      </w:r>
      <w:r>
        <w:tab/>
        <w:t>На основании достигнутой договоренности настоящий документ издается позднее предусмотренного срока его публикации в связи с обстоятельствами, не зависящими от</w:t>
      </w:r>
      <w:r>
        <w:rPr>
          <w:lang w:val="fr-CH"/>
        </w:rPr>
        <w:t> </w:t>
      </w:r>
      <w:r>
        <w:t>представляющей доклад стороны.</w:t>
      </w:r>
    </w:p>
  </w:footnote>
  <w:footnote w:id="2">
    <w:p w14:paraId="179C19EB" w14:textId="08119146" w:rsidR="004854D8" w:rsidRPr="00CD5478" w:rsidRDefault="004854D8" w:rsidP="004854D8">
      <w:pPr>
        <w:pStyle w:val="ad"/>
        <w:rPr>
          <w:lang w:val="en-US"/>
        </w:rPr>
      </w:pPr>
      <w:r w:rsidRPr="00247387">
        <w:tab/>
      </w:r>
      <w:r w:rsidRPr="001D1211">
        <w:rPr>
          <w:rStyle w:val="aa"/>
        </w:rPr>
        <w:footnoteRef/>
      </w:r>
      <w:r>
        <w:tab/>
        <w:t>По состоянию на 31 декабря 2025 года в число 11 подписавших Протокол государств входили Ангола, Бельгия, Венесуэла (Боливарианская Республика), Гвинея, Гвинея-Бисау, Замбия, Ирландия, Камерун, Сьерра-Леоне, Тимор-Лешти и Чад.</w:t>
      </w:r>
      <w:r w:rsidR="00CD5478" w:rsidRPr="00CD5478">
        <w:br/>
      </w:r>
      <w:r w:rsidR="00CD5478">
        <w:t xml:space="preserve">См. </w:t>
      </w:r>
      <w:r w:rsidR="00CD5478" w:rsidRPr="00CD5478">
        <w:rPr>
          <w:lang w:val="en-US"/>
        </w:rPr>
        <w:t>URL:</w:t>
      </w:r>
      <w:r w:rsidRPr="00CD5478">
        <w:rPr>
          <w:lang w:val="en-US"/>
        </w:rPr>
        <w:t xml:space="preserve"> </w:t>
      </w:r>
      <w:r>
        <w:fldChar w:fldCharType="begin"/>
      </w:r>
      <w:r w:rsidRPr="00B17197">
        <w:rPr>
          <w:lang w:val="en-US"/>
        </w:rPr>
        <w:instrText>HYPERLINK "https://treaties.un.org/Pages/ViewDetails.aspx?src=TREATY&amp;mtdsg_no=IV-9-b&amp;chapter=4&amp;clang=_en"</w:instrText>
      </w:r>
      <w:r>
        <w:fldChar w:fldCharType="separate"/>
      </w:r>
      <w:r w:rsidRPr="00CD5478">
        <w:rPr>
          <w:rStyle w:val="af1"/>
          <w:lang w:val="en-US"/>
        </w:rPr>
        <w:t>https://treaties.un.org/Pages/ViewDetails.aspx?src=TREATY&amp;mtdsg_no=IV-9-b&amp;chapter=4&amp;clang=_en</w:t>
      </w:r>
      <w:r>
        <w:fldChar w:fldCharType="end"/>
      </w:r>
      <w:r w:rsidRPr="00CD5478">
        <w:rPr>
          <w:lang w:val="en-US"/>
        </w:rPr>
        <w:t>.</w:t>
      </w:r>
      <w:hyperlink r:id="rId1" w:history="1"/>
    </w:p>
  </w:footnote>
  <w:footnote w:id="3">
    <w:p w14:paraId="5A9B0EFB" w14:textId="5462AE27" w:rsidR="004854D8" w:rsidRPr="00B17197" w:rsidRDefault="004854D8" w:rsidP="004854D8">
      <w:pPr>
        <w:pStyle w:val="ad"/>
        <w:rPr>
          <w:lang w:val="en-US"/>
        </w:rPr>
      </w:pPr>
      <w:r w:rsidRPr="00CD5478">
        <w:rPr>
          <w:lang w:val="en-US"/>
        </w:rPr>
        <w:tab/>
      </w:r>
      <w:r w:rsidRPr="001D1211">
        <w:rPr>
          <w:rStyle w:val="aa"/>
        </w:rPr>
        <w:footnoteRef/>
      </w:r>
      <w:r w:rsidRPr="00B17197">
        <w:rPr>
          <w:lang w:val="en-US"/>
        </w:rPr>
        <w:tab/>
      </w:r>
      <w:r w:rsidR="00CD5478">
        <w:t>См</w:t>
      </w:r>
      <w:r w:rsidR="00CD5478" w:rsidRPr="00B17197">
        <w:rPr>
          <w:lang w:val="en-US"/>
        </w:rPr>
        <w:t>. URL:</w:t>
      </w:r>
      <w:r w:rsidRPr="00B17197">
        <w:rPr>
          <w:lang w:val="en-US"/>
        </w:rPr>
        <w:t xml:space="preserve"> </w:t>
      </w:r>
      <w:hyperlink r:id="rId2" w:history="1">
        <w:r w:rsidRPr="00B17197">
          <w:rPr>
            <w:rStyle w:val="af1"/>
            <w:lang w:val="en-US"/>
          </w:rPr>
          <w:t>https://webtv.un.org/en/asset/k1j/k1jp9dkh5b</w:t>
        </w:r>
      </w:hyperlink>
      <w:r w:rsidRPr="00B17197">
        <w:rPr>
          <w:lang w:val="en-US"/>
        </w:rPr>
        <w:t>.</w:t>
      </w:r>
      <w:hyperlink r:id="rId3" w:history="1"/>
    </w:p>
  </w:footnote>
  <w:footnote w:id="4">
    <w:p w14:paraId="099A9F62" w14:textId="75C90856" w:rsidR="004854D8" w:rsidRPr="00247FA7" w:rsidRDefault="004854D8" w:rsidP="004854D8">
      <w:pPr>
        <w:pStyle w:val="ad"/>
      </w:pPr>
      <w:r w:rsidRPr="00B17197">
        <w:rPr>
          <w:lang w:val="en-US"/>
        </w:rPr>
        <w:tab/>
      </w:r>
      <w:r w:rsidRPr="001D1211">
        <w:rPr>
          <w:rStyle w:val="aa"/>
        </w:rPr>
        <w:footnoteRef/>
      </w:r>
      <w:r>
        <w:tab/>
        <w:t>Консорциум «Объединенные против пыток» объединяет международных членов Всемирной организации против пыток, Международного совета по реабилитации жертв пыток и</w:t>
      </w:r>
      <w:r w:rsidR="002061AB">
        <w:rPr>
          <w:lang w:val="en-US"/>
        </w:rPr>
        <w:t> </w:t>
      </w:r>
      <w:r>
        <w:t>Международной федерации «Действия христиан за отмену пыток» (АКАТ) с Ассоциацией за</w:t>
      </w:r>
      <w:r w:rsidR="002061AB">
        <w:rPr>
          <w:lang w:val="en-US"/>
        </w:rPr>
        <w:t> </w:t>
      </w:r>
      <w:r>
        <w:t>предотвращение пыток, исследовательским фондом «Омега, лимитед» и организацией «Редрес траст».</w:t>
      </w:r>
    </w:p>
  </w:footnote>
  <w:footnote w:id="5">
    <w:p w14:paraId="0BE1312C" w14:textId="00631131" w:rsidR="004854D8" w:rsidRPr="00CD5478" w:rsidRDefault="004854D8" w:rsidP="004854D8">
      <w:pPr>
        <w:pStyle w:val="ad"/>
        <w:rPr>
          <w:lang w:val="en-US"/>
        </w:rPr>
      </w:pPr>
      <w:r>
        <w:tab/>
      </w:r>
      <w:r w:rsidRPr="001D1211">
        <w:rPr>
          <w:rStyle w:val="aa"/>
        </w:rPr>
        <w:footnoteRef/>
      </w:r>
      <w:r w:rsidRPr="00CD5478">
        <w:rPr>
          <w:lang w:val="en-US"/>
        </w:rPr>
        <w:tab/>
      </w:r>
      <w:r w:rsidR="00CD5478">
        <w:t>См</w:t>
      </w:r>
      <w:r w:rsidR="00CD5478" w:rsidRPr="00CD5478">
        <w:rPr>
          <w:lang w:val="en-US"/>
        </w:rPr>
        <w:t>. URL:</w:t>
      </w:r>
      <w:r w:rsidRPr="00CD5478">
        <w:rPr>
          <w:lang w:val="en-US"/>
        </w:rPr>
        <w:t xml:space="preserve"> </w:t>
      </w:r>
      <w:r>
        <w:fldChar w:fldCharType="begin"/>
      </w:r>
      <w:r w:rsidRPr="00B17197">
        <w:rPr>
          <w:lang w:val="en-US"/>
        </w:rPr>
        <w:instrText>HYPERLINK "https://www.ohchr.org/en/treaty-bodies/spt/membership"</w:instrText>
      </w:r>
      <w:r>
        <w:fldChar w:fldCharType="separate"/>
      </w:r>
      <w:r w:rsidRPr="00CD5478">
        <w:rPr>
          <w:rStyle w:val="af1"/>
          <w:lang w:val="en-US"/>
        </w:rPr>
        <w:t>https://www.ohchr.org/en/treaty-bodies/spt/membership</w:t>
      </w:r>
      <w:r>
        <w:fldChar w:fldCharType="end"/>
      </w:r>
      <w:r w:rsidRPr="00CD5478">
        <w:rPr>
          <w:lang w:val="en-US"/>
        </w:rPr>
        <w:t>.</w:t>
      </w:r>
    </w:p>
  </w:footnote>
  <w:footnote w:id="6">
    <w:p w14:paraId="59280BCC" w14:textId="6BC592D0" w:rsidR="004854D8" w:rsidRPr="00CD5478" w:rsidRDefault="004854D8" w:rsidP="004854D8">
      <w:pPr>
        <w:pStyle w:val="ad"/>
        <w:rPr>
          <w:lang w:val="en-US"/>
        </w:rPr>
      </w:pPr>
      <w:r w:rsidRPr="00CD5478">
        <w:rPr>
          <w:rFonts w:cstheme="majorBidi"/>
          <w:szCs w:val="18"/>
          <w:lang w:val="en-US"/>
        </w:rPr>
        <w:tab/>
      </w:r>
      <w:r w:rsidRPr="001D1211">
        <w:rPr>
          <w:rStyle w:val="aa"/>
        </w:rPr>
        <w:footnoteRef/>
      </w:r>
      <w:r w:rsidRPr="00CD5478">
        <w:rPr>
          <w:lang w:val="en-US"/>
        </w:rPr>
        <w:tab/>
      </w:r>
      <w:r w:rsidR="00CD5478">
        <w:t>См</w:t>
      </w:r>
      <w:r w:rsidR="00CD5478" w:rsidRPr="00CD5478">
        <w:rPr>
          <w:lang w:val="en-US"/>
        </w:rPr>
        <w:t>. URL:</w:t>
      </w:r>
      <w:r w:rsidRPr="00CD5478">
        <w:rPr>
          <w:lang w:val="en-US"/>
        </w:rPr>
        <w:t xml:space="preserve"> </w:t>
      </w:r>
      <w:r>
        <w:fldChar w:fldCharType="begin"/>
      </w:r>
      <w:r w:rsidRPr="00B17197">
        <w:rPr>
          <w:lang w:val="en-US"/>
        </w:rPr>
        <w:instrText>HYPERLINK "https://www.ohchr.org/en/treaty-bodies/spt/regional-teams"</w:instrText>
      </w:r>
      <w:r>
        <w:fldChar w:fldCharType="separate"/>
      </w:r>
      <w:r w:rsidRPr="00CD5478">
        <w:rPr>
          <w:rStyle w:val="af1"/>
          <w:lang w:val="en-US"/>
        </w:rPr>
        <w:t>https://www.ohchr.org/en/treaty-bodies/spt/regional-teams</w:t>
      </w:r>
      <w:r>
        <w:fldChar w:fldCharType="end"/>
      </w:r>
      <w:r w:rsidRPr="00CD5478">
        <w:rPr>
          <w:lang w:val="en-US"/>
        </w:rPr>
        <w:t>.</w:t>
      </w:r>
      <w:hyperlink r:id="rId4" w:history="1"/>
    </w:p>
  </w:footnote>
  <w:footnote w:id="7">
    <w:p w14:paraId="70596E64" w14:textId="3C51CC1F" w:rsidR="004854D8" w:rsidRPr="00CD5478" w:rsidRDefault="004854D8" w:rsidP="004854D8">
      <w:pPr>
        <w:pStyle w:val="ad"/>
        <w:rPr>
          <w:rFonts w:cstheme="majorBidi"/>
          <w:szCs w:val="18"/>
          <w:lang w:val="en-US"/>
        </w:rPr>
      </w:pPr>
      <w:r w:rsidRPr="00CD5478">
        <w:rPr>
          <w:rFonts w:cstheme="majorBidi"/>
          <w:szCs w:val="18"/>
          <w:lang w:val="en-US"/>
        </w:rPr>
        <w:tab/>
      </w:r>
      <w:r w:rsidRPr="001D1211">
        <w:rPr>
          <w:rStyle w:val="aa"/>
        </w:rPr>
        <w:footnoteRef/>
      </w:r>
      <w:r w:rsidRPr="00CD5478">
        <w:rPr>
          <w:lang w:val="en-US"/>
        </w:rPr>
        <w:tab/>
      </w:r>
      <w:r w:rsidR="00CD5478">
        <w:t>См</w:t>
      </w:r>
      <w:r w:rsidR="00CD5478" w:rsidRPr="00CD5478">
        <w:rPr>
          <w:lang w:val="en-US"/>
        </w:rPr>
        <w:t>. URL:</w:t>
      </w:r>
      <w:r w:rsidRPr="00CD5478">
        <w:rPr>
          <w:lang w:val="en-US"/>
        </w:rPr>
        <w:t xml:space="preserve"> </w:t>
      </w:r>
      <w:r>
        <w:fldChar w:fldCharType="begin"/>
      </w:r>
      <w:r w:rsidRPr="00B17197">
        <w:rPr>
          <w:lang w:val="en-US"/>
        </w:rPr>
        <w:instrText>HYPERLINK "https://www.ohchr.org/en/treaty-bodies/spt/visits"</w:instrText>
      </w:r>
      <w:r>
        <w:fldChar w:fldCharType="separate"/>
      </w:r>
      <w:r w:rsidRPr="00CD5478">
        <w:rPr>
          <w:rStyle w:val="af1"/>
          <w:lang w:val="en-US"/>
        </w:rPr>
        <w:t>https://www.ohchr.org/en/treaty-bodies/spt/visits</w:t>
      </w:r>
      <w:r>
        <w:fldChar w:fldCharType="end"/>
      </w:r>
      <w:r w:rsidRPr="00CD5478">
        <w:rPr>
          <w:lang w:val="en-US"/>
        </w:rPr>
        <w:t>.</w:t>
      </w:r>
      <w:hyperlink r:id="rId5" w:history="1"/>
    </w:p>
  </w:footnote>
  <w:footnote w:id="8">
    <w:p w14:paraId="31ECF800" w14:textId="0F5C16A8" w:rsidR="004854D8" w:rsidRPr="00CD5478" w:rsidRDefault="004854D8" w:rsidP="004854D8">
      <w:pPr>
        <w:pStyle w:val="ad"/>
        <w:rPr>
          <w:rFonts w:cstheme="majorBidi"/>
          <w:szCs w:val="18"/>
          <w:lang w:val="en-US"/>
        </w:rPr>
      </w:pPr>
      <w:r w:rsidRPr="00CD5478">
        <w:rPr>
          <w:rFonts w:cstheme="majorBidi"/>
          <w:szCs w:val="18"/>
          <w:lang w:val="en-US"/>
        </w:rPr>
        <w:tab/>
      </w:r>
      <w:r w:rsidRPr="001D1211">
        <w:rPr>
          <w:rStyle w:val="aa"/>
        </w:rPr>
        <w:footnoteRef/>
      </w:r>
      <w:r w:rsidRPr="00CD5478">
        <w:rPr>
          <w:lang w:val="en-US"/>
        </w:rPr>
        <w:tab/>
      </w:r>
      <w:r w:rsidR="00CD5478">
        <w:t>См</w:t>
      </w:r>
      <w:r w:rsidR="00CD5478" w:rsidRPr="00CD5478">
        <w:rPr>
          <w:lang w:val="en-US"/>
        </w:rPr>
        <w:t>. URL:</w:t>
      </w:r>
      <w:r w:rsidRPr="00CD5478">
        <w:rPr>
          <w:lang w:val="en-US"/>
        </w:rPr>
        <w:t xml:space="preserve"> </w:t>
      </w:r>
      <w:r>
        <w:fldChar w:fldCharType="begin"/>
      </w:r>
      <w:r w:rsidRPr="00B17197">
        <w:rPr>
          <w:lang w:val="en-US"/>
        </w:rPr>
        <w:instrText>HYPERLINK "https://www.ohchr.org/en/press-releases/2025/06/peru-un-experts-raise-concern-over-juvenile-detention-adult-prisons"</w:instrText>
      </w:r>
      <w:r>
        <w:fldChar w:fldCharType="separate"/>
      </w:r>
      <w:r w:rsidRPr="00CD5478">
        <w:rPr>
          <w:rStyle w:val="af1"/>
          <w:lang w:val="en-US"/>
        </w:rPr>
        <w:t>https://www.ohchr.org/en/press-releases/2025/06/peru-un-experts-raise-concern-over-juvenile-detention-adult-prisons</w:t>
      </w:r>
      <w:r>
        <w:fldChar w:fldCharType="end"/>
      </w:r>
      <w:r w:rsidRPr="00CD5478">
        <w:rPr>
          <w:lang w:val="en-US"/>
        </w:rPr>
        <w:t>.</w:t>
      </w:r>
      <w:hyperlink r:id="rId6" w:history="1"/>
    </w:p>
  </w:footnote>
  <w:footnote w:id="9">
    <w:p w14:paraId="6AF2F3A3" w14:textId="250B376D" w:rsidR="004854D8" w:rsidRPr="00CD5478" w:rsidRDefault="004854D8" w:rsidP="004854D8">
      <w:pPr>
        <w:pStyle w:val="ad"/>
        <w:rPr>
          <w:rFonts w:eastAsia="SimSun" w:cstheme="majorBidi"/>
          <w:szCs w:val="18"/>
          <w:lang w:val="en-US"/>
        </w:rPr>
      </w:pPr>
      <w:r w:rsidRPr="00CD5478">
        <w:rPr>
          <w:rFonts w:eastAsia="SimSun" w:cstheme="majorBidi"/>
          <w:szCs w:val="18"/>
          <w:lang w:val="en-US" w:eastAsia="zh-CN"/>
        </w:rPr>
        <w:tab/>
      </w:r>
      <w:r w:rsidRPr="001D1211">
        <w:rPr>
          <w:rStyle w:val="aa"/>
        </w:rPr>
        <w:footnoteRef/>
      </w:r>
      <w:r w:rsidRPr="00CD5478">
        <w:rPr>
          <w:lang w:val="en-US"/>
        </w:rPr>
        <w:tab/>
      </w:r>
      <w:r w:rsidR="00CD5478">
        <w:t>См</w:t>
      </w:r>
      <w:r w:rsidR="00CD5478" w:rsidRPr="00CD5478">
        <w:rPr>
          <w:lang w:val="en-US"/>
        </w:rPr>
        <w:t>. URL:</w:t>
      </w:r>
      <w:r w:rsidRPr="00CD5478">
        <w:rPr>
          <w:lang w:val="en-US"/>
        </w:rPr>
        <w:t xml:space="preserve"> </w:t>
      </w:r>
      <w:r>
        <w:fldChar w:fldCharType="begin"/>
      </w:r>
      <w:r w:rsidRPr="00B17197">
        <w:rPr>
          <w:lang w:val="en-US"/>
        </w:rPr>
        <w:instrText>HYPERLINK "https://www.ohchr.org/en/press-releases/2025/06/serbia-needs-strengthen-effective-torture-prevention-measures-un-torture"</w:instrText>
      </w:r>
      <w:r>
        <w:fldChar w:fldCharType="separate"/>
      </w:r>
      <w:r w:rsidRPr="00CD5478">
        <w:rPr>
          <w:rStyle w:val="af1"/>
          <w:lang w:val="en-US"/>
        </w:rPr>
        <w:t>https://www.ohchr.org/en/press-releases/2025/06/serbia-needs-strengthen-effective-torture-prevention-measures-un-torture</w:t>
      </w:r>
      <w:r>
        <w:fldChar w:fldCharType="end"/>
      </w:r>
      <w:r w:rsidRPr="00CD5478">
        <w:rPr>
          <w:lang w:val="en-US"/>
        </w:rPr>
        <w:t>.</w:t>
      </w:r>
      <w:hyperlink r:id="rId7" w:history="1"/>
    </w:p>
  </w:footnote>
  <w:footnote w:id="10">
    <w:p w14:paraId="057993AD" w14:textId="2C32895E" w:rsidR="004854D8" w:rsidRPr="00CD5478" w:rsidRDefault="004854D8" w:rsidP="004854D8">
      <w:pPr>
        <w:pStyle w:val="ad"/>
        <w:rPr>
          <w:rFonts w:cstheme="majorBidi"/>
          <w:szCs w:val="18"/>
          <w:lang w:val="en-US"/>
        </w:rPr>
      </w:pPr>
      <w:r w:rsidRPr="00CD5478">
        <w:rPr>
          <w:rFonts w:cstheme="majorBidi"/>
          <w:szCs w:val="18"/>
          <w:lang w:val="en-US"/>
        </w:rPr>
        <w:tab/>
      </w:r>
      <w:r w:rsidRPr="001D1211">
        <w:rPr>
          <w:rStyle w:val="aa"/>
        </w:rPr>
        <w:footnoteRef/>
      </w:r>
      <w:r w:rsidRPr="00CD5478">
        <w:rPr>
          <w:lang w:val="en-US"/>
        </w:rPr>
        <w:tab/>
      </w:r>
      <w:r w:rsidR="00CD5478">
        <w:t>См</w:t>
      </w:r>
      <w:r w:rsidR="00CD5478" w:rsidRPr="00CD5478">
        <w:rPr>
          <w:lang w:val="en-US"/>
        </w:rPr>
        <w:t>. URL:</w:t>
      </w:r>
      <w:r w:rsidRPr="00CD5478">
        <w:rPr>
          <w:lang w:val="en-US"/>
        </w:rPr>
        <w:t xml:space="preserve"> </w:t>
      </w:r>
      <w:r>
        <w:fldChar w:fldCharType="begin"/>
      </w:r>
      <w:r w:rsidRPr="00B17197">
        <w:rPr>
          <w:lang w:val="en-US"/>
        </w:rPr>
        <w:instrText>HYPERLINK "https://www.ohchr.org/en/press-releases/2025/10/new-zealand-needs-cut-prison-population-and-strengthen-oversight-un-torture"</w:instrText>
      </w:r>
      <w:r>
        <w:fldChar w:fldCharType="separate"/>
      </w:r>
      <w:r w:rsidRPr="00CD5478">
        <w:rPr>
          <w:rStyle w:val="af1"/>
          <w:lang w:val="en-US"/>
        </w:rPr>
        <w:t>https://www.ohchr.org/en/press-releases/2025/10/new-zealand-needs-cut-prison-population-and-strengthen-oversight-un-torture</w:t>
      </w:r>
      <w:r>
        <w:fldChar w:fldCharType="end"/>
      </w:r>
      <w:r w:rsidRPr="00CD5478">
        <w:rPr>
          <w:lang w:val="en-US"/>
        </w:rPr>
        <w:t>.</w:t>
      </w:r>
      <w:hyperlink r:id="rId8" w:history="1"/>
    </w:p>
  </w:footnote>
  <w:footnote w:id="11">
    <w:p w14:paraId="24231736" w14:textId="29AA893A" w:rsidR="004854D8" w:rsidRPr="00B17197" w:rsidRDefault="004854D8" w:rsidP="004854D8">
      <w:pPr>
        <w:pStyle w:val="ad"/>
        <w:rPr>
          <w:rFonts w:cstheme="majorBidi"/>
          <w:szCs w:val="18"/>
          <w:lang w:val="en-US"/>
        </w:rPr>
      </w:pPr>
      <w:r w:rsidRPr="00CD5478">
        <w:rPr>
          <w:rFonts w:cstheme="majorBidi"/>
          <w:szCs w:val="18"/>
          <w:lang w:val="en-US"/>
        </w:rPr>
        <w:tab/>
      </w:r>
      <w:r w:rsidRPr="001D1211">
        <w:rPr>
          <w:rStyle w:val="aa"/>
        </w:rPr>
        <w:footnoteRef/>
      </w:r>
      <w:r w:rsidRPr="00B17197">
        <w:rPr>
          <w:lang w:val="en-US"/>
        </w:rPr>
        <w:tab/>
      </w:r>
      <w:r w:rsidR="00CD5478">
        <w:t>См</w:t>
      </w:r>
      <w:r w:rsidR="00CD5478" w:rsidRPr="00B17197">
        <w:rPr>
          <w:lang w:val="en-US"/>
        </w:rPr>
        <w:t>. URL:</w:t>
      </w:r>
      <w:r w:rsidRPr="00B17197">
        <w:rPr>
          <w:lang w:val="en-US"/>
        </w:rPr>
        <w:t xml:space="preserve"> </w:t>
      </w:r>
      <w:hyperlink r:id="rId9" w:history="1">
        <w:r w:rsidRPr="00B17197">
          <w:rPr>
            <w:rStyle w:val="af1"/>
            <w:lang w:val="en-US"/>
          </w:rPr>
          <w:t>https://www.ohchr.org/en/press-releases/2025/11/mozambique-pivotal-moment-strengthen-torture-safeguards-un-body-says</w:t>
        </w:r>
      </w:hyperlink>
      <w:r w:rsidRPr="00B17197">
        <w:rPr>
          <w:lang w:val="en-US"/>
        </w:rPr>
        <w:t xml:space="preserve">.  </w:t>
      </w:r>
      <w:hyperlink r:id="rId10" w:history="1"/>
    </w:p>
  </w:footnote>
  <w:footnote w:id="12">
    <w:p w14:paraId="713E3168" w14:textId="6A1B4B7D" w:rsidR="004854D8" w:rsidRPr="00247FA7" w:rsidRDefault="004854D8" w:rsidP="004854D8">
      <w:pPr>
        <w:pStyle w:val="ad"/>
      </w:pPr>
      <w:r w:rsidRPr="00B17197">
        <w:rPr>
          <w:lang w:val="en-US"/>
        </w:rPr>
        <w:tab/>
      </w:r>
      <w:r w:rsidRPr="001D1211">
        <w:rPr>
          <w:rStyle w:val="aa"/>
        </w:rPr>
        <w:footnoteRef/>
      </w:r>
      <w:r>
        <w:tab/>
        <w:t xml:space="preserve">Данные, касающееся докладов о посещениях, включая те, которые были обнародованы, размещены по адресу </w:t>
      </w:r>
      <w:hyperlink r:id="rId11" w:history="1">
        <w:r>
          <w:rPr>
            <w:rStyle w:val="af1"/>
          </w:rPr>
          <w:t>https://tbinternet.ohchr.org/_layouts/15/TreatyBodyExternal/CountryVisits.aspx</w:t>
        </w:r>
      </w:hyperlink>
      <w:r>
        <w:t>.</w:t>
      </w:r>
      <w:hyperlink r:id="rId12" w:history="1"/>
    </w:p>
  </w:footnote>
  <w:footnote w:id="13">
    <w:p w14:paraId="79FA44DC" w14:textId="27B1B84F" w:rsidR="004854D8" w:rsidRPr="004854D8" w:rsidRDefault="004854D8" w:rsidP="004854D8">
      <w:pPr>
        <w:pStyle w:val="ad"/>
        <w:rPr>
          <w:rFonts w:cstheme="majorBidi"/>
          <w:szCs w:val="18"/>
          <w:lang w:val="en-US"/>
        </w:rPr>
      </w:pPr>
      <w:r w:rsidRPr="005D1B5D">
        <w:rPr>
          <w:rFonts w:cstheme="majorBidi"/>
          <w:szCs w:val="18"/>
        </w:rPr>
        <w:tab/>
      </w:r>
      <w:r w:rsidRPr="001D1211">
        <w:rPr>
          <w:rStyle w:val="aa"/>
        </w:rPr>
        <w:footnoteRef/>
      </w:r>
      <w:r w:rsidRPr="00247FA7">
        <w:rPr>
          <w:lang w:val="en-US"/>
        </w:rPr>
        <w:tab/>
      </w:r>
      <w:r>
        <w:fldChar w:fldCharType="begin"/>
      </w:r>
      <w:r w:rsidRPr="00B17197">
        <w:rPr>
          <w:lang w:val="en-US"/>
        </w:rPr>
        <w:instrText>HYPERLINK "https://docs.un.org/en/CAT/OP/HRV/ROSP/1"</w:instrText>
      </w:r>
      <w:r>
        <w:fldChar w:fldCharType="separate"/>
      </w:r>
      <w:r w:rsidRPr="004854D8">
        <w:rPr>
          <w:rStyle w:val="af1"/>
          <w:lang w:val="en-US"/>
        </w:rPr>
        <w:t>CAT/OP/HRV/ROSP/1</w:t>
      </w:r>
      <w:r>
        <w:fldChar w:fldCharType="end"/>
      </w:r>
      <w:r w:rsidRPr="00247FA7">
        <w:rPr>
          <w:lang w:val="en-US"/>
        </w:rPr>
        <w:t xml:space="preserve">, </w:t>
      </w:r>
      <w:hyperlink r:id="rId13" w:history="1">
        <w:r w:rsidRPr="004854D8">
          <w:rPr>
            <w:rStyle w:val="af1"/>
            <w:lang w:val="en-US"/>
          </w:rPr>
          <w:t>CAT/OP/KAZ/ROSP/1</w:t>
        </w:r>
      </w:hyperlink>
      <w:r w:rsidRPr="00247FA7">
        <w:rPr>
          <w:lang w:val="en-US"/>
        </w:rPr>
        <w:t xml:space="preserve"> </w:t>
      </w:r>
      <w:r>
        <w:t>и</w:t>
      </w:r>
      <w:r w:rsidRPr="00247FA7">
        <w:rPr>
          <w:lang w:val="en-US"/>
        </w:rPr>
        <w:t xml:space="preserve"> </w:t>
      </w:r>
      <w:hyperlink r:id="rId14" w:history="1">
        <w:r w:rsidRPr="004854D8">
          <w:rPr>
            <w:rStyle w:val="af1"/>
            <w:lang w:val="en-US"/>
          </w:rPr>
          <w:t>CAT/OP/SEN/ROSP/1</w:t>
        </w:r>
      </w:hyperlink>
      <w:r w:rsidRPr="00247FA7">
        <w:rPr>
          <w:lang w:val="en-US"/>
        </w:rPr>
        <w:t>.</w:t>
      </w:r>
      <w:hyperlink r:id="rId15" w:history="1"/>
      <w:hyperlink r:id="rId16" w:history="1"/>
      <w:hyperlink r:id="rId17" w:history="1"/>
    </w:p>
  </w:footnote>
  <w:footnote w:id="14">
    <w:p w14:paraId="1130A349" w14:textId="6F8E417A" w:rsidR="004854D8" w:rsidRPr="004854D8" w:rsidRDefault="004854D8" w:rsidP="004854D8">
      <w:pPr>
        <w:pStyle w:val="ad"/>
        <w:rPr>
          <w:rFonts w:ascii="Roboto" w:hAnsi="Roboto"/>
          <w:b/>
          <w:bCs/>
          <w:color w:val="000000"/>
          <w:spacing w:val="9"/>
          <w:sz w:val="21"/>
          <w:szCs w:val="21"/>
          <w:lang w:val="en-US"/>
        </w:rPr>
      </w:pPr>
      <w:r w:rsidRPr="00247FA7">
        <w:rPr>
          <w:lang w:val="en-US"/>
        </w:rPr>
        <w:tab/>
      </w:r>
      <w:r w:rsidRPr="001D1211">
        <w:rPr>
          <w:rStyle w:val="aa"/>
        </w:rPr>
        <w:footnoteRef/>
      </w:r>
      <w:r w:rsidRPr="00247FA7">
        <w:rPr>
          <w:lang w:val="en-US"/>
        </w:rPr>
        <w:tab/>
      </w:r>
      <w:r>
        <w:fldChar w:fldCharType="begin"/>
      </w:r>
      <w:r w:rsidRPr="00B17197">
        <w:rPr>
          <w:lang w:val="en-US"/>
        </w:rPr>
        <w:instrText>HYPERLINK "https://docs.un.org/en/CAT/OP/HRV/CSPRO/1"</w:instrText>
      </w:r>
      <w:r>
        <w:fldChar w:fldCharType="separate"/>
      </w:r>
      <w:r w:rsidRPr="004854D8">
        <w:rPr>
          <w:rStyle w:val="af1"/>
          <w:lang w:val="en-US"/>
        </w:rPr>
        <w:t>CAT/OP/HRV/CSPRO/1</w:t>
      </w:r>
      <w:r>
        <w:fldChar w:fldCharType="end"/>
      </w:r>
      <w:r w:rsidRPr="00247FA7">
        <w:rPr>
          <w:lang w:val="en-US"/>
        </w:rPr>
        <w:t xml:space="preserve">, </w:t>
      </w:r>
      <w:hyperlink r:id="rId18" w:history="1">
        <w:r w:rsidRPr="004854D8">
          <w:rPr>
            <w:rStyle w:val="af1"/>
            <w:lang w:val="en-US"/>
          </w:rPr>
          <w:t>CAT/OP/MOZ/CSPRO/1</w:t>
        </w:r>
      </w:hyperlink>
      <w:r w:rsidRPr="00247FA7">
        <w:rPr>
          <w:lang w:val="en-US"/>
        </w:rPr>
        <w:t xml:space="preserve"> </w:t>
      </w:r>
      <w:r>
        <w:t>и</w:t>
      </w:r>
      <w:r w:rsidRPr="00247FA7">
        <w:rPr>
          <w:lang w:val="en-US"/>
        </w:rPr>
        <w:t xml:space="preserve"> </w:t>
      </w:r>
      <w:hyperlink r:id="rId19" w:history="1">
        <w:r w:rsidRPr="004854D8">
          <w:rPr>
            <w:rStyle w:val="af1"/>
            <w:lang w:val="en-US"/>
          </w:rPr>
          <w:t>CAT/OP/SEN/CSPRO/1</w:t>
        </w:r>
      </w:hyperlink>
      <w:r w:rsidRPr="00247FA7">
        <w:rPr>
          <w:lang w:val="en-US"/>
        </w:rPr>
        <w:t>.</w:t>
      </w:r>
      <w:hyperlink r:id="rId20" w:history="1"/>
      <w:hyperlink r:id="rId21" w:history="1"/>
      <w:hyperlink r:id="rId22" w:history="1"/>
    </w:p>
  </w:footnote>
  <w:footnote w:id="15">
    <w:p w14:paraId="11F4E8A3" w14:textId="206D4F0D" w:rsidR="004854D8" w:rsidRPr="00B17197" w:rsidRDefault="004854D8" w:rsidP="004854D8">
      <w:pPr>
        <w:pStyle w:val="ad"/>
        <w:rPr>
          <w:lang w:val="en-US"/>
        </w:rPr>
      </w:pPr>
      <w:r w:rsidRPr="00247FA7">
        <w:rPr>
          <w:lang w:val="en-US"/>
        </w:rPr>
        <w:tab/>
      </w:r>
      <w:r w:rsidRPr="001D1211">
        <w:rPr>
          <w:rStyle w:val="aa"/>
        </w:rPr>
        <w:footnoteRef/>
      </w:r>
      <w:r w:rsidRPr="00B17197">
        <w:rPr>
          <w:lang w:val="en-US"/>
        </w:rPr>
        <w:tab/>
      </w:r>
      <w:r w:rsidR="00CD5478">
        <w:t>См</w:t>
      </w:r>
      <w:r w:rsidR="00CD5478" w:rsidRPr="00B17197">
        <w:rPr>
          <w:lang w:val="en-US"/>
        </w:rPr>
        <w:t>. URL:</w:t>
      </w:r>
      <w:r w:rsidRPr="00B17197">
        <w:rPr>
          <w:lang w:val="en-US"/>
        </w:rPr>
        <w:t xml:space="preserve"> </w:t>
      </w:r>
      <w:hyperlink r:id="rId23" w:history="1">
        <w:r w:rsidRPr="00B17197">
          <w:rPr>
            <w:rStyle w:val="af1"/>
            <w:lang w:val="en-US"/>
          </w:rPr>
          <w:t>https://www.ohchr.org/en/treaty-bodies/spt/non-compliance-article-17</w:t>
        </w:r>
      </w:hyperlink>
      <w:r w:rsidRPr="00B17197">
        <w:rPr>
          <w:lang w:val="en-US"/>
        </w:rPr>
        <w:t>.</w:t>
      </w:r>
      <w:hyperlink r:id="rId24" w:history="1"/>
    </w:p>
  </w:footnote>
  <w:footnote w:id="16">
    <w:p w14:paraId="7B8D62C5" w14:textId="4BAAD2AB" w:rsidR="004854D8" w:rsidRPr="00B17197" w:rsidRDefault="004854D8" w:rsidP="004854D8">
      <w:pPr>
        <w:pStyle w:val="ad"/>
        <w:rPr>
          <w:color w:val="000000" w:themeColor="text1"/>
        </w:rPr>
      </w:pPr>
      <w:r w:rsidRPr="00B17197">
        <w:rPr>
          <w:rFonts w:cstheme="majorBidi"/>
          <w:lang w:val="en-US"/>
        </w:rPr>
        <w:tab/>
      </w:r>
      <w:r w:rsidRPr="001D1211">
        <w:rPr>
          <w:rStyle w:val="aa"/>
        </w:rPr>
        <w:footnoteRef/>
      </w:r>
      <w:r>
        <w:tab/>
        <w:t>На вебинаре для стран региона Северной и Южной Америки, состоявшемся в ноябре</w:t>
      </w:r>
      <w:r w:rsidR="002061AB" w:rsidRPr="002061AB">
        <w:br/>
      </w:r>
      <w:r>
        <w:t>2025 года, присутствовали представители национальных превентивных механизмов Аргентины, Боливии (Многонациональное Государство), Гватемалы, Коста-Рики, Мексики, Панамы, Парагвая, Перу, Уругвая, Чили и Эквадора. На вебинаре для стран региона Азии и</w:t>
      </w:r>
      <w:r w:rsidR="002061AB">
        <w:rPr>
          <w:lang w:val="en-US"/>
        </w:rPr>
        <w:t> </w:t>
      </w:r>
      <w:r>
        <w:t>Тихого океана, состоявшемся в декабре 2025 года, присутствовали представители национальных превентивных механизмов Австралии, Кыргызстана, Ливана, Мальдивских Островов, Монголии, Новой Зеландии и Шри-Ланки, а также представитель мониторингового органа Государства Палестина.</w:t>
      </w:r>
    </w:p>
  </w:footnote>
  <w:footnote w:id="17">
    <w:p w14:paraId="7A130A30" w14:textId="7360CE86" w:rsidR="004854D8" w:rsidRPr="00247FA7" w:rsidRDefault="004854D8" w:rsidP="004854D8">
      <w:pPr>
        <w:pStyle w:val="ad"/>
      </w:pPr>
      <w:r>
        <w:tab/>
      </w:r>
      <w:r w:rsidRPr="001D1211">
        <w:rPr>
          <w:rStyle w:val="aa"/>
        </w:rPr>
        <w:footnoteRef/>
      </w:r>
      <w:r>
        <w:tab/>
      </w:r>
      <w:hyperlink r:id="rId25" w:history="1">
        <w:r w:rsidRPr="004854D8">
          <w:rPr>
            <w:rStyle w:val="af1"/>
          </w:rPr>
          <w:t>CAT/C/82/2</w:t>
        </w:r>
      </w:hyperlink>
      <w:r>
        <w:t>, пп. 40–45.</w:t>
      </w:r>
      <w:hyperlink r:id="rId26" w:history="1"/>
    </w:p>
  </w:footnote>
  <w:footnote w:id="18">
    <w:p w14:paraId="477ABF8F" w14:textId="3A1FDE97" w:rsidR="004854D8" w:rsidRPr="00247FA7" w:rsidRDefault="004854D8" w:rsidP="004854D8">
      <w:pPr>
        <w:pStyle w:val="ad"/>
        <w:rPr>
          <w:rFonts w:cstheme="majorBidi"/>
          <w:szCs w:val="18"/>
        </w:rPr>
      </w:pPr>
      <w:r>
        <w:rPr>
          <w:rFonts w:cstheme="majorBidi"/>
          <w:szCs w:val="18"/>
        </w:rPr>
        <w:tab/>
      </w:r>
      <w:r w:rsidRPr="001D1211">
        <w:rPr>
          <w:rStyle w:val="aa"/>
        </w:rPr>
        <w:footnoteRef/>
      </w:r>
      <w:r>
        <w:tab/>
        <w:t xml:space="preserve">См. также </w:t>
      </w:r>
      <w:hyperlink r:id="rId27" w:history="1">
        <w:r w:rsidRPr="004854D8">
          <w:rPr>
            <w:rStyle w:val="af1"/>
          </w:rPr>
          <w:t>CAT/OP/12/5</w:t>
        </w:r>
      </w:hyperlink>
      <w:r>
        <w:t>, п. 20.</w:t>
      </w:r>
      <w:hyperlink r:id="rId28" w:history="1"/>
    </w:p>
  </w:footnote>
  <w:footnote w:id="19">
    <w:p w14:paraId="4B13AEFC" w14:textId="77777777" w:rsidR="004854D8" w:rsidRPr="00247FA7" w:rsidRDefault="004854D8" w:rsidP="004854D8">
      <w:pPr>
        <w:pStyle w:val="ad"/>
        <w:rPr>
          <w:rFonts w:cstheme="majorBidi"/>
          <w:szCs w:val="18"/>
        </w:rPr>
      </w:pPr>
      <w:r>
        <w:rPr>
          <w:rFonts w:cstheme="majorBidi"/>
          <w:szCs w:val="18"/>
        </w:rPr>
        <w:tab/>
      </w:r>
      <w:r w:rsidRPr="001D1211">
        <w:rPr>
          <w:rStyle w:val="aa"/>
        </w:rPr>
        <w:footnoteRef/>
      </w:r>
      <w:r>
        <w:tab/>
        <w:t>Там же, п. 11.</w:t>
      </w:r>
    </w:p>
  </w:footnote>
  <w:footnote w:id="20">
    <w:p w14:paraId="4D2CD1D0" w14:textId="05C3C911" w:rsidR="004854D8" w:rsidRPr="00247FA7" w:rsidRDefault="004854D8" w:rsidP="004854D8">
      <w:pPr>
        <w:pStyle w:val="ad"/>
        <w:rPr>
          <w:rFonts w:cstheme="majorBidi"/>
          <w:szCs w:val="18"/>
        </w:rPr>
      </w:pPr>
      <w:r>
        <w:rPr>
          <w:rFonts w:cstheme="majorBidi"/>
          <w:szCs w:val="18"/>
        </w:rPr>
        <w:tab/>
      </w:r>
      <w:r w:rsidRPr="001D1211">
        <w:rPr>
          <w:rStyle w:val="aa"/>
        </w:rPr>
        <w:footnoteRef/>
      </w:r>
      <w:r>
        <w:tab/>
      </w:r>
      <w:hyperlink r:id="rId29" w:history="1">
        <w:r w:rsidRPr="004854D8">
          <w:rPr>
            <w:rStyle w:val="af1"/>
          </w:rPr>
          <w:t>CAT/OP/8</w:t>
        </w:r>
      </w:hyperlink>
      <w:r>
        <w:t>, п. 20.</w:t>
      </w:r>
      <w:hyperlink r:id="rId30" w:history="1"/>
    </w:p>
  </w:footnote>
  <w:footnote w:id="21">
    <w:p w14:paraId="4B79F15A" w14:textId="77777777" w:rsidR="004854D8" w:rsidRPr="00247FA7" w:rsidRDefault="004854D8" w:rsidP="004854D8">
      <w:pPr>
        <w:pStyle w:val="ad"/>
        <w:rPr>
          <w:rFonts w:cstheme="majorBidi"/>
          <w:szCs w:val="18"/>
        </w:rPr>
      </w:pPr>
      <w:r w:rsidRPr="00E57A52">
        <w:rPr>
          <w:rFonts w:cstheme="majorBidi"/>
          <w:szCs w:val="18"/>
        </w:rPr>
        <w:tab/>
      </w:r>
      <w:r w:rsidRPr="001D1211">
        <w:rPr>
          <w:rStyle w:val="aa"/>
        </w:rPr>
        <w:footnoteRef/>
      </w:r>
      <w:r>
        <w:tab/>
        <w:t>Факультативный протокол, ст. 3 и 17.</w:t>
      </w:r>
    </w:p>
  </w:footnote>
  <w:footnote w:id="22">
    <w:p w14:paraId="202CECE7" w14:textId="4D2CB7C7" w:rsidR="004854D8" w:rsidRPr="00247FA7" w:rsidRDefault="004854D8" w:rsidP="004854D8">
      <w:pPr>
        <w:pStyle w:val="ad"/>
        <w:rPr>
          <w:rFonts w:cstheme="majorBidi"/>
          <w:szCs w:val="18"/>
        </w:rPr>
      </w:pPr>
      <w:r>
        <w:rPr>
          <w:rFonts w:cstheme="majorBidi"/>
          <w:szCs w:val="18"/>
        </w:rPr>
        <w:tab/>
      </w:r>
      <w:r w:rsidRPr="001D1211">
        <w:rPr>
          <w:rStyle w:val="aa"/>
        </w:rPr>
        <w:footnoteRef/>
      </w:r>
      <w:r>
        <w:tab/>
      </w:r>
      <w:hyperlink r:id="rId31" w:history="1">
        <w:r w:rsidRPr="004854D8">
          <w:rPr>
            <w:rStyle w:val="af1"/>
          </w:rPr>
          <w:t>CAT/C/57/4</w:t>
        </w:r>
      </w:hyperlink>
      <w:r>
        <w:t xml:space="preserve"> и </w:t>
      </w:r>
      <w:hyperlink r:id="rId32" w:history="1">
        <w:r w:rsidRPr="004854D8">
          <w:rPr>
            <w:rStyle w:val="af1"/>
          </w:rPr>
          <w:t>CAT/C/57/4/Corr.1</w:t>
        </w:r>
      </w:hyperlink>
      <w:r>
        <w:t xml:space="preserve">, приложение, п. 17; </w:t>
      </w:r>
      <w:hyperlink r:id="rId33" w:history="1">
        <w:r w:rsidRPr="004854D8">
          <w:rPr>
            <w:rStyle w:val="af1"/>
          </w:rPr>
          <w:t>CAT/C/79/2</w:t>
        </w:r>
      </w:hyperlink>
      <w:r>
        <w:t>, приложение I, п. 2; и</w:t>
      </w:r>
      <w:r w:rsidR="00076CD7">
        <w:rPr>
          <w:lang w:val="fr-CH"/>
        </w:rPr>
        <w:t> </w:t>
      </w:r>
      <w:hyperlink r:id="rId34" w:history="1">
        <w:r w:rsidRPr="004854D8">
          <w:rPr>
            <w:rStyle w:val="af1"/>
          </w:rPr>
          <w:t>CAT/OP/CYP/1</w:t>
        </w:r>
      </w:hyperlink>
      <w:r>
        <w:t>, п. 89.</w:t>
      </w:r>
      <w:hyperlink r:id="rId35" w:history="1"/>
      <w:hyperlink r:id="rId36" w:history="1"/>
      <w:hyperlink r:id="rId37" w:history="1"/>
      <w:hyperlink r:id="rId38" w:history="1"/>
    </w:p>
  </w:footnote>
  <w:footnote w:id="23">
    <w:p w14:paraId="76892046" w14:textId="0CF64BDE" w:rsidR="004854D8" w:rsidRPr="00247FA7" w:rsidRDefault="004854D8" w:rsidP="004854D8">
      <w:pPr>
        <w:pStyle w:val="ad"/>
        <w:rPr>
          <w:rFonts w:cstheme="majorBidi"/>
          <w:szCs w:val="18"/>
        </w:rPr>
      </w:pPr>
      <w:r>
        <w:rPr>
          <w:rFonts w:cstheme="majorBidi"/>
          <w:szCs w:val="18"/>
        </w:rPr>
        <w:tab/>
      </w:r>
      <w:r w:rsidRPr="001D1211">
        <w:rPr>
          <w:rStyle w:val="aa"/>
        </w:rPr>
        <w:footnoteRef/>
      </w:r>
      <w:r>
        <w:tab/>
      </w:r>
      <w:hyperlink r:id="rId39" w:history="1">
        <w:r w:rsidRPr="004854D8">
          <w:rPr>
            <w:rStyle w:val="af1"/>
          </w:rPr>
          <w:t>CAT/C/79/2</w:t>
        </w:r>
      </w:hyperlink>
      <w:r>
        <w:t>, приложение I, п. 2.</w:t>
      </w:r>
      <w:hyperlink r:id="rId40" w:history="1"/>
    </w:p>
  </w:footnote>
  <w:footnote w:id="24">
    <w:p w14:paraId="05A80CC7" w14:textId="77777777" w:rsidR="004854D8" w:rsidRPr="00247FA7" w:rsidRDefault="004854D8" w:rsidP="004854D8">
      <w:pPr>
        <w:pStyle w:val="ad"/>
        <w:rPr>
          <w:rFonts w:cstheme="majorBidi"/>
          <w:szCs w:val="18"/>
        </w:rPr>
      </w:pPr>
      <w:r>
        <w:rPr>
          <w:rFonts w:cstheme="majorBidi"/>
          <w:szCs w:val="18"/>
        </w:rPr>
        <w:tab/>
      </w:r>
      <w:r w:rsidRPr="001D1211">
        <w:rPr>
          <w:rStyle w:val="aa"/>
        </w:rPr>
        <w:footnoteRef/>
      </w:r>
      <w:r>
        <w:tab/>
        <w:t>Факультативный протокол, ст. 18.</w:t>
      </w:r>
    </w:p>
  </w:footnote>
  <w:footnote w:id="25">
    <w:p w14:paraId="1AFEDEC6" w14:textId="5FC94D74" w:rsidR="004854D8" w:rsidRPr="00B17197" w:rsidRDefault="004854D8" w:rsidP="004854D8">
      <w:pPr>
        <w:pStyle w:val="ad"/>
        <w:rPr>
          <w:rFonts w:cstheme="majorBidi"/>
          <w:szCs w:val="18"/>
        </w:rPr>
      </w:pPr>
      <w:r>
        <w:rPr>
          <w:rFonts w:cstheme="majorBidi"/>
          <w:szCs w:val="18"/>
        </w:rPr>
        <w:tab/>
      </w:r>
      <w:r w:rsidRPr="001D1211">
        <w:rPr>
          <w:rStyle w:val="aa"/>
        </w:rPr>
        <w:footnoteRef/>
      </w:r>
      <w:r>
        <w:tab/>
        <w:t>Там же, ст. 19, 20 и 22.</w:t>
      </w:r>
    </w:p>
  </w:footnote>
  <w:footnote w:id="26">
    <w:p w14:paraId="3EB51969" w14:textId="72B16F61" w:rsidR="004854D8" w:rsidRPr="00247FA7" w:rsidRDefault="004854D8" w:rsidP="004854D8">
      <w:pPr>
        <w:pStyle w:val="ad"/>
        <w:rPr>
          <w:rFonts w:cstheme="majorBidi"/>
          <w:szCs w:val="18"/>
        </w:rPr>
      </w:pPr>
      <w:r>
        <w:rPr>
          <w:rFonts w:cstheme="majorBidi"/>
          <w:szCs w:val="18"/>
        </w:rPr>
        <w:tab/>
      </w:r>
      <w:r w:rsidRPr="001D1211">
        <w:rPr>
          <w:rStyle w:val="aa"/>
        </w:rPr>
        <w:footnoteRef/>
      </w:r>
      <w:r>
        <w:tab/>
      </w:r>
      <w:hyperlink r:id="rId41" w:history="1">
        <w:r w:rsidRPr="004854D8">
          <w:rPr>
            <w:rStyle w:val="af1"/>
          </w:rPr>
          <w:t>CAT/C/79/2</w:t>
        </w:r>
      </w:hyperlink>
      <w:r>
        <w:t>, приложение III.</w:t>
      </w:r>
      <w:hyperlink r:id="rId42" w:history="1"/>
    </w:p>
  </w:footnote>
  <w:footnote w:id="27">
    <w:p w14:paraId="449CB5EC" w14:textId="4DDEA060" w:rsidR="004854D8" w:rsidRPr="00247FA7" w:rsidRDefault="004854D8" w:rsidP="004854D8">
      <w:pPr>
        <w:pStyle w:val="ad"/>
        <w:rPr>
          <w:rFonts w:cstheme="majorBidi"/>
          <w:szCs w:val="18"/>
        </w:rPr>
      </w:pPr>
      <w:r>
        <w:rPr>
          <w:rFonts w:cstheme="majorBidi"/>
          <w:szCs w:val="18"/>
        </w:rPr>
        <w:tab/>
      </w:r>
      <w:r w:rsidRPr="001D1211">
        <w:rPr>
          <w:rStyle w:val="aa"/>
        </w:rPr>
        <w:footnoteRef/>
      </w:r>
      <w:r>
        <w:tab/>
      </w:r>
      <w:hyperlink r:id="rId43" w:history="1">
        <w:r w:rsidRPr="004854D8">
          <w:rPr>
            <w:rStyle w:val="af1"/>
          </w:rPr>
          <w:t>CAT/OP/12/5</w:t>
        </w:r>
      </w:hyperlink>
      <w:r>
        <w:t>, п. 32.</w:t>
      </w:r>
      <w:hyperlink r:id="rId44" w:history="1"/>
    </w:p>
  </w:footnote>
  <w:footnote w:id="28">
    <w:p w14:paraId="4AFC0456" w14:textId="7D6C3974" w:rsidR="004854D8" w:rsidRPr="00B17197" w:rsidRDefault="004854D8" w:rsidP="004854D8">
      <w:pPr>
        <w:pStyle w:val="ad"/>
        <w:rPr>
          <w:rFonts w:cstheme="majorBidi"/>
          <w:szCs w:val="18"/>
        </w:rPr>
      </w:pPr>
      <w:r>
        <w:rPr>
          <w:rFonts w:cstheme="majorBidi"/>
          <w:szCs w:val="18"/>
        </w:rPr>
        <w:tab/>
      </w:r>
      <w:r w:rsidRPr="001D1211">
        <w:rPr>
          <w:rStyle w:val="aa"/>
        </w:rPr>
        <w:footnoteRef/>
      </w:r>
      <w:r w:rsidRPr="00B17197">
        <w:tab/>
      </w:r>
      <w:r>
        <w:t>См</w:t>
      </w:r>
      <w:r w:rsidRPr="00B17197">
        <w:t xml:space="preserve">. </w:t>
      </w:r>
      <w:hyperlink r:id="rId45" w:history="1">
        <w:r w:rsidRPr="004854D8">
          <w:rPr>
            <w:rStyle w:val="af1"/>
            <w:lang w:val="en-US"/>
          </w:rPr>
          <w:t>CAT</w:t>
        </w:r>
        <w:r w:rsidRPr="00B17197">
          <w:rPr>
            <w:rStyle w:val="af1"/>
          </w:rPr>
          <w:t>/</w:t>
        </w:r>
        <w:r w:rsidRPr="004854D8">
          <w:rPr>
            <w:rStyle w:val="af1"/>
            <w:lang w:val="en-US"/>
          </w:rPr>
          <w:t>OP</w:t>
        </w:r>
        <w:r w:rsidRPr="00B17197">
          <w:rPr>
            <w:rStyle w:val="af1"/>
          </w:rPr>
          <w:t>/12/6</w:t>
        </w:r>
      </w:hyperlink>
      <w:r w:rsidRPr="00B17197">
        <w:t>.</w:t>
      </w:r>
      <w:hyperlink r:id="rId46" w:history="1"/>
    </w:p>
  </w:footnote>
  <w:footnote w:id="29">
    <w:p w14:paraId="413F3CC5" w14:textId="48AD31C2" w:rsidR="004854D8" w:rsidRPr="00B17197" w:rsidRDefault="004854D8" w:rsidP="004854D8">
      <w:pPr>
        <w:pStyle w:val="ad"/>
        <w:rPr>
          <w:rFonts w:cstheme="majorBidi"/>
          <w:szCs w:val="18"/>
        </w:rPr>
      </w:pPr>
      <w:r w:rsidRPr="00B17197">
        <w:rPr>
          <w:rFonts w:cstheme="majorBidi"/>
          <w:szCs w:val="18"/>
        </w:rPr>
        <w:tab/>
      </w:r>
      <w:r w:rsidRPr="001D1211">
        <w:rPr>
          <w:rStyle w:val="aa"/>
        </w:rPr>
        <w:footnoteRef/>
      </w:r>
      <w:r w:rsidRPr="00B17197">
        <w:tab/>
      </w:r>
      <w:hyperlink r:id="rId47" w:history="1">
        <w:r w:rsidRPr="004854D8">
          <w:rPr>
            <w:rStyle w:val="af1"/>
            <w:lang w:val="en-US"/>
          </w:rPr>
          <w:t>CAT</w:t>
        </w:r>
        <w:r w:rsidRPr="00B17197">
          <w:rPr>
            <w:rStyle w:val="af1"/>
          </w:rPr>
          <w:t>/</w:t>
        </w:r>
        <w:r w:rsidRPr="004854D8">
          <w:rPr>
            <w:rStyle w:val="af1"/>
            <w:lang w:val="en-US"/>
          </w:rPr>
          <w:t>OP</w:t>
        </w:r>
        <w:r w:rsidRPr="00B17197">
          <w:rPr>
            <w:rStyle w:val="af1"/>
          </w:rPr>
          <w:t>/12/5</w:t>
        </w:r>
      </w:hyperlink>
      <w:r w:rsidRPr="00B17197">
        <w:t xml:space="preserve">, </w:t>
      </w:r>
      <w:r>
        <w:t>п</w:t>
      </w:r>
      <w:r w:rsidRPr="00B17197">
        <w:t>. 15.</w:t>
      </w:r>
      <w:hyperlink r:id="rId48" w:history="1"/>
    </w:p>
  </w:footnote>
  <w:footnote w:id="30">
    <w:p w14:paraId="320B3021" w14:textId="77777777" w:rsidR="004854D8" w:rsidRPr="00247FA7" w:rsidRDefault="004854D8" w:rsidP="004854D8">
      <w:pPr>
        <w:pStyle w:val="ad"/>
      </w:pPr>
      <w:r w:rsidRPr="00B17197">
        <w:tab/>
      </w:r>
      <w:r w:rsidRPr="001D1211">
        <w:rPr>
          <w:rStyle w:val="aa"/>
        </w:rPr>
        <w:footnoteRef/>
      </w:r>
      <w:r>
        <w:tab/>
        <w:t>Там же, п. 23.</w:t>
      </w:r>
    </w:p>
  </w:footnote>
  <w:footnote w:id="31">
    <w:p w14:paraId="72421E4E" w14:textId="1F1D8E2F" w:rsidR="004854D8" w:rsidRPr="00B17197" w:rsidRDefault="004854D8" w:rsidP="004854D8">
      <w:pPr>
        <w:pStyle w:val="ad"/>
        <w:rPr>
          <w:rFonts w:cstheme="majorBidi"/>
          <w:szCs w:val="18"/>
        </w:rPr>
      </w:pPr>
      <w:r>
        <w:rPr>
          <w:rFonts w:cstheme="majorBidi"/>
          <w:szCs w:val="18"/>
        </w:rPr>
        <w:tab/>
      </w:r>
      <w:r w:rsidRPr="001D1211">
        <w:rPr>
          <w:rStyle w:val="aa"/>
        </w:rPr>
        <w:footnoteRef/>
      </w:r>
      <w:r>
        <w:tab/>
        <w:t>Факультативный протокол, ст. 19 и 20.</w:t>
      </w:r>
    </w:p>
  </w:footnote>
  <w:footnote w:id="32">
    <w:p w14:paraId="6D9178A4" w14:textId="4BE454C6" w:rsidR="004854D8" w:rsidRPr="00B17197" w:rsidRDefault="004854D8" w:rsidP="004854D8">
      <w:pPr>
        <w:pStyle w:val="ad"/>
        <w:rPr>
          <w:rFonts w:cstheme="majorBidi"/>
          <w:szCs w:val="18"/>
        </w:rPr>
      </w:pPr>
      <w:r>
        <w:rPr>
          <w:rFonts w:cstheme="majorBidi"/>
          <w:szCs w:val="18"/>
        </w:rPr>
        <w:tab/>
      </w:r>
      <w:r w:rsidRPr="001D1211">
        <w:rPr>
          <w:rStyle w:val="aa"/>
        </w:rPr>
        <w:footnoteRef/>
      </w:r>
      <w:r>
        <w:tab/>
        <w:t>Там же, ст. 18.</w:t>
      </w:r>
    </w:p>
  </w:footnote>
  <w:footnote w:id="33">
    <w:p w14:paraId="00CE1169" w14:textId="11951682" w:rsidR="004854D8" w:rsidRPr="008E5322" w:rsidRDefault="004854D8" w:rsidP="004854D8">
      <w:pPr>
        <w:pStyle w:val="ad"/>
        <w:rPr>
          <w:rFonts w:cstheme="majorBidi"/>
          <w:szCs w:val="18"/>
          <w:lang w:val="fr-CH"/>
        </w:rPr>
      </w:pPr>
      <w:r>
        <w:rPr>
          <w:rFonts w:cstheme="majorBidi"/>
          <w:szCs w:val="18"/>
        </w:rPr>
        <w:tab/>
      </w:r>
      <w:r w:rsidRPr="001D1211">
        <w:rPr>
          <w:rStyle w:val="aa"/>
        </w:rPr>
        <w:footnoteRef/>
      </w:r>
      <w:r>
        <w:tab/>
        <w:t>Там же, ст. 17.</w:t>
      </w:r>
    </w:p>
  </w:footnote>
  <w:footnote w:id="34">
    <w:p w14:paraId="7C7E96EC" w14:textId="1F8D4641" w:rsidR="004854D8" w:rsidRPr="004854D8" w:rsidRDefault="004854D8" w:rsidP="004854D8">
      <w:pPr>
        <w:pStyle w:val="ad"/>
        <w:rPr>
          <w:rFonts w:cstheme="majorBidi"/>
          <w:szCs w:val="18"/>
          <w:lang w:val="en-US"/>
        </w:rPr>
      </w:pPr>
      <w:r>
        <w:rPr>
          <w:rFonts w:cstheme="majorBidi"/>
          <w:szCs w:val="18"/>
        </w:rPr>
        <w:tab/>
      </w:r>
      <w:r w:rsidRPr="001D1211">
        <w:rPr>
          <w:rStyle w:val="aa"/>
        </w:rPr>
        <w:footnoteRef/>
      </w:r>
      <w:r w:rsidRPr="00247FA7">
        <w:rPr>
          <w:lang w:val="en-US"/>
        </w:rPr>
        <w:tab/>
      </w:r>
      <w:r>
        <w:fldChar w:fldCharType="begin"/>
      </w:r>
      <w:r w:rsidRPr="00B17197">
        <w:rPr>
          <w:lang w:val="en-US"/>
        </w:rPr>
        <w:instrText>HYPERLINK "https://docs.un.org/ru/CAT/OP/12/5"</w:instrText>
      </w:r>
      <w:r>
        <w:fldChar w:fldCharType="separate"/>
      </w:r>
      <w:r w:rsidRPr="004854D8">
        <w:rPr>
          <w:rStyle w:val="af1"/>
          <w:lang w:val="en-US"/>
        </w:rPr>
        <w:t>CAT/OP/12/5</w:t>
      </w:r>
      <w:r>
        <w:fldChar w:fldCharType="end"/>
      </w:r>
      <w:r w:rsidRPr="00247FA7">
        <w:rPr>
          <w:lang w:val="en-US"/>
        </w:rPr>
        <w:t xml:space="preserve">, </w:t>
      </w:r>
      <w:r>
        <w:t>п</w:t>
      </w:r>
      <w:r w:rsidRPr="00247FA7">
        <w:rPr>
          <w:lang w:val="en-US"/>
        </w:rPr>
        <w:t>. 16.</w:t>
      </w:r>
      <w:hyperlink r:id="rId49" w:history="1"/>
    </w:p>
  </w:footnote>
  <w:footnote w:id="35">
    <w:p w14:paraId="1F70DB44" w14:textId="3F6CBDB6" w:rsidR="004854D8" w:rsidRPr="004854D8" w:rsidRDefault="004854D8" w:rsidP="004854D8">
      <w:pPr>
        <w:pStyle w:val="ad"/>
        <w:rPr>
          <w:lang w:val="en-US"/>
        </w:rPr>
      </w:pPr>
      <w:r w:rsidRPr="00247FA7">
        <w:rPr>
          <w:lang w:val="en-US"/>
        </w:rPr>
        <w:tab/>
      </w:r>
      <w:r w:rsidRPr="001D1211">
        <w:rPr>
          <w:rStyle w:val="aa"/>
        </w:rPr>
        <w:footnoteRef/>
      </w:r>
      <w:r w:rsidRPr="00247FA7">
        <w:rPr>
          <w:lang w:val="en-US"/>
        </w:rPr>
        <w:tab/>
      </w:r>
      <w:r>
        <w:fldChar w:fldCharType="begin"/>
      </w:r>
      <w:r w:rsidRPr="00B17197">
        <w:rPr>
          <w:lang w:val="en-US"/>
        </w:rPr>
        <w:instrText>HYPERLINK "https://docs.un.org/ru/CAT/C/82/2"</w:instrText>
      </w:r>
      <w:r>
        <w:fldChar w:fldCharType="separate"/>
      </w:r>
      <w:r w:rsidRPr="004854D8">
        <w:rPr>
          <w:rStyle w:val="af1"/>
          <w:lang w:val="en-US"/>
        </w:rPr>
        <w:t>CAT/C/82/2</w:t>
      </w:r>
      <w:r>
        <w:fldChar w:fldCharType="end"/>
      </w:r>
      <w:r w:rsidRPr="00247FA7">
        <w:rPr>
          <w:lang w:val="en-US"/>
        </w:rPr>
        <w:t>.</w:t>
      </w:r>
      <w:hyperlink r:id="rId50" w:history="1"/>
    </w:p>
  </w:footnote>
  <w:footnote w:id="36">
    <w:p w14:paraId="47988490" w14:textId="1FF54586" w:rsidR="004854D8" w:rsidRPr="004854D8" w:rsidRDefault="004854D8" w:rsidP="004854D8">
      <w:pPr>
        <w:pStyle w:val="ad"/>
        <w:rPr>
          <w:noProof/>
          <w:lang w:val="en-US"/>
        </w:rPr>
      </w:pPr>
      <w:r w:rsidRPr="00247FA7">
        <w:rPr>
          <w:noProof/>
          <w:lang w:val="en-US"/>
        </w:rPr>
        <w:tab/>
      </w:r>
      <w:r w:rsidRPr="001D1211">
        <w:rPr>
          <w:rStyle w:val="aa"/>
        </w:rPr>
        <w:footnoteRef/>
      </w:r>
      <w:r w:rsidRPr="00247FA7">
        <w:rPr>
          <w:lang w:val="en-US"/>
        </w:rPr>
        <w:tab/>
        <w:t xml:space="preserve">URL: </w:t>
      </w:r>
      <w:r>
        <w:fldChar w:fldCharType="begin"/>
      </w:r>
      <w:r w:rsidRPr="00B17197">
        <w:rPr>
          <w:lang w:val="en-US"/>
        </w:rPr>
        <w:instrText>HYPERLINK "https://www.ohchr.org/en/statements-and-speeches/2025/06/protecting-protests-un-anti-torture-mechanisms-call-responsible-and"</w:instrText>
      </w:r>
      <w:r>
        <w:fldChar w:fldCharType="separate"/>
      </w:r>
      <w:r>
        <w:rPr>
          <w:rStyle w:val="af1"/>
          <w:lang w:val="en-US"/>
        </w:rPr>
        <w:t>https://www.ohchr.org/en/statements-and-speeches/2025/06/protecting-protests-un-anti-torture-mechanisms-call-responsible-and</w:t>
      </w:r>
      <w:r>
        <w:fldChar w:fldCharType="end"/>
      </w:r>
      <w:r w:rsidRPr="00247FA7">
        <w:rPr>
          <w:lang w:val="en-US"/>
        </w:rPr>
        <w:t>.</w:t>
      </w:r>
      <w:hyperlink r:id="rId51" w:history="1"/>
    </w:p>
  </w:footnote>
  <w:footnote w:id="37">
    <w:p w14:paraId="41225F61" w14:textId="25C7D891" w:rsidR="004854D8" w:rsidRPr="00247FA7" w:rsidRDefault="004854D8" w:rsidP="004854D8">
      <w:pPr>
        <w:pStyle w:val="ad"/>
      </w:pPr>
      <w:r w:rsidRPr="00247FA7">
        <w:rPr>
          <w:lang w:val="en-US"/>
        </w:rPr>
        <w:tab/>
      </w:r>
      <w:r w:rsidRPr="001D1211">
        <w:rPr>
          <w:rStyle w:val="aa"/>
        </w:rPr>
        <w:footnoteRef/>
      </w:r>
      <w:r>
        <w:tab/>
        <w:t xml:space="preserve">См. </w:t>
      </w:r>
      <w:hyperlink r:id="rId52" w:history="1">
        <w:r w:rsidRPr="004854D8">
          <w:rPr>
            <w:rStyle w:val="af1"/>
          </w:rPr>
          <w:t>A/80/294</w:t>
        </w:r>
      </w:hyperlink>
      <w:r>
        <w:t>.</w:t>
      </w:r>
      <w:hyperlink r:id="rId53" w:history="1"/>
    </w:p>
  </w:footnote>
  <w:footnote w:id="38">
    <w:p w14:paraId="5EB1E8A0" w14:textId="2FCE73FF" w:rsidR="004854D8" w:rsidRPr="00247FA7" w:rsidRDefault="004854D8" w:rsidP="004854D8">
      <w:pPr>
        <w:pStyle w:val="ad"/>
        <w:rPr>
          <w:rFonts w:cstheme="majorBidi"/>
          <w:szCs w:val="18"/>
        </w:rPr>
      </w:pPr>
      <w:r>
        <w:rPr>
          <w:rFonts w:cstheme="majorBidi"/>
          <w:szCs w:val="18"/>
        </w:rPr>
        <w:tab/>
      </w:r>
      <w:r w:rsidRPr="001D1211">
        <w:rPr>
          <w:rStyle w:val="aa"/>
        </w:rPr>
        <w:footnoteRef/>
      </w:r>
      <w:r>
        <w:tab/>
        <w:t xml:space="preserve">См., например, </w:t>
      </w:r>
      <w:hyperlink r:id="rId54" w:history="1">
        <w:r w:rsidRPr="004854D8">
          <w:rPr>
            <w:rStyle w:val="af1"/>
          </w:rPr>
          <w:t>CAT/OP/CHL/1</w:t>
        </w:r>
      </w:hyperlink>
      <w:r>
        <w:t>, п. 113.</w:t>
      </w:r>
      <w:hyperlink r:id="rId55" w:history="1"/>
    </w:p>
  </w:footnote>
  <w:footnote w:id="39">
    <w:p w14:paraId="6A361A8A" w14:textId="07045107" w:rsidR="004854D8" w:rsidRPr="002061AB" w:rsidRDefault="004854D8" w:rsidP="004854D8">
      <w:pPr>
        <w:pStyle w:val="ad"/>
        <w:rPr>
          <w:rFonts w:cstheme="majorBidi"/>
          <w:szCs w:val="18"/>
          <w:lang w:val="en-US"/>
        </w:rPr>
      </w:pPr>
      <w:r>
        <w:rPr>
          <w:rFonts w:cstheme="majorBidi"/>
          <w:szCs w:val="18"/>
        </w:rPr>
        <w:tab/>
      </w:r>
      <w:r w:rsidRPr="001D1211">
        <w:rPr>
          <w:rStyle w:val="aa"/>
        </w:rPr>
        <w:footnoteRef/>
      </w:r>
      <w:r w:rsidRPr="002061AB">
        <w:rPr>
          <w:lang w:val="en-US"/>
        </w:rPr>
        <w:tab/>
      </w:r>
      <w:r>
        <w:fldChar w:fldCharType="begin"/>
      </w:r>
      <w:r w:rsidRPr="00B17197">
        <w:rPr>
          <w:lang w:val="en-US"/>
        </w:rPr>
        <w:instrText>HYPERLINK "https://docs.un.org/ru/A/HRC/60/55"</w:instrText>
      </w:r>
      <w:r>
        <w:fldChar w:fldCharType="separate"/>
      </w:r>
      <w:r w:rsidRPr="002061AB">
        <w:rPr>
          <w:rStyle w:val="af1"/>
          <w:lang w:val="en-US"/>
        </w:rPr>
        <w:t>A/HRC/60/55</w:t>
      </w:r>
      <w:r>
        <w:fldChar w:fldCharType="end"/>
      </w:r>
      <w:r w:rsidRPr="002061AB">
        <w:rPr>
          <w:lang w:val="en-US"/>
        </w:rPr>
        <w:t xml:space="preserve">. </w:t>
      </w:r>
      <w:r>
        <w:t>См</w:t>
      </w:r>
      <w:r w:rsidRPr="002061AB">
        <w:rPr>
          <w:lang w:val="en-US"/>
        </w:rPr>
        <w:t xml:space="preserve">. </w:t>
      </w:r>
      <w:r>
        <w:t>также</w:t>
      </w:r>
      <w:r w:rsidRPr="002061AB">
        <w:rPr>
          <w:lang w:val="en-US"/>
        </w:rPr>
        <w:t xml:space="preserve"> </w:t>
      </w:r>
      <w:r w:rsidR="002061AB" w:rsidRPr="002061AB">
        <w:rPr>
          <w:lang w:val="en-US"/>
        </w:rPr>
        <w:t xml:space="preserve">URL: </w:t>
      </w:r>
      <w:hyperlink r:id="rId56" w:history="1">
        <w:r w:rsidR="002061AB" w:rsidRPr="002061AB">
          <w:rPr>
            <w:rStyle w:val="af1"/>
            <w:lang w:val="en-US"/>
          </w:rPr>
          <w:t>https://www.ohchr.org/en/calls-for-input/2025/call-input-ohchr-comprehensive-study-human-rights-and-social-reintegration</w:t>
        </w:r>
      </w:hyperlink>
      <w:r w:rsidRPr="002061AB">
        <w:rPr>
          <w:lang w:val="en-US"/>
        </w:rPr>
        <w:t>.</w:t>
      </w:r>
      <w:hyperlink r:id="rId57" w:history="1"/>
      <w:hyperlink r:id="rId58" w:history="1"/>
    </w:p>
  </w:footnote>
  <w:footnote w:id="40">
    <w:p w14:paraId="38A506DC" w14:textId="53657B7F" w:rsidR="004854D8" w:rsidRPr="002061AB" w:rsidRDefault="004854D8" w:rsidP="004854D8">
      <w:pPr>
        <w:pStyle w:val="ad"/>
        <w:rPr>
          <w:rFonts w:cstheme="majorBidi"/>
          <w:szCs w:val="18"/>
          <w:lang w:val="en-US"/>
        </w:rPr>
      </w:pPr>
      <w:r w:rsidRPr="002061AB">
        <w:rPr>
          <w:rFonts w:cstheme="majorBidi"/>
          <w:szCs w:val="18"/>
          <w:lang w:val="en-US"/>
        </w:rPr>
        <w:tab/>
      </w:r>
      <w:r w:rsidRPr="001D1211">
        <w:rPr>
          <w:rStyle w:val="aa"/>
        </w:rPr>
        <w:footnoteRef/>
      </w:r>
      <w:r w:rsidRPr="002061AB">
        <w:rPr>
          <w:lang w:val="en-US"/>
        </w:rPr>
        <w:tab/>
      </w:r>
      <w:r>
        <w:fldChar w:fldCharType="begin"/>
      </w:r>
      <w:r w:rsidRPr="00B17197">
        <w:rPr>
          <w:lang w:val="en-US"/>
        </w:rPr>
        <w:instrText>HYPERLINK "https://docs.un.org/en/CAT/OP/NZL/1"</w:instrText>
      </w:r>
      <w:r>
        <w:fldChar w:fldCharType="separate"/>
      </w:r>
      <w:r w:rsidRPr="002061AB">
        <w:rPr>
          <w:rStyle w:val="af1"/>
          <w:lang w:val="en-US"/>
        </w:rPr>
        <w:t>CAT/OP/NZL/1</w:t>
      </w:r>
      <w:r>
        <w:fldChar w:fldCharType="end"/>
      </w:r>
      <w:r w:rsidRPr="002061AB">
        <w:rPr>
          <w:lang w:val="en-US"/>
        </w:rPr>
        <w:t xml:space="preserve">, </w:t>
      </w:r>
      <w:r>
        <w:t>пп</w:t>
      </w:r>
      <w:r w:rsidRPr="002061AB">
        <w:rPr>
          <w:lang w:val="en-US"/>
        </w:rPr>
        <w:t xml:space="preserve">. 33 </w:t>
      </w:r>
      <w:r>
        <w:t>и</w:t>
      </w:r>
      <w:r w:rsidRPr="002061AB">
        <w:rPr>
          <w:lang w:val="en-US"/>
        </w:rPr>
        <w:t xml:space="preserve"> 52; </w:t>
      </w:r>
      <w:hyperlink r:id="rId59" w:history="1">
        <w:r w:rsidRPr="002061AB">
          <w:rPr>
            <w:rStyle w:val="af1"/>
            <w:lang w:val="en-US"/>
          </w:rPr>
          <w:t>CAT/OP/UKR/3</w:t>
        </w:r>
      </w:hyperlink>
      <w:r w:rsidRPr="002061AB">
        <w:rPr>
          <w:lang w:val="en-US"/>
        </w:rPr>
        <w:t xml:space="preserve">, </w:t>
      </w:r>
      <w:r>
        <w:t>п</w:t>
      </w:r>
      <w:r w:rsidRPr="002061AB">
        <w:rPr>
          <w:lang w:val="en-US"/>
        </w:rPr>
        <w:t xml:space="preserve">. 29; </w:t>
      </w:r>
      <w:r>
        <w:t>и</w:t>
      </w:r>
      <w:r w:rsidRPr="002061AB">
        <w:rPr>
          <w:lang w:val="en-US"/>
        </w:rPr>
        <w:t xml:space="preserve"> </w:t>
      </w:r>
      <w:hyperlink r:id="rId60" w:history="1">
        <w:r w:rsidRPr="002061AB">
          <w:rPr>
            <w:rStyle w:val="af1"/>
            <w:lang w:val="en-US"/>
          </w:rPr>
          <w:t>CAT/OP/ROU/1</w:t>
        </w:r>
      </w:hyperlink>
      <w:r w:rsidRPr="002061AB">
        <w:rPr>
          <w:lang w:val="en-US"/>
        </w:rPr>
        <w:t xml:space="preserve">, </w:t>
      </w:r>
      <w:r>
        <w:t>п</w:t>
      </w:r>
      <w:r w:rsidRPr="002061AB">
        <w:rPr>
          <w:lang w:val="en-US"/>
        </w:rPr>
        <w:t>. 38.</w:t>
      </w:r>
      <w:hyperlink r:id="rId61" w:history="1"/>
      <w:hyperlink r:id="rId62" w:history="1"/>
      <w:hyperlink r:id="rId63"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7DDFA" w14:textId="7E18F6F0" w:rsidR="004854D8" w:rsidRPr="004854D8" w:rsidRDefault="004854D8">
    <w:pPr>
      <w:pStyle w:val="a5"/>
    </w:pPr>
    <w:fldSimple w:instr=" TITLE  \* MERGEFORMAT ">
      <w:r>
        <w:t>CAT/C/84/2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443E8" w14:textId="04E96BA7" w:rsidR="004854D8" w:rsidRPr="004854D8" w:rsidRDefault="004854D8" w:rsidP="004854D8">
    <w:pPr>
      <w:pStyle w:val="a5"/>
      <w:jc w:val="right"/>
    </w:pPr>
    <w:fldSimple w:instr=" TITLE  \* MERGEFORMAT ">
      <w:r>
        <w:t>CAT/C/84/2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A18"/>
    <w:rsid w:val="00030741"/>
    <w:rsid w:val="00033EE1"/>
    <w:rsid w:val="00041407"/>
    <w:rsid w:val="00042B72"/>
    <w:rsid w:val="000558BD"/>
    <w:rsid w:val="000725B5"/>
    <w:rsid w:val="00076CD7"/>
    <w:rsid w:val="000814CD"/>
    <w:rsid w:val="000B32B4"/>
    <w:rsid w:val="000B57E7"/>
    <w:rsid w:val="000B6373"/>
    <w:rsid w:val="000F09DF"/>
    <w:rsid w:val="000F61B2"/>
    <w:rsid w:val="00102625"/>
    <w:rsid w:val="001075E9"/>
    <w:rsid w:val="00122020"/>
    <w:rsid w:val="00180183"/>
    <w:rsid w:val="0018024D"/>
    <w:rsid w:val="0018649F"/>
    <w:rsid w:val="00196389"/>
    <w:rsid w:val="001B3EF6"/>
    <w:rsid w:val="001C7A89"/>
    <w:rsid w:val="001D0098"/>
    <w:rsid w:val="002061AB"/>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3F259A"/>
    <w:rsid w:val="00403C9E"/>
    <w:rsid w:val="00407B78"/>
    <w:rsid w:val="00424203"/>
    <w:rsid w:val="00452493"/>
    <w:rsid w:val="00454E07"/>
    <w:rsid w:val="00472C5C"/>
    <w:rsid w:val="004854D8"/>
    <w:rsid w:val="004B1EF7"/>
    <w:rsid w:val="0050108D"/>
    <w:rsid w:val="00511E32"/>
    <w:rsid w:val="00513081"/>
    <w:rsid w:val="00514A18"/>
    <w:rsid w:val="00517901"/>
    <w:rsid w:val="00523039"/>
    <w:rsid w:val="00526683"/>
    <w:rsid w:val="00530476"/>
    <w:rsid w:val="00550706"/>
    <w:rsid w:val="005709E0"/>
    <w:rsid w:val="00570A37"/>
    <w:rsid w:val="00572E19"/>
    <w:rsid w:val="0058663C"/>
    <w:rsid w:val="005961C8"/>
    <w:rsid w:val="005D7914"/>
    <w:rsid w:val="005E2B41"/>
    <w:rsid w:val="005F0B42"/>
    <w:rsid w:val="00616832"/>
    <w:rsid w:val="00681A10"/>
    <w:rsid w:val="006A1ED8"/>
    <w:rsid w:val="006B48E6"/>
    <w:rsid w:val="006C2031"/>
    <w:rsid w:val="006D461A"/>
    <w:rsid w:val="006F35EE"/>
    <w:rsid w:val="007021FF"/>
    <w:rsid w:val="00712895"/>
    <w:rsid w:val="0075297E"/>
    <w:rsid w:val="00757357"/>
    <w:rsid w:val="007774F0"/>
    <w:rsid w:val="007874A0"/>
    <w:rsid w:val="007C7F5F"/>
    <w:rsid w:val="00825F8D"/>
    <w:rsid w:val="00834B71"/>
    <w:rsid w:val="00834CC0"/>
    <w:rsid w:val="008522C1"/>
    <w:rsid w:val="0086445C"/>
    <w:rsid w:val="00894693"/>
    <w:rsid w:val="008A08D7"/>
    <w:rsid w:val="008B6909"/>
    <w:rsid w:val="008E5322"/>
    <w:rsid w:val="00906890"/>
    <w:rsid w:val="00911BE4"/>
    <w:rsid w:val="00951972"/>
    <w:rsid w:val="00953B7A"/>
    <w:rsid w:val="009569AF"/>
    <w:rsid w:val="009608F3"/>
    <w:rsid w:val="009A24AC"/>
    <w:rsid w:val="00A312BC"/>
    <w:rsid w:val="00A478EF"/>
    <w:rsid w:val="00A66C5E"/>
    <w:rsid w:val="00A74D9D"/>
    <w:rsid w:val="00A84021"/>
    <w:rsid w:val="00A84D35"/>
    <w:rsid w:val="00A917B3"/>
    <w:rsid w:val="00AB0881"/>
    <w:rsid w:val="00AB4B51"/>
    <w:rsid w:val="00B10CC7"/>
    <w:rsid w:val="00B17197"/>
    <w:rsid w:val="00B20CB2"/>
    <w:rsid w:val="00B53245"/>
    <w:rsid w:val="00B539E7"/>
    <w:rsid w:val="00B62458"/>
    <w:rsid w:val="00BC18B2"/>
    <w:rsid w:val="00BD33EE"/>
    <w:rsid w:val="00C106D6"/>
    <w:rsid w:val="00C23549"/>
    <w:rsid w:val="00C60F0C"/>
    <w:rsid w:val="00C805C9"/>
    <w:rsid w:val="00C838C6"/>
    <w:rsid w:val="00C92939"/>
    <w:rsid w:val="00CA1679"/>
    <w:rsid w:val="00CB151C"/>
    <w:rsid w:val="00CD5478"/>
    <w:rsid w:val="00CE5A1A"/>
    <w:rsid w:val="00CF55F6"/>
    <w:rsid w:val="00D33D63"/>
    <w:rsid w:val="00D6392D"/>
    <w:rsid w:val="00D7263B"/>
    <w:rsid w:val="00D90028"/>
    <w:rsid w:val="00D90138"/>
    <w:rsid w:val="00DD1D1E"/>
    <w:rsid w:val="00DF71B9"/>
    <w:rsid w:val="00E21169"/>
    <w:rsid w:val="00E25141"/>
    <w:rsid w:val="00E33282"/>
    <w:rsid w:val="00E528D1"/>
    <w:rsid w:val="00E73F76"/>
    <w:rsid w:val="00EA2C9F"/>
    <w:rsid w:val="00ED0BDA"/>
    <w:rsid w:val="00EF1360"/>
    <w:rsid w:val="00EF3220"/>
    <w:rsid w:val="00F21B00"/>
    <w:rsid w:val="00F82DE6"/>
    <w:rsid w:val="00F90E40"/>
    <w:rsid w:val="00F94155"/>
    <w:rsid w:val="00F9783F"/>
    <w:rsid w:val="00FD2EF7"/>
    <w:rsid w:val="00FD39AF"/>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AFF70"/>
  <w15:docId w15:val="{90B2B220-A7A0-45BF-83CA-54F5EE01A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4854D8"/>
    <w:rPr>
      <w:lang w:val="ru-RU" w:eastAsia="en-US"/>
    </w:rPr>
  </w:style>
  <w:style w:type="character" w:styleId="af3">
    <w:name w:val="Unresolved Mention"/>
    <w:basedOn w:val="a0"/>
    <w:uiPriority w:val="99"/>
    <w:semiHidden/>
    <w:unhideWhenUsed/>
    <w:rsid w:val="00485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ru/CAT/OP/KAZ/ROSP/1" TargetMode="External"/><Relationship Id="rId18" Type="http://schemas.openxmlformats.org/officeDocument/2006/relationships/hyperlink" Target="https://docs.un.org/en/CAT/OP/MOZ/CSPRO/1" TargetMode="External"/><Relationship Id="rId26" Type="http://schemas.openxmlformats.org/officeDocument/2006/relationships/hyperlink" Target="https://docs.un.org/en/CAT/C/82/2" TargetMode="External"/><Relationship Id="rId39" Type="http://schemas.openxmlformats.org/officeDocument/2006/relationships/hyperlink" Target="https://docs.un.org/ru/CAT/C/79/2" TargetMode="External"/><Relationship Id="rId21" Type="http://schemas.openxmlformats.org/officeDocument/2006/relationships/hyperlink" Target="https://docs.un.org/en/CAT/OP/MOZ/CSPRO/1" TargetMode="External"/><Relationship Id="rId34" Type="http://schemas.openxmlformats.org/officeDocument/2006/relationships/hyperlink" Target="https://docs.un.org/en/CAT/OP/CYP/1" TargetMode="External"/><Relationship Id="rId42" Type="http://schemas.openxmlformats.org/officeDocument/2006/relationships/hyperlink" Target="https://docs.un.org/en/CAT/C/79/2" TargetMode="External"/><Relationship Id="rId47" Type="http://schemas.openxmlformats.org/officeDocument/2006/relationships/hyperlink" Target="https://docs.un.org/ru/CAT/OP/12/5" TargetMode="External"/><Relationship Id="rId50" Type="http://schemas.openxmlformats.org/officeDocument/2006/relationships/hyperlink" Target="https://docs.un.org/en/CAT/C/82/2" TargetMode="External"/><Relationship Id="rId55" Type="http://schemas.openxmlformats.org/officeDocument/2006/relationships/hyperlink" Target="https://docs.un.org/en/CAT/OP/CHL/1" TargetMode="External"/><Relationship Id="rId63" Type="http://schemas.openxmlformats.org/officeDocument/2006/relationships/hyperlink" Target="https://docs.un.org/en/CAT/OP/ROU/1" TargetMode="External"/><Relationship Id="rId7" Type="http://schemas.openxmlformats.org/officeDocument/2006/relationships/hyperlink" Target="https://www.ohchr.org/en/press-releases/2025/06/serbia-needs-strengthen-effective-torture-prevention-measures-un-torture" TargetMode="External"/><Relationship Id="rId2" Type="http://schemas.openxmlformats.org/officeDocument/2006/relationships/hyperlink" Target="https://webtv.un.org/en/asset/k1j/k1jp9dkh5b" TargetMode="External"/><Relationship Id="rId16" Type="http://schemas.openxmlformats.org/officeDocument/2006/relationships/hyperlink" Target="https://docs.un.org/en/CAT/OP/KAZ/ROSP/1" TargetMode="External"/><Relationship Id="rId20" Type="http://schemas.openxmlformats.org/officeDocument/2006/relationships/hyperlink" Target="https://docs.un.org/en/CAT/OP/HRV/CSPRO/1" TargetMode="External"/><Relationship Id="rId29" Type="http://schemas.openxmlformats.org/officeDocument/2006/relationships/hyperlink" Target="https://docs.un.org/ru/CAT/OP/8" TargetMode="External"/><Relationship Id="rId41" Type="http://schemas.openxmlformats.org/officeDocument/2006/relationships/hyperlink" Target="https://docs.un.org/ru/CAT/C/79/2" TargetMode="External"/><Relationship Id="rId54" Type="http://schemas.openxmlformats.org/officeDocument/2006/relationships/hyperlink" Target="https://docs.un.org/sp/CAT/OP/CHL/1" TargetMode="External"/><Relationship Id="rId62" Type="http://schemas.openxmlformats.org/officeDocument/2006/relationships/hyperlink" Target="https://docs.un.org/en/CAT/OP/UKR/3"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press-releases/2025/06/peru-un-experts-raise-concern-over-juvenile-detention-adult-prisons" TargetMode="External"/><Relationship Id="rId11" Type="http://schemas.openxmlformats.org/officeDocument/2006/relationships/hyperlink" Target="https://tbinternet.ohchr.org/_layouts/15/TreatyBodyExternal/CountryVisits.aspx" TargetMode="External"/><Relationship Id="rId24" Type="http://schemas.openxmlformats.org/officeDocument/2006/relationships/hyperlink" Target="https://www.ohchr.org/en/treaty-bodies/spt/non-compliance-article-17" TargetMode="External"/><Relationship Id="rId32" Type="http://schemas.openxmlformats.org/officeDocument/2006/relationships/hyperlink" Target="https://docs.un.org/en/CAT/C/57/4/Corr.1" TargetMode="External"/><Relationship Id="rId37" Type="http://schemas.openxmlformats.org/officeDocument/2006/relationships/hyperlink" Target="https://docs.un.org/en/CAT/C/79/2" TargetMode="External"/><Relationship Id="rId40" Type="http://schemas.openxmlformats.org/officeDocument/2006/relationships/hyperlink" Target="https://docs.un.org/en/CAT/C/79/2" TargetMode="External"/><Relationship Id="rId45" Type="http://schemas.openxmlformats.org/officeDocument/2006/relationships/hyperlink" Target="https://docs.un.org/ru/CAT/OP/12/6" TargetMode="External"/><Relationship Id="rId53" Type="http://schemas.openxmlformats.org/officeDocument/2006/relationships/hyperlink" Target="https://docs.un.org/en/A/80/294" TargetMode="External"/><Relationship Id="rId58" Type="http://schemas.openxmlformats.org/officeDocument/2006/relationships/hyperlink" Target="https://www.ohchr.org/en/calls-for-input/2025/call-input-ohchr-comprehensive-study-human-rights-and-social-reintegration" TargetMode="External"/><Relationship Id="rId5" Type="http://schemas.openxmlformats.org/officeDocument/2006/relationships/hyperlink" Target="https://www.ohchr.org/en/treaty-bodies/spt/visits" TargetMode="External"/><Relationship Id="rId15" Type="http://schemas.openxmlformats.org/officeDocument/2006/relationships/hyperlink" Target="https://docs.un.org/en/CAT/OP/HRV/ROSP/1" TargetMode="External"/><Relationship Id="rId23" Type="http://schemas.openxmlformats.org/officeDocument/2006/relationships/hyperlink" Target="https://www.ohchr.org/en/treaty-bodies/spt/non-compliance-article-17" TargetMode="External"/><Relationship Id="rId28" Type="http://schemas.openxmlformats.org/officeDocument/2006/relationships/hyperlink" Target="https://docs.un.org/en/CAT/OP/12/5" TargetMode="External"/><Relationship Id="rId36" Type="http://schemas.openxmlformats.org/officeDocument/2006/relationships/hyperlink" Target="https://docs.un.org/en/CAT/C/57/4/Corr.1" TargetMode="External"/><Relationship Id="rId49" Type="http://schemas.openxmlformats.org/officeDocument/2006/relationships/hyperlink" Target="https://docs.un.org/en/CAT/OP/12/5" TargetMode="External"/><Relationship Id="rId57" Type="http://schemas.openxmlformats.org/officeDocument/2006/relationships/hyperlink" Target="https://docs.un.org/en/A/HRC/60/55" TargetMode="External"/><Relationship Id="rId61" Type="http://schemas.openxmlformats.org/officeDocument/2006/relationships/hyperlink" Target="https://docs.un.org/en/CAT/OP/NZL/1" TargetMode="External"/><Relationship Id="rId10" Type="http://schemas.openxmlformats.org/officeDocument/2006/relationships/hyperlink" Target="https://www.ohchr.org/en/press-releases/2025/11/mozambique-pivotal-moment-strengthen-torture-safeguards-un-body-says" TargetMode="External"/><Relationship Id="rId19" Type="http://schemas.openxmlformats.org/officeDocument/2006/relationships/hyperlink" Target="https://docs.un.org/fr/CAT/OP/SEN/CSPRO/1" TargetMode="External"/><Relationship Id="rId31" Type="http://schemas.openxmlformats.org/officeDocument/2006/relationships/hyperlink" Target="https://docs.un.org/ru/CAT/C/57/4" TargetMode="External"/><Relationship Id="rId44" Type="http://schemas.openxmlformats.org/officeDocument/2006/relationships/hyperlink" Target="https://docs.un.org/en/CAT/OP/12/5" TargetMode="External"/><Relationship Id="rId52" Type="http://schemas.openxmlformats.org/officeDocument/2006/relationships/hyperlink" Target="https://docs.un.org/ru/A/80/294" TargetMode="External"/><Relationship Id="rId60" Type="http://schemas.openxmlformats.org/officeDocument/2006/relationships/hyperlink" Target="https://docs.un.org/en/CAT/OP/ROU/1" TargetMode="External"/><Relationship Id="rId4" Type="http://schemas.openxmlformats.org/officeDocument/2006/relationships/hyperlink" Target="https://www.ohchr.org/en/treaty-bodies/spt/regional-teams" TargetMode="External"/><Relationship Id="rId9" Type="http://schemas.openxmlformats.org/officeDocument/2006/relationships/hyperlink" Target="https://www.ohchr.org/en/press-releases/2025/11/mozambique-pivotal-moment-strengthen-torture-safeguards-un-body-says" TargetMode="External"/><Relationship Id="rId14" Type="http://schemas.openxmlformats.org/officeDocument/2006/relationships/hyperlink" Target="https://docs.un.org/fr/CAT/OP/SEN/ROSP/1" TargetMode="External"/><Relationship Id="rId22" Type="http://schemas.openxmlformats.org/officeDocument/2006/relationships/hyperlink" Target="https://docs.un.org/en/CAT/OP/SEN/CSPRO/1" TargetMode="External"/><Relationship Id="rId27" Type="http://schemas.openxmlformats.org/officeDocument/2006/relationships/hyperlink" Target="https://docs.un.org/ru/CAT/OP/12/5" TargetMode="External"/><Relationship Id="rId30" Type="http://schemas.openxmlformats.org/officeDocument/2006/relationships/hyperlink" Target="https://docs.un.org/en/CAT/OP/8" TargetMode="External"/><Relationship Id="rId35" Type="http://schemas.openxmlformats.org/officeDocument/2006/relationships/hyperlink" Target="https://docs.un.org/en/CAT/C/57/4" TargetMode="External"/><Relationship Id="rId43" Type="http://schemas.openxmlformats.org/officeDocument/2006/relationships/hyperlink" Target="https://docs.un.org/ru/CAT/OP/12/5" TargetMode="External"/><Relationship Id="rId48" Type="http://schemas.openxmlformats.org/officeDocument/2006/relationships/hyperlink" Target="https://docs.un.org/en/CAT/OP/12/5" TargetMode="External"/><Relationship Id="rId56" Type="http://schemas.openxmlformats.org/officeDocument/2006/relationships/hyperlink" Target="https://www.ohchr.org/en/calls-for-input/2025/call-input-ohchr-comprehensive-study-human-rights-and-social-reintegration" TargetMode="External"/><Relationship Id="rId8" Type="http://schemas.openxmlformats.org/officeDocument/2006/relationships/hyperlink" Target="https://www.ohchr.org/en/press-releases/2025/10/new-zealand-needs-cut-prison-population-and-strengthen-oversight-un-torture" TargetMode="External"/><Relationship Id="rId51" Type="http://schemas.openxmlformats.org/officeDocument/2006/relationships/hyperlink" Target="https://www.ohchr.org/en/statements-and-speeches/2025/06/protecting-protests-un-anti-torture-mechanisms-call-responsible-and" TargetMode="External"/><Relationship Id="rId3" Type="http://schemas.openxmlformats.org/officeDocument/2006/relationships/hyperlink" Target="https://webtv.un.org/en/asset/k1j/k1jp9dkh5b" TargetMode="External"/><Relationship Id="rId12" Type="http://schemas.openxmlformats.org/officeDocument/2006/relationships/hyperlink" Target="https://tbinternet.ohchr.org/_layouts/15/TreatyBodyExternal/CountryVisits.aspx" TargetMode="External"/><Relationship Id="rId17" Type="http://schemas.openxmlformats.org/officeDocument/2006/relationships/hyperlink" Target="https://docs.un.org/en/CAT/OP/SEN/ROSP/1" TargetMode="External"/><Relationship Id="rId25" Type="http://schemas.openxmlformats.org/officeDocument/2006/relationships/hyperlink" Target="https://docs.un.org/ru/CAT/C/82/2" TargetMode="External"/><Relationship Id="rId33" Type="http://schemas.openxmlformats.org/officeDocument/2006/relationships/hyperlink" Target="https://docs.un.org/ru/CAT/C/79/2" TargetMode="External"/><Relationship Id="rId38" Type="http://schemas.openxmlformats.org/officeDocument/2006/relationships/hyperlink" Target="https://docs.un.org/en/CAT/OP/CYP/1" TargetMode="External"/><Relationship Id="rId46" Type="http://schemas.openxmlformats.org/officeDocument/2006/relationships/hyperlink" Target="https://docs.un.org/en/CAT/OP/12/6" TargetMode="External"/><Relationship Id="rId59" Type="http://schemas.openxmlformats.org/officeDocument/2006/relationships/hyperlink" Target="https://docs.un.org/ru/CAT/OP/UKR/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7</TotalTime>
  <Pages>21</Pages>
  <Words>6772</Words>
  <Characters>60275</Characters>
  <Application>Microsoft Office Word</Application>
  <DocSecurity>0</DocSecurity>
  <Lines>5479</Lines>
  <Paragraphs>2234</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64813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CAT/C/84/2</dc:title>
  <dc:subject/>
  <dc:creator>Anna KISSELEVA</dc:creator>
  <cp:keywords/>
  <cp:lastModifiedBy>Anna Kisseleva</cp:lastModifiedBy>
  <cp:revision>5</cp:revision>
  <cp:lastPrinted>2026-03-23T14:21:00Z</cp:lastPrinted>
  <dcterms:created xsi:type="dcterms:W3CDTF">2026-03-23T14:21:00Z</dcterms:created>
  <dcterms:modified xsi:type="dcterms:W3CDTF">2026-03-24T06:42:00Z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