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570B50D" w14:textId="77777777" w:rsidTr="0002432E">
        <w:trPr>
          <w:trHeight w:hRule="exact" w:val="851"/>
        </w:trPr>
        <w:tc>
          <w:tcPr>
            <w:tcW w:w="1276" w:type="dxa"/>
            <w:tcBorders>
              <w:bottom w:val="single" w:sz="4" w:space="0" w:color="auto"/>
            </w:tcBorders>
          </w:tcPr>
          <w:p w14:paraId="6823EB56" w14:textId="77777777" w:rsidR="0080236C" w:rsidRPr="00DB58B5" w:rsidRDefault="0080236C" w:rsidP="007A401D">
            <w:bookmarkStart w:id="0" w:name="_Hlk183428704"/>
            <w:bookmarkEnd w:id="0"/>
          </w:p>
        </w:tc>
        <w:tc>
          <w:tcPr>
            <w:tcW w:w="2268" w:type="dxa"/>
            <w:tcBorders>
              <w:bottom w:val="single" w:sz="4" w:space="0" w:color="auto"/>
            </w:tcBorders>
            <w:vAlign w:val="bottom"/>
          </w:tcPr>
          <w:p w14:paraId="4508344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CA9987" w14:textId="216B6492" w:rsidR="0080236C" w:rsidRPr="00DB58B5" w:rsidRDefault="007A401D" w:rsidP="007A401D">
            <w:pPr>
              <w:jc w:val="right"/>
            </w:pPr>
            <w:r w:rsidRPr="007A401D">
              <w:rPr>
                <w:sz w:val="40"/>
              </w:rPr>
              <w:t>E</w:t>
            </w:r>
            <w:r>
              <w:t>/C.12/NLD/RQ/7</w:t>
            </w:r>
          </w:p>
        </w:tc>
      </w:tr>
      <w:tr w:rsidR="0080236C" w:rsidRPr="00DB58B5" w14:paraId="1E864830" w14:textId="77777777" w:rsidTr="0002432E">
        <w:trPr>
          <w:trHeight w:hRule="exact" w:val="2835"/>
        </w:trPr>
        <w:tc>
          <w:tcPr>
            <w:tcW w:w="1276" w:type="dxa"/>
            <w:tcBorders>
              <w:top w:val="single" w:sz="4" w:space="0" w:color="auto"/>
              <w:bottom w:val="single" w:sz="12" w:space="0" w:color="auto"/>
            </w:tcBorders>
          </w:tcPr>
          <w:p w14:paraId="4FDE6181" w14:textId="77777777" w:rsidR="0080236C" w:rsidRPr="00DB58B5" w:rsidRDefault="0080236C" w:rsidP="0002432E">
            <w:pPr>
              <w:spacing w:before="120"/>
              <w:jc w:val="center"/>
            </w:pPr>
            <w:r>
              <w:rPr>
                <w:noProof/>
                <w:lang w:eastAsia="fr-CH"/>
              </w:rPr>
              <w:drawing>
                <wp:inline distT="0" distB="0" distL="0" distR="0" wp14:anchorId="3B591655" wp14:editId="63BA807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4F6B0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52B67E0" w14:textId="77777777" w:rsidR="0080236C" w:rsidRDefault="007A401D" w:rsidP="0002432E">
            <w:pPr>
              <w:spacing w:before="240"/>
            </w:pPr>
            <w:r>
              <w:t>Distr. générale</w:t>
            </w:r>
          </w:p>
          <w:p w14:paraId="6B612F2E" w14:textId="3C9FECA2" w:rsidR="007A401D" w:rsidRDefault="007A401D" w:rsidP="007A401D">
            <w:pPr>
              <w:spacing w:line="240" w:lineRule="exact"/>
            </w:pPr>
            <w:r>
              <w:t>11 novembre 2024</w:t>
            </w:r>
          </w:p>
          <w:p w14:paraId="744B50EC" w14:textId="77777777" w:rsidR="007A401D" w:rsidRDefault="007A401D" w:rsidP="007A401D">
            <w:pPr>
              <w:spacing w:line="240" w:lineRule="exact"/>
            </w:pPr>
            <w:r>
              <w:t>Français</w:t>
            </w:r>
          </w:p>
          <w:p w14:paraId="52DCB107" w14:textId="77777777" w:rsidR="007A401D" w:rsidRDefault="007A401D" w:rsidP="007A401D">
            <w:pPr>
              <w:spacing w:line="240" w:lineRule="exact"/>
            </w:pPr>
            <w:r>
              <w:t>Original : anglais</w:t>
            </w:r>
          </w:p>
          <w:p w14:paraId="7EC9CB39" w14:textId="2557A1D1" w:rsidR="007A401D" w:rsidRPr="00DB58B5" w:rsidRDefault="007A401D" w:rsidP="007A401D">
            <w:pPr>
              <w:spacing w:line="240" w:lineRule="exact"/>
            </w:pPr>
            <w:r>
              <w:t>Anglais, espagnol et français seulement</w:t>
            </w:r>
          </w:p>
        </w:tc>
      </w:tr>
    </w:tbl>
    <w:p w14:paraId="4B5ABC06" w14:textId="77777777" w:rsidR="007A401D" w:rsidRPr="00E4666C" w:rsidRDefault="007A401D" w:rsidP="00CF56FB">
      <w:pPr>
        <w:spacing w:before="120"/>
        <w:rPr>
          <w:b/>
          <w:sz w:val="24"/>
          <w:szCs w:val="24"/>
        </w:rPr>
      </w:pPr>
      <w:r w:rsidRPr="00E4666C">
        <w:rPr>
          <w:b/>
          <w:sz w:val="24"/>
          <w:szCs w:val="24"/>
        </w:rPr>
        <w:t>Comité des droits économiques, sociaux et culturels</w:t>
      </w:r>
    </w:p>
    <w:p w14:paraId="72EC16BB" w14:textId="7A204335" w:rsidR="007A401D" w:rsidRPr="00CB2CDF" w:rsidRDefault="007A401D" w:rsidP="00CF56FB">
      <w:pPr>
        <w:rPr>
          <w:b/>
        </w:rPr>
      </w:pPr>
      <w:r>
        <w:rPr>
          <w:b/>
        </w:rPr>
        <w:t>Soixante-</w:t>
      </w:r>
      <w:r w:rsidR="00135325">
        <w:rPr>
          <w:b/>
        </w:rPr>
        <w:t>dix-</w:t>
      </w:r>
      <w:r>
        <w:rPr>
          <w:b/>
        </w:rPr>
        <w:t xml:space="preserve">huitième </w:t>
      </w:r>
      <w:r w:rsidRPr="00CB2CDF">
        <w:rPr>
          <w:b/>
        </w:rPr>
        <w:t>session</w:t>
      </w:r>
    </w:p>
    <w:p w14:paraId="6630FAFE" w14:textId="2205A80A" w:rsidR="007A401D" w:rsidRDefault="007A401D" w:rsidP="00CF56FB">
      <w:r>
        <w:t>Genève, 8 septembre-3 octobre 2025</w:t>
      </w:r>
    </w:p>
    <w:p w14:paraId="2CEAC93C" w14:textId="147D194C" w:rsidR="007A401D" w:rsidRDefault="007A401D" w:rsidP="007A401D">
      <w:pPr>
        <w:rPr>
          <w:rFonts w:eastAsia="Times New Roman"/>
          <w:b/>
          <w:bCs/>
        </w:rPr>
      </w:pPr>
      <w:r>
        <w:rPr>
          <w:rFonts w:eastAsia="Times New Roman"/>
          <w:b/>
          <w:bCs/>
        </w:rPr>
        <w:t xml:space="preserve">Examen des rapports : rapports soumis par les États parties </w:t>
      </w:r>
      <w:r>
        <w:rPr>
          <w:rFonts w:eastAsia="Times New Roman"/>
          <w:b/>
          <w:bCs/>
        </w:rPr>
        <w:br/>
        <w:t>en application des articles 16 et 17 du Pacte</w:t>
      </w:r>
    </w:p>
    <w:p w14:paraId="3F6545C9" w14:textId="26A06541" w:rsidR="007A401D" w:rsidRDefault="007A401D" w:rsidP="007A401D">
      <w:pPr>
        <w:pStyle w:val="HMG"/>
      </w:pPr>
      <w:r>
        <w:rPr>
          <w:bCs/>
        </w:rPr>
        <w:tab/>
      </w:r>
      <w:r>
        <w:rPr>
          <w:bCs/>
        </w:rPr>
        <w:tab/>
      </w:r>
      <w:r w:rsidRPr="00F13F1C">
        <w:t>Réponses du Royaume des Pays-Bas à la liste de</w:t>
      </w:r>
      <w:r>
        <w:t> </w:t>
      </w:r>
      <w:r w:rsidRPr="00F13F1C">
        <w:t>points concernant son septième rapport périodique</w:t>
      </w:r>
      <w:r w:rsidRPr="007A401D">
        <w:rPr>
          <w:rStyle w:val="Appelnotedebasdep"/>
          <w:rFonts w:eastAsia="Times New Roman"/>
          <w:b w:val="0"/>
          <w:bCs/>
          <w:sz w:val="20"/>
          <w:vertAlign w:val="baseline"/>
        </w:rPr>
        <w:footnoteReference w:customMarkFollows="1" w:id="2"/>
        <w:t>*</w:t>
      </w:r>
      <w:r w:rsidRPr="007A401D">
        <w:rPr>
          <w:rFonts w:eastAsia="Times New Roman"/>
          <w:b w:val="0"/>
          <w:bCs/>
          <w:sz w:val="20"/>
          <w:vertAlign w:val="superscript"/>
        </w:rPr>
        <w:t xml:space="preserve">, </w:t>
      </w:r>
      <w:r w:rsidRPr="007A401D">
        <w:rPr>
          <w:rStyle w:val="Appelnotedebasdep"/>
          <w:rFonts w:eastAsia="Times New Roman"/>
          <w:b w:val="0"/>
          <w:bCs/>
          <w:sz w:val="20"/>
          <w:vertAlign w:val="baseline"/>
        </w:rPr>
        <w:footnoteReference w:customMarkFollows="1" w:id="3"/>
        <w:t>**</w:t>
      </w:r>
    </w:p>
    <w:p w14:paraId="4E4EE80B" w14:textId="43E9BD9D" w:rsidR="00446FE5" w:rsidRDefault="007A401D" w:rsidP="007A401D">
      <w:pPr>
        <w:pStyle w:val="SingleTxtG"/>
        <w:jc w:val="right"/>
      </w:pPr>
      <w:r>
        <w:t>[Date de réception : 30 octobre 2024]</w:t>
      </w:r>
    </w:p>
    <w:p w14:paraId="2738CF39" w14:textId="77777777" w:rsidR="007A401D" w:rsidRDefault="007A401D" w:rsidP="007A401D">
      <w:pPr>
        <w:rPr>
          <w:rFonts w:eastAsia="Times New Roman"/>
        </w:rPr>
      </w:pPr>
    </w:p>
    <w:p w14:paraId="49D9A24D" w14:textId="197EB75D" w:rsidR="007A401D" w:rsidRDefault="007A401D" w:rsidP="007A401D">
      <w:pPr>
        <w:rPr>
          <w:rFonts w:eastAsia="Times New Roman"/>
        </w:rPr>
      </w:pPr>
      <w:r>
        <w:rPr>
          <w:rFonts w:eastAsia="Times New Roman"/>
        </w:rPr>
        <w:br w:type="page"/>
      </w:r>
    </w:p>
    <w:p w14:paraId="39B889E8" w14:textId="1EDB9D9E" w:rsidR="007A401D" w:rsidRDefault="007A401D" w:rsidP="007A401D">
      <w:pPr>
        <w:pStyle w:val="HChG"/>
      </w:pPr>
      <w:r>
        <w:lastRenderedPageBreak/>
        <w:tab/>
        <w:t>I.</w:t>
      </w:r>
      <w:r>
        <w:tab/>
        <w:t>Pays-Bas</w:t>
      </w:r>
    </w:p>
    <w:p w14:paraId="778F5209" w14:textId="192853F4" w:rsidR="007A401D" w:rsidRDefault="007A401D" w:rsidP="007A401D">
      <w:pPr>
        <w:pStyle w:val="H1G"/>
      </w:pPr>
      <w:r>
        <w:tab/>
        <w:t>A.</w:t>
      </w:r>
      <w:r>
        <w:tab/>
        <w:t>Renseignements d’ordre général</w:t>
      </w:r>
    </w:p>
    <w:p w14:paraId="504B0B6B" w14:textId="361CC016" w:rsidR="007A401D" w:rsidRDefault="007A401D" w:rsidP="007A401D">
      <w:pPr>
        <w:pStyle w:val="H23G"/>
      </w:pPr>
      <w:r>
        <w:tab/>
      </w:r>
      <w:r>
        <w:tab/>
        <w:t>Réponse au paragraphe 2 de la liste de points (E/C.12/NLD/Q/7)</w:t>
      </w:r>
    </w:p>
    <w:p w14:paraId="6A01F44A" w14:textId="2441DB5E" w:rsidR="007A401D" w:rsidRDefault="007A401D" w:rsidP="007A401D">
      <w:pPr>
        <w:pStyle w:val="SingleTxtG"/>
      </w:pPr>
      <w:r>
        <w:rPr>
          <w:bCs/>
        </w:rPr>
        <w:t>1.</w:t>
      </w:r>
      <w:r>
        <w:tab/>
        <w:t>Le statut du droit international dans l’ordre juridique néerlandais est déterminé par les articles 93 et 94 de la Constitution néerlandaise. En vertu de l’article</w:t>
      </w:r>
      <w:r w:rsidR="00343EC6">
        <w:t> </w:t>
      </w:r>
      <w:r>
        <w:t>94, une disposition de droit international peut être invoquée devant les tribunaux nationaux si elle est «</w:t>
      </w:r>
      <w:r w:rsidR="00343EC6">
        <w:t> </w:t>
      </w:r>
      <w:r>
        <w:t>contraignante pour toutes les personnes</w:t>
      </w:r>
      <w:r w:rsidR="00343EC6">
        <w:t> </w:t>
      </w:r>
      <w:r>
        <w:t>». Les tribunaux nationaux déterminent si c’est le cas et donc s’ils peuvent appliquer directement la disposition.</w:t>
      </w:r>
    </w:p>
    <w:p w14:paraId="6805B4B7" w14:textId="588F83E9" w:rsidR="007A401D" w:rsidRDefault="007A401D" w:rsidP="007A401D">
      <w:pPr>
        <w:pStyle w:val="SingleTxtG"/>
        <w:rPr>
          <w:rFonts w:eastAsia="Times New Roman"/>
        </w:rPr>
      </w:pPr>
      <w:r>
        <w:rPr>
          <w:rFonts w:eastAsia="Times New Roman"/>
        </w:rPr>
        <w:t>2.</w:t>
      </w:r>
      <w:r>
        <w:rPr>
          <w:rFonts w:eastAsia="Times New Roman"/>
        </w:rPr>
        <w:tab/>
        <w:t xml:space="preserve">En pratique, les </w:t>
      </w:r>
      <w:r w:rsidRPr="007A401D">
        <w:t>tribunaux</w:t>
      </w:r>
      <w:r>
        <w:rPr>
          <w:rFonts w:eastAsia="Times New Roman"/>
        </w:rPr>
        <w:t xml:space="preserve"> nationaux considèrent généralement que les droits énoncés dans le Pacte ne sont pas «</w:t>
      </w:r>
      <w:r w:rsidR="000D2DAD">
        <w:rPr>
          <w:rFonts w:eastAsia="Times New Roman"/>
        </w:rPr>
        <w:t> </w:t>
      </w:r>
      <w:r>
        <w:rPr>
          <w:rFonts w:eastAsia="Times New Roman"/>
        </w:rPr>
        <w:t>contraignants pour tous</w:t>
      </w:r>
      <w:r w:rsidR="000D2DAD">
        <w:rPr>
          <w:rFonts w:eastAsia="Times New Roman"/>
        </w:rPr>
        <w:t> </w:t>
      </w:r>
      <w:r>
        <w:rPr>
          <w:rFonts w:eastAsia="Times New Roman"/>
        </w:rPr>
        <w:t>», en raison de leur formulation (générale), de leur nature et de leur portée. Les dispositions du Pacte font référence à des objectifs sociaux. Le Pacte impose aux États parties l’obligation de mettre en œuvre ces objectifs par le biais de la législation nationale, mais pas l’obligation de conférer aux individus des droits qu’ils peuvent invoquer devant un tribunal. Par conséquent, la réalisation de ces droits nécessite généralement une décision politique concernant les moyens disponibles, abordables et efficaces pour y parvenir.</w:t>
      </w:r>
    </w:p>
    <w:p w14:paraId="3DF2B7A8" w14:textId="77777777" w:rsidR="007A401D" w:rsidRDefault="007A401D" w:rsidP="007A401D">
      <w:pPr>
        <w:pStyle w:val="SingleTxtG"/>
        <w:rPr>
          <w:rFonts w:eastAsia="Times New Roman"/>
        </w:rPr>
      </w:pPr>
      <w:r>
        <w:rPr>
          <w:rFonts w:eastAsia="Times New Roman"/>
        </w:rPr>
        <w:t>3.</w:t>
      </w:r>
      <w:r>
        <w:rPr>
          <w:rFonts w:eastAsia="Times New Roman"/>
        </w:rPr>
        <w:tab/>
        <w:t xml:space="preserve">Les pouvoirs </w:t>
      </w:r>
      <w:r w:rsidRPr="007A401D">
        <w:t>législatif</w:t>
      </w:r>
      <w:r>
        <w:rPr>
          <w:rFonts w:eastAsia="Times New Roman"/>
        </w:rPr>
        <w:t xml:space="preserve"> et exécutif doivent cependant prendre en considération les droits économiques, sociaux et culturels. Ces droits sont énoncés dans des manuels et des guides qui en garantissent le respect et qui doivent être consultés au cours des processus législatifs, tels que le guide des politiques, le guide sur les droits économiques, sociaux et culturels et le guide sur la révision constitutionnelle. En outre, ces droits sont également pris en compte lors des contrôles internes et externes de la législation élaborée par le Gouvernement néerlandais.</w:t>
      </w:r>
    </w:p>
    <w:p w14:paraId="237C8671" w14:textId="3DDEB3DE" w:rsidR="007A401D" w:rsidRDefault="000D2DAD" w:rsidP="000D2DAD">
      <w:pPr>
        <w:pStyle w:val="H23G"/>
      </w:pPr>
      <w:r>
        <w:tab/>
      </w:r>
      <w:r>
        <w:tab/>
      </w:r>
      <w:r w:rsidR="007A401D">
        <w:t>Réponse au paragraphe</w:t>
      </w:r>
      <w:r>
        <w:t> </w:t>
      </w:r>
      <w:r w:rsidR="007A401D">
        <w:t>3 de la liste de points</w:t>
      </w:r>
    </w:p>
    <w:p w14:paraId="7B3E71CB" w14:textId="5FF3EB75" w:rsidR="007A401D" w:rsidRDefault="007A401D" w:rsidP="007A401D">
      <w:pPr>
        <w:pStyle w:val="SingleTxtG"/>
        <w:rPr>
          <w:rFonts w:eastAsia="Times New Roman"/>
        </w:rPr>
      </w:pPr>
      <w:r>
        <w:rPr>
          <w:rFonts w:eastAsia="Times New Roman"/>
          <w:bCs/>
        </w:rPr>
        <w:t>4.</w:t>
      </w:r>
      <w:r>
        <w:rPr>
          <w:rFonts w:eastAsia="Times New Roman"/>
          <w:bCs/>
        </w:rPr>
        <w:tab/>
        <w:t>Dans son</w:t>
      </w:r>
      <w:r>
        <w:rPr>
          <w:rFonts w:eastAsia="Times New Roman"/>
        </w:rPr>
        <w:t xml:space="preserve"> </w:t>
      </w:r>
      <w:r w:rsidRPr="007A401D">
        <w:t>programme</w:t>
      </w:r>
      <w:r>
        <w:rPr>
          <w:rFonts w:eastAsia="Times New Roman"/>
        </w:rPr>
        <w:t>, le nouveau Gouvernement néerlandais propose d’abolir l’interdiction constitutionnelle du contrôle des lois du Parlement par le pouvoir judiciaire et de mettre en place une cour constitutionnelle chargée d’exercer cette compétence. Le</w:t>
      </w:r>
      <w:r w:rsidR="000D2DAD">
        <w:rPr>
          <w:rFonts w:eastAsia="Times New Roman"/>
        </w:rPr>
        <w:t> </w:t>
      </w:r>
      <w:r>
        <w:rPr>
          <w:rFonts w:eastAsia="Times New Roman"/>
        </w:rPr>
        <w:t>Gouvernement n’a pas encore détaillé ses plans pour mettre en œuvre cette proposition. Néanmoins, il semble probable que les droits économiques et sociaux ne relèvent pas (pleinement) du champ d’application de cette proposition, étant donné que le programme politique susmentionné ne mentionne que les droits fondamentaux classiques.</w:t>
      </w:r>
    </w:p>
    <w:p w14:paraId="25A0634C" w14:textId="3DA80B70" w:rsidR="007A401D" w:rsidRDefault="000D2DAD" w:rsidP="000D2DAD">
      <w:pPr>
        <w:pStyle w:val="H23G"/>
      </w:pPr>
      <w:r>
        <w:tab/>
      </w:r>
      <w:r>
        <w:tab/>
      </w:r>
      <w:r w:rsidR="007A401D">
        <w:t>Réponse au paragraphe</w:t>
      </w:r>
      <w:r>
        <w:t> </w:t>
      </w:r>
      <w:r w:rsidR="007A401D">
        <w:t>4 de la liste de points</w:t>
      </w:r>
    </w:p>
    <w:p w14:paraId="150E197A" w14:textId="093FC6E0" w:rsidR="007A401D" w:rsidRDefault="007A401D" w:rsidP="007A401D">
      <w:pPr>
        <w:pStyle w:val="SingleTxtG"/>
        <w:rPr>
          <w:rFonts w:eastAsia="Times New Roman"/>
        </w:rPr>
      </w:pPr>
      <w:r>
        <w:t>5.</w:t>
      </w:r>
      <w:r>
        <w:tab/>
      </w:r>
      <w:r>
        <w:rPr>
          <w:rFonts w:eastAsia="Times New Roman"/>
        </w:rPr>
        <w:t>Les Pays-</w:t>
      </w:r>
      <w:r w:rsidRPr="007A401D">
        <w:t>Bas</w:t>
      </w:r>
      <w:r>
        <w:rPr>
          <w:rFonts w:eastAsia="Times New Roman"/>
        </w:rPr>
        <w:t xml:space="preserve"> ont lancé leur deuxième plan d’action national pour les droits de l’homme en décembre 2019. Ce plan d’action donne un aperçu de l’infrastructure et des politiques nationales en matière de droits de l’homme et présente 60</w:t>
      </w:r>
      <w:r w:rsidR="000D2DAD">
        <w:rPr>
          <w:rFonts w:eastAsia="Times New Roman"/>
        </w:rPr>
        <w:t> </w:t>
      </w:r>
      <w:r>
        <w:rPr>
          <w:rFonts w:eastAsia="Times New Roman"/>
        </w:rPr>
        <w:t>mesures visant à améliorer la qualité et l’accessibilité des services pour tous. Presque toutes les mesures prévues dans le plan d’action ont été mises en œuvre ou menées à bien.</w:t>
      </w:r>
    </w:p>
    <w:p w14:paraId="58F42001" w14:textId="77777777" w:rsidR="007A401D" w:rsidRDefault="007A401D" w:rsidP="007A401D">
      <w:pPr>
        <w:pStyle w:val="SingleTxtG"/>
        <w:rPr>
          <w:rFonts w:eastAsia="Times New Roman"/>
        </w:rPr>
      </w:pPr>
      <w:r>
        <w:rPr>
          <w:rFonts w:eastAsia="Times New Roman"/>
        </w:rPr>
        <w:t>6.</w:t>
      </w:r>
      <w:r>
        <w:rPr>
          <w:rFonts w:eastAsia="Times New Roman"/>
        </w:rPr>
        <w:tab/>
        <w:t xml:space="preserve">Dans le </w:t>
      </w:r>
      <w:r w:rsidRPr="007A401D">
        <w:t>cadre</w:t>
      </w:r>
      <w:r>
        <w:rPr>
          <w:rFonts w:eastAsia="Times New Roman"/>
        </w:rPr>
        <w:t xml:space="preserve"> législatif constitutionnel du Royaume des Pays-Bas, chacun des pays autonomes du Royaume a l’obligation de promouvoir la réalisation des droits humains et des libertés fondamentales, la sécurité juridique et la bonne gouvernance.</w:t>
      </w:r>
    </w:p>
    <w:p w14:paraId="287CB988" w14:textId="50591243" w:rsidR="007A401D" w:rsidRDefault="000D2DAD" w:rsidP="000D2DAD">
      <w:pPr>
        <w:pStyle w:val="H23G"/>
      </w:pPr>
      <w:r>
        <w:tab/>
      </w:r>
      <w:r>
        <w:tab/>
      </w:r>
      <w:r w:rsidR="007A401D">
        <w:t>Réponse au paragraphe</w:t>
      </w:r>
      <w:r>
        <w:t> </w:t>
      </w:r>
      <w:r w:rsidR="007A401D">
        <w:t>5 de la liste de points</w:t>
      </w:r>
    </w:p>
    <w:p w14:paraId="53E650D9" w14:textId="77777777" w:rsidR="007A401D" w:rsidRDefault="007A401D" w:rsidP="007A401D">
      <w:pPr>
        <w:pStyle w:val="SingleTxtG"/>
        <w:rPr>
          <w:rFonts w:eastAsia="Times New Roman"/>
        </w:rPr>
      </w:pPr>
      <w:r>
        <w:rPr>
          <w:rFonts w:eastAsia="Times New Roman"/>
          <w:bCs/>
        </w:rPr>
        <w:t>7.</w:t>
      </w:r>
      <w:r>
        <w:rPr>
          <w:rFonts w:eastAsia="Times New Roman"/>
          <w:bCs/>
        </w:rPr>
        <w:tab/>
      </w:r>
      <w:r>
        <w:rPr>
          <w:rFonts w:eastAsia="Times New Roman"/>
        </w:rPr>
        <w:t>L’Institut néerlandais des droits de l’homme (NIHR) a pris plusieurs mesures relatives aux droits économiques, sociaux et culturels, concernant des thèmes tels que le droit à un niveau de vie suffisant et le droit au logement.</w:t>
      </w:r>
      <w:r w:rsidRPr="00781A3A">
        <w:rPr>
          <w:rFonts w:eastAsia="Times New Roman"/>
        </w:rPr>
        <w:t xml:space="preserve"> </w:t>
      </w:r>
      <w:r>
        <w:rPr>
          <w:rFonts w:eastAsia="Times New Roman"/>
        </w:rPr>
        <w:t>Il publie des conclusions non contraignantes sur des plaintes pour discrimination émanant de particuliers, conseille les décideurs aux niveaux national et local, communique des informations au Parlement et au grand public et coopère avec les organisations de la société civile.</w:t>
      </w:r>
    </w:p>
    <w:p w14:paraId="45B888BF" w14:textId="67C0D55E" w:rsidR="007A401D" w:rsidRDefault="007A401D" w:rsidP="000D2DAD">
      <w:pPr>
        <w:pStyle w:val="SingleTxtG"/>
        <w:keepNext/>
        <w:keepLines/>
        <w:rPr>
          <w:rFonts w:eastAsia="Times New Roman"/>
        </w:rPr>
      </w:pPr>
      <w:r>
        <w:rPr>
          <w:rFonts w:eastAsia="Times New Roman"/>
        </w:rPr>
        <w:lastRenderedPageBreak/>
        <w:t>8.</w:t>
      </w:r>
      <w:r>
        <w:rPr>
          <w:rFonts w:eastAsia="Times New Roman"/>
        </w:rPr>
        <w:tab/>
        <w:t xml:space="preserve">La loi de </w:t>
      </w:r>
      <w:r w:rsidRPr="007A401D">
        <w:t>2024</w:t>
      </w:r>
      <w:r>
        <w:rPr>
          <w:rFonts w:eastAsia="Times New Roman"/>
        </w:rPr>
        <w:t xml:space="preserve"> relative à la protection contre la discrimination (</w:t>
      </w:r>
      <w:r w:rsidRPr="00C5232C">
        <w:rPr>
          <w:rFonts w:eastAsia="Times New Roman"/>
          <w:i/>
        </w:rPr>
        <w:t xml:space="preserve">Wet bescherming tegen discriminatie </w:t>
      </w:r>
      <w:r w:rsidRPr="00C5232C">
        <w:rPr>
          <w:rFonts w:eastAsia="Times New Roman"/>
        </w:rPr>
        <w:t>op de BES</w:t>
      </w:r>
      <w:r>
        <w:rPr>
          <w:rFonts w:eastAsia="Times New Roman"/>
        </w:rPr>
        <w:t>) étend le champ d’application de la législation antidiscriminatoire et le mandat du NIHR à Bonaire, Saba et St Eustache. Des ressources financières supplémentaires pour 2024 (100</w:t>
      </w:r>
      <w:r w:rsidR="000D2DAD">
        <w:rPr>
          <w:rFonts w:eastAsia="Times New Roman"/>
        </w:rPr>
        <w:t> </w:t>
      </w:r>
      <w:r>
        <w:rPr>
          <w:rFonts w:eastAsia="Times New Roman"/>
        </w:rPr>
        <w:t>000</w:t>
      </w:r>
      <w:r w:rsidR="000D2DAD">
        <w:rPr>
          <w:rFonts w:eastAsia="Times New Roman"/>
        </w:rPr>
        <w:t> </w:t>
      </w:r>
      <w:r>
        <w:rPr>
          <w:rFonts w:eastAsia="Times New Roman"/>
        </w:rPr>
        <w:t>euros) et 2025 (200</w:t>
      </w:r>
      <w:r w:rsidR="000D2DAD">
        <w:rPr>
          <w:rFonts w:eastAsia="Times New Roman"/>
        </w:rPr>
        <w:t> </w:t>
      </w:r>
      <w:r>
        <w:rPr>
          <w:rFonts w:eastAsia="Times New Roman"/>
        </w:rPr>
        <w:t>000</w:t>
      </w:r>
      <w:r w:rsidR="000D2DAD">
        <w:rPr>
          <w:rFonts w:eastAsia="Times New Roman"/>
        </w:rPr>
        <w:t> </w:t>
      </w:r>
      <w:r>
        <w:rPr>
          <w:rFonts w:eastAsia="Times New Roman"/>
        </w:rPr>
        <w:t>euros) ont été allouées au</w:t>
      </w:r>
      <w:r w:rsidR="00C71830">
        <w:rPr>
          <w:rFonts w:eastAsia="Times New Roman"/>
        </w:rPr>
        <w:t> </w:t>
      </w:r>
      <w:r>
        <w:rPr>
          <w:rFonts w:eastAsia="Times New Roman"/>
        </w:rPr>
        <w:t>NIHR pour l’exécution de cette nouvelle tâche.</w:t>
      </w:r>
    </w:p>
    <w:p w14:paraId="5362E126" w14:textId="312B9A75" w:rsidR="007A401D" w:rsidRDefault="000D2DAD" w:rsidP="000D2DAD">
      <w:pPr>
        <w:pStyle w:val="H23G"/>
      </w:pPr>
      <w:r>
        <w:tab/>
      </w:r>
      <w:r>
        <w:tab/>
      </w:r>
      <w:r w:rsidR="007A401D">
        <w:t>Réponse au paragraphe</w:t>
      </w:r>
      <w:r>
        <w:t> </w:t>
      </w:r>
      <w:r w:rsidR="007A401D">
        <w:t>6</w:t>
      </w:r>
      <w:r>
        <w:t> </w:t>
      </w:r>
      <w:r w:rsidR="007A401D">
        <w:t>a) de la liste de points</w:t>
      </w:r>
    </w:p>
    <w:p w14:paraId="13645FE0" w14:textId="295B689E" w:rsidR="007A401D" w:rsidRDefault="007A401D" w:rsidP="007A401D">
      <w:pPr>
        <w:pStyle w:val="SingleTxtG"/>
        <w:rPr>
          <w:rFonts w:eastAsia="Times New Roman"/>
        </w:rPr>
      </w:pPr>
      <w:r>
        <w:rPr>
          <w:rFonts w:eastAsia="Times New Roman"/>
          <w:bCs/>
        </w:rPr>
        <w:t>9.</w:t>
      </w:r>
      <w:r>
        <w:rPr>
          <w:rFonts w:eastAsia="Times New Roman"/>
          <w:bCs/>
        </w:rPr>
        <w:tab/>
      </w:r>
      <w:r>
        <w:rPr>
          <w:rFonts w:eastAsia="Times New Roman"/>
        </w:rPr>
        <w:t xml:space="preserve">Le Plan </w:t>
      </w:r>
      <w:r w:rsidRPr="007A401D">
        <w:t>d’action</w:t>
      </w:r>
      <w:r>
        <w:rPr>
          <w:rFonts w:eastAsia="Times New Roman"/>
        </w:rPr>
        <w:t xml:space="preserve"> national sur les entreprises et les droits de l’homme pour la période 2022-2026 est fondé sur les Principes directeurs des Nations</w:t>
      </w:r>
      <w:r w:rsidR="000D2DAD">
        <w:rPr>
          <w:rFonts w:eastAsia="Times New Roman"/>
        </w:rPr>
        <w:t> </w:t>
      </w:r>
      <w:r>
        <w:rPr>
          <w:rFonts w:eastAsia="Times New Roman"/>
        </w:rPr>
        <w:t>Unies relatifs aux entreprises et aux droits de l’homme. Différents ministères et organismes d’exécution sont chargés de mettre en œuvre les mesures prévues par le Plan d’action, d’obtenir des résultats et de partager les conclusions pertinentes. Des rapports d’avancement annuels décrivent l’état de la mise en œuvre du Plan, le premier ayant été soumis en octobre 2023. Un rapport d’avancement est partagé tous les deux ans avec un groupe de réflexion composé de partenaires sociaux et d’experts.</w:t>
      </w:r>
    </w:p>
    <w:p w14:paraId="0CBECB87" w14:textId="3703F7E7" w:rsidR="007A401D" w:rsidRDefault="007A401D" w:rsidP="007A401D">
      <w:pPr>
        <w:pStyle w:val="SingleTxtG"/>
        <w:rPr>
          <w:rFonts w:eastAsia="Times New Roman"/>
        </w:rPr>
      </w:pPr>
      <w:r>
        <w:rPr>
          <w:rFonts w:eastAsia="Times New Roman"/>
        </w:rPr>
        <w:t>10.</w:t>
      </w:r>
      <w:r>
        <w:rPr>
          <w:rFonts w:eastAsia="Times New Roman"/>
        </w:rPr>
        <w:tab/>
        <w:t xml:space="preserve">La mise en </w:t>
      </w:r>
      <w:r w:rsidRPr="007A401D">
        <w:t>œuvre</w:t>
      </w:r>
      <w:r>
        <w:rPr>
          <w:rFonts w:eastAsia="Times New Roman"/>
        </w:rPr>
        <w:t xml:space="preserve"> du Plan d’action national n’est pas abordée dans le rapport annuel sur les droits de l’homme. Les résultats obtenus dans ce domaine sont consignés dans d’autres rapports, tels que le rapport à venir sur les résultats des activités de coopération pour le développement en 2023 et le rapport sur l’état d’avancement du Plan d’action national. Le</w:t>
      </w:r>
      <w:r w:rsidR="000D2DAD">
        <w:rPr>
          <w:rFonts w:eastAsia="Times New Roman"/>
        </w:rPr>
        <w:t> </w:t>
      </w:r>
      <w:r>
        <w:rPr>
          <w:rFonts w:eastAsia="Times New Roman"/>
        </w:rPr>
        <w:t>rapport sur les droits de l’homme rend compte de la politique, des efforts et des résultats des Pays-Bas en matière de droits de l’homme au niveau international. Le rapport pour 2023 porte principalement sur les cinq priorités thématiques de la politique néerlandaise en matière de droits de l’homme à l’étranger</w:t>
      </w:r>
      <w:r w:rsidR="000D2DAD">
        <w:rPr>
          <w:rFonts w:eastAsia="Times New Roman"/>
        </w:rPr>
        <w:t> </w:t>
      </w:r>
      <w:r>
        <w:rPr>
          <w:rFonts w:eastAsia="Times New Roman"/>
        </w:rPr>
        <w:t>: la liberté d’expression, la liberté de religion et de conviction, l’égalité des droits pour les personnes LGBTIQ+, la protection des défenseurs des droits de l’homme et le renforcement de la société civile, ainsi que l’égalité des droits pour les femmes et les filles.</w:t>
      </w:r>
    </w:p>
    <w:p w14:paraId="0E92A189" w14:textId="591A9B28" w:rsidR="007A401D" w:rsidRDefault="000D2DAD" w:rsidP="000D2DAD">
      <w:pPr>
        <w:pStyle w:val="H23G"/>
      </w:pPr>
      <w:r>
        <w:tab/>
      </w:r>
      <w:r>
        <w:tab/>
      </w:r>
      <w:r w:rsidR="007A401D">
        <w:t>Réponse au paragraphe</w:t>
      </w:r>
      <w:r>
        <w:t> </w:t>
      </w:r>
      <w:r w:rsidR="007A401D">
        <w:t>6</w:t>
      </w:r>
      <w:r>
        <w:t> </w:t>
      </w:r>
      <w:r w:rsidR="007A401D">
        <w:t>b) de la liste de points</w:t>
      </w:r>
    </w:p>
    <w:p w14:paraId="2A4BADAF" w14:textId="7D0E30E7" w:rsidR="007A401D" w:rsidRDefault="007A401D" w:rsidP="007A401D">
      <w:pPr>
        <w:pStyle w:val="SingleTxtG"/>
        <w:rPr>
          <w:rFonts w:eastAsia="Times New Roman"/>
        </w:rPr>
      </w:pPr>
      <w:r>
        <w:rPr>
          <w:rFonts w:eastAsia="Times New Roman"/>
          <w:bCs/>
        </w:rPr>
        <w:t>11.</w:t>
      </w:r>
      <w:r>
        <w:rPr>
          <w:rFonts w:eastAsia="Times New Roman"/>
          <w:bCs/>
        </w:rPr>
        <w:tab/>
      </w:r>
      <w:r>
        <w:rPr>
          <w:rFonts w:eastAsia="Times New Roman"/>
        </w:rPr>
        <w:t>En vertu de la Directive européenne sur le devoir de diligence des entreprises en matière de durabilité, les entreprises qui relèvent de son champ d’application sont tenues de faire preuve de diligence raisonnable en ce qui concerne les impacts négatifs liés aux droits de l’homme et à l’environnement dans le cadre de leurs propres activités et dans certaines parties de leur chaîne de valeur, y</w:t>
      </w:r>
      <w:r w:rsidR="000D2DAD">
        <w:rPr>
          <w:rFonts w:eastAsia="Times New Roman"/>
        </w:rPr>
        <w:t> </w:t>
      </w:r>
      <w:r>
        <w:rPr>
          <w:rFonts w:eastAsia="Times New Roman"/>
        </w:rPr>
        <w:t>compris l’ensemble de leur chaîne d’approvisionnement. Les Pays-Bas vont transposer la Directive dans leur législation nationale. D’autres textes législatifs de l’UE comportant une dimension relative à la diligence raisonnable, tels que le Règlement sur le travail forcé, le Règlement sur la déforestation, la Directive relative à la publication d’informations en matière de durabilité par les entreprises et le Règlement sur les minerais provenant de zones de conflit, ont été ou seront mis en œuvre.</w:t>
      </w:r>
    </w:p>
    <w:p w14:paraId="3452CCCB" w14:textId="43179D2C" w:rsidR="007A401D" w:rsidRDefault="000D2DAD" w:rsidP="000D2DAD">
      <w:pPr>
        <w:pStyle w:val="H23G"/>
      </w:pPr>
      <w:r>
        <w:tab/>
      </w:r>
      <w:r>
        <w:tab/>
      </w:r>
      <w:r w:rsidR="007A401D">
        <w:t>Réponse au paragraphe</w:t>
      </w:r>
      <w:r>
        <w:t> </w:t>
      </w:r>
      <w:r w:rsidR="007A401D">
        <w:t>7</w:t>
      </w:r>
      <w:r>
        <w:t> </w:t>
      </w:r>
      <w:r w:rsidR="007A401D">
        <w:t>a) de la liste de points</w:t>
      </w:r>
    </w:p>
    <w:p w14:paraId="678766C1" w14:textId="77777777" w:rsidR="007A401D" w:rsidRDefault="007A401D" w:rsidP="007A401D">
      <w:pPr>
        <w:pStyle w:val="SingleTxtG"/>
        <w:rPr>
          <w:rFonts w:eastAsia="Times New Roman"/>
        </w:rPr>
      </w:pPr>
      <w:r>
        <w:rPr>
          <w:rFonts w:eastAsia="Times New Roman"/>
          <w:bCs/>
        </w:rPr>
        <w:t>12.</w:t>
      </w:r>
      <w:r>
        <w:rPr>
          <w:rFonts w:eastAsia="Times New Roman"/>
          <w:bCs/>
        </w:rPr>
        <w:tab/>
      </w:r>
      <w:r>
        <w:rPr>
          <w:rFonts w:eastAsia="Times New Roman"/>
        </w:rPr>
        <w:t xml:space="preserve">Le </w:t>
      </w:r>
      <w:r w:rsidRPr="007A401D">
        <w:t>Gouvernement</w:t>
      </w:r>
      <w:r>
        <w:rPr>
          <w:rFonts w:eastAsia="Times New Roman"/>
        </w:rPr>
        <w:t xml:space="preserve"> néerlandais procède périodiquement à une évaluation des risques liés aux changements climatiques pour tous les domaines susceptibles d’en subir les effets, tels que la santé, la nature, l’énergie et l’agriculture. Le prochain rapport sera publié en 2026 et portera sur les effets des changements climatiques qui affectent les personnes et les groupes défavorisés. En 2023, une étude de la vulnérabilité sociale par rapport à la chaleur a été réalisée, les données géographiques sur la chaleur étant reliées à des indicateurs socioéconomiques tels que l’âge, la santé et le revenu.</w:t>
      </w:r>
    </w:p>
    <w:p w14:paraId="507DE03D" w14:textId="5AB0B9B6" w:rsidR="007A401D" w:rsidRDefault="000D2DAD" w:rsidP="000D2DAD">
      <w:pPr>
        <w:pStyle w:val="H23G"/>
      </w:pPr>
      <w:r>
        <w:tab/>
      </w:r>
      <w:r>
        <w:tab/>
      </w:r>
      <w:r w:rsidR="007A401D">
        <w:t>Réponse au paragraphe</w:t>
      </w:r>
      <w:r>
        <w:t> </w:t>
      </w:r>
      <w:r w:rsidR="007A401D">
        <w:t>7</w:t>
      </w:r>
      <w:r>
        <w:t> </w:t>
      </w:r>
      <w:r w:rsidR="007A401D">
        <w:t>b) de la liste de points</w:t>
      </w:r>
    </w:p>
    <w:p w14:paraId="0810741B" w14:textId="222527A2" w:rsidR="007A401D" w:rsidRDefault="007A401D" w:rsidP="007A401D">
      <w:pPr>
        <w:pStyle w:val="SingleTxtG"/>
        <w:rPr>
          <w:rFonts w:eastAsia="Times New Roman"/>
        </w:rPr>
      </w:pPr>
      <w:r>
        <w:rPr>
          <w:rFonts w:eastAsia="Times New Roman"/>
          <w:bCs/>
        </w:rPr>
        <w:t>13.</w:t>
      </w:r>
      <w:r>
        <w:rPr>
          <w:rFonts w:eastAsia="Times New Roman"/>
          <w:bCs/>
        </w:rPr>
        <w:tab/>
      </w:r>
      <w:r>
        <w:rPr>
          <w:rFonts w:eastAsia="Times New Roman"/>
        </w:rPr>
        <w:t xml:space="preserve">La </w:t>
      </w:r>
      <w:r w:rsidRPr="007A401D">
        <w:t>stratégie</w:t>
      </w:r>
      <w:r>
        <w:rPr>
          <w:rFonts w:eastAsia="Times New Roman"/>
        </w:rPr>
        <w:t xml:space="preserve"> nationale néerlandaise d’adaptation au climat a été publiée en 2016.</w:t>
      </w:r>
      <w:r w:rsidRPr="005C3B69">
        <w:rPr>
          <w:rFonts w:eastAsia="Times New Roman"/>
        </w:rPr>
        <w:t xml:space="preserve"> </w:t>
      </w:r>
      <w:r>
        <w:rPr>
          <w:rFonts w:eastAsia="Times New Roman"/>
        </w:rPr>
        <w:t>Le</w:t>
      </w:r>
      <w:r w:rsidR="000D2DAD">
        <w:rPr>
          <w:rFonts w:eastAsia="Times New Roman"/>
        </w:rPr>
        <w:t> </w:t>
      </w:r>
      <w:r>
        <w:rPr>
          <w:rFonts w:eastAsia="Times New Roman"/>
        </w:rPr>
        <w:t>plan national d’adaptation (2023) fournit une vue d’ensemble de toutes les politiques et actions nationales visant à améliorer la résilience climatique. Il définit cinq priorités, dont des mesures destinées à accroître les ressources consacrées à l’adaptation et à garantir une adaptation inclusive. Le nouveau plan d’adaptation est actuellement en cours d’élaboration et devrait être publié en 2026.</w:t>
      </w:r>
    </w:p>
    <w:p w14:paraId="7A42F184" w14:textId="2DB80F5E" w:rsidR="007A401D" w:rsidRDefault="000D2DAD" w:rsidP="000D2DAD">
      <w:pPr>
        <w:pStyle w:val="H23G"/>
      </w:pPr>
      <w:r>
        <w:lastRenderedPageBreak/>
        <w:tab/>
      </w:r>
      <w:r>
        <w:tab/>
      </w:r>
      <w:r w:rsidR="007A401D">
        <w:t>Réponse au paragraphe</w:t>
      </w:r>
      <w:r>
        <w:t> </w:t>
      </w:r>
      <w:r w:rsidR="007A401D">
        <w:t>7</w:t>
      </w:r>
      <w:r>
        <w:t> </w:t>
      </w:r>
      <w:r w:rsidR="007A401D">
        <w:t>c) de la liste de points</w:t>
      </w:r>
    </w:p>
    <w:p w14:paraId="7538609E" w14:textId="77777777" w:rsidR="007A401D" w:rsidRDefault="007A401D" w:rsidP="007A401D">
      <w:pPr>
        <w:pStyle w:val="SingleTxtG"/>
        <w:rPr>
          <w:rFonts w:eastAsia="Times New Roman"/>
        </w:rPr>
      </w:pPr>
      <w:r>
        <w:rPr>
          <w:rFonts w:eastAsia="Times New Roman"/>
          <w:bCs/>
        </w:rPr>
        <w:t>14.</w:t>
      </w:r>
      <w:r>
        <w:rPr>
          <w:rFonts w:eastAsia="Times New Roman"/>
          <w:bCs/>
        </w:rPr>
        <w:tab/>
      </w:r>
      <w:r>
        <w:rPr>
          <w:rFonts w:eastAsia="Times New Roman"/>
        </w:rPr>
        <w:t xml:space="preserve">La </w:t>
      </w:r>
      <w:r w:rsidRPr="007A401D">
        <w:t>stratégie</w:t>
      </w:r>
      <w:r>
        <w:rPr>
          <w:rFonts w:eastAsia="Times New Roman"/>
        </w:rPr>
        <w:t xml:space="preserve"> de sécurité nationale du Royaume des Pays-Bas pour 2023 comprend un volet sur les risques en matière de sûreté et de sécurité liés au climat. Les Pays-Bas étant un pays de faible altitude et sujet aux inondations, la prévention des catastrophes liées à l’eau est une priorité. La loi Delta et le Plan Delta 2010 garantissent que les Pays-Bas sont protégés contre les inondations, préparés aux conditions météorologiques extrêmes et disposent d’un approvisionnement suffisant en eau douce. La loi relative à l’indemnisation en cas de catastrophes et d’accidents graves (</w:t>
      </w:r>
      <w:r w:rsidRPr="00EE7E3E">
        <w:rPr>
          <w:rFonts w:eastAsia="Times New Roman"/>
          <w:i/>
        </w:rPr>
        <w:t>Wet tegemoetkoming schade bij rampen en zware ongevallen</w:t>
      </w:r>
      <w:r>
        <w:rPr>
          <w:rFonts w:eastAsia="Times New Roman"/>
        </w:rPr>
        <w:t>) prévoit un soutien financier pour les personnes touchées par des catastrophes naturelles.</w:t>
      </w:r>
    </w:p>
    <w:p w14:paraId="0EDF7D6B" w14:textId="1B9C1C94" w:rsidR="007A401D" w:rsidRDefault="000D2DAD" w:rsidP="000D2DAD">
      <w:pPr>
        <w:pStyle w:val="H23G"/>
      </w:pPr>
      <w:r>
        <w:tab/>
      </w:r>
      <w:r>
        <w:tab/>
      </w:r>
      <w:r w:rsidR="007A401D">
        <w:t>Réponse au paragraphe</w:t>
      </w:r>
      <w:r>
        <w:t> </w:t>
      </w:r>
      <w:r w:rsidR="007A401D">
        <w:t>7</w:t>
      </w:r>
      <w:r>
        <w:t> </w:t>
      </w:r>
      <w:r w:rsidR="007A401D">
        <w:t>d) de la liste de points</w:t>
      </w:r>
    </w:p>
    <w:p w14:paraId="2EDB3AA1" w14:textId="77777777" w:rsidR="007A401D" w:rsidRDefault="007A401D" w:rsidP="007A401D">
      <w:pPr>
        <w:pStyle w:val="SingleTxtG"/>
        <w:rPr>
          <w:rFonts w:eastAsia="Times New Roman"/>
        </w:rPr>
      </w:pPr>
      <w:r>
        <w:rPr>
          <w:rFonts w:eastAsia="Times New Roman"/>
          <w:bCs/>
        </w:rPr>
        <w:t>15.</w:t>
      </w:r>
      <w:r>
        <w:rPr>
          <w:rFonts w:eastAsia="Times New Roman"/>
          <w:bCs/>
        </w:rPr>
        <w:tab/>
      </w:r>
      <w:r>
        <w:rPr>
          <w:rFonts w:eastAsia="Times New Roman"/>
        </w:rPr>
        <w:t xml:space="preserve">Tous les ministères participent à l’élaboration et à la mise en œuvre des mesures d’adaptation au climat. Ces efforts </w:t>
      </w:r>
      <w:r w:rsidRPr="007A401D">
        <w:t>conjoints</w:t>
      </w:r>
      <w:r>
        <w:rPr>
          <w:rFonts w:eastAsia="Times New Roman"/>
        </w:rPr>
        <w:t xml:space="preserve"> sont coordonnés par le Ministère des infrastructures et de la gestion de l’eau. En outre, il appartient aux autorités régionales telles que les provinces et les administrations chargées de l’eau de mettre en application les mesures d’adaptation.</w:t>
      </w:r>
    </w:p>
    <w:p w14:paraId="2B64F447" w14:textId="34FF7019" w:rsidR="007A401D" w:rsidRDefault="000D2DAD" w:rsidP="000D2DAD">
      <w:pPr>
        <w:pStyle w:val="H23G"/>
      </w:pPr>
      <w:r>
        <w:tab/>
      </w:r>
      <w:r>
        <w:tab/>
      </w:r>
      <w:r w:rsidR="007A401D">
        <w:t>Réponse au paragraphe</w:t>
      </w:r>
      <w:r>
        <w:t> </w:t>
      </w:r>
      <w:r w:rsidR="007A401D">
        <w:t>8 de la liste de points</w:t>
      </w:r>
    </w:p>
    <w:p w14:paraId="5AFC0DB3" w14:textId="77777777" w:rsidR="007A401D" w:rsidRDefault="007A401D" w:rsidP="007A401D">
      <w:pPr>
        <w:pStyle w:val="SingleTxtG"/>
        <w:rPr>
          <w:rFonts w:eastAsia="Times New Roman"/>
        </w:rPr>
      </w:pPr>
      <w:r>
        <w:rPr>
          <w:rFonts w:eastAsia="Times New Roman"/>
        </w:rPr>
        <w:t>16.</w:t>
      </w:r>
      <w:r>
        <w:rPr>
          <w:rFonts w:eastAsia="Times New Roman"/>
        </w:rPr>
        <w:tab/>
        <w:t xml:space="preserve">Les </w:t>
      </w:r>
      <w:r w:rsidRPr="007A401D">
        <w:t>mesures</w:t>
      </w:r>
      <w:r>
        <w:rPr>
          <w:rFonts w:eastAsia="Times New Roman"/>
        </w:rPr>
        <w:t xml:space="preserve"> du Plan néerlandais en faveur de la reprise et de la résilience qui contribuent à la réalisation des droits économiques, sociaux et culturels sont notamment les suivantes :</w:t>
      </w:r>
    </w:p>
    <w:p w14:paraId="12A677ED" w14:textId="77777777" w:rsidR="007A401D" w:rsidRDefault="007A401D" w:rsidP="000D2DAD">
      <w:pPr>
        <w:pStyle w:val="Bullet1G"/>
      </w:pPr>
      <w:r>
        <w:t>Un programme de subvention pour l’apprentissage tout au long de la vie destiné aux résidents néerlandais au chômage ou menacés de chômage en raison de la pandémie de COVID-19 ;</w:t>
      </w:r>
    </w:p>
    <w:p w14:paraId="17538828" w14:textId="77777777" w:rsidR="007A401D" w:rsidRDefault="007A401D" w:rsidP="000D2DAD">
      <w:pPr>
        <w:pStyle w:val="Bullet1G"/>
      </w:pPr>
      <w:r>
        <w:t>Une assurance invalidité pour les travailleurs indépendants, des réformes du système de retraite et des mesures de lutte contre le faux travail indépendant ;</w:t>
      </w:r>
    </w:p>
    <w:p w14:paraId="7A9B1DD3" w14:textId="0E46E173" w:rsidR="007A401D" w:rsidRDefault="007A401D" w:rsidP="000D2DAD">
      <w:pPr>
        <w:pStyle w:val="Bullet1G"/>
      </w:pPr>
      <w:r>
        <w:t>Des mesures visant à améliorer la disponibilité des logements à un coût abordable, y</w:t>
      </w:r>
      <w:r w:rsidR="000D2DAD">
        <w:t> </w:t>
      </w:r>
      <w:r>
        <w:t>compris les nouveaux projets de construction et la planification centralisée ;</w:t>
      </w:r>
    </w:p>
    <w:p w14:paraId="2BD429CE" w14:textId="5043A92E" w:rsidR="007A401D" w:rsidRDefault="007A401D" w:rsidP="000D2DAD">
      <w:pPr>
        <w:pStyle w:val="Bullet1G"/>
      </w:pPr>
      <w:r>
        <w:t>La mise en place d’une réserve nationale en matière de soins de santé pour améliorer les capacités dans ce domaine</w:t>
      </w:r>
      <w:r w:rsidR="000D2DAD">
        <w:t> </w:t>
      </w:r>
      <w:r>
        <w:t>;</w:t>
      </w:r>
    </w:p>
    <w:p w14:paraId="05548AF2" w14:textId="77777777" w:rsidR="007A401D" w:rsidRDefault="007A401D" w:rsidP="000D2DAD">
      <w:pPr>
        <w:pStyle w:val="Bullet1G"/>
        <w:rPr>
          <w:rFonts w:eastAsia="Times New Roman"/>
        </w:rPr>
      </w:pPr>
      <w:r>
        <w:rPr>
          <w:rFonts w:eastAsia="Times New Roman"/>
        </w:rPr>
        <w:t>Fourniture d’appareils, matériel d’apprentissage en ligne et financement des écoles pour atténuer les pertes d’apprentissage dues à la pandémie de COVID-19.</w:t>
      </w:r>
    </w:p>
    <w:p w14:paraId="176327DB" w14:textId="79162FA7" w:rsidR="007A401D" w:rsidRDefault="000D2DAD" w:rsidP="000D2DAD">
      <w:pPr>
        <w:pStyle w:val="H1G"/>
      </w:pPr>
      <w:r>
        <w:tab/>
      </w:r>
      <w:r w:rsidR="007A401D" w:rsidRPr="00430DC1">
        <w:t>B.</w:t>
      </w:r>
      <w:r w:rsidR="007A401D" w:rsidRPr="00430DC1">
        <w:tab/>
      </w:r>
      <w:r w:rsidR="007A401D">
        <w:t>Points relatifs aux dispositions générales du Pacte (art.</w:t>
      </w:r>
      <w:r>
        <w:t> </w:t>
      </w:r>
      <w:r w:rsidR="007A401D">
        <w:t>1</w:t>
      </w:r>
      <w:r w:rsidR="007A401D" w:rsidRPr="000D2DAD">
        <w:rPr>
          <w:vertAlign w:val="superscript"/>
        </w:rPr>
        <w:t>er</w:t>
      </w:r>
      <w:r w:rsidR="007A401D">
        <w:t xml:space="preserve"> à 5)</w:t>
      </w:r>
    </w:p>
    <w:p w14:paraId="65142549" w14:textId="7384F2FD" w:rsidR="007A401D" w:rsidRPr="000D2DAD" w:rsidRDefault="000D2DAD" w:rsidP="000D2DAD">
      <w:pPr>
        <w:pStyle w:val="H1G"/>
      </w:pPr>
      <w:r>
        <w:tab/>
      </w:r>
      <w:r>
        <w:tab/>
      </w:r>
      <w:r w:rsidR="007A401D">
        <w:t>Article</w:t>
      </w:r>
      <w:r>
        <w:t> </w:t>
      </w:r>
      <w:r w:rsidR="007A401D">
        <w:t>1 (par.</w:t>
      </w:r>
      <w:r>
        <w:t> </w:t>
      </w:r>
      <w:r w:rsidR="007A401D">
        <w:t>2)</w:t>
      </w:r>
      <w:r>
        <w:t xml:space="preserve"> </w:t>
      </w:r>
      <w:r>
        <w:br/>
      </w:r>
      <w:r w:rsidR="007A401D">
        <w:rPr>
          <w:rFonts w:eastAsia="Times New Roman"/>
          <w:bCs/>
        </w:rPr>
        <w:t>Droit de disposer librement des richesses et des ressources naturelles</w:t>
      </w:r>
    </w:p>
    <w:p w14:paraId="50E751B0" w14:textId="42B55CCA" w:rsidR="007A401D" w:rsidRDefault="000D2DAD" w:rsidP="000D2DAD">
      <w:pPr>
        <w:pStyle w:val="H23G"/>
      </w:pPr>
      <w:r>
        <w:tab/>
      </w:r>
      <w:r>
        <w:tab/>
      </w:r>
      <w:r w:rsidR="007A401D">
        <w:t>Réponse au paragraphe</w:t>
      </w:r>
      <w:r>
        <w:t> </w:t>
      </w:r>
      <w:r w:rsidR="007A401D">
        <w:t>9 de la liste de points</w:t>
      </w:r>
    </w:p>
    <w:p w14:paraId="5535A38E" w14:textId="65109DC1" w:rsidR="007A401D" w:rsidRDefault="007A401D" w:rsidP="007A401D">
      <w:pPr>
        <w:pStyle w:val="SingleTxtG"/>
        <w:rPr>
          <w:rFonts w:eastAsia="Times New Roman"/>
        </w:rPr>
      </w:pPr>
      <w:r>
        <w:rPr>
          <w:rFonts w:eastAsia="Times New Roman"/>
        </w:rPr>
        <w:t>17.</w:t>
      </w:r>
      <w:r>
        <w:rPr>
          <w:rFonts w:eastAsia="Times New Roman"/>
        </w:rPr>
        <w:tab/>
      </w:r>
      <w:r w:rsidRPr="007A401D">
        <w:t>Voir</w:t>
      </w:r>
      <w:r>
        <w:rPr>
          <w:rFonts w:eastAsia="Times New Roman"/>
        </w:rPr>
        <w:t xml:space="preserve"> l’Annexe</w:t>
      </w:r>
      <w:r w:rsidR="000D2DAD">
        <w:rPr>
          <w:rFonts w:eastAsia="Times New Roman"/>
        </w:rPr>
        <w:t> </w:t>
      </w:r>
      <w:r>
        <w:rPr>
          <w:rFonts w:eastAsia="Times New Roman"/>
        </w:rPr>
        <w:t xml:space="preserve">1 </w:t>
      </w:r>
      <w:r w:rsidR="000D2DAD">
        <w:rPr>
          <w:rFonts w:eastAsia="Times New Roman"/>
        </w:rPr>
        <w:t>−</w:t>
      </w:r>
      <w:r>
        <w:rPr>
          <w:rFonts w:eastAsia="Times New Roman"/>
        </w:rPr>
        <w:t xml:space="preserve"> annexe statistique</w:t>
      </w:r>
      <w:r w:rsidR="000D2DAD">
        <w:rPr>
          <w:rFonts w:eastAsia="Times New Roman"/>
        </w:rPr>
        <w:t> </w:t>
      </w:r>
      <w:r>
        <w:rPr>
          <w:rFonts w:eastAsia="Times New Roman"/>
        </w:rPr>
        <w:t>1 à 6, pour les renseignements demandés.</w:t>
      </w:r>
    </w:p>
    <w:p w14:paraId="24BAA0D3" w14:textId="1A9DDC22" w:rsidR="007A401D" w:rsidRPr="000D2DAD" w:rsidRDefault="000D2DAD" w:rsidP="000D2DAD">
      <w:pPr>
        <w:pStyle w:val="H1G"/>
      </w:pPr>
      <w:r>
        <w:tab/>
      </w:r>
      <w:r>
        <w:tab/>
      </w:r>
      <w:r w:rsidR="007A401D">
        <w:t>Article</w:t>
      </w:r>
      <w:r>
        <w:t> </w:t>
      </w:r>
      <w:r w:rsidR="007A401D">
        <w:t>2 (par.</w:t>
      </w:r>
      <w:r>
        <w:t> </w:t>
      </w:r>
      <w:r w:rsidR="007A401D">
        <w:t>2)</w:t>
      </w:r>
      <w:r>
        <w:t xml:space="preserve"> </w:t>
      </w:r>
      <w:r>
        <w:br/>
      </w:r>
      <w:r w:rsidR="007A401D">
        <w:rPr>
          <w:rFonts w:eastAsia="Times New Roman"/>
        </w:rPr>
        <w:t>Non-discrimination</w:t>
      </w:r>
    </w:p>
    <w:p w14:paraId="26B87CC5" w14:textId="30596D18" w:rsidR="007A401D" w:rsidRDefault="000D2DAD" w:rsidP="000D2DAD">
      <w:pPr>
        <w:pStyle w:val="H23G"/>
      </w:pPr>
      <w:r>
        <w:tab/>
      </w:r>
      <w:r>
        <w:tab/>
      </w:r>
      <w:r w:rsidR="007A401D">
        <w:t>Réponse au paragraphe</w:t>
      </w:r>
      <w:r>
        <w:t> </w:t>
      </w:r>
      <w:r w:rsidR="007A401D">
        <w:t>10 de la liste de points</w:t>
      </w:r>
    </w:p>
    <w:p w14:paraId="0E975B4D" w14:textId="6EDFA707" w:rsidR="007A401D" w:rsidRDefault="007A401D" w:rsidP="007A401D">
      <w:pPr>
        <w:pStyle w:val="SingleTxtG"/>
        <w:rPr>
          <w:rFonts w:eastAsia="Times New Roman"/>
        </w:rPr>
      </w:pPr>
      <w:r>
        <w:rPr>
          <w:rFonts w:eastAsia="Times New Roman"/>
          <w:bCs/>
        </w:rPr>
        <w:t>18.</w:t>
      </w:r>
      <w:r>
        <w:rPr>
          <w:rFonts w:eastAsia="Times New Roman"/>
          <w:bCs/>
        </w:rPr>
        <w:tab/>
      </w:r>
      <w:r>
        <w:rPr>
          <w:rFonts w:eastAsia="Times New Roman"/>
        </w:rPr>
        <w:t>L’Institut néerlandais des droits de l’homme (NIHR) publie un rapport annuel sur le nombre et le type de plaintes qu’il reçoit</w:t>
      </w:r>
      <w:r w:rsidRPr="00E16BD4">
        <w:rPr>
          <w:rStyle w:val="Appelnotedebasdep"/>
        </w:rPr>
        <w:footnoteReference w:id="4"/>
      </w:r>
      <w:r>
        <w:rPr>
          <w:rFonts w:eastAsia="Times New Roman"/>
        </w:rPr>
        <w:t xml:space="preserve">. En outre, les bureaux de lutte contre la </w:t>
      </w:r>
      <w:r>
        <w:rPr>
          <w:rFonts w:eastAsia="Times New Roman"/>
        </w:rPr>
        <w:lastRenderedPageBreak/>
        <w:t>discrimination, la police (</w:t>
      </w:r>
      <w:r w:rsidRPr="00430DC1">
        <w:rPr>
          <w:rFonts w:eastAsia="Times New Roman"/>
          <w:i/>
        </w:rPr>
        <w:t>politie</w:t>
      </w:r>
      <w:r>
        <w:rPr>
          <w:rFonts w:eastAsia="Times New Roman"/>
        </w:rPr>
        <w:t>) et les autres organismes officiels de signalement publient un rapport annuel sur les plaintes pour discrimination</w:t>
      </w:r>
      <w:r w:rsidRPr="00E16BD4">
        <w:rPr>
          <w:rStyle w:val="Appelnotedebasdep"/>
        </w:rPr>
        <w:footnoteReference w:id="5"/>
      </w:r>
      <w:r>
        <w:rPr>
          <w:rFonts w:eastAsia="Times New Roman"/>
        </w:rPr>
        <w:t>.</w:t>
      </w:r>
    </w:p>
    <w:p w14:paraId="5F964242" w14:textId="4CD3F286" w:rsidR="007A401D" w:rsidRDefault="000D2DAD" w:rsidP="000D2DAD">
      <w:pPr>
        <w:pStyle w:val="H23G"/>
      </w:pPr>
      <w:r>
        <w:tab/>
      </w:r>
      <w:r>
        <w:tab/>
      </w:r>
      <w:r w:rsidR="007A401D">
        <w:t>Réponse au paragraphe</w:t>
      </w:r>
      <w:r>
        <w:t> </w:t>
      </w:r>
      <w:r w:rsidR="007A401D">
        <w:t>11 de la liste de points</w:t>
      </w:r>
    </w:p>
    <w:p w14:paraId="2278BB0A" w14:textId="77777777" w:rsidR="007A401D" w:rsidRDefault="007A401D" w:rsidP="007A401D">
      <w:pPr>
        <w:pStyle w:val="SingleTxtG"/>
        <w:rPr>
          <w:rFonts w:eastAsia="Times New Roman"/>
        </w:rPr>
      </w:pPr>
      <w:r>
        <w:rPr>
          <w:rFonts w:eastAsia="Times New Roman"/>
          <w:bCs/>
        </w:rPr>
        <w:t>19.</w:t>
      </w:r>
      <w:r>
        <w:rPr>
          <w:rFonts w:eastAsia="Times New Roman"/>
          <w:bCs/>
        </w:rPr>
        <w:tab/>
      </w:r>
      <w:r w:rsidRPr="007A401D">
        <w:t>Un</w:t>
      </w:r>
      <w:r>
        <w:rPr>
          <w:rFonts w:eastAsia="Times New Roman"/>
        </w:rPr>
        <w:t xml:space="preserve"> troisième programme  national de lutte contre la discrimination et le racisme est prévu pour le début de l’année 2025. Le rapport final sur l’enquête de la Commission nationale de lutte contre le racisme et l’intolérance est attendu pour 2026.</w:t>
      </w:r>
    </w:p>
    <w:p w14:paraId="0CAC390A" w14:textId="77777777" w:rsidR="007A401D" w:rsidRDefault="007A401D" w:rsidP="007A401D">
      <w:pPr>
        <w:pStyle w:val="SingleTxtG"/>
        <w:rPr>
          <w:rFonts w:eastAsia="Times New Roman"/>
        </w:rPr>
      </w:pPr>
      <w:r>
        <w:rPr>
          <w:rFonts w:eastAsia="Times New Roman"/>
        </w:rPr>
        <w:t>20.</w:t>
      </w:r>
      <w:r>
        <w:rPr>
          <w:rFonts w:eastAsia="Times New Roman"/>
        </w:rPr>
        <w:tab/>
        <w:t>La promulgation du projet de loi relatif à l’égalité de traitement dans les Caraïbes néerlandaises est prévue pour juillet 2026, comme programmé.</w:t>
      </w:r>
    </w:p>
    <w:p w14:paraId="4614F645" w14:textId="05AD2568" w:rsidR="007A401D" w:rsidRDefault="000D2DAD" w:rsidP="000D2DAD">
      <w:pPr>
        <w:pStyle w:val="H23G"/>
      </w:pPr>
      <w:r>
        <w:tab/>
      </w:r>
      <w:r>
        <w:tab/>
      </w:r>
      <w:r w:rsidR="007A401D">
        <w:t>Réponse au paragraphe</w:t>
      </w:r>
      <w:r>
        <w:t> </w:t>
      </w:r>
      <w:r w:rsidR="007A401D">
        <w:t>12 de la liste de points</w:t>
      </w:r>
    </w:p>
    <w:p w14:paraId="2D389367" w14:textId="649E9158" w:rsidR="007A401D" w:rsidRDefault="007A401D" w:rsidP="00C71830">
      <w:pPr>
        <w:pStyle w:val="SingleTxtG"/>
        <w:rPr>
          <w:rFonts w:eastAsia="Times New Roman"/>
        </w:rPr>
      </w:pPr>
      <w:r>
        <w:rPr>
          <w:rFonts w:eastAsia="Times New Roman"/>
          <w:bCs/>
        </w:rPr>
        <w:t>21.</w:t>
      </w:r>
      <w:r>
        <w:rPr>
          <w:rFonts w:eastAsia="Times New Roman"/>
          <w:bCs/>
        </w:rPr>
        <w:tab/>
      </w:r>
      <w:r w:rsidRPr="007A401D">
        <w:t>Les</w:t>
      </w:r>
      <w:r>
        <w:rPr>
          <w:rFonts w:eastAsia="Times New Roman"/>
        </w:rPr>
        <w:t xml:space="preserve"> initiatives néerlandaises concernant les risques liés à l’utilisation de systèmes de prise de décisions fondés sur des algorithmes dans le secteur public s’inscrivent dans le cadre du programme de travail relatif à la numérisation axée sur les valeurs.</w:t>
      </w:r>
    </w:p>
    <w:p w14:paraId="6E7BA431" w14:textId="0C004172" w:rsidR="007A401D" w:rsidRDefault="007A401D" w:rsidP="007A401D">
      <w:pPr>
        <w:pStyle w:val="SingleTxtG"/>
        <w:rPr>
          <w:rFonts w:eastAsia="Times New Roman"/>
        </w:rPr>
      </w:pPr>
      <w:r>
        <w:rPr>
          <w:rFonts w:eastAsia="Times New Roman"/>
        </w:rPr>
        <w:t>22.</w:t>
      </w:r>
      <w:r>
        <w:rPr>
          <w:rFonts w:eastAsia="Times New Roman"/>
        </w:rPr>
        <w:tab/>
      </w:r>
      <w:r w:rsidRPr="007A401D">
        <w:t>Parmi</w:t>
      </w:r>
      <w:r>
        <w:rPr>
          <w:rFonts w:eastAsia="Times New Roman"/>
        </w:rPr>
        <w:t xml:space="preserve"> les exemples de mesures prises par l’UE pour réglementer les algorithmes, figurent le règlement de l’UE sur l’intelligence artificielle et les négociations relatives à la Convention-cadre du Conseil de l’Europe sur l’IA, les droits de l’homme, la démocratie et l’état de droit. Les mesures prises au niveau national comprennent la mise en place du registre des algorithmes, qui permet aux organismes du secteur public de fournir des informations sur les algorithmes qu’ils utilisent et sur la manière dont ceux-ci affectent les individus et les entreprises. En avril 2024, plus d’une centaine d’organismes du secteur public avaient collectivement publié 330</w:t>
      </w:r>
      <w:r w:rsidR="000D2DAD">
        <w:rPr>
          <w:rFonts w:eastAsia="Times New Roman"/>
        </w:rPr>
        <w:t> </w:t>
      </w:r>
      <w:r>
        <w:rPr>
          <w:rFonts w:eastAsia="Times New Roman"/>
        </w:rPr>
        <w:t>algorithmes, améliorant ainsi la transparence sur l’utilisation et l’impact des algorithmes du secteur public.</w:t>
      </w:r>
    </w:p>
    <w:p w14:paraId="1856DA79" w14:textId="77777777" w:rsidR="007A401D" w:rsidRDefault="007A401D" w:rsidP="007A401D">
      <w:pPr>
        <w:pStyle w:val="SingleTxtG"/>
        <w:rPr>
          <w:rFonts w:eastAsia="Times New Roman"/>
        </w:rPr>
      </w:pPr>
      <w:r>
        <w:rPr>
          <w:rFonts w:eastAsia="Times New Roman"/>
        </w:rPr>
        <w:t>23.</w:t>
      </w:r>
      <w:r>
        <w:rPr>
          <w:rFonts w:eastAsia="Times New Roman"/>
        </w:rPr>
        <w:tab/>
        <w:t xml:space="preserve">Un cadre de mise en œuvre est en cours d’élaboration pour une utilisation responsable des algorithmes et des </w:t>
      </w:r>
      <w:r w:rsidRPr="007A401D">
        <w:t>systèmes</w:t>
      </w:r>
      <w:r>
        <w:rPr>
          <w:rFonts w:eastAsia="Times New Roman"/>
        </w:rPr>
        <w:t xml:space="preserve"> d’IA dans le secteur public. L’objectif est d’atténuer le risque de violation des droits en fournissant des orientations claires et spécifiques aux organismes du secteur public pour garantir le respect des droits. Parmi les autres mesures en cours d’élaboration figurent celles visant à rendre obligatoire l’utilisation du registre des algorithmes, l’élaboration de normes de passation de marchés pour les algorithmes et les applications d’IA du secteur public, et le renforcement de la capacité réglementaire.</w:t>
      </w:r>
    </w:p>
    <w:p w14:paraId="5708125F" w14:textId="6D67A56E" w:rsidR="007A401D" w:rsidRDefault="000D2DAD" w:rsidP="000D2DAD">
      <w:pPr>
        <w:pStyle w:val="H23G"/>
      </w:pPr>
      <w:r>
        <w:tab/>
      </w:r>
      <w:r>
        <w:tab/>
      </w:r>
      <w:r w:rsidR="007A401D">
        <w:t>Réponse au paragraphe</w:t>
      </w:r>
      <w:r>
        <w:t> </w:t>
      </w:r>
      <w:r w:rsidR="007A401D">
        <w:t>13 de la liste de points</w:t>
      </w:r>
    </w:p>
    <w:p w14:paraId="6BB5AC1D" w14:textId="59BF08E3" w:rsidR="007A401D" w:rsidRDefault="007A401D" w:rsidP="007A401D">
      <w:pPr>
        <w:pStyle w:val="SingleTxtG"/>
        <w:rPr>
          <w:rFonts w:eastAsia="Times New Roman"/>
        </w:rPr>
      </w:pPr>
      <w:r>
        <w:rPr>
          <w:rFonts w:eastAsia="Times New Roman"/>
        </w:rPr>
        <w:t>24.</w:t>
      </w:r>
      <w:r>
        <w:rPr>
          <w:rFonts w:eastAsia="Times New Roman"/>
        </w:rPr>
        <w:tab/>
        <w:t>Les mesures visant à promouvoir l’égalité, l’inclusion et la participation des Roms, des Sintis et des gens du voyage sont notamment les suivantes</w:t>
      </w:r>
      <w:r w:rsidR="000D2DAD">
        <w:rPr>
          <w:rFonts w:eastAsia="Times New Roman"/>
        </w:rPr>
        <w:t> </w:t>
      </w:r>
      <w:r>
        <w:rPr>
          <w:rFonts w:eastAsia="Times New Roman"/>
        </w:rPr>
        <w:t>:</w:t>
      </w:r>
    </w:p>
    <w:p w14:paraId="3398BA10" w14:textId="249492D4" w:rsidR="007A401D" w:rsidRDefault="007A401D" w:rsidP="00346D05">
      <w:pPr>
        <w:pStyle w:val="Bullet1G"/>
      </w:pPr>
      <w:r>
        <w:t>Cent-soixante subventions et 55</w:t>
      </w:r>
      <w:r w:rsidR="00346D05">
        <w:t> </w:t>
      </w:r>
      <w:r>
        <w:t>bourses d’études supérieures ont été octroyées dans le cadre d’un programme pour 2000-2022 destiné à subventionner des projets et des activités visant à améliorer la participation et l’égalité des chances pour les Sintis et les Roms. Une évaluation des résultats et du suivi du programme est en cours ;</w:t>
      </w:r>
    </w:p>
    <w:p w14:paraId="0526D673" w14:textId="2180D424" w:rsidR="007A401D" w:rsidRDefault="007A401D" w:rsidP="00346D05">
      <w:pPr>
        <w:pStyle w:val="Bullet1G"/>
        <w:rPr>
          <w:rFonts w:eastAsia="Times New Roman"/>
        </w:rPr>
      </w:pPr>
      <w:r>
        <w:rPr>
          <w:rFonts w:eastAsia="Times New Roman"/>
        </w:rPr>
        <w:t>Environ 1</w:t>
      </w:r>
      <w:r w:rsidR="00346D05">
        <w:rPr>
          <w:rFonts w:eastAsia="Times New Roman"/>
        </w:rPr>
        <w:t> </w:t>
      </w:r>
      <w:r>
        <w:rPr>
          <w:rFonts w:eastAsia="Times New Roman"/>
        </w:rPr>
        <w:t>million d’euros de subventions sont versées chaque année pour apporter un soutien supplémentaire aux écoles primaires fréquentées par au moins quatre élèves d’origine rom ou sinti ;</w:t>
      </w:r>
    </w:p>
    <w:p w14:paraId="3DFDBD10" w14:textId="77777777" w:rsidR="007A401D" w:rsidRDefault="007A401D" w:rsidP="00346D05">
      <w:pPr>
        <w:pStyle w:val="Bullet1G"/>
        <w:rPr>
          <w:rFonts w:eastAsia="Times New Roman"/>
        </w:rPr>
      </w:pPr>
      <w:r>
        <w:rPr>
          <w:rFonts w:eastAsia="Times New Roman"/>
        </w:rPr>
        <w:t xml:space="preserve">Le </w:t>
      </w:r>
      <w:r w:rsidRPr="00346D05">
        <w:t>programme</w:t>
      </w:r>
      <w:r>
        <w:rPr>
          <w:rFonts w:eastAsia="Times New Roman"/>
        </w:rPr>
        <w:t xml:space="preserve"> OWRS apporte un soutien à l’éducation nationale pour les enfants des gens du voyage, des Roms et des Sintis, gère un service d’assistance pour les écoles et un réseau de partenaires comprenant des agents chargés du contrôle de l’absentéisme scolaire ainsi que des responsables municipaux ;</w:t>
      </w:r>
    </w:p>
    <w:p w14:paraId="4A4AECFF" w14:textId="18860A94" w:rsidR="007A401D" w:rsidRDefault="007A401D" w:rsidP="00346D05">
      <w:pPr>
        <w:pStyle w:val="Bullet1G"/>
        <w:rPr>
          <w:rFonts w:eastAsia="Times New Roman"/>
        </w:rPr>
      </w:pPr>
      <w:r>
        <w:rPr>
          <w:rFonts w:eastAsia="Times New Roman"/>
        </w:rPr>
        <w:t xml:space="preserve">Sept </w:t>
      </w:r>
      <w:r w:rsidRPr="00346D05">
        <w:t>municipalités</w:t>
      </w:r>
      <w:r>
        <w:rPr>
          <w:rFonts w:eastAsia="Times New Roman"/>
        </w:rPr>
        <w:t xml:space="preserve"> ont reçu collectivement 735</w:t>
      </w:r>
      <w:r w:rsidR="00346D05">
        <w:rPr>
          <w:rFonts w:eastAsia="Times New Roman"/>
        </w:rPr>
        <w:t> </w:t>
      </w:r>
      <w:r>
        <w:rPr>
          <w:rFonts w:eastAsia="Times New Roman"/>
        </w:rPr>
        <w:t>000</w:t>
      </w:r>
      <w:r w:rsidR="00346D05">
        <w:rPr>
          <w:rFonts w:eastAsia="Times New Roman"/>
        </w:rPr>
        <w:t> </w:t>
      </w:r>
      <w:r>
        <w:rPr>
          <w:rFonts w:eastAsia="Times New Roman"/>
        </w:rPr>
        <w:t>euros pour une étude pilote menée au cours de la période 2019-2022 visant à promouvoir la participation des jeunes roms et sintis à l’éducation et au marché du travail ;</w:t>
      </w:r>
    </w:p>
    <w:p w14:paraId="3772D8D7" w14:textId="0917158A" w:rsidR="007A401D" w:rsidRDefault="007A401D" w:rsidP="00346D05">
      <w:pPr>
        <w:pStyle w:val="Bullet1G"/>
        <w:keepNext/>
        <w:keepLines/>
        <w:rPr>
          <w:rFonts w:eastAsia="Times New Roman"/>
        </w:rPr>
      </w:pPr>
      <w:r>
        <w:rPr>
          <w:rFonts w:eastAsia="Times New Roman"/>
        </w:rPr>
        <w:lastRenderedPageBreak/>
        <w:t xml:space="preserve">Un cadre pour la politique municipale en matière de caravanes et d’emplacements fournit aux </w:t>
      </w:r>
      <w:r w:rsidRPr="00346D05">
        <w:t>autorités</w:t>
      </w:r>
      <w:r>
        <w:rPr>
          <w:rFonts w:eastAsia="Times New Roman"/>
        </w:rPr>
        <w:t xml:space="preserve"> locales des lignes directrices concernant des politiques de logement conformes aux droits de l’homme pour les Roms, les Sintis et les gens du</w:t>
      </w:r>
      <w:r w:rsidR="00346D05">
        <w:rPr>
          <w:rFonts w:eastAsia="Times New Roman"/>
        </w:rPr>
        <w:t> </w:t>
      </w:r>
      <w:r>
        <w:rPr>
          <w:rFonts w:eastAsia="Times New Roman"/>
        </w:rPr>
        <w:t>voyage ;</w:t>
      </w:r>
    </w:p>
    <w:p w14:paraId="4BF580A7" w14:textId="41316487" w:rsidR="007A401D" w:rsidRPr="00346D05" w:rsidRDefault="007A401D" w:rsidP="00346D05">
      <w:pPr>
        <w:pStyle w:val="Bullet1G"/>
        <w:rPr>
          <w:rFonts w:eastAsia="Times New Roman"/>
          <w:spacing w:val="-2"/>
        </w:rPr>
      </w:pPr>
      <w:r w:rsidRPr="00346D05">
        <w:rPr>
          <w:rFonts w:eastAsia="Times New Roman"/>
          <w:spacing w:val="-2"/>
        </w:rPr>
        <w:t xml:space="preserve">De </w:t>
      </w:r>
      <w:r w:rsidRPr="00346D05">
        <w:rPr>
          <w:spacing w:val="-2"/>
        </w:rPr>
        <w:t>2021</w:t>
      </w:r>
      <w:r w:rsidRPr="00346D05">
        <w:rPr>
          <w:rFonts w:eastAsia="Times New Roman"/>
          <w:spacing w:val="-2"/>
        </w:rPr>
        <w:t xml:space="preserve"> à 2023, des subventions ont été accordées pour 670</w:t>
      </w:r>
      <w:r w:rsidR="00346D05" w:rsidRPr="00346D05">
        <w:rPr>
          <w:rFonts w:eastAsia="Times New Roman"/>
          <w:spacing w:val="-2"/>
        </w:rPr>
        <w:t> </w:t>
      </w:r>
      <w:r w:rsidRPr="00346D05">
        <w:rPr>
          <w:rFonts w:eastAsia="Times New Roman"/>
          <w:spacing w:val="-2"/>
        </w:rPr>
        <w:t>nouveaux emplacements ;</w:t>
      </w:r>
    </w:p>
    <w:p w14:paraId="24556AA0" w14:textId="77777777" w:rsidR="007A401D" w:rsidRDefault="007A401D" w:rsidP="00346D05">
      <w:pPr>
        <w:pStyle w:val="Bullet1G"/>
        <w:rPr>
          <w:rFonts w:eastAsia="Times New Roman"/>
        </w:rPr>
      </w:pPr>
      <w:r>
        <w:rPr>
          <w:rFonts w:eastAsia="Times New Roman"/>
        </w:rPr>
        <w:t xml:space="preserve">La </w:t>
      </w:r>
      <w:r w:rsidRPr="00346D05">
        <w:t>législation</w:t>
      </w:r>
      <w:r>
        <w:rPr>
          <w:rFonts w:eastAsia="Times New Roman"/>
        </w:rPr>
        <w:t xml:space="preserve"> visant à renforcer la coordination gouvernementale dans le domaine du logement tiendra compte des besoins des caravaniers en matière d’hébergement.</w:t>
      </w:r>
    </w:p>
    <w:p w14:paraId="173D2430" w14:textId="6E9F2589" w:rsidR="007A401D" w:rsidRPr="00346D05" w:rsidRDefault="00346D05" w:rsidP="00346D05">
      <w:pPr>
        <w:pStyle w:val="H1G"/>
      </w:pPr>
      <w:r>
        <w:tab/>
      </w:r>
      <w:r>
        <w:tab/>
      </w:r>
      <w:r w:rsidR="007A401D">
        <w:t>Article 3</w:t>
      </w:r>
      <w:r>
        <w:t xml:space="preserve"> </w:t>
      </w:r>
      <w:r>
        <w:br/>
      </w:r>
      <w:r w:rsidR="007A401D">
        <w:rPr>
          <w:rFonts w:eastAsia="Times New Roman"/>
        </w:rPr>
        <w:t>Égalité de droits entre les hommes et les femmes</w:t>
      </w:r>
    </w:p>
    <w:p w14:paraId="1FA1F984" w14:textId="0CF0B655" w:rsidR="007A401D" w:rsidRDefault="00346D05" w:rsidP="00346D05">
      <w:pPr>
        <w:pStyle w:val="H23G"/>
      </w:pPr>
      <w:r>
        <w:tab/>
      </w:r>
      <w:r>
        <w:tab/>
      </w:r>
      <w:r w:rsidR="007A401D">
        <w:t>Réponse au paragraphe</w:t>
      </w:r>
      <w:r>
        <w:t> </w:t>
      </w:r>
      <w:r w:rsidR="007A401D">
        <w:t>14</w:t>
      </w:r>
      <w:r>
        <w:t> </w:t>
      </w:r>
      <w:r w:rsidR="007A401D">
        <w:t>a) de la liste de points</w:t>
      </w:r>
    </w:p>
    <w:p w14:paraId="23EDF9A6" w14:textId="62131937" w:rsidR="007A401D" w:rsidRDefault="007A401D" w:rsidP="007A401D">
      <w:pPr>
        <w:pStyle w:val="SingleTxtG"/>
        <w:rPr>
          <w:rFonts w:eastAsia="Times New Roman"/>
        </w:rPr>
      </w:pPr>
      <w:r>
        <w:rPr>
          <w:rFonts w:eastAsia="Times New Roman"/>
          <w:bCs/>
        </w:rPr>
        <w:t>25.</w:t>
      </w:r>
      <w:r>
        <w:rPr>
          <w:rFonts w:eastAsia="Times New Roman"/>
          <w:bCs/>
        </w:rPr>
        <w:tab/>
      </w:r>
      <w:r>
        <w:rPr>
          <w:rFonts w:eastAsia="Times New Roman"/>
        </w:rPr>
        <w:t>En 2019, les partenaires (par exemple les pères) ont obtenu le droit à une semaine de congé payé après la naissance de leur enfant (appelé congé de naissance pour les partenaires ou congé pour les partenaires). À compter de 2022, les partenaires peuvent également prendre neuf semaines de congé partiellement rémunéré à hauteur de 70</w:t>
      </w:r>
      <w:r w:rsidR="00346D05">
        <w:rPr>
          <w:rFonts w:eastAsia="Times New Roman"/>
        </w:rPr>
        <w:t> </w:t>
      </w:r>
      <w:r>
        <w:rPr>
          <w:rFonts w:eastAsia="Times New Roman"/>
        </w:rPr>
        <w:t>% de leur salaire. L’octroi de ces congés vise à permettre de concilier plus facilement les responsabilités professionnelles et familiales, à favoriser un partage égal des responsabilités et à maintenir la participation à long terme au marché du travail.</w:t>
      </w:r>
    </w:p>
    <w:p w14:paraId="7B8F0DB9" w14:textId="77777777" w:rsidR="007A401D" w:rsidRDefault="007A401D" w:rsidP="007A401D">
      <w:pPr>
        <w:pStyle w:val="SingleTxtG"/>
        <w:rPr>
          <w:rFonts w:eastAsia="Times New Roman"/>
        </w:rPr>
      </w:pPr>
      <w:r>
        <w:rPr>
          <w:rFonts w:eastAsia="Times New Roman"/>
        </w:rPr>
        <w:t>26.</w:t>
      </w:r>
      <w:r>
        <w:rPr>
          <w:rFonts w:eastAsia="Times New Roman"/>
        </w:rPr>
        <w:tab/>
        <w:t xml:space="preserve">Pour permettre de concilier les soins aux enfants et un emploi rémunéré, les parents qui travaillent reçoivent </w:t>
      </w:r>
      <w:r w:rsidRPr="007A401D">
        <w:t>l’allocation</w:t>
      </w:r>
      <w:r>
        <w:rPr>
          <w:rFonts w:eastAsia="Times New Roman"/>
        </w:rPr>
        <w:t xml:space="preserve"> pour garde d’enfants, qui a été augmentée au-delà de l’indexation régulière en 2019, 2023 et 2024.</w:t>
      </w:r>
    </w:p>
    <w:p w14:paraId="3A0E69CB" w14:textId="54D004AB" w:rsidR="007A401D" w:rsidRDefault="007A401D" w:rsidP="007A401D">
      <w:pPr>
        <w:pStyle w:val="SingleTxtG"/>
        <w:rPr>
          <w:rFonts w:eastAsia="Times New Roman"/>
        </w:rPr>
      </w:pPr>
      <w:r>
        <w:rPr>
          <w:rFonts w:eastAsia="Times New Roman"/>
        </w:rPr>
        <w:t>27.</w:t>
      </w:r>
      <w:r>
        <w:rPr>
          <w:rFonts w:eastAsia="Times New Roman"/>
        </w:rPr>
        <w:tab/>
        <w:t xml:space="preserve">Le Gouvernement néerlandais mène actuellement des recherches sur la façon dont les gens perçoivent le thème de </w:t>
      </w:r>
      <w:r w:rsidRPr="007A401D">
        <w:t>l’égalité</w:t>
      </w:r>
      <w:r>
        <w:rPr>
          <w:rFonts w:eastAsia="Times New Roman"/>
        </w:rPr>
        <w:t xml:space="preserve"> entre les sexes sur le marché du travail, afin de mieux comprendre les perceptions et de formuler des solutions pour favoriser l’égalité entre les</w:t>
      </w:r>
      <w:r w:rsidR="00346D05">
        <w:rPr>
          <w:rFonts w:eastAsia="Times New Roman"/>
        </w:rPr>
        <w:t> </w:t>
      </w:r>
      <w:r>
        <w:rPr>
          <w:rFonts w:eastAsia="Times New Roman"/>
        </w:rPr>
        <w:t>sexes.</w:t>
      </w:r>
    </w:p>
    <w:p w14:paraId="55FD66B0" w14:textId="04D87F26" w:rsidR="007A401D" w:rsidRDefault="00346D05" w:rsidP="00346D05">
      <w:pPr>
        <w:pStyle w:val="H23G"/>
      </w:pPr>
      <w:r>
        <w:tab/>
      </w:r>
      <w:r>
        <w:tab/>
      </w:r>
      <w:r w:rsidR="007A401D">
        <w:t>Réponse au paragraphe</w:t>
      </w:r>
      <w:r>
        <w:t> </w:t>
      </w:r>
      <w:r w:rsidR="007A401D">
        <w:t>14</w:t>
      </w:r>
      <w:r>
        <w:t> </w:t>
      </w:r>
      <w:r w:rsidR="007A401D">
        <w:t>b) de la liste de points</w:t>
      </w:r>
    </w:p>
    <w:p w14:paraId="755954E3" w14:textId="77777777" w:rsidR="007A401D" w:rsidRDefault="007A401D" w:rsidP="007A401D">
      <w:pPr>
        <w:pStyle w:val="SingleTxtG"/>
        <w:rPr>
          <w:rFonts w:eastAsia="Times New Roman"/>
        </w:rPr>
      </w:pPr>
      <w:r>
        <w:rPr>
          <w:rFonts w:eastAsia="Times New Roman"/>
          <w:bCs/>
        </w:rPr>
        <w:t>28.</w:t>
      </w:r>
      <w:r>
        <w:rPr>
          <w:rFonts w:eastAsia="Times New Roman"/>
          <w:bCs/>
        </w:rPr>
        <w:tab/>
      </w:r>
      <w:r>
        <w:rPr>
          <w:rFonts w:eastAsia="Times New Roman"/>
        </w:rPr>
        <w:t xml:space="preserve">Le Gouvernement néerlandais a mis en place plusieurs programmes visant à soutenir les femmes défavorisées sur le marché du travail et à renforcer leur indépendance économique (par exemple, </w:t>
      </w:r>
      <w:r w:rsidRPr="00FB4A4B">
        <w:rPr>
          <w:rFonts w:eastAsia="Times New Roman"/>
          <w:i/>
        </w:rPr>
        <w:t>Vakkundig aan het Werk</w:t>
      </w:r>
      <w:r>
        <w:rPr>
          <w:rFonts w:eastAsia="Times New Roman"/>
        </w:rPr>
        <w:t>). En outre, il prend des mesures pour encourager les femmes à augmenter leur temps de travail. Ces mesures consistent notamment à allouer des ressources pour les dispositifs relatifs aux congés et à la garde d’enfants et à subventionner des projets pilotes visant à éliminer les goulets d’étranglement.</w:t>
      </w:r>
    </w:p>
    <w:p w14:paraId="7F1A7854" w14:textId="2398D507" w:rsidR="007A401D" w:rsidRDefault="00346D05" w:rsidP="00346D05">
      <w:pPr>
        <w:pStyle w:val="H23G"/>
      </w:pPr>
      <w:r>
        <w:tab/>
      </w:r>
      <w:r>
        <w:tab/>
      </w:r>
      <w:r w:rsidR="007A401D">
        <w:t>Réponse au paragraphe</w:t>
      </w:r>
      <w:r>
        <w:t> </w:t>
      </w:r>
      <w:r w:rsidR="007A401D">
        <w:t>14</w:t>
      </w:r>
      <w:r>
        <w:t> </w:t>
      </w:r>
      <w:r w:rsidR="007A401D">
        <w:t>c) de la liste de points</w:t>
      </w:r>
    </w:p>
    <w:p w14:paraId="35873610" w14:textId="77777777" w:rsidR="007A401D" w:rsidRDefault="007A401D" w:rsidP="007A401D">
      <w:pPr>
        <w:pStyle w:val="SingleTxtG"/>
        <w:rPr>
          <w:rFonts w:eastAsia="Times New Roman"/>
        </w:rPr>
      </w:pPr>
      <w:r>
        <w:rPr>
          <w:rFonts w:eastAsia="Times New Roman"/>
          <w:bCs/>
        </w:rPr>
        <w:t>29.</w:t>
      </w:r>
      <w:r>
        <w:rPr>
          <w:rFonts w:eastAsia="Times New Roman"/>
          <w:bCs/>
        </w:rPr>
        <w:tab/>
      </w:r>
      <w:r>
        <w:rPr>
          <w:rFonts w:eastAsia="Times New Roman"/>
        </w:rPr>
        <w:t>Un volet du plan d’action contre la discrimination sur le marché du travail (</w:t>
      </w:r>
      <w:r w:rsidRPr="00462318">
        <w:rPr>
          <w:rFonts w:eastAsia="Times New Roman"/>
          <w:i/>
        </w:rPr>
        <w:t>Actieplan arbeidsmarktdiscriminatie</w:t>
      </w:r>
      <w:r>
        <w:rPr>
          <w:rFonts w:eastAsia="Times New Roman"/>
        </w:rPr>
        <w:t>) est un accord volontaire visant à créer un marché du travail plus inclusif. Les associations sectorielles, les organisations de la société civile et les entreprises sont encouragées à revoir à la hausse leurs ambitions dans les domaines du recrutement et de la sélection inclusifs, de la rétention et de l’avancement.</w:t>
      </w:r>
    </w:p>
    <w:p w14:paraId="1F31CDEB" w14:textId="7EE80317" w:rsidR="007A401D" w:rsidRDefault="007A401D" w:rsidP="007A401D">
      <w:pPr>
        <w:pStyle w:val="SingleTxtG"/>
        <w:rPr>
          <w:rFonts w:eastAsia="Times New Roman"/>
        </w:rPr>
      </w:pPr>
      <w:r>
        <w:rPr>
          <w:rFonts w:eastAsia="Times New Roman"/>
        </w:rPr>
        <w:t>30.</w:t>
      </w:r>
      <w:r>
        <w:rPr>
          <w:rFonts w:eastAsia="Times New Roman"/>
        </w:rPr>
        <w:tab/>
        <w:t>La Directive (UE)</w:t>
      </w:r>
      <w:r w:rsidR="00346D05">
        <w:rPr>
          <w:rFonts w:eastAsia="Times New Roman"/>
        </w:rPr>
        <w:t> </w:t>
      </w:r>
      <w:r>
        <w:rPr>
          <w:rFonts w:eastAsia="Times New Roman"/>
        </w:rPr>
        <w:t xml:space="preserve">2023/970 renforce l’application du principe de l’égalité de rémunération pour un même travail </w:t>
      </w:r>
      <w:r w:rsidRPr="007A401D">
        <w:t>ou</w:t>
      </w:r>
      <w:r>
        <w:rPr>
          <w:rFonts w:eastAsia="Times New Roman"/>
        </w:rPr>
        <w:t xml:space="preserve"> un travail de valeur égale entre les hommes et les femmes par le biais de la transparence des rémunérations et de mécanismes d’application. Le</w:t>
      </w:r>
      <w:r w:rsidR="00346D05">
        <w:rPr>
          <w:rFonts w:eastAsia="Times New Roman"/>
        </w:rPr>
        <w:t> </w:t>
      </w:r>
      <w:r>
        <w:rPr>
          <w:rFonts w:eastAsia="Times New Roman"/>
        </w:rPr>
        <w:t>Gouvernement néerlandais s’emploie à mettre rapidement en œuvre cette directive.</w:t>
      </w:r>
    </w:p>
    <w:p w14:paraId="54B57C7F" w14:textId="77777777" w:rsidR="007A401D" w:rsidRDefault="007A401D" w:rsidP="007A401D">
      <w:pPr>
        <w:pStyle w:val="SingleTxtG"/>
        <w:rPr>
          <w:rFonts w:eastAsia="Times New Roman"/>
        </w:rPr>
      </w:pPr>
      <w:r>
        <w:rPr>
          <w:rFonts w:eastAsia="Times New Roman"/>
        </w:rPr>
        <w:t>31.</w:t>
      </w:r>
      <w:r>
        <w:rPr>
          <w:rFonts w:eastAsia="Times New Roman"/>
        </w:rPr>
        <w:tab/>
        <w:t>Une nouvelle loi néerlandaise (</w:t>
      </w:r>
      <w:r w:rsidRPr="00462318">
        <w:rPr>
          <w:rFonts w:eastAsia="Times New Roman"/>
          <w:i/>
        </w:rPr>
        <w:t>Wet ingroeiquotum en streefcijfers</w:t>
      </w:r>
      <w:r>
        <w:rPr>
          <w:rFonts w:eastAsia="Times New Roman"/>
        </w:rPr>
        <w:t>) fixe des quotas d’équilibre entre les sexes, obligeant les sociétés cotées en bourse à veiller à ce que leurs conseils de surveillance soient composés d’au moins un tiers de femmes et un tiers d’hommes. Si ce n’est pas encore le cas, toute nouvelle nomination au conseil de surveillance qui ne contribue pas à l’équilibre entre les hommes et les femmes sera invalidée. Les grandes entreprises doivent fixer des objectifs appropriés et ambitieux en matière d’équilibre entre les hommes et les femmes au niveau de l’encadrement supérieur, faire preuve de transparence quant à ces objectifs et élaborer des plans pour les atteindre.</w:t>
      </w:r>
    </w:p>
    <w:p w14:paraId="517602F4" w14:textId="685A4831" w:rsidR="007A401D" w:rsidRDefault="00346D05" w:rsidP="00346D05">
      <w:pPr>
        <w:pStyle w:val="H1G"/>
      </w:pPr>
      <w:r>
        <w:lastRenderedPageBreak/>
        <w:tab/>
      </w:r>
      <w:r w:rsidR="007A401D">
        <w:t>C.</w:t>
      </w:r>
      <w:r w:rsidR="007A401D">
        <w:tab/>
        <w:t>Points relatifs aux dispositions spécifiques du Pacte (art.</w:t>
      </w:r>
      <w:r>
        <w:t> </w:t>
      </w:r>
      <w:r w:rsidR="007A401D">
        <w:t>6 à 15)</w:t>
      </w:r>
    </w:p>
    <w:p w14:paraId="68A7C98C" w14:textId="768BF498" w:rsidR="007A401D" w:rsidRPr="00346D05" w:rsidRDefault="00346D05" w:rsidP="00346D05">
      <w:pPr>
        <w:pStyle w:val="H1G"/>
      </w:pPr>
      <w:r>
        <w:tab/>
      </w:r>
      <w:r>
        <w:tab/>
      </w:r>
      <w:r w:rsidR="007A401D">
        <w:t>Article</w:t>
      </w:r>
      <w:r w:rsidR="00A1240A">
        <w:t> </w:t>
      </w:r>
      <w:r w:rsidR="007A401D">
        <w:t>6</w:t>
      </w:r>
      <w:r>
        <w:t xml:space="preserve"> </w:t>
      </w:r>
      <w:r>
        <w:br/>
      </w:r>
      <w:r w:rsidR="007A401D">
        <w:rPr>
          <w:rFonts w:eastAsia="Times New Roman"/>
          <w:bCs/>
        </w:rPr>
        <w:t>Droit au travail</w:t>
      </w:r>
    </w:p>
    <w:p w14:paraId="07EBEA43" w14:textId="5960AE70" w:rsidR="007A401D" w:rsidRDefault="00346D05" w:rsidP="00346D05">
      <w:pPr>
        <w:pStyle w:val="H23G"/>
      </w:pPr>
      <w:r>
        <w:tab/>
      </w:r>
      <w:r>
        <w:tab/>
      </w:r>
      <w:r w:rsidR="007A401D">
        <w:t>Réponse au paragraphe</w:t>
      </w:r>
      <w:r>
        <w:t> </w:t>
      </w:r>
      <w:r w:rsidR="007A401D">
        <w:t>15 de la liste de points</w:t>
      </w:r>
    </w:p>
    <w:p w14:paraId="0086BD1F" w14:textId="3EB37226" w:rsidR="007A401D" w:rsidRDefault="007A401D" w:rsidP="007A401D">
      <w:pPr>
        <w:pStyle w:val="SingleTxtG"/>
        <w:rPr>
          <w:rFonts w:eastAsia="Times New Roman"/>
        </w:rPr>
      </w:pPr>
      <w:r>
        <w:rPr>
          <w:rFonts w:eastAsia="Times New Roman"/>
          <w:bCs/>
        </w:rPr>
        <w:t>32.</w:t>
      </w:r>
      <w:r>
        <w:rPr>
          <w:rFonts w:eastAsia="Times New Roman"/>
          <w:bCs/>
        </w:rPr>
        <w:tab/>
      </w:r>
      <w:r>
        <w:rPr>
          <w:rFonts w:eastAsia="Times New Roman"/>
        </w:rPr>
        <w:t xml:space="preserve">Le Gouvernement néerlandais rend compte chaque année des progrès réalisés dans le cadre du Plan d’action </w:t>
      </w:r>
      <w:r w:rsidRPr="007A401D">
        <w:t>contre</w:t>
      </w:r>
      <w:r>
        <w:rPr>
          <w:rFonts w:eastAsia="Times New Roman"/>
        </w:rPr>
        <w:t xml:space="preserve"> la discrimination sur le marché du travail pour la période 2022</w:t>
      </w:r>
      <w:r w:rsidR="00346D05">
        <w:rPr>
          <w:rFonts w:eastAsia="Times New Roman"/>
        </w:rPr>
        <w:noBreakHyphen/>
      </w:r>
      <w:r>
        <w:rPr>
          <w:rFonts w:eastAsia="Times New Roman"/>
        </w:rPr>
        <w:t>2025.</w:t>
      </w:r>
    </w:p>
    <w:p w14:paraId="4C120B41" w14:textId="3D444315" w:rsidR="007A401D" w:rsidRDefault="007A401D" w:rsidP="007A401D">
      <w:pPr>
        <w:pStyle w:val="SingleTxtG"/>
        <w:rPr>
          <w:rFonts w:eastAsia="Times New Roman"/>
        </w:rPr>
      </w:pPr>
      <w:r>
        <w:rPr>
          <w:rFonts w:eastAsia="Times New Roman"/>
        </w:rPr>
        <w:t>33.</w:t>
      </w:r>
      <w:r>
        <w:rPr>
          <w:rFonts w:eastAsia="Times New Roman"/>
        </w:rPr>
        <w:tab/>
        <w:t>Voir l’Annexe</w:t>
      </w:r>
      <w:r w:rsidR="00346D05">
        <w:rPr>
          <w:rFonts w:eastAsia="Times New Roman"/>
        </w:rPr>
        <w:t> </w:t>
      </w:r>
      <w:r>
        <w:rPr>
          <w:rFonts w:eastAsia="Times New Roman"/>
        </w:rPr>
        <w:t xml:space="preserve">1 </w:t>
      </w:r>
      <w:r w:rsidR="00346D05">
        <w:rPr>
          <w:rFonts w:eastAsia="Times New Roman"/>
        </w:rPr>
        <w:t>−</w:t>
      </w:r>
      <w:r>
        <w:rPr>
          <w:rFonts w:eastAsia="Times New Roman"/>
        </w:rPr>
        <w:t xml:space="preserve"> annexe statistique</w:t>
      </w:r>
      <w:r w:rsidR="00346D05">
        <w:rPr>
          <w:rFonts w:eastAsia="Times New Roman"/>
        </w:rPr>
        <w:t> </w:t>
      </w:r>
      <w:r>
        <w:rPr>
          <w:rFonts w:eastAsia="Times New Roman"/>
        </w:rPr>
        <w:t>10, pour les renseignements demandés.</w:t>
      </w:r>
    </w:p>
    <w:p w14:paraId="6B4690E8" w14:textId="4DCC1B0A" w:rsidR="007A401D" w:rsidRDefault="00346D05" w:rsidP="00346D05">
      <w:pPr>
        <w:pStyle w:val="H23G"/>
      </w:pPr>
      <w:r>
        <w:tab/>
      </w:r>
      <w:r>
        <w:tab/>
      </w:r>
      <w:r w:rsidR="007A401D">
        <w:t>Réponse au paragraphe</w:t>
      </w:r>
      <w:r>
        <w:t> </w:t>
      </w:r>
      <w:r w:rsidR="007A401D">
        <w:t>16 de la liste de points</w:t>
      </w:r>
    </w:p>
    <w:p w14:paraId="0D3206DA" w14:textId="365FC601" w:rsidR="007A401D" w:rsidRDefault="007A401D" w:rsidP="007A401D">
      <w:pPr>
        <w:pStyle w:val="SingleTxtG"/>
        <w:rPr>
          <w:rFonts w:eastAsia="Times New Roman"/>
        </w:rPr>
      </w:pPr>
      <w:r>
        <w:rPr>
          <w:rFonts w:eastAsia="Times New Roman"/>
          <w:bCs/>
        </w:rPr>
        <w:t>34.</w:t>
      </w:r>
      <w:r>
        <w:rPr>
          <w:rFonts w:eastAsia="Times New Roman"/>
          <w:bCs/>
        </w:rPr>
        <w:tab/>
      </w:r>
      <w:r>
        <w:rPr>
          <w:rFonts w:eastAsia="Times New Roman"/>
        </w:rPr>
        <w:t>À la fin de 2023, la population active totale comptait 9,8</w:t>
      </w:r>
      <w:r w:rsidR="00346D05">
        <w:rPr>
          <w:rFonts w:eastAsia="Times New Roman"/>
        </w:rPr>
        <w:t> </w:t>
      </w:r>
      <w:r>
        <w:rPr>
          <w:rFonts w:eastAsia="Times New Roman"/>
        </w:rPr>
        <w:t>millions de personnes, dont 2,7</w:t>
      </w:r>
      <w:r w:rsidR="00346D05">
        <w:rPr>
          <w:rFonts w:eastAsia="Times New Roman"/>
        </w:rPr>
        <w:t> </w:t>
      </w:r>
      <w:r>
        <w:rPr>
          <w:rFonts w:eastAsia="Times New Roman"/>
        </w:rPr>
        <w:t>millions occupaient un emploi flexible. Parmi ce dernier groupe de personnes occupant un emploi flexible, 35</w:t>
      </w:r>
      <w:r w:rsidR="00346D05">
        <w:rPr>
          <w:rFonts w:eastAsia="Times New Roman"/>
        </w:rPr>
        <w:t> </w:t>
      </w:r>
      <w:r>
        <w:rPr>
          <w:rFonts w:eastAsia="Times New Roman"/>
        </w:rPr>
        <w:t>% travaillaient sur appel, sans horaires fixes, 24</w:t>
      </w:r>
      <w:r w:rsidR="00346D05">
        <w:rPr>
          <w:rFonts w:eastAsia="Times New Roman"/>
        </w:rPr>
        <w:t> </w:t>
      </w:r>
      <w:r>
        <w:rPr>
          <w:rFonts w:eastAsia="Times New Roman"/>
        </w:rPr>
        <w:t>% avaient un contrat à durée déterminée avec des perspectives de contrat à durée indéterminée, 15</w:t>
      </w:r>
      <w:r w:rsidR="00346D05">
        <w:rPr>
          <w:rFonts w:eastAsia="Times New Roman"/>
        </w:rPr>
        <w:t> </w:t>
      </w:r>
      <w:r>
        <w:rPr>
          <w:rFonts w:eastAsia="Times New Roman"/>
        </w:rPr>
        <w:t>% avaient un contrat à durée déterminée d’un an ou plus, 10</w:t>
      </w:r>
      <w:r w:rsidR="00346D05">
        <w:rPr>
          <w:rFonts w:eastAsia="Times New Roman"/>
        </w:rPr>
        <w:t> </w:t>
      </w:r>
      <w:r>
        <w:rPr>
          <w:rFonts w:eastAsia="Times New Roman"/>
        </w:rPr>
        <w:t>% avaient un contrat à durée déterminée de moins d’un an, et 14</w:t>
      </w:r>
      <w:r w:rsidR="00A1240A">
        <w:rPr>
          <w:rFonts w:eastAsia="Times New Roman"/>
        </w:rPr>
        <w:t> </w:t>
      </w:r>
      <w:r>
        <w:rPr>
          <w:rFonts w:eastAsia="Times New Roman"/>
        </w:rPr>
        <w:t>% étaient des travailleurs intérimaires</w:t>
      </w:r>
      <w:r w:rsidRPr="00E16BD4">
        <w:rPr>
          <w:rStyle w:val="Appelnotedebasdep"/>
        </w:rPr>
        <w:footnoteReference w:id="6"/>
      </w:r>
      <w:r>
        <w:rPr>
          <w:rFonts w:eastAsia="Times New Roman"/>
        </w:rPr>
        <w:t>.</w:t>
      </w:r>
    </w:p>
    <w:p w14:paraId="533D8255" w14:textId="7F22E775" w:rsidR="007A401D" w:rsidRDefault="007A401D" w:rsidP="007A401D">
      <w:pPr>
        <w:pStyle w:val="SingleTxtG"/>
        <w:rPr>
          <w:rFonts w:eastAsia="Times New Roman"/>
        </w:rPr>
      </w:pPr>
      <w:r>
        <w:rPr>
          <w:rFonts w:eastAsia="Times New Roman"/>
        </w:rPr>
        <w:t>35.</w:t>
      </w:r>
      <w:r>
        <w:rPr>
          <w:rFonts w:eastAsia="Times New Roman"/>
        </w:rPr>
        <w:tab/>
        <w:t>Le travail flexible est plus fréquent chez les femmes, les travailleurs ayant une formation professionnelle et les personnes issues de l’immigration. Les travailleurs flexibles sont moins souvent économiquement indépendants et sont plus exposés à la pauvreté, au chômage et à l’inactivité. En raison de cette incertitude, les intéressés remettent à plus tard des événements de la vie tels que s’engager dans une relation, acheter une maison et avoir des d’enfants, voire y renoncent.</w:t>
      </w:r>
    </w:p>
    <w:p w14:paraId="79BDC600" w14:textId="77777777" w:rsidR="007A401D" w:rsidRDefault="007A401D" w:rsidP="007A401D">
      <w:pPr>
        <w:pStyle w:val="SingleTxtG"/>
        <w:rPr>
          <w:rFonts w:eastAsia="Times New Roman"/>
        </w:rPr>
      </w:pPr>
      <w:r>
        <w:rPr>
          <w:rFonts w:eastAsia="Times New Roman"/>
        </w:rPr>
        <w:t>36.</w:t>
      </w:r>
      <w:r>
        <w:rPr>
          <w:rFonts w:eastAsia="Times New Roman"/>
        </w:rPr>
        <w:tab/>
        <w:t>Le Conseil d’État examine actuellement un projet de loi (</w:t>
      </w:r>
      <w:r w:rsidRPr="00DE522B">
        <w:rPr>
          <w:rFonts w:eastAsia="Times New Roman"/>
          <w:i/>
        </w:rPr>
        <w:t>Wetsvoorstel meer zekerheid flexwerkers</w:t>
      </w:r>
      <w:r>
        <w:rPr>
          <w:rFonts w:eastAsia="Times New Roman"/>
        </w:rPr>
        <w:t xml:space="preserve">) qui offrira </w:t>
      </w:r>
      <w:r w:rsidRPr="007A401D">
        <w:t>aux</w:t>
      </w:r>
      <w:r>
        <w:rPr>
          <w:rFonts w:eastAsia="Times New Roman"/>
        </w:rPr>
        <w:t xml:space="preserve"> travailleurs flexibles une plus grande sécurité d’emploi et de revenu et améliorera leurs chances d’obtenir un contrat de travail à durée indéterminée.</w:t>
      </w:r>
    </w:p>
    <w:p w14:paraId="46E81F0D" w14:textId="40571AEB" w:rsidR="007A401D" w:rsidRPr="00346D05" w:rsidRDefault="00346D05" w:rsidP="00346D05">
      <w:pPr>
        <w:pStyle w:val="H1G"/>
        <w:rPr>
          <w:rStyle w:val="content"/>
        </w:rPr>
      </w:pPr>
      <w:r>
        <w:tab/>
      </w:r>
      <w:r>
        <w:tab/>
      </w:r>
      <w:r w:rsidR="007A401D">
        <w:t>Article 7</w:t>
      </w:r>
      <w:r>
        <w:t xml:space="preserve"> </w:t>
      </w:r>
      <w:r>
        <w:br/>
      </w:r>
      <w:r w:rsidR="007A401D">
        <w:rPr>
          <w:rStyle w:val="content"/>
          <w:rFonts w:eastAsia="Times New Roman"/>
          <w:bCs/>
        </w:rPr>
        <w:t>Droit à des conditions équitables et satisfaisantes de travail</w:t>
      </w:r>
    </w:p>
    <w:p w14:paraId="51FC2212" w14:textId="4177BACD" w:rsidR="007A401D" w:rsidRDefault="00346D05" w:rsidP="00346D05">
      <w:pPr>
        <w:pStyle w:val="H23G"/>
      </w:pPr>
      <w:r>
        <w:tab/>
      </w:r>
      <w:r>
        <w:tab/>
      </w:r>
      <w:r w:rsidR="007A401D">
        <w:t>Réponse au paragraphe</w:t>
      </w:r>
      <w:r>
        <w:t> </w:t>
      </w:r>
      <w:r w:rsidR="007A401D">
        <w:t>17 de la liste de points</w:t>
      </w:r>
    </w:p>
    <w:p w14:paraId="50B3E76D" w14:textId="77777777" w:rsidR="007A401D" w:rsidRDefault="007A401D" w:rsidP="007A401D">
      <w:pPr>
        <w:pStyle w:val="SingleTxtG"/>
        <w:rPr>
          <w:rFonts w:eastAsia="Times New Roman"/>
        </w:rPr>
      </w:pPr>
      <w:r>
        <w:rPr>
          <w:rFonts w:eastAsia="Times New Roman"/>
          <w:bCs/>
        </w:rPr>
        <w:t>37.</w:t>
      </w:r>
      <w:r>
        <w:rPr>
          <w:rFonts w:eastAsia="Times New Roman"/>
          <w:bCs/>
        </w:rPr>
        <w:tab/>
      </w:r>
      <w:r>
        <w:rPr>
          <w:rFonts w:eastAsia="Times New Roman"/>
        </w:rPr>
        <w:t xml:space="preserve">Le Gouvernement néerlandais joue un rôle proactif dans la protection des travailleurs migrants contre </w:t>
      </w:r>
      <w:r w:rsidRPr="007A401D">
        <w:t>l’exploitation</w:t>
      </w:r>
      <w:r>
        <w:rPr>
          <w:rFonts w:eastAsia="Times New Roman"/>
        </w:rPr>
        <w:t xml:space="preserve"> et la discrimination. Les recommandations du Groupe de travail sur la protection des travailleurs migrants (</w:t>
      </w:r>
      <w:r w:rsidRPr="00DE522B">
        <w:rPr>
          <w:rFonts w:eastAsia="Times New Roman"/>
          <w:i/>
        </w:rPr>
        <w:t>Aanjaagteam bescherming arbeidsmigranten</w:t>
      </w:r>
      <w:r>
        <w:rPr>
          <w:rFonts w:eastAsia="Times New Roman"/>
        </w:rPr>
        <w:t>) actuellement mises en œuvre sont axées sur le renforcement de la surveillance du secteur de l’emploi temporaire, l’amélioration des possibilités de logement, une application plus rigoureuse des dispositions visant à lutter contre les abus, l’amélioration de l’accès à l’information, une meilleure appréhension des mouvements migratoires et les mesures visant à faciliter l’accès à des soins de santé adéquats. Parmi les premiers résultats importants, il faut citer la présentation au Parlement, en 2023, d’un projet de loi visant à réglementer le secteur du travail temporaire.</w:t>
      </w:r>
    </w:p>
    <w:p w14:paraId="20C2271A" w14:textId="355DAE2F" w:rsidR="007A401D" w:rsidRDefault="007A401D" w:rsidP="007A401D">
      <w:pPr>
        <w:pStyle w:val="SingleTxtG"/>
        <w:rPr>
          <w:rFonts w:eastAsia="Times New Roman"/>
        </w:rPr>
      </w:pPr>
      <w:r>
        <w:rPr>
          <w:rFonts w:eastAsia="Times New Roman"/>
        </w:rPr>
        <w:t>38.</w:t>
      </w:r>
      <w:r>
        <w:rPr>
          <w:rFonts w:eastAsia="Times New Roman"/>
        </w:rPr>
        <w:tab/>
        <w:t>En modernisant la législation relative à la lutte contre la traite des êtres humains, le</w:t>
      </w:r>
      <w:r w:rsidR="00346D05">
        <w:rPr>
          <w:rFonts w:eastAsia="Times New Roman"/>
        </w:rPr>
        <w:t> </w:t>
      </w:r>
      <w:r>
        <w:rPr>
          <w:rFonts w:eastAsia="Times New Roman"/>
        </w:rPr>
        <w:t xml:space="preserve">Gouvernement </w:t>
      </w:r>
      <w:r w:rsidRPr="007A401D">
        <w:t>néerlandais</w:t>
      </w:r>
      <w:r>
        <w:rPr>
          <w:rFonts w:eastAsia="Times New Roman"/>
        </w:rPr>
        <w:t xml:space="preserve"> vise à renforcer l’efficacité de l’approche pénale en matière de traite (y</w:t>
      </w:r>
      <w:r w:rsidR="00346D05">
        <w:rPr>
          <w:rFonts w:eastAsia="Times New Roman"/>
        </w:rPr>
        <w:t> </w:t>
      </w:r>
      <w:r>
        <w:rPr>
          <w:rFonts w:eastAsia="Times New Roman"/>
        </w:rPr>
        <w:t>compris l’exploitation du travail et les préjudices causés aux travailleurs migrants) et à intensifier les poursuites contre les auteurs d’infractions et améliorer la protection des victimes. Le Plan d’action contre la discrimination sur le marché du travail et le programme de travail «</w:t>
      </w:r>
      <w:r w:rsidR="00346D05">
        <w:rPr>
          <w:rFonts w:eastAsia="Times New Roman"/>
        </w:rPr>
        <w:t> </w:t>
      </w:r>
      <w:r>
        <w:rPr>
          <w:rFonts w:eastAsia="Times New Roman"/>
        </w:rPr>
        <w:t>Pour un marché du travail inclusif</w:t>
      </w:r>
      <w:r w:rsidR="00346D05">
        <w:rPr>
          <w:rFonts w:eastAsia="Times New Roman"/>
        </w:rPr>
        <w:t> </w:t>
      </w:r>
      <w:r>
        <w:rPr>
          <w:rFonts w:eastAsia="Times New Roman"/>
        </w:rPr>
        <w:t>» (</w:t>
      </w:r>
      <w:r w:rsidRPr="002E23D9">
        <w:rPr>
          <w:rFonts w:eastAsia="Times New Roman"/>
          <w:i/>
        </w:rPr>
        <w:t xml:space="preserve">Voor een inclusieve Arbeidsmarkt, </w:t>
      </w:r>
      <w:r w:rsidRPr="00D66ED3">
        <w:rPr>
          <w:rFonts w:eastAsia="Times New Roman"/>
        </w:rPr>
        <w:t>VIA</w:t>
      </w:r>
      <w:r>
        <w:rPr>
          <w:rFonts w:eastAsia="Times New Roman"/>
        </w:rPr>
        <w:t>) devraient contribuer à protéger les travailleurs migrants contre la discrimination.</w:t>
      </w:r>
    </w:p>
    <w:p w14:paraId="5362D681" w14:textId="617DA8BD" w:rsidR="007A401D" w:rsidRDefault="00346D05" w:rsidP="00346D05">
      <w:pPr>
        <w:pStyle w:val="H23G"/>
      </w:pPr>
      <w:r>
        <w:lastRenderedPageBreak/>
        <w:tab/>
      </w:r>
      <w:r>
        <w:tab/>
      </w:r>
      <w:r w:rsidR="007A401D">
        <w:t>Réponse au paragraphe</w:t>
      </w:r>
      <w:r>
        <w:t> </w:t>
      </w:r>
      <w:r w:rsidR="007A401D">
        <w:t>18 de la liste de points</w:t>
      </w:r>
    </w:p>
    <w:p w14:paraId="11CBE656" w14:textId="1AB6A2E3" w:rsidR="007A401D" w:rsidRDefault="007A401D" w:rsidP="007A401D">
      <w:pPr>
        <w:pStyle w:val="SingleTxtG"/>
        <w:rPr>
          <w:rFonts w:eastAsia="Times New Roman"/>
        </w:rPr>
      </w:pPr>
      <w:r>
        <w:rPr>
          <w:rFonts w:eastAsia="Times New Roman"/>
          <w:bCs/>
        </w:rPr>
        <w:t>39.</w:t>
      </w:r>
      <w:r>
        <w:rPr>
          <w:rFonts w:eastAsia="Times New Roman"/>
          <w:bCs/>
        </w:rPr>
        <w:tab/>
      </w:r>
      <w:r>
        <w:rPr>
          <w:rFonts w:eastAsia="Times New Roman"/>
        </w:rPr>
        <w:t>Le droit au salaire minimum est régi par la loi sur le salaire minimum et l’allocation minimale de vacances (</w:t>
      </w:r>
      <w:r w:rsidRPr="002E23D9">
        <w:rPr>
          <w:rFonts w:eastAsia="Times New Roman"/>
          <w:i/>
        </w:rPr>
        <w:t>Wet minimumloon en minimumvakantiebijslag</w:t>
      </w:r>
      <w:r>
        <w:rPr>
          <w:rFonts w:eastAsia="Times New Roman"/>
        </w:rPr>
        <w:t>) et appliqué par l’Autorité néerlandaise du travail. À compter de 2024, le salaire minimum est fixé par heure, ce qui entraîne une augmentation de la rémunération mensuelle pouvant aller jusqu’à 11</w:t>
      </w:r>
      <w:r w:rsidR="00346D05">
        <w:rPr>
          <w:rFonts w:eastAsia="Times New Roman"/>
        </w:rPr>
        <w:t> </w:t>
      </w:r>
      <w:r>
        <w:rPr>
          <w:rFonts w:eastAsia="Times New Roman"/>
        </w:rPr>
        <w:t xml:space="preserve">% pour les travailleurs dont la semaine de travail dépasse </w:t>
      </w:r>
      <w:r w:rsidR="00346D05">
        <w:rPr>
          <w:rFonts w:eastAsia="Times New Roman"/>
        </w:rPr>
        <w:t>trente-six</w:t>
      </w:r>
      <w:r>
        <w:rPr>
          <w:rFonts w:eastAsia="Times New Roman"/>
        </w:rPr>
        <w:t xml:space="preserve"> heures en vertu de la convention collective de leur secteur.</w:t>
      </w:r>
    </w:p>
    <w:p w14:paraId="5650320E" w14:textId="26A0C649" w:rsidR="007A401D" w:rsidRDefault="007A401D" w:rsidP="007A401D">
      <w:pPr>
        <w:pStyle w:val="SingleTxtG"/>
        <w:rPr>
          <w:rFonts w:eastAsia="Times New Roman"/>
        </w:rPr>
      </w:pPr>
      <w:r>
        <w:rPr>
          <w:rFonts w:eastAsia="Times New Roman"/>
        </w:rPr>
        <w:t>40.</w:t>
      </w:r>
      <w:r>
        <w:rPr>
          <w:rFonts w:eastAsia="Times New Roman"/>
        </w:rPr>
        <w:tab/>
        <w:t>En principe, le salaire minimum est indexé tous les six mois sur la base de l’évolution moyenne des salaires contractuels dans les secteurs privé et public, plutôt que sur l’inflation ou les prix à la consommation. Dans la pratique, les augmentations de prix tendent à se traduire par des augmentations des salaires contractuels. Tous les quatre ans au moins, le salaire minimum est réexaminé afin de déterminer si une revalorisation exceptionnelle est souhaitable. Le salaire minimum et les prestations qui y sont liées ont été augmentés de 10,15</w:t>
      </w:r>
      <w:r w:rsidR="00346D05">
        <w:rPr>
          <w:rFonts w:eastAsia="Times New Roman"/>
        </w:rPr>
        <w:t> </w:t>
      </w:r>
      <w:r>
        <w:rPr>
          <w:rFonts w:eastAsia="Times New Roman"/>
        </w:rPr>
        <w:t>% en 2023, de 3,75</w:t>
      </w:r>
      <w:r w:rsidR="00346D05">
        <w:rPr>
          <w:rFonts w:eastAsia="Times New Roman"/>
        </w:rPr>
        <w:t> </w:t>
      </w:r>
      <w:r>
        <w:rPr>
          <w:rFonts w:eastAsia="Times New Roman"/>
        </w:rPr>
        <w:t>% en janvier 2024 et de 3,09</w:t>
      </w:r>
      <w:r w:rsidR="00346D05">
        <w:rPr>
          <w:rFonts w:eastAsia="Times New Roman"/>
        </w:rPr>
        <w:t> </w:t>
      </w:r>
      <w:r>
        <w:rPr>
          <w:rFonts w:eastAsia="Times New Roman"/>
        </w:rPr>
        <w:t>% en juillet 2024. Le taux d’inflation prévu pour 2024 s’établit à 2,7</w:t>
      </w:r>
      <w:r w:rsidR="00346D05">
        <w:rPr>
          <w:rFonts w:eastAsia="Times New Roman"/>
        </w:rPr>
        <w:t> </w:t>
      </w:r>
      <w:r>
        <w:rPr>
          <w:rFonts w:eastAsia="Times New Roman"/>
        </w:rPr>
        <w:t>%. Dans le cadre de l’application de la Directive européenne relative à des salaires minimaux adéquats, des valeurs de référence indicatives seront utilisées pour évaluer leur adéquation.</w:t>
      </w:r>
    </w:p>
    <w:p w14:paraId="5D9D217E" w14:textId="77777777" w:rsidR="007A401D" w:rsidRPr="00A1240A" w:rsidRDefault="007A401D" w:rsidP="007A401D">
      <w:pPr>
        <w:pStyle w:val="SingleTxtG"/>
        <w:rPr>
          <w:rFonts w:eastAsia="Times New Roman"/>
          <w:spacing w:val="-2"/>
        </w:rPr>
      </w:pPr>
      <w:r w:rsidRPr="00A1240A">
        <w:rPr>
          <w:rFonts w:eastAsia="Times New Roman"/>
          <w:spacing w:val="-2"/>
        </w:rPr>
        <w:t>41.</w:t>
      </w:r>
      <w:r w:rsidRPr="00A1240A">
        <w:rPr>
          <w:rFonts w:eastAsia="Times New Roman"/>
          <w:spacing w:val="-2"/>
        </w:rPr>
        <w:tab/>
      </w:r>
      <w:r w:rsidRPr="00A1240A">
        <w:rPr>
          <w:spacing w:val="-2"/>
        </w:rPr>
        <w:t>L’évaluation</w:t>
      </w:r>
      <w:r w:rsidRPr="00A1240A">
        <w:rPr>
          <w:rFonts w:eastAsia="Times New Roman"/>
          <w:spacing w:val="-2"/>
        </w:rPr>
        <w:t xml:space="preserve"> la plus récente du salaire minimum montre dans quelle mesure il correspond au coût de la vie</w:t>
      </w:r>
      <w:r w:rsidRPr="00A1240A">
        <w:rPr>
          <w:rStyle w:val="Appelnotedebasdep"/>
          <w:spacing w:val="-2"/>
        </w:rPr>
        <w:footnoteReference w:id="7"/>
      </w:r>
      <w:r w:rsidRPr="00A1240A">
        <w:rPr>
          <w:rFonts w:eastAsia="Times New Roman"/>
          <w:spacing w:val="-2"/>
        </w:rPr>
        <w:t>. Elle examine également les mesures relatives aux prestations et à la fiscalité, telles que les augmentations de prestations. Il appartient au nouveau Gouvernement de prendre des décisions sur l’adéquation et le niveau du salaire minimum légal.</w:t>
      </w:r>
    </w:p>
    <w:p w14:paraId="701AD9E1" w14:textId="10965203" w:rsidR="007A401D" w:rsidRDefault="007A401D" w:rsidP="007A401D">
      <w:pPr>
        <w:pStyle w:val="SingleTxtG"/>
        <w:rPr>
          <w:rFonts w:eastAsia="Times New Roman"/>
        </w:rPr>
      </w:pPr>
      <w:r>
        <w:rPr>
          <w:rFonts w:eastAsia="Times New Roman"/>
        </w:rPr>
        <w:t>42.</w:t>
      </w:r>
      <w:r w:rsidR="00A1240A">
        <w:rPr>
          <w:rFonts w:eastAsia="Times New Roman"/>
        </w:rPr>
        <w:tab/>
      </w:r>
      <w:r>
        <w:rPr>
          <w:rFonts w:eastAsia="Times New Roman"/>
        </w:rPr>
        <w:t>Comme suite au rapport du Comité relatif à un revenu minimum standard pour les Caraïbes néerlandaises (voir la réponse au paragraphe</w:t>
      </w:r>
      <w:r w:rsidR="00346D05">
        <w:rPr>
          <w:rFonts w:eastAsia="Times New Roman"/>
        </w:rPr>
        <w:t> </w:t>
      </w:r>
      <w:r>
        <w:rPr>
          <w:rFonts w:eastAsia="Times New Roman"/>
        </w:rPr>
        <w:t>24), le Gouvernement a relevé le barème des salaires minimaux dans les Caraïbes néerlandaises.</w:t>
      </w:r>
    </w:p>
    <w:p w14:paraId="51257749" w14:textId="11673E35" w:rsidR="007A401D" w:rsidRDefault="00346D05" w:rsidP="00346D05">
      <w:pPr>
        <w:pStyle w:val="H23G"/>
      </w:pPr>
      <w:r>
        <w:tab/>
      </w:r>
      <w:r>
        <w:tab/>
      </w:r>
      <w:r w:rsidR="007A401D">
        <w:t>Réponse au paragraphe</w:t>
      </w:r>
      <w:r>
        <w:t> </w:t>
      </w:r>
      <w:r w:rsidR="007A401D">
        <w:t>19 de la liste de points</w:t>
      </w:r>
    </w:p>
    <w:p w14:paraId="255E10C0" w14:textId="77777777" w:rsidR="007A401D" w:rsidRDefault="007A401D" w:rsidP="007A401D">
      <w:pPr>
        <w:pStyle w:val="SingleTxtG"/>
        <w:rPr>
          <w:rFonts w:eastAsia="Times New Roman"/>
        </w:rPr>
      </w:pPr>
      <w:r>
        <w:rPr>
          <w:rFonts w:eastAsia="Times New Roman"/>
        </w:rPr>
        <w:t>43.</w:t>
      </w:r>
      <w:r>
        <w:rPr>
          <w:rFonts w:eastAsia="Times New Roman"/>
        </w:rPr>
        <w:tab/>
        <w:t>En vertu de la loi sur les conditions de travail (</w:t>
      </w:r>
      <w:r w:rsidRPr="00EA7B6C">
        <w:rPr>
          <w:rFonts w:eastAsia="Times New Roman"/>
          <w:i/>
        </w:rPr>
        <w:t>Arbeidsomstandighedenwet)</w:t>
      </w:r>
      <w:r>
        <w:rPr>
          <w:rFonts w:eastAsia="Times New Roman"/>
        </w:rPr>
        <w:t>, les employeurs sont tenus de créer un environnement de travail sûr, de mettre en place des mesures de prévention du harcèlement sexuel et de donner suite aux signalements et aux plaintes concernant des comportements inappropriés.</w:t>
      </w:r>
      <w:r w:rsidRPr="00EA7B6C">
        <w:rPr>
          <w:rFonts w:eastAsia="Times New Roman"/>
        </w:rPr>
        <w:t xml:space="preserve"> </w:t>
      </w:r>
      <w:r>
        <w:rPr>
          <w:rFonts w:eastAsia="Times New Roman"/>
        </w:rPr>
        <w:t>Les employeurs peuvent formuler et appliquer des mesures disciplinaires.</w:t>
      </w:r>
      <w:r w:rsidRPr="00EA7B6C">
        <w:rPr>
          <w:rFonts w:eastAsia="Times New Roman"/>
        </w:rPr>
        <w:t xml:space="preserve"> </w:t>
      </w:r>
      <w:r>
        <w:rPr>
          <w:rFonts w:eastAsia="Times New Roman"/>
        </w:rPr>
        <w:t>Un amendement à cette loi qui obligerait les employeurs à nommer des conseillers confidentiels fait actuellement l’objet d’un échange de vues au Sénat. En outre, un code de conduite obligatoire pour les employeurs et une procédure de plainte indépendante sont en cours d’élaboration.</w:t>
      </w:r>
    </w:p>
    <w:p w14:paraId="24B55870" w14:textId="577079DD" w:rsidR="007A401D" w:rsidRDefault="007A401D" w:rsidP="007A401D">
      <w:pPr>
        <w:pStyle w:val="SingleTxtG"/>
        <w:rPr>
          <w:rFonts w:eastAsia="Times New Roman"/>
        </w:rPr>
      </w:pPr>
      <w:r>
        <w:rPr>
          <w:rFonts w:eastAsia="Times New Roman"/>
        </w:rPr>
        <w:t>44.</w:t>
      </w:r>
      <w:r>
        <w:rPr>
          <w:rFonts w:eastAsia="Times New Roman"/>
        </w:rPr>
        <w:tab/>
        <w:t xml:space="preserve">Aux Pays-Bas, il n’est pas tenu de registre du nombre de plaintes, d’enquêtes ou de poursuites concernant le </w:t>
      </w:r>
      <w:r w:rsidRPr="007A401D">
        <w:t>harcèlement</w:t>
      </w:r>
      <w:r>
        <w:rPr>
          <w:rFonts w:eastAsia="Times New Roman"/>
        </w:rPr>
        <w:t xml:space="preserve"> sexuel sur le lieu de travail.</w:t>
      </w:r>
      <w:r w:rsidRPr="00EA7B6C">
        <w:rPr>
          <w:rFonts w:eastAsia="Times New Roman"/>
        </w:rPr>
        <w:t xml:space="preserve"> </w:t>
      </w:r>
      <w:r>
        <w:rPr>
          <w:rFonts w:eastAsia="Times New Roman"/>
        </w:rPr>
        <w:t>Toutefois, l’enquête nationale annuelle sur les conditions de travail</w:t>
      </w:r>
      <w:r w:rsidRPr="00E16BD4">
        <w:rPr>
          <w:rStyle w:val="Appelnotedebasdep"/>
        </w:rPr>
        <w:footnoteReference w:id="8"/>
      </w:r>
      <w:r>
        <w:rPr>
          <w:rFonts w:eastAsia="Times New Roman"/>
        </w:rPr>
        <w:t xml:space="preserve"> indique le pourcentage de la population active aux Pays-Bas affectée par une attention sexuelle inappropriée de la part de clients, de collègues et/ou de responsables. Ce chiffre était de 4,5</w:t>
      </w:r>
      <w:r w:rsidR="00346D05">
        <w:rPr>
          <w:rFonts w:eastAsia="Times New Roman"/>
        </w:rPr>
        <w:t> </w:t>
      </w:r>
      <w:r>
        <w:rPr>
          <w:rFonts w:eastAsia="Times New Roman"/>
        </w:rPr>
        <w:t>% en 2023 et de 4,4</w:t>
      </w:r>
      <w:r w:rsidR="00346D05">
        <w:rPr>
          <w:rFonts w:eastAsia="Times New Roman"/>
        </w:rPr>
        <w:t> </w:t>
      </w:r>
      <w:r>
        <w:rPr>
          <w:rFonts w:eastAsia="Times New Roman"/>
        </w:rPr>
        <w:t>% en 2022.</w:t>
      </w:r>
    </w:p>
    <w:p w14:paraId="5C0E8D7D" w14:textId="77777777" w:rsidR="007A401D" w:rsidRDefault="007A401D" w:rsidP="007A401D">
      <w:pPr>
        <w:pStyle w:val="SingleTxtG"/>
        <w:rPr>
          <w:rFonts w:eastAsia="Times New Roman"/>
        </w:rPr>
      </w:pPr>
      <w:r>
        <w:rPr>
          <w:rFonts w:eastAsia="Times New Roman"/>
        </w:rPr>
        <w:t>45.</w:t>
      </w:r>
      <w:r>
        <w:rPr>
          <w:rFonts w:eastAsia="Times New Roman"/>
        </w:rPr>
        <w:tab/>
        <w:t xml:space="preserve">Dans le cadre du Programme national de lutte contre le harcèlement sexuel et la violence sexuelle, le </w:t>
      </w:r>
      <w:r w:rsidRPr="007A401D">
        <w:t>Gouvernement</w:t>
      </w:r>
      <w:r>
        <w:rPr>
          <w:rFonts w:eastAsia="Times New Roman"/>
        </w:rPr>
        <w:t xml:space="preserve"> collabore avec des organisations de la société civile pour réduire les comportements sexuels inappropriés. Il soutient les employeurs dans leurs efforts pour traiter les signalements de tels comportements avec toute la diligence requise et pour garantir une culture de travail sûre et favorable. Le Gouvernement travaille avec les partenaires sociaux pour mettre au point des mesures telles qu’une approche sectorielle et une formation pour les cadres, les comités d’entreprise et les employés. En ce qui concerne la pénalisation des auteurs, les employeurs peuvent prendre des mesures disciplinaires en vertu du droit privé et, le cas échéant, des poursuites peuvent être engagées en vertu de la loi sur les infractions sexuelles (</w:t>
      </w:r>
      <w:r w:rsidRPr="00CE2EA6">
        <w:rPr>
          <w:rFonts w:eastAsia="Times New Roman"/>
          <w:i/>
        </w:rPr>
        <w:t>Wet seksuele misdrijven</w:t>
      </w:r>
      <w:r>
        <w:rPr>
          <w:rFonts w:eastAsia="Times New Roman"/>
        </w:rPr>
        <w:t>).</w:t>
      </w:r>
    </w:p>
    <w:p w14:paraId="3556D538" w14:textId="2413DF18" w:rsidR="007A401D" w:rsidRDefault="007A401D" w:rsidP="007A401D">
      <w:pPr>
        <w:pStyle w:val="SingleTxtG"/>
        <w:rPr>
          <w:rFonts w:eastAsia="Times New Roman"/>
        </w:rPr>
      </w:pPr>
      <w:r>
        <w:rPr>
          <w:rFonts w:eastAsia="Times New Roman"/>
        </w:rPr>
        <w:lastRenderedPageBreak/>
        <w:t>46.</w:t>
      </w:r>
      <w:r>
        <w:rPr>
          <w:rFonts w:eastAsia="Times New Roman"/>
        </w:rPr>
        <w:tab/>
        <w:t>La loi portant ratification de la Convention (n</w:t>
      </w:r>
      <w:r w:rsidRPr="00346D05">
        <w:rPr>
          <w:rFonts w:eastAsia="Times New Roman"/>
          <w:vertAlign w:val="superscript"/>
        </w:rPr>
        <w:t>o</w:t>
      </w:r>
      <w:r w:rsidR="00346D05">
        <w:rPr>
          <w:rFonts w:eastAsia="Times New Roman"/>
        </w:rPr>
        <w:t> </w:t>
      </w:r>
      <w:r>
        <w:rPr>
          <w:rFonts w:eastAsia="Times New Roman"/>
        </w:rPr>
        <w:t>190) de l’OIT</w:t>
      </w:r>
      <w:r w:rsidRPr="00D66ED3">
        <w:rPr>
          <w:rFonts w:eastAsia="Times New Roman"/>
        </w:rPr>
        <w:t xml:space="preserve"> </w:t>
      </w:r>
      <w:r>
        <w:rPr>
          <w:rFonts w:eastAsia="Times New Roman"/>
        </w:rPr>
        <w:t>sur la violence et le harcèlement a été soumise au Conseil d’État qui a donné son avis en septembre 2024. La loi portant ratification sera bientôt présentée au Parlement.</w:t>
      </w:r>
    </w:p>
    <w:p w14:paraId="7E9634F4" w14:textId="78196DCD" w:rsidR="007A401D" w:rsidRDefault="00346D05" w:rsidP="00346D05">
      <w:pPr>
        <w:pStyle w:val="H1G"/>
      </w:pPr>
      <w:r>
        <w:tab/>
      </w:r>
      <w:r>
        <w:tab/>
      </w:r>
      <w:r w:rsidR="007A401D">
        <w:t>Article</w:t>
      </w:r>
      <w:r>
        <w:t> </w:t>
      </w:r>
      <w:r w:rsidR="007A401D">
        <w:t>8</w:t>
      </w:r>
      <w:r>
        <w:t xml:space="preserve"> </w:t>
      </w:r>
      <w:r>
        <w:br/>
      </w:r>
      <w:r w:rsidR="007A401D">
        <w:t>Droits syndicaux</w:t>
      </w:r>
    </w:p>
    <w:p w14:paraId="637A65B5" w14:textId="6E676769" w:rsidR="007A401D" w:rsidRDefault="00346D05" w:rsidP="00346D05">
      <w:pPr>
        <w:pStyle w:val="H23G"/>
      </w:pPr>
      <w:r>
        <w:tab/>
      </w:r>
      <w:r>
        <w:tab/>
      </w:r>
      <w:r w:rsidR="007A401D">
        <w:t>Réponse au paragraphe</w:t>
      </w:r>
      <w:r>
        <w:t> </w:t>
      </w:r>
      <w:r w:rsidR="007A401D">
        <w:t>20</w:t>
      </w:r>
      <w:r>
        <w:t> </w:t>
      </w:r>
      <w:r w:rsidR="007A401D">
        <w:t>a) de la liste de points</w:t>
      </w:r>
    </w:p>
    <w:p w14:paraId="699CAE56" w14:textId="77E69A95" w:rsidR="007A401D" w:rsidRDefault="007A401D" w:rsidP="007A401D">
      <w:pPr>
        <w:pStyle w:val="SingleTxtG"/>
        <w:rPr>
          <w:rFonts w:eastAsia="Times New Roman"/>
        </w:rPr>
      </w:pPr>
      <w:r>
        <w:rPr>
          <w:rFonts w:eastAsia="Times New Roman"/>
        </w:rPr>
        <w:t>47.</w:t>
      </w:r>
      <w:r>
        <w:rPr>
          <w:rFonts w:eastAsia="Times New Roman"/>
        </w:rPr>
        <w:tab/>
        <w:t>Les Pays-Bas ont ratifié la Convention n</w:t>
      </w:r>
      <w:r w:rsidRPr="00346D05">
        <w:rPr>
          <w:rFonts w:eastAsia="Times New Roman"/>
          <w:vertAlign w:val="superscript"/>
        </w:rPr>
        <w:t>o</w:t>
      </w:r>
      <w:r w:rsidR="00346D05">
        <w:rPr>
          <w:rFonts w:eastAsia="Times New Roman"/>
        </w:rPr>
        <w:t> </w:t>
      </w:r>
      <w:r>
        <w:rPr>
          <w:rFonts w:eastAsia="Times New Roman"/>
        </w:rPr>
        <w:t xml:space="preserve">135 de l’OIT, qui spécifie que les représentants des travailleurs doivent </w:t>
      </w:r>
      <w:r w:rsidRPr="007A401D">
        <w:t>bénéficier</w:t>
      </w:r>
      <w:r>
        <w:rPr>
          <w:rFonts w:eastAsia="Times New Roman"/>
        </w:rPr>
        <w:t xml:space="preserve"> de facilités dans l’entreprise. Les modalités pratiques de l’accès des représentants syndicaux au lieu de travail sont définies dans les conventions collectives de travail. En 2022, la recherche a montré que dans 75 des 98</w:t>
      </w:r>
      <w:r w:rsidR="00D708E0">
        <w:rPr>
          <w:rFonts w:eastAsia="Times New Roman"/>
        </w:rPr>
        <w:t> </w:t>
      </w:r>
      <w:r>
        <w:rPr>
          <w:rFonts w:eastAsia="Times New Roman"/>
        </w:rPr>
        <w:t>conventions collectives évaluées, couvrant 71</w:t>
      </w:r>
      <w:r w:rsidR="00D708E0">
        <w:rPr>
          <w:rFonts w:eastAsia="Times New Roman"/>
        </w:rPr>
        <w:t> </w:t>
      </w:r>
      <w:r>
        <w:rPr>
          <w:rFonts w:eastAsia="Times New Roman"/>
        </w:rPr>
        <w:t>% de tous les travailleurs qui relèvent d’une convention collective, des dispositions sont en place pour faciliter le travail syndical, y</w:t>
      </w:r>
      <w:r w:rsidR="00D708E0">
        <w:rPr>
          <w:rFonts w:eastAsia="Times New Roman"/>
        </w:rPr>
        <w:t> </w:t>
      </w:r>
      <w:r>
        <w:rPr>
          <w:rFonts w:eastAsia="Times New Roman"/>
        </w:rPr>
        <w:t>compris l’accès au lieu de travail</w:t>
      </w:r>
      <w:r w:rsidRPr="00E16BD4">
        <w:rPr>
          <w:rStyle w:val="Appelnotedebasdep"/>
        </w:rPr>
        <w:footnoteReference w:id="9"/>
      </w:r>
      <w:r>
        <w:rPr>
          <w:rFonts w:eastAsia="Times New Roman"/>
        </w:rPr>
        <w:t>.</w:t>
      </w:r>
    </w:p>
    <w:p w14:paraId="3AD9146D" w14:textId="57A8DE42" w:rsidR="007A401D" w:rsidRDefault="007A401D" w:rsidP="007A401D">
      <w:pPr>
        <w:pStyle w:val="SingleTxtG"/>
        <w:rPr>
          <w:rFonts w:eastAsia="Times New Roman"/>
        </w:rPr>
      </w:pPr>
      <w:r>
        <w:rPr>
          <w:rFonts w:eastAsia="Times New Roman"/>
        </w:rPr>
        <w:t>48.</w:t>
      </w:r>
      <w:r>
        <w:rPr>
          <w:rFonts w:eastAsia="Times New Roman"/>
        </w:rPr>
        <w:tab/>
        <w:t>Les facilités réglementées dans les conventions collectives sont l’accès aux salles de réunion et aux canaux de communication (32</w:t>
      </w:r>
      <w:r w:rsidR="00D708E0">
        <w:rPr>
          <w:rFonts w:eastAsia="Times New Roman"/>
        </w:rPr>
        <w:t> </w:t>
      </w:r>
      <w:r>
        <w:rPr>
          <w:rFonts w:eastAsia="Times New Roman"/>
        </w:rPr>
        <w:t>% des travailleurs), les dispositions relatives aux canaux de communication internes uniquement (19</w:t>
      </w:r>
      <w:r w:rsidR="00D708E0">
        <w:rPr>
          <w:rFonts w:eastAsia="Times New Roman"/>
        </w:rPr>
        <w:t> </w:t>
      </w:r>
      <w:r>
        <w:rPr>
          <w:rFonts w:eastAsia="Times New Roman"/>
        </w:rPr>
        <w:t>%) et l’accès aux salles de réunion uniquement (16</w:t>
      </w:r>
      <w:r w:rsidR="00D708E0">
        <w:rPr>
          <w:rFonts w:eastAsia="Times New Roman"/>
        </w:rPr>
        <w:t> </w:t>
      </w:r>
      <w:r>
        <w:rPr>
          <w:rFonts w:eastAsia="Times New Roman"/>
        </w:rPr>
        <w:t>%). Pour 5</w:t>
      </w:r>
      <w:r w:rsidR="00D708E0">
        <w:rPr>
          <w:rFonts w:eastAsia="Times New Roman"/>
        </w:rPr>
        <w:t> </w:t>
      </w:r>
      <w:r>
        <w:rPr>
          <w:rFonts w:eastAsia="Times New Roman"/>
        </w:rPr>
        <w:t>% des travailleurs, l’accès aux salles de réunion, aux canaux de communication et aux photocopieuses est prévu dans les conventions collectives. Les</w:t>
      </w:r>
      <w:r w:rsidR="00D708E0">
        <w:rPr>
          <w:rFonts w:eastAsia="Times New Roman"/>
        </w:rPr>
        <w:t> </w:t>
      </w:r>
      <w:r>
        <w:rPr>
          <w:rFonts w:eastAsia="Times New Roman"/>
        </w:rPr>
        <w:t>partenaires sociaux indiquent toutefois que ces chiffres peuvent différer de la pratique.</w:t>
      </w:r>
      <w:r w:rsidRPr="002F4330">
        <w:rPr>
          <w:rFonts w:eastAsia="Times New Roman"/>
        </w:rPr>
        <w:t xml:space="preserve"> </w:t>
      </w:r>
      <w:r>
        <w:rPr>
          <w:rFonts w:eastAsia="Times New Roman"/>
        </w:rPr>
        <w:t>S’il existe des situations dans lesquelles l’accès est accordé sans dispositions formelles, il existe aussi des situations dans lesquelles des dispositions formelles existent mais où les employeurs individuels n’accordent pas l’accès.</w:t>
      </w:r>
    </w:p>
    <w:p w14:paraId="34F164C0" w14:textId="744C76D8" w:rsidR="007A401D" w:rsidRDefault="007A401D" w:rsidP="007A401D">
      <w:pPr>
        <w:pStyle w:val="SingleTxtG"/>
        <w:rPr>
          <w:rFonts w:eastAsia="Times New Roman"/>
        </w:rPr>
      </w:pPr>
      <w:r>
        <w:rPr>
          <w:rFonts w:eastAsia="Times New Roman"/>
        </w:rPr>
        <w:t>49.</w:t>
      </w:r>
      <w:r>
        <w:rPr>
          <w:rFonts w:eastAsia="Times New Roman"/>
        </w:rPr>
        <w:tab/>
        <w:t>La Chambre des représentants a récemment demandé à examiner si le Gouvernement pouvait mieux garantir le droit d’accès des représentants syndicaux aux lieux de travail. Le</w:t>
      </w:r>
      <w:r w:rsidR="00D708E0">
        <w:rPr>
          <w:rFonts w:eastAsia="Times New Roman"/>
        </w:rPr>
        <w:t> </w:t>
      </w:r>
      <w:r>
        <w:rPr>
          <w:rFonts w:eastAsia="Times New Roman"/>
        </w:rPr>
        <w:t>Gouvernement travaille sur cette analyse.</w:t>
      </w:r>
    </w:p>
    <w:p w14:paraId="2BB2FAB5" w14:textId="3FC19E62" w:rsidR="007A401D" w:rsidRDefault="00D708E0" w:rsidP="00D708E0">
      <w:pPr>
        <w:pStyle w:val="H23G"/>
      </w:pPr>
      <w:r>
        <w:tab/>
      </w:r>
      <w:r>
        <w:tab/>
      </w:r>
      <w:r w:rsidR="007A401D">
        <w:t>Réponse au paragraphe</w:t>
      </w:r>
      <w:r>
        <w:t xml:space="preserve"> </w:t>
      </w:r>
      <w:r w:rsidR="007A401D">
        <w:t>20</w:t>
      </w:r>
      <w:r>
        <w:t> </w:t>
      </w:r>
      <w:r w:rsidR="007A401D">
        <w:t>b) de la liste de points</w:t>
      </w:r>
    </w:p>
    <w:p w14:paraId="0C48CD3F" w14:textId="7D017042" w:rsidR="007A401D" w:rsidRDefault="007A401D" w:rsidP="007A401D">
      <w:pPr>
        <w:pStyle w:val="SingleTxtG"/>
        <w:rPr>
          <w:rFonts w:eastAsia="Times New Roman"/>
        </w:rPr>
      </w:pPr>
      <w:r>
        <w:rPr>
          <w:rFonts w:eastAsia="Times New Roman"/>
          <w:bCs/>
        </w:rPr>
        <w:t>50.</w:t>
      </w:r>
      <w:r>
        <w:rPr>
          <w:rFonts w:eastAsia="Times New Roman"/>
          <w:bCs/>
        </w:rPr>
        <w:tab/>
      </w:r>
      <w:r>
        <w:rPr>
          <w:rFonts w:eastAsia="Times New Roman"/>
        </w:rPr>
        <w:t xml:space="preserve">En </w:t>
      </w:r>
      <w:r w:rsidRPr="007A401D">
        <w:t>raison</w:t>
      </w:r>
      <w:r>
        <w:rPr>
          <w:rFonts w:eastAsia="Times New Roman"/>
        </w:rPr>
        <w:t xml:space="preserve"> de la liberté d’association et de contrat, les parties à la négociation collective sont libres de décider avec qui elles négocient et concluent une convention collective de travail. Ces conventions peuvent également être conclues avec des syndicats plus petits. Le</w:t>
      </w:r>
      <w:r w:rsidR="00D708E0">
        <w:rPr>
          <w:rFonts w:eastAsia="Times New Roman"/>
        </w:rPr>
        <w:t> </w:t>
      </w:r>
      <w:r>
        <w:rPr>
          <w:rFonts w:eastAsia="Times New Roman"/>
        </w:rPr>
        <w:t>Gouvernement est actuellement en pourparlers avec les partenaires sociaux au sujet du système de la convention collective de travail.</w:t>
      </w:r>
    </w:p>
    <w:p w14:paraId="5FF6950B" w14:textId="285178CE" w:rsidR="007A401D" w:rsidRDefault="00D708E0" w:rsidP="00D708E0">
      <w:pPr>
        <w:pStyle w:val="H23G"/>
      </w:pPr>
      <w:r>
        <w:tab/>
      </w:r>
      <w:r>
        <w:tab/>
      </w:r>
      <w:r w:rsidR="007A401D">
        <w:t>Réponse au paragraphe</w:t>
      </w:r>
      <w:r>
        <w:t> </w:t>
      </w:r>
      <w:r w:rsidR="007A401D">
        <w:t>20</w:t>
      </w:r>
      <w:r>
        <w:t> </w:t>
      </w:r>
      <w:r w:rsidR="007A401D">
        <w:t>c) de la liste de points</w:t>
      </w:r>
    </w:p>
    <w:p w14:paraId="11C0B8D1" w14:textId="4A4CEC86" w:rsidR="007A401D" w:rsidRDefault="007A401D" w:rsidP="007A401D">
      <w:pPr>
        <w:pStyle w:val="SingleTxtG"/>
        <w:rPr>
          <w:rFonts w:eastAsia="Times New Roman"/>
        </w:rPr>
      </w:pPr>
      <w:r>
        <w:rPr>
          <w:rFonts w:eastAsia="Times New Roman"/>
          <w:bCs/>
        </w:rPr>
        <w:t>51.</w:t>
      </w:r>
      <w:r>
        <w:rPr>
          <w:rFonts w:eastAsia="Times New Roman"/>
          <w:bCs/>
        </w:rPr>
        <w:tab/>
      </w:r>
      <w:r>
        <w:rPr>
          <w:rFonts w:eastAsia="Times New Roman"/>
        </w:rPr>
        <w:t>Le droit de grève aux Pays-Bas est fondé sur les articles</w:t>
      </w:r>
      <w:r w:rsidR="00D708E0">
        <w:rPr>
          <w:rFonts w:eastAsia="Times New Roman"/>
        </w:rPr>
        <w:t> </w:t>
      </w:r>
      <w:r>
        <w:rPr>
          <w:rFonts w:eastAsia="Times New Roman"/>
        </w:rPr>
        <w:t xml:space="preserve">6 et G de la Charte sociale européenne et réglementé par la jurisprudence néerlandaise. En vertu de la Charte, ce droit ne peut faire l’objet de limitations que si </w:t>
      </w:r>
      <w:r w:rsidRPr="007A401D">
        <w:t>celles</w:t>
      </w:r>
      <w:r>
        <w:rPr>
          <w:rFonts w:eastAsia="Times New Roman"/>
        </w:rPr>
        <w:t>-ci sont prescrites par la loi et nécessaires, dans une société démocratique, pour garantir le respect des droits et des libertés d’autrui ou pour protéger l’intérêt public, la sécurité nationale, la santé publique ou les bonnes mœurs.</w:t>
      </w:r>
    </w:p>
    <w:p w14:paraId="297EDA08" w14:textId="0D8847F1" w:rsidR="007A401D" w:rsidRDefault="007A401D" w:rsidP="007A401D">
      <w:pPr>
        <w:pStyle w:val="SingleTxtG"/>
        <w:rPr>
          <w:rFonts w:eastAsia="Times New Roman"/>
        </w:rPr>
      </w:pPr>
      <w:r>
        <w:rPr>
          <w:rFonts w:eastAsia="Times New Roman"/>
        </w:rPr>
        <w:t>52.</w:t>
      </w:r>
      <w:r>
        <w:rPr>
          <w:rFonts w:eastAsia="Times New Roman"/>
        </w:rPr>
        <w:tab/>
        <w:t>L’article</w:t>
      </w:r>
      <w:r w:rsidR="00D708E0">
        <w:rPr>
          <w:rFonts w:eastAsia="Times New Roman"/>
        </w:rPr>
        <w:t> </w:t>
      </w:r>
      <w:r>
        <w:rPr>
          <w:rFonts w:eastAsia="Times New Roman"/>
        </w:rPr>
        <w:t xml:space="preserve">10 de la loi relative au détachement de travailleurs par l’intermédiaire d’agences de travail </w:t>
      </w:r>
      <w:r w:rsidRPr="007A401D">
        <w:t>temporaire</w:t>
      </w:r>
      <w:r>
        <w:rPr>
          <w:rFonts w:eastAsia="Times New Roman"/>
        </w:rPr>
        <w:t xml:space="preserve"> (</w:t>
      </w:r>
      <w:r w:rsidRPr="00B711EE">
        <w:rPr>
          <w:rFonts w:eastAsia="Times New Roman"/>
          <w:i/>
        </w:rPr>
        <w:t>Wet allocatie arbeidskrachten door intermediairs</w:t>
      </w:r>
      <w:r>
        <w:rPr>
          <w:rFonts w:eastAsia="Times New Roman"/>
        </w:rPr>
        <w:t>) interdit à ces agences et aux intermédiaires analogues de fournir des travailleurs pendant une grève.</w:t>
      </w:r>
      <w:r w:rsidRPr="00B711EE">
        <w:rPr>
          <w:rFonts w:eastAsia="Times New Roman"/>
        </w:rPr>
        <w:t xml:space="preserve"> </w:t>
      </w:r>
      <w:r>
        <w:rPr>
          <w:rFonts w:eastAsia="Times New Roman"/>
        </w:rPr>
        <w:t>En cas de suspicion de violation, les partenaires sociaux ou d’autres parties concernées peuvent soumettre une demande motivée à l’Autorité néerlandaise du travail.</w:t>
      </w:r>
      <w:r w:rsidRPr="00B711EE">
        <w:rPr>
          <w:rFonts w:eastAsia="Times New Roman"/>
        </w:rPr>
        <w:t xml:space="preserve"> </w:t>
      </w:r>
      <w:r>
        <w:rPr>
          <w:rFonts w:eastAsia="Times New Roman"/>
        </w:rPr>
        <w:t>Dès réception d’une telle demande, l’Autorité mène une enquête approfondie à laquelle toutes les parties concernées sont tenues de collaborer. Le rapport qui en résulte est remis aux intéressés et peut être utilisé pour engager une procédure devant un tribunal civil.</w:t>
      </w:r>
    </w:p>
    <w:p w14:paraId="645DD0AA" w14:textId="329724EC" w:rsidR="007A401D" w:rsidRDefault="00D708E0" w:rsidP="00D708E0">
      <w:pPr>
        <w:pStyle w:val="H1G"/>
      </w:pPr>
      <w:r>
        <w:lastRenderedPageBreak/>
        <w:tab/>
      </w:r>
      <w:r>
        <w:tab/>
      </w:r>
      <w:r w:rsidR="007A401D">
        <w:t>Article</w:t>
      </w:r>
      <w:r w:rsidR="00756DBD">
        <w:t> </w:t>
      </w:r>
      <w:r w:rsidR="007A401D">
        <w:t>9</w:t>
      </w:r>
      <w:r>
        <w:t xml:space="preserve"> </w:t>
      </w:r>
      <w:r>
        <w:br/>
      </w:r>
      <w:r w:rsidR="007A401D">
        <w:t>Droit à la sécurité sociale</w:t>
      </w:r>
    </w:p>
    <w:p w14:paraId="7E1AED7C" w14:textId="0A458A3E" w:rsidR="007A401D" w:rsidRDefault="00D708E0" w:rsidP="00D708E0">
      <w:pPr>
        <w:pStyle w:val="H23G"/>
      </w:pPr>
      <w:r>
        <w:tab/>
      </w:r>
      <w:r>
        <w:tab/>
      </w:r>
      <w:r w:rsidR="007A401D">
        <w:t>Réponse au paragraphe</w:t>
      </w:r>
      <w:r>
        <w:t> </w:t>
      </w:r>
      <w:r w:rsidR="007A401D">
        <w:t>21 de la liste de points</w:t>
      </w:r>
    </w:p>
    <w:p w14:paraId="6A15BC2F" w14:textId="77777777" w:rsidR="007A401D" w:rsidRDefault="007A401D" w:rsidP="007A401D">
      <w:pPr>
        <w:pStyle w:val="SingleTxtG"/>
        <w:rPr>
          <w:rFonts w:eastAsia="Times New Roman"/>
        </w:rPr>
      </w:pPr>
      <w:r w:rsidRPr="00B711EE">
        <w:rPr>
          <w:rFonts w:eastAsia="Times New Roman"/>
        </w:rPr>
        <w:t>53</w:t>
      </w:r>
      <w:r>
        <w:rPr>
          <w:rFonts w:eastAsia="Times New Roman"/>
        </w:rPr>
        <w:t>.</w:t>
      </w:r>
      <w:r>
        <w:rPr>
          <w:rFonts w:eastAsia="Times New Roman"/>
        </w:rPr>
        <w:tab/>
        <w:t xml:space="preserve">Les recommandations récentes sur l’adéquation et l’accessibilité du système de sécurité sociale concernent notamment la mise en place d’une commission indépendante sur les goulets d’étranglement dans le </w:t>
      </w:r>
      <w:r w:rsidRPr="007A401D">
        <w:t>système</w:t>
      </w:r>
      <w:r>
        <w:rPr>
          <w:rFonts w:eastAsia="Times New Roman"/>
        </w:rPr>
        <w:t xml:space="preserve"> néerlandais d’incapacité de travail (OCTAS), la Commission des minima sociaux et les rapports du Médiateur national. En septembre 2024, le nouveau Gouvernement néerlandais a annoncé dans son programme qu’il mettrait en œuvre les recommandations issues de ces rapports et d’autres documents en simplifiant le système de sécurité sociale, les prestations complémentaires et l’impôt sur le revenu. L’objectif est de promouvoir l’accessibilité et la clarté du système de sécurité sociale et de prévenir l’insécurité juridique.</w:t>
      </w:r>
    </w:p>
    <w:p w14:paraId="5EE146F1" w14:textId="6EECC279" w:rsidR="007A401D" w:rsidRDefault="007A401D" w:rsidP="007A401D">
      <w:pPr>
        <w:pStyle w:val="SingleTxtG"/>
        <w:rPr>
          <w:rFonts w:eastAsia="Times New Roman"/>
        </w:rPr>
      </w:pPr>
      <w:r>
        <w:rPr>
          <w:rFonts w:eastAsia="Times New Roman"/>
        </w:rPr>
        <w:t>54.</w:t>
      </w:r>
      <w:r>
        <w:rPr>
          <w:rFonts w:eastAsia="Times New Roman"/>
        </w:rPr>
        <w:tab/>
        <w:t>L’Agence néerlandaise d’administration de l’assurance des personnes employées travaille actuellement sur un projet visant à améliorer la communication concernant ses programmes pour les jeunes personnes handicapées et à les faire mieux connaître. Les</w:t>
      </w:r>
      <w:r w:rsidR="00D708E0">
        <w:rPr>
          <w:rFonts w:eastAsia="Times New Roman"/>
        </w:rPr>
        <w:t> </w:t>
      </w:r>
      <w:r>
        <w:rPr>
          <w:rFonts w:eastAsia="Times New Roman"/>
        </w:rPr>
        <w:t>personnes qui, en raison d’un handicap de longue durée, ne peuvent pas travailler (totalement ou partiellement) peuvent également bénéficier des dispositions prévues par la loi sur le travail et le revenu selon la capacité de travail (WIA). Tous les citoyens néerlandais (avec ou sans handicap) peuvent bénéficier d’un complément de revenu jusqu’à concurrence du minimum social de moyens d’existence (</w:t>
      </w:r>
      <w:r w:rsidRPr="00CB10DA">
        <w:rPr>
          <w:rFonts w:eastAsia="Times New Roman"/>
          <w:i/>
        </w:rPr>
        <w:t>bijstandsnorm)</w:t>
      </w:r>
      <w:r>
        <w:rPr>
          <w:rFonts w:eastAsia="Times New Roman"/>
        </w:rPr>
        <w:t>.</w:t>
      </w:r>
      <w:r w:rsidRPr="00CB10DA">
        <w:rPr>
          <w:rFonts w:eastAsia="Times New Roman"/>
        </w:rPr>
        <w:t xml:space="preserve"> </w:t>
      </w:r>
      <w:r>
        <w:rPr>
          <w:rFonts w:eastAsia="Times New Roman"/>
        </w:rPr>
        <w:t>Ce montant est déterminé en fonction du salaire minimum, de l’âge et de la situation de vie.</w:t>
      </w:r>
      <w:r w:rsidRPr="00CB10DA">
        <w:rPr>
          <w:rFonts w:eastAsia="Times New Roman"/>
        </w:rPr>
        <w:t xml:space="preserve"> </w:t>
      </w:r>
      <w:r>
        <w:rPr>
          <w:rFonts w:eastAsia="Times New Roman"/>
        </w:rPr>
        <w:t>Le minimum social a augmenté parallèlement aux récentes hausses du salaire minimum (voir la réponse au point</w:t>
      </w:r>
      <w:r w:rsidR="00D708E0">
        <w:rPr>
          <w:rFonts w:eastAsia="Times New Roman"/>
        </w:rPr>
        <w:t> </w:t>
      </w:r>
      <w:r>
        <w:rPr>
          <w:rFonts w:eastAsia="Times New Roman"/>
        </w:rPr>
        <w:t>18).</w:t>
      </w:r>
    </w:p>
    <w:p w14:paraId="036B6CA9" w14:textId="77777777" w:rsidR="007A401D" w:rsidRDefault="007A401D" w:rsidP="007A401D">
      <w:pPr>
        <w:pStyle w:val="SingleTxtG"/>
        <w:rPr>
          <w:rFonts w:eastAsia="Times New Roman"/>
        </w:rPr>
      </w:pPr>
      <w:r>
        <w:rPr>
          <w:rFonts w:eastAsia="Times New Roman"/>
        </w:rPr>
        <w:t>55.</w:t>
      </w:r>
      <w:r>
        <w:rPr>
          <w:rFonts w:eastAsia="Times New Roman"/>
        </w:rPr>
        <w:tab/>
        <w:t>Ces prestations de sécurité sociale et le minimum social s’appliquent à tous les résidents néerlandais, toutes municipalités confondues. Les municipalités néerlandaises peuvent choisir d’accorder des avantages supplémentaires en fonction de leur politique de lutte contre la pauvreté ; ceux-ci viennent s’ajouter aux minima sociaux.</w:t>
      </w:r>
    </w:p>
    <w:p w14:paraId="314C1BC9" w14:textId="05A643F4" w:rsidR="007A401D" w:rsidRDefault="00D708E0" w:rsidP="00D708E0">
      <w:pPr>
        <w:pStyle w:val="H1G"/>
      </w:pPr>
      <w:r>
        <w:tab/>
      </w:r>
      <w:r>
        <w:tab/>
      </w:r>
      <w:r w:rsidR="007A401D">
        <w:t>Article</w:t>
      </w:r>
      <w:r w:rsidR="00756DBD">
        <w:t> </w:t>
      </w:r>
      <w:r w:rsidR="007A401D">
        <w:t>10</w:t>
      </w:r>
      <w:r>
        <w:t xml:space="preserve"> </w:t>
      </w:r>
      <w:r>
        <w:br/>
      </w:r>
      <w:r w:rsidR="007A401D">
        <w:t>Protection de la famille et de l’enfant</w:t>
      </w:r>
    </w:p>
    <w:p w14:paraId="4FD2BA39" w14:textId="59CA27E6" w:rsidR="007A401D" w:rsidRDefault="00D708E0" w:rsidP="00D708E0">
      <w:pPr>
        <w:pStyle w:val="H23G"/>
      </w:pPr>
      <w:r>
        <w:tab/>
      </w:r>
      <w:r>
        <w:tab/>
      </w:r>
      <w:r w:rsidR="007A401D">
        <w:t>Réponse au paragraphe</w:t>
      </w:r>
      <w:r>
        <w:t> </w:t>
      </w:r>
      <w:r w:rsidR="007A401D">
        <w:t>22 de la liste de points</w:t>
      </w:r>
    </w:p>
    <w:p w14:paraId="623EEC21" w14:textId="2E60C168" w:rsidR="007A401D" w:rsidRDefault="000F103D" w:rsidP="007A401D">
      <w:pPr>
        <w:pStyle w:val="SingleTxtG"/>
        <w:rPr>
          <w:rFonts w:eastAsia="Times New Roman"/>
        </w:rPr>
      </w:pPr>
      <w:r>
        <w:rPr>
          <w:rFonts w:eastAsia="Times New Roman"/>
        </w:rPr>
        <w:t>56</w:t>
      </w:r>
      <w:r w:rsidR="007A401D">
        <w:rPr>
          <w:rFonts w:eastAsia="Times New Roman"/>
        </w:rPr>
        <w:t>.</w:t>
      </w:r>
      <w:r>
        <w:rPr>
          <w:rFonts w:eastAsia="Times New Roman"/>
        </w:rPr>
        <w:tab/>
      </w:r>
      <w:r w:rsidR="007A401D">
        <w:rPr>
          <w:rFonts w:eastAsia="Times New Roman"/>
        </w:rPr>
        <w:t xml:space="preserve">Voir </w:t>
      </w:r>
      <w:r w:rsidR="007A401D" w:rsidRPr="007A401D">
        <w:t>l’Annexe</w:t>
      </w:r>
      <w:r w:rsidR="00D708E0">
        <w:rPr>
          <w:rFonts w:eastAsia="Times New Roman"/>
        </w:rPr>
        <w:t> </w:t>
      </w:r>
      <w:r w:rsidR="007A401D">
        <w:rPr>
          <w:rFonts w:eastAsia="Times New Roman"/>
        </w:rPr>
        <w:t xml:space="preserve">1 </w:t>
      </w:r>
      <w:r w:rsidR="00D708E0">
        <w:rPr>
          <w:rFonts w:eastAsia="Times New Roman"/>
        </w:rPr>
        <w:t>−</w:t>
      </w:r>
      <w:r w:rsidR="007A401D">
        <w:rPr>
          <w:rFonts w:eastAsia="Times New Roman"/>
        </w:rPr>
        <w:t xml:space="preserve"> annexe statistique</w:t>
      </w:r>
      <w:r>
        <w:rPr>
          <w:rFonts w:eastAsia="Times New Roman"/>
        </w:rPr>
        <w:t> </w:t>
      </w:r>
      <w:r w:rsidR="007A401D">
        <w:rPr>
          <w:rFonts w:eastAsia="Times New Roman"/>
        </w:rPr>
        <w:t>7, pour les renseignements demandés.</w:t>
      </w:r>
    </w:p>
    <w:p w14:paraId="22F59C82" w14:textId="77777777" w:rsidR="007A401D" w:rsidRDefault="007A401D" w:rsidP="007A401D">
      <w:pPr>
        <w:pStyle w:val="SingleTxtG"/>
        <w:rPr>
          <w:rFonts w:eastAsia="Times New Roman"/>
        </w:rPr>
      </w:pPr>
      <w:r>
        <w:rPr>
          <w:rFonts w:eastAsia="Times New Roman"/>
        </w:rPr>
        <w:t>57.</w:t>
      </w:r>
      <w:r>
        <w:rPr>
          <w:rFonts w:eastAsia="Times New Roman"/>
        </w:rPr>
        <w:tab/>
        <w:t>Dans le système décentralisé des Pays-Bas, les municipalités sont responsables de la mise en œuvre des mesures de lutte contre la violence domestique et la maltraitance d’enfants.</w:t>
      </w:r>
      <w:r w:rsidRPr="00CB10DA">
        <w:rPr>
          <w:rFonts w:eastAsia="Times New Roman"/>
        </w:rPr>
        <w:t xml:space="preserve"> </w:t>
      </w:r>
      <w:r>
        <w:rPr>
          <w:rFonts w:eastAsia="Times New Roman"/>
        </w:rPr>
        <w:t>Les autorités municipales collaborent avec les organisations qui fournissent des soins et de l’aide. Le gouvernement central n’est pas habilité à contrôler les capacités des municipalités mais celles-ci sont consultées sur les problèmes qu’elles rencontrent.</w:t>
      </w:r>
    </w:p>
    <w:p w14:paraId="4381FDFE" w14:textId="77777777" w:rsidR="007A401D" w:rsidRDefault="007A401D" w:rsidP="007A401D">
      <w:pPr>
        <w:pStyle w:val="SingleTxtG"/>
        <w:rPr>
          <w:rFonts w:eastAsia="Times New Roman"/>
        </w:rPr>
      </w:pPr>
      <w:r>
        <w:rPr>
          <w:rFonts w:eastAsia="Times New Roman"/>
        </w:rPr>
        <w:t>58.</w:t>
      </w:r>
      <w:r>
        <w:rPr>
          <w:rFonts w:eastAsia="Times New Roman"/>
        </w:rPr>
        <w:tab/>
        <w:t>Le centre de conseil et de signalement des violences domestiques (</w:t>
      </w:r>
      <w:r w:rsidRPr="00856B1E">
        <w:rPr>
          <w:rFonts w:eastAsia="Times New Roman"/>
          <w:i/>
        </w:rPr>
        <w:t>Veilig Thuis</w:t>
      </w:r>
      <w:r>
        <w:rPr>
          <w:rFonts w:eastAsia="Times New Roman"/>
        </w:rPr>
        <w:t xml:space="preserve">) effectue des interventions, veille à ce que l’assistance et le soutien soient déployés et mène des recherches. Les particuliers et les professionnels peuvent contacter </w:t>
      </w:r>
      <w:r w:rsidRPr="00856B1E">
        <w:rPr>
          <w:rFonts w:eastAsia="Times New Roman"/>
          <w:i/>
        </w:rPr>
        <w:t>Veilig Thuis</w:t>
      </w:r>
      <w:r>
        <w:rPr>
          <w:rFonts w:eastAsia="Times New Roman"/>
        </w:rPr>
        <w:t xml:space="preserve"> s’ils soupçonnent des violences domestiques ou des </w:t>
      </w:r>
      <w:r w:rsidRPr="007A401D">
        <w:t>maltraitances</w:t>
      </w:r>
      <w:r>
        <w:rPr>
          <w:rFonts w:eastAsia="Times New Roman"/>
        </w:rPr>
        <w:t xml:space="preserve"> d’enfants. Le Protocole relatif à la violence domestique et à la maltraitance des enfants (</w:t>
      </w:r>
      <w:r w:rsidRPr="00856B1E">
        <w:rPr>
          <w:rFonts w:eastAsia="Times New Roman"/>
          <w:i/>
        </w:rPr>
        <w:t>Meldcode huiselijk geweld en kindermishandeling</w:t>
      </w:r>
      <w:r>
        <w:rPr>
          <w:rFonts w:eastAsia="Times New Roman"/>
        </w:rPr>
        <w:t xml:space="preserve">) aide les professionnels à examiner attentivement et à décider s’il est nécessaire de faire un signalement à </w:t>
      </w:r>
      <w:r w:rsidRPr="00856B1E">
        <w:rPr>
          <w:rFonts w:eastAsia="Times New Roman"/>
          <w:i/>
        </w:rPr>
        <w:t>Veilig Thuis</w:t>
      </w:r>
      <w:r>
        <w:rPr>
          <w:rFonts w:eastAsia="Times New Roman"/>
        </w:rPr>
        <w:t>.</w:t>
      </w:r>
    </w:p>
    <w:p w14:paraId="6CF9E026" w14:textId="24C43A3D" w:rsidR="007A401D" w:rsidRDefault="007A401D" w:rsidP="007A401D">
      <w:pPr>
        <w:pStyle w:val="SingleTxtG"/>
        <w:rPr>
          <w:rFonts w:eastAsia="Times New Roman"/>
        </w:rPr>
      </w:pPr>
      <w:r>
        <w:rPr>
          <w:rFonts w:eastAsia="Times New Roman"/>
        </w:rPr>
        <w:t>59.</w:t>
      </w:r>
      <w:r>
        <w:rPr>
          <w:rFonts w:eastAsia="Times New Roman"/>
        </w:rPr>
        <w:tab/>
        <w:t xml:space="preserve">Le Gouvernement ne dispose pas de données quantitatives sur les mesures d’aide et de réadaptation prises en faveur des victimes. Les données présentées correspondent au nombre de cas renvoyés par </w:t>
      </w:r>
      <w:r w:rsidRPr="00856B1E">
        <w:rPr>
          <w:rFonts w:eastAsia="Times New Roman"/>
          <w:i/>
        </w:rPr>
        <w:t>Veilig Thuis</w:t>
      </w:r>
      <w:r>
        <w:rPr>
          <w:rFonts w:eastAsia="Times New Roman"/>
        </w:rPr>
        <w:t xml:space="preserve"> à d’autres </w:t>
      </w:r>
      <w:r w:rsidRPr="007A401D">
        <w:t>organisations</w:t>
      </w:r>
      <w:r>
        <w:rPr>
          <w:rFonts w:eastAsia="Times New Roman"/>
        </w:rPr>
        <w:t>, et non au nombre total de</w:t>
      </w:r>
      <w:r w:rsidR="00D708E0">
        <w:rPr>
          <w:rFonts w:eastAsia="Times New Roman"/>
        </w:rPr>
        <w:t> </w:t>
      </w:r>
      <w:r>
        <w:rPr>
          <w:rFonts w:eastAsia="Times New Roman"/>
        </w:rPr>
        <w:t>cas.</w:t>
      </w:r>
    </w:p>
    <w:p w14:paraId="4918FAB4" w14:textId="61C271E8" w:rsidR="007A401D" w:rsidRDefault="00D708E0" w:rsidP="00D708E0">
      <w:pPr>
        <w:pStyle w:val="H23G"/>
      </w:pPr>
      <w:r>
        <w:tab/>
      </w:r>
      <w:r>
        <w:tab/>
      </w:r>
      <w:r w:rsidR="007A401D">
        <w:t>Réponse au paragraphe</w:t>
      </w:r>
      <w:r>
        <w:t> </w:t>
      </w:r>
      <w:r w:rsidR="007A401D">
        <w:t>23 de la liste de points</w:t>
      </w:r>
    </w:p>
    <w:p w14:paraId="5E56B09E" w14:textId="1B633D01" w:rsidR="007A401D" w:rsidRDefault="007A401D" w:rsidP="007A401D">
      <w:pPr>
        <w:pStyle w:val="SingleTxtG"/>
        <w:rPr>
          <w:rFonts w:eastAsia="Times New Roman"/>
        </w:rPr>
      </w:pPr>
      <w:r>
        <w:rPr>
          <w:rFonts w:eastAsia="Times New Roman"/>
          <w:bCs/>
        </w:rPr>
        <w:t>60.</w:t>
      </w:r>
      <w:r>
        <w:rPr>
          <w:rFonts w:eastAsia="Times New Roman"/>
          <w:bCs/>
        </w:rPr>
        <w:tab/>
      </w:r>
      <w:r>
        <w:rPr>
          <w:rFonts w:eastAsia="Times New Roman"/>
        </w:rPr>
        <w:t xml:space="preserve">Voir </w:t>
      </w:r>
      <w:r w:rsidRPr="007A401D">
        <w:t>l’Annexe</w:t>
      </w:r>
      <w:r w:rsidR="00D708E0">
        <w:rPr>
          <w:rFonts w:eastAsia="Times New Roman"/>
        </w:rPr>
        <w:t> </w:t>
      </w:r>
      <w:r>
        <w:rPr>
          <w:rFonts w:eastAsia="Times New Roman"/>
        </w:rPr>
        <w:t xml:space="preserve">1 </w:t>
      </w:r>
      <w:r w:rsidR="00D708E0">
        <w:rPr>
          <w:rFonts w:eastAsia="Times New Roman"/>
        </w:rPr>
        <w:t>−</w:t>
      </w:r>
      <w:r>
        <w:rPr>
          <w:rFonts w:eastAsia="Times New Roman"/>
        </w:rPr>
        <w:t xml:space="preserve"> annexe statistique</w:t>
      </w:r>
      <w:r w:rsidR="00D708E0">
        <w:rPr>
          <w:rFonts w:eastAsia="Times New Roman"/>
        </w:rPr>
        <w:t> </w:t>
      </w:r>
      <w:r>
        <w:rPr>
          <w:rFonts w:eastAsia="Times New Roman"/>
        </w:rPr>
        <w:t>8, pour les renseignements demandés.</w:t>
      </w:r>
    </w:p>
    <w:p w14:paraId="3EC28673" w14:textId="20CACF37" w:rsidR="007A401D" w:rsidRDefault="007A401D" w:rsidP="000F103D">
      <w:pPr>
        <w:pStyle w:val="SingleTxtG"/>
        <w:keepNext/>
        <w:keepLines/>
        <w:rPr>
          <w:rFonts w:eastAsia="Times New Roman"/>
        </w:rPr>
      </w:pPr>
      <w:r>
        <w:rPr>
          <w:rFonts w:eastAsia="Times New Roman"/>
        </w:rPr>
        <w:lastRenderedPageBreak/>
        <w:t>61.</w:t>
      </w:r>
      <w:r>
        <w:rPr>
          <w:rFonts w:eastAsia="Times New Roman"/>
        </w:rPr>
        <w:tab/>
        <w:t>Aperçu des faits nouveaux récents</w:t>
      </w:r>
      <w:r w:rsidR="00D708E0">
        <w:rPr>
          <w:rFonts w:eastAsia="Times New Roman"/>
        </w:rPr>
        <w:t> </w:t>
      </w:r>
      <w:r>
        <w:rPr>
          <w:rFonts w:eastAsia="Times New Roman"/>
        </w:rPr>
        <w:t>:</w:t>
      </w:r>
    </w:p>
    <w:p w14:paraId="47ACB694" w14:textId="3FC34E28" w:rsidR="007A401D" w:rsidRDefault="007A401D" w:rsidP="00D708E0">
      <w:pPr>
        <w:pStyle w:val="Bullet1G"/>
      </w:pPr>
      <w:r>
        <w:t>En 2020, les directives d’application de la loi sur les étrangers de 2000</w:t>
      </w:r>
      <w:r w:rsidR="00D708E0">
        <w:t xml:space="preserve"> </w:t>
      </w:r>
      <w:r>
        <w:t>(</w:t>
      </w:r>
      <w:r w:rsidRPr="00DA2793">
        <w:rPr>
          <w:i/>
        </w:rPr>
        <w:t>Vreemdelingencirculaire</w:t>
      </w:r>
      <w:r>
        <w:t>) ont été modifiées pour permettre d’enquêter sur des cas individuels afin de déterminer si un enfant adulte a formé une famille de manière indépendante en s’engageant dans une relation ou un mariage.</w:t>
      </w:r>
    </w:p>
    <w:p w14:paraId="47E52C93" w14:textId="619BCDB5" w:rsidR="007A401D" w:rsidRDefault="007A401D" w:rsidP="00D708E0">
      <w:pPr>
        <w:pStyle w:val="Bullet1G"/>
        <w:rPr>
          <w:rFonts w:eastAsia="Times New Roman"/>
        </w:rPr>
      </w:pPr>
      <w:r>
        <w:rPr>
          <w:rFonts w:eastAsia="Times New Roman"/>
        </w:rPr>
        <w:t>En 2021, le Service de l’immigration et de la naturalisation a signé des accords de coopération avec l’Organisation internationale pour les migrations (OIM) et le Haut</w:t>
      </w:r>
      <w:r w:rsidR="00D708E0">
        <w:rPr>
          <w:rFonts w:eastAsia="Times New Roman"/>
        </w:rPr>
        <w:noBreakHyphen/>
      </w:r>
      <w:r>
        <w:rPr>
          <w:rFonts w:eastAsia="Times New Roman"/>
        </w:rPr>
        <w:t>Commissariat des Nations</w:t>
      </w:r>
      <w:r w:rsidR="00D708E0">
        <w:rPr>
          <w:rFonts w:eastAsia="Times New Roman"/>
        </w:rPr>
        <w:t> </w:t>
      </w:r>
      <w:r>
        <w:rPr>
          <w:rFonts w:eastAsia="Times New Roman"/>
        </w:rPr>
        <w:t>Unies pour les réfugiés (HCR).</w:t>
      </w:r>
      <w:r w:rsidRPr="00DA2793">
        <w:rPr>
          <w:rFonts w:eastAsia="Times New Roman"/>
        </w:rPr>
        <w:t xml:space="preserve"> </w:t>
      </w:r>
      <w:r>
        <w:rPr>
          <w:rFonts w:eastAsia="Times New Roman"/>
        </w:rPr>
        <w:t>L’OIM coopère à la collecte d’échantillons d’ADN et le HCR réalise des entretiens vidéo dans les cas de regroupement familial.</w:t>
      </w:r>
    </w:p>
    <w:p w14:paraId="3DEBD0F4" w14:textId="77777777" w:rsidR="007A401D" w:rsidRDefault="007A401D" w:rsidP="00D708E0">
      <w:pPr>
        <w:pStyle w:val="Bullet1G"/>
        <w:rPr>
          <w:rFonts w:eastAsia="Times New Roman"/>
        </w:rPr>
      </w:pPr>
      <w:r>
        <w:rPr>
          <w:rFonts w:eastAsia="Times New Roman"/>
        </w:rPr>
        <w:t>En 2022, en vertu d’une mesure temporaire concernant le regroupement familial en matière d’asile, les membres de la famille des bénéficiaires d’une protection internationale se sont vu interdire de se rendre aux Pays-Bas pendant une période pouvant aller jusqu’à six mois ou jusqu’à ce que le bénéficiaire d’une protection internationale dispose d’un logement adéquat. Cette mesure a été supprimée en février 2023, le Conseil d’État ayant jugé qu’elle était contraire au droit national. La question de savoir si les enfants adultes des bénéficiaires d’une protection internationale peuvent prétendre au regroupement familial doit être examinée au cas par cas, l’âge seul n’étant pas un facteur déterminant. La procédure a été adaptée en conséquence.</w:t>
      </w:r>
    </w:p>
    <w:p w14:paraId="1ABBFA68" w14:textId="666026C0" w:rsidR="007A401D" w:rsidRDefault="007A401D" w:rsidP="00D708E0">
      <w:pPr>
        <w:pStyle w:val="Bullet1G"/>
        <w:rPr>
          <w:rFonts w:eastAsia="Times New Roman"/>
        </w:rPr>
      </w:pPr>
      <w:r>
        <w:rPr>
          <w:rFonts w:eastAsia="Times New Roman"/>
        </w:rPr>
        <w:t xml:space="preserve">À compter de 2022, les pièces justificatives officielles et non officielles ne peuvent plus être évaluées isolément et doivent être évaluées dans leur intégralité et conjointement pour déterminer si l’identité et les liens familiaux ont été établis de manière plausible. La même année, le Gouvernement a proposé des amendements à la loi sur les délais de décision dans les cas de regroupement familial en matière d’asile, portant de </w:t>
      </w:r>
      <w:r w:rsidR="00D708E0">
        <w:rPr>
          <w:rFonts w:eastAsia="Times New Roman"/>
        </w:rPr>
        <w:t>trois</w:t>
      </w:r>
      <w:r>
        <w:rPr>
          <w:rFonts w:eastAsia="Times New Roman"/>
        </w:rPr>
        <w:t xml:space="preserve"> à </w:t>
      </w:r>
      <w:r w:rsidR="00D708E0">
        <w:rPr>
          <w:rFonts w:eastAsia="Times New Roman"/>
        </w:rPr>
        <w:t>neuf</w:t>
      </w:r>
      <w:r>
        <w:rPr>
          <w:rFonts w:eastAsia="Times New Roman"/>
        </w:rPr>
        <w:t xml:space="preserve"> mois le délai de décision pour les demandes de visa des membres de la famille des bénéficiaires d’une protection internationale.</w:t>
      </w:r>
      <w:r w:rsidRPr="0078571C">
        <w:rPr>
          <w:rFonts w:eastAsia="Times New Roman"/>
        </w:rPr>
        <w:t xml:space="preserve"> </w:t>
      </w:r>
      <w:r>
        <w:rPr>
          <w:rFonts w:eastAsia="Times New Roman"/>
        </w:rPr>
        <w:t>En décembre 2023, le Conseil d’État a jugé que les demandes individuelles de regroupement familial qui ont été refusées doivent toujours être réexaminées sur la base de l’article</w:t>
      </w:r>
      <w:r w:rsidR="00D708E0">
        <w:rPr>
          <w:rFonts w:eastAsia="Times New Roman"/>
        </w:rPr>
        <w:t> </w:t>
      </w:r>
      <w:r>
        <w:rPr>
          <w:rFonts w:eastAsia="Times New Roman"/>
        </w:rPr>
        <w:t>8 de la CEDH.</w:t>
      </w:r>
    </w:p>
    <w:p w14:paraId="75D79C8E" w14:textId="4417BE96" w:rsidR="007A401D" w:rsidRPr="00D708E0" w:rsidRDefault="00D708E0" w:rsidP="00D708E0">
      <w:pPr>
        <w:pStyle w:val="H1G"/>
        <w:rPr>
          <w:rStyle w:val="content"/>
          <w:rFonts w:eastAsia="Times New Roman"/>
          <w:b w:val="0"/>
        </w:rPr>
      </w:pPr>
      <w:r>
        <w:tab/>
      </w:r>
      <w:r>
        <w:tab/>
      </w:r>
      <w:r w:rsidR="007A401D">
        <w:t>Article 11</w:t>
      </w:r>
      <w:r>
        <w:t xml:space="preserve"> </w:t>
      </w:r>
      <w:r>
        <w:br/>
      </w:r>
      <w:r w:rsidR="007A401D">
        <w:rPr>
          <w:rStyle w:val="content"/>
          <w:rFonts w:eastAsia="Times New Roman"/>
          <w:bCs/>
        </w:rPr>
        <w:t>Droit à un niveau de vie suffisant</w:t>
      </w:r>
    </w:p>
    <w:p w14:paraId="6B9DE7CC" w14:textId="562D1CC7" w:rsidR="007A401D" w:rsidRDefault="00D708E0" w:rsidP="00D708E0">
      <w:pPr>
        <w:pStyle w:val="H23G"/>
      </w:pPr>
      <w:r>
        <w:tab/>
      </w:r>
      <w:r>
        <w:tab/>
      </w:r>
      <w:r w:rsidR="007A401D">
        <w:t>Réponse au paragraphe</w:t>
      </w:r>
      <w:r>
        <w:t> </w:t>
      </w:r>
      <w:r w:rsidR="007A401D">
        <w:t>24 de la liste de points</w:t>
      </w:r>
    </w:p>
    <w:p w14:paraId="23D272D3" w14:textId="2D9B3AB6" w:rsidR="007A401D" w:rsidRDefault="007A401D" w:rsidP="007A401D">
      <w:pPr>
        <w:pStyle w:val="SingleTxtG"/>
        <w:rPr>
          <w:rFonts w:eastAsia="Times New Roman"/>
        </w:rPr>
      </w:pPr>
      <w:r>
        <w:rPr>
          <w:rFonts w:eastAsia="Times New Roman"/>
          <w:bCs/>
        </w:rPr>
        <w:t>62.</w:t>
      </w:r>
      <w:r>
        <w:rPr>
          <w:rFonts w:eastAsia="Times New Roman"/>
          <w:bCs/>
        </w:rPr>
        <w:tab/>
      </w:r>
      <w:r>
        <w:rPr>
          <w:rFonts w:eastAsia="Times New Roman"/>
        </w:rPr>
        <w:t>À l’heure actuelle, le revenu minimum des résidents des Caraïbes néerlandaises n’est pas suffisamment garanti et un grand nombre de personnes vivent dans la pauvreté. Le</w:t>
      </w:r>
      <w:r w:rsidR="00D708E0">
        <w:rPr>
          <w:rFonts w:eastAsia="Times New Roman"/>
        </w:rPr>
        <w:t> </w:t>
      </w:r>
      <w:r>
        <w:rPr>
          <w:rFonts w:eastAsia="Times New Roman"/>
        </w:rPr>
        <w:t xml:space="preserve">Gouvernement néerlandais a mis en place les </w:t>
      </w:r>
      <w:r w:rsidRPr="007A401D">
        <w:t>investissements</w:t>
      </w:r>
      <w:r>
        <w:rPr>
          <w:rFonts w:eastAsia="Times New Roman"/>
        </w:rPr>
        <w:t xml:space="preserve"> importants ci-après afin de réduire la pauvreté dans les Caraïbes néerlandaises et de donner suite aux recommandations du Comité sur l’instauration d’un revenu minimum pour les Caraïbes néerlandaises :</w:t>
      </w:r>
    </w:p>
    <w:p w14:paraId="5B8BC9EA" w14:textId="660BD110" w:rsidR="007A401D" w:rsidRDefault="007A401D" w:rsidP="00D708E0">
      <w:pPr>
        <w:pStyle w:val="Bullet1G"/>
      </w:pPr>
      <w:r>
        <w:t>À compter de 2022, un budget structurel de 30</w:t>
      </w:r>
      <w:r w:rsidR="00D708E0">
        <w:t> </w:t>
      </w:r>
      <w:r>
        <w:t>millions d’euros est consacré à la réduction de la pauvreté dans les Caraïbes</w:t>
      </w:r>
      <w:r w:rsidR="00D708E0">
        <w:t xml:space="preserve"> </w:t>
      </w:r>
      <w:r>
        <w:t>néerlandaises</w:t>
      </w:r>
      <w:r w:rsidR="00D708E0">
        <w:t> </w:t>
      </w:r>
      <w:r>
        <w:t>;</w:t>
      </w:r>
    </w:p>
    <w:p w14:paraId="1CCDF7DE" w14:textId="242A3A6D" w:rsidR="007A401D" w:rsidRDefault="007A401D" w:rsidP="00D708E0">
      <w:pPr>
        <w:pStyle w:val="Bullet1G"/>
        <w:rPr>
          <w:rFonts w:eastAsia="Times New Roman"/>
        </w:rPr>
      </w:pPr>
      <w:r>
        <w:rPr>
          <w:rFonts w:eastAsia="Times New Roman"/>
        </w:rPr>
        <w:t>En 2024, 30</w:t>
      </w:r>
      <w:r w:rsidR="00D708E0">
        <w:rPr>
          <w:rFonts w:eastAsia="Times New Roman"/>
        </w:rPr>
        <w:t> </w:t>
      </w:r>
      <w:r>
        <w:rPr>
          <w:rFonts w:eastAsia="Times New Roman"/>
        </w:rPr>
        <w:t>millions d’euros supplémentaires (et à partir de 2025, 32</w:t>
      </w:r>
      <w:r w:rsidR="00D708E0">
        <w:rPr>
          <w:rFonts w:eastAsia="Times New Roman"/>
        </w:rPr>
        <w:t> </w:t>
      </w:r>
      <w:r>
        <w:rPr>
          <w:rFonts w:eastAsia="Times New Roman"/>
        </w:rPr>
        <w:t>millions d’euros) ont été alloués pour augmenter les revenus, réduire le coût de la vie et lutter contre la pauvreté dans les Caraïbes néerlandaises</w:t>
      </w:r>
      <w:r w:rsidR="00D708E0">
        <w:rPr>
          <w:rFonts w:eastAsia="Times New Roman"/>
        </w:rPr>
        <w:t> </w:t>
      </w:r>
      <w:r>
        <w:rPr>
          <w:rFonts w:eastAsia="Times New Roman"/>
        </w:rPr>
        <w:t>;</w:t>
      </w:r>
    </w:p>
    <w:p w14:paraId="24AABBAB" w14:textId="01EA6281" w:rsidR="007A401D" w:rsidRDefault="007A401D" w:rsidP="00D708E0">
      <w:pPr>
        <w:pStyle w:val="Bullet1G"/>
        <w:rPr>
          <w:rFonts w:eastAsia="Times New Roman"/>
        </w:rPr>
      </w:pPr>
      <w:r>
        <w:rPr>
          <w:rFonts w:eastAsia="Times New Roman"/>
        </w:rPr>
        <w:t xml:space="preserve">Une allocation temporaire énergie a été instituée </w:t>
      </w:r>
      <w:r w:rsidRPr="00320251">
        <w:rPr>
          <w:rFonts w:eastAsia="Times New Roman"/>
        </w:rPr>
        <w:t>pour les ménages à faible revenu</w:t>
      </w:r>
      <w:r>
        <w:rPr>
          <w:rFonts w:eastAsia="Times New Roman"/>
        </w:rPr>
        <w:t xml:space="preserve"> ainsi qu’une subvention supplémentaire pour l’électricité. En 2024, les subventions pour l’eau potable et </w:t>
      </w:r>
      <w:r w:rsidR="000F103D">
        <w:rPr>
          <w:rFonts w:eastAsia="Times New Roman"/>
        </w:rPr>
        <w:t>I</w:t>
      </w:r>
      <w:r>
        <w:rPr>
          <w:rFonts w:eastAsia="Times New Roman"/>
        </w:rPr>
        <w:t>nternet ont été temporairement augmentées</w:t>
      </w:r>
      <w:r w:rsidR="00D708E0">
        <w:rPr>
          <w:rFonts w:eastAsia="Times New Roman"/>
        </w:rPr>
        <w:t> </w:t>
      </w:r>
      <w:r>
        <w:rPr>
          <w:rFonts w:eastAsia="Times New Roman"/>
        </w:rPr>
        <w:t>;</w:t>
      </w:r>
    </w:p>
    <w:p w14:paraId="44EE558E" w14:textId="38E61007" w:rsidR="007A401D" w:rsidRDefault="007A401D" w:rsidP="00D708E0">
      <w:pPr>
        <w:pStyle w:val="Bullet1G"/>
        <w:rPr>
          <w:rFonts w:eastAsia="Times New Roman"/>
        </w:rPr>
      </w:pPr>
      <w:r>
        <w:rPr>
          <w:rFonts w:eastAsia="Times New Roman"/>
        </w:rPr>
        <w:t>Des repas scolaires gratuits ont été distribués en 2023 et 2024. Un montant de 700</w:t>
      </w:r>
      <w:r w:rsidR="00D708E0">
        <w:rPr>
          <w:rFonts w:eastAsia="Times New Roman"/>
        </w:rPr>
        <w:t> </w:t>
      </w:r>
      <w:r>
        <w:rPr>
          <w:rFonts w:eastAsia="Times New Roman"/>
        </w:rPr>
        <w:t>000</w:t>
      </w:r>
      <w:r w:rsidR="00D708E0">
        <w:rPr>
          <w:rFonts w:eastAsia="Times New Roman"/>
        </w:rPr>
        <w:t> </w:t>
      </w:r>
      <w:r>
        <w:rPr>
          <w:rFonts w:eastAsia="Times New Roman"/>
        </w:rPr>
        <w:t xml:space="preserve">euros par an a été alloué </w:t>
      </w:r>
      <w:r w:rsidRPr="00D708E0">
        <w:t>pour</w:t>
      </w:r>
      <w:r>
        <w:rPr>
          <w:rFonts w:eastAsia="Times New Roman"/>
        </w:rPr>
        <w:t xml:space="preserve"> les transports publics dans les îles. La Banque alimentaire de Bonaire recevra une contribution annuelle de 300</w:t>
      </w:r>
      <w:r w:rsidR="00D708E0">
        <w:rPr>
          <w:rFonts w:eastAsia="Times New Roman"/>
        </w:rPr>
        <w:t> </w:t>
      </w:r>
      <w:r>
        <w:rPr>
          <w:rFonts w:eastAsia="Times New Roman"/>
        </w:rPr>
        <w:t>000</w:t>
      </w:r>
      <w:r w:rsidR="00D708E0">
        <w:rPr>
          <w:rFonts w:eastAsia="Times New Roman"/>
        </w:rPr>
        <w:t> </w:t>
      </w:r>
      <w:r>
        <w:rPr>
          <w:rFonts w:eastAsia="Times New Roman"/>
        </w:rPr>
        <w:t>euros à compter de 2024 ;</w:t>
      </w:r>
    </w:p>
    <w:p w14:paraId="0654F88A" w14:textId="75D59E3C" w:rsidR="007A401D" w:rsidRDefault="007A401D" w:rsidP="000F103D">
      <w:pPr>
        <w:pStyle w:val="Bullet1G"/>
        <w:keepNext/>
        <w:keepLines/>
        <w:rPr>
          <w:rFonts w:eastAsia="Times New Roman"/>
        </w:rPr>
      </w:pPr>
      <w:r>
        <w:rPr>
          <w:rFonts w:eastAsia="Times New Roman"/>
        </w:rPr>
        <w:lastRenderedPageBreak/>
        <w:t>Un montant de 1</w:t>
      </w:r>
      <w:r w:rsidR="00D708E0">
        <w:rPr>
          <w:rFonts w:eastAsia="Times New Roman"/>
        </w:rPr>
        <w:t> </w:t>
      </w:r>
      <w:r>
        <w:rPr>
          <w:rFonts w:eastAsia="Times New Roman"/>
        </w:rPr>
        <w:t xml:space="preserve">million d’euros a été alloué en 2023 et en 2024 pour soutenir les politiques locales de lutte </w:t>
      </w:r>
      <w:r w:rsidRPr="00D708E0">
        <w:t>contre</w:t>
      </w:r>
      <w:r>
        <w:rPr>
          <w:rFonts w:eastAsia="Times New Roman"/>
        </w:rPr>
        <w:t xml:space="preserve"> la pauvreté en accordant une attention particulière aux groupes vulnérables tels que les parents qui n’ont pas les moyens d’acheter des fournitures scolaires ou des équipements sportifs.</w:t>
      </w:r>
    </w:p>
    <w:p w14:paraId="04CF7258" w14:textId="771643FE" w:rsidR="007A401D" w:rsidRDefault="00D708E0" w:rsidP="00D708E0">
      <w:pPr>
        <w:pStyle w:val="H23G"/>
      </w:pPr>
      <w:r>
        <w:tab/>
      </w:r>
      <w:r>
        <w:tab/>
      </w:r>
      <w:r w:rsidR="007A401D">
        <w:t>Réponse au paragraphe</w:t>
      </w:r>
      <w:r>
        <w:t> </w:t>
      </w:r>
      <w:r w:rsidR="007A401D">
        <w:t>25 de la liste de points</w:t>
      </w:r>
    </w:p>
    <w:p w14:paraId="256253E4" w14:textId="6D8B0A60" w:rsidR="007A401D" w:rsidRDefault="007A401D" w:rsidP="007A401D">
      <w:pPr>
        <w:pStyle w:val="SingleTxtG"/>
        <w:rPr>
          <w:rFonts w:eastAsia="Times New Roman"/>
        </w:rPr>
      </w:pPr>
      <w:r>
        <w:rPr>
          <w:rFonts w:eastAsia="Times New Roman"/>
          <w:bCs/>
        </w:rPr>
        <w:t>63.</w:t>
      </w:r>
      <w:r>
        <w:rPr>
          <w:rFonts w:eastAsia="Times New Roman"/>
          <w:bCs/>
        </w:rPr>
        <w:tab/>
      </w:r>
      <w:r>
        <w:rPr>
          <w:rFonts w:eastAsia="Times New Roman"/>
        </w:rPr>
        <w:t>Un élément cl</w:t>
      </w:r>
      <w:r w:rsidR="000F103D">
        <w:rPr>
          <w:rFonts w:eastAsia="Times New Roman"/>
        </w:rPr>
        <w:t>ef</w:t>
      </w:r>
      <w:r>
        <w:rPr>
          <w:rFonts w:eastAsia="Times New Roman"/>
        </w:rPr>
        <w:t xml:space="preserve"> de la politique du logement est le Programme national pour le logement et la construction de logements (</w:t>
      </w:r>
      <w:r w:rsidRPr="00C11CC4">
        <w:rPr>
          <w:rFonts w:eastAsia="Times New Roman"/>
          <w:i/>
        </w:rPr>
        <w:t>Nationale Woon- en Bouwagenda</w:t>
      </w:r>
      <w:r>
        <w:rPr>
          <w:rFonts w:eastAsia="Times New Roman"/>
        </w:rPr>
        <w:t>), qui vise à améliorer la disponibilité de logements abordables en construisant 981</w:t>
      </w:r>
      <w:r w:rsidR="00D708E0">
        <w:rPr>
          <w:rFonts w:eastAsia="Times New Roman"/>
        </w:rPr>
        <w:t> </w:t>
      </w:r>
      <w:r>
        <w:rPr>
          <w:rFonts w:eastAsia="Times New Roman"/>
        </w:rPr>
        <w:t>000</w:t>
      </w:r>
      <w:r w:rsidR="00D708E0">
        <w:rPr>
          <w:rFonts w:eastAsia="Times New Roman"/>
        </w:rPr>
        <w:t> </w:t>
      </w:r>
      <w:r>
        <w:rPr>
          <w:rFonts w:eastAsia="Times New Roman"/>
        </w:rPr>
        <w:t>nouveaux logements d’ici à 2030. Les deux tiers des nouveaux logements seront des logements locatifs sociaux, des logements locatifs pour les ménages à revenu moyen et des logements d’un coût abordable occupés par leur propriétaire. Le programme en faveur du logement abordable (</w:t>
      </w:r>
      <w:r w:rsidRPr="00C11CC4">
        <w:rPr>
          <w:rFonts w:eastAsia="Times New Roman"/>
          <w:i/>
        </w:rPr>
        <w:t>Betaalbaar wonen</w:t>
      </w:r>
      <w:r>
        <w:rPr>
          <w:rFonts w:eastAsia="Times New Roman"/>
        </w:rPr>
        <w:t>) vise à promouvoir et à améliorer l’accès au logement abordable en réglementant le secteur locatif pour les ménages à revenu moyen, en construisant des logements abordables, en s’attaquant au problème des coûts élevés du logement pour les ménages à faible revenu et en améliorant les protections des locataires et des propriétaires occupants.</w:t>
      </w:r>
    </w:p>
    <w:p w14:paraId="483914F7" w14:textId="2D9BCC82" w:rsidR="007A401D" w:rsidRDefault="007A401D" w:rsidP="007A401D">
      <w:pPr>
        <w:pStyle w:val="SingleTxtG"/>
        <w:rPr>
          <w:rFonts w:eastAsia="Times New Roman"/>
        </w:rPr>
      </w:pPr>
      <w:r>
        <w:rPr>
          <w:rFonts w:eastAsia="Times New Roman"/>
        </w:rPr>
        <w:t>64.</w:t>
      </w:r>
      <w:r>
        <w:rPr>
          <w:rFonts w:eastAsia="Times New Roman"/>
        </w:rPr>
        <w:tab/>
      </w:r>
      <w:r w:rsidRPr="007A401D">
        <w:t>Avec</w:t>
      </w:r>
      <w:r>
        <w:rPr>
          <w:rFonts w:eastAsia="Times New Roman"/>
        </w:rPr>
        <w:t xml:space="preserve"> le programme «</w:t>
      </w:r>
      <w:r w:rsidR="00D708E0">
        <w:rPr>
          <w:rFonts w:eastAsia="Times New Roman"/>
        </w:rPr>
        <w:t> </w:t>
      </w:r>
      <w:r>
        <w:rPr>
          <w:rFonts w:eastAsia="Times New Roman"/>
        </w:rPr>
        <w:t>Un foyer pour tous</w:t>
      </w:r>
      <w:r w:rsidR="00D708E0">
        <w:rPr>
          <w:rFonts w:eastAsia="Times New Roman"/>
        </w:rPr>
        <w:t> </w:t>
      </w:r>
      <w:r>
        <w:rPr>
          <w:rFonts w:eastAsia="Times New Roman"/>
        </w:rPr>
        <w:t>» (</w:t>
      </w:r>
      <w:r w:rsidRPr="00C11CC4">
        <w:rPr>
          <w:rFonts w:eastAsia="Times New Roman"/>
          <w:i/>
        </w:rPr>
        <w:t>Een thuis voor iedereen</w:t>
      </w:r>
      <w:r>
        <w:rPr>
          <w:rFonts w:eastAsia="Times New Roman"/>
        </w:rPr>
        <w:t>), les accords administratifs et la législation introduite pour améliorer la coordination gouvernementale dans le domaine du logement (</w:t>
      </w:r>
      <w:r w:rsidRPr="00C11CC4">
        <w:rPr>
          <w:rFonts w:eastAsia="Times New Roman"/>
          <w:i/>
        </w:rPr>
        <w:t>wetsvoorstel Versterking regie volkshuisvesting</w:t>
      </w:r>
      <w:r>
        <w:rPr>
          <w:rFonts w:eastAsia="Times New Roman"/>
        </w:rPr>
        <w:t>), le Gouvernement s’efforce d’obtenir un nombre suffisant de logements abordables et une répartition égale des groupes cibles spécifiques entre les municipalités. En vertu de la loi sur les bonnes pratiques des propriétaires (</w:t>
      </w:r>
      <w:r w:rsidRPr="00C1761D">
        <w:rPr>
          <w:rFonts w:eastAsia="Times New Roman"/>
          <w:i/>
        </w:rPr>
        <w:t>Wet goed verhuurderschap</w:t>
      </w:r>
      <w:r>
        <w:rPr>
          <w:rFonts w:eastAsia="Times New Roman"/>
        </w:rPr>
        <w:t>), les travailleurs migrants doivent recevoir des informations sur leurs droits et obligations en tant que locataires dans une langue qu’ils comprennent.</w:t>
      </w:r>
    </w:p>
    <w:p w14:paraId="50E617FA" w14:textId="77777777" w:rsidR="007A401D" w:rsidRPr="0033721B" w:rsidRDefault="007A401D" w:rsidP="007A401D">
      <w:pPr>
        <w:pStyle w:val="SingleTxtG"/>
        <w:rPr>
          <w:rFonts w:eastAsia="Times New Roman"/>
          <w:spacing w:val="-1"/>
        </w:rPr>
      </w:pPr>
      <w:r w:rsidRPr="0033721B">
        <w:rPr>
          <w:rFonts w:eastAsia="Times New Roman"/>
          <w:spacing w:val="-1"/>
        </w:rPr>
        <w:t>65.</w:t>
      </w:r>
      <w:r w:rsidRPr="0033721B">
        <w:rPr>
          <w:rFonts w:eastAsia="Times New Roman"/>
          <w:spacing w:val="-1"/>
        </w:rPr>
        <w:tab/>
      </w:r>
      <w:r w:rsidRPr="0033721B">
        <w:rPr>
          <w:spacing w:val="-1"/>
        </w:rPr>
        <w:t>L’Union</w:t>
      </w:r>
      <w:r w:rsidRPr="0033721B">
        <w:rPr>
          <w:rFonts w:eastAsia="Times New Roman"/>
          <w:spacing w:val="-1"/>
        </w:rPr>
        <w:t xml:space="preserve"> néerlandaise des locataires, l’organisme national qui représente les intérêts des locataires, a reçu une subvention supplémentaire pour la période 2023-2025 au titre d’un projet visant à soutenir la participation et l’apport des locataires en ce qui concerne les activités </w:t>
      </w:r>
      <w:r w:rsidRPr="0033721B">
        <w:rPr>
          <w:rFonts w:eastAsia="Times New Roman"/>
        </w:rPr>
        <w:t>des associations de logement (telles que la rénovation et la démolition de logements).</w:t>
      </w:r>
    </w:p>
    <w:p w14:paraId="2632C044" w14:textId="4B55AB1B" w:rsidR="007A401D" w:rsidRDefault="007A401D" w:rsidP="007A401D">
      <w:pPr>
        <w:pStyle w:val="SingleTxtG"/>
        <w:rPr>
          <w:rFonts w:eastAsia="Times New Roman"/>
        </w:rPr>
      </w:pPr>
      <w:r>
        <w:rPr>
          <w:rFonts w:eastAsia="Times New Roman"/>
        </w:rPr>
        <w:t>66.</w:t>
      </w:r>
      <w:r w:rsidR="0033721B">
        <w:rPr>
          <w:rFonts w:eastAsia="Times New Roman"/>
        </w:rPr>
        <w:tab/>
      </w:r>
      <w:r>
        <w:rPr>
          <w:rFonts w:eastAsia="Times New Roman"/>
        </w:rPr>
        <w:t xml:space="preserve">Un </w:t>
      </w:r>
      <w:r w:rsidRPr="007A401D">
        <w:t>rapport</w:t>
      </w:r>
      <w:r>
        <w:rPr>
          <w:rFonts w:eastAsia="Times New Roman"/>
        </w:rPr>
        <w:t xml:space="preserve"> national de suivi de la discrimination sur le marché du logement locatif est publié chaque année.</w:t>
      </w:r>
      <w:r>
        <w:rPr>
          <w:rFonts w:eastAsia="Times New Roman"/>
        </w:rPr>
        <w:tab/>
        <w:t>Le dernier rapport en date fait état d’une légère diminution de la discrimination.</w:t>
      </w:r>
      <w:r w:rsidRPr="00C1761D">
        <w:rPr>
          <w:rFonts w:eastAsia="Times New Roman"/>
        </w:rPr>
        <w:t xml:space="preserve"> </w:t>
      </w:r>
      <w:r>
        <w:rPr>
          <w:rFonts w:eastAsia="Times New Roman"/>
        </w:rPr>
        <w:t>Les résultats sont examinés périodiquement avec les parties concernées, au niveau tant officiel que politique. En vertu de la loi sur les bonnes pratiques des propriétaires, ceux-ci et les agences de location sont tenus d’utiliser un processus de sélection transparent et compréhensible, fondé sur des critères de sélection objectifs et pertinents, et doivent expliquer aux candidats non retenus les raisons pour lesquelles ils n’ont pas été sélectionnés. Avec le soutien du Gouvernement, des cours de formation sont proposés aux agents immobiliers pour les aider à prévenir et à combattre la discrimination dans le processus d’achat d’un logement.</w:t>
      </w:r>
    </w:p>
    <w:p w14:paraId="0406C081" w14:textId="0CF79814" w:rsidR="007A401D" w:rsidRDefault="00D708E0" w:rsidP="00D708E0">
      <w:pPr>
        <w:pStyle w:val="H23G"/>
      </w:pPr>
      <w:r>
        <w:tab/>
      </w:r>
      <w:r>
        <w:tab/>
      </w:r>
      <w:r w:rsidR="007A401D">
        <w:t>Réponse au paragraphe</w:t>
      </w:r>
      <w:r>
        <w:t> </w:t>
      </w:r>
      <w:r w:rsidR="007A401D">
        <w:t>26 de la liste de points</w:t>
      </w:r>
    </w:p>
    <w:p w14:paraId="1213D980" w14:textId="4D07AC42" w:rsidR="007A401D" w:rsidRDefault="007A401D" w:rsidP="007A401D">
      <w:pPr>
        <w:pStyle w:val="SingleTxtG"/>
        <w:rPr>
          <w:rFonts w:eastAsia="Times New Roman"/>
        </w:rPr>
      </w:pPr>
      <w:r>
        <w:rPr>
          <w:rFonts w:eastAsia="Times New Roman"/>
          <w:bCs/>
        </w:rPr>
        <w:t>67.</w:t>
      </w:r>
      <w:r>
        <w:rPr>
          <w:rFonts w:eastAsia="Times New Roman"/>
          <w:bCs/>
        </w:rPr>
        <w:tab/>
      </w:r>
      <w:r w:rsidRPr="007A401D">
        <w:t>Voir</w:t>
      </w:r>
      <w:r>
        <w:rPr>
          <w:rFonts w:eastAsia="Times New Roman"/>
        </w:rPr>
        <w:t xml:space="preserve"> l’Annexe</w:t>
      </w:r>
      <w:r w:rsidR="00D708E0">
        <w:rPr>
          <w:rFonts w:eastAsia="Times New Roman"/>
        </w:rPr>
        <w:t> </w:t>
      </w:r>
      <w:r>
        <w:rPr>
          <w:rFonts w:eastAsia="Times New Roman"/>
        </w:rPr>
        <w:t xml:space="preserve">1 </w:t>
      </w:r>
      <w:r w:rsidR="00D708E0">
        <w:rPr>
          <w:rFonts w:eastAsia="Times New Roman"/>
        </w:rPr>
        <w:t>−</w:t>
      </w:r>
      <w:r>
        <w:rPr>
          <w:rFonts w:eastAsia="Times New Roman"/>
        </w:rPr>
        <w:t xml:space="preserve"> annexe statistique</w:t>
      </w:r>
      <w:r w:rsidR="00D708E0">
        <w:rPr>
          <w:rFonts w:eastAsia="Times New Roman"/>
        </w:rPr>
        <w:t> </w:t>
      </w:r>
      <w:r>
        <w:rPr>
          <w:rFonts w:eastAsia="Times New Roman"/>
        </w:rPr>
        <w:t>9, pour les renseignements demandés.</w:t>
      </w:r>
    </w:p>
    <w:p w14:paraId="1E8BC5AA" w14:textId="77777777" w:rsidR="007A401D" w:rsidRDefault="007A401D" w:rsidP="007A401D">
      <w:pPr>
        <w:pStyle w:val="SingleTxtG"/>
        <w:rPr>
          <w:rFonts w:eastAsia="Times New Roman"/>
        </w:rPr>
      </w:pPr>
      <w:r>
        <w:rPr>
          <w:rFonts w:eastAsia="Times New Roman"/>
        </w:rPr>
        <w:t>68.</w:t>
      </w:r>
      <w:r>
        <w:rPr>
          <w:rFonts w:eastAsia="Times New Roman"/>
        </w:rPr>
        <w:tab/>
        <w:t xml:space="preserve">L’Agence centrale pour l’accueil des demandeurs d’asile calcule la capacité des abris municipaux </w:t>
      </w:r>
      <w:r w:rsidRPr="007A401D">
        <w:t>ordinaires</w:t>
      </w:r>
      <w:r>
        <w:rPr>
          <w:rFonts w:eastAsia="Times New Roman"/>
        </w:rPr>
        <w:t>, d’urgence et temporaires. En période de faible disponibilité, le taux d’occupation peut dépasser la capacité. Un accueil adéquat comprend l’accès à un logement ou un abri, à l’eau et à l’assainissement, ainsi qu’aux soins de santé.</w:t>
      </w:r>
    </w:p>
    <w:p w14:paraId="732ACD24" w14:textId="4D3984AE" w:rsidR="007A401D" w:rsidRDefault="007A401D" w:rsidP="007A401D">
      <w:pPr>
        <w:pStyle w:val="SingleTxtG"/>
        <w:rPr>
          <w:rFonts w:eastAsia="Times New Roman"/>
        </w:rPr>
      </w:pPr>
      <w:r>
        <w:rPr>
          <w:rFonts w:eastAsia="Times New Roman"/>
        </w:rPr>
        <w:t>69.</w:t>
      </w:r>
      <w:r>
        <w:rPr>
          <w:rFonts w:eastAsia="Times New Roman"/>
        </w:rPr>
        <w:tab/>
        <w:t xml:space="preserve">Les </w:t>
      </w:r>
      <w:r w:rsidRPr="007A401D">
        <w:t>mesures</w:t>
      </w:r>
      <w:r>
        <w:rPr>
          <w:rFonts w:eastAsia="Times New Roman"/>
        </w:rPr>
        <w:t xml:space="preserve"> prises pour garantir que les centres d’accueil sont en nombre suffisant sont les suivantes</w:t>
      </w:r>
      <w:r w:rsidR="00D708E0">
        <w:rPr>
          <w:rFonts w:eastAsia="Times New Roman"/>
        </w:rPr>
        <w:t> </w:t>
      </w:r>
      <w:r>
        <w:rPr>
          <w:rFonts w:eastAsia="Times New Roman"/>
        </w:rPr>
        <w:t>:</w:t>
      </w:r>
    </w:p>
    <w:p w14:paraId="4C0CDBBC" w14:textId="77777777" w:rsidR="007A401D" w:rsidRDefault="007A401D" w:rsidP="00D708E0">
      <w:pPr>
        <w:pStyle w:val="Bullet1G"/>
      </w:pPr>
      <w:r>
        <w:t>Augmenter le nombre de lieux d’accueil, qui peuvent être de taille variable ;</w:t>
      </w:r>
    </w:p>
    <w:p w14:paraId="2456864D" w14:textId="77777777" w:rsidR="007A401D" w:rsidRDefault="007A401D" w:rsidP="00D708E0">
      <w:pPr>
        <w:pStyle w:val="Bullet1G"/>
      </w:pPr>
      <w:r>
        <w:t>Agir de concert avec les organisations de la société civile, telles que les organisations humanitaires et les églises, ainsi qu’avec les provinces, afin de mettre en place des sites d’accueil et des logements ;</w:t>
      </w:r>
    </w:p>
    <w:p w14:paraId="266B0AFF" w14:textId="6B47CDD1" w:rsidR="007A401D" w:rsidRDefault="007A401D" w:rsidP="0033721B">
      <w:pPr>
        <w:pStyle w:val="Bullet1G"/>
        <w:keepNext/>
        <w:keepLines/>
      </w:pPr>
      <w:r>
        <w:lastRenderedPageBreak/>
        <w:t>Réduire le taux d’occupation des centres d’accueil en augmentant le nombre de logements, notamment par le biais de centres de relogement temporaire et d’un hébergement temporaire dans des hôtels, et créer 375</w:t>
      </w:r>
      <w:r w:rsidR="00D708E0">
        <w:t> </w:t>
      </w:r>
      <w:r>
        <w:t>000</w:t>
      </w:r>
      <w:r w:rsidR="00D708E0">
        <w:t> </w:t>
      </w:r>
      <w:r>
        <w:t>logements temporaires pour les bénéficiaires et les Néerlandais.</w:t>
      </w:r>
    </w:p>
    <w:p w14:paraId="33347523" w14:textId="304D7A8F" w:rsidR="007A401D" w:rsidRPr="00D708E0" w:rsidRDefault="00D708E0" w:rsidP="00D708E0">
      <w:pPr>
        <w:pStyle w:val="H1G"/>
      </w:pPr>
      <w:r>
        <w:tab/>
      </w:r>
      <w:r>
        <w:tab/>
      </w:r>
      <w:r w:rsidR="007A401D" w:rsidRPr="00E70088">
        <w:t>Article</w:t>
      </w:r>
      <w:r w:rsidR="0033721B">
        <w:t> </w:t>
      </w:r>
      <w:r w:rsidR="007A401D" w:rsidRPr="00E70088">
        <w:t>12</w:t>
      </w:r>
      <w:r>
        <w:t xml:space="preserve"> </w:t>
      </w:r>
      <w:r>
        <w:br/>
      </w:r>
      <w:r w:rsidR="007A401D">
        <w:t>Droit à la santé physique et mentale</w:t>
      </w:r>
    </w:p>
    <w:p w14:paraId="7E7E925B" w14:textId="367A7A1A" w:rsidR="007A401D" w:rsidRDefault="00D708E0" w:rsidP="00D708E0">
      <w:pPr>
        <w:pStyle w:val="H23G"/>
      </w:pPr>
      <w:r>
        <w:tab/>
      </w:r>
      <w:r>
        <w:tab/>
      </w:r>
      <w:r w:rsidR="007A401D">
        <w:t>Réponse au paragraphe</w:t>
      </w:r>
      <w:r>
        <w:t> </w:t>
      </w:r>
      <w:r w:rsidR="007A401D">
        <w:t>27</w:t>
      </w:r>
      <w:r>
        <w:t> </w:t>
      </w:r>
      <w:r w:rsidR="007A401D">
        <w:t>a) de la liste de points</w:t>
      </w:r>
    </w:p>
    <w:p w14:paraId="58C1BAAC" w14:textId="77777777" w:rsidR="007A401D" w:rsidRDefault="007A401D" w:rsidP="007A401D">
      <w:pPr>
        <w:pStyle w:val="SingleTxtG"/>
        <w:rPr>
          <w:rFonts w:eastAsia="Times New Roman"/>
        </w:rPr>
      </w:pPr>
      <w:r>
        <w:rPr>
          <w:rFonts w:eastAsia="Times New Roman"/>
          <w:bCs/>
        </w:rPr>
        <w:t>70.</w:t>
      </w:r>
      <w:r>
        <w:rPr>
          <w:rFonts w:eastAsia="Times New Roman"/>
          <w:bCs/>
        </w:rPr>
        <w:tab/>
        <w:t xml:space="preserve">Pour </w:t>
      </w:r>
      <w:r w:rsidRPr="007A401D">
        <w:t>répondre</w:t>
      </w:r>
      <w:r>
        <w:rPr>
          <w:rFonts w:eastAsia="Times New Roman"/>
          <w:bCs/>
        </w:rPr>
        <w:t xml:space="preserve"> </w:t>
      </w:r>
      <w:r>
        <w:rPr>
          <w:rFonts w:eastAsia="Times New Roman"/>
        </w:rPr>
        <w:t>aux besoins croissants en matière de soins de santé d’une population vieillissante et compte tenu d’une capacité limitée, le Gouvernement néerlandais améliore la viabilité budgétaire, la qualité et l’accessibilité des soins de santé, tout en atténuant les problèmes structurels de pénurie de main-d’œuvre.</w:t>
      </w:r>
    </w:p>
    <w:p w14:paraId="1B233E04" w14:textId="77777777" w:rsidR="007A401D" w:rsidRDefault="007A401D" w:rsidP="007A401D">
      <w:pPr>
        <w:pStyle w:val="SingleTxtG"/>
        <w:rPr>
          <w:rFonts w:eastAsia="Times New Roman"/>
        </w:rPr>
      </w:pPr>
      <w:r>
        <w:rPr>
          <w:rFonts w:eastAsia="Times New Roman"/>
        </w:rPr>
        <w:t>71.</w:t>
      </w:r>
      <w:r>
        <w:rPr>
          <w:rFonts w:eastAsia="Times New Roman"/>
        </w:rPr>
        <w:tab/>
        <w:t xml:space="preserve">L’accord sur la santé et la vie active conclu avec les municipalités, les services de santé et les assureurs renforce et </w:t>
      </w:r>
      <w:r w:rsidRPr="007A401D">
        <w:t>étend</w:t>
      </w:r>
      <w:r>
        <w:rPr>
          <w:rFonts w:eastAsia="Times New Roman"/>
        </w:rPr>
        <w:t xml:space="preserve"> les interventions de santé publique, en accordant une attention particulière aux groupes de population vulnérables. Les pouvoirs publics et le secteur des soins de santé agissent conjointement pour renforcer la valeur des soins de santé en se concentrant sur les interventions les plus susceptibles de produire les résultats souhaités par les patients.</w:t>
      </w:r>
    </w:p>
    <w:p w14:paraId="320ED7A7" w14:textId="77777777" w:rsidR="007A401D" w:rsidRPr="00E70088" w:rsidRDefault="007A401D" w:rsidP="007A401D">
      <w:pPr>
        <w:pStyle w:val="SingleTxtG"/>
        <w:rPr>
          <w:rFonts w:eastAsia="Times New Roman"/>
        </w:rPr>
      </w:pPr>
      <w:r>
        <w:rPr>
          <w:rFonts w:eastAsia="Times New Roman"/>
        </w:rPr>
        <w:t>72.</w:t>
      </w:r>
      <w:r>
        <w:rPr>
          <w:rFonts w:eastAsia="Times New Roman"/>
        </w:rPr>
        <w:tab/>
        <w:t xml:space="preserve">Les autorités publiques, le secteur des soins de santé et les défenseurs des droits des patients travaillent ensemble </w:t>
      </w:r>
      <w:r w:rsidRPr="007A401D">
        <w:t>pour</w:t>
      </w:r>
      <w:r>
        <w:rPr>
          <w:rFonts w:eastAsia="Times New Roman"/>
        </w:rPr>
        <w:t xml:space="preserve"> renforcer les soins primaires en améliorant les soins en ligne et l’infrastructure de données, et en intégrant les services de santé afin de mieux servir les patients et de maîtriser les coûts. Pour pallier les pénuries de main-d’œuvre, un programme visant à préparer le marché du travail à l’avenir dans le secteur de la santé et des soins est mis en œuvre et combine diverses initiatives qui stimulent les méthodes de travail innovantes, améliorent les pratiques en matière d’emploi et encouragent le développement et la fidélisation des employés.</w:t>
      </w:r>
    </w:p>
    <w:p w14:paraId="7E73DDFB" w14:textId="73B5F73F" w:rsidR="007A401D" w:rsidRDefault="00D708E0" w:rsidP="00D708E0">
      <w:pPr>
        <w:pStyle w:val="H23G"/>
      </w:pPr>
      <w:r>
        <w:tab/>
      </w:r>
      <w:r>
        <w:tab/>
      </w:r>
      <w:r w:rsidR="007A401D">
        <w:t>Réponse au paragraphe</w:t>
      </w:r>
      <w:r>
        <w:t> </w:t>
      </w:r>
      <w:r w:rsidR="007A401D">
        <w:t>27</w:t>
      </w:r>
      <w:r>
        <w:t> </w:t>
      </w:r>
      <w:r w:rsidR="007A401D">
        <w:t>b) de la liste de points</w:t>
      </w:r>
    </w:p>
    <w:p w14:paraId="3E17EEDA" w14:textId="45812944" w:rsidR="007A401D" w:rsidRDefault="007A401D" w:rsidP="007A401D">
      <w:pPr>
        <w:pStyle w:val="SingleTxtG"/>
        <w:rPr>
          <w:rFonts w:eastAsia="Times New Roman"/>
        </w:rPr>
      </w:pPr>
      <w:r>
        <w:rPr>
          <w:rFonts w:eastAsia="Times New Roman"/>
        </w:rPr>
        <w:t>73.</w:t>
      </w:r>
      <w:r w:rsidR="009A4AB0">
        <w:rPr>
          <w:rFonts w:eastAsia="Times New Roman"/>
        </w:rPr>
        <w:tab/>
      </w:r>
      <w:r>
        <w:rPr>
          <w:rFonts w:eastAsia="Times New Roman"/>
        </w:rPr>
        <w:t xml:space="preserve">Le système de santé néerlandais fournit des soins de santé accessibles, tandis que les bureaux </w:t>
      </w:r>
      <w:r w:rsidRPr="007A401D">
        <w:t>d’administration</w:t>
      </w:r>
      <w:r>
        <w:rPr>
          <w:rFonts w:eastAsia="Times New Roman"/>
        </w:rPr>
        <w:t xml:space="preserve"> des soins et les assureurs ont un devoir de diligence et que les municipalités ont un devoir d’assistance. Le Centre d’évaluation des besoins en soins (CIZ) est une institution indépendante qui évalue les besoins des personnes. Une évaluation des besoins en soins délivrée par la CIZ est nécessaire pour obtenir l’accès aux soins de longue durée, qui peuvent comprendre des soins en institution et à domicile. L’évaluation est indépendante et fondée sur un cadre législatif national. Il existe différents profils de soins, tant pour les personnes âgées que pour les personnes handicapées. Les évaluations émises par la CIZ sont pérennes et ne sont pas soumises à révision annuelle ou semestrielle.</w:t>
      </w:r>
    </w:p>
    <w:p w14:paraId="37330706" w14:textId="697FED5B" w:rsidR="007A401D" w:rsidRDefault="00D708E0" w:rsidP="00D708E0">
      <w:pPr>
        <w:pStyle w:val="H23G"/>
      </w:pPr>
      <w:r>
        <w:tab/>
      </w:r>
      <w:r>
        <w:tab/>
      </w:r>
      <w:r w:rsidR="007A401D">
        <w:t>Réponse au paragraphe</w:t>
      </w:r>
      <w:r>
        <w:t> </w:t>
      </w:r>
      <w:r w:rsidR="007A401D">
        <w:t>27</w:t>
      </w:r>
      <w:r>
        <w:t> </w:t>
      </w:r>
      <w:r w:rsidR="007A401D">
        <w:t>c) de la liste de points</w:t>
      </w:r>
    </w:p>
    <w:p w14:paraId="3BA14540" w14:textId="77777777" w:rsidR="007A401D" w:rsidRDefault="007A401D" w:rsidP="007A401D">
      <w:pPr>
        <w:pStyle w:val="SingleTxtG"/>
        <w:rPr>
          <w:rFonts w:eastAsia="Times New Roman"/>
        </w:rPr>
      </w:pPr>
      <w:r>
        <w:rPr>
          <w:rFonts w:eastAsia="Times New Roman"/>
        </w:rPr>
        <w:t>74.</w:t>
      </w:r>
      <w:r>
        <w:rPr>
          <w:rFonts w:eastAsia="Times New Roman"/>
        </w:rPr>
        <w:tab/>
        <w:t>L’Accord national de prévention de 2018 fixe des objectifs et des moyens pour réduire les taux de tabagisme, d’obésité et d’alcoolisme.</w:t>
      </w:r>
    </w:p>
    <w:p w14:paraId="34EA7A73" w14:textId="0029E17E" w:rsidR="007A401D" w:rsidRPr="00D708E0" w:rsidRDefault="007A401D" w:rsidP="007A401D">
      <w:pPr>
        <w:pStyle w:val="SingleTxtG"/>
        <w:rPr>
          <w:rFonts w:eastAsia="Times New Roman"/>
          <w:spacing w:val="-1"/>
        </w:rPr>
      </w:pPr>
      <w:r w:rsidRPr="00D708E0">
        <w:rPr>
          <w:rFonts w:eastAsia="Times New Roman"/>
          <w:spacing w:val="-1"/>
        </w:rPr>
        <w:t>75.</w:t>
      </w:r>
      <w:r w:rsidRPr="00D708E0">
        <w:rPr>
          <w:rFonts w:eastAsia="Times New Roman"/>
          <w:spacing w:val="-1"/>
        </w:rPr>
        <w:tab/>
        <w:t>Pour créer une génération sans tabac d’ici à 2040, les accises sur le tabac ont été augmentées et les cigarettes électroniques aromatisées (vapotage) ont été récemment interdites. La vente en ligne de tabac et de cigarettes électroniques a été interdite et les ventes hors ligne ont été considérablement restreintes. Les calculs modélisés montrent que si l’Accord national de prévention contribue à réduire le tabagisme et l’obésité, les mesures n’ont eu qu’un impact minime sur la consommation problématique d’alcool. Des efforts plus importants sont nécessaires pour réaliser ces ambitions. C’est pourquoi, en 2023, un accord supplémentaire a été signé par les pouvoirs publics et le secteur des soins de santé afin de promouvoir des modes de vie sains et de réduire les inégalités en matière de santé d’ici à</w:t>
      </w:r>
      <w:r w:rsidR="00D708E0" w:rsidRPr="00D708E0">
        <w:rPr>
          <w:rFonts w:eastAsia="Times New Roman"/>
          <w:spacing w:val="-1"/>
        </w:rPr>
        <w:t> </w:t>
      </w:r>
      <w:r w:rsidRPr="00D708E0">
        <w:rPr>
          <w:rFonts w:eastAsia="Times New Roman"/>
          <w:spacing w:val="-1"/>
        </w:rPr>
        <w:t>2040.</w:t>
      </w:r>
    </w:p>
    <w:p w14:paraId="22684B38" w14:textId="118C68D7" w:rsidR="007A401D" w:rsidRDefault="007A401D" w:rsidP="007A401D">
      <w:pPr>
        <w:pStyle w:val="SingleTxtG"/>
        <w:rPr>
          <w:rFonts w:eastAsia="Times New Roman"/>
        </w:rPr>
      </w:pPr>
      <w:r>
        <w:rPr>
          <w:rFonts w:eastAsia="Times New Roman"/>
        </w:rPr>
        <w:t>76.</w:t>
      </w:r>
      <w:r>
        <w:rPr>
          <w:rFonts w:eastAsia="Times New Roman"/>
        </w:rPr>
        <w:tab/>
        <w:t xml:space="preserve">Comme dans d’autres pays, le nombre annuel de nouveaux diagnostics de cancer a augmenté de manière </w:t>
      </w:r>
      <w:r w:rsidRPr="007A401D">
        <w:t>significative</w:t>
      </w:r>
      <w:r>
        <w:rPr>
          <w:rFonts w:eastAsia="Times New Roman"/>
        </w:rPr>
        <w:t xml:space="preserve"> aux Pays-Bas. </w:t>
      </w:r>
      <w:r w:rsidRPr="00E45EA6">
        <w:rPr>
          <w:rFonts w:eastAsia="Times New Roman"/>
        </w:rPr>
        <w:t xml:space="preserve">En novembre 2023, le </w:t>
      </w:r>
      <w:r>
        <w:rPr>
          <w:rFonts w:eastAsia="Times New Roman"/>
        </w:rPr>
        <w:t>C</w:t>
      </w:r>
      <w:r w:rsidRPr="00E45EA6">
        <w:rPr>
          <w:rFonts w:eastAsia="Times New Roman"/>
        </w:rPr>
        <w:t xml:space="preserve">ollectif néerlandais contre le cancer (composé de plus </w:t>
      </w:r>
      <w:r>
        <w:rPr>
          <w:rFonts w:eastAsia="Times New Roman"/>
        </w:rPr>
        <w:t xml:space="preserve">d’une centaine </w:t>
      </w:r>
      <w:r w:rsidRPr="00E45EA6">
        <w:rPr>
          <w:rFonts w:eastAsia="Times New Roman"/>
        </w:rPr>
        <w:t>de parti</w:t>
      </w:r>
      <w:r>
        <w:rPr>
          <w:rFonts w:eastAsia="Times New Roman"/>
        </w:rPr>
        <w:t>e</w:t>
      </w:r>
      <w:r w:rsidRPr="00E45EA6">
        <w:rPr>
          <w:rFonts w:eastAsia="Times New Roman"/>
        </w:rPr>
        <w:t>s</w:t>
      </w:r>
      <w:r>
        <w:rPr>
          <w:rFonts w:eastAsia="Times New Roman"/>
        </w:rPr>
        <w:t xml:space="preserve"> prenantes</w:t>
      </w:r>
      <w:r w:rsidRPr="00E45EA6">
        <w:rPr>
          <w:rFonts w:eastAsia="Times New Roman"/>
        </w:rPr>
        <w:t xml:space="preserve">) a lancé </w:t>
      </w:r>
      <w:r>
        <w:rPr>
          <w:rFonts w:eastAsia="Times New Roman"/>
        </w:rPr>
        <w:t xml:space="preserve">le Programme </w:t>
      </w:r>
      <w:r w:rsidRPr="00E45EA6">
        <w:rPr>
          <w:rFonts w:eastAsia="Times New Roman"/>
        </w:rPr>
        <w:t xml:space="preserve">néerlandais </w:t>
      </w:r>
      <w:r>
        <w:rPr>
          <w:rFonts w:eastAsia="Times New Roman"/>
        </w:rPr>
        <w:t xml:space="preserve">de lutte </w:t>
      </w:r>
      <w:r w:rsidRPr="00E45EA6">
        <w:rPr>
          <w:rFonts w:eastAsia="Times New Roman"/>
        </w:rPr>
        <w:t>contre le cancer, qui fixe 20</w:t>
      </w:r>
      <w:r w:rsidR="00D708E0">
        <w:rPr>
          <w:rFonts w:eastAsia="Times New Roman"/>
        </w:rPr>
        <w:t> </w:t>
      </w:r>
      <w:r w:rsidRPr="00E45EA6">
        <w:rPr>
          <w:rFonts w:eastAsia="Times New Roman"/>
        </w:rPr>
        <w:t>objectifs couvrant l</w:t>
      </w:r>
      <w:r>
        <w:rPr>
          <w:rFonts w:eastAsia="Times New Roman"/>
        </w:rPr>
        <w:t>’</w:t>
      </w:r>
      <w:r w:rsidRPr="00E45EA6">
        <w:rPr>
          <w:rFonts w:eastAsia="Times New Roman"/>
        </w:rPr>
        <w:t xml:space="preserve">ensemble du parcours </w:t>
      </w:r>
      <w:r w:rsidRPr="00E45EA6">
        <w:rPr>
          <w:rFonts w:eastAsia="Times New Roman"/>
        </w:rPr>
        <w:lastRenderedPageBreak/>
        <w:t>des patients atteints d</w:t>
      </w:r>
      <w:r>
        <w:rPr>
          <w:rFonts w:eastAsia="Times New Roman"/>
        </w:rPr>
        <w:t>’</w:t>
      </w:r>
      <w:r w:rsidRPr="00E45EA6">
        <w:rPr>
          <w:rFonts w:eastAsia="Times New Roman"/>
        </w:rPr>
        <w:t>un cancer.</w:t>
      </w:r>
      <w:r>
        <w:rPr>
          <w:rFonts w:eastAsia="Times New Roman"/>
        </w:rPr>
        <w:t xml:space="preserve"> Le Gouvernement néerlandais contribue au Programme et aux objectifs qui le sous-tendent.</w:t>
      </w:r>
    </w:p>
    <w:p w14:paraId="161A7B16" w14:textId="547C3737" w:rsidR="007A401D" w:rsidRDefault="00D708E0" w:rsidP="00D708E0">
      <w:pPr>
        <w:pStyle w:val="H23G"/>
      </w:pPr>
      <w:r>
        <w:tab/>
      </w:r>
      <w:r>
        <w:tab/>
      </w:r>
      <w:r w:rsidR="007A401D">
        <w:t>Réponse au paragraphe</w:t>
      </w:r>
      <w:r>
        <w:t> </w:t>
      </w:r>
      <w:r w:rsidR="007A401D">
        <w:t>27</w:t>
      </w:r>
      <w:r>
        <w:t> </w:t>
      </w:r>
      <w:r w:rsidR="007A401D">
        <w:t>d) de la liste de points</w:t>
      </w:r>
    </w:p>
    <w:p w14:paraId="10F0C95F" w14:textId="77777777" w:rsidR="007A401D" w:rsidRDefault="007A401D" w:rsidP="007A401D">
      <w:pPr>
        <w:pStyle w:val="SingleTxtG"/>
        <w:rPr>
          <w:rFonts w:eastAsia="Times New Roman"/>
        </w:rPr>
      </w:pPr>
      <w:r>
        <w:rPr>
          <w:rFonts w:eastAsia="Times New Roman"/>
          <w:bCs/>
        </w:rPr>
        <w:t>77.</w:t>
      </w:r>
      <w:r>
        <w:rPr>
          <w:rFonts w:eastAsia="Times New Roman"/>
          <w:bCs/>
        </w:rPr>
        <w:tab/>
      </w:r>
      <w:r>
        <w:rPr>
          <w:rFonts w:eastAsia="Times New Roman"/>
        </w:rPr>
        <w:t xml:space="preserve">Le Gouvernement néerlandais élabore actuellement une ligne directrice sur les personnes présentant des </w:t>
      </w:r>
      <w:r w:rsidRPr="007A401D">
        <w:t>différences</w:t>
      </w:r>
      <w:r>
        <w:rPr>
          <w:rFonts w:eastAsia="Times New Roman"/>
        </w:rPr>
        <w:t xml:space="preserve"> de développement sexuel et les personnes intersexes et mène une étude avec les parties prenantes et les professionnels de la santé afin de déterminer comment éviter les traitements médicaux ou chirurgicaux inutiles. Ils examinent également les avantages et les inconvénients d’une interdiction légale des traitements médicaux et chirurgicaux inutiles. L’élaboration de la ligne directrice et l’étude devraient être achevées au deuxième trimestre de 2024.</w:t>
      </w:r>
    </w:p>
    <w:p w14:paraId="7BE29FD6" w14:textId="61F56CC7" w:rsidR="007A401D" w:rsidRDefault="00D708E0" w:rsidP="00D708E0">
      <w:pPr>
        <w:pStyle w:val="H1G"/>
      </w:pPr>
      <w:r>
        <w:tab/>
      </w:r>
      <w:r>
        <w:tab/>
      </w:r>
      <w:r w:rsidR="007A401D">
        <w:t>Articles</w:t>
      </w:r>
      <w:r w:rsidR="009A4AB0">
        <w:t> </w:t>
      </w:r>
      <w:r w:rsidR="007A401D">
        <w:t>13 et 14</w:t>
      </w:r>
      <w:r>
        <w:t xml:space="preserve"> </w:t>
      </w:r>
      <w:r>
        <w:br/>
      </w:r>
      <w:r w:rsidR="007A401D">
        <w:t>Droit à l’éducation</w:t>
      </w:r>
    </w:p>
    <w:p w14:paraId="401ADCBD" w14:textId="79F803ED" w:rsidR="007A401D" w:rsidRDefault="00D708E0" w:rsidP="00D708E0">
      <w:pPr>
        <w:pStyle w:val="H23G"/>
      </w:pPr>
      <w:r>
        <w:tab/>
      </w:r>
      <w:r>
        <w:tab/>
      </w:r>
      <w:r w:rsidR="007A401D">
        <w:t>Réponse au paragraphe</w:t>
      </w:r>
      <w:r>
        <w:t> </w:t>
      </w:r>
      <w:r w:rsidR="007A401D">
        <w:t>28 de la liste de points</w:t>
      </w:r>
    </w:p>
    <w:p w14:paraId="61931A98" w14:textId="77777777" w:rsidR="007A401D" w:rsidRDefault="007A401D" w:rsidP="007A401D">
      <w:pPr>
        <w:pStyle w:val="SingleTxtG"/>
        <w:rPr>
          <w:rFonts w:eastAsia="Times New Roman"/>
        </w:rPr>
      </w:pPr>
      <w:r>
        <w:rPr>
          <w:rFonts w:eastAsia="Times New Roman"/>
          <w:bCs/>
        </w:rPr>
        <w:t>78.</w:t>
      </w:r>
      <w:r>
        <w:rPr>
          <w:rFonts w:eastAsia="Times New Roman"/>
          <w:bCs/>
        </w:rPr>
        <w:tab/>
      </w:r>
      <w:r>
        <w:rPr>
          <w:rFonts w:eastAsia="Times New Roman"/>
        </w:rPr>
        <w:t>L’Inspection de l’éducation évalue chaque établissement scolaire du pays une fois par an.</w:t>
      </w:r>
      <w:r w:rsidRPr="00076480">
        <w:rPr>
          <w:rFonts w:eastAsia="Times New Roman"/>
        </w:rPr>
        <w:t xml:space="preserve"> </w:t>
      </w:r>
      <w:r>
        <w:rPr>
          <w:rFonts w:eastAsia="Times New Roman"/>
        </w:rPr>
        <w:t xml:space="preserve">Sur la base de cette analyse annuelle des résultats et d’éventuelles enquêtes complémentaires, l’Inspection détermine si une </w:t>
      </w:r>
      <w:r w:rsidRPr="007A401D">
        <w:t>supervision</w:t>
      </w:r>
      <w:r>
        <w:rPr>
          <w:rFonts w:eastAsia="Times New Roman"/>
        </w:rPr>
        <w:t xml:space="preserve"> supplémentaire est nécessaire. </w:t>
      </w:r>
      <w:r w:rsidRPr="00076480">
        <w:rPr>
          <w:rFonts w:eastAsia="Times New Roman"/>
          <w:i/>
        </w:rPr>
        <w:t>Peil.onderwijs</w:t>
      </w:r>
      <w:r>
        <w:rPr>
          <w:rFonts w:eastAsia="Times New Roman"/>
        </w:rPr>
        <w:t xml:space="preserve"> désigne l’ensemble des enquêtes périodiques menées dans l’enseignement primaire et secondaire, qui alimentent un large dialogue sur la qualité de l’éducation dans une série de domaines.</w:t>
      </w:r>
    </w:p>
    <w:p w14:paraId="6370348D" w14:textId="7FCC0D09" w:rsidR="007A401D" w:rsidRDefault="007A401D" w:rsidP="007A401D">
      <w:pPr>
        <w:pStyle w:val="SingleTxtG"/>
        <w:rPr>
          <w:rFonts w:eastAsia="Times New Roman"/>
        </w:rPr>
      </w:pPr>
      <w:r>
        <w:rPr>
          <w:rFonts w:eastAsia="Times New Roman"/>
        </w:rPr>
        <w:t>79.</w:t>
      </w:r>
      <w:r>
        <w:rPr>
          <w:rFonts w:eastAsia="Times New Roman"/>
        </w:rPr>
        <w:tab/>
        <w:t>Les Pays-Bas font face à une pénurie de personnel dans le secteur de l’éducation. Le</w:t>
      </w:r>
      <w:r w:rsidR="00D708E0">
        <w:rPr>
          <w:rFonts w:eastAsia="Times New Roman"/>
        </w:rPr>
        <w:t> </w:t>
      </w:r>
      <w:r>
        <w:rPr>
          <w:rFonts w:eastAsia="Times New Roman"/>
        </w:rPr>
        <w:t xml:space="preserve">Gouvernement </w:t>
      </w:r>
      <w:r w:rsidRPr="007A401D">
        <w:t>consacre</w:t>
      </w:r>
      <w:r>
        <w:rPr>
          <w:rFonts w:eastAsia="Times New Roman"/>
        </w:rPr>
        <w:t xml:space="preserve"> 1,5</w:t>
      </w:r>
      <w:r w:rsidR="00D708E0">
        <w:rPr>
          <w:rFonts w:eastAsia="Times New Roman"/>
        </w:rPr>
        <w:t> </w:t>
      </w:r>
      <w:r>
        <w:rPr>
          <w:rFonts w:eastAsia="Times New Roman"/>
        </w:rPr>
        <w:t xml:space="preserve">milliard d’euros supplémentaires à des mesures structurelles afin d’augmenter les salaires dans l’enseignement primaire, de réduire la pression liée au travail et d’accorder plus de temps au développement individuel. Pour atteindre ces objectifs, le Gouvernement et le secteur ont conclu des accords dans le cadre d’un plan de travail visant à améliorer l’éducation, intitulé </w:t>
      </w:r>
      <w:r w:rsidRPr="009A4AB0">
        <w:rPr>
          <w:rFonts w:eastAsia="Times New Roman"/>
          <w:i/>
          <w:iCs/>
        </w:rPr>
        <w:t>Samen voor het beste onderwijs</w:t>
      </w:r>
      <w:r>
        <w:rPr>
          <w:rFonts w:eastAsia="Times New Roman"/>
        </w:rPr>
        <w:t xml:space="preserve"> («</w:t>
      </w:r>
      <w:r w:rsidR="00D708E0">
        <w:rPr>
          <w:rFonts w:eastAsia="Times New Roman"/>
        </w:rPr>
        <w:t> </w:t>
      </w:r>
      <w:r>
        <w:rPr>
          <w:rFonts w:eastAsia="Times New Roman"/>
        </w:rPr>
        <w:t>Ensemble pour la meilleure éducation</w:t>
      </w:r>
      <w:r w:rsidR="00D708E0">
        <w:rPr>
          <w:rFonts w:eastAsia="Times New Roman"/>
        </w:rPr>
        <w:t> </w:t>
      </w:r>
      <w:r>
        <w:rPr>
          <w:rFonts w:eastAsia="Times New Roman"/>
        </w:rPr>
        <w:t>»).</w:t>
      </w:r>
    </w:p>
    <w:p w14:paraId="629CDE50" w14:textId="4259F6DC" w:rsidR="007A401D" w:rsidRDefault="00D708E0" w:rsidP="00D708E0">
      <w:pPr>
        <w:pStyle w:val="H23G"/>
      </w:pPr>
      <w:r>
        <w:tab/>
      </w:r>
      <w:r>
        <w:tab/>
      </w:r>
      <w:r w:rsidR="007A401D">
        <w:t>Réponse au paragraphe</w:t>
      </w:r>
      <w:r>
        <w:t> </w:t>
      </w:r>
      <w:r w:rsidR="007A401D">
        <w:t>29 de la liste de points</w:t>
      </w:r>
    </w:p>
    <w:p w14:paraId="37097BC7" w14:textId="77777777" w:rsidR="007A401D" w:rsidRDefault="007A401D" w:rsidP="007A401D">
      <w:pPr>
        <w:pStyle w:val="SingleTxtG"/>
        <w:rPr>
          <w:rFonts w:eastAsia="Times New Roman"/>
        </w:rPr>
      </w:pPr>
      <w:r>
        <w:rPr>
          <w:rFonts w:eastAsia="Times New Roman"/>
          <w:bCs/>
        </w:rPr>
        <w:t>80.</w:t>
      </w:r>
      <w:r>
        <w:rPr>
          <w:rFonts w:eastAsia="Times New Roman"/>
          <w:bCs/>
        </w:rPr>
        <w:tab/>
      </w:r>
      <w:r>
        <w:rPr>
          <w:rFonts w:eastAsia="Times New Roman"/>
        </w:rPr>
        <w:t>En 2022, les Pays-Bas ont commencé à réviser les objectifs pédagogiques, qui sont les exigences minimales statutaires auxquelles les établissements doivent satisfaire dans les domaines du programme scolaire. C</w:t>
      </w:r>
      <w:r w:rsidRPr="00C05BE3">
        <w:rPr>
          <w:rFonts w:eastAsia="Times New Roman"/>
        </w:rPr>
        <w:t>es objectifs indiquent ce que les enfants devraient apprendre et savoir à terme.</w:t>
      </w:r>
      <w:r>
        <w:rPr>
          <w:rFonts w:eastAsia="Times New Roman"/>
        </w:rPr>
        <w:t xml:space="preserve"> Ils ne prescrivent pas la matière spécifique à enseigner, ni n’imposent une théorie éducative ou une méthode d’enseignement spécifique. L’Inspection veille au respect de ces exigences.</w:t>
      </w:r>
    </w:p>
    <w:p w14:paraId="01DE5D89" w14:textId="77777777" w:rsidR="007A401D" w:rsidRDefault="007A401D" w:rsidP="007A401D">
      <w:pPr>
        <w:pStyle w:val="SingleTxtG"/>
        <w:rPr>
          <w:rFonts w:eastAsia="Times New Roman"/>
        </w:rPr>
      </w:pPr>
      <w:r>
        <w:rPr>
          <w:rFonts w:eastAsia="Times New Roman"/>
        </w:rPr>
        <w:t>81.</w:t>
      </w:r>
      <w:r>
        <w:rPr>
          <w:rFonts w:eastAsia="Times New Roman"/>
        </w:rPr>
        <w:tab/>
        <w:t xml:space="preserve">Dans chaque domaine d’études, les objectifs pédagogiques sont définis par une équipe composée </w:t>
      </w:r>
      <w:r w:rsidRPr="007A401D">
        <w:t>d’enseignants</w:t>
      </w:r>
      <w:r>
        <w:rPr>
          <w:rFonts w:eastAsia="Times New Roman"/>
        </w:rPr>
        <w:t>, d’experts en la matière, d’experts des programmes scolaires et d’un gestionnaire de processus indépendant.</w:t>
      </w:r>
      <w:r w:rsidRPr="00DE61B7">
        <w:rPr>
          <w:rFonts w:eastAsia="Times New Roman"/>
        </w:rPr>
        <w:t xml:space="preserve"> </w:t>
      </w:r>
      <w:r>
        <w:rPr>
          <w:rFonts w:eastAsia="Times New Roman"/>
        </w:rPr>
        <w:t>Pendant un à deux ans, ils travaillent à l’élaboration de nouveaux objectifs provisoires. Tout au long du processus, ils reçoivent les conseils d’un réseau consultatif comprenant des représentants syndicaux et des organisations de la société civile, ainsi que d’un groupe de consultation sur la faisabilité pour les élèves ayant des besoins éducatifs spécifiques. Cette approche garantit que les objectifs pédagogiques provisoires seront largement soutenus.</w:t>
      </w:r>
    </w:p>
    <w:p w14:paraId="4AB6F4E2" w14:textId="77777777" w:rsidR="007A401D" w:rsidRDefault="007A401D" w:rsidP="007A401D">
      <w:pPr>
        <w:pStyle w:val="SingleTxtG"/>
        <w:rPr>
          <w:rFonts w:eastAsia="Times New Roman"/>
        </w:rPr>
      </w:pPr>
      <w:r>
        <w:rPr>
          <w:rFonts w:eastAsia="Times New Roman"/>
        </w:rPr>
        <w:t>82.</w:t>
      </w:r>
      <w:r>
        <w:rPr>
          <w:rFonts w:eastAsia="Times New Roman"/>
        </w:rPr>
        <w:tab/>
      </w:r>
      <w:r w:rsidRPr="007A401D">
        <w:t>Les</w:t>
      </w:r>
      <w:r>
        <w:rPr>
          <w:rFonts w:eastAsia="Times New Roman"/>
        </w:rPr>
        <w:t xml:space="preserve"> syndicats ont obtenu une subvention pour leur permettre de jouer un rôle actif dans le recrutement et la sélection des membres de l’équipe et des réseaux consultatifs.</w:t>
      </w:r>
    </w:p>
    <w:p w14:paraId="67DD7112" w14:textId="7E0F55D1" w:rsidR="007A401D" w:rsidRDefault="007A401D" w:rsidP="007A401D">
      <w:pPr>
        <w:pStyle w:val="SingleTxtG"/>
        <w:rPr>
          <w:rFonts w:eastAsia="Times New Roman"/>
        </w:rPr>
      </w:pPr>
      <w:r>
        <w:rPr>
          <w:rFonts w:eastAsia="Times New Roman"/>
        </w:rPr>
        <w:t>83.</w:t>
      </w:r>
      <w:r>
        <w:rPr>
          <w:rFonts w:eastAsia="Times New Roman"/>
        </w:rPr>
        <w:tab/>
        <w:t>Dans le système éducatif néerlandais, l’éducation aux droits de l’homme, y</w:t>
      </w:r>
      <w:r w:rsidR="00D708E0">
        <w:rPr>
          <w:rFonts w:eastAsia="Times New Roman"/>
        </w:rPr>
        <w:t> </w:t>
      </w:r>
      <w:r>
        <w:rPr>
          <w:rFonts w:eastAsia="Times New Roman"/>
        </w:rPr>
        <w:t xml:space="preserve">compris les droits </w:t>
      </w:r>
      <w:r w:rsidRPr="007A401D">
        <w:t>économiques</w:t>
      </w:r>
      <w:r>
        <w:rPr>
          <w:rFonts w:eastAsia="Times New Roman"/>
        </w:rPr>
        <w:t>, sociaux et culturels, relève de la «</w:t>
      </w:r>
      <w:r w:rsidR="00D708E0">
        <w:rPr>
          <w:rFonts w:eastAsia="Times New Roman"/>
        </w:rPr>
        <w:t> </w:t>
      </w:r>
      <w:r>
        <w:rPr>
          <w:rFonts w:eastAsia="Times New Roman"/>
        </w:rPr>
        <w:t>citoyenneté</w:t>
      </w:r>
      <w:r w:rsidR="00D708E0">
        <w:rPr>
          <w:rFonts w:eastAsia="Times New Roman"/>
        </w:rPr>
        <w:t> </w:t>
      </w:r>
      <w:r>
        <w:rPr>
          <w:rFonts w:eastAsia="Times New Roman"/>
        </w:rPr>
        <w:t>». Les objectifs pédagogiques provisoires en matière de citoyenneté sont en cours d’élaboration, l’accent étant mis sur les droits de l’homme. Conformément à la liberté d’enseignement, les établissements scolaires disposent d’une grande latitude pour déterminer comment organiser leur éducation à la citoyenneté.</w:t>
      </w:r>
    </w:p>
    <w:p w14:paraId="1A54C790" w14:textId="3B551A15" w:rsidR="007A401D" w:rsidRDefault="00D708E0" w:rsidP="00D708E0">
      <w:pPr>
        <w:pStyle w:val="H1G"/>
      </w:pPr>
      <w:r>
        <w:lastRenderedPageBreak/>
        <w:tab/>
      </w:r>
      <w:r>
        <w:tab/>
      </w:r>
      <w:r w:rsidR="007A401D">
        <w:t>Article 15</w:t>
      </w:r>
      <w:r>
        <w:t xml:space="preserve"> </w:t>
      </w:r>
      <w:r>
        <w:br/>
      </w:r>
      <w:r w:rsidR="007A401D">
        <w:t>Droits culturels</w:t>
      </w:r>
    </w:p>
    <w:p w14:paraId="4178A4EC" w14:textId="02612212" w:rsidR="007A401D" w:rsidRDefault="00D708E0" w:rsidP="00D708E0">
      <w:pPr>
        <w:pStyle w:val="H23G"/>
      </w:pPr>
      <w:r>
        <w:tab/>
      </w:r>
      <w:r>
        <w:tab/>
      </w:r>
      <w:r w:rsidR="007A401D">
        <w:t>Réponse au paragraphe</w:t>
      </w:r>
      <w:r>
        <w:t> </w:t>
      </w:r>
      <w:r w:rsidR="007A401D">
        <w:t>31 de la liste de points</w:t>
      </w:r>
    </w:p>
    <w:p w14:paraId="4C5BC1C2" w14:textId="6121752A" w:rsidR="007A401D" w:rsidRDefault="007A401D" w:rsidP="007A401D">
      <w:pPr>
        <w:pStyle w:val="SingleTxtG"/>
        <w:rPr>
          <w:rFonts w:eastAsia="Times New Roman"/>
        </w:rPr>
      </w:pPr>
      <w:r>
        <w:rPr>
          <w:rFonts w:eastAsia="Times New Roman"/>
          <w:bCs/>
        </w:rPr>
        <w:t>84.</w:t>
      </w:r>
      <w:r w:rsidR="00D70FE4">
        <w:rPr>
          <w:rFonts w:eastAsia="Times New Roman"/>
        </w:rPr>
        <w:tab/>
      </w:r>
      <w:r>
        <w:rPr>
          <w:rFonts w:eastAsia="Times New Roman"/>
        </w:rPr>
        <w:t xml:space="preserve">La loi </w:t>
      </w:r>
      <w:r w:rsidRPr="007A401D">
        <w:t>sur</w:t>
      </w:r>
      <w:r>
        <w:rPr>
          <w:rFonts w:eastAsia="Times New Roman"/>
        </w:rPr>
        <w:t xml:space="preserve"> l’utilisation du frison (</w:t>
      </w:r>
      <w:r w:rsidRPr="00877B61">
        <w:rPr>
          <w:rFonts w:eastAsia="Times New Roman"/>
          <w:i/>
        </w:rPr>
        <w:t>Wet gebruik Friese taal</w:t>
      </w:r>
      <w:r>
        <w:rPr>
          <w:rFonts w:eastAsia="Times New Roman"/>
        </w:rPr>
        <w:t xml:space="preserve">) spécifie que le </w:t>
      </w:r>
      <w:r w:rsidR="00D70FE4">
        <w:rPr>
          <w:rFonts w:eastAsia="Times New Roman"/>
        </w:rPr>
        <w:t>g</w:t>
      </w:r>
      <w:r>
        <w:rPr>
          <w:rFonts w:eastAsia="Times New Roman"/>
        </w:rPr>
        <w:t>ouvernement central et la province de Fryslân partagent une responsabilité et un devoir de vigilance à l’égard de la langue et de la culture frisonnes. Les détails et les priorités de cette responsabilité partagée sont définis dans des accords administratifs périodiques. Ils</w:t>
      </w:r>
      <w:r w:rsidR="00D70FE4">
        <w:rPr>
          <w:rFonts w:eastAsia="Times New Roman"/>
        </w:rPr>
        <w:t> </w:t>
      </w:r>
      <w:r>
        <w:rPr>
          <w:rFonts w:eastAsia="Times New Roman"/>
        </w:rPr>
        <w:t>concernent notamment la visibilité du frison, la numérisation du frison et la place du frison dans l’éducation et la</w:t>
      </w:r>
      <w:r w:rsidR="00D70FE4">
        <w:rPr>
          <w:rFonts w:eastAsia="Times New Roman"/>
        </w:rPr>
        <w:t xml:space="preserve"> </w:t>
      </w:r>
      <w:r>
        <w:rPr>
          <w:rFonts w:eastAsia="Times New Roman"/>
        </w:rPr>
        <w:t>recherche.</w:t>
      </w:r>
    </w:p>
    <w:p w14:paraId="77250903" w14:textId="0AD27721" w:rsidR="007A401D" w:rsidRDefault="007A401D" w:rsidP="007A401D">
      <w:pPr>
        <w:pStyle w:val="SingleTxtG"/>
        <w:rPr>
          <w:rFonts w:eastAsia="Times New Roman"/>
          <w:bCs/>
        </w:rPr>
      </w:pPr>
      <w:r>
        <w:rPr>
          <w:rFonts w:eastAsia="Times New Roman"/>
        </w:rPr>
        <w:t>85.</w:t>
      </w:r>
      <w:r>
        <w:rPr>
          <w:rFonts w:eastAsia="Times New Roman"/>
        </w:rPr>
        <w:tab/>
        <w:t xml:space="preserve">Dans le cadre de l’accord administratif le plus récent, le </w:t>
      </w:r>
      <w:r w:rsidR="00D70FE4">
        <w:rPr>
          <w:rFonts w:eastAsia="Times New Roman"/>
        </w:rPr>
        <w:t>g</w:t>
      </w:r>
      <w:r>
        <w:rPr>
          <w:rFonts w:eastAsia="Times New Roman"/>
        </w:rPr>
        <w:t>ouvernement central a débloqué 18</w:t>
      </w:r>
      <w:r w:rsidR="00D708E0">
        <w:rPr>
          <w:rFonts w:eastAsia="Times New Roman"/>
        </w:rPr>
        <w:t> </w:t>
      </w:r>
      <w:r>
        <w:rPr>
          <w:rFonts w:eastAsia="Times New Roman"/>
        </w:rPr>
        <w:t xml:space="preserve">millions d’euros </w:t>
      </w:r>
      <w:r w:rsidRPr="007A401D">
        <w:t>pour</w:t>
      </w:r>
      <w:r>
        <w:rPr>
          <w:rFonts w:eastAsia="Times New Roman"/>
        </w:rPr>
        <w:t xml:space="preserve"> la protection et la promotion de la langue et de la culture frisonnes.</w:t>
      </w:r>
      <w:r w:rsidRPr="00877B61">
        <w:rPr>
          <w:rFonts w:eastAsia="Times New Roman"/>
        </w:rPr>
        <w:t xml:space="preserve"> </w:t>
      </w:r>
      <w:r>
        <w:rPr>
          <w:rFonts w:eastAsia="Times New Roman"/>
        </w:rPr>
        <w:t>Les ressources ci-après sont spécifiquement affectées à l’éducation :</w:t>
      </w:r>
    </w:p>
    <w:p w14:paraId="62D7BA9D" w14:textId="2E251167" w:rsidR="007A401D" w:rsidRDefault="007A401D" w:rsidP="00D708E0">
      <w:pPr>
        <w:pStyle w:val="Bullet1G"/>
        <w:rPr>
          <w:bCs/>
        </w:rPr>
      </w:pPr>
      <w:r w:rsidRPr="00ED48BE">
        <w:t>1,4</w:t>
      </w:r>
      <w:r w:rsidR="00D708E0">
        <w:t> </w:t>
      </w:r>
      <w:r w:rsidRPr="00ED48BE">
        <w:t>million d</w:t>
      </w:r>
      <w:r>
        <w:t>’</w:t>
      </w:r>
      <w:r w:rsidRPr="00ED48BE">
        <w:t>euros par an pour optimiser l</w:t>
      </w:r>
      <w:r>
        <w:t>’</w:t>
      </w:r>
      <w:r w:rsidRPr="00ED48BE">
        <w:t>enseignement du frison, une attention particulière étant accordée au soutien des professeurs de frison dans l</w:t>
      </w:r>
      <w:r>
        <w:t>’</w:t>
      </w:r>
      <w:r w:rsidRPr="00ED48BE">
        <w:t>enseignement primaire et secondaire ;</w:t>
      </w:r>
    </w:p>
    <w:p w14:paraId="091F0310" w14:textId="371D7E0D" w:rsidR="007A401D" w:rsidRDefault="007A401D" w:rsidP="00D708E0">
      <w:pPr>
        <w:pStyle w:val="Bullet1G"/>
        <w:rPr>
          <w:bCs/>
        </w:rPr>
      </w:pPr>
      <w:r w:rsidRPr="009F111D">
        <w:t>500</w:t>
      </w:r>
      <w:r w:rsidR="00D70FE4">
        <w:t> </w:t>
      </w:r>
      <w:r w:rsidRPr="009F111D">
        <w:t>000</w:t>
      </w:r>
      <w:r w:rsidR="00D708E0">
        <w:t> </w:t>
      </w:r>
      <w:r w:rsidRPr="009F111D">
        <w:t>euros par an pendant cinq ans pour un groupe de recherche pratique sur la langue frisonne au niveau de l</w:t>
      </w:r>
      <w:r>
        <w:t>’</w:t>
      </w:r>
      <w:r w:rsidRPr="009F111D">
        <w:t>enseignement secondaire professionnel ;</w:t>
      </w:r>
    </w:p>
    <w:p w14:paraId="05C5311E" w14:textId="77777777" w:rsidR="007A401D" w:rsidRDefault="007A401D" w:rsidP="00D708E0">
      <w:pPr>
        <w:pStyle w:val="Bullet1G"/>
        <w:rPr>
          <w:bCs/>
        </w:rPr>
      </w:pPr>
      <w:r w:rsidRPr="009F111D">
        <w:t>Ressources financières pour un programme de licence universitaire en langue et culture frisonnes ;</w:t>
      </w:r>
    </w:p>
    <w:p w14:paraId="78F9F721" w14:textId="1D316244" w:rsidR="007A401D" w:rsidRPr="009F111D" w:rsidRDefault="007A401D" w:rsidP="00D708E0">
      <w:pPr>
        <w:pStyle w:val="Bullet1G"/>
        <w:rPr>
          <w:bCs/>
        </w:rPr>
      </w:pPr>
      <w:r w:rsidRPr="009F111D">
        <w:t>250</w:t>
      </w:r>
      <w:r w:rsidR="00D708E0">
        <w:t> </w:t>
      </w:r>
      <w:r w:rsidRPr="009F111D">
        <w:t>000</w:t>
      </w:r>
      <w:r w:rsidR="00D708E0">
        <w:t> </w:t>
      </w:r>
      <w:r w:rsidRPr="009F111D">
        <w:t xml:space="preserve">euros pour une </w:t>
      </w:r>
      <w:r>
        <w:t xml:space="preserve">option </w:t>
      </w:r>
      <w:r w:rsidRPr="009F111D">
        <w:t>en journalisme frison.</w:t>
      </w:r>
    </w:p>
    <w:p w14:paraId="288AA5C6" w14:textId="7B6FCDA8" w:rsidR="007A401D" w:rsidRDefault="00D708E0" w:rsidP="00D708E0">
      <w:pPr>
        <w:pStyle w:val="H23G"/>
      </w:pPr>
      <w:r>
        <w:tab/>
      </w:r>
      <w:r>
        <w:tab/>
      </w:r>
      <w:r w:rsidR="007A401D">
        <w:t>Réponse au paragraphe</w:t>
      </w:r>
      <w:r>
        <w:t> </w:t>
      </w:r>
      <w:r w:rsidR="007A401D">
        <w:t>32 de la liste de points</w:t>
      </w:r>
    </w:p>
    <w:p w14:paraId="6A066F46" w14:textId="77777777" w:rsidR="007A401D" w:rsidRDefault="007A401D" w:rsidP="007A401D">
      <w:pPr>
        <w:pStyle w:val="SingleTxtG"/>
        <w:rPr>
          <w:rFonts w:eastAsia="Times New Roman"/>
        </w:rPr>
      </w:pPr>
      <w:r>
        <w:rPr>
          <w:rFonts w:eastAsia="Times New Roman"/>
        </w:rPr>
        <w:t>86.</w:t>
      </w:r>
      <w:r>
        <w:rPr>
          <w:rFonts w:eastAsia="Times New Roman"/>
        </w:rPr>
        <w:tab/>
        <w:t xml:space="preserve">Des concertations avec les communautés rom et sinti seront organisées pour discuter de la </w:t>
      </w:r>
      <w:r w:rsidRPr="007A401D">
        <w:t>reconnaissance</w:t>
      </w:r>
      <w:r>
        <w:rPr>
          <w:rFonts w:eastAsia="Times New Roman"/>
        </w:rPr>
        <w:t xml:space="preserve"> de ces communautés en tant que minorités nationales.</w:t>
      </w:r>
      <w:r w:rsidRPr="00A46024">
        <w:rPr>
          <w:rFonts w:eastAsia="Times New Roman"/>
        </w:rPr>
        <w:t xml:space="preserve"> </w:t>
      </w:r>
      <w:r>
        <w:rPr>
          <w:rFonts w:eastAsia="Times New Roman"/>
        </w:rPr>
        <w:t>Le Parlement sera informé de ces concertations et de la Convention-cadre pour la protection des minorités nationales. Par la suite, il sera invité à décider si ces communautés doivent être reconnues au titre de la Convention-cadre.</w:t>
      </w:r>
    </w:p>
    <w:p w14:paraId="13E7C22D" w14:textId="1FC4BF9F" w:rsidR="007A401D" w:rsidRDefault="00D708E0" w:rsidP="00D708E0">
      <w:pPr>
        <w:pStyle w:val="HChG"/>
      </w:pPr>
      <w:r>
        <w:tab/>
      </w:r>
      <w:r w:rsidR="007A401D">
        <w:t>II.</w:t>
      </w:r>
      <w:r w:rsidR="007A401D">
        <w:tab/>
        <w:t>Aruba</w:t>
      </w:r>
    </w:p>
    <w:p w14:paraId="3D10E17C" w14:textId="17B9F0F9" w:rsidR="007A401D" w:rsidRDefault="00D708E0" w:rsidP="00D708E0">
      <w:pPr>
        <w:pStyle w:val="H1G"/>
      </w:pPr>
      <w:r>
        <w:tab/>
      </w:r>
      <w:r>
        <w:tab/>
      </w:r>
      <w:r w:rsidR="007A401D">
        <w:t>Renseignements d’ordre général</w:t>
      </w:r>
    </w:p>
    <w:p w14:paraId="4BA7212C" w14:textId="750ECE35" w:rsidR="007A401D" w:rsidRDefault="00D708E0" w:rsidP="00D708E0">
      <w:pPr>
        <w:pStyle w:val="H23G"/>
      </w:pPr>
      <w:r>
        <w:tab/>
      </w:r>
      <w:r>
        <w:tab/>
      </w:r>
      <w:r w:rsidR="007A401D">
        <w:t>Réponse au paragraphe</w:t>
      </w:r>
      <w:r>
        <w:t> </w:t>
      </w:r>
      <w:r w:rsidR="007A401D">
        <w:t>4 de la liste de points</w:t>
      </w:r>
    </w:p>
    <w:p w14:paraId="65B067A1" w14:textId="77777777" w:rsidR="007A401D" w:rsidRDefault="007A401D" w:rsidP="007A401D">
      <w:pPr>
        <w:pStyle w:val="SingleTxtG"/>
        <w:rPr>
          <w:rFonts w:eastAsia="Times New Roman"/>
        </w:rPr>
      </w:pPr>
      <w:r w:rsidRPr="00A46024">
        <w:rPr>
          <w:rFonts w:eastAsia="Times New Roman"/>
          <w:bCs/>
        </w:rPr>
        <w:t>87.</w:t>
      </w:r>
      <w:r w:rsidRPr="00A46024">
        <w:rPr>
          <w:rFonts w:eastAsia="Times New Roman"/>
          <w:bCs/>
        </w:rPr>
        <w:tab/>
      </w:r>
      <w:r>
        <w:rPr>
          <w:rFonts w:eastAsia="Times New Roman"/>
          <w:bCs/>
        </w:rPr>
        <w:t>I</w:t>
      </w:r>
      <w:r>
        <w:rPr>
          <w:rFonts w:eastAsia="Times New Roman"/>
        </w:rPr>
        <w:t>l est prévu d’adopter un plan d’action national pour Aruba. L’élaboration de ce plan est en cours. Un sous-</w:t>
      </w:r>
      <w:r w:rsidRPr="007A401D">
        <w:t>comité</w:t>
      </w:r>
      <w:r>
        <w:rPr>
          <w:rFonts w:eastAsia="Times New Roman"/>
        </w:rPr>
        <w:t>, composé de membres du comité intergouvernemental des droits de l’homme, qui fait également rapport en ce qui concerne Aruba dans le cadre des conventions sur les droits de l’homme, a été créé pour accomplir cette tâche. Le Bureau des relations extérieures coordonnera ces efforts et a fait de ce plan une priorité.</w:t>
      </w:r>
    </w:p>
    <w:p w14:paraId="3B8472BD" w14:textId="52C93E8B" w:rsidR="007A401D" w:rsidRDefault="00D708E0" w:rsidP="00D708E0">
      <w:pPr>
        <w:pStyle w:val="H23G"/>
      </w:pPr>
      <w:r>
        <w:tab/>
      </w:r>
      <w:r>
        <w:tab/>
      </w:r>
      <w:r w:rsidR="007A401D">
        <w:t>Réponse au paragraphe</w:t>
      </w:r>
      <w:r>
        <w:t> </w:t>
      </w:r>
      <w:r w:rsidR="007A401D">
        <w:t>5 de la liste de points</w:t>
      </w:r>
    </w:p>
    <w:p w14:paraId="6332A209" w14:textId="313781A1" w:rsidR="007A401D" w:rsidRDefault="007A401D" w:rsidP="007A401D">
      <w:pPr>
        <w:pStyle w:val="SingleTxtG"/>
        <w:rPr>
          <w:rFonts w:eastAsia="Times New Roman"/>
        </w:rPr>
      </w:pPr>
      <w:r>
        <w:rPr>
          <w:rFonts w:eastAsia="Times New Roman"/>
          <w:bCs/>
        </w:rPr>
        <w:t>88.</w:t>
      </w:r>
      <w:r>
        <w:rPr>
          <w:rFonts w:eastAsia="Times New Roman"/>
          <w:bCs/>
        </w:rPr>
        <w:tab/>
      </w:r>
      <w:r>
        <w:rPr>
          <w:rFonts w:eastAsia="Times New Roman"/>
        </w:rPr>
        <w:t xml:space="preserve">La </w:t>
      </w:r>
      <w:r w:rsidRPr="007A401D">
        <w:t>procédure</w:t>
      </w:r>
      <w:r>
        <w:rPr>
          <w:rFonts w:eastAsia="Times New Roman"/>
        </w:rPr>
        <w:t xml:space="preserve"> de recrutement et de sélection pour la nomination d’un médiateur est terminée. Le médiateur sera nommé et assermenté à compter du 1</w:t>
      </w:r>
      <w:r w:rsidRPr="00D70FE4">
        <w:rPr>
          <w:rFonts w:eastAsia="Times New Roman"/>
          <w:vertAlign w:val="superscript"/>
        </w:rPr>
        <w:t>er</w:t>
      </w:r>
      <w:r w:rsidR="00D70FE4">
        <w:rPr>
          <w:rFonts w:eastAsia="Times New Roman"/>
        </w:rPr>
        <w:t> </w:t>
      </w:r>
      <w:r>
        <w:rPr>
          <w:rFonts w:eastAsia="Times New Roman"/>
        </w:rPr>
        <w:t>octobre 2024. Comme indiqué précédemment, une étude plus approfondie sera menée à l’avenir pour évaluer la conformité des institutions du médiateur et du médiateur des enfants avec les Principes de Paris et pour déterminer s’il est nécessaire de créer une troisième institution ou de relier ces institutions entre elles.</w:t>
      </w:r>
      <w:r w:rsidRPr="003D72B6">
        <w:rPr>
          <w:rFonts w:eastAsia="Times New Roman"/>
        </w:rPr>
        <w:t xml:space="preserve"> </w:t>
      </w:r>
      <w:r>
        <w:rPr>
          <w:rFonts w:eastAsia="Times New Roman"/>
        </w:rPr>
        <w:t>Aruba n’a pas encore d’expérience en matière de médiateur ou de médiateur des enfants et est une petite île aux ressources limitées.</w:t>
      </w:r>
    </w:p>
    <w:p w14:paraId="3184EA8A" w14:textId="52D46A6C" w:rsidR="007A401D" w:rsidRPr="00D708E0" w:rsidRDefault="00D708E0" w:rsidP="00D708E0">
      <w:pPr>
        <w:pStyle w:val="H1G"/>
      </w:pPr>
      <w:r>
        <w:lastRenderedPageBreak/>
        <w:tab/>
      </w:r>
      <w:r>
        <w:tab/>
      </w:r>
      <w:r w:rsidR="007A401D">
        <w:t>Article</w:t>
      </w:r>
      <w:r w:rsidR="00D70FE4">
        <w:t> </w:t>
      </w:r>
      <w:r w:rsidR="007A401D">
        <w:t>10</w:t>
      </w:r>
      <w:r>
        <w:t xml:space="preserve"> </w:t>
      </w:r>
      <w:r>
        <w:br/>
      </w:r>
      <w:r w:rsidR="007A401D">
        <w:rPr>
          <w:rFonts w:eastAsia="Times New Roman"/>
          <w:bCs/>
        </w:rPr>
        <w:t>Protection de la famille et de l</w:t>
      </w:r>
      <w:r w:rsidR="007A401D">
        <w:rPr>
          <w:rFonts w:eastAsia="Times New Roman"/>
          <w:b w:val="0"/>
          <w:bCs/>
        </w:rPr>
        <w:t>’</w:t>
      </w:r>
      <w:r w:rsidR="007A401D">
        <w:rPr>
          <w:rFonts w:eastAsia="Times New Roman"/>
          <w:bCs/>
        </w:rPr>
        <w:t>enfant</w:t>
      </w:r>
    </w:p>
    <w:p w14:paraId="53266B53" w14:textId="37D9BD81" w:rsidR="007A401D" w:rsidRDefault="00D708E0" w:rsidP="00D708E0">
      <w:pPr>
        <w:pStyle w:val="H23G"/>
      </w:pPr>
      <w:r>
        <w:tab/>
      </w:r>
      <w:r>
        <w:tab/>
      </w:r>
      <w:r w:rsidR="007A401D">
        <w:t>Réponse au paragraphe</w:t>
      </w:r>
      <w:r>
        <w:t> </w:t>
      </w:r>
      <w:r w:rsidR="007A401D">
        <w:t>22 de la liste de points</w:t>
      </w:r>
    </w:p>
    <w:p w14:paraId="03F03C07" w14:textId="3F481A31" w:rsidR="007A401D" w:rsidRDefault="007A401D" w:rsidP="007A401D">
      <w:pPr>
        <w:pStyle w:val="SingleTxtG"/>
        <w:rPr>
          <w:rFonts w:eastAsia="Times New Roman"/>
        </w:rPr>
      </w:pPr>
      <w:r>
        <w:rPr>
          <w:rFonts w:eastAsia="Times New Roman"/>
          <w:bCs/>
        </w:rPr>
        <w:t>89.</w:t>
      </w:r>
      <w:r>
        <w:rPr>
          <w:rFonts w:eastAsia="Times New Roman"/>
          <w:bCs/>
        </w:rPr>
        <w:tab/>
      </w:r>
      <w:r>
        <w:rPr>
          <w:rFonts w:eastAsia="Times New Roman"/>
        </w:rPr>
        <w:t>Depuis 2019, plus de 300</w:t>
      </w:r>
      <w:r w:rsidR="00D708E0">
        <w:rPr>
          <w:rFonts w:eastAsia="Times New Roman"/>
        </w:rPr>
        <w:t> </w:t>
      </w:r>
      <w:r>
        <w:rPr>
          <w:rFonts w:eastAsia="Times New Roman"/>
        </w:rPr>
        <w:t>professionnels ont été formés à l’application des «</w:t>
      </w:r>
      <w:r w:rsidR="00D708E0">
        <w:rPr>
          <w:rFonts w:eastAsia="Times New Roman"/>
        </w:rPr>
        <w:t> </w:t>
      </w:r>
      <w:r>
        <w:rPr>
          <w:rFonts w:eastAsia="Times New Roman"/>
        </w:rPr>
        <w:t>Signes de sécurité</w:t>
      </w:r>
      <w:r w:rsidR="00D708E0">
        <w:rPr>
          <w:rFonts w:eastAsia="Times New Roman"/>
        </w:rPr>
        <w:t> </w:t>
      </w:r>
      <w:r>
        <w:rPr>
          <w:rFonts w:eastAsia="Times New Roman"/>
        </w:rPr>
        <w:t xml:space="preserve">», une </w:t>
      </w:r>
      <w:r w:rsidRPr="007A401D">
        <w:t>approche</w:t>
      </w:r>
      <w:r>
        <w:rPr>
          <w:rFonts w:eastAsia="Times New Roman"/>
        </w:rPr>
        <w:t xml:space="preserve"> de la protection de l’enfance fondée sur les relations et la sécurité.</w:t>
      </w:r>
    </w:p>
    <w:p w14:paraId="323B8919" w14:textId="1C06E8ED" w:rsidR="007A401D" w:rsidRDefault="007A401D" w:rsidP="007A401D">
      <w:pPr>
        <w:pStyle w:val="SingleTxtG"/>
        <w:rPr>
          <w:rFonts w:eastAsia="Times New Roman"/>
        </w:rPr>
      </w:pPr>
      <w:r>
        <w:rPr>
          <w:rFonts w:eastAsia="Times New Roman"/>
        </w:rPr>
        <w:t>90.</w:t>
      </w:r>
      <w:r>
        <w:rPr>
          <w:rFonts w:eastAsia="Times New Roman"/>
        </w:rPr>
        <w:tab/>
        <w:t>Au cours des années 2020 et 2021, deux établissements résidentiels fonctionnant 24</w:t>
      </w:r>
      <w:r w:rsidR="00D708E0">
        <w:rPr>
          <w:rFonts w:eastAsia="Times New Roman"/>
        </w:rPr>
        <w:t> </w:t>
      </w:r>
      <w:r>
        <w:rPr>
          <w:rFonts w:eastAsia="Times New Roman"/>
        </w:rPr>
        <w:t>heures sur 24 ont été ouverts pour les enfants handicapés. L’un fournit des services 24</w:t>
      </w:r>
      <w:r w:rsidR="00D708E0">
        <w:rPr>
          <w:rFonts w:eastAsia="Times New Roman"/>
        </w:rPr>
        <w:t> </w:t>
      </w:r>
      <w:r>
        <w:rPr>
          <w:rFonts w:eastAsia="Times New Roman"/>
        </w:rPr>
        <w:t>heures sur 24 aux enfants à risque et aux jeunes adultes âgés de 6 à 24</w:t>
      </w:r>
      <w:r w:rsidR="00D708E0">
        <w:rPr>
          <w:rFonts w:eastAsia="Times New Roman"/>
        </w:rPr>
        <w:t> </w:t>
      </w:r>
      <w:r>
        <w:rPr>
          <w:rFonts w:eastAsia="Times New Roman"/>
        </w:rPr>
        <w:t xml:space="preserve">ans souffrant d’une déficience intellectuelle ou d’un trouble du développement ; l’autre accueille des personnes âgées de </w:t>
      </w:r>
      <w:r w:rsidR="00D70FE4">
        <w:rPr>
          <w:rFonts w:eastAsia="Times New Roman"/>
        </w:rPr>
        <w:t>6 </w:t>
      </w:r>
      <w:r>
        <w:rPr>
          <w:rFonts w:eastAsia="Times New Roman"/>
        </w:rPr>
        <w:t>ans et plus qui souffrent de handicaps multiples.</w:t>
      </w:r>
    </w:p>
    <w:p w14:paraId="31075288" w14:textId="77777777" w:rsidR="007A401D" w:rsidRDefault="007A401D" w:rsidP="007A401D">
      <w:pPr>
        <w:pStyle w:val="SingleTxtG"/>
        <w:rPr>
          <w:rFonts w:eastAsia="Times New Roman"/>
        </w:rPr>
      </w:pPr>
      <w:r>
        <w:rPr>
          <w:rFonts w:eastAsia="Times New Roman"/>
        </w:rPr>
        <w:t>91.</w:t>
      </w:r>
      <w:r>
        <w:rPr>
          <w:rFonts w:eastAsia="Times New Roman"/>
        </w:rPr>
        <w:tab/>
        <w:t xml:space="preserve">En avril 2021, un code national pour la sécurité de l’enfant a été élaboré. Ce code prévoit le </w:t>
      </w:r>
      <w:r w:rsidRPr="007A401D">
        <w:t>signalement</w:t>
      </w:r>
      <w:r>
        <w:rPr>
          <w:rFonts w:eastAsia="Times New Roman"/>
        </w:rPr>
        <w:t xml:space="preserve"> obligatoire des cas de maltraitance et de négligence à l’égard des enfants et définit cinq mesures à prendre par les professionnels. Des professionnels ont été formés pour mettre en œuvre le code dans leurs organisations respectives dans les domaines de la santé, de l’aide sociale, de l’éducation et de la justice.</w:t>
      </w:r>
    </w:p>
    <w:p w14:paraId="00F60C11" w14:textId="51D33F5B" w:rsidR="007A401D" w:rsidRDefault="007A401D" w:rsidP="007A401D">
      <w:pPr>
        <w:pStyle w:val="SingleTxtG"/>
        <w:rPr>
          <w:rFonts w:eastAsia="Times New Roman"/>
        </w:rPr>
      </w:pPr>
      <w:r>
        <w:rPr>
          <w:rFonts w:eastAsia="Times New Roman"/>
        </w:rPr>
        <w:t>92.</w:t>
      </w:r>
      <w:r>
        <w:rPr>
          <w:rFonts w:eastAsia="Times New Roman"/>
        </w:rPr>
        <w:tab/>
        <w:t>Pour renforcer la politique et la capacité institutionnelles du Département de la protection de la jeunesse, un système d’information sur la gestion automatisé et intégré, auquel sont reliées les agences cl</w:t>
      </w:r>
      <w:r w:rsidR="00D70FE4">
        <w:rPr>
          <w:rFonts w:eastAsia="Times New Roman"/>
        </w:rPr>
        <w:t>ef</w:t>
      </w:r>
      <w:r>
        <w:rPr>
          <w:rFonts w:eastAsia="Times New Roman"/>
        </w:rPr>
        <w:t>s de tous les secteurs, a été mis en place afin de mieux surveiller et favoriser la santé et le bien-être de tous les enfants d’Aruba.</w:t>
      </w:r>
    </w:p>
    <w:p w14:paraId="7A39A7C9" w14:textId="396B2101" w:rsidR="007A401D" w:rsidRDefault="007A401D" w:rsidP="007A401D">
      <w:pPr>
        <w:pStyle w:val="SingleTxtG"/>
        <w:rPr>
          <w:rFonts w:eastAsia="Times New Roman"/>
        </w:rPr>
      </w:pPr>
      <w:r>
        <w:rPr>
          <w:rFonts w:eastAsia="Times New Roman"/>
        </w:rPr>
        <w:t>93.</w:t>
      </w:r>
      <w:r>
        <w:rPr>
          <w:rFonts w:eastAsia="Times New Roman"/>
        </w:rPr>
        <w:tab/>
        <w:t>L’Ordonnance nationale contenant des règles destinées à garantir et à promouvoir la qualité de la prise en charge des enfants est entrée en vigueur le 15</w:t>
      </w:r>
      <w:r w:rsidR="00D708E0">
        <w:rPr>
          <w:rFonts w:eastAsia="Times New Roman"/>
        </w:rPr>
        <w:t> </w:t>
      </w:r>
      <w:r>
        <w:rPr>
          <w:rFonts w:eastAsia="Times New Roman"/>
        </w:rPr>
        <w:t>août 2023.</w:t>
      </w:r>
    </w:p>
    <w:p w14:paraId="10E6D265" w14:textId="28136EA5" w:rsidR="007A401D" w:rsidRDefault="007A401D" w:rsidP="007A401D">
      <w:pPr>
        <w:pStyle w:val="SingleTxtG"/>
        <w:rPr>
          <w:rFonts w:eastAsia="Times New Roman"/>
        </w:rPr>
      </w:pPr>
      <w:r>
        <w:rPr>
          <w:rFonts w:eastAsia="Times New Roman"/>
        </w:rPr>
        <w:t>94.</w:t>
      </w:r>
      <w:r>
        <w:rPr>
          <w:rFonts w:eastAsia="Times New Roman"/>
        </w:rPr>
        <w:tab/>
      </w:r>
      <w:r w:rsidRPr="007A401D">
        <w:t>Aruba</w:t>
      </w:r>
      <w:r>
        <w:rPr>
          <w:rFonts w:eastAsia="Times New Roman"/>
        </w:rPr>
        <w:t xml:space="preserve"> reçoit un soutien technique de l’UNICEF Pays-Bas depuis 2023. En novembre 2024, Aruba lancera une vision nationale sur le soutien à la parentalité et une carte sociale de toutes les agences fournissant un soutien aux parents, car il s’agit d’un outil cl</w:t>
      </w:r>
      <w:r w:rsidR="00D70FE4">
        <w:rPr>
          <w:rFonts w:eastAsia="Times New Roman"/>
        </w:rPr>
        <w:t>ef</w:t>
      </w:r>
      <w:r>
        <w:rPr>
          <w:rFonts w:eastAsia="Times New Roman"/>
        </w:rPr>
        <w:t xml:space="preserve"> de prévention dans la lutte contre la maltraitance des enfants.</w:t>
      </w:r>
    </w:p>
    <w:p w14:paraId="02221BD3" w14:textId="27C62B62" w:rsidR="007A401D" w:rsidRDefault="007A401D" w:rsidP="007A401D">
      <w:pPr>
        <w:pStyle w:val="SingleTxtG"/>
        <w:rPr>
          <w:rFonts w:eastAsia="Times New Roman"/>
        </w:rPr>
      </w:pPr>
      <w:r>
        <w:rPr>
          <w:rFonts w:eastAsia="Times New Roman"/>
        </w:rPr>
        <w:t>95.</w:t>
      </w:r>
      <w:r>
        <w:rPr>
          <w:rFonts w:eastAsia="Times New Roman"/>
        </w:rPr>
        <w:tab/>
        <w:t xml:space="preserve">La loi relative à la promotion du maintien de la parentalité et du divorce prudent est entrée en </w:t>
      </w:r>
      <w:r w:rsidRPr="007A401D">
        <w:t>vigueur</w:t>
      </w:r>
      <w:r>
        <w:rPr>
          <w:rFonts w:eastAsia="Times New Roman"/>
        </w:rPr>
        <w:t xml:space="preserve"> le 1</w:t>
      </w:r>
      <w:r w:rsidRPr="00D708E0">
        <w:rPr>
          <w:rFonts w:eastAsia="Times New Roman"/>
          <w:vertAlign w:val="superscript"/>
        </w:rPr>
        <w:t>er</w:t>
      </w:r>
      <w:r w:rsidR="00D708E0">
        <w:rPr>
          <w:rFonts w:eastAsia="Times New Roman"/>
        </w:rPr>
        <w:t> </w:t>
      </w:r>
      <w:r>
        <w:rPr>
          <w:rFonts w:eastAsia="Times New Roman"/>
        </w:rPr>
        <w:t>mars 2024. Cette loi vise à assurer le bien-être des enfants après un divorce par la mise en œuvre d’un plan parental. Le plan parental oblige les parents à conclure des accords sur les soins et l’éducation de leurs enfants, ce qui permet de maintenir la continuité et la stabilité dans la vie des enfants malgré la séparation de leurs parents.</w:t>
      </w:r>
    </w:p>
    <w:p w14:paraId="71922ACB" w14:textId="77777777" w:rsidR="007A401D" w:rsidRDefault="007A401D" w:rsidP="007A401D">
      <w:pPr>
        <w:pStyle w:val="SingleTxtG"/>
        <w:rPr>
          <w:rFonts w:eastAsia="Times New Roman"/>
        </w:rPr>
      </w:pPr>
      <w:r>
        <w:rPr>
          <w:rFonts w:eastAsia="Times New Roman"/>
        </w:rPr>
        <w:t>96.</w:t>
      </w:r>
      <w:r>
        <w:rPr>
          <w:rFonts w:eastAsia="Times New Roman"/>
        </w:rPr>
        <w:tab/>
        <w:t xml:space="preserve">Le Gouvernement d’Aruba a désigné le mois d’avril 2024 comme le mois de la sensibilisation à la </w:t>
      </w:r>
      <w:r w:rsidRPr="007A401D">
        <w:t>maltraitance</w:t>
      </w:r>
      <w:r>
        <w:rPr>
          <w:rFonts w:eastAsia="Times New Roman"/>
        </w:rPr>
        <w:t xml:space="preserve"> des enfants.</w:t>
      </w:r>
    </w:p>
    <w:p w14:paraId="0F808FFC" w14:textId="26C5B47E" w:rsidR="007A401D" w:rsidRDefault="007A401D" w:rsidP="007A401D">
      <w:pPr>
        <w:pStyle w:val="SingleTxtG"/>
        <w:rPr>
          <w:rFonts w:eastAsia="Times New Roman"/>
        </w:rPr>
      </w:pPr>
      <w:r>
        <w:rPr>
          <w:rFonts w:eastAsia="Times New Roman"/>
        </w:rPr>
        <w:t>97.</w:t>
      </w:r>
      <w:r>
        <w:rPr>
          <w:rFonts w:eastAsia="Times New Roman"/>
        </w:rPr>
        <w:tab/>
        <w:t>Un centre national d’expertise et de traitement pour les victimes de violence en général, y</w:t>
      </w:r>
      <w:r w:rsidR="00D708E0">
        <w:rPr>
          <w:rFonts w:eastAsia="Times New Roman"/>
        </w:rPr>
        <w:t> </w:t>
      </w:r>
      <w:r>
        <w:rPr>
          <w:rFonts w:eastAsia="Times New Roman"/>
        </w:rPr>
        <w:t xml:space="preserve">compris les </w:t>
      </w:r>
      <w:r w:rsidRPr="007A401D">
        <w:t>victimes</w:t>
      </w:r>
      <w:r>
        <w:rPr>
          <w:rFonts w:eastAsia="Times New Roman"/>
        </w:rPr>
        <w:t xml:space="preserve"> de relations de dépendance, a été créé en collaboration avec l’Alliance européenne des centres de justice familiale et Fier Netherlands. Ce centre, dont l’ouverture est prévue en novembre 2024, offrira des services complets d’examen et de traitement aux victimes. En regroupant tous les services nécessaires dans un seul lieu, le centre vise à rationaliser le processus de soutien et à fournir des soins plus efficaces et mieux coordonnés aux personnes touchées par la violence.</w:t>
      </w:r>
    </w:p>
    <w:p w14:paraId="52205FAF" w14:textId="1471F07A" w:rsidR="007A401D" w:rsidRDefault="007A401D" w:rsidP="007A401D">
      <w:pPr>
        <w:pStyle w:val="SingleTxtG"/>
        <w:rPr>
          <w:rFonts w:eastAsia="Times New Roman"/>
        </w:rPr>
      </w:pPr>
      <w:r>
        <w:rPr>
          <w:rFonts w:eastAsia="Times New Roman"/>
        </w:rPr>
        <w:t>98.</w:t>
      </w:r>
      <w:r>
        <w:rPr>
          <w:rFonts w:eastAsia="Times New Roman"/>
        </w:rPr>
        <w:tab/>
        <w:t xml:space="preserve">En </w:t>
      </w:r>
      <w:r w:rsidRPr="007A401D">
        <w:t>2022</w:t>
      </w:r>
      <w:r>
        <w:rPr>
          <w:rFonts w:eastAsia="Times New Roman"/>
        </w:rPr>
        <w:t>, Aruba a publié son premier document d’orientation en matière d’égalité des sexes, assorti d’un plan d’action et d’un cadre de mise en œuvre, qui comprend une approche multidisciplinaire intégrée pour lutter contre la violence domestique et relationnelle.</w:t>
      </w:r>
    </w:p>
    <w:p w14:paraId="3F038BB3" w14:textId="34CD25B6" w:rsidR="007A401D" w:rsidRDefault="007A401D" w:rsidP="007A401D">
      <w:pPr>
        <w:pStyle w:val="SingleTxtG"/>
        <w:rPr>
          <w:rFonts w:eastAsia="Times New Roman"/>
        </w:rPr>
      </w:pPr>
      <w:r>
        <w:rPr>
          <w:rFonts w:eastAsia="Times New Roman"/>
        </w:rPr>
        <w:t>99.</w:t>
      </w:r>
      <w:r>
        <w:rPr>
          <w:rFonts w:eastAsia="Times New Roman"/>
        </w:rPr>
        <w:tab/>
      </w:r>
      <w:r w:rsidRPr="007A401D">
        <w:t>Aruba</w:t>
      </w:r>
      <w:r>
        <w:rPr>
          <w:rFonts w:eastAsia="Times New Roman"/>
        </w:rPr>
        <w:t xml:space="preserve"> dispose d’un bureau des affaires féminines (CEDEHM) chargé de promouvoir l’égalité des sexes sur l’île. Le Bureau joue un rôle de premier plan dans la mise en œuvre des mesures cl</w:t>
      </w:r>
      <w:r w:rsidR="00E82F31">
        <w:rPr>
          <w:rFonts w:eastAsia="Times New Roman"/>
        </w:rPr>
        <w:t>ef</w:t>
      </w:r>
      <w:r>
        <w:rPr>
          <w:rFonts w:eastAsia="Times New Roman"/>
        </w:rPr>
        <w:t>s du plan d’action accompagnant la Politique nationale en faveur de l’égalité des sexes.</w:t>
      </w:r>
    </w:p>
    <w:p w14:paraId="061324AD" w14:textId="7BDFA543" w:rsidR="007A401D" w:rsidRDefault="007A401D" w:rsidP="007A401D">
      <w:pPr>
        <w:pStyle w:val="SingleTxtG"/>
        <w:rPr>
          <w:rFonts w:eastAsia="Times New Roman"/>
        </w:rPr>
      </w:pPr>
      <w:r>
        <w:rPr>
          <w:rFonts w:eastAsia="Times New Roman"/>
        </w:rPr>
        <w:t>100.</w:t>
      </w:r>
      <w:r>
        <w:rPr>
          <w:rFonts w:eastAsia="Times New Roman"/>
        </w:rPr>
        <w:tab/>
        <w:t>Le Bureau des affaires féminines participe avec la Fondation contre la violence relationnelle à des activités de sensibilisation à la violence contre les femmes et les filles, y</w:t>
      </w:r>
      <w:r w:rsidR="00D708E0">
        <w:rPr>
          <w:rFonts w:eastAsia="Times New Roman"/>
        </w:rPr>
        <w:t> </w:t>
      </w:r>
      <w:r>
        <w:rPr>
          <w:rFonts w:eastAsia="Times New Roman"/>
        </w:rPr>
        <w:t>compris la violence domestique.</w:t>
      </w:r>
      <w:r w:rsidRPr="00115A81">
        <w:rPr>
          <w:rFonts w:eastAsia="Times New Roman"/>
        </w:rPr>
        <w:t xml:space="preserve"> </w:t>
      </w:r>
      <w:r>
        <w:rPr>
          <w:rFonts w:eastAsia="Times New Roman"/>
        </w:rPr>
        <w:t>Le Bureau a organisé une formation de sensibilisation aux questions de genre à l’intention des personnels en formation à l’académie de police.</w:t>
      </w:r>
    </w:p>
    <w:p w14:paraId="2772C1BD" w14:textId="77777777" w:rsidR="007A401D" w:rsidRDefault="007A401D" w:rsidP="007A401D">
      <w:pPr>
        <w:pStyle w:val="SingleTxtG"/>
        <w:rPr>
          <w:rFonts w:eastAsia="Times New Roman"/>
        </w:rPr>
      </w:pPr>
      <w:r>
        <w:rPr>
          <w:rFonts w:eastAsia="Times New Roman"/>
        </w:rPr>
        <w:lastRenderedPageBreak/>
        <w:t>101.</w:t>
      </w:r>
      <w:r>
        <w:rPr>
          <w:rFonts w:eastAsia="Times New Roman"/>
        </w:rPr>
        <w:tab/>
        <w:t>En décembre 2023, le Premier Ministre a publié un arrêté ministériel portant création d’une commission chargée de rédiger un plan d’action pour toutes les parties prenantes responsables du traitement des cas de violence domestique et de la législation connexe.</w:t>
      </w:r>
    </w:p>
    <w:p w14:paraId="787F2EAC" w14:textId="77777777" w:rsidR="007A401D" w:rsidRDefault="007A401D" w:rsidP="007A401D">
      <w:pPr>
        <w:pStyle w:val="SingleTxtG"/>
        <w:rPr>
          <w:rFonts w:eastAsia="Times New Roman"/>
        </w:rPr>
      </w:pPr>
      <w:r>
        <w:rPr>
          <w:rFonts w:eastAsia="Times New Roman"/>
        </w:rPr>
        <w:t>102.</w:t>
      </w:r>
      <w:r>
        <w:rPr>
          <w:rFonts w:eastAsia="Times New Roman"/>
        </w:rPr>
        <w:tab/>
        <w:t xml:space="preserve">Le Gouvernement travaille également à l’élaboration d’un plan d’application et d’une législation </w:t>
      </w:r>
      <w:r w:rsidRPr="007A401D">
        <w:t>en</w:t>
      </w:r>
      <w:r>
        <w:rPr>
          <w:rFonts w:eastAsia="Times New Roman"/>
        </w:rPr>
        <w:t xml:space="preserve"> vue de ratifier la Convention du Conseil de l’Europe sur la prévention et la lutte contre la violence à l’égard des femmes et la violence domestique.</w:t>
      </w:r>
    </w:p>
    <w:p w14:paraId="422E7378" w14:textId="77777777" w:rsidR="007A401D" w:rsidRDefault="007A401D" w:rsidP="007A401D">
      <w:pPr>
        <w:pStyle w:val="SingleTxtG"/>
        <w:rPr>
          <w:rFonts w:eastAsia="Times New Roman"/>
        </w:rPr>
      </w:pPr>
      <w:r>
        <w:rPr>
          <w:rFonts w:eastAsia="Times New Roman"/>
        </w:rPr>
        <w:t>103.</w:t>
      </w:r>
      <w:r>
        <w:rPr>
          <w:rFonts w:eastAsia="Times New Roman"/>
        </w:rPr>
        <w:tab/>
        <w:t xml:space="preserve">Aruba s’emploie à mettre en place un système national de statistiques plus large, fondé sur les lignes </w:t>
      </w:r>
      <w:r w:rsidRPr="007A401D">
        <w:t>directrices</w:t>
      </w:r>
      <w:r>
        <w:rPr>
          <w:rFonts w:eastAsia="Times New Roman"/>
        </w:rPr>
        <w:t xml:space="preserve"> internationales pour la production de statistiques officielles. L’objectif est de produire des données pertinentes, structurées et normalisées afin de contribuer à l’élaboration et au suivi des politiques.</w:t>
      </w:r>
    </w:p>
    <w:p w14:paraId="19DD8283" w14:textId="159E9B67" w:rsidR="007A401D" w:rsidRDefault="00D708E0" w:rsidP="00D708E0">
      <w:pPr>
        <w:pStyle w:val="H1G"/>
      </w:pPr>
      <w:r>
        <w:tab/>
      </w:r>
      <w:r>
        <w:tab/>
      </w:r>
      <w:r w:rsidR="007A401D">
        <w:t>Article 15</w:t>
      </w:r>
      <w:r>
        <w:t xml:space="preserve"> </w:t>
      </w:r>
      <w:r>
        <w:br/>
      </w:r>
      <w:r w:rsidR="007A401D">
        <w:t>Droits culturels</w:t>
      </w:r>
    </w:p>
    <w:p w14:paraId="61E4A218" w14:textId="293008DF" w:rsidR="007A401D" w:rsidRDefault="00D708E0" w:rsidP="00D708E0">
      <w:pPr>
        <w:pStyle w:val="H23G"/>
      </w:pPr>
      <w:r>
        <w:tab/>
      </w:r>
      <w:r>
        <w:tab/>
      </w:r>
      <w:r w:rsidR="007A401D">
        <w:t>Réponse au paragraphe</w:t>
      </w:r>
      <w:r>
        <w:t> </w:t>
      </w:r>
      <w:r w:rsidR="007A401D">
        <w:t>30 de la liste de points</w:t>
      </w:r>
    </w:p>
    <w:p w14:paraId="1B2B7000" w14:textId="77777777" w:rsidR="007A401D" w:rsidRDefault="007A401D" w:rsidP="007A401D">
      <w:pPr>
        <w:pStyle w:val="SingleTxtG"/>
        <w:rPr>
          <w:rFonts w:eastAsia="Times New Roman"/>
        </w:rPr>
      </w:pPr>
      <w:r>
        <w:rPr>
          <w:rFonts w:eastAsia="Times New Roman"/>
          <w:bCs/>
        </w:rPr>
        <w:t>104.</w:t>
      </w:r>
      <w:r>
        <w:rPr>
          <w:rFonts w:eastAsia="Times New Roman"/>
          <w:bCs/>
        </w:rPr>
        <w:tab/>
        <w:t xml:space="preserve">S’inspirant du </w:t>
      </w:r>
      <w:r>
        <w:rPr>
          <w:rFonts w:eastAsia="Times New Roman"/>
        </w:rPr>
        <w:t>Cadre mondial de l’UNESCO pour l’éducation culturelle et artistique (2024), un plan national pour l’éducation culturelle et artistique est en cours d’élaboration et concerne tous les types d’établissements de l’enseignement formel.</w:t>
      </w:r>
      <w:r w:rsidRPr="008C2070">
        <w:rPr>
          <w:rFonts w:eastAsia="Times New Roman"/>
        </w:rPr>
        <w:t xml:space="preserve"> </w:t>
      </w:r>
      <w:r>
        <w:rPr>
          <w:rFonts w:eastAsia="Times New Roman"/>
        </w:rPr>
        <w:t>Dans le secteur de l’enseignement formel, les éléments de l’histoire locale et la langue locale, le papiamento, sont également liés à ce plan.</w:t>
      </w:r>
    </w:p>
    <w:p w14:paraId="6C747E73" w14:textId="77777777" w:rsidR="007A401D" w:rsidRDefault="007A401D" w:rsidP="007A401D">
      <w:pPr>
        <w:pStyle w:val="SingleTxtG"/>
        <w:rPr>
          <w:rFonts w:eastAsia="Times New Roman"/>
        </w:rPr>
      </w:pPr>
      <w:r>
        <w:rPr>
          <w:rFonts w:eastAsia="Times New Roman"/>
        </w:rPr>
        <w:t>105.</w:t>
      </w:r>
      <w:r>
        <w:rPr>
          <w:rFonts w:eastAsia="Times New Roman"/>
        </w:rPr>
        <w:tab/>
        <w:t xml:space="preserve">En outre, la méthode d’enseignement Whizz-Art, toujours en cours de développement, accorde une </w:t>
      </w:r>
      <w:r w:rsidRPr="007A401D">
        <w:t>attention</w:t>
      </w:r>
      <w:r>
        <w:rPr>
          <w:rFonts w:eastAsia="Times New Roman"/>
        </w:rPr>
        <w:t xml:space="preserve"> particulière aux éléments de l’histoire locale.</w:t>
      </w:r>
    </w:p>
    <w:p w14:paraId="4C23E26F" w14:textId="1198240E" w:rsidR="007A401D" w:rsidRDefault="00D708E0" w:rsidP="00D708E0">
      <w:pPr>
        <w:pStyle w:val="HChG"/>
      </w:pPr>
      <w:r>
        <w:tab/>
      </w:r>
      <w:r w:rsidR="007A401D">
        <w:t>III.</w:t>
      </w:r>
      <w:r w:rsidR="007A401D">
        <w:tab/>
        <w:t>Curaçao</w:t>
      </w:r>
    </w:p>
    <w:p w14:paraId="17B2A274" w14:textId="5EB406C5" w:rsidR="007A401D" w:rsidRDefault="00D708E0" w:rsidP="00D708E0">
      <w:pPr>
        <w:pStyle w:val="H1G"/>
      </w:pPr>
      <w:r>
        <w:tab/>
      </w:r>
      <w:r w:rsidR="007A401D">
        <w:t>A.</w:t>
      </w:r>
      <w:r w:rsidR="007A401D">
        <w:tab/>
        <w:t>Renseignements d’ordre général</w:t>
      </w:r>
    </w:p>
    <w:p w14:paraId="3B0F05B9" w14:textId="26CB3C04" w:rsidR="007A401D" w:rsidRDefault="00D708E0" w:rsidP="00D708E0">
      <w:pPr>
        <w:pStyle w:val="H23G"/>
      </w:pPr>
      <w:r>
        <w:tab/>
      </w:r>
      <w:r>
        <w:tab/>
      </w:r>
      <w:r w:rsidR="007A401D">
        <w:t>Réponse au paragraphe</w:t>
      </w:r>
      <w:r>
        <w:t> </w:t>
      </w:r>
      <w:r w:rsidR="007A401D">
        <w:t>4 de la liste de points</w:t>
      </w:r>
    </w:p>
    <w:p w14:paraId="4A5B4BEB" w14:textId="24DD1A52" w:rsidR="007A401D" w:rsidRDefault="007A401D" w:rsidP="007A401D">
      <w:pPr>
        <w:pStyle w:val="SingleTxtG"/>
        <w:rPr>
          <w:rFonts w:eastAsia="Times New Roman"/>
        </w:rPr>
      </w:pPr>
      <w:r>
        <w:rPr>
          <w:rFonts w:eastAsia="Times New Roman"/>
        </w:rPr>
        <w:t>106.</w:t>
      </w:r>
      <w:r>
        <w:rPr>
          <w:rFonts w:eastAsia="Times New Roman"/>
        </w:rPr>
        <w:tab/>
        <w:t>Après la pandémie de COVID-19, il a été nécessaire de suspendre de nombreuses activités, y</w:t>
      </w:r>
      <w:r w:rsidR="00D708E0">
        <w:rPr>
          <w:rFonts w:eastAsia="Times New Roman"/>
        </w:rPr>
        <w:t> </w:t>
      </w:r>
      <w:r w:rsidRPr="007A401D">
        <w:t>compris</w:t>
      </w:r>
      <w:r>
        <w:rPr>
          <w:rFonts w:eastAsia="Times New Roman"/>
        </w:rPr>
        <w:t xml:space="preserve"> celles concernant le Plan d’action national pour les droits de l’homme. Les travaux portant sur le Plan reprendront dans un avenir proche.</w:t>
      </w:r>
      <w:r w:rsidRPr="00457569">
        <w:rPr>
          <w:rFonts w:eastAsia="Times New Roman"/>
        </w:rPr>
        <w:t xml:space="preserve"> </w:t>
      </w:r>
      <w:r>
        <w:rPr>
          <w:rFonts w:eastAsia="Times New Roman"/>
        </w:rPr>
        <w:t>Un projet d’ordonnance nationale est en cours de préparation sur recommandation du Médiateur de Curaçao. Il devrait être soumis pour approbation en 2024.</w:t>
      </w:r>
      <w:r w:rsidRPr="00457569">
        <w:rPr>
          <w:rFonts w:eastAsia="Times New Roman"/>
        </w:rPr>
        <w:t xml:space="preserve"> </w:t>
      </w:r>
      <w:r>
        <w:rPr>
          <w:rFonts w:eastAsia="Times New Roman"/>
        </w:rPr>
        <w:t>L’institution du médiateur des enfants a été créée en 2020 (voir P.B.</w:t>
      </w:r>
      <w:r w:rsidR="00D708E0">
        <w:rPr>
          <w:rFonts w:eastAsia="Times New Roman"/>
        </w:rPr>
        <w:t> </w:t>
      </w:r>
      <w:r>
        <w:rPr>
          <w:rFonts w:eastAsia="Times New Roman"/>
        </w:rPr>
        <w:t>2020, n</w:t>
      </w:r>
      <w:r w:rsidR="00D708E0" w:rsidRPr="00D708E0">
        <w:rPr>
          <w:rFonts w:eastAsia="Times New Roman"/>
          <w:vertAlign w:val="superscript"/>
        </w:rPr>
        <w:t>o</w:t>
      </w:r>
      <w:r w:rsidR="00D708E0">
        <w:rPr>
          <w:rFonts w:eastAsia="Times New Roman"/>
        </w:rPr>
        <w:t> </w:t>
      </w:r>
      <w:r>
        <w:rPr>
          <w:rFonts w:eastAsia="Times New Roman"/>
        </w:rPr>
        <w:t>129). Un médiateur des enfants n’a pas encore été nommé mais le Médiateur actuel joue ce rôle.</w:t>
      </w:r>
    </w:p>
    <w:p w14:paraId="2B7C5BAD" w14:textId="7F112512" w:rsidR="007A401D" w:rsidRDefault="00D708E0" w:rsidP="00D708E0">
      <w:pPr>
        <w:pStyle w:val="H23G"/>
      </w:pPr>
      <w:r>
        <w:tab/>
      </w:r>
      <w:r>
        <w:tab/>
      </w:r>
      <w:r w:rsidR="007A401D">
        <w:t>Réponse au paragraphe</w:t>
      </w:r>
      <w:r>
        <w:t> </w:t>
      </w:r>
      <w:r w:rsidR="007A401D">
        <w:t>5 de la liste de points</w:t>
      </w:r>
    </w:p>
    <w:p w14:paraId="5CD5C580" w14:textId="77777777" w:rsidR="007A401D" w:rsidRDefault="007A401D" w:rsidP="007A401D">
      <w:pPr>
        <w:pStyle w:val="SingleTxtG"/>
        <w:rPr>
          <w:rFonts w:eastAsia="Times New Roman"/>
          <w:bCs/>
        </w:rPr>
      </w:pPr>
      <w:r>
        <w:rPr>
          <w:rFonts w:eastAsia="Times New Roman"/>
          <w:bCs/>
        </w:rPr>
        <w:t>107.</w:t>
      </w:r>
      <w:r>
        <w:rPr>
          <w:rFonts w:eastAsia="Times New Roman"/>
          <w:bCs/>
        </w:rPr>
        <w:tab/>
        <w:t>Le projet d’ordonnance sera finalisé en 2024.</w:t>
      </w:r>
    </w:p>
    <w:p w14:paraId="1006AE8C" w14:textId="5AC11BAB" w:rsidR="007A401D" w:rsidRDefault="00D708E0" w:rsidP="00D708E0">
      <w:pPr>
        <w:pStyle w:val="H23G"/>
      </w:pPr>
      <w:r>
        <w:tab/>
      </w:r>
      <w:r>
        <w:tab/>
      </w:r>
      <w:r w:rsidR="007A401D">
        <w:t>Réponse au paragraphe</w:t>
      </w:r>
      <w:r>
        <w:t> </w:t>
      </w:r>
      <w:r w:rsidR="007A401D">
        <w:t>6</w:t>
      </w:r>
      <w:r>
        <w:t> </w:t>
      </w:r>
      <w:r w:rsidR="007A401D">
        <w:t>c) de la liste de points</w:t>
      </w:r>
    </w:p>
    <w:p w14:paraId="6B62EBAD" w14:textId="77777777" w:rsidR="007A401D" w:rsidRDefault="007A401D" w:rsidP="007A401D">
      <w:pPr>
        <w:pStyle w:val="SingleTxtG"/>
        <w:rPr>
          <w:rFonts w:eastAsia="Times New Roman"/>
        </w:rPr>
      </w:pPr>
      <w:r>
        <w:rPr>
          <w:rFonts w:eastAsia="Times New Roman"/>
          <w:bCs/>
        </w:rPr>
        <w:t>108.</w:t>
      </w:r>
      <w:r>
        <w:rPr>
          <w:rFonts w:eastAsia="Times New Roman"/>
          <w:bCs/>
        </w:rPr>
        <w:tab/>
      </w:r>
      <w:r>
        <w:rPr>
          <w:rFonts w:eastAsia="Times New Roman"/>
        </w:rPr>
        <w:t>En juillet 2022, le tribunal de première instance a jugé que l’arrêté ministériel de 2020 sur les normes de qualité de l’air était insuffisant pour protéger la communauté. Il a prescrit le respect des normes de l’OMS et exigé que les normes soient fixées par la loi et non par un arrêté ministériel. Par suite, le Gouvernement a modifié l’ordonnance sur les nuisances, en introduisant des normes d’émission contraignantes et en réglementant les activités liées à la pollution de l’air par l’octroi de licences. L’objectif est d’établir des normes d’émission pour l’ensemble du secteur industriel, avec des règles supplémentaires pour les activités sous licence. Un réseau de surveillance de la qualité de l’air sera mis en place, dont les détails seront précisés dans une législation de niveau inférieur.</w:t>
      </w:r>
    </w:p>
    <w:p w14:paraId="4CF83C3D" w14:textId="494C74E7" w:rsidR="007A401D" w:rsidRDefault="00D708E0" w:rsidP="00D708E0">
      <w:pPr>
        <w:pStyle w:val="H23G"/>
      </w:pPr>
      <w:r>
        <w:lastRenderedPageBreak/>
        <w:tab/>
      </w:r>
      <w:r>
        <w:tab/>
      </w:r>
      <w:r w:rsidR="007A401D">
        <w:t>Réponse au paragraphe</w:t>
      </w:r>
      <w:r>
        <w:t> </w:t>
      </w:r>
      <w:r w:rsidR="007A401D">
        <w:t>7</w:t>
      </w:r>
      <w:r>
        <w:t> </w:t>
      </w:r>
      <w:r w:rsidR="007A401D">
        <w:t>a) à d) de la liste de points</w:t>
      </w:r>
    </w:p>
    <w:p w14:paraId="6A2BDBAE" w14:textId="123D1D5C" w:rsidR="007A401D" w:rsidRDefault="007A401D" w:rsidP="004603B4">
      <w:pPr>
        <w:pStyle w:val="SingleTxtG"/>
        <w:keepNext/>
        <w:keepLines/>
        <w:ind w:firstLine="567"/>
        <w:rPr>
          <w:rFonts w:eastAsia="Times New Roman"/>
        </w:rPr>
      </w:pPr>
      <w:r>
        <w:rPr>
          <w:rFonts w:eastAsia="Times New Roman"/>
        </w:rPr>
        <w:t>a)</w:t>
      </w:r>
      <w:r>
        <w:rPr>
          <w:rFonts w:eastAsia="Times New Roman"/>
        </w:rPr>
        <w:tab/>
      </w:r>
      <w:r w:rsidRPr="007A401D">
        <w:t>Curaçao</w:t>
      </w:r>
      <w:r>
        <w:rPr>
          <w:rFonts w:eastAsia="Times New Roman"/>
        </w:rPr>
        <w:t>, bien qu’elle ne soit pas encore signataire de l’Accord de Paris, améliore de manière proactive sa stratégie énergétique. L’île vise à atteindre 50</w:t>
      </w:r>
      <w:r w:rsidR="00D708E0">
        <w:rPr>
          <w:rFonts w:eastAsia="Times New Roman"/>
        </w:rPr>
        <w:t> </w:t>
      </w:r>
      <w:r>
        <w:rPr>
          <w:rFonts w:eastAsia="Times New Roman"/>
        </w:rPr>
        <w:t>% d’énergies renouvelables d’ici à la fin de 2024 et à s’appuyer totalement sur les énergies renouvelables d’ici à 2045 dans le cadre de la Blue Planet Alliance.</w:t>
      </w:r>
      <w:r w:rsidRPr="00177C84">
        <w:rPr>
          <w:rFonts w:eastAsia="Times New Roman"/>
        </w:rPr>
        <w:t xml:space="preserve"> </w:t>
      </w:r>
      <w:r>
        <w:rPr>
          <w:rFonts w:eastAsia="Times New Roman"/>
        </w:rPr>
        <w:t>Une feuille de route globale sur les changements climatiques a été adoptée, intégrant des évaluations des risques climatiques dans les domaines économique, social et culturel et mettant fortement l’accent sur la préservation de la culture ;</w:t>
      </w:r>
    </w:p>
    <w:p w14:paraId="2F979527" w14:textId="6EDF19E9" w:rsidR="007A401D" w:rsidRDefault="007A401D" w:rsidP="004603B4">
      <w:pPr>
        <w:pStyle w:val="SingleTxtG"/>
        <w:ind w:firstLine="567"/>
        <w:rPr>
          <w:rFonts w:eastAsia="Times New Roman"/>
        </w:rPr>
      </w:pPr>
      <w:r>
        <w:rPr>
          <w:rFonts w:eastAsia="Times New Roman"/>
        </w:rPr>
        <w:t>b)</w:t>
      </w:r>
      <w:r>
        <w:rPr>
          <w:rFonts w:eastAsia="Times New Roman"/>
        </w:rPr>
        <w:tab/>
        <w:t>Une stratégie de lutte contre les changements climatiques axée sur des thématiques en rapport avec l’élaboration des politiques a été récemment mise en œuvre.</w:t>
      </w:r>
      <w:r w:rsidRPr="00177C84">
        <w:rPr>
          <w:rFonts w:eastAsia="Times New Roman"/>
        </w:rPr>
        <w:t xml:space="preserve"> </w:t>
      </w:r>
      <w:r>
        <w:rPr>
          <w:rFonts w:eastAsia="Times New Roman"/>
        </w:rPr>
        <w:t>En</w:t>
      </w:r>
      <w:r w:rsidR="00E82F31">
        <w:rPr>
          <w:rFonts w:eastAsia="Times New Roman"/>
        </w:rPr>
        <w:t> </w:t>
      </w:r>
      <w:r>
        <w:rPr>
          <w:rFonts w:eastAsia="Times New Roman"/>
        </w:rPr>
        <w:t>outre, la préservation de la culture et du patrimoine culturel fait partie intégrante des thématiques sélectionnées dans la feuille de route et la stratégie ;</w:t>
      </w:r>
    </w:p>
    <w:p w14:paraId="6541C512" w14:textId="212B6567" w:rsidR="007A401D" w:rsidRDefault="007A401D" w:rsidP="004603B4">
      <w:pPr>
        <w:pStyle w:val="SingleTxtG"/>
        <w:ind w:firstLine="567"/>
        <w:rPr>
          <w:rFonts w:eastAsia="Times New Roman"/>
        </w:rPr>
      </w:pPr>
      <w:r>
        <w:rPr>
          <w:rFonts w:eastAsia="Times New Roman"/>
        </w:rPr>
        <w:t>c)</w:t>
      </w:r>
      <w:r>
        <w:rPr>
          <w:rFonts w:eastAsia="Times New Roman"/>
        </w:rPr>
        <w:tab/>
        <w:t>Un système d’alerte précoce multirisque pour les catastrophes naturelles est en place.</w:t>
      </w:r>
      <w:r w:rsidRPr="00F81B9B">
        <w:rPr>
          <w:rFonts w:eastAsia="Times New Roman"/>
        </w:rPr>
        <w:t xml:space="preserve"> </w:t>
      </w:r>
      <w:r>
        <w:rPr>
          <w:rFonts w:eastAsia="Times New Roman"/>
        </w:rPr>
        <w:t xml:space="preserve">Le Service météorologique est responsable de ce système et y apporte périodiquement les modifications jugées </w:t>
      </w:r>
      <w:r w:rsidRPr="007A401D">
        <w:t>nécessaires</w:t>
      </w:r>
      <w:r>
        <w:rPr>
          <w:rFonts w:eastAsia="Times New Roman"/>
        </w:rPr>
        <w:t> ;</w:t>
      </w:r>
    </w:p>
    <w:p w14:paraId="27321D74" w14:textId="18DDF04B" w:rsidR="007A401D" w:rsidRDefault="007A401D" w:rsidP="004603B4">
      <w:pPr>
        <w:pStyle w:val="SingleTxtG"/>
        <w:ind w:firstLine="567"/>
        <w:rPr>
          <w:rFonts w:eastAsia="Times New Roman"/>
        </w:rPr>
      </w:pPr>
      <w:r>
        <w:rPr>
          <w:rFonts w:eastAsia="Times New Roman"/>
        </w:rPr>
        <w:t>d)</w:t>
      </w:r>
      <w:r>
        <w:rPr>
          <w:rFonts w:eastAsia="Times New Roman"/>
        </w:rPr>
        <w:tab/>
        <w:t xml:space="preserve">L’élaboration des politiques et la coordination des mesures d’adaptation sont centralisées dans le cadre de la Plateforme de Curaçao sur les changements climatiques, qui assure une </w:t>
      </w:r>
      <w:r w:rsidRPr="007A401D">
        <w:t>coordination</w:t>
      </w:r>
      <w:r>
        <w:rPr>
          <w:rFonts w:eastAsia="Times New Roman"/>
        </w:rPr>
        <w:t xml:space="preserve"> efficace par l’intermédiaire de l’organisme chargé de la gestion des catastrophes à Curaçao. La préparation aux catastrophes et la gestion de celles-ci sont supervisées par la Direction de la réduction des risques de catastrophes.</w:t>
      </w:r>
    </w:p>
    <w:p w14:paraId="48A0C3C8" w14:textId="5958539F" w:rsidR="007A401D" w:rsidRDefault="004603B4" w:rsidP="004603B4">
      <w:pPr>
        <w:pStyle w:val="H1G"/>
      </w:pPr>
      <w:r>
        <w:tab/>
      </w:r>
      <w:r w:rsidR="007A401D">
        <w:t>B.</w:t>
      </w:r>
      <w:r w:rsidR="007A401D">
        <w:tab/>
        <w:t>Points relatifs aux dispositions générales du Pacte (art.</w:t>
      </w:r>
      <w:r>
        <w:t> </w:t>
      </w:r>
      <w:r w:rsidR="007A401D">
        <w:t>1</w:t>
      </w:r>
      <w:r w:rsidR="007A401D" w:rsidRPr="004603B4">
        <w:rPr>
          <w:vertAlign w:val="superscript"/>
        </w:rPr>
        <w:t>er</w:t>
      </w:r>
      <w:r w:rsidR="007A401D">
        <w:t xml:space="preserve"> à 5)</w:t>
      </w:r>
    </w:p>
    <w:p w14:paraId="5A83A4EC" w14:textId="3582776D" w:rsidR="007A401D" w:rsidRDefault="004603B4" w:rsidP="004603B4">
      <w:pPr>
        <w:pStyle w:val="H23G"/>
      </w:pPr>
      <w:r>
        <w:tab/>
      </w:r>
      <w:r>
        <w:tab/>
      </w:r>
      <w:r w:rsidR="007A401D">
        <w:t>Réponse au paragraphe</w:t>
      </w:r>
      <w:r>
        <w:t> </w:t>
      </w:r>
      <w:r w:rsidR="007A401D">
        <w:t>9 de la liste de points</w:t>
      </w:r>
    </w:p>
    <w:p w14:paraId="075AE6B4" w14:textId="7F9DF445" w:rsidR="007A401D" w:rsidRDefault="007A401D" w:rsidP="007A401D">
      <w:pPr>
        <w:pStyle w:val="SingleTxtG"/>
        <w:rPr>
          <w:rFonts w:eastAsia="Times New Roman"/>
        </w:rPr>
      </w:pPr>
      <w:r>
        <w:rPr>
          <w:rFonts w:eastAsia="Times New Roman"/>
          <w:bCs/>
        </w:rPr>
        <w:t>109.</w:t>
      </w:r>
      <w:r>
        <w:rPr>
          <w:rFonts w:eastAsia="Times New Roman"/>
          <w:bCs/>
        </w:rPr>
        <w:tab/>
      </w:r>
      <w:r>
        <w:rPr>
          <w:rFonts w:eastAsia="Times New Roman"/>
        </w:rPr>
        <w:t>Le 29</w:t>
      </w:r>
      <w:r w:rsidR="004603B4">
        <w:rPr>
          <w:rFonts w:eastAsia="Times New Roman"/>
        </w:rPr>
        <w:t> </w:t>
      </w:r>
      <w:r>
        <w:rPr>
          <w:rFonts w:eastAsia="Times New Roman"/>
        </w:rPr>
        <w:t xml:space="preserve">novembre 2022, le Médiateur de Curaçao ainsi que d’autres institutions nationales de </w:t>
      </w:r>
      <w:r w:rsidRPr="007A401D">
        <w:t>médiation</w:t>
      </w:r>
      <w:r>
        <w:rPr>
          <w:rFonts w:eastAsia="Times New Roman"/>
        </w:rPr>
        <w:t xml:space="preserve"> du Royaume ont organisé une conférence sur la pauvreté dans le Royaume. La conférence a débouché sur des recommandations concernant le renforcement du filet de sécurité sociale, l’amélioration des compétences linguistiques et un meilleur accès à une éducation de qualité pour les enfants, y</w:t>
      </w:r>
      <w:r w:rsidR="00E82F31">
        <w:rPr>
          <w:rFonts w:eastAsia="Times New Roman"/>
        </w:rPr>
        <w:t xml:space="preserve"> </w:t>
      </w:r>
      <w:r>
        <w:rPr>
          <w:rFonts w:eastAsia="Times New Roman"/>
        </w:rPr>
        <w:t>compris ceux souffrant de déficiences intellectuelles légères. Ces recommandations ont été communiquées au Ministre du développement social, du travail et de la protection sociale en décembre 2022. Pour les faits et les chiffres, voir les tableaux</w:t>
      </w:r>
      <w:r w:rsidR="004603B4">
        <w:rPr>
          <w:rFonts w:eastAsia="Times New Roman"/>
        </w:rPr>
        <w:t> </w:t>
      </w:r>
      <w:r>
        <w:rPr>
          <w:rFonts w:eastAsia="Times New Roman"/>
        </w:rPr>
        <w:t>1 et 2 de l’Annexe.</w:t>
      </w:r>
    </w:p>
    <w:p w14:paraId="55A8A6B6" w14:textId="498F1D89" w:rsidR="007A401D" w:rsidRDefault="004603B4" w:rsidP="004603B4">
      <w:pPr>
        <w:pStyle w:val="H1G"/>
      </w:pPr>
      <w:r>
        <w:tab/>
      </w:r>
      <w:r>
        <w:tab/>
      </w:r>
      <w:r w:rsidR="007A401D">
        <w:t>Article</w:t>
      </w:r>
      <w:r>
        <w:t> </w:t>
      </w:r>
      <w:r w:rsidR="007A401D">
        <w:t>2 (par.</w:t>
      </w:r>
      <w:r>
        <w:t> </w:t>
      </w:r>
      <w:r w:rsidR="007A401D">
        <w:t>2)</w:t>
      </w:r>
      <w:r>
        <w:t xml:space="preserve"> </w:t>
      </w:r>
      <w:r>
        <w:br/>
      </w:r>
      <w:r w:rsidR="007A401D">
        <w:t>Non-discrimination</w:t>
      </w:r>
    </w:p>
    <w:p w14:paraId="421076DF" w14:textId="66AD8EE8" w:rsidR="007A401D" w:rsidRDefault="004603B4" w:rsidP="004603B4">
      <w:pPr>
        <w:pStyle w:val="H23G"/>
      </w:pPr>
      <w:r>
        <w:tab/>
      </w:r>
      <w:r>
        <w:tab/>
      </w:r>
      <w:r w:rsidR="007A401D">
        <w:t>Réponse au paragraphe</w:t>
      </w:r>
      <w:r>
        <w:t> </w:t>
      </w:r>
      <w:r w:rsidR="007A401D">
        <w:t>10 de la liste de points</w:t>
      </w:r>
    </w:p>
    <w:p w14:paraId="0CAD324A" w14:textId="77777777" w:rsidR="007A401D" w:rsidRPr="00D74ED0" w:rsidRDefault="007A401D" w:rsidP="007A401D">
      <w:pPr>
        <w:pStyle w:val="SingleTxtG"/>
        <w:rPr>
          <w:rFonts w:eastAsia="Times New Roman"/>
        </w:rPr>
      </w:pPr>
      <w:r>
        <w:rPr>
          <w:rFonts w:eastAsia="Times New Roman"/>
          <w:bCs/>
        </w:rPr>
        <w:t>110.</w:t>
      </w:r>
      <w:r>
        <w:rPr>
          <w:rFonts w:eastAsia="Times New Roman"/>
          <w:bCs/>
        </w:rPr>
        <w:tab/>
      </w:r>
      <w:r>
        <w:rPr>
          <w:rFonts w:eastAsia="Times New Roman"/>
        </w:rPr>
        <w:t xml:space="preserve">Au cours des cinq dernières années, le ministère public de Curaçao n’a engagé aucune </w:t>
      </w:r>
      <w:r w:rsidRPr="007A401D">
        <w:t>poursuite</w:t>
      </w:r>
      <w:r>
        <w:rPr>
          <w:rFonts w:eastAsia="Times New Roman"/>
        </w:rPr>
        <w:t xml:space="preserve"> pour violation de l’interdiction de la discrimination.</w:t>
      </w:r>
    </w:p>
    <w:p w14:paraId="1BCF1184" w14:textId="359A4749" w:rsidR="007A401D" w:rsidRPr="004603B4" w:rsidRDefault="004603B4" w:rsidP="004603B4">
      <w:pPr>
        <w:pStyle w:val="H1G"/>
      </w:pPr>
      <w:r>
        <w:tab/>
      </w:r>
      <w:r>
        <w:tab/>
      </w:r>
      <w:r w:rsidR="007A401D">
        <w:t>Article</w:t>
      </w:r>
      <w:r>
        <w:t> </w:t>
      </w:r>
      <w:r w:rsidR="007A401D">
        <w:t>3</w:t>
      </w:r>
      <w:r>
        <w:t xml:space="preserve"> </w:t>
      </w:r>
      <w:r>
        <w:br/>
      </w:r>
      <w:r w:rsidR="007A401D">
        <w:t>Égalité des droits des hommes et des femmes</w:t>
      </w:r>
    </w:p>
    <w:p w14:paraId="71DFC3B3" w14:textId="1B94642C" w:rsidR="007A401D" w:rsidRDefault="007A401D" w:rsidP="007A401D">
      <w:pPr>
        <w:pStyle w:val="SingleTxtG"/>
        <w:rPr>
          <w:rFonts w:eastAsia="Times New Roman"/>
        </w:rPr>
      </w:pPr>
      <w:r>
        <w:rPr>
          <w:rFonts w:eastAsia="Times New Roman"/>
          <w:bCs/>
        </w:rPr>
        <w:t>111.</w:t>
      </w:r>
      <w:r>
        <w:rPr>
          <w:rFonts w:eastAsia="Times New Roman"/>
          <w:bCs/>
        </w:rPr>
        <w:tab/>
      </w:r>
      <w:r>
        <w:rPr>
          <w:rFonts w:eastAsia="Times New Roman"/>
        </w:rPr>
        <w:t>Curaçao a élaboré un plan national de lutte contre la violence domestique, y</w:t>
      </w:r>
      <w:r w:rsidR="00375918">
        <w:rPr>
          <w:rFonts w:eastAsia="Times New Roman"/>
        </w:rPr>
        <w:t xml:space="preserve"> </w:t>
      </w:r>
      <w:r>
        <w:rPr>
          <w:rFonts w:eastAsia="Times New Roman"/>
        </w:rPr>
        <w:t>compris les diverses formes de violence à l’égard des femmes et des filles, dont la mise en œuvre est en cours. Des cours sur la gestion des dettes, spécialement conçus pour les femmes, sont proposés par le Ministère du développement social, du travail et de la protection sociale.</w:t>
      </w:r>
    </w:p>
    <w:p w14:paraId="3063A68F" w14:textId="46BD2385" w:rsidR="007A401D" w:rsidRDefault="004603B4" w:rsidP="004603B4">
      <w:pPr>
        <w:pStyle w:val="H1G"/>
      </w:pPr>
      <w:r>
        <w:lastRenderedPageBreak/>
        <w:tab/>
      </w:r>
      <w:r w:rsidR="007A401D">
        <w:t>C.</w:t>
      </w:r>
      <w:r w:rsidR="007A401D">
        <w:tab/>
        <w:t>Points relatifs aux dispositions spécifiques du Pacte (art.</w:t>
      </w:r>
      <w:r>
        <w:t> </w:t>
      </w:r>
      <w:r w:rsidR="007A401D">
        <w:t>6 à 15)</w:t>
      </w:r>
    </w:p>
    <w:p w14:paraId="76533F4B" w14:textId="0631D2F2" w:rsidR="007A401D" w:rsidRDefault="004603B4" w:rsidP="004603B4">
      <w:pPr>
        <w:pStyle w:val="H1G"/>
      </w:pPr>
      <w:r>
        <w:tab/>
      </w:r>
      <w:r>
        <w:tab/>
      </w:r>
      <w:r w:rsidR="007A401D">
        <w:t>Article 6</w:t>
      </w:r>
      <w:r>
        <w:t xml:space="preserve"> </w:t>
      </w:r>
      <w:r>
        <w:br/>
      </w:r>
      <w:r w:rsidR="007A401D">
        <w:t>Droit au travail</w:t>
      </w:r>
    </w:p>
    <w:p w14:paraId="72B020BF" w14:textId="0052C2B9" w:rsidR="007A401D" w:rsidRDefault="004603B4" w:rsidP="004603B4">
      <w:pPr>
        <w:pStyle w:val="H23G"/>
      </w:pPr>
      <w:r>
        <w:tab/>
      </w:r>
      <w:r>
        <w:tab/>
      </w:r>
      <w:r w:rsidR="007A401D">
        <w:t>Réponse aux paragraphes</w:t>
      </w:r>
      <w:r>
        <w:t> </w:t>
      </w:r>
      <w:r w:rsidR="007A401D">
        <w:t>15 et 16 de la liste de points</w:t>
      </w:r>
    </w:p>
    <w:p w14:paraId="69E52D01" w14:textId="0E04D36C" w:rsidR="007A401D" w:rsidRDefault="007A401D" w:rsidP="007A401D">
      <w:pPr>
        <w:pStyle w:val="SingleTxtG"/>
        <w:rPr>
          <w:rFonts w:eastAsia="Times New Roman"/>
        </w:rPr>
      </w:pPr>
      <w:r>
        <w:rPr>
          <w:rFonts w:eastAsia="Times New Roman"/>
          <w:bCs/>
        </w:rPr>
        <w:t>112.</w:t>
      </w:r>
      <w:r>
        <w:rPr>
          <w:rFonts w:eastAsia="Times New Roman"/>
          <w:bCs/>
        </w:rPr>
        <w:tab/>
      </w:r>
      <w:r>
        <w:rPr>
          <w:rFonts w:eastAsia="Times New Roman"/>
        </w:rPr>
        <w:t>En 2022, la Banque d’offres d’emploi a enregistré 217</w:t>
      </w:r>
      <w:r w:rsidR="004603B4">
        <w:rPr>
          <w:rFonts w:eastAsia="Times New Roman"/>
        </w:rPr>
        <w:t> </w:t>
      </w:r>
      <w:r>
        <w:rPr>
          <w:rFonts w:eastAsia="Times New Roman"/>
        </w:rPr>
        <w:t xml:space="preserve">demandeurs d’emploi, </w:t>
      </w:r>
      <w:r w:rsidRPr="007A401D">
        <w:t>principalement</w:t>
      </w:r>
      <w:r>
        <w:rPr>
          <w:rFonts w:eastAsia="Times New Roman"/>
        </w:rPr>
        <w:t xml:space="preserve"> des jeunes chômeurs. Pour faire face à ce problème, deux initiatives de formation ont été mises en œuvre :</w:t>
      </w:r>
    </w:p>
    <w:p w14:paraId="17FC75AE" w14:textId="1F2368D8" w:rsidR="007A401D" w:rsidRDefault="007A401D" w:rsidP="004603B4">
      <w:pPr>
        <w:pStyle w:val="Bullet1G"/>
      </w:pPr>
      <w:r>
        <w:t xml:space="preserve">Le projet de formation sociale obligatoire </w:t>
      </w:r>
      <w:r w:rsidRPr="00553DE6">
        <w:rPr>
          <w:i/>
        </w:rPr>
        <w:t>Un komienso nobo</w:t>
      </w:r>
      <w:r>
        <w:t xml:space="preserve"> s’adresse aux jeunes de 18 à 24</w:t>
      </w:r>
      <w:r w:rsidR="004603B4">
        <w:t> </w:t>
      </w:r>
      <w:r>
        <w:t>ans qui ont abandonné l’école et leur propose une éducation de base et un travail supervisé assorti d’une allocation. En 2023, 25</w:t>
      </w:r>
      <w:r w:rsidR="004603B4">
        <w:t> </w:t>
      </w:r>
      <w:r>
        <w:t>participants ont achevé la première phase du projet et sont passés à la seconde ;</w:t>
      </w:r>
    </w:p>
    <w:p w14:paraId="4B3B406B" w14:textId="33B805DB" w:rsidR="007A401D" w:rsidRDefault="007A401D" w:rsidP="004603B4">
      <w:pPr>
        <w:pStyle w:val="Bullet1G"/>
      </w:pPr>
      <w:r>
        <w:t>Une initiative publique-privée vise à former de jeunes adultes à l’emploi dans le secteur du tourisme, en pleine croissance, et à améliorer leurs compétences. Cette</w:t>
      </w:r>
      <w:r w:rsidR="004603B4">
        <w:t> </w:t>
      </w:r>
      <w:r>
        <w:t>initiative a permis d’offrir une formation sur le tas, les participants recevant une allocation mensuelle financée par l’Office du tourisme de Curaçao et le Ministère du développement économique, le Ministère de l’éducation, de la science, de la culture et du sport et le Ministère du développement social, du travail et de la protection sociale.</w:t>
      </w:r>
    </w:p>
    <w:p w14:paraId="4EEEA6AB" w14:textId="2D1EE347" w:rsidR="007A401D" w:rsidRPr="004603B4" w:rsidRDefault="004603B4" w:rsidP="004603B4">
      <w:pPr>
        <w:pStyle w:val="H1G"/>
      </w:pPr>
      <w:r>
        <w:tab/>
      </w:r>
      <w:r>
        <w:tab/>
      </w:r>
      <w:r w:rsidR="007A401D" w:rsidRPr="00AC72E4">
        <w:t>Article 7</w:t>
      </w:r>
      <w:r>
        <w:t xml:space="preserve"> </w:t>
      </w:r>
      <w:r>
        <w:br/>
      </w:r>
      <w:r w:rsidR="007A401D">
        <w:t>Droit à des conditions équitables et satisfaisantes de travail</w:t>
      </w:r>
    </w:p>
    <w:p w14:paraId="347CBE5F" w14:textId="4A54BCB9" w:rsidR="007A401D" w:rsidRDefault="004603B4" w:rsidP="004603B4">
      <w:pPr>
        <w:pStyle w:val="H23G"/>
      </w:pPr>
      <w:r>
        <w:tab/>
      </w:r>
      <w:r>
        <w:tab/>
      </w:r>
      <w:r w:rsidR="007A401D">
        <w:t>Réponse au paragraphe</w:t>
      </w:r>
      <w:r>
        <w:t> </w:t>
      </w:r>
      <w:r w:rsidR="007A401D">
        <w:t>18 de la liste de points</w:t>
      </w:r>
    </w:p>
    <w:p w14:paraId="30A00A98" w14:textId="5963AF4E" w:rsidR="007A401D" w:rsidRDefault="007A401D" w:rsidP="007A401D">
      <w:pPr>
        <w:pStyle w:val="SingleTxtG"/>
        <w:rPr>
          <w:rFonts w:eastAsia="Times New Roman"/>
        </w:rPr>
      </w:pPr>
      <w:r>
        <w:rPr>
          <w:rFonts w:eastAsia="Times New Roman"/>
        </w:rPr>
        <w:t>113.</w:t>
      </w:r>
      <w:r>
        <w:rPr>
          <w:rFonts w:eastAsia="Times New Roman"/>
        </w:rPr>
        <w:tab/>
      </w:r>
      <w:r w:rsidRPr="007A401D">
        <w:t>Curaçao</w:t>
      </w:r>
      <w:r>
        <w:rPr>
          <w:rFonts w:eastAsia="Times New Roman"/>
        </w:rPr>
        <w:t xml:space="preserve"> dispose d’un salaire minimum légal, qui est ajusté chaque année en fonction de l’inflation afin de maintenir le pouvoir d’achat et de lutter contre la pauvreté. Le 1</w:t>
      </w:r>
      <w:r w:rsidRPr="004603B4">
        <w:rPr>
          <w:rFonts w:eastAsia="Times New Roman"/>
          <w:vertAlign w:val="superscript"/>
        </w:rPr>
        <w:t>er</w:t>
      </w:r>
      <w:r w:rsidR="004603B4">
        <w:rPr>
          <w:rFonts w:eastAsia="Times New Roman"/>
        </w:rPr>
        <w:t> </w:t>
      </w:r>
      <w:r>
        <w:rPr>
          <w:rFonts w:eastAsia="Times New Roman"/>
        </w:rPr>
        <w:t>janvier 2023, le salaire minimum a été augmenté de 11,2</w:t>
      </w:r>
      <w:r w:rsidR="004603B4">
        <w:rPr>
          <w:rFonts w:eastAsia="Times New Roman"/>
        </w:rPr>
        <w:t> </w:t>
      </w:r>
      <w:r>
        <w:rPr>
          <w:rFonts w:eastAsia="Times New Roman"/>
        </w:rPr>
        <w:t>% pour atteindre 10,70</w:t>
      </w:r>
      <w:r w:rsidR="004603B4">
        <w:rPr>
          <w:rFonts w:eastAsia="Times New Roman"/>
        </w:rPr>
        <w:t> </w:t>
      </w:r>
      <w:r>
        <w:rPr>
          <w:rFonts w:eastAsia="Times New Roman"/>
        </w:rPr>
        <w:t>florins des Antilles néerlandaises (ANG) de l’heure, puis 11,28</w:t>
      </w:r>
      <w:r w:rsidR="004603B4">
        <w:rPr>
          <w:rFonts w:eastAsia="Times New Roman"/>
        </w:rPr>
        <w:t> </w:t>
      </w:r>
      <w:r>
        <w:rPr>
          <w:rFonts w:eastAsia="Times New Roman"/>
        </w:rPr>
        <w:t>florins de l’heure à partir du 1</w:t>
      </w:r>
      <w:r w:rsidRPr="004603B4">
        <w:rPr>
          <w:rFonts w:eastAsia="Times New Roman"/>
          <w:vertAlign w:val="superscript"/>
        </w:rPr>
        <w:t>er</w:t>
      </w:r>
      <w:r w:rsidR="004603B4">
        <w:rPr>
          <w:rFonts w:eastAsia="Times New Roman"/>
        </w:rPr>
        <w:t> </w:t>
      </w:r>
      <w:r>
        <w:rPr>
          <w:rFonts w:eastAsia="Times New Roman"/>
        </w:rPr>
        <w:t>janvier 2024. Ce</w:t>
      </w:r>
      <w:r w:rsidR="004603B4">
        <w:rPr>
          <w:rFonts w:eastAsia="Times New Roman"/>
        </w:rPr>
        <w:t> </w:t>
      </w:r>
      <w:r>
        <w:rPr>
          <w:rFonts w:eastAsia="Times New Roman"/>
        </w:rPr>
        <w:t>salaire s’applique à tous les travailleurs, y</w:t>
      </w:r>
      <w:r w:rsidR="004603B4">
        <w:rPr>
          <w:rFonts w:eastAsia="Times New Roman"/>
        </w:rPr>
        <w:t> </w:t>
      </w:r>
      <w:r>
        <w:rPr>
          <w:rFonts w:eastAsia="Times New Roman"/>
        </w:rPr>
        <w:t>compris le personnel de maison, sans distinction de croyance, de race, de religion, de sexe ou de nationalité.</w:t>
      </w:r>
    </w:p>
    <w:p w14:paraId="06C33905" w14:textId="2E7B9AD3" w:rsidR="007A401D" w:rsidRDefault="004603B4" w:rsidP="004603B4">
      <w:pPr>
        <w:pStyle w:val="H23G"/>
      </w:pPr>
      <w:r>
        <w:tab/>
      </w:r>
      <w:r>
        <w:tab/>
      </w:r>
      <w:r w:rsidR="007A401D">
        <w:t>Réponse au paragraphe</w:t>
      </w:r>
      <w:r>
        <w:t> </w:t>
      </w:r>
      <w:r w:rsidR="007A401D">
        <w:t>19 de la liste de points</w:t>
      </w:r>
    </w:p>
    <w:p w14:paraId="0A6F3974" w14:textId="77777777" w:rsidR="007A401D" w:rsidRDefault="007A401D" w:rsidP="007A401D">
      <w:pPr>
        <w:pStyle w:val="SingleTxtG"/>
        <w:rPr>
          <w:rFonts w:eastAsia="Times New Roman"/>
        </w:rPr>
      </w:pPr>
      <w:r>
        <w:rPr>
          <w:rFonts w:eastAsia="Times New Roman"/>
        </w:rPr>
        <w:t>114.</w:t>
      </w:r>
      <w:r>
        <w:rPr>
          <w:rFonts w:eastAsia="Times New Roman"/>
        </w:rPr>
        <w:tab/>
        <w:t>Le ministère public ne dispose pas de données statistiques concernant le harcèlement sur le lieu de travail.</w:t>
      </w:r>
    </w:p>
    <w:p w14:paraId="43CC47B9" w14:textId="3BF136E4" w:rsidR="007A401D" w:rsidRDefault="004603B4" w:rsidP="004603B4">
      <w:pPr>
        <w:pStyle w:val="H1G"/>
      </w:pPr>
      <w:r>
        <w:tab/>
      </w:r>
      <w:r>
        <w:tab/>
      </w:r>
      <w:r w:rsidR="007A401D">
        <w:t>Article 8</w:t>
      </w:r>
      <w:r>
        <w:t xml:space="preserve"> </w:t>
      </w:r>
      <w:r>
        <w:br/>
      </w:r>
      <w:r w:rsidR="007A401D">
        <w:t>Droits syndicaux</w:t>
      </w:r>
    </w:p>
    <w:p w14:paraId="0EE85B80" w14:textId="32CFB033" w:rsidR="007A401D" w:rsidRDefault="004603B4" w:rsidP="004603B4">
      <w:pPr>
        <w:pStyle w:val="H23G"/>
      </w:pPr>
      <w:r>
        <w:tab/>
      </w:r>
      <w:r>
        <w:tab/>
      </w:r>
      <w:r w:rsidR="007A401D">
        <w:t>Réponse au paragraphe</w:t>
      </w:r>
      <w:r>
        <w:t> </w:t>
      </w:r>
      <w:r w:rsidR="007A401D">
        <w:t>20 de la liste de points</w:t>
      </w:r>
    </w:p>
    <w:p w14:paraId="030B086F" w14:textId="0A191832" w:rsidR="007A401D" w:rsidRDefault="007A401D" w:rsidP="007A401D">
      <w:pPr>
        <w:pStyle w:val="SingleTxtG"/>
        <w:rPr>
          <w:rFonts w:eastAsia="Times New Roman"/>
        </w:rPr>
      </w:pPr>
      <w:r w:rsidRPr="00A93B7D">
        <w:rPr>
          <w:rFonts w:eastAsia="Times New Roman"/>
          <w:bCs/>
        </w:rPr>
        <w:t>115.</w:t>
      </w:r>
      <w:r w:rsidRPr="00A93B7D">
        <w:rPr>
          <w:rFonts w:eastAsia="Times New Roman"/>
          <w:bCs/>
        </w:rPr>
        <w:tab/>
      </w:r>
      <w:r>
        <w:rPr>
          <w:rFonts w:eastAsia="Times New Roman"/>
        </w:rPr>
        <w:t>À Curaçao, le droit de former des syndicats est garanti à la fois par les traités internationaux et par la législation nationale. L’article</w:t>
      </w:r>
      <w:r w:rsidR="004603B4">
        <w:rPr>
          <w:rFonts w:eastAsia="Times New Roman"/>
        </w:rPr>
        <w:t> </w:t>
      </w:r>
      <w:r>
        <w:rPr>
          <w:rFonts w:eastAsia="Times New Roman"/>
        </w:rPr>
        <w:t>14 (par.</w:t>
      </w:r>
      <w:r w:rsidR="004603B4">
        <w:rPr>
          <w:rFonts w:eastAsia="Times New Roman"/>
        </w:rPr>
        <w:t> </w:t>
      </w:r>
      <w:r>
        <w:rPr>
          <w:rFonts w:eastAsia="Times New Roman"/>
        </w:rPr>
        <w:t xml:space="preserve">1, 2 et 3) de l’Ordonnance </w:t>
      </w:r>
      <w:r w:rsidRPr="007A401D">
        <w:t>nationale</w:t>
      </w:r>
      <w:r>
        <w:rPr>
          <w:rFonts w:eastAsia="Times New Roman"/>
        </w:rPr>
        <w:t xml:space="preserve"> sur les conflits du travail (</w:t>
      </w:r>
      <w:r w:rsidRPr="000856E7">
        <w:rPr>
          <w:rFonts w:eastAsia="Times New Roman"/>
          <w:i/>
        </w:rPr>
        <w:t>Arbeidsgeschillenlandsverordening</w:t>
      </w:r>
      <w:r>
        <w:rPr>
          <w:rFonts w:eastAsia="Times New Roman"/>
        </w:rPr>
        <w:t xml:space="preserve"> 1946) et l’Ordonnance nationale sur les conventions collectives (</w:t>
      </w:r>
      <w:r w:rsidRPr="000856E7">
        <w:rPr>
          <w:rFonts w:eastAsia="Times New Roman"/>
          <w:i/>
        </w:rPr>
        <w:t>Landsverordening Collectieve Arbeidsovereenkomsten</w:t>
      </w:r>
      <w:r>
        <w:rPr>
          <w:rFonts w:eastAsia="Times New Roman"/>
        </w:rPr>
        <w:t>) s’appliquent dans le secteur privé. La loi définit comment les syndicats peuvent démontrer qu’ils représentent la majorité d’une catégorie spécifique de salariés, et les employeurs sont tenus par la loi de reconnaître ces syndicats comme partenaires de négociation. En cas de litige concernant la représentation, un référendum peut être organisé. Des règles analogues pour le secteur public sont définies dans la législation nationale et dans la Convention (n</w:t>
      </w:r>
      <w:r w:rsidR="004603B4" w:rsidRPr="004603B4">
        <w:rPr>
          <w:rFonts w:eastAsia="Times New Roman"/>
          <w:vertAlign w:val="superscript"/>
        </w:rPr>
        <w:t>o</w:t>
      </w:r>
      <w:r w:rsidR="004603B4">
        <w:rPr>
          <w:rFonts w:eastAsia="Times New Roman"/>
        </w:rPr>
        <w:t> </w:t>
      </w:r>
      <w:r>
        <w:rPr>
          <w:rFonts w:eastAsia="Times New Roman"/>
        </w:rPr>
        <w:t>151) de l’OIT sur les relations de travail dans la fonction publique.</w:t>
      </w:r>
    </w:p>
    <w:p w14:paraId="594F3003" w14:textId="5BECB097" w:rsidR="007A401D" w:rsidRDefault="007A401D" w:rsidP="004603B4">
      <w:pPr>
        <w:pStyle w:val="SingleTxtG"/>
        <w:keepNext/>
        <w:keepLines/>
        <w:rPr>
          <w:rFonts w:eastAsia="Times New Roman"/>
        </w:rPr>
      </w:pPr>
      <w:r>
        <w:rPr>
          <w:rFonts w:eastAsia="Times New Roman"/>
        </w:rPr>
        <w:lastRenderedPageBreak/>
        <w:t>116.</w:t>
      </w:r>
      <w:r>
        <w:rPr>
          <w:rFonts w:eastAsia="Times New Roman"/>
        </w:rPr>
        <w:tab/>
        <w:t xml:space="preserve">Curaçao reconnaît le droit de grève. Il est important d’agir rapidement et efficacement pour prévenir les grèves. Lorsqu’une grève est imminente, une procédure </w:t>
      </w:r>
      <w:r w:rsidRPr="007A401D">
        <w:t>d’injonction</w:t>
      </w:r>
      <w:r>
        <w:rPr>
          <w:rFonts w:eastAsia="Times New Roman"/>
        </w:rPr>
        <w:t xml:space="preserve"> provisoire peut être engagée. Le tribunal peut prendre en compte toutes les conséquences potentielles, y</w:t>
      </w:r>
      <w:r w:rsidR="00375918">
        <w:rPr>
          <w:rFonts w:eastAsia="Times New Roman"/>
        </w:rPr>
        <w:t> </w:t>
      </w:r>
      <w:r>
        <w:rPr>
          <w:rFonts w:eastAsia="Times New Roman"/>
        </w:rPr>
        <w:t>compris les effets négatifs, dans sa décision. Le droit de grève est un droit essentiel des travailleurs qui doit être respecté, mais pas à n’importe quel prix.</w:t>
      </w:r>
    </w:p>
    <w:p w14:paraId="500366F3" w14:textId="4A610718" w:rsidR="007A401D" w:rsidRDefault="004603B4" w:rsidP="004603B4">
      <w:pPr>
        <w:pStyle w:val="H1G"/>
      </w:pPr>
      <w:r>
        <w:tab/>
      </w:r>
      <w:r>
        <w:tab/>
      </w:r>
      <w:r w:rsidR="007A401D">
        <w:t>Article 9</w:t>
      </w:r>
      <w:r>
        <w:t xml:space="preserve"> </w:t>
      </w:r>
      <w:r>
        <w:br/>
      </w:r>
      <w:r w:rsidR="007A401D">
        <w:t>Droit à la sécurité sociale</w:t>
      </w:r>
    </w:p>
    <w:p w14:paraId="2D916B98" w14:textId="63D7D63A" w:rsidR="007A401D" w:rsidRDefault="004603B4" w:rsidP="004603B4">
      <w:pPr>
        <w:pStyle w:val="H23G"/>
      </w:pPr>
      <w:r>
        <w:tab/>
      </w:r>
      <w:r>
        <w:tab/>
      </w:r>
      <w:r w:rsidR="007A401D">
        <w:t>Réponse au paragraphe</w:t>
      </w:r>
      <w:r>
        <w:t> </w:t>
      </w:r>
      <w:r w:rsidR="007A401D">
        <w:t>21 de la liste de points</w:t>
      </w:r>
    </w:p>
    <w:p w14:paraId="3ED96E9A" w14:textId="77777777" w:rsidR="007A401D" w:rsidRDefault="007A401D" w:rsidP="007A401D">
      <w:pPr>
        <w:pStyle w:val="SingleTxtG"/>
        <w:rPr>
          <w:rFonts w:eastAsia="Times New Roman"/>
        </w:rPr>
      </w:pPr>
      <w:r>
        <w:rPr>
          <w:rFonts w:eastAsia="Times New Roman"/>
          <w:bCs/>
        </w:rPr>
        <w:t>117.</w:t>
      </w:r>
      <w:r>
        <w:rPr>
          <w:rFonts w:eastAsia="Times New Roman"/>
          <w:bCs/>
        </w:rPr>
        <w:tab/>
      </w:r>
      <w:r>
        <w:rPr>
          <w:rFonts w:eastAsia="Times New Roman"/>
        </w:rPr>
        <w:t>Plusieurs mesures ont été prises pour améliorer l’adéquation et l’accessibilité du système de sécurité sociale :</w:t>
      </w:r>
    </w:p>
    <w:p w14:paraId="3674CF41" w14:textId="78348614" w:rsidR="007A401D" w:rsidRDefault="007A401D" w:rsidP="004603B4">
      <w:pPr>
        <w:pStyle w:val="Bullet1G"/>
      </w:pPr>
      <w:r>
        <w:t>Accessibilité</w:t>
      </w:r>
      <w:r w:rsidR="004603B4">
        <w:t> </w:t>
      </w:r>
      <w:r>
        <w:t xml:space="preserve">: La Banque des assurances sociales (SVB) est située au centre de l’île, ce qui en facilite l’accès. Elle propose également un site </w:t>
      </w:r>
      <w:r w:rsidR="00375918">
        <w:t>W</w:t>
      </w:r>
      <w:r>
        <w:t>eb convivial pour l’accès à distance aux informations et soutient les clients par courrier électronique, par téléphone et via les médias sociaux ;</w:t>
      </w:r>
    </w:p>
    <w:p w14:paraId="3A3FCB21" w14:textId="3F5604E1" w:rsidR="007A401D" w:rsidRDefault="007A401D" w:rsidP="004603B4">
      <w:pPr>
        <w:pStyle w:val="Bullet1G"/>
      </w:pPr>
      <w:r>
        <w:t>Conformité et équité</w:t>
      </w:r>
      <w:r w:rsidR="004603B4">
        <w:t> </w:t>
      </w:r>
      <w:r>
        <w:t>: La SVB veille à ce que les prestations d’assurance sociale, y</w:t>
      </w:r>
      <w:r w:rsidR="004603B4">
        <w:t> </w:t>
      </w:r>
      <w:r>
        <w:t>compris les prestations d’invalidité liée au travail et l’aide spécialisée aux personnes handicapées, soient versées en toute légalité, dans le respect des normes juridiques. Les prestations sont uniformes à l’échelle nationale afin de promouvoir l’équité ;</w:t>
      </w:r>
    </w:p>
    <w:p w14:paraId="3C6074A6" w14:textId="5F7F266B" w:rsidR="007A401D" w:rsidRDefault="007A401D" w:rsidP="004603B4">
      <w:pPr>
        <w:pStyle w:val="Bullet1G"/>
      </w:pPr>
      <w:r>
        <w:t>Évaluation récente</w:t>
      </w:r>
      <w:r w:rsidR="004603B4">
        <w:t> </w:t>
      </w:r>
      <w:r>
        <w:t>: En juillet 2023, une étude a évalué les prestations de sécurité sociale à Curaçao dans le cadre de l’accord «</w:t>
      </w:r>
      <w:r w:rsidR="004603B4">
        <w:t> </w:t>
      </w:r>
      <w:r>
        <w:t>Landspakket</w:t>
      </w:r>
      <w:r w:rsidR="004603B4">
        <w:t> </w:t>
      </w:r>
      <w:r>
        <w:t>», qui vise à améliorer le niveau de vie des groupes vulnérables. Les ajustements proposés sont en attente de l’approbation du Gouvernement et pourraient conduire à de futures améliorations du système de sécurité sociale.</w:t>
      </w:r>
    </w:p>
    <w:p w14:paraId="5B67DEF7" w14:textId="77777777" w:rsidR="007A401D" w:rsidRDefault="007A401D" w:rsidP="004603B4">
      <w:pPr>
        <w:pStyle w:val="SingleTxtG"/>
      </w:pPr>
      <w:r>
        <w:t>118.</w:t>
      </w:r>
      <w:r>
        <w:tab/>
        <w:t>L’ensemble de ces efforts témoignent de la volonté d’offrir un système de sécurité sociale réactif et efficace.</w:t>
      </w:r>
    </w:p>
    <w:p w14:paraId="7D04D5B8" w14:textId="0CC2E234" w:rsidR="007A401D" w:rsidRDefault="004603B4" w:rsidP="004603B4">
      <w:pPr>
        <w:pStyle w:val="H1G"/>
      </w:pPr>
      <w:r>
        <w:tab/>
      </w:r>
      <w:r>
        <w:tab/>
      </w:r>
      <w:r w:rsidR="007A401D">
        <w:t>Article 10</w:t>
      </w:r>
      <w:r>
        <w:t xml:space="preserve"> </w:t>
      </w:r>
      <w:r>
        <w:br/>
      </w:r>
      <w:r w:rsidR="007A401D">
        <w:t>Protection de la famille et de l’enfant</w:t>
      </w:r>
    </w:p>
    <w:p w14:paraId="3D87EC8E" w14:textId="7CCB7443" w:rsidR="007A401D" w:rsidRDefault="004603B4" w:rsidP="004603B4">
      <w:pPr>
        <w:pStyle w:val="H23G"/>
      </w:pPr>
      <w:r>
        <w:tab/>
      </w:r>
      <w:r>
        <w:tab/>
      </w:r>
      <w:r w:rsidR="007A401D">
        <w:t>Réponse au paragraphe</w:t>
      </w:r>
      <w:r>
        <w:t> </w:t>
      </w:r>
      <w:r w:rsidR="007A401D">
        <w:t>22 de la liste de points</w:t>
      </w:r>
    </w:p>
    <w:p w14:paraId="228ACF0A" w14:textId="3A9208D1" w:rsidR="007A401D" w:rsidRDefault="007A401D" w:rsidP="007A401D">
      <w:pPr>
        <w:pStyle w:val="SingleTxtG"/>
        <w:rPr>
          <w:rFonts w:eastAsia="Times New Roman"/>
        </w:rPr>
      </w:pPr>
      <w:r>
        <w:rPr>
          <w:rFonts w:eastAsia="Times New Roman"/>
        </w:rPr>
        <w:t>119.</w:t>
      </w:r>
      <w:r>
        <w:rPr>
          <w:rFonts w:eastAsia="Times New Roman"/>
        </w:rPr>
        <w:tab/>
        <w:t>À Curaçao, l’expression «</w:t>
      </w:r>
      <w:r w:rsidR="004603B4">
        <w:rPr>
          <w:rFonts w:eastAsia="Times New Roman"/>
        </w:rPr>
        <w:t> </w:t>
      </w:r>
      <w:r>
        <w:rPr>
          <w:rFonts w:eastAsia="Times New Roman"/>
        </w:rPr>
        <w:t>violence domestique</w:t>
      </w:r>
      <w:r w:rsidR="004603B4">
        <w:rPr>
          <w:rFonts w:eastAsia="Times New Roman"/>
        </w:rPr>
        <w:t> </w:t>
      </w:r>
      <w:r>
        <w:rPr>
          <w:rFonts w:eastAsia="Times New Roman"/>
        </w:rPr>
        <w:t>» englobe la violence dans les relations familiales et amoureuses, ainsi que la maltraitance des enfants et des personnes âgées. Le ministère public collabore avec diverses agences pour poursuivre les infractions et soutenir les victimes, ce qui témoigne de la volonté de lutter contre la violence selon une approche globale. Pour les faits et les chiffres, voir le tableau</w:t>
      </w:r>
      <w:r w:rsidR="004603B4">
        <w:rPr>
          <w:rFonts w:eastAsia="Times New Roman"/>
        </w:rPr>
        <w:t> </w:t>
      </w:r>
      <w:r>
        <w:rPr>
          <w:rFonts w:eastAsia="Times New Roman"/>
        </w:rPr>
        <w:t>3 de l’Annexe.</w:t>
      </w:r>
    </w:p>
    <w:p w14:paraId="4235891A" w14:textId="59211DFA" w:rsidR="007A401D" w:rsidRDefault="007A401D" w:rsidP="007A401D">
      <w:pPr>
        <w:pStyle w:val="SingleTxtG"/>
        <w:rPr>
          <w:rFonts w:eastAsia="Times New Roman"/>
        </w:rPr>
      </w:pPr>
      <w:r>
        <w:rPr>
          <w:rFonts w:eastAsia="Times New Roman"/>
        </w:rPr>
        <w:t>120.</w:t>
      </w:r>
      <w:r>
        <w:rPr>
          <w:rFonts w:eastAsia="Times New Roman"/>
        </w:rPr>
        <w:tab/>
        <w:t xml:space="preserve">En 2017, le ministère public de Curaçao a mis en œuvre des lignes </w:t>
      </w:r>
      <w:r w:rsidRPr="007A401D">
        <w:t>directrices</w:t>
      </w:r>
      <w:r>
        <w:rPr>
          <w:rFonts w:eastAsia="Times New Roman"/>
        </w:rPr>
        <w:t xml:space="preserve"> pour la détection de la violence relationnelle et les poursuites en la matière, en veillant à la collaboration entre les services de police, les procureurs et les partenaires tels que le service de probation. Ces lignes directrices sont régulièrement mises à jour et évaluées.</w:t>
      </w:r>
      <w:r w:rsidRPr="000B39AB">
        <w:rPr>
          <w:rFonts w:eastAsia="Times New Roman"/>
        </w:rPr>
        <w:t xml:space="preserve"> </w:t>
      </w:r>
      <w:r>
        <w:rPr>
          <w:rFonts w:eastAsia="Times New Roman"/>
        </w:rPr>
        <w:t>Un procureur spécialisé est chargé des affaires concernant la violence relationnelle, la maltraitance des enfants et les délits sexuels, et des séances d’information sont organisées à l’intention du personnel chargé de l’application de la loi. Les collaborations avec les ONG comprennent des campagnes de sensibilisation sur des thèmes tels que «</w:t>
      </w:r>
      <w:r w:rsidR="004603B4">
        <w:rPr>
          <w:rFonts w:eastAsia="Times New Roman"/>
        </w:rPr>
        <w:t> </w:t>
      </w:r>
      <w:r>
        <w:rPr>
          <w:rFonts w:eastAsia="Times New Roman"/>
        </w:rPr>
        <w:t>No mas, No more</w:t>
      </w:r>
      <w:r w:rsidR="004603B4">
        <w:rPr>
          <w:rFonts w:eastAsia="Times New Roman"/>
        </w:rPr>
        <w:t> </w:t>
      </w:r>
      <w:r>
        <w:rPr>
          <w:rFonts w:eastAsia="Times New Roman"/>
        </w:rPr>
        <w:t>». Le Service des poursuites a contribué au plan national de lutte contre la violence domestique ou relationnelle et la maltraitance des enfants et a organisé des conférences sur les typologies de délinquants et les affaires d’infractions sexuelles. Il s’est associé au Partenariat pour la sécurité de la communauté de Curaçao (</w:t>
      </w:r>
      <w:r w:rsidRPr="00EB52C5">
        <w:rPr>
          <w:rFonts w:eastAsia="Times New Roman"/>
          <w:i/>
        </w:rPr>
        <w:t>Veiligheidshuis Curaçao</w:t>
      </w:r>
      <w:r>
        <w:rPr>
          <w:rFonts w:eastAsia="Times New Roman"/>
        </w:rPr>
        <w:t xml:space="preserve">) pour mener une campagne de prévention de la maltraitance des enfants. En outre, un service centralisé de conseil et de signalement de cas de violence domestique et de maltraitance d’enfants, </w:t>
      </w:r>
      <w:r w:rsidRPr="00AF5EEE">
        <w:rPr>
          <w:rFonts w:eastAsia="Times New Roman"/>
          <w:i/>
        </w:rPr>
        <w:t>Protehami</w:t>
      </w:r>
      <w:r>
        <w:rPr>
          <w:rFonts w:eastAsia="Times New Roman"/>
        </w:rPr>
        <w:t xml:space="preserve">, a été créé au sein de la nouvelle entité de mise en œuvre de l’aide à la jeunesse (UOJZ), améliorant ainsi l’efficacité et la communication entre les organisations impliquées. Le ministère public continue de nouer des partenariats avec ces agences. Une nouvelle ordonnance nationale sur </w:t>
      </w:r>
      <w:r>
        <w:rPr>
          <w:rFonts w:eastAsia="Times New Roman"/>
        </w:rPr>
        <w:lastRenderedPageBreak/>
        <w:t>la lutte contre la maltraitance d’enfants et la violence dans les relations est en cours de préparation (</w:t>
      </w:r>
      <w:r w:rsidRPr="00375918">
        <w:rPr>
          <w:rFonts w:eastAsia="Times New Roman"/>
          <w:i/>
          <w:iCs/>
        </w:rPr>
        <w:t>Landsverordening Kódigo di Protekshon</w:t>
      </w:r>
      <w:r w:rsidRPr="00BB2B71">
        <w:rPr>
          <w:rFonts w:eastAsia="Times New Roman"/>
        </w:rPr>
        <w:t>).</w:t>
      </w:r>
    </w:p>
    <w:p w14:paraId="1AD97573" w14:textId="1E39D2F2" w:rsidR="007A401D" w:rsidRDefault="004603B4" w:rsidP="004603B4">
      <w:pPr>
        <w:pStyle w:val="H23G"/>
      </w:pPr>
      <w:r>
        <w:tab/>
      </w:r>
      <w:r>
        <w:tab/>
      </w:r>
      <w:r w:rsidR="007A401D">
        <w:t>Réponse au paragraphe</w:t>
      </w:r>
      <w:r>
        <w:t> </w:t>
      </w:r>
      <w:r w:rsidR="007A401D">
        <w:t>23 de la liste de points</w:t>
      </w:r>
    </w:p>
    <w:p w14:paraId="237B8FCD" w14:textId="04953C79" w:rsidR="007A401D" w:rsidRDefault="007A401D" w:rsidP="007A401D">
      <w:pPr>
        <w:pStyle w:val="SingleTxtG"/>
        <w:rPr>
          <w:rFonts w:eastAsia="Times New Roman"/>
        </w:rPr>
      </w:pPr>
      <w:r>
        <w:rPr>
          <w:rFonts w:eastAsia="Times New Roman"/>
          <w:bCs/>
        </w:rPr>
        <w:t>121.</w:t>
      </w:r>
      <w:r>
        <w:rPr>
          <w:rFonts w:eastAsia="Times New Roman"/>
          <w:bCs/>
        </w:rPr>
        <w:tab/>
      </w:r>
      <w:r>
        <w:rPr>
          <w:rFonts w:eastAsia="Times New Roman"/>
        </w:rPr>
        <w:t xml:space="preserve">Curaçao n’est pas partie à la Convention sur les réfugiés et n’accorde pas le </w:t>
      </w:r>
      <w:r w:rsidRPr="007A401D">
        <w:t>statut</w:t>
      </w:r>
      <w:r>
        <w:rPr>
          <w:rFonts w:eastAsia="Times New Roman"/>
        </w:rPr>
        <w:t xml:space="preserve"> de réfugié tel que défini par la Convention. Toutefois, l’article</w:t>
      </w:r>
      <w:r w:rsidR="004603B4">
        <w:rPr>
          <w:rFonts w:eastAsia="Times New Roman"/>
        </w:rPr>
        <w:t> </w:t>
      </w:r>
      <w:r>
        <w:rPr>
          <w:rFonts w:eastAsia="Times New Roman"/>
        </w:rPr>
        <w:t>3 de la Convention européenne des droits de l’homme (CEDH) prévoit une procédure pour offrir une protection aux personnes qui en ont besoin. Jusqu’à présent, il n’y a pas eu de demande de regroupement familial pour les bénéficiaires de la protection au titre de l’article</w:t>
      </w:r>
      <w:r w:rsidR="004603B4">
        <w:rPr>
          <w:rFonts w:eastAsia="Times New Roman"/>
        </w:rPr>
        <w:t> </w:t>
      </w:r>
      <w:r>
        <w:rPr>
          <w:rFonts w:eastAsia="Times New Roman"/>
        </w:rPr>
        <w:t>3 de la CEDH. On a enregistré un ou deux cas de familles demandant une protection, mais elles étaient déjà sur l’île, de sorte qu’il n’y a pas de statistiques spécifiques sur les demandes de regroupement familial ou les approbations dans ce contexte.</w:t>
      </w:r>
    </w:p>
    <w:p w14:paraId="32EAD0E1" w14:textId="77B97B05" w:rsidR="007A401D" w:rsidRPr="004603B4" w:rsidRDefault="004603B4" w:rsidP="004603B4">
      <w:pPr>
        <w:pStyle w:val="H1G"/>
      </w:pPr>
      <w:r>
        <w:tab/>
      </w:r>
      <w:r>
        <w:tab/>
      </w:r>
      <w:r w:rsidR="007A401D">
        <w:t>Article</w:t>
      </w:r>
      <w:r w:rsidR="006218AA">
        <w:t> </w:t>
      </w:r>
      <w:r w:rsidR="007A401D">
        <w:t>11</w:t>
      </w:r>
      <w:r>
        <w:t xml:space="preserve"> </w:t>
      </w:r>
      <w:r>
        <w:br/>
      </w:r>
      <w:r w:rsidR="007A401D">
        <w:t>Droit à un niveau de vie suffisant</w:t>
      </w:r>
    </w:p>
    <w:p w14:paraId="755C1A3B" w14:textId="424BFADE" w:rsidR="007A401D" w:rsidRDefault="004603B4" w:rsidP="004603B4">
      <w:pPr>
        <w:pStyle w:val="H23G"/>
      </w:pPr>
      <w:r>
        <w:tab/>
      </w:r>
      <w:r>
        <w:tab/>
      </w:r>
      <w:r w:rsidR="007A401D">
        <w:t>Réponse au paragraphe</w:t>
      </w:r>
      <w:r>
        <w:t> </w:t>
      </w:r>
      <w:r w:rsidR="007A401D">
        <w:t>24 de la liste de points</w:t>
      </w:r>
    </w:p>
    <w:p w14:paraId="6967491C" w14:textId="33B3DADF" w:rsidR="007A401D" w:rsidRDefault="007A401D" w:rsidP="007A401D">
      <w:pPr>
        <w:pStyle w:val="SingleTxtG"/>
        <w:rPr>
          <w:rFonts w:eastAsia="Times New Roman"/>
        </w:rPr>
      </w:pPr>
      <w:r>
        <w:rPr>
          <w:rFonts w:eastAsia="Times New Roman"/>
          <w:bCs/>
        </w:rPr>
        <w:t>122.</w:t>
      </w:r>
      <w:r>
        <w:rPr>
          <w:rFonts w:eastAsia="Times New Roman"/>
          <w:bCs/>
        </w:rPr>
        <w:tab/>
      </w:r>
      <w:r>
        <w:rPr>
          <w:rFonts w:eastAsia="Times New Roman"/>
        </w:rPr>
        <w:t>Il existe 12</w:t>
      </w:r>
      <w:r w:rsidR="004603B4">
        <w:rPr>
          <w:rFonts w:eastAsia="Times New Roman"/>
        </w:rPr>
        <w:t> </w:t>
      </w:r>
      <w:r>
        <w:rPr>
          <w:rFonts w:eastAsia="Times New Roman"/>
        </w:rPr>
        <w:t xml:space="preserve">prestations sociales pour les chômeurs et autres groupes </w:t>
      </w:r>
      <w:r w:rsidRPr="007A401D">
        <w:t>vulnérables</w:t>
      </w:r>
      <w:r>
        <w:rPr>
          <w:rFonts w:eastAsia="Times New Roman"/>
        </w:rPr>
        <w:t xml:space="preserve"> (personnes handicapées), accordées par le Gouvernement. Elles figurent au tableau</w:t>
      </w:r>
      <w:r w:rsidR="004603B4">
        <w:rPr>
          <w:rFonts w:eastAsia="Times New Roman"/>
        </w:rPr>
        <w:t> </w:t>
      </w:r>
      <w:r>
        <w:rPr>
          <w:rFonts w:eastAsia="Times New Roman"/>
        </w:rPr>
        <w:t>4 de</w:t>
      </w:r>
      <w:r w:rsidR="004603B4">
        <w:rPr>
          <w:rFonts w:eastAsia="Times New Roman"/>
        </w:rPr>
        <w:t> </w:t>
      </w:r>
      <w:r>
        <w:rPr>
          <w:rFonts w:eastAsia="Times New Roman"/>
        </w:rPr>
        <w:t>l’Annexe.</w:t>
      </w:r>
    </w:p>
    <w:p w14:paraId="74FACF9E" w14:textId="2B930BE1" w:rsidR="007A401D" w:rsidRPr="004603B4" w:rsidRDefault="004603B4" w:rsidP="004603B4">
      <w:pPr>
        <w:pStyle w:val="H1G"/>
      </w:pPr>
      <w:r>
        <w:tab/>
      </w:r>
      <w:r>
        <w:tab/>
      </w:r>
      <w:r w:rsidR="007A401D">
        <w:t>Article</w:t>
      </w:r>
      <w:r w:rsidR="006218AA">
        <w:t> </w:t>
      </w:r>
      <w:r w:rsidR="007A401D">
        <w:t>12</w:t>
      </w:r>
      <w:r>
        <w:t xml:space="preserve"> </w:t>
      </w:r>
      <w:r>
        <w:br/>
      </w:r>
      <w:r w:rsidR="007A401D">
        <w:t>Droit à la santé physique et mentale</w:t>
      </w:r>
    </w:p>
    <w:p w14:paraId="54FBD25D" w14:textId="104BFBF3" w:rsidR="007A401D" w:rsidRDefault="004603B4" w:rsidP="004603B4">
      <w:pPr>
        <w:pStyle w:val="H23G"/>
      </w:pPr>
      <w:r>
        <w:tab/>
      </w:r>
      <w:r>
        <w:tab/>
      </w:r>
      <w:r w:rsidR="007A401D">
        <w:t>Réponse au paragraphe</w:t>
      </w:r>
      <w:r>
        <w:t> </w:t>
      </w:r>
      <w:r w:rsidR="007A401D">
        <w:t>27 de la liste de points</w:t>
      </w:r>
    </w:p>
    <w:p w14:paraId="5BC21E43" w14:textId="22A32CAE" w:rsidR="007A401D" w:rsidRDefault="007A401D" w:rsidP="007A401D">
      <w:pPr>
        <w:pStyle w:val="SingleTxtG"/>
        <w:rPr>
          <w:rFonts w:eastAsia="Times New Roman"/>
        </w:rPr>
      </w:pPr>
      <w:r>
        <w:rPr>
          <w:rFonts w:eastAsia="Times New Roman"/>
          <w:bCs/>
        </w:rPr>
        <w:t>123.</w:t>
      </w:r>
      <w:r>
        <w:rPr>
          <w:rFonts w:eastAsia="Times New Roman"/>
          <w:bCs/>
        </w:rPr>
        <w:tab/>
      </w:r>
      <w:r>
        <w:rPr>
          <w:rFonts w:eastAsia="Times New Roman"/>
        </w:rPr>
        <w:t>La SVB dispose de départements spécialisés pour les achats, le rapport coût-</w:t>
      </w:r>
      <w:r w:rsidRPr="007A401D">
        <w:t>efficacité</w:t>
      </w:r>
      <w:r>
        <w:rPr>
          <w:rFonts w:eastAsia="Times New Roman"/>
        </w:rPr>
        <w:t xml:space="preserve"> et la légalité en matière de soins de santé, tout en maintenant l’accessibilité pour tous. Les</w:t>
      </w:r>
      <w:r w:rsidR="004603B4">
        <w:rPr>
          <w:rFonts w:eastAsia="Times New Roman"/>
        </w:rPr>
        <w:t> </w:t>
      </w:r>
      <w:r>
        <w:rPr>
          <w:rFonts w:eastAsia="Times New Roman"/>
        </w:rPr>
        <w:t>accords de qualité conclus avec les professionnels de la santé garantissent le respect des normes de service et exigent une formation continue. Les principes du «</w:t>
      </w:r>
      <w:r w:rsidR="004603B4">
        <w:rPr>
          <w:rFonts w:eastAsia="Times New Roman"/>
        </w:rPr>
        <w:t> </w:t>
      </w:r>
      <w:r>
        <w:rPr>
          <w:rFonts w:eastAsia="Times New Roman"/>
        </w:rPr>
        <w:t>certificat de besoin</w:t>
      </w:r>
      <w:r w:rsidR="004603B4">
        <w:rPr>
          <w:rFonts w:eastAsia="Times New Roman"/>
        </w:rPr>
        <w:t> </w:t>
      </w:r>
      <w:r>
        <w:rPr>
          <w:rFonts w:eastAsia="Times New Roman"/>
        </w:rPr>
        <w:t>» sont appliqués pour éviter une expansion inutile des soins de santé, en promouvant l’efficacité dans la planification des capacités et l’allocation des ressources. Outre les professionnels de santé originaires du Royaume des Pays-Bas, Curaçao bénéficie d’un pool diversifié de professionnels de santé d’Amérique du Sud et des Caraïbes, ce qui permet d’atténuer les pénuries locales et d’assurer la continuité et la qualité des soins.</w:t>
      </w:r>
    </w:p>
    <w:p w14:paraId="410FE06F" w14:textId="7D6B2E96" w:rsidR="007A401D" w:rsidRDefault="007A401D" w:rsidP="007A401D">
      <w:pPr>
        <w:pStyle w:val="SingleTxtG"/>
        <w:rPr>
          <w:rFonts w:eastAsia="Times New Roman"/>
        </w:rPr>
      </w:pPr>
      <w:r>
        <w:rPr>
          <w:rFonts w:eastAsia="Times New Roman"/>
        </w:rPr>
        <w:t>124.</w:t>
      </w:r>
      <w:r w:rsidR="004603B4">
        <w:rPr>
          <w:rFonts w:eastAsia="Times New Roman"/>
        </w:rPr>
        <w:tab/>
      </w:r>
      <w:r>
        <w:rPr>
          <w:rFonts w:eastAsia="Times New Roman"/>
        </w:rPr>
        <w:t xml:space="preserve">Plusieurs </w:t>
      </w:r>
      <w:r w:rsidRPr="007A401D">
        <w:t>stratégies</w:t>
      </w:r>
      <w:r>
        <w:rPr>
          <w:rFonts w:eastAsia="Times New Roman"/>
        </w:rPr>
        <w:t xml:space="preserve"> ont été mises en œuvre pour améliorer l’accès aux soins des personnes âgées et des personnes ayant des besoins médicaux :</w:t>
      </w:r>
    </w:p>
    <w:p w14:paraId="1921D1FA" w14:textId="7F34177F" w:rsidR="007A401D" w:rsidRPr="00197356" w:rsidRDefault="007A401D" w:rsidP="004603B4">
      <w:pPr>
        <w:pStyle w:val="Bullet1G"/>
      </w:pPr>
      <w:r w:rsidRPr="00197356">
        <w:t>Assurance maladie de base élargie</w:t>
      </w:r>
      <w:r w:rsidR="004603B4">
        <w:t> </w:t>
      </w:r>
      <w:r w:rsidRPr="00197356">
        <w:t>: les personnes âgées bénéficient de prestations supplémentaires, notamment d</w:t>
      </w:r>
      <w:r>
        <w:t>’</w:t>
      </w:r>
      <w:r w:rsidRPr="00197356">
        <w:t>une couverture pour les lunettes, les soins dentaires et les appareils d</w:t>
      </w:r>
      <w:r>
        <w:t>’</w:t>
      </w:r>
      <w:r w:rsidRPr="00197356">
        <w:t xml:space="preserve">assistance, </w:t>
      </w:r>
      <w:r>
        <w:t xml:space="preserve">le but étant </w:t>
      </w:r>
      <w:r w:rsidRPr="00197356">
        <w:t>de répondre aux besoins spécifiques en matière de soins de santé liés au vieillissement ;</w:t>
      </w:r>
    </w:p>
    <w:p w14:paraId="41811A85" w14:textId="7C2BE6B0" w:rsidR="007A401D" w:rsidRDefault="007A401D" w:rsidP="004603B4">
      <w:pPr>
        <w:pStyle w:val="Bullet1G"/>
        <w:rPr>
          <w:rFonts w:eastAsia="Times New Roman"/>
        </w:rPr>
      </w:pPr>
      <w:r>
        <w:rPr>
          <w:rFonts w:eastAsia="Times New Roman"/>
        </w:rPr>
        <w:t xml:space="preserve">Services de soins à domicile et de </w:t>
      </w:r>
      <w:r w:rsidRPr="004603B4">
        <w:t>transport</w:t>
      </w:r>
      <w:r w:rsidR="004603B4">
        <w:rPr>
          <w:rFonts w:eastAsia="Times New Roman"/>
        </w:rPr>
        <w:t> </w:t>
      </w:r>
      <w:r>
        <w:rPr>
          <w:rFonts w:eastAsia="Times New Roman"/>
        </w:rPr>
        <w:t>: les soins médicaux à domicile et le transport vers les prestataires de soins de santé sont disponibles pour les personnes ayant des besoins médicaux ;</w:t>
      </w:r>
    </w:p>
    <w:p w14:paraId="10E32AB9" w14:textId="4EE90F3A" w:rsidR="007A401D" w:rsidRDefault="007A401D" w:rsidP="004603B4">
      <w:pPr>
        <w:pStyle w:val="Bullet1G"/>
        <w:rPr>
          <w:rFonts w:eastAsia="Times New Roman"/>
        </w:rPr>
      </w:pPr>
      <w:r>
        <w:rPr>
          <w:rFonts w:eastAsia="Times New Roman"/>
        </w:rPr>
        <w:t>Utilisation efficace des pensions dans les établissements de soins</w:t>
      </w:r>
      <w:r w:rsidR="004603B4">
        <w:rPr>
          <w:rFonts w:eastAsia="Times New Roman"/>
        </w:rPr>
        <w:t> </w:t>
      </w:r>
      <w:r>
        <w:rPr>
          <w:rFonts w:eastAsia="Times New Roman"/>
        </w:rPr>
        <w:t>: pour les personnes âgées résidant dans des établissements sous contrat avec la SVB, une partie de leur pension de vieillesse est directement affectée à la couverture des besoins de soins non médicaux, ce qui garantit une utilisation efficace de ces fonds pour leur bien-être.</w:t>
      </w:r>
    </w:p>
    <w:p w14:paraId="495B88CE" w14:textId="5E267AF2" w:rsidR="007A401D" w:rsidRPr="00197356" w:rsidRDefault="004603B4" w:rsidP="004603B4">
      <w:pPr>
        <w:pStyle w:val="H1G"/>
        <w:rPr>
          <w:rStyle w:val="content"/>
          <w:rFonts w:eastAsia="Times New Roman"/>
          <w:b w:val="0"/>
        </w:rPr>
      </w:pPr>
      <w:r>
        <w:lastRenderedPageBreak/>
        <w:tab/>
      </w:r>
      <w:r>
        <w:tab/>
      </w:r>
      <w:r w:rsidR="007A401D" w:rsidRPr="00197356">
        <w:t>Articles</w:t>
      </w:r>
      <w:r w:rsidR="006218AA">
        <w:t> </w:t>
      </w:r>
      <w:r w:rsidR="007A401D" w:rsidRPr="00197356">
        <w:t>13 et 14</w:t>
      </w:r>
      <w:r>
        <w:t xml:space="preserve"> </w:t>
      </w:r>
      <w:r>
        <w:br/>
      </w:r>
      <w:r w:rsidR="007A401D" w:rsidRPr="00197356">
        <w:rPr>
          <w:rStyle w:val="content"/>
          <w:rFonts w:eastAsia="Times New Roman"/>
          <w:bCs/>
        </w:rPr>
        <w:t>Droit à l</w:t>
      </w:r>
      <w:r w:rsidR="007A401D">
        <w:rPr>
          <w:rStyle w:val="content"/>
          <w:rFonts w:eastAsia="Times New Roman"/>
          <w:b w:val="0"/>
          <w:bCs/>
        </w:rPr>
        <w:t>’</w:t>
      </w:r>
      <w:r w:rsidR="007A401D" w:rsidRPr="00197356">
        <w:rPr>
          <w:rStyle w:val="content"/>
          <w:rFonts w:eastAsia="Times New Roman"/>
          <w:bCs/>
        </w:rPr>
        <w:t>éducation</w:t>
      </w:r>
    </w:p>
    <w:p w14:paraId="579C14AF" w14:textId="3A2B39FF" w:rsidR="007A401D" w:rsidRPr="00197356" w:rsidRDefault="004603B4" w:rsidP="004603B4">
      <w:pPr>
        <w:pStyle w:val="H23G"/>
      </w:pPr>
      <w:r>
        <w:tab/>
      </w:r>
      <w:r>
        <w:tab/>
      </w:r>
      <w:r w:rsidR="007A401D" w:rsidRPr="00197356">
        <w:t>Réponse au paragraphe</w:t>
      </w:r>
      <w:r>
        <w:t> </w:t>
      </w:r>
      <w:r w:rsidR="007A401D" w:rsidRPr="00197356">
        <w:t>28 de la liste de points</w:t>
      </w:r>
    </w:p>
    <w:p w14:paraId="19D27337" w14:textId="2E102379" w:rsidR="007A401D" w:rsidRPr="00197356" w:rsidRDefault="007A401D" w:rsidP="007A401D">
      <w:pPr>
        <w:pStyle w:val="SingleTxtG"/>
        <w:rPr>
          <w:rFonts w:eastAsia="Times New Roman"/>
          <w:b/>
        </w:rPr>
      </w:pPr>
      <w:r w:rsidRPr="00197356">
        <w:rPr>
          <w:rFonts w:eastAsia="Times New Roman"/>
          <w:bCs/>
        </w:rPr>
        <w:t>125.</w:t>
      </w:r>
      <w:r w:rsidRPr="00197356">
        <w:rPr>
          <w:rFonts w:eastAsia="Times New Roman"/>
          <w:bCs/>
        </w:rPr>
        <w:tab/>
      </w:r>
      <w:r w:rsidRPr="00197356">
        <w:rPr>
          <w:rFonts w:eastAsia="Times New Roman"/>
        </w:rPr>
        <w:t>Le Ministère de l</w:t>
      </w:r>
      <w:r>
        <w:rPr>
          <w:rFonts w:eastAsia="Times New Roman"/>
        </w:rPr>
        <w:t>’</w:t>
      </w:r>
      <w:r w:rsidRPr="00197356">
        <w:rPr>
          <w:rFonts w:eastAsia="Times New Roman"/>
        </w:rPr>
        <w:t>éducation, des sciences, de la culture et des sports a élaboré un document d</w:t>
      </w:r>
      <w:r>
        <w:rPr>
          <w:rFonts w:eastAsia="Times New Roman"/>
        </w:rPr>
        <w:t>’</w:t>
      </w:r>
      <w:r w:rsidRPr="00197356">
        <w:rPr>
          <w:rFonts w:eastAsia="Times New Roman"/>
        </w:rPr>
        <w:t>orientation intitulé «</w:t>
      </w:r>
      <w:r w:rsidR="004603B4">
        <w:rPr>
          <w:rFonts w:eastAsia="Times New Roman"/>
        </w:rPr>
        <w:t> </w:t>
      </w:r>
      <w:r w:rsidRPr="00197356">
        <w:rPr>
          <w:rFonts w:eastAsia="Times New Roman"/>
        </w:rPr>
        <w:t>Les personnes sans papiers dans l</w:t>
      </w:r>
      <w:r>
        <w:rPr>
          <w:rFonts w:eastAsia="Times New Roman"/>
        </w:rPr>
        <w:t>’</w:t>
      </w:r>
      <w:r w:rsidRPr="00197356">
        <w:rPr>
          <w:rFonts w:eastAsia="Times New Roman"/>
        </w:rPr>
        <w:t>éducation</w:t>
      </w:r>
      <w:r w:rsidR="004603B4">
        <w:rPr>
          <w:rFonts w:eastAsia="Times New Roman"/>
        </w:rPr>
        <w:t> </w:t>
      </w:r>
      <w:r w:rsidRPr="00197356">
        <w:rPr>
          <w:rFonts w:eastAsia="Times New Roman"/>
        </w:rPr>
        <w:t>», qui vise à rendre l</w:t>
      </w:r>
      <w:r>
        <w:rPr>
          <w:rFonts w:eastAsia="Times New Roman"/>
        </w:rPr>
        <w:t>’</w:t>
      </w:r>
      <w:r w:rsidRPr="00197356">
        <w:rPr>
          <w:rFonts w:eastAsia="Times New Roman"/>
        </w:rPr>
        <w:t>éducation accessible à tous. Anticipant l</w:t>
      </w:r>
      <w:r>
        <w:rPr>
          <w:rFonts w:eastAsia="Times New Roman"/>
        </w:rPr>
        <w:t>’</w:t>
      </w:r>
      <w:r w:rsidRPr="00197356">
        <w:rPr>
          <w:rFonts w:eastAsia="Times New Roman"/>
        </w:rPr>
        <w:t>approbation de ce document, le Ministre a demandé aux établissements de délivrer des diplômes aux élèves qui ont réussi dans toutes les matières, quel que soit leur statut.</w:t>
      </w:r>
    </w:p>
    <w:p w14:paraId="399ABF33" w14:textId="3C96574C" w:rsidR="007A401D" w:rsidRPr="00197356" w:rsidRDefault="007A401D" w:rsidP="007A401D">
      <w:pPr>
        <w:pStyle w:val="SingleTxtG"/>
        <w:rPr>
          <w:rFonts w:eastAsia="Times New Roman"/>
          <w:b/>
        </w:rPr>
      </w:pPr>
      <w:r w:rsidRPr="00197356">
        <w:rPr>
          <w:rFonts w:eastAsia="Times New Roman"/>
        </w:rPr>
        <w:t>126.</w:t>
      </w:r>
      <w:r w:rsidRPr="00197356">
        <w:rPr>
          <w:rFonts w:eastAsia="Times New Roman"/>
        </w:rPr>
        <w:tab/>
        <w:t xml:space="preserve">À la fin de </w:t>
      </w:r>
      <w:r w:rsidRPr="007A401D">
        <w:t>2023</w:t>
      </w:r>
      <w:r w:rsidRPr="00197356">
        <w:rPr>
          <w:rFonts w:eastAsia="Times New Roman"/>
        </w:rPr>
        <w:t>, le Ministre a transmis au Parlement le «</w:t>
      </w:r>
      <w:r w:rsidR="004603B4">
        <w:rPr>
          <w:rFonts w:eastAsia="Times New Roman"/>
        </w:rPr>
        <w:t> </w:t>
      </w:r>
      <w:r w:rsidRPr="00197356">
        <w:rPr>
          <w:rFonts w:eastAsia="Times New Roman"/>
        </w:rPr>
        <w:t>Plan d</w:t>
      </w:r>
      <w:r>
        <w:rPr>
          <w:rFonts w:eastAsia="Times New Roman"/>
        </w:rPr>
        <w:t>’</w:t>
      </w:r>
      <w:r w:rsidRPr="00197356">
        <w:rPr>
          <w:rFonts w:eastAsia="Times New Roman"/>
        </w:rPr>
        <w:t>amélioration de l</w:t>
      </w:r>
      <w:r>
        <w:rPr>
          <w:rFonts w:eastAsia="Times New Roman"/>
        </w:rPr>
        <w:t>’</w:t>
      </w:r>
      <w:r w:rsidRPr="00197356">
        <w:rPr>
          <w:rFonts w:eastAsia="Times New Roman"/>
        </w:rPr>
        <w:t>éducation pour 2023-2028</w:t>
      </w:r>
      <w:r w:rsidR="004603B4">
        <w:rPr>
          <w:rFonts w:eastAsia="Times New Roman"/>
        </w:rPr>
        <w:t> </w:t>
      </w:r>
      <w:r w:rsidRPr="00197356">
        <w:rPr>
          <w:rFonts w:eastAsia="Times New Roman"/>
        </w:rPr>
        <w:t>», qui vise à remédier à la pénurie d</w:t>
      </w:r>
      <w:r>
        <w:rPr>
          <w:rFonts w:eastAsia="Times New Roman"/>
        </w:rPr>
        <w:t>’</w:t>
      </w:r>
      <w:r w:rsidRPr="00197356">
        <w:rPr>
          <w:rFonts w:eastAsia="Times New Roman"/>
        </w:rPr>
        <w:t>enseignants dans l</w:t>
      </w:r>
      <w:r>
        <w:rPr>
          <w:rFonts w:eastAsia="Times New Roman"/>
        </w:rPr>
        <w:t>’</w:t>
      </w:r>
      <w:r w:rsidRPr="00197356">
        <w:rPr>
          <w:rFonts w:eastAsia="Times New Roman"/>
        </w:rPr>
        <w:t>enseignement primaire et secondaire. Le Ministère a révisé les objectifs pédagogiques dans l</w:t>
      </w:r>
      <w:r>
        <w:rPr>
          <w:rFonts w:eastAsia="Times New Roman"/>
        </w:rPr>
        <w:t>’</w:t>
      </w:r>
      <w:r w:rsidRPr="00197356">
        <w:rPr>
          <w:rFonts w:eastAsia="Times New Roman"/>
        </w:rPr>
        <w:t>enseignement secondaire, la loi devant être promulguée prochainement, ce qui aura une incidence sur l</w:t>
      </w:r>
      <w:r>
        <w:rPr>
          <w:rFonts w:eastAsia="Times New Roman"/>
        </w:rPr>
        <w:t>’</w:t>
      </w:r>
      <w:r w:rsidRPr="00197356">
        <w:rPr>
          <w:rFonts w:eastAsia="Times New Roman"/>
        </w:rPr>
        <w:t>adaptation des programmes dans l</w:t>
      </w:r>
      <w:r>
        <w:rPr>
          <w:rFonts w:eastAsia="Times New Roman"/>
        </w:rPr>
        <w:t>’</w:t>
      </w:r>
      <w:r w:rsidRPr="00197356">
        <w:rPr>
          <w:rFonts w:eastAsia="Times New Roman"/>
        </w:rPr>
        <w:t xml:space="preserve">enseignement général et professionnel. Une quarantaine de programmes </w:t>
      </w:r>
      <w:r>
        <w:rPr>
          <w:rFonts w:eastAsia="Times New Roman"/>
        </w:rPr>
        <w:t xml:space="preserve">d’enseignement </w:t>
      </w:r>
      <w:r w:rsidRPr="00197356">
        <w:rPr>
          <w:rFonts w:eastAsia="Times New Roman"/>
        </w:rPr>
        <w:t>professionnel ont été mis à jour et intègrent le contenu relatif aux droits de l</w:t>
      </w:r>
      <w:r>
        <w:rPr>
          <w:rFonts w:eastAsia="Times New Roman"/>
        </w:rPr>
        <w:t>’</w:t>
      </w:r>
      <w:r w:rsidRPr="00197356">
        <w:rPr>
          <w:rFonts w:eastAsia="Times New Roman"/>
        </w:rPr>
        <w:t>homme. La révision des objectifs pédagogiques dans l</w:t>
      </w:r>
      <w:r>
        <w:rPr>
          <w:rFonts w:eastAsia="Times New Roman"/>
        </w:rPr>
        <w:t>’</w:t>
      </w:r>
      <w:r w:rsidRPr="00197356">
        <w:rPr>
          <w:rFonts w:eastAsia="Times New Roman"/>
        </w:rPr>
        <w:t>enseignement primaire devrait commencer plus tard, en 2024.</w:t>
      </w:r>
    </w:p>
    <w:p w14:paraId="7789FBE5" w14:textId="6A3500C2" w:rsidR="007A401D" w:rsidRPr="00197356" w:rsidRDefault="004603B4" w:rsidP="004603B4">
      <w:pPr>
        <w:pStyle w:val="H1G"/>
      </w:pPr>
      <w:r>
        <w:tab/>
      </w:r>
      <w:r>
        <w:tab/>
      </w:r>
      <w:r w:rsidR="007A401D" w:rsidRPr="00197356">
        <w:t>Article 15</w:t>
      </w:r>
      <w:r>
        <w:t xml:space="preserve"> </w:t>
      </w:r>
      <w:r>
        <w:br/>
      </w:r>
      <w:r w:rsidR="007A401D" w:rsidRPr="00197356">
        <w:t>Droits culturels</w:t>
      </w:r>
    </w:p>
    <w:p w14:paraId="03917024" w14:textId="0362BFEA" w:rsidR="007A401D" w:rsidRPr="00197356" w:rsidRDefault="004603B4" w:rsidP="004603B4">
      <w:pPr>
        <w:pStyle w:val="H23G"/>
      </w:pPr>
      <w:r>
        <w:tab/>
      </w:r>
      <w:r>
        <w:tab/>
      </w:r>
      <w:r w:rsidR="007A401D" w:rsidRPr="00197356">
        <w:t>Réponse au paragraphe</w:t>
      </w:r>
      <w:r>
        <w:t> </w:t>
      </w:r>
      <w:r w:rsidR="007A401D" w:rsidRPr="00197356">
        <w:t>30 de la liste de points</w:t>
      </w:r>
    </w:p>
    <w:p w14:paraId="7D87BBF6" w14:textId="77777777" w:rsidR="007A401D" w:rsidRDefault="007A401D" w:rsidP="007A401D">
      <w:pPr>
        <w:pStyle w:val="SingleTxtG"/>
        <w:rPr>
          <w:rFonts w:eastAsia="Times New Roman"/>
        </w:rPr>
      </w:pPr>
      <w:r w:rsidRPr="00197356">
        <w:rPr>
          <w:rFonts w:eastAsia="Times New Roman"/>
          <w:bCs/>
        </w:rPr>
        <w:t>127.</w:t>
      </w:r>
      <w:r w:rsidRPr="00197356">
        <w:rPr>
          <w:rFonts w:eastAsia="Times New Roman"/>
          <w:bCs/>
        </w:rPr>
        <w:tab/>
      </w:r>
      <w:r w:rsidRPr="00197356">
        <w:rPr>
          <w:rFonts w:eastAsia="Times New Roman"/>
        </w:rPr>
        <w:t xml:space="preserve">Le </w:t>
      </w:r>
      <w:r w:rsidRPr="007A401D">
        <w:t>Ministère</w:t>
      </w:r>
      <w:r w:rsidRPr="00197356">
        <w:rPr>
          <w:rFonts w:eastAsia="Times New Roman"/>
        </w:rPr>
        <w:t xml:space="preserve"> de l</w:t>
      </w:r>
      <w:r>
        <w:rPr>
          <w:rFonts w:eastAsia="Times New Roman"/>
        </w:rPr>
        <w:t>’</w:t>
      </w:r>
      <w:r w:rsidRPr="00197356">
        <w:rPr>
          <w:rFonts w:eastAsia="Times New Roman"/>
        </w:rPr>
        <w:t>éducation, des sciences, de la culture et des sports, travaillant en collaboration avec des ONG, élabore des documents sur l</w:t>
      </w:r>
      <w:r>
        <w:rPr>
          <w:rFonts w:eastAsia="Times New Roman"/>
        </w:rPr>
        <w:t>’</w:t>
      </w:r>
      <w:r w:rsidRPr="00197356">
        <w:rPr>
          <w:rFonts w:eastAsia="Times New Roman"/>
        </w:rPr>
        <w:t>histoire et le patrimoine culturel en papiament</w:t>
      </w:r>
      <w:r>
        <w:rPr>
          <w:rFonts w:eastAsia="Times New Roman"/>
        </w:rPr>
        <w:t>o</w:t>
      </w:r>
      <w:r w:rsidRPr="00197356">
        <w:rPr>
          <w:rFonts w:eastAsia="Times New Roman"/>
        </w:rPr>
        <w:t xml:space="preserve"> et en anglais, destinés au grand public et aux</w:t>
      </w:r>
      <w:r>
        <w:rPr>
          <w:rFonts w:eastAsia="Times New Roman"/>
        </w:rPr>
        <w:t xml:space="preserve"> établissements scolaires</w:t>
      </w:r>
      <w:r w:rsidRPr="00197356">
        <w:rPr>
          <w:rFonts w:eastAsia="Times New Roman"/>
        </w:rPr>
        <w:t xml:space="preserve">, dont la mise en </w:t>
      </w:r>
      <w:r>
        <w:rPr>
          <w:rFonts w:eastAsia="Times New Roman"/>
        </w:rPr>
        <w:t xml:space="preserve">circulation </w:t>
      </w:r>
      <w:r w:rsidRPr="00197356">
        <w:rPr>
          <w:rFonts w:eastAsia="Times New Roman"/>
        </w:rPr>
        <w:t>est prévue pour la fin de l</w:t>
      </w:r>
      <w:r>
        <w:rPr>
          <w:rFonts w:eastAsia="Times New Roman"/>
        </w:rPr>
        <w:t>’</w:t>
      </w:r>
      <w:r w:rsidRPr="00197356">
        <w:rPr>
          <w:rFonts w:eastAsia="Times New Roman"/>
        </w:rPr>
        <w:t>année 2024.</w:t>
      </w:r>
      <w:r>
        <w:rPr>
          <w:rFonts w:eastAsia="Times New Roman"/>
        </w:rPr>
        <w:t xml:space="preserve"> Bien qu’il existe des différences culturelles entre Aruba, Saint-Martin (partie néerlandaise) et Curaçao, cette dernière partage des ressources avec ses voisins. Le Museo Tula, une fondation subventionnée par le Gouvernement, crée du matériel éducatif sur l’esclavage et propose des activités de sensibilisation à cette thématique qui se poursuivront en 2024. Curaçao reconnaît le papiamento, le néerlandais et l’anglais comme langues officielles, l’espagnol étant largement parlé. En août 2023, la première école primaire anglophone de l’île a ouvert ses portes, complétant ainsi les écoles qui dispensent un enseignement en néerlandais et en papiamento. L’Institut des langues nationales, créé fin 2023, supervise la politique linguistique multilingue nationale.</w:t>
      </w:r>
    </w:p>
    <w:p w14:paraId="5B42D6FC" w14:textId="24FD9764" w:rsidR="007A401D" w:rsidRDefault="004603B4" w:rsidP="004603B4">
      <w:pPr>
        <w:pStyle w:val="HChG"/>
      </w:pPr>
      <w:r>
        <w:tab/>
        <w:t>IV.</w:t>
      </w:r>
      <w:r>
        <w:tab/>
      </w:r>
      <w:r w:rsidR="007A401D">
        <w:t>Saint-Martin (partie néerlandaise)</w:t>
      </w:r>
    </w:p>
    <w:p w14:paraId="2E3E5CE3" w14:textId="590B2780" w:rsidR="007A401D" w:rsidRDefault="004603B4" w:rsidP="004603B4">
      <w:pPr>
        <w:pStyle w:val="H1G"/>
      </w:pPr>
      <w:r>
        <w:tab/>
      </w:r>
      <w:r>
        <w:tab/>
      </w:r>
      <w:r w:rsidR="007A401D">
        <w:t>Renseignements d’ordre général</w:t>
      </w:r>
    </w:p>
    <w:p w14:paraId="297E340D" w14:textId="12D104D1" w:rsidR="007A401D" w:rsidRDefault="004603B4" w:rsidP="004603B4">
      <w:pPr>
        <w:pStyle w:val="H23G"/>
      </w:pPr>
      <w:r>
        <w:tab/>
      </w:r>
      <w:r>
        <w:tab/>
      </w:r>
      <w:r w:rsidR="007A401D">
        <w:t>Réponse au paragraphe</w:t>
      </w:r>
      <w:r>
        <w:t> </w:t>
      </w:r>
      <w:r w:rsidR="007A401D">
        <w:t>4 de la liste de points</w:t>
      </w:r>
    </w:p>
    <w:p w14:paraId="699FAA6A" w14:textId="48C8C2CE" w:rsidR="007A401D" w:rsidRDefault="007A401D" w:rsidP="007A401D">
      <w:pPr>
        <w:pStyle w:val="SingleTxtG"/>
        <w:rPr>
          <w:rFonts w:eastAsia="Times New Roman"/>
        </w:rPr>
      </w:pPr>
      <w:r>
        <w:rPr>
          <w:rFonts w:eastAsia="Times New Roman"/>
          <w:bCs/>
        </w:rPr>
        <w:t>128.</w:t>
      </w:r>
      <w:r>
        <w:rPr>
          <w:rFonts w:eastAsia="Times New Roman"/>
          <w:bCs/>
        </w:rPr>
        <w:tab/>
        <w:t>Saint-Martin (partie néerlandaise), qui est une petite île, dispose de capacités humaines et financières limitées.</w:t>
      </w:r>
      <w:r w:rsidRPr="009A6294">
        <w:rPr>
          <w:rFonts w:eastAsia="Times New Roman"/>
        </w:rPr>
        <w:t xml:space="preserve"> </w:t>
      </w:r>
      <w:r>
        <w:rPr>
          <w:rFonts w:eastAsia="Times New Roman"/>
        </w:rPr>
        <w:t xml:space="preserve">Néanmoins, en novembre 2022, Saint-Martin a adopté une Vision nationale du développement pour 2020-2030 afin de répondre et de s’adapter de manière adéquate aux changements actuels et futurs des conditions socioéconomiques locales et des conditions du marché dans l’économie régionale et mondiale. Cette </w:t>
      </w:r>
      <w:r w:rsidR="00F571C2">
        <w:rPr>
          <w:rFonts w:eastAsia="Times New Roman"/>
        </w:rPr>
        <w:t>v</w:t>
      </w:r>
      <w:r>
        <w:rPr>
          <w:rFonts w:eastAsia="Times New Roman"/>
        </w:rPr>
        <w:t>ision permettra d’aligner les actions des pouvoirs publics sur les obligations internationales afin d’aller de l’avant. La Vision 2030 de Saint- Martin (partie néerlandaise) est fondée sur les objectifs de la Constitution de Saint-Martin, dont la finalité est de promouvoir une société qui croit en la démocratie, l’état de droit, la bonne gouvernance, les droits de l’homme et la gestion saine de l’environnement, tout en intégrant la résilience économique.</w:t>
      </w:r>
    </w:p>
    <w:p w14:paraId="2D59A097" w14:textId="1DEE6DF5" w:rsidR="007A401D" w:rsidRDefault="007A401D" w:rsidP="007A401D">
      <w:pPr>
        <w:pStyle w:val="SingleTxtG"/>
        <w:rPr>
          <w:rFonts w:eastAsia="Times New Roman"/>
        </w:rPr>
      </w:pPr>
      <w:r>
        <w:rPr>
          <w:rFonts w:eastAsia="Times New Roman"/>
        </w:rPr>
        <w:t>129.</w:t>
      </w:r>
      <w:r>
        <w:rPr>
          <w:rFonts w:eastAsia="Times New Roman"/>
        </w:rPr>
        <w:tab/>
        <w:t xml:space="preserve">En outre, plusieurs ministères se sont dotés de plans d’action pour la mise en œuvre des droits de l’homme qui relèvent de leur </w:t>
      </w:r>
      <w:r w:rsidRPr="007A401D">
        <w:t>mandat</w:t>
      </w:r>
      <w:r>
        <w:rPr>
          <w:rFonts w:eastAsia="Times New Roman"/>
        </w:rPr>
        <w:t xml:space="preserve">. Par exemple, un plan d’action en faveur des droits de l’enfant a été élaboré et privilégie des activités portant sur la participation des </w:t>
      </w:r>
      <w:r>
        <w:rPr>
          <w:rFonts w:eastAsia="Times New Roman"/>
        </w:rPr>
        <w:lastRenderedPageBreak/>
        <w:t>jeunes, la prévention de la maltraitance et la lutte contre ce phénomène, ou encore  le développement de programmes extrascolaires. Plusieurs ministères ont participé à l’élaboration du plan d’action pour l’enfance, ce qui montre également qu’il y aura une coopération interministérielle pour la mise en œuvre des droits de l’enfant. Un projet de décret national (</w:t>
      </w:r>
      <w:r w:rsidRPr="00B03DDD">
        <w:rPr>
          <w:rFonts w:eastAsia="Times New Roman"/>
          <w:i/>
        </w:rPr>
        <w:t>l</w:t>
      </w:r>
      <w:r w:rsidRPr="00BB5E83">
        <w:rPr>
          <w:rFonts w:eastAsia="Times New Roman"/>
          <w:i/>
        </w:rPr>
        <w:t>andsbesluit</w:t>
      </w:r>
      <w:r>
        <w:rPr>
          <w:rFonts w:eastAsia="Times New Roman"/>
        </w:rPr>
        <w:t>) portant création d’un comité national des droits de l’enfant est en attente d’approbation.</w:t>
      </w:r>
    </w:p>
    <w:p w14:paraId="627292E6" w14:textId="58363751" w:rsidR="007A401D" w:rsidRDefault="004603B4" w:rsidP="004603B4">
      <w:pPr>
        <w:pStyle w:val="H23G"/>
      </w:pPr>
      <w:r>
        <w:tab/>
      </w:r>
      <w:r>
        <w:tab/>
      </w:r>
      <w:r w:rsidR="007A401D">
        <w:t>Réponse au paragraphe</w:t>
      </w:r>
      <w:r>
        <w:t> </w:t>
      </w:r>
      <w:r w:rsidR="007A401D">
        <w:t>5 de la liste de points</w:t>
      </w:r>
    </w:p>
    <w:p w14:paraId="56386800" w14:textId="7DE0F3AC" w:rsidR="007A401D" w:rsidRDefault="007A401D" w:rsidP="00F571C2">
      <w:pPr>
        <w:pStyle w:val="SingleTxtG"/>
        <w:rPr>
          <w:rFonts w:eastAsia="Times New Roman"/>
        </w:rPr>
      </w:pPr>
      <w:r>
        <w:rPr>
          <w:rFonts w:eastAsia="Times New Roman"/>
          <w:bCs/>
        </w:rPr>
        <w:t>130.</w:t>
      </w:r>
      <w:r>
        <w:rPr>
          <w:rFonts w:eastAsia="Times New Roman"/>
          <w:bCs/>
        </w:rPr>
        <w:tab/>
      </w:r>
      <w:r>
        <w:rPr>
          <w:rFonts w:eastAsia="Times New Roman"/>
        </w:rPr>
        <w:t>Saint-</w:t>
      </w:r>
      <w:r w:rsidRPr="007A401D">
        <w:t>Martin</w:t>
      </w:r>
      <w:r>
        <w:rPr>
          <w:rFonts w:eastAsia="Times New Roman"/>
        </w:rPr>
        <w:t xml:space="preserve"> (partie néerlandaise) reste attaché au respect des principes des droits de l’homme, malgré les défis auxquels il est confronté en tant que pays le plus récent et le plus petit du Royaume des Pays-Bas.</w:t>
      </w:r>
      <w:r w:rsidR="00F571C2">
        <w:rPr>
          <w:rFonts w:eastAsia="Times New Roman"/>
        </w:rPr>
        <w:t xml:space="preserve"> </w:t>
      </w:r>
      <w:r>
        <w:rPr>
          <w:rFonts w:eastAsia="Times New Roman"/>
        </w:rPr>
        <w:t xml:space="preserve">Depuis sa création en 2010, Saint-Martin (partie néerlandaise) s’est attaché à renforcer les institutions et les capacités. Les questions </w:t>
      </w:r>
      <w:r w:rsidRPr="007A401D">
        <w:t>relatives</w:t>
      </w:r>
      <w:r>
        <w:rPr>
          <w:rFonts w:eastAsia="Times New Roman"/>
        </w:rPr>
        <w:t xml:space="preserve"> aux droits de l’homme sont coordonnées par la plateforme des droits de l’homme, un groupe de travail interministériel chargé de la surveillance et de l’établissement de rapports. Grâce à cette plateforme, Saint-Martin a observé et mis en œuvre avec diligence les principes fondamentaux des droits de l’homme dans ses cadres directifs. En dépit des défis particuliers auxquels doivent faire face les petits États insulaires comme Saint-Martin, le pays continue à travailler à la réalisation des droits de l’homme, en abordant les principales problématiques avec l’aide d’experts au sein du système des Nations</w:t>
      </w:r>
      <w:r w:rsidR="00F571C2">
        <w:rPr>
          <w:rFonts w:eastAsia="Times New Roman"/>
        </w:rPr>
        <w:t> </w:t>
      </w:r>
      <w:r>
        <w:rPr>
          <w:rFonts w:eastAsia="Times New Roman"/>
        </w:rPr>
        <w:t>Unies par le biais de la formation et de l’échange de bonnes pratiques.</w:t>
      </w:r>
    </w:p>
    <w:p w14:paraId="4CFABBFD" w14:textId="6FBDE9A6" w:rsidR="007A401D" w:rsidRDefault="007A401D" w:rsidP="007A401D">
      <w:pPr>
        <w:pStyle w:val="SingleTxtG"/>
        <w:rPr>
          <w:rFonts w:eastAsia="Times New Roman"/>
        </w:rPr>
      </w:pPr>
      <w:r>
        <w:rPr>
          <w:rFonts w:eastAsia="Times New Roman"/>
        </w:rPr>
        <w:t>131.</w:t>
      </w:r>
      <w:r>
        <w:rPr>
          <w:rFonts w:eastAsia="Times New Roman"/>
        </w:rPr>
        <w:tab/>
        <w:t xml:space="preserve">En outre, la Constitution de Saint-Martin (partie néerlandaise) est fondée sur les principes démocratiques et l’état de droit, et </w:t>
      </w:r>
      <w:r w:rsidRPr="007A401D">
        <w:t>garantit</w:t>
      </w:r>
      <w:r>
        <w:rPr>
          <w:rFonts w:eastAsia="Times New Roman"/>
        </w:rPr>
        <w:t xml:space="preserve"> la réalisation des droits de l’homme et des libertés fondamentales pour toutes les personnes relevant de sa juridiction. La</w:t>
      </w:r>
      <w:r w:rsidR="004603B4">
        <w:rPr>
          <w:rFonts w:eastAsia="Times New Roman"/>
        </w:rPr>
        <w:t> </w:t>
      </w:r>
      <w:r>
        <w:rPr>
          <w:rFonts w:eastAsia="Times New Roman"/>
        </w:rPr>
        <w:t>Constitution interdit explicitement la discrimination fondée sur divers motifs et protège contre toute action qui porte atteinte à l’exercice des libertés fondamentales. En outre, Saint</w:t>
      </w:r>
      <w:r w:rsidR="00F571C2">
        <w:rPr>
          <w:rFonts w:eastAsia="Times New Roman"/>
        </w:rPr>
        <w:noBreakHyphen/>
      </w:r>
      <w:r>
        <w:rPr>
          <w:rFonts w:eastAsia="Times New Roman"/>
        </w:rPr>
        <w:t>Martin reconnaît qu’il lui incombe d’adhérer aux normes internationales, notamment aux dispositions de la Convention (n</w:t>
      </w:r>
      <w:r w:rsidR="004603B4" w:rsidRPr="004603B4">
        <w:rPr>
          <w:rFonts w:eastAsia="Times New Roman"/>
          <w:vertAlign w:val="superscript"/>
        </w:rPr>
        <w:t>o</w:t>
      </w:r>
      <w:r w:rsidR="004603B4">
        <w:rPr>
          <w:rFonts w:eastAsia="Times New Roman"/>
        </w:rPr>
        <w:t> </w:t>
      </w:r>
      <w:r>
        <w:rPr>
          <w:rFonts w:eastAsia="Times New Roman"/>
        </w:rPr>
        <w:t>111) de l’OIT sur la discrimination en matière d’emploi et de profession. De plus, le pays travaille activement à l’élaboration d’un cadre global en matière de droits de l’homme, ce qui souligne sa volonté de protéger et de promouvoir ces droits aux niveaux national et international.</w:t>
      </w:r>
    </w:p>
    <w:p w14:paraId="1880B587" w14:textId="3161A42E" w:rsidR="007A401D" w:rsidRDefault="004603B4" w:rsidP="004603B4">
      <w:pPr>
        <w:pStyle w:val="H1G"/>
      </w:pPr>
      <w:r>
        <w:tab/>
      </w:r>
      <w:r>
        <w:tab/>
      </w:r>
      <w:r w:rsidR="007A401D">
        <w:t>Article 1</w:t>
      </w:r>
      <w:r>
        <w:t xml:space="preserve">0 </w:t>
      </w:r>
      <w:r>
        <w:br/>
      </w:r>
      <w:r w:rsidR="007A401D">
        <w:t>Protection de la famille et de l’enfant</w:t>
      </w:r>
    </w:p>
    <w:p w14:paraId="1CC0B391" w14:textId="497F8C52" w:rsidR="007A401D" w:rsidRDefault="004603B4" w:rsidP="004603B4">
      <w:pPr>
        <w:pStyle w:val="H23G"/>
      </w:pPr>
      <w:r>
        <w:tab/>
      </w:r>
      <w:r>
        <w:tab/>
      </w:r>
      <w:r w:rsidR="007A401D">
        <w:t>Réponse au paragraphe</w:t>
      </w:r>
      <w:r>
        <w:t> </w:t>
      </w:r>
      <w:r w:rsidR="007A401D">
        <w:t>22 de la liste de points</w:t>
      </w:r>
    </w:p>
    <w:p w14:paraId="7AC8E364" w14:textId="50E74D86" w:rsidR="007A401D" w:rsidRDefault="004603B4" w:rsidP="00F571C2">
      <w:pPr>
        <w:pStyle w:val="H23G"/>
      </w:pPr>
      <w:r>
        <w:tab/>
      </w:r>
      <w:r>
        <w:tab/>
      </w:r>
      <w:r w:rsidR="007A401D">
        <w:t>Violence domestique</w:t>
      </w:r>
      <w:r w:rsidR="00F571C2">
        <w:t xml:space="preserve"> </w:t>
      </w:r>
      <w:r w:rsidR="00F571C2">
        <w:br/>
      </w:r>
      <w:r w:rsidR="007A401D">
        <w:t>Mesures</w:t>
      </w:r>
    </w:p>
    <w:p w14:paraId="07C87C27" w14:textId="77777777" w:rsidR="007A401D" w:rsidRDefault="007A401D" w:rsidP="007A401D">
      <w:pPr>
        <w:pStyle w:val="SingleTxtG"/>
        <w:rPr>
          <w:rFonts w:eastAsia="Times New Roman"/>
        </w:rPr>
      </w:pPr>
      <w:r>
        <w:rPr>
          <w:rFonts w:eastAsia="Times New Roman"/>
        </w:rPr>
        <w:t>132.</w:t>
      </w:r>
      <w:r>
        <w:rPr>
          <w:rFonts w:eastAsia="Times New Roman"/>
        </w:rPr>
        <w:tab/>
        <w:t>Pour lutter contre la violence domestique, la maltraitance d’enfants et la violence fondée sur le genre, Saint-Martin (partie néerlandaise) a mis en place des procédures réglementaires juridiques, sociales et des mesures de protection à appliquer en fonction de la gravité de l’acte violent. L’élaboration de ces procédures s’est faite selon une démarche communautaire et intégrée impliquant de multiples parties prenantes gouvernementales et non gouvernementales, ce qui a favorisé une approche holistique de la lutte contre la violence fondée sur le genre.</w:t>
      </w:r>
    </w:p>
    <w:p w14:paraId="314F8B5B" w14:textId="40DA017B" w:rsidR="007A401D" w:rsidRDefault="007A401D" w:rsidP="007A401D">
      <w:pPr>
        <w:pStyle w:val="SingleTxtG"/>
        <w:rPr>
          <w:rFonts w:eastAsia="Times New Roman"/>
        </w:rPr>
      </w:pPr>
      <w:r>
        <w:rPr>
          <w:rFonts w:eastAsia="Times New Roman"/>
        </w:rPr>
        <w:t>133.</w:t>
      </w:r>
      <w:r w:rsidR="00F571C2">
        <w:rPr>
          <w:rFonts w:eastAsia="Times New Roman"/>
        </w:rPr>
        <w:tab/>
      </w:r>
      <w:r>
        <w:rPr>
          <w:rFonts w:eastAsia="Times New Roman"/>
        </w:rPr>
        <w:t>Saint-</w:t>
      </w:r>
      <w:r w:rsidRPr="007A401D">
        <w:t>Martin</w:t>
      </w:r>
      <w:r>
        <w:rPr>
          <w:rFonts w:eastAsia="Times New Roman"/>
        </w:rPr>
        <w:t xml:space="preserve"> (partie néerlandaise) reconnaît qu’il importe de protéger les femmes et leurs enfants mineurs victimes de violence fondée sur le genre et continue de voir l’intérêt d’un centre d’accueil. Dans cet environnement, les familles bénéficient d’un soutien, d’une orientation individuelle et de conseils qui leur donnent les outils nécessaires pour planifier leur avenir. D’autre part, grâce au programme de formation </w:t>
      </w:r>
      <w:r w:rsidRPr="005D0A29">
        <w:rPr>
          <w:rFonts w:eastAsia="Times New Roman"/>
          <w:i/>
        </w:rPr>
        <w:t>Safe Home</w:t>
      </w:r>
      <w:r>
        <w:rPr>
          <w:rFonts w:eastAsia="Times New Roman"/>
        </w:rPr>
        <w:t>, les auteurs d’infractions se voient proposer des conseils, des techniques pour la gestion de la colère, une médiation et des thérapies pour remédier à leur comportement négatif, ce qui réduit les risques de récidive.</w:t>
      </w:r>
    </w:p>
    <w:p w14:paraId="53A1FBD2" w14:textId="4235C1C4" w:rsidR="007A401D" w:rsidRDefault="007A401D" w:rsidP="007A401D">
      <w:pPr>
        <w:pStyle w:val="SingleTxtG"/>
        <w:rPr>
          <w:rFonts w:eastAsia="Times New Roman"/>
        </w:rPr>
      </w:pPr>
      <w:r>
        <w:rPr>
          <w:rFonts w:eastAsia="Times New Roman"/>
        </w:rPr>
        <w:t>134.</w:t>
      </w:r>
      <w:r>
        <w:rPr>
          <w:rFonts w:eastAsia="Times New Roman"/>
        </w:rPr>
        <w:tab/>
        <w:t>Conscient de l’escalade de la violence domestique après l’ouragan Irma (2017) et pendant la pandémie de COVID-19 (2019), Saint-Martin (partie néerlandaise) a lancé une «</w:t>
      </w:r>
      <w:r w:rsidR="004603B4">
        <w:rPr>
          <w:rFonts w:eastAsia="Times New Roman"/>
        </w:rPr>
        <w:t> </w:t>
      </w:r>
      <w:r>
        <w:rPr>
          <w:rFonts w:eastAsia="Times New Roman"/>
        </w:rPr>
        <w:t>formation de base au désarmement par l’autodéfense</w:t>
      </w:r>
      <w:r w:rsidR="004603B4">
        <w:rPr>
          <w:rFonts w:eastAsia="Times New Roman"/>
        </w:rPr>
        <w:t> </w:t>
      </w:r>
      <w:r>
        <w:rPr>
          <w:rFonts w:eastAsia="Times New Roman"/>
        </w:rPr>
        <w:t xml:space="preserve">» visant à renforcer l’autonomie des </w:t>
      </w:r>
      <w:r>
        <w:rPr>
          <w:rFonts w:eastAsia="Times New Roman"/>
        </w:rPr>
        <w:lastRenderedPageBreak/>
        <w:t>femmes. Ce programme en cours s’attache à améliorer les techniques d’autodéfense, à</w:t>
      </w:r>
      <w:r w:rsidR="004603B4">
        <w:rPr>
          <w:rFonts w:eastAsia="Times New Roman"/>
        </w:rPr>
        <w:t> </w:t>
      </w:r>
      <w:r>
        <w:rPr>
          <w:rFonts w:eastAsia="Times New Roman"/>
        </w:rPr>
        <w:t>prévenir la victimisation et à favoriser une prise de conscience. Bien accueilli par le public, il continue de faire l’objet d’une forte demande. En raison de l’intérêt manifesté par la population plus jeune, on envisage de proposer ce programme aux jeunes filles.</w:t>
      </w:r>
    </w:p>
    <w:p w14:paraId="0846985C" w14:textId="77777777" w:rsidR="007A401D" w:rsidRDefault="007A401D" w:rsidP="007A401D">
      <w:pPr>
        <w:pStyle w:val="SingleTxtG"/>
        <w:rPr>
          <w:rFonts w:eastAsia="Times New Roman"/>
        </w:rPr>
      </w:pPr>
      <w:r>
        <w:rPr>
          <w:rFonts w:eastAsia="Times New Roman"/>
        </w:rPr>
        <w:t>135.</w:t>
      </w:r>
      <w:r>
        <w:rPr>
          <w:rFonts w:eastAsia="Times New Roman"/>
        </w:rPr>
        <w:tab/>
        <w:t xml:space="preserve">L’expression </w:t>
      </w:r>
      <w:r w:rsidRPr="007A401D">
        <w:t>dramatique</w:t>
      </w:r>
      <w:r>
        <w:rPr>
          <w:rFonts w:eastAsia="Times New Roman"/>
        </w:rPr>
        <w:t xml:space="preserve"> par le biais du mime permet d’avoir des discussions ouvertes avec les adolescents sur la violence dans les fréquentations. Cet outil bien accueilli est utilisé dans la plupart des établissements secondaires pour s’assurer que l’ensemble de la population scolaire est impliquée. En outre, une campagne de communication sur les fréquentations des adolescents et la violence fondée sur le genre est diffusée sur les plateformes de médias sociaux.</w:t>
      </w:r>
    </w:p>
    <w:p w14:paraId="174FB892" w14:textId="117755EF" w:rsidR="007A401D" w:rsidRDefault="004603B4" w:rsidP="004603B4">
      <w:pPr>
        <w:pStyle w:val="H23G"/>
      </w:pPr>
      <w:r>
        <w:tab/>
      </w:r>
      <w:r>
        <w:tab/>
      </w:r>
      <w:r w:rsidR="007A401D">
        <w:t>Données</w:t>
      </w:r>
    </w:p>
    <w:p w14:paraId="686886E3" w14:textId="77777777" w:rsidR="007A401D" w:rsidRDefault="007A401D" w:rsidP="007A401D">
      <w:pPr>
        <w:pStyle w:val="SingleTxtG"/>
        <w:rPr>
          <w:rFonts w:eastAsia="Times New Roman"/>
        </w:rPr>
      </w:pPr>
      <w:r>
        <w:rPr>
          <w:rFonts w:eastAsia="Times New Roman"/>
        </w:rPr>
        <w:t>136.</w:t>
      </w:r>
      <w:r>
        <w:rPr>
          <w:rFonts w:eastAsia="Times New Roman"/>
        </w:rPr>
        <w:tab/>
        <w:t xml:space="preserve">Safe Haven, une fondation à but non lucratif, apporte un soutien essentiel aux femmes et à leurs enfants mineurs victimes de </w:t>
      </w:r>
      <w:r w:rsidRPr="007A401D">
        <w:t>violence</w:t>
      </w:r>
      <w:r>
        <w:rPr>
          <w:rFonts w:eastAsia="Times New Roman"/>
        </w:rPr>
        <w:t xml:space="preserve"> domestique, en leur offrant un hébergement gratuit, des conseils et des services de soutien. En 2022, Safe Haven accueillait au total quatre femmes et huit enfants. En 2023, Safe Heaven n’accueillait qu’une personne et quatre enfants bénéficiant d’une prise en charge.</w:t>
      </w:r>
    </w:p>
    <w:p w14:paraId="133CCE08" w14:textId="0429B05A" w:rsidR="007A401D" w:rsidRDefault="004603B4" w:rsidP="00F571C2">
      <w:pPr>
        <w:pStyle w:val="H23G"/>
        <w:rPr>
          <w:rStyle w:val="content"/>
          <w:rFonts w:eastAsia="Times New Roman"/>
          <w:b w:val="0"/>
          <w:bCs/>
        </w:rPr>
      </w:pPr>
      <w:r>
        <w:rPr>
          <w:rStyle w:val="content"/>
          <w:rFonts w:eastAsia="Times New Roman"/>
          <w:bCs/>
        </w:rPr>
        <w:tab/>
      </w:r>
      <w:r>
        <w:rPr>
          <w:rStyle w:val="content"/>
          <w:rFonts w:eastAsia="Times New Roman"/>
          <w:bCs/>
        </w:rPr>
        <w:tab/>
      </w:r>
      <w:r w:rsidR="007A401D">
        <w:rPr>
          <w:rStyle w:val="content"/>
          <w:rFonts w:eastAsia="Times New Roman"/>
          <w:bCs/>
        </w:rPr>
        <w:t>Maltraitance d</w:t>
      </w:r>
      <w:r w:rsidR="007A401D">
        <w:rPr>
          <w:rStyle w:val="content"/>
          <w:rFonts w:eastAsia="Times New Roman"/>
          <w:b w:val="0"/>
          <w:bCs/>
        </w:rPr>
        <w:t>’</w:t>
      </w:r>
      <w:r w:rsidR="007A401D">
        <w:rPr>
          <w:rStyle w:val="content"/>
          <w:rFonts w:eastAsia="Times New Roman"/>
          <w:bCs/>
        </w:rPr>
        <w:t>enfants</w:t>
      </w:r>
      <w:r w:rsidR="00F571C2">
        <w:rPr>
          <w:rStyle w:val="content"/>
          <w:rFonts w:eastAsia="Times New Roman"/>
          <w:b w:val="0"/>
          <w:bCs/>
        </w:rPr>
        <w:t xml:space="preserve"> </w:t>
      </w:r>
      <w:r w:rsidR="00F571C2">
        <w:rPr>
          <w:rStyle w:val="content"/>
          <w:rFonts w:eastAsia="Times New Roman"/>
          <w:b w:val="0"/>
          <w:bCs/>
        </w:rPr>
        <w:br/>
      </w:r>
      <w:r w:rsidR="007A401D">
        <w:rPr>
          <w:rStyle w:val="content"/>
          <w:rFonts w:eastAsia="Times New Roman"/>
          <w:bCs/>
        </w:rPr>
        <w:t>Mesures</w:t>
      </w:r>
    </w:p>
    <w:p w14:paraId="1EB8C18E" w14:textId="0321FD52" w:rsidR="007A401D" w:rsidRDefault="007A401D" w:rsidP="007A401D">
      <w:pPr>
        <w:pStyle w:val="SingleTxtG"/>
        <w:rPr>
          <w:rFonts w:eastAsia="Times New Roman"/>
        </w:rPr>
      </w:pPr>
      <w:r>
        <w:rPr>
          <w:rStyle w:val="content"/>
          <w:rFonts w:eastAsia="Times New Roman"/>
          <w:bCs/>
        </w:rPr>
        <w:t>137.</w:t>
      </w:r>
      <w:r>
        <w:rPr>
          <w:rStyle w:val="content"/>
          <w:rFonts w:eastAsia="Times New Roman"/>
          <w:bCs/>
        </w:rPr>
        <w:tab/>
      </w:r>
      <w:r>
        <w:rPr>
          <w:rFonts w:eastAsia="Times New Roman"/>
        </w:rPr>
        <w:t xml:space="preserve">En </w:t>
      </w:r>
      <w:r w:rsidRPr="007A401D">
        <w:t>octobre</w:t>
      </w:r>
      <w:r>
        <w:rPr>
          <w:rFonts w:eastAsia="Times New Roman"/>
        </w:rPr>
        <w:t xml:space="preserve"> 2023, le Ministère de l’éducation, de la culture, de la jeunesse et des sports a réaffirmé son engagement en faveur de la protection de l’enfance en prolongeant un mémorandum d’accord consacré aux droits de l’enfant. Cette décision traduit la volonté du Gouvernement de créer un environnement où les droits des enfants sont prioritaires et protégés, afin que chacun d’eux puisse grandir, apprendre et s’épanouir sans crainte ni</w:t>
      </w:r>
      <w:r w:rsidR="004603B4">
        <w:rPr>
          <w:rFonts w:eastAsia="Times New Roman"/>
        </w:rPr>
        <w:t> </w:t>
      </w:r>
      <w:r>
        <w:rPr>
          <w:rFonts w:eastAsia="Times New Roman"/>
        </w:rPr>
        <w:t>entrave.</w:t>
      </w:r>
    </w:p>
    <w:p w14:paraId="30E6245A" w14:textId="48232816" w:rsidR="007A401D" w:rsidRDefault="007A401D" w:rsidP="007A401D">
      <w:pPr>
        <w:pStyle w:val="SingleTxtG"/>
        <w:rPr>
          <w:rFonts w:eastAsia="Times New Roman"/>
        </w:rPr>
      </w:pPr>
      <w:r>
        <w:rPr>
          <w:rFonts w:eastAsia="Times New Roman"/>
        </w:rPr>
        <w:t>138.</w:t>
      </w:r>
      <w:r>
        <w:rPr>
          <w:rFonts w:eastAsia="Times New Roman"/>
        </w:rPr>
        <w:tab/>
        <w:t>En outre, une campagne en faveur des droits de l’enfant a été organisée en 2023 et a mobilisé 500</w:t>
      </w:r>
      <w:r w:rsidR="0011618D">
        <w:rPr>
          <w:rFonts w:eastAsia="Times New Roman"/>
        </w:rPr>
        <w:t> </w:t>
      </w:r>
      <w:r>
        <w:rPr>
          <w:rFonts w:eastAsia="Times New Roman"/>
        </w:rPr>
        <w:t xml:space="preserve">étudiants, illustrant une </w:t>
      </w:r>
      <w:r w:rsidRPr="007A401D">
        <w:t>démarche</w:t>
      </w:r>
      <w:r>
        <w:rPr>
          <w:rFonts w:eastAsia="Times New Roman"/>
        </w:rPr>
        <w:t xml:space="preserve"> proactive pour promouvoir la sensibilisation à ces droits et leur défense. De plus, en réponse aux défis posés par les catastrophes naturelles, comme l’ouragan Irma en 2017, le tribunal des tutelles a collaboré avec l’UNICEF Pays-Bas pour établir un protocole inter-îles pour l’évacuation, l’arrivée et le retour des enfants non accompagnés et de ceux qui ont besoin de services de protection. La finalisation d’un protocole d’accord avec la police sur la préparation et la réponse aux catastrophes et l’opérationnalisation du protocole inter-îles se poursuivent et restent une priorité.</w:t>
      </w:r>
    </w:p>
    <w:p w14:paraId="080D5A47" w14:textId="45B61589" w:rsidR="007A401D" w:rsidRDefault="007A401D" w:rsidP="007A401D">
      <w:pPr>
        <w:pStyle w:val="SingleTxtG"/>
        <w:rPr>
          <w:rFonts w:eastAsia="Times New Roman"/>
        </w:rPr>
      </w:pPr>
      <w:r>
        <w:rPr>
          <w:rFonts w:eastAsia="Times New Roman"/>
        </w:rPr>
        <w:t>139.</w:t>
      </w:r>
      <w:r>
        <w:rPr>
          <w:rFonts w:eastAsia="Times New Roman"/>
        </w:rPr>
        <w:tab/>
        <w:t xml:space="preserve">La </w:t>
      </w:r>
      <w:r w:rsidRPr="007A401D">
        <w:t>collaboration</w:t>
      </w:r>
      <w:r>
        <w:rPr>
          <w:rFonts w:eastAsia="Times New Roman"/>
        </w:rPr>
        <w:t xml:space="preserve"> avec l’UNICEF a permis la mise en place du Programme de soutien à la parentalité positive et la publication du magazine Growing up Safe. Le Programme de soutien à la parentalité positive est une formation dispensée par des professionnels de la protection de l’enfance portant sur des stratégies innovantes d’engagement parental </w:t>
      </w:r>
      <w:r w:rsidR="0011618D">
        <w:rPr>
          <w:rFonts w:eastAsia="Times New Roman"/>
        </w:rPr>
        <w:t>−</w:t>
      </w:r>
      <w:r>
        <w:rPr>
          <w:rFonts w:eastAsia="Times New Roman"/>
        </w:rPr>
        <w:t xml:space="preserve"> le but étant de pouvoir proposer au public des cours de parentalité plus accessibles. Le magazine Growing up Safe est un outil de communication entre le Groupe de travail sur la protection de l’enfance du Gouvernement de Saint- Martin (partie néerlandaise) et l’UNICEF Pays-Bas, qui permet de diffuser les connaissances, les expériences et les meilleures pratiques auprès des professionnels travaillant avec les enfants et auprès du grand public.</w:t>
      </w:r>
    </w:p>
    <w:p w14:paraId="034D1782" w14:textId="7152942E" w:rsidR="007A401D" w:rsidRDefault="0011618D" w:rsidP="0011618D">
      <w:pPr>
        <w:pStyle w:val="H23G"/>
      </w:pPr>
      <w:r>
        <w:tab/>
      </w:r>
      <w:r>
        <w:tab/>
      </w:r>
      <w:r w:rsidR="007A401D">
        <w:t>Données</w:t>
      </w:r>
    </w:p>
    <w:p w14:paraId="3F8B952B" w14:textId="77777777" w:rsidR="007A401D" w:rsidRDefault="007A401D" w:rsidP="007A401D">
      <w:pPr>
        <w:pStyle w:val="SingleTxtG"/>
        <w:rPr>
          <w:rFonts w:eastAsia="Times New Roman"/>
        </w:rPr>
      </w:pPr>
      <w:r>
        <w:rPr>
          <w:rFonts w:eastAsia="Times New Roman"/>
        </w:rPr>
        <w:t>140.</w:t>
      </w:r>
      <w:r>
        <w:rPr>
          <w:rFonts w:eastAsia="Times New Roman"/>
        </w:rPr>
        <w:tab/>
        <w:t xml:space="preserve">Le </w:t>
      </w:r>
      <w:r w:rsidRPr="007A401D">
        <w:t>tribunal</w:t>
      </w:r>
      <w:r>
        <w:rPr>
          <w:rFonts w:eastAsia="Times New Roman"/>
        </w:rPr>
        <w:t xml:space="preserve"> des tutelles de Saint-Martin (partie néerlandaise) est l’autorité centrale en matière de protection de l’enfance et supervise le signalement et la gestion des cas de maltraitance d’enfants. Au fil des ans, le nombre de cas signalés a augmenté, passant de 61 en 2021 à 84 en 2022. Ces cas couvrent diverses formes de maltraitance et mettent en évidence une tendance préoccupante à la négligence grave et au non-respect des responsabilités parentales. Afin de lutter contre ce phénomène, le tribunal des tutelles utilise des outils d’analyse de risque spécifiques pour classer et évaluer l’urgence de chaque cas, le but étant d’améliorer la gestion et le signalement des incidents liés à la protection de l’enfance. Toutefois, des problèmes persistent, notamment du fait que beaucoup de cas ne sont pas signalés, en particulier ceux impliquant des atteintes ou des violences sexuelles, ce qui contribue à des lacunes importantes dans la collecte des données.</w:t>
      </w:r>
    </w:p>
    <w:p w14:paraId="68E65C47" w14:textId="167F2C68" w:rsidR="007A401D" w:rsidRDefault="007A401D" w:rsidP="007A401D">
      <w:pPr>
        <w:pStyle w:val="SingleTxtG"/>
        <w:rPr>
          <w:rFonts w:eastAsia="Times New Roman"/>
        </w:rPr>
      </w:pPr>
      <w:r>
        <w:rPr>
          <w:rFonts w:eastAsia="Times New Roman"/>
        </w:rPr>
        <w:lastRenderedPageBreak/>
        <w:t>141.</w:t>
      </w:r>
      <w:r>
        <w:rPr>
          <w:rFonts w:eastAsia="Times New Roman"/>
        </w:rPr>
        <w:tab/>
        <w:t>Face à ces défis, le tribunal des tutelles est déterminé à faire progresser la protection de l’enfance par le biais de programmes de formation et d’initiatives visant à gérer efficacement les cas de maltraitance et de négligence. Il s’agit notamment de permettre une connaissance approfondie des différentes formes de maltraitance, de fournir des instructions détaillées sur la conduite d’évaluations des risques et de favoriser une compréhension des responsabilités légales.</w:t>
      </w:r>
      <w:r w:rsidRPr="00653EC5">
        <w:rPr>
          <w:rFonts w:eastAsia="Times New Roman"/>
        </w:rPr>
        <w:t xml:space="preserve"> </w:t>
      </w:r>
      <w:r>
        <w:rPr>
          <w:rFonts w:eastAsia="Times New Roman"/>
        </w:rPr>
        <w:t>En outre, des initiatives cl</w:t>
      </w:r>
      <w:r w:rsidR="00320251">
        <w:rPr>
          <w:rFonts w:eastAsia="Times New Roman"/>
        </w:rPr>
        <w:t>ef</w:t>
      </w:r>
      <w:r>
        <w:rPr>
          <w:rFonts w:eastAsia="Times New Roman"/>
        </w:rPr>
        <w:t>s telles que les méthodes de repérage et de prise en charge des enfants sont mises en œuvre afin de permettre une identification précoce et de fournir le soutien psychosocial nécessaire aux enfants touchés.</w:t>
      </w:r>
      <w:r w:rsidRPr="00653EC5">
        <w:rPr>
          <w:rFonts w:eastAsia="Times New Roman"/>
        </w:rPr>
        <w:t xml:space="preserve"> </w:t>
      </w:r>
      <w:r>
        <w:rPr>
          <w:rFonts w:eastAsia="Times New Roman"/>
        </w:rPr>
        <w:t>Malgré ces efforts, il est urgent de mettre en place un système de signalement centralisé afin de normaliser le processus de signalement et de garantir que tous les cas de maltraitance et de violence sont enregistrés avec précision. Un tel système permettrait une prise de décision</w:t>
      </w:r>
      <w:r w:rsidR="00320251">
        <w:rPr>
          <w:rFonts w:eastAsia="Times New Roman"/>
        </w:rPr>
        <w:t>s</w:t>
      </w:r>
      <w:r>
        <w:rPr>
          <w:rFonts w:eastAsia="Times New Roman"/>
        </w:rPr>
        <w:t xml:space="preserve"> plus éclairée, une meilleure allocation des ressources et des stratégies d’intervention plus efficaces pour protéger les enfants et les personnes vulnérables à Saint-Martin.</w:t>
      </w:r>
    </w:p>
    <w:p w14:paraId="02E5F371" w14:textId="29EC7EBA" w:rsidR="007A401D" w:rsidRPr="0011618D" w:rsidRDefault="0011618D" w:rsidP="0011618D">
      <w:pPr>
        <w:pStyle w:val="H23G"/>
      </w:pPr>
      <w:r>
        <w:tab/>
      </w:r>
      <w:r w:rsidRPr="0011618D">
        <w:rPr>
          <w:b w:val="0"/>
          <w:bCs/>
        </w:rPr>
        <w:tab/>
      </w:r>
      <w:r w:rsidR="007A401D" w:rsidRPr="0011618D">
        <w:rPr>
          <w:b w:val="0"/>
          <w:bCs/>
        </w:rPr>
        <w:t xml:space="preserve">Figure </w:t>
      </w:r>
      <w:r w:rsidRPr="0011618D">
        <w:rPr>
          <w:b w:val="0"/>
          <w:bCs/>
        </w:rPr>
        <w:t>1</w:t>
      </w:r>
      <w:r w:rsidRPr="00320251">
        <w:rPr>
          <w:b w:val="0"/>
          <w:bCs/>
        </w:rPr>
        <w:t xml:space="preserve"> </w:t>
      </w:r>
      <w:r>
        <w:br/>
      </w:r>
      <w:r w:rsidR="007A401D">
        <w:t>Signalements relatifs à la maltraitance d’enfants en 2021 et 2022</w:t>
      </w:r>
    </w:p>
    <w:p w14:paraId="4AB8DA8A" w14:textId="2E8D4762" w:rsidR="007A401D" w:rsidRDefault="007A401D" w:rsidP="0011618D">
      <w:pPr>
        <w:pStyle w:val="SingleTxtG"/>
        <w:rPr>
          <w:rFonts w:eastAsia="Times New Roman"/>
          <w:b/>
        </w:rPr>
      </w:pPr>
      <w:r w:rsidRPr="00B257FE">
        <w:rPr>
          <w:noProof/>
        </w:rPr>
        <w:drawing>
          <wp:inline distT="0" distB="0" distL="0" distR="0" wp14:anchorId="2B6E4AD6" wp14:editId="4139C9C3">
            <wp:extent cx="4631187" cy="2941967"/>
            <wp:effectExtent l="19050" t="19050" r="17145" b="10795"/>
            <wp:docPr id="332649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lum bright="-20000" contrast="40000"/>
                      <a:extLst>
                        <a:ext uri="{28A0092B-C50C-407E-A947-70E740481C1C}">
                          <a14:useLocalDpi xmlns:a14="http://schemas.microsoft.com/office/drawing/2010/main" val="0"/>
                        </a:ext>
                      </a:extLst>
                    </a:blip>
                    <a:srcRect/>
                    <a:stretch>
                      <a:fillRect/>
                    </a:stretch>
                  </pic:blipFill>
                  <pic:spPr bwMode="auto">
                    <a:xfrm>
                      <a:off x="0" y="0"/>
                      <a:ext cx="4650962" cy="2954529"/>
                    </a:xfrm>
                    <a:prstGeom prst="rect">
                      <a:avLst/>
                    </a:prstGeom>
                    <a:noFill/>
                    <a:ln w="6350">
                      <a:solidFill>
                        <a:schemeClr val="tx1"/>
                      </a:solidFill>
                    </a:ln>
                  </pic:spPr>
                </pic:pic>
              </a:graphicData>
            </a:graphic>
          </wp:inline>
        </w:drawing>
      </w:r>
    </w:p>
    <w:p w14:paraId="3D22EFBE" w14:textId="58A09688" w:rsidR="007A401D" w:rsidRPr="0011618D" w:rsidRDefault="0011618D" w:rsidP="0011618D">
      <w:pPr>
        <w:pStyle w:val="H23G"/>
      </w:pPr>
      <w:r>
        <w:tab/>
      </w:r>
      <w:r w:rsidRPr="0011618D">
        <w:rPr>
          <w:b w:val="0"/>
          <w:bCs/>
        </w:rPr>
        <w:tab/>
      </w:r>
      <w:r w:rsidR="007A401D" w:rsidRPr="0011618D">
        <w:rPr>
          <w:b w:val="0"/>
          <w:bCs/>
        </w:rPr>
        <w:t>Figure 2</w:t>
      </w:r>
      <w:r>
        <w:t xml:space="preserve"> </w:t>
      </w:r>
      <w:r>
        <w:br/>
      </w:r>
      <w:r w:rsidR="007A401D" w:rsidRPr="000B37F2">
        <w:t>Incidents relatifs à la délinquance juvénile, par type</w:t>
      </w:r>
    </w:p>
    <w:p w14:paraId="4212C396" w14:textId="538CAFAC" w:rsidR="00320251" w:rsidRDefault="00320251" w:rsidP="00320251">
      <w:pPr>
        <w:pStyle w:val="SingleTxtG"/>
      </w:pPr>
      <w:r>
        <w:rPr>
          <w:noProof/>
        </w:rPr>
        <w:drawing>
          <wp:inline distT="0" distB="0" distL="0" distR="0" wp14:anchorId="573C2AC8" wp14:editId="3A421791">
            <wp:extent cx="4675632" cy="2859024"/>
            <wp:effectExtent l="0" t="0" r="0" b="11430"/>
            <wp:docPr id="7" name="Image 7"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Une image contenant texte, capture d’écran, Police, nombre&#10;&#10;Description générée automatiquement"/>
                    <pic:cNvPicPr/>
                  </pic:nvPicPr>
                  <pic:blipFill>
                    <a:blip r:embed="rId9">
                      <a:extLst>
                        <a:ext uri="{28A0092B-C50C-407E-A947-70E740481C1C}">
                          <a14:useLocalDpi xmlns:a14="http://schemas.microsoft.com/office/drawing/2010/main" val="0"/>
                        </a:ext>
                      </a:extLst>
                    </a:blip>
                    <a:stretch>
                      <a:fillRect/>
                    </a:stretch>
                  </pic:blipFill>
                  <pic:spPr>
                    <a:xfrm>
                      <a:off x="0" y="0"/>
                      <a:ext cx="4675632" cy="2859024"/>
                    </a:xfrm>
                    <a:prstGeom prst="rect">
                      <a:avLst/>
                    </a:prstGeom>
                  </pic:spPr>
                </pic:pic>
              </a:graphicData>
            </a:graphic>
          </wp:inline>
        </w:drawing>
      </w:r>
    </w:p>
    <w:p w14:paraId="3B6D33F3" w14:textId="52FDA655" w:rsidR="007A401D" w:rsidRPr="0011618D" w:rsidRDefault="00320251" w:rsidP="0011618D">
      <w:pPr>
        <w:pStyle w:val="H1G"/>
      </w:pPr>
      <w:r>
        <w:lastRenderedPageBreak/>
        <w:tab/>
      </w:r>
      <w:r>
        <w:tab/>
      </w:r>
      <w:r w:rsidR="007A401D">
        <w:t>Article 15</w:t>
      </w:r>
      <w:r w:rsidR="0011618D">
        <w:t xml:space="preserve"> </w:t>
      </w:r>
      <w:r w:rsidR="0011618D">
        <w:br/>
      </w:r>
      <w:r w:rsidR="007A401D">
        <w:t>Droits culturels</w:t>
      </w:r>
    </w:p>
    <w:p w14:paraId="676EBC34" w14:textId="268F2100" w:rsidR="007A401D" w:rsidRDefault="0011618D" w:rsidP="0011618D">
      <w:pPr>
        <w:pStyle w:val="H23G"/>
      </w:pPr>
      <w:r>
        <w:tab/>
      </w:r>
      <w:r>
        <w:tab/>
      </w:r>
      <w:r w:rsidR="007A401D">
        <w:t>Réponse au paragraphe</w:t>
      </w:r>
      <w:r>
        <w:t> </w:t>
      </w:r>
      <w:r w:rsidR="007A401D">
        <w:t>30 de la liste de points</w:t>
      </w:r>
    </w:p>
    <w:p w14:paraId="1E37094F" w14:textId="071C90A1" w:rsidR="007A401D" w:rsidRDefault="007A401D" w:rsidP="007A401D">
      <w:pPr>
        <w:pStyle w:val="SingleTxtG"/>
        <w:rPr>
          <w:rFonts w:eastAsia="Times New Roman"/>
        </w:rPr>
      </w:pPr>
      <w:r>
        <w:rPr>
          <w:rFonts w:eastAsia="Times New Roman"/>
          <w:bCs/>
        </w:rPr>
        <w:t>142.</w:t>
      </w:r>
      <w:r>
        <w:rPr>
          <w:rFonts w:eastAsia="Times New Roman"/>
          <w:bCs/>
        </w:rPr>
        <w:tab/>
      </w:r>
      <w:r>
        <w:rPr>
          <w:rFonts w:eastAsia="Times New Roman"/>
        </w:rPr>
        <w:t xml:space="preserve">Le </w:t>
      </w:r>
      <w:r w:rsidRPr="007A401D">
        <w:t>système</w:t>
      </w:r>
      <w:r>
        <w:rPr>
          <w:rFonts w:eastAsia="Times New Roman"/>
        </w:rPr>
        <w:t xml:space="preserve"> éducatif de Saint-Martin (partie néerlandaise) est structuré de manière à offrir aux enfants la possibilité de suivre un enseignement en anglais ou en néerlandais. Ce</w:t>
      </w:r>
      <w:r w:rsidR="0011618D">
        <w:rPr>
          <w:rFonts w:eastAsia="Times New Roman"/>
        </w:rPr>
        <w:t> </w:t>
      </w:r>
      <w:r>
        <w:rPr>
          <w:rFonts w:eastAsia="Times New Roman"/>
        </w:rPr>
        <w:t>dispositif traduit un engagement en faveur de la diversité linguistique, les élèves ayant ainsi la possibilité d’apprendre dans une langue qui correspond à leur milieu culturel.</w:t>
      </w:r>
      <w:r w:rsidRPr="00B77E4C">
        <w:rPr>
          <w:rFonts w:eastAsia="Times New Roman"/>
        </w:rPr>
        <w:t xml:space="preserve"> </w:t>
      </w:r>
      <w:r>
        <w:rPr>
          <w:rFonts w:eastAsia="Times New Roman"/>
        </w:rPr>
        <w:t>Le</w:t>
      </w:r>
      <w:r w:rsidR="0011618D">
        <w:rPr>
          <w:rFonts w:eastAsia="Times New Roman"/>
        </w:rPr>
        <w:t> </w:t>
      </w:r>
      <w:r>
        <w:rPr>
          <w:rFonts w:eastAsia="Times New Roman"/>
        </w:rPr>
        <w:t>système offre une certaine souplesse en ce qui concerne le programme d’études, les normes d’évaluation et les parcours éducatifs, ce qui permet aux élèves de se préparer à poursuivre leurs études dans des cadres régionaux et internationaux tels que le Caribbean Examinations Council (CXC), les systèmes hollandais, américain ou canadien. Les</w:t>
      </w:r>
      <w:r w:rsidR="00320251">
        <w:rPr>
          <w:rFonts w:eastAsia="Times New Roman"/>
        </w:rPr>
        <w:t> </w:t>
      </w:r>
      <w:r>
        <w:rPr>
          <w:rFonts w:eastAsia="Times New Roman"/>
        </w:rPr>
        <w:t>préférences des parents quant au niveau secondaire du système éducatif et les considérations relatives à l’appartenance religieuse façonnent également le paysage éducatif, contribuant à un environnement d’apprentissage varié et inclusif.</w:t>
      </w:r>
    </w:p>
    <w:p w14:paraId="2D4D369D" w14:textId="6DE534AC" w:rsidR="007A401D" w:rsidRDefault="007A401D" w:rsidP="007A401D">
      <w:pPr>
        <w:pStyle w:val="SingleTxtG"/>
        <w:rPr>
          <w:rFonts w:eastAsia="Times New Roman"/>
        </w:rPr>
      </w:pPr>
      <w:r>
        <w:rPr>
          <w:rFonts w:eastAsia="Times New Roman"/>
        </w:rPr>
        <w:t>143.</w:t>
      </w:r>
      <w:r>
        <w:rPr>
          <w:rFonts w:eastAsia="Times New Roman"/>
        </w:rPr>
        <w:tab/>
        <w:t xml:space="preserve">Saint-Martin (partie néerlandaise) préserve activement son histoire locale et son patrimoine culturel grâce à des initiatives </w:t>
      </w:r>
      <w:r w:rsidRPr="007A401D">
        <w:t>menées</w:t>
      </w:r>
      <w:r>
        <w:rPr>
          <w:rFonts w:eastAsia="Times New Roman"/>
        </w:rPr>
        <w:t xml:space="preserve"> par les ministères de la culture et des sports. L’accent est mis sur l’engagement des jeunes dans des activités sportives et culturelles, y</w:t>
      </w:r>
      <w:r w:rsidR="0011618D">
        <w:rPr>
          <w:rFonts w:eastAsia="Times New Roman"/>
        </w:rPr>
        <w:t> </w:t>
      </w:r>
      <w:r>
        <w:rPr>
          <w:rFonts w:eastAsia="Times New Roman"/>
        </w:rPr>
        <w:t>compris la participation aux activités périscolaires en lien avec le programme de l’UNESCO sur le patrimoine culturel immatériel.</w:t>
      </w:r>
      <w:r w:rsidRPr="00867DD6">
        <w:rPr>
          <w:rFonts w:eastAsia="Times New Roman"/>
        </w:rPr>
        <w:t xml:space="preserve"> </w:t>
      </w:r>
      <w:r>
        <w:rPr>
          <w:rFonts w:eastAsia="Times New Roman"/>
        </w:rPr>
        <w:t>Ce programme permet aux jeunes d’explorer leur patrimoine culturel et de promouvoir les pratiques traditionnelles propres à Saint-Martin. En outre, l’île commémore des journées nationales telles que la Journée du Drapeau et la Journée de la Constitution, ce qui met en relief les jalons historiques et renforce leur importance culturelle.</w:t>
      </w:r>
      <w:r w:rsidRPr="00867DD6">
        <w:rPr>
          <w:rFonts w:eastAsia="Times New Roman"/>
        </w:rPr>
        <w:t xml:space="preserve"> </w:t>
      </w:r>
      <w:r>
        <w:rPr>
          <w:rFonts w:eastAsia="Times New Roman"/>
        </w:rPr>
        <w:t>Ces célébrations favorisent la cohésion de la communauté, l’adhésion à un récit commun et un sentiment collectif d’identité et d’appartenance.</w:t>
      </w:r>
    </w:p>
    <w:p w14:paraId="022D343E" w14:textId="1B39E2AD" w:rsidR="007A401D" w:rsidRPr="007A401D" w:rsidRDefault="007A401D" w:rsidP="007A401D">
      <w:pPr>
        <w:pStyle w:val="SingleTxtG"/>
        <w:spacing w:before="240" w:after="0"/>
        <w:jc w:val="center"/>
        <w:rPr>
          <w:u w:val="single"/>
        </w:rPr>
      </w:pPr>
      <w:r>
        <w:rPr>
          <w:u w:val="single"/>
        </w:rPr>
        <w:tab/>
      </w:r>
      <w:r>
        <w:rPr>
          <w:u w:val="single"/>
        </w:rPr>
        <w:tab/>
      </w:r>
      <w:r>
        <w:rPr>
          <w:u w:val="single"/>
        </w:rPr>
        <w:tab/>
      </w:r>
    </w:p>
    <w:sectPr w:rsidR="007A401D" w:rsidRPr="007A401D" w:rsidSect="007A401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DB2EBA" w14:textId="77777777" w:rsidR="00761593" w:rsidRDefault="00761593" w:rsidP="00F95C08">
      <w:pPr>
        <w:spacing w:line="240" w:lineRule="auto"/>
      </w:pPr>
    </w:p>
  </w:endnote>
  <w:endnote w:type="continuationSeparator" w:id="0">
    <w:p w14:paraId="5C6D12A5" w14:textId="77777777" w:rsidR="00761593" w:rsidRPr="00AC3823" w:rsidRDefault="00761593" w:rsidP="00AC3823">
      <w:pPr>
        <w:pStyle w:val="Pieddepage"/>
      </w:pPr>
    </w:p>
  </w:endnote>
  <w:endnote w:type="continuationNotice" w:id="1">
    <w:p w14:paraId="153C490B" w14:textId="77777777" w:rsidR="00761593" w:rsidRDefault="007615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AB418" w14:textId="3285021B" w:rsidR="007A401D" w:rsidRPr="007A401D" w:rsidRDefault="007A401D" w:rsidP="007A401D">
    <w:pPr>
      <w:pStyle w:val="Pieddepage"/>
      <w:tabs>
        <w:tab w:val="right" w:pos="9638"/>
      </w:tabs>
    </w:pPr>
    <w:r w:rsidRPr="007A401D">
      <w:rPr>
        <w:b/>
        <w:sz w:val="18"/>
      </w:rPr>
      <w:fldChar w:fldCharType="begin"/>
    </w:r>
    <w:r w:rsidRPr="007A401D">
      <w:rPr>
        <w:b/>
        <w:sz w:val="18"/>
      </w:rPr>
      <w:instrText xml:space="preserve"> PAGE  \* MERGEFORMAT </w:instrText>
    </w:r>
    <w:r w:rsidRPr="007A401D">
      <w:rPr>
        <w:b/>
        <w:sz w:val="18"/>
      </w:rPr>
      <w:fldChar w:fldCharType="separate"/>
    </w:r>
    <w:r w:rsidRPr="007A401D">
      <w:rPr>
        <w:b/>
        <w:noProof/>
        <w:sz w:val="18"/>
      </w:rPr>
      <w:t>2</w:t>
    </w:r>
    <w:r w:rsidRPr="007A401D">
      <w:rPr>
        <w:b/>
        <w:sz w:val="18"/>
      </w:rPr>
      <w:fldChar w:fldCharType="end"/>
    </w:r>
    <w:r>
      <w:rPr>
        <w:b/>
        <w:sz w:val="18"/>
      </w:rPr>
      <w:tab/>
    </w:r>
    <w:r>
      <w:t>GE.24-20634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AB03BF" w14:textId="7B97BDE6" w:rsidR="007A401D" w:rsidRPr="007A401D" w:rsidRDefault="007A401D" w:rsidP="007A401D">
    <w:pPr>
      <w:pStyle w:val="Pieddepage"/>
      <w:tabs>
        <w:tab w:val="right" w:pos="9638"/>
      </w:tabs>
      <w:rPr>
        <w:b/>
        <w:sz w:val="18"/>
      </w:rPr>
    </w:pPr>
    <w:r>
      <w:t>GE.24-20634</w:t>
    </w:r>
    <w:r>
      <w:tab/>
    </w:r>
    <w:r w:rsidRPr="007A401D">
      <w:rPr>
        <w:b/>
        <w:sz w:val="18"/>
      </w:rPr>
      <w:fldChar w:fldCharType="begin"/>
    </w:r>
    <w:r w:rsidRPr="007A401D">
      <w:rPr>
        <w:b/>
        <w:sz w:val="18"/>
      </w:rPr>
      <w:instrText xml:space="preserve"> PAGE  \* MERGEFORMAT </w:instrText>
    </w:r>
    <w:r w:rsidRPr="007A401D">
      <w:rPr>
        <w:b/>
        <w:sz w:val="18"/>
      </w:rPr>
      <w:fldChar w:fldCharType="separate"/>
    </w:r>
    <w:r w:rsidRPr="007A401D">
      <w:rPr>
        <w:b/>
        <w:noProof/>
        <w:sz w:val="18"/>
      </w:rPr>
      <w:t>3</w:t>
    </w:r>
    <w:r w:rsidRPr="007A40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982D0" w14:textId="2DC053F2" w:rsidR="0080236C" w:rsidRPr="007A401D" w:rsidRDefault="007A401D" w:rsidP="007A401D">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67AE348" wp14:editId="7E1CADC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24-20634  (F)</w:t>
    </w:r>
    <w:r>
      <w:rPr>
        <w:noProof/>
        <w:sz w:val="20"/>
      </w:rPr>
      <w:drawing>
        <wp:anchor distT="0" distB="0" distL="114300" distR="114300" simplePos="0" relativeHeight="251660288" behindDoc="0" locked="0" layoutInCell="1" allowOverlap="1" wp14:anchorId="58E0FABC" wp14:editId="6C26D178">
          <wp:simplePos x="0" y="0"/>
          <wp:positionH relativeFrom="margin">
            <wp:posOffset>5489575</wp:posOffset>
          </wp:positionH>
          <wp:positionV relativeFrom="margin">
            <wp:posOffset>8891905</wp:posOffset>
          </wp:positionV>
          <wp:extent cx="628650" cy="628650"/>
          <wp:effectExtent l="0" t="0" r="0" b="0"/>
          <wp:wrapNone/>
          <wp:docPr id="13151689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221124    251124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237ADE" w14:textId="77777777" w:rsidR="00761593" w:rsidRPr="00AC3823" w:rsidRDefault="00761593" w:rsidP="00AC3823">
      <w:pPr>
        <w:pStyle w:val="Pieddepage"/>
        <w:tabs>
          <w:tab w:val="right" w:pos="2155"/>
        </w:tabs>
        <w:spacing w:after="80" w:line="240" w:lineRule="atLeast"/>
        <w:ind w:left="680"/>
        <w:rPr>
          <w:u w:val="single"/>
        </w:rPr>
      </w:pPr>
      <w:r>
        <w:rPr>
          <w:u w:val="single"/>
        </w:rPr>
        <w:tab/>
      </w:r>
    </w:p>
  </w:footnote>
  <w:footnote w:type="continuationSeparator" w:id="0">
    <w:p w14:paraId="52DA9B49" w14:textId="77777777" w:rsidR="00761593" w:rsidRPr="00AC3823" w:rsidRDefault="00761593" w:rsidP="00AC3823">
      <w:pPr>
        <w:pStyle w:val="Pieddepage"/>
        <w:tabs>
          <w:tab w:val="right" w:pos="2155"/>
        </w:tabs>
        <w:spacing w:after="80" w:line="240" w:lineRule="atLeast"/>
        <w:ind w:left="680"/>
        <w:rPr>
          <w:u w:val="single"/>
        </w:rPr>
      </w:pPr>
      <w:r>
        <w:rPr>
          <w:u w:val="single"/>
        </w:rPr>
        <w:tab/>
      </w:r>
    </w:p>
  </w:footnote>
  <w:footnote w:type="continuationNotice" w:id="1">
    <w:p w14:paraId="15966484" w14:textId="77777777" w:rsidR="00761593" w:rsidRPr="00AC3823" w:rsidRDefault="00761593">
      <w:pPr>
        <w:spacing w:line="240" w:lineRule="auto"/>
        <w:rPr>
          <w:sz w:val="2"/>
          <w:szCs w:val="2"/>
        </w:rPr>
      </w:pPr>
    </w:p>
  </w:footnote>
  <w:footnote w:id="2">
    <w:p w14:paraId="68141BFA" w14:textId="7319FF33" w:rsidR="007A401D" w:rsidRPr="007A401D" w:rsidRDefault="007A401D">
      <w:pPr>
        <w:pStyle w:val="Notedebasdepage"/>
      </w:pPr>
      <w:r>
        <w:rPr>
          <w:rStyle w:val="Appelnotedebasdep"/>
        </w:rPr>
        <w:tab/>
      </w:r>
      <w:r w:rsidRPr="007A401D">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0AE2CCAF" w14:textId="7A091069" w:rsidR="007A401D" w:rsidRPr="007A401D" w:rsidRDefault="007A401D">
      <w:pPr>
        <w:pStyle w:val="Notedebasdepage"/>
      </w:pPr>
      <w:r>
        <w:rPr>
          <w:rStyle w:val="Appelnotedebasdep"/>
        </w:rPr>
        <w:tab/>
      </w:r>
      <w:r w:rsidRPr="007A401D">
        <w:rPr>
          <w:rStyle w:val="Appelnotedebasdep"/>
          <w:sz w:val="20"/>
          <w:vertAlign w:val="baseline"/>
        </w:rPr>
        <w:t>**</w:t>
      </w:r>
      <w:r>
        <w:rPr>
          <w:rStyle w:val="Appelnotedebasdep"/>
          <w:sz w:val="20"/>
          <w:vertAlign w:val="baseline"/>
        </w:rPr>
        <w:tab/>
      </w:r>
      <w:r>
        <w:rPr>
          <w:rFonts w:eastAsia="Times New Roman"/>
        </w:rPr>
        <w:t>Les annexes du présent document peuvent être consultées sur la page Web du Comité.</w:t>
      </w:r>
    </w:p>
  </w:footnote>
  <w:footnote w:id="4">
    <w:p w14:paraId="0A85AD2C" w14:textId="091AA971" w:rsidR="007A401D" w:rsidRDefault="000D2DAD" w:rsidP="000D2DAD">
      <w:pPr>
        <w:pStyle w:val="Notedebasdepage"/>
      </w:pPr>
      <w:r>
        <w:tab/>
      </w:r>
      <w:r w:rsidR="007A401D" w:rsidRPr="00E16BD4">
        <w:rPr>
          <w:rStyle w:val="Appelnotedebasdep"/>
        </w:rPr>
        <w:footnoteRef/>
      </w:r>
      <w:r>
        <w:tab/>
      </w:r>
      <w:r w:rsidR="007A401D">
        <w:t xml:space="preserve">Ce rapport est </w:t>
      </w:r>
      <w:r w:rsidR="007A401D" w:rsidRPr="000D2DAD">
        <w:t xml:space="preserve">disponible </w:t>
      </w:r>
      <w:hyperlink r:id="rId1" w:history="1">
        <w:r w:rsidR="007A401D" w:rsidRPr="000D2DAD">
          <w:rPr>
            <w:rStyle w:val="Lienhypertexte"/>
          </w:rPr>
          <w:t>ici</w:t>
        </w:r>
      </w:hyperlink>
      <w:r w:rsidR="007A401D" w:rsidRPr="000D2DAD">
        <w:t>.</w:t>
      </w:r>
    </w:p>
  </w:footnote>
  <w:footnote w:id="5">
    <w:p w14:paraId="45513086" w14:textId="4D414B1B" w:rsidR="007A401D" w:rsidRDefault="000D2DAD" w:rsidP="000D2DAD">
      <w:pPr>
        <w:pStyle w:val="Notedebasdepage"/>
      </w:pPr>
      <w:r>
        <w:tab/>
      </w:r>
      <w:r w:rsidR="007A401D" w:rsidRPr="00E16BD4">
        <w:rPr>
          <w:rStyle w:val="Appelnotedebasdep"/>
        </w:rPr>
        <w:footnoteRef/>
      </w:r>
      <w:r>
        <w:tab/>
      </w:r>
      <w:r w:rsidR="007A401D">
        <w:t>Il s’agit du Point de signalement des discriminations en ligne, du Médiateur national, du Médiateur des enfants et du NIHR.</w:t>
      </w:r>
      <w:r w:rsidR="007A401D" w:rsidRPr="00F723E8">
        <w:t xml:space="preserve"> </w:t>
      </w:r>
      <w:r w:rsidR="007A401D">
        <w:t xml:space="preserve">L’aperçu pour la période 2020-2023 se </w:t>
      </w:r>
      <w:r w:rsidR="007A401D" w:rsidRPr="00346D05">
        <w:t xml:space="preserve">trouve dans ce </w:t>
      </w:r>
      <w:hyperlink r:id="rId2" w:history="1">
        <w:r w:rsidR="007A401D" w:rsidRPr="00346D05">
          <w:rPr>
            <w:rStyle w:val="Lienhypertexte"/>
          </w:rPr>
          <w:t>rapport</w:t>
        </w:r>
      </w:hyperlink>
      <w:r w:rsidR="007A401D" w:rsidRPr="00346D05">
        <w:t>.</w:t>
      </w:r>
    </w:p>
  </w:footnote>
  <w:footnote w:id="6">
    <w:p w14:paraId="3D7F928D" w14:textId="5E514823" w:rsidR="007A401D" w:rsidRPr="00A1240A" w:rsidRDefault="00346D05" w:rsidP="00346D05">
      <w:pPr>
        <w:pStyle w:val="Notedebasdepage"/>
        <w:rPr>
          <w:lang w:val="en-US"/>
        </w:rPr>
      </w:pPr>
      <w:r>
        <w:tab/>
      </w:r>
      <w:r w:rsidR="007A401D" w:rsidRPr="00E16BD4">
        <w:rPr>
          <w:rStyle w:val="Appelnotedebasdep"/>
        </w:rPr>
        <w:footnoteRef/>
      </w:r>
      <w:r w:rsidRPr="00A1240A">
        <w:rPr>
          <w:lang w:val="en-US"/>
        </w:rPr>
        <w:tab/>
      </w:r>
      <w:r w:rsidR="007A401D" w:rsidRPr="00A1240A">
        <w:rPr>
          <w:lang w:val="en-US"/>
        </w:rPr>
        <w:t xml:space="preserve">TNO/CBS (2023), </w:t>
      </w:r>
      <w:hyperlink r:id="rId3" w:history="1">
        <w:r w:rsidR="007A401D" w:rsidRPr="00A1240A">
          <w:rPr>
            <w:i/>
            <w:iCs/>
            <w:lang w:val="en-US"/>
          </w:rPr>
          <w:t xml:space="preserve">Verhouding typen flexcontracten </w:t>
        </w:r>
        <w:r w:rsidRPr="00A1240A">
          <w:rPr>
            <w:lang w:val="en-US"/>
          </w:rPr>
          <w:t>−</w:t>
        </w:r>
        <w:r w:rsidR="007A401D" w:rsidRPr="00A1240A">
          <w:rPr>
            <w:lang w:val="en-US"/>
          </w:rPr>
          <w:t xml:space="preserve"> Flexbarometer</w:t>
        </w:r>
      </w:hyperlink>
      <w:r w:rsidR="007A401D" w:rsidRPr="00A1240A">
        <w:rPr>
          <w:lang w:val="en-US"/>
        </w:rPr>
        <w:t>, EBB, Q4 2023.</w:t>
      </w:r>
    </w:p>
  </w:footnote>
  <w:footnote w:id="7">
    <w:p w14:paraId="6225FF71" w14:textId="16AA0A47" w:rsidR="007A401D" w:rsidRDefault="00346D05" w:rsidP="00346D05">
      <w:pPr>
        <w:pStyle w:val="Notedebasdepage"/>
      </w:pPr>
      <w:r w:rsidRPr="00A1240A">
        <w:rPr>
          <w:lang w:val="en-US"/>
        </w:rPr>
        <w:tab/>
      </w:r>
      <w:r w:rsidR="007A401D" w:rsidRPr="00E16BD4">
        <w:rPr>
          <w:rStyle w:val="Appelnotedebasdep"/>
        </w:rPr>
        <w:footnoteRef/>
      </w:r>
      <w:r>
        <w:tab/>
      </w:r>
      <w:r w:rsidR="007A401D">
        <w:t>Documents parlementaires, Chambre des représentants, 2023/2024, 29 544, n</w:t>
      </w:r>
      <w:r w:rsidR="007A401D" w:rsidRPr="00346D05">
        <w:rPr>
          <w:vertAlign w:val="superscript"/>
        </w:rPr>
        <w:t>o</w:t>
      </w:r>
      <w:r>
        <w:t> </w:t>
      </w:r>
      <w:r w:rsidR="007A401D">
        <w:t>1230.</w:t>
      </w:r>
    </w:p>
  </w:footnote>
  <w:footnote w:id="8">
    <w:p w14:paraId="69B455B4" w14:textId="7F8AB4C8" w:rsidR="007A401D" w:rsidRDefault="00346D05" w:rsidP="00A1240A">
      <w:pPr>
        <w:pStyle w:val="Notedebasdepage"/>
      </w:pPr>
      <w:r>
        <w:rPr>
          <w:lang w:val="fr-FR"/>
        </w:rPr>
        <w:tab/>
      </w:r>
      <w:r w:rsidR="007A401D" w:rsidRPr="00E16BD4">
        <w:rPr>
          <w:rStyle w:val="Appelnotedebasdep"/>
        </w:rPr>
        <w:footnoteRef/>
      </w:r>
      <w:r>
        <w:rPr>
          <w:lang w:val="fr-FR"/>
        </w:rPr>
        <w:tab/>
      </w:r>
      <w:hyperlink r:id="rId4" w:history="1">
        <w:r w:rsidRPr="00C278A9">
          <w:rPr>
            <w:rStyle w:val="Lienhypertexte"/>
            <w:lang w:val="fr-FR"/>
          </w:rPr>
          <w:t>https://www.cbs.nl/nl-nl/maatwerk/2024/16/nationale-enquete-arbeidsomstandigheden--nea---2023-onderzoeksbeschrijving?pk_campaign=social_share</w:t>
        </w:r>
      </w:hyperlink>
      <w:r w:rsidR="007A401D" w:rsidRPr="00E16BD4">
        <w:rPr>
          <w:lang w:val="fr-FR"/>
        </w:rPr>
        <w:t>.</w:t>
      </w:r>
    </w:p>
  </w:footnote>
  <w:footnote w:id="9">
    <w:p w14:paraId="7130CAD5" w14:textId="4CC62EBA" w:rsidR="007A401D" w:rsidRDefault="00D708E0" w:rsidP="00D708E0">
      <w:pPr>
        <w:pStyle w:val="Notedebasdepage"/>
        <w:ind w:hanging="567"/>
      </w:pPr>
      <w:r>
        <w:tab/>
      </w:r>
      <w:r w:rsidR="007A401D" w:rsidRPr="00E16BD4">
        <w:rPr>
          <w:rStyle w:val="Appelnotedebasdep"/>
        </w:rPr>
        <w:footnoteRef/>
      </w:r>
      <w:r>
        <w:tab/>
      </w:r>
      <w:hyperlink r:id="rId5" w:history="1">
        <w:r w:rsidR="00756DBD" w:rsidRPr="00756DBD">
          <w:rPr>
            <w:rStyle w:val="Lienhypertexte"/>
          </w:rPr>
          <w:t>Facilities for trade union activities</w:t>
        </w:r>
      </w:hyperlink>
      <w:r w:rsidR="007A401D" w:rsidRPr="00E16BD4">
        <w:t xml:space="preserve"> (2023), Ministère des affaires sociales et de l</w:t>
      </w:r>
      <w:r w:rsidR="007A401D">
        <w:t>’</w:t>
      </w:r>
      <w:r w:rsidR="007A401D" w:rsidRPr="00E16BD4">
        <w:t>emploi.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7EDF7" w14:textId="0BDBA170" w:rsidR="007A401D" w:rsidRPr="007A401D" w:rsidRDefault="007A401D">
    <w:pPr>
      <w:pStyle w:val="En-tte"/>
    </w:pPr>
    <w:fldSimple w:instr=" TITLE  \* MERGEFORMAT ">
      <w:r w:rsidR="00135325">
        <w:t>E/C.12/NLD/RQ/7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15E1E" w14:textId="6C794FA8" w:rsidR="007A401D" w:rsidRPr="007A401D" w:rsidRDefault="007A401D" w:rsidP="007A401D">
    <w:pPr>
      <w:pStyle w:val="En-tte"/>
      <w:jc w:val="right"/>
    </w:pPr>
    <w:fldSimple w:instr=" TITLE  \* MERGEFORMAT ">
      <w:r w:rsidR="00135325">
        <w:t>E/C.12/NLD/RQ/7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C8069E"/>
    <w:multiLevelType w:val="hybridMultilevel"/>
    <w:tmpl w:val="F30A81C8"/>
    <w:lvl w:ilvl="0" w:tplc="040C0001">
      <w:start w:val="1"/>
      <w:numFmt w:val="bullet"/>
      <w:lvlText w:val=""/>
      <w:lvlJc w:val="left"/>
      <w:pPr>
        <w:ind w:left="3549" w:hanging="360"/>
      </w:pPr>
      <w:rPr>
        <w:rFonts w:ascii="Symbol" w:hAnsi="Symbol" w:hint="default"/>
      </w:rPr>
    </w:lvl>
    <w:lvl w:ilvl="1" w:tplc="040C0003" w:tentative="1">
      <w:start w:val="1"/>
      <w:numFmt w:val="bullet"/>
      <w:lvlText w:val="o"/>
      <w:lvlJc w:val="left"/>
      <w:pPr>
        <w:ind w:left="4269" w:hanging="360"/>
      </w:pPr>
      <w:rPr>
        <w:rFonts w:ascii="Courier New" w:hAnsi="Courier New" w:hint="default"/>
      </w:rPr>
    </w:lvl>
    <w:lvl w:ilvl="2" w:tplc="040C0005" w:tentative="1">
      <w:start w:val="1"/>
      <w:numFmt w:val="bullet"/>
      <w:lvlText w:val=""/>
      <w:lvlJc w:val="left"/>
      <w:pPr>
        <w:ind w:left="4989" w:hanging="360"/>
      </w:pPr>
      <w:rPr>
        <w:rFonts w:ascii="Wingdings" w:hAnsi="Wingdings" w:hint="default"/>
      </w:rPr>
    </w:lvl>
    <w:lvl w:ilvl="3" w:tplc="040C0001" w:tentative="1">
      <w:start w:val="1"/>
      <w:numFmt w:val="bullet"/>
      <w:lvlText w:val=""/>
      <w:lvlJc w:val="left"/>
      <w:pPr>
        <w:ind w:left="5709" w:hanging="360"/>
      </w:pPr>
      <w:rPr>
        <w:rFonts w:ascii="Symbol" w:hAnsi="Symbol" w:hint="default"/>
      </w:rPr>
    </w:lvl>
    <w:lvl w:ilvl="4" w:tplc="040C0003" w:tentative="1">
      <w:start w:val="1"/>
      <w:numFmt w:val="bullet"/>
      <w:lvlText w:val="o"/>
      <w:lvlJc w:val="left"/>
      <w:pPr>
        <w:ind w:left="6429" w:hanging="360"/>
      </w:pPr>
      <w:rPr>
        <w:rFonts w:ascii="Courier New" w:hAnsi="Courier New" w:hint="default"/>
      </w:rPr>
    </w:lvl>
    <w:lvl w:ilvl="5" w:tplc="040C0005" w:tentative="1">
      <w:start w:val="1"/>
      <w:numFmt w:val="bullet"/>
      <w:lvlText w:val=""/>
      <w:lvlJc w:val="left"/>
      <w:pPr>
        <w:ind w:left="7149" w:hanging="360"/>
      </w:pPr>
      <w:rPr>
        <w:rFonts w:ascii="Wingdings" w:hAnsi="Wingdings" w:hint="default"/>
      </w:rPr>
    </w:lvl>
    <w:lvl w:ilvl="6" w:tplc="040C0001" w:tentative="1">
      <w:start w:val="1"/>
      <w:numFmt w:val="bullet"/>
      <w:lvlText w:val=""/>
      <w:lvlJc w:val="left"/>
      <w:pPr>
        <w:ind w:left="7869" w:hanging="360"/>
      </w:pPr>
      <w:rPr>
        <w:rFonts w:ascii="Symbol" w:hAnsi="Symbol" w:hint="default"/>
      </w:rPr>
    </w:lvl>
    <w:lvl w:ilvl="7" w:tplc="040C0003" w:tentative="1">
      <w:start w:val="1"/>
      <w:numFmt w:val="bullet"/>
      <w:lvlText w:val="o"/>
      <w:lvlJc w:val="left"/>
      <w:pPr>
        <w:ind w:left="8589" w:hanging="360"/>
      </w:pPr>
      <w:rPr>
        <w:rFonts w:ascii="Courier New" w:hAnsi="Courier New" w:hint="default"/>
      </w:rPr>
    </w:lvl>
    <w:lvl w:ilvl="8" w:tplc="040C0005" w:tentative="1">
      <w:start w:val="1"/>
      <w:numFmt w:val="bullet"/>
      <w:lvlText w:val=""/>
      <w:lvlJc w:val="left"/>
      <w:pPr>
        <w:ind w:left="9309" w:hanging="360"/>
      </w:pPr>
      <w:rPr>
        <w:rFonts w:ascii="Wingdings" w:hAnsi="Wingdings" w:hint="default"/>
      </w:rPr>
    </w:lvl>
  </w:abstractNum>
  <w:abstractNum w:abstractNumId="11" w15:restartNumberingAfterBreak="0">
    <w:nsid w:val="0A3E22A7"/>
    <w:multiLevelType w:val="hybridMultilevel"/>
    <w:tmpl w:val="1758FE18"/>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3B4FA2"/>
    <w:multiLevelType w:val="hybridMultilevel"/>
    <w:tmpl w:val="83FA872A"/>
    <w:lvl w:ilvl="0" w:tplc="040C0001">
      <w:start w:val="1"/>
      <w:numFmt w:val="bullet"/>
      <w:lvlText w:val=""/>
      <w:lvlJc w:val="left"/>
      <w:pPr>
        <w:ind w:left="4264" w:hanging="360"/>
      </w:pPr>
      <w:rPr>
        <w:rFonts w:ascii="Symbol" w:hAnsi="Symbol" w:hint="default"/>
      </w:rPr>
    </w:lvl>
    <w:lvl w:ilvl="1" w:tplc="040C0003" w:tentative="1">
      <w:start w:val="1"/>
      <w:numFmt w:val="bullet"/>
      <w:lvlText w:val="o"/>
      <w:lvlJc w:val="left"/>
      <w:pPr>
        <w:ind w:left="4984" w:hanging="360"/>
      </w:pPr>
      <w:rPr>
        <w:rFonts w:ascii="Courier New" w:hAnsi="Courier New" w:hint="default"/>
      </w:rPr>
    </w:lvl>
    <w:lvl w:ilvl="2" w:tplc="040C0005" w:tentative="1">
      <w:start w:val="1"/>
      <w:numFmt w:val="bullet"/>
      <w:lvlText w:val=""/>
      <w:lvlJc w:val="left"/>
      <w:pPr>
        <w:ind w:left="5704" w:hanging="360"/>
      </w:pPr>
      <w:rPr>
        <w:rFonts w:ascii="Wingdings" w:hAnsi="Wingdings" w:hint="default"/>
      </w:rPr>
    </w:lvl>
    <w:lvl w:ilvl="3" w:tplc="040C0001" w:tentative="1">
      <w:start w:val="1"/>
      <w:numFmt w:val="bullet"/>
      <w:lvlText w:val=""/>
      <w:lvlJc w:val="left"/>
      <w:pPr>
        <w:ind w:left="6424" w:hanging="360"/>
      </w:pPr>
      <w:rPr>
        <w:rFonts w:ascii="Symbol" w:hAnsi="Symbol" w:hint="default"/>
      </w:rPr>
    </w:lvl>
    <w:lvl w:ilvl="4" w:tplc="040C0003" w:tentative="1">
      <w:start w:val="1"/>
      <w:numFmt w:val="bullet"/>
      <w:lvlText w:val="o"/>
      <w:lvlJc w:val="left"/>
      <w:pPr>
        <w:ind w:left="7144" w:hanging="360"/>
      </w:pPr>
      <w:rPr>
        <w:rFonts w:ascii="Courier New" w:hAnsi="Courier New" w:hint="default"/>
      </w:rPr>
    </w:lvl>
    <w:lvl w:ilvl="5" w:tplc="040C0005" w:tentative="1">
      <w:start w:val="1"/>
      <w:numFmt w:val="bullet"/>
      <w:lvlText w:val=""/>
      <w:lvlJc w:val="left"/>
      <w:pPr>
        <w:ind w:left="7864" w:hanging="360"/>
      </w:pPr>
      <w:rPr>
        <w:rFonts w:ascii="Wingdings" w:hAnsi="Wingdings" w:hint="default"/>
      </w:rPr>
    </w:lvl>
    <w:lvl w:ilvl="6" w:tplc="040C0001" w:tentative="1">
      <w:start w:val="1"/>
      <w:numFmt w:val="bullet"/>
      <w:lvlText w:val=""/>
      <w:lvlJc w:val="left"/>
      <w:pPr>
        <w:ind w:left="8584" w:hanging="360"/>
      </w:pPr>
      <w:rPr>
        <w:rFonts w:ascii="Symbol" w:hAnsi="Symbol" w:hint="default"/>
      </w:rPr>
    </w:lvl>
    <w:lvl w:ilvl="7" w:tplc="040C0003" w:tentative="1">
      <w:start w:val="1"/>
      <w:numFmt w:val="bullet"/>
      <w:lvlText w:val="o"/>
      <w:lvlJc w:val="left"/>
      <w:pPr>
        <w:ind w:left="9304" w:hanging="360"/>
      </w:pPr>
      <w:rPr>
        <w:rFonts w:ascii="Courier New" w:hAnsi="Courier New" w:hint="default"/>
      </w:rPr>
    </w:lvl>
    <w:lvl w:ilvl="8" w:tplc="040C0005" w:tentative="1">
      <w:start w:val="1"/>
      <w:numFmt w:val="bullet"/>
      <w:lvlText w:val=""/>
      <w:lvlJc w:val="left"/>
      <w:pPr>
        <w:ind w:left="10024" w:hanging="360"/>
      </w:pPr>
      <w:rPr>
        <w:rFonts w:ascii="Wingdings" w:hAnsi="Wingdings" w:hint="default"/>
      </w:rPr>
    </w:lvl>
  </w:abstractNum>
  <w:abstractNum w:abstractNumId="14" w15:restartNumberingAfterBreak="0">
    <w:nsid w:val="271A4472"/>
    <w:multiLevelType w:val="hybridMultilevel"/>
    <w:tmpl w:val="0512E5F6"/>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5" w15:restartNumberingAfterBreak="0">
    <w:nsid w:val="2EB92C44"/>
    <w:multiLevelType w:val="hybridMultilevel"/>
    <w:tmpl w:val="BAAA851E"/>
    <w:lvl w:ilvl="0" w:tplc="040C0001">
      <w:start w:val="1"/>
      <w:numFmt w:val="bullet"/>
      <w:lvlText w:val=""/>
      <w:lvlJc w:val="left"/>
      <w:pPr>
        <w:ind w:left="3549" w:hanging="360"/>
      </w:pPr>
      <w:rPr>
        <w:rFonts w:ascii="Symbol" w:hAnsi="Symbol" w:hint="default"/>
      </w:rPr>
    </w:lvl>
    <w:lvl w:ilvl="1" w:tplc="040C0003" w:tentative="1">
      <w:start w:val="1"/>
      <w:numFmt w:val="bullet"/>
      <w:lvlText w:val="o"/>
      <w:lvlJc w:val="left"/>
      <w:pPr>
        <w:ind w:left="4269" w:hanging="360"/>
      </w:pPr>
      <w:rPr>
        <w:rFonts w:ascii="Courier New" w:hAnsi="Courier New" w:hint="default"/>
      </w:rPr>
    </w:lvl>
    <w:lvl w:ilvl="2" w:tplc="040C0005" w:tentative="1">
      <w:start w:val="1"/>
      <w:numFmt w:val="bullet"/>
      <w:lvlText w:val=""/>
      <w:lvlJc w:val="left"/>
      <w:pPr>
        <w:ind w:left="4989" w:hanging="360"/>
      </w:pPr>
      <w:rPr>
        <w:rFonts w:ascii="Wingdings" w:hAnsi="Wingdings" w:hint="default"/>
      </w:rPr>
    </w:lvl>
    <w:lvl w:ilvl="3" w:tplc="040C0001" w:tentative="1">
      <w:start w:val="1"/>
      <w:numFmt w:val="bullet"/>
      <w:lvlText w:val=""/>
      <w:lvlJc w:val="left"/>
      <w:pPr>
        <w:ind w:left="5709" w:hanging="360"/>
      </w:pPr>
      <w:rPr>
        <w:rFonts w:ascii="Symbol" w:hAnsi="Symbol" w:hint="default"/>
      </w:rPr>
    </w:lvl>
    <w:lvl w:ilvl="4" w:tplc="040C0003" w:tentative="1">
      <w:start w:val="1"/>
      <w:numFmt w:val="bullet"/>
      <w:lvlText w:val="o"/>
      <w:lvlJc w:val="left"/>
      <w:pPr>
        <w:ind w:left="6429" w:hanging="360"/>
      </w:pPr>
      <w:rPr>
        <w:rFonts w:ascii="Courier New" w:hAnsi="Courier New" w:hint="default"/>
      </w:rPr>
    </w:lvl>
    <w:lvl w:ilvl="5" w:tplc="040C0005" w:tentative="1">
      <w:start w:val="1"/>
      <w:numFmt w:val="bullet"/>
      <w:lvlText w:val=""/>
      <w:lvlJc w:val="left"/>
      <w:pPr>
        <w:ind w:left="7149" w:hanging="360"/>
      </w:pPr>
      <w:rPr>
        <w:rFonts w:ascii="Wingdings" w:hAnsi="Wingdings" w:hint="default"/>
      </w:rPr>
    </w:lvl>
    <w:lvl w:ilvl="6" w:tplc="040C0001" w:tentative="1">
      <w:start w:val="1"/>
      <w:numFmt w:val="bullet"/>
      <w:lvlText w:val=""/>
      <w:lvlJc w:val="left"/>
      <w:pPr>
        <w:ind w:left="7869" w:hanging="360"/>
      </w:pPr>
      <w:rPr>
        <w:rFonts w:ascii="Symbol" w:hAnsi="Symbol" w:hint="default"/>
      </w:rPr>
    </w:lvl>
    <w:lvl w:ilvl="7" w:tplc="040C0003" w:tentative="1">
      <w:start w:val="1"/>
      <w:numFmt w:val="bullet"/>
      <w:lvlText w:val="o"/>
      <w:lvlJc w:val="left"/>
      <w:pPr>
        <w:ind w:left="8589" w:hanging="360"/>
      </w:pPr>
      <w:rPr>
        <w:rFonts w:ascii="Courier New" w:hAnsi="Courier New" w:hint="default"/>
      </w:rPr>
    </w:lvl>
    <w:lvl w:ilvl="8" w:tplc="040C0005" w:tentative="1">
      <w:start w:val="1"/>
      <w:numFmt w:val="bullet"/>
      <w:lvlText w:val=""/>
      <w:lvlJc w:val="left"/>
      <w:pPr>
        <w:ind w:left="9309" w:hanging="360"/>
      </w:pPr>
      <w:rPr>
        <w:rFonts w:ascii="Wingdings" w:hAnsi="Wingdings" w:hint="default"/>
      </w:rPr>
    </w:lvl>
  </w:abstractNum>
  <w:abstractNum w:abstractNumId="16" w15:restartNumberingAfterBreak="0">
    <w:nsid w:val="3074173D"/>
    <w:multiLevelType w:val="hybridMultilevel"/>
    <w:tmpl w:val="55201D4E"/>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7" w15:restartNumberingAfterBreak="0">
    <w:nsid w:val="30AB5B34"/>
    <w:multiLevelType w:val="hybridMultilevel"/>
    <w:tmpl w:val="2152A558"/>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8" w15:restartNumberingAfterBreak="0">
    <w:nsid w:val="3A0228B2"/>
    <w:multiLevelType w:val="hybridMultilevel"/>
    <w:tmpl w:val="CE0AE2C4"/>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19"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0D69AB"/>
    <w:multiLevelType w:val="hybridMultilevel"/>
    <w:tmpl w:val="18E2E934"/>
    <w:lvl w:ilvl="0" w:tplc="040C0001">
      <w:start w:val="1"/>
      <w:numFmt w:val="bullet"/>
      <w:lvlText w:val=""/>
      <w:lvlJc w:val="left"/>
      <w:pPr>
        <w:ind w:left="1424" w:hanging="360"/>
      </w:pPr>
      <w:rPr>
        <w:rFonts w:ascii="Symbol" w:hAnsi="Symbol" w:hint="default"/>
      </w:rPr>
    </w:lvl>
    <w:lvl w:ilvl="1" w:tplc="040C0003" w:tentative="1">
      <w:start w:val="1"/>
      <w:numFmt w:val="bullet"/>
      <w:lvlText w:val="o"/>
      <w:lvlJc w:val="left"/>
      <w:pPr>
        <w:ind w:left="2144" w:hanging="360"/>
      </w:pPr>
      <w:rPr>
        <w:rFonts w:ascii="Courier New" w:hAnsi="Courier New" w:hint="default"/>
      </w:rPr>
    </w:lvl>
    <w:lvl w:ilvl="2" w:tplc="040C0005" w:tentative="1">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1" w15:restartNumberingAfterBreak="0">
    <w:nsid w:val="538013F3"/>
    <w:multiLevelType w:val="hybridMultilevel"/>
    <w:tmpl w:val="0E2C2290"/>
    <w:lvl w:ilvl="0" w:tplc="040C0001">
      <w:start w:val="1"/>
      <w:numFmt w:val="bullet"/>
      <w:lvlText w:val=""/>
      <w:lvlJc w:val="left"/>
      <w:pPr>
        <w:ind w:left="3549" w:hanging="360"/>
      </w:pPr>
      <w:rPr>
        <w:rFonts w:ascii="Symbol" w:hAnsi="Symbol" w:hint="default"/>
      </w:rPr>
    </w:lvl>
    <w:lvl w:ilvl="1" w:tplc="040C0003" w:tentative="1">
      <w:start w:val="1"/>
      <w:numFmt w:val="bullet"/>
      <w:lvlText w:val="o"/>
      <w:lvlJc w:val="left"/>
      <w:pPr>
        <w:ind w:left="4269" w:hanging="360"/>
      </w:pPr>
      <w:rPr>
        <w:rFonts w:ascii="Courier New" w:hAnsi="Courier New" w:hint="default"/>
      </w:rPr>
    </w:lvl>
    <w:lvl w:ilvl="2" w:tplc="040C0005" w:tentative="1">
      <w:start w:val="1"/>
      <w:numFmt w:val="bullet"/>
      <w:lvlText w:val=""/>
      <w:lvlJc w:val="left"/>
      <w:pPr>
        <w:ind w:left="4989" w:hanging="360"/>
      </w:pPr>
      <w:rPr>
        <w:rFonts w:ascii="Wingdings" w:hAnsi="Wingdings" w:hint="default"/>
      </w:rPr>
    </w:lvl>
    <w:lvl w:ilvl="3" w:tplc="040C0001" w:tentative="1">
      <w:start w:val="1"/>
      <w:numFmt w:val="bullet"/>
      <w:lvlText w:val=""/>
      <w:lvlJc w:val="left"/>
      <w:pPr>
        <w:ind w:left="5709" w:hanging="360"/>
      </w:pPr>
      <w:rPr>
        <w:rFonts w:ascii="Symbol" w:hAnsi="Symbol" w:hint="default"/>
      </w:rPr>
    </w:lvl>
    <w:lvl w:ilvl="4" w:tplc="040C0003" w:tentative="1">
      <w:start w:val="1"/>
      <w:numFmt w:val="bullet"/>
      <w:lvlText w:val="o"/>
      <w:lvlJc w:val="left"/>
      <w:pPr>
        <w:ind w:left="6429" w:hanging="360"/>
      </w:pPr>
      <w:rPr>
        <w:rFonts w:ascii="Courier New" w:hAnsi="Courier New" w:hint="default"/>
      </w:rPr>
    </w:lvl>
    <w:lvl w:ilvl="5" w:tplc="040C0005" w:tentative="1">
      <w:start w:val="1"/>
      <w:numFmt w:val="bullet"/>
      <w:lvlText w:val=""/>
      <w:lvlJc w:val="left"/>
      <w:pPr>
        <w:ind w:left="7149" w:hanging="360"/>
      </w:pPr>
      <w:rPr>
        <w:rFonts w:ascii="Wingdings" w:hAnsi="Wingdings" w:hint="default"/>
      </w:rPr>
    </w:lvl>
    <w:lvl w:ilvl="6" w:tplc="040C0001" w:tentative="1">
      <w:start w:val="1"/>
      <w:numFmt w:val="bullet"/>
      <w:lvlText w:val=""/>
      <w:lvlJc w:val="left"/>
      <w:pPr>
        <w:ind w:left="7869" w:hanging="360"/>
      </w:pPr>
      <w:rPr>
        <w:rFonts w:ascii="Symbol" w:hAnsi="Symbol" w:hint="default"/>
      </w:rPr>
    </w:lvl>
    <w:lvl w:ilvl="7" w:tplc="040C0003" w:tentative="1">
      <w:start w:val="1"/>
      <w:numFmt w:val="bullet"/>
      <w:lvlText w:val="o"/>
      <w:lvlJc w:val="left"/>
      <w:pPr>
        <w:ind w:left="8589" w:hanging="360"/>
      </w:pPr>
      <w:rPr>
        <w:rFonts w:ascii="Courier New" w:hAnsi="Courier New" w:hint="default"/>
      </w:rPr>
    </w:lvl>
    <w:lvl w:ilvl="8" w:tplc="040C0005" w:tentative="1">
      <w:start w:val="1"/>
      <w:numFmt w:val="bullet"/>
      <w:lvlText w:val=""/>
      <w:lvlJc w:val="left"/>
      <w:pPr>
        <w:ind w:left="9309" w:hanging="360"/>
      </w:pPr>
      <w:rPr>
        <w:rFonts w:ascii="Wingdings" w:hAnsi="Wingdings" w:hint="default"/>
      </w:rPr>
    </w:lvl>
  </w:abstractNum>
  <w:abstractNum w:abstractNumId="22" w15:restartNumberingAfterBreak="0">
    <w:nsid w:val="61A11DBF"/>
    <w:multiLevelType w:val="hybridMultilevel"/>
    <w:tmpl w:val="9EB4D66C"/>
    <w:lvl w:ilvl="0" w:tplc="040C0001">
      <w:start w:val="1"/>
      <w:numFmt w:val="bullet"/>
      <w:lvlText w:val=""/>
      <w:lvlJc w:val="left"/>
      <w:pPr>
        <w:ind w:left="2844" w:hanging="360"/>
      </w:pPr>
      <w:rPr>
        <w:rFonts w:ascii="Symbol" w:hAnsi="Symbol" w:hint="default"/>
      </w:rPr>
    </w:lvl>
    <w:lvl w:ilvl="1" w:tplc="040C0003" w:tentative="1">
      <w:start w:val="1"/>
      <w:numFmt w:val="bullet"/>
      <w:lvlText w:val="o"/>
      <w:lvlJc w:val="left"/>
      <w:pPr>
        <w:ind w:left="3564" w:hanging="360"/>
      </w:pPr>
      <w:rPr>
        <w:rFonts w:ascii="Courier New" w:hAnsi="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2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BA5548D"/>
    <w:multiLevelType w:val="hybridMultilevel"/>
    <w:tmpl w:val="C28E5D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3F42916"/>
    <w:multiLevelType w:val="hybridMultilevel"/>
    <w:tmpl w:val="F4AE809C"/>
    <w:lvl w:ilvl="0" w:tplc="040C0001">
      <w:start w:val="1"/>
      <w:numFmt w:val="bullet"/>
      <w:lvlText w:val=""/>
      <w:lvlJc w:val="left"/>
      <w:pPr>
        <w:ind w:left="2140" w:hanging="360"/>
      </w:pPr>
      <w:rPr>
        <w:rFonts w:ascii="Symbol" w:hAnsi="Symbol" w:hint="default"/>
      </w:rPr>
    </w:lvl>
    <w:lvl w:ilvl="1" w:tplc="040C0003" w:tentative="1">
      <w:start w:val="1"/>
      <w:numFmt w:val="bullet"/>
      <w:lvlText w:val="o"/>
      <w:lvlJc w:val="left"/>
      <w:pPr>
        <w:ind w:left="2860" w:hanging="360"/>
      </w:pPr>
      <w:rPr>
        <w:rFonts w:ascii="Courier New" w:hAnsi="Courier New" w:hint="default"/>
      </w:rPr>
    </w:lvl>
    <w:lvl w:ilvl="2" w:tplc="040C0005" w:tentative="1">
      <w:start w:val="1"/>
      <w:numFmt w:val="bullet"/>
      <w:lvlText w:val=""/>
      <w:lvlJc w:val="left"/>
      <w:pPr>
        <w:ind w:left="3580" w:hanging="360"/>
      </w:pPr>
      <w:rPr>
        <w:rFonts w:ascii="Wingdings" w:hAnsi="Wingdings" w:hint="default"/>
      </w:rPr>
    </w:lvl>
    <w:lvl w:ilvl="3" w:tplc="040C0001" w:tentative="1">
      <w:start w:val="1"/>
      <w:numFmt w:val="bullet"/>
      <w:lvlText w:val=""/>
      <w:lvlJc w:val="left"/>
      <w:pPr>
        <w:ind w:left="4300" w:hanging="360"/>
      </w:pPr>
      <w:rPr>
        <w:rFonts w:ascii="Symbol" w:hAnsi="Symbol" w:hint="default"/>
      </w:rPr>
    </w:lvl>
    <w:lvl w:ilvl="4" w:tplc="040C0003" w:tentative="1">
      <w:start w:val="1"/>
      <w:numFmt w:val="bullet"/>
      <w:lvlText w:val="o"/>
      <w:lvlJc w:val="left"/>
      <w:pPr>
        <w:ind w:left="5020" w:hanging="360"/>
      </w:pPr>
      <w:rPr>
        <w:rFonts w:ascii="Courier New" w:hAnsi="Courier New" w:hint="default"/>
      </w:rPr>
    </w:lvl>
    <w:lvl w:ilvl="5" w:tplc="040C0005" w:tentative="1">
      <w:start w:val="1"/>
      <w:numFmt w:val="bullet"/>
      <w:lvlText w:val=""/>
      <w:lvlJc w:val="left"/>
      <w:pPr>
        <w:ind w:left="5740" w:hanging="360"/>
      </w:pPr>
      <w:rPr>
        <w:rFonts w:ascii="Wingdings" w:hAnsi="Wingdings" w:hint="default"/>
      </w:rPr>
    </w:lvl>
    <w:lvl w:ilvl="6" w:tplc="040C0001" w:tentative="1">
      <w:start w:val="1"/>
      <w:numFmt w:val="bullet"/>
      <w:lvlText w:val=""/>
      <w:lvlJc w:val="left"/>
      <w:pPr>
        <w:ind w:left="6460" w:hanging="360"/>
      </w:pPr>
      <w:rPr>
        <w:rFonts w:ascii="Symbol" w:hAnsi="Symbol" w:hint="default"/>
      </w:rPr>
    </w:lvl>
    <w:lvl w:ilvl="7" w:tplc="040C0003" w:tentative="1">
      <w:start w:val="1"/>
      <w:numFmt w:val="bullet"/>
      <w:lvlText w:val="o"/>
      <w:lvlJc w:val="left"/>
      <w:pPr>
        <w:ind w:left="7180" w:hanging="360"/>
      </w:pPr>
      <w:rPr>
        <w:rFonts w:ascii="Courier New" w:hAnsi="Courier New" w:hint="default"/>
      </w:rPr>
    </w:lvl>
    <w:lvl w:ilvl="8" w:tplc="040C0005" w:tentative="1">
      <w:start w:val="1"/>
      <w:numFmt w:val="bullet"/>
      <w:lvlText w:val=""/>
      <w:lvlJc w:val="left"/>
      <w:pPr>
        <w:ind w:left="7900" w:hanging="360"/>
      </w:pPr>
      <w:rPr>
        <w:rFonts w:ascii="Wingdings" w:hAnsi="Wingdings" w:hint="default"/>
      </w:rPr>
    </w:lvl>
  </w:abstractNum>
  <w:abstractNum w:abstractNumId="26" w15:restartNumberingAfterBreak="0">
    <w:nsid w:val="79A44DA2"/>
    <w:multiLevelType w:val="hybridMultilevel"/>
    <w:tmpl w:val="FAB2194C"/>
    <w:lvl w:ilvl="0" w:tplc="040C0001">
      <w:start w:val="1"/>
      <w:numFmt w:val="bullet"/>
      <w:lvlText w:val=""/>
      <w:lvlJc w:val="left"/>
      <w:pPr>
        <w:ind w:left="3549" w:hanging="360"/>
      </w:pPr>
      <w:rPr>
        <w:rFonts w:ascii="Symbol" w:hAnsi="Symbol" w:hint="default"/>
      </w:rPr>
    </w:lvl>
    <w:lvl w:ilvl="1" w:tplc="040C0003" w:tentative="1">
      <w:start w:val="1"/>
      <w:numFmt w:val="bullet"/>
      <w:lvlText w:val="o"/>
      <w:lvlJc w:val="left"/>
      <w:pPr>
        <w:ind w:left="4269" w:hanging="360"/>
      </w:pPr>
      <w:rPr>
        <w:rFonts w:ascii="Courier New" w:hAnsi="Courier New" w:hint="default"/>
      </w:rPr>
    </w:lvl>
    <w:lvl w:ilvl="2" w:tplc="040C0005" w:tentative="1">
      <w:start w:val="1"/>
      <w:numFmt w:val="bullet"/>
      <w:lvlText w:val=""/>
      <w:lvlJc w:val="left"/>
      <w:pPr>
        <w:ind w:left="4989" w:hanging="360"/>
      </w:pPr>
      <w:rPr>
        <w:rFonts w:ascii="Wingdings" w:hAnsi="Wingdings" w:hint="default"/>
      </w:rPr>
    </w:lvl>
    <w:lvl w:ilvl="3" w:tplc="040C0001" w:tentative="1">
      <w:start w:val="1"/>
      <w:numFmt w:val="bullet"/>
      <w:lvlText w:val=""/>
      <w:lvlJc w:val="left"/>
      <w:pPr>
        <w:ind w:left="5709" w:hanging="360"/>
      </w:pPr>
      <w:rPr>
        <w:rFonts w:ascii="Symbol" w:hAnsi="Symbol" w:hint="default"/>
      </w:rPr>
    </w:lvl>
    <w:lvl w:ilvl="4" w:tplc="040C0003" w:tentative="1">
      <w:start w:val="1"/>
      <w:numFmt w:val="bullet"/>
      <w:lvlText w:val="o"/>
      <w:lvlJc w:val="left"/>
      <w:pPr>
        <w:ind w:left="6429" w:hanging="360"/>
      </w:pPr>
      <w:rPr>
        <w:rFonts w:ascii="Courier New" w:hAnsi="Courier New" w:hint="default"/>
      </w:rPr>
    </w:lvl>
    <w:lvl w:ilvl="5" w:tplc="040C0005" w:tentative="1">
      <w:start w:val="1"/>
      <w:numFmt w:val="bullet"/>
      <w:lvlText w:val=""/>
      <w:lvlJc w:val="left"/>
      <w:pPr>
        <w:ind w:left="7149" w:hanging="360"/>
      </w:pPr>
      <w:rPr>
        <w:rFonts w:ascii="Wingdings" w:hAnsi="Wingdings" w:hint="default"/>
      </w:rPr>
    </w:lvl>
    <w:lvl w:ilvl="6" w:tplc="040C0001" w:tentative="1">
      <w:start w:val="1"/>
      <w:numFmt w:val="bullet"/>
      <w:lvlText w:val=""/>
      <w:lvlJc w:val="left"/>
      <w:pPr>
        <w:ind w:left="7869" w:hanging="360"/>
      </w:pPr>
      <w:rPr>
        <w:rFonts w:ascii="Symbol" w:hAnsi="Symbol" w:hint="default"/>
      </w:rPr>
    </w:lvl>
    <w:lvl w:ilvl="7" w:tplc="040C0003" w:tentative="1">
      <w:start w:val="1"/>
      <w:numFmt w:val="bullet"/>
      <w:lvlText w:val="o"/>
      <w:lvlJc w:val="left"/>
      <w:pPr>
        <w:ind w:left="8589" w:hanging="360"/>
      </w:pPr>
      <w:rPr>
        <w:rFonts w:ascii="Courier New" w:hAnsi="Courier New" w:hint="default"/>
      </w:rPr>
    </w:lvl>
    <w:lvl w:ilvl="8" w:tplc="040C0005" w:tentative="1">
      <w:start w:val="1"/>
      <w:numFmt w:val="bullet"/>
      <w:lvlText w:val=""/>
      <w:lvlJc w:val="left"/>
      <w:pPr>
        <w:ind w:left="9309" w:hanging="360"/>
      </w:pPr>
      <w:rPr>
        <w:rFonts w:ascii="Wingdings" w:hAnsi="Wingdings" w:hint="default"/>
      </w:rPr>
    </w:lvl>
  </w:abstractNum>
  <w:num w:numId="1" w16cid:durableId="317734548">
    <w:abstractNumId w:val="23"/>
  </w:num>
  <w:num w:numId="2" w16cid:durableId="1143691190">
    <w:abstractNumId w:val="19"/>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23"/>
  </w:num>
  <w:num w:numId="15" w16cid:durableId="955334470">
    <w:abstractNumId w:val="19"/>
  </w:num>
  <w:num w:numId="16" w16cid:durableId="2097170360">
    <w:abstractNumId w:val="12"/>
  </w:num>
  <w:num w:numId="17" w16cid:durableId="91170461">
    <w:abstractNumId w:val="16"/>
  </w:num>
  <w:num w:numId="18" w16cid:durableId="1422067241">
    <w:abstractNumId w:val="18"/>
  </w:num>
  <w:num w:numId="19" w16cid:durableId="261452729">
    <w:abstractNumId w:val="11"/>
  </w:num>
  <w:num w:numId="20" w16cid:durableId="1330593774">
    <w:abstractNumId w:val="14"/>
  </w:num>
  <w:num w:numId="21" w16cid:durableId="383410031">
    <w:abstractNumId w:val="20"/>
  </w:num>
  <w:num w:numId="22" w16cid:durableId="1367412213">
    <w:abstractNumId w:val="25"/>
  </w:num>
  <w:num w:numId="23" w16cid:durableId="1273246126">
    <w:abstractNumId w:val="22"/>
  </w:num>
  <w:num w:numId="24" w16cid:durableId="1247884583">
    <w:abstractNumId w:val="10"/>
  </w:num>
  <w:num w:numId="25" w16cid:durableId="2141604966">
    <w:abstractNumId w:val="13"/>
  </w:num>
  <w:num w:numId="26" w16cid:durableId="84496468">
    <w:abstractNumId w:val="26"/>
  </w:num>
  <w:num w:numId="27" w16cid:durableId="491026683">
    <w:abstractNumId w:val="17"/>
  </w:num>
  <w:num w:numId="28" w16cid:durableId="2129355179">
    <w:abstractNumId w:val="21"/>
  </w:num>
  <w:num w:numId="29" w16cid:durableId="285160622">
    <w:abstractNumId w:val="15"/>
  </w:num>
  <w:num w:numId="30" w16cid:durableId="1699889314">
    <w:abstractNumId w:val="24"/>
  </w:num>
  <w:num w:numId="31" w16cid:durableId="790320843">
    <w:abstractNumId w:val="23"/>
  </w:num>
  <w:num w:numId="32" w16cid:durableId="338698668">
    <w:abstractNumId w:val="23"/>
  </w:num>
  <w:num w:numId="33" w16cid:durableId="175077101">
    <w:abstractNumId w:val="23"/>
  </w:num>
  <w:num w:numId="34" w16cid:durableId="1683627370">
    <w:abstractNumId w:val="23"/>
  </w:num>
  <w:num w:numId="35" w16cid:durableId="1631324267">
    <w:abstractNumId w:val="23"/>
  </w:num>
  <w:num w:numId="36" w16cid:durableId="141629877">
    <w:abstractNumId w:val="23"/>
  </w:num>
  <w:num w:numId="37" w16cid:durableId="434374461">
    <w:abstractNumId w:val="23"/>
  </w:num>
  <w:num w:numId="38" w16cid:durableId="454562919">
    <w:abstractNumId w:val="23"/>
  </w:num>
  <w:num w:numId="39" w16cid:durableId="2096973427">
    <w:abstractNumId w:val="23"/>
  </w:num>
  <w:num w:numId="40" w16cid:durableId="837034891">
    <w:abstractNumId w:val="23"/>
  </w:num>
  <w:num w:numId="41" w16cid:durableId="932588173">
    <w:abstractNumId w:val="23"/>
  </w:num>
  <w:num w:numId="42" w16cid:durableId="1199662111">
    <w:abstractNumId w:val="23"/>
  </w:num>
  <w:num w:numId="43" w16cid:durableId="842865943">
    <w:abstractNumId w:val="23"/>
  </w:num>
  <w:num w:numId="44" w16cid:durableId="603391591">
    <w:abstractNumId w:val="23"/>
  </w:num>
  <w:num w:numId="45" w16cid:durableId="3178499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593"/>
    <w:rsid w:val="00017F94"/>
    <w:rsid w:val="00023842"/>
    <w:rsid w:val="0002432E"/>
    <w:rsid w:val="000334F9"/>
    <w:rsid w:val="00073B9D"/>
    <w:rsid w:val="0007796D"/>
    <w:rsid w:val="00077BCF"/>
    <w:rsid w:val="000B7790"/>
    <w:rsid w:val="000D2DAD"/>
    <w:rsid w:val="000F103D"/>
    <w:rsid w:val="00111F2F"/>
    <w:rsid w:val="0011618D"/>
    <w:rsid w:val="00135325"/>
    <w:rsid w:val="0014365E"/>
    <w:rsid w:val="00176178"/>
    <w:rsid w:val="001C3868"/>
    <w:rsid w:val="001F525A"/>
    <w:rsid w:val="00223272"/>
    <w:rsid w:val="0024779E"/>
    <w:rsid w:val="002515E3"/>
    <w:rsid w:val="00266ACE"/>
    <w:rsid w:val="002832AC"/>
    <w:rsid w:val="002D7C93"/>
    <w:rsid w:val="00320251"/>
    <w:rsid w:val="0033721B"/>
    <w:rsid w:val="00343EC6"/>
    <w:rsid w:val="00346D05"/>
    <w:rsid w:val="00375918"/>
    <w:rsid w:val="00404CFF"/>
    <w:rsid w:val="00441C3B"/>
    <w:rsid w:val="00446FE5"/>
    <w:rsid w:val="00452396"/>
    <w:rsid w:val="004603B4"/>
    <w:rsid w:val="00474701"/>
    <w:rsid w:val="004E468C"/>
    <w:rsid w:val="005505B7"/>
    <w:rsid w:val="00573BE5"/>
    <w:rsid w:val="00586ED3"/>
    <w:rsid w:val="00596AA9"/>
    <w:rsid w:val="005974A1"/>
    <w:rsid w:val="006218AA"/>
    <w:rsid w:val="00641C3C"/>
    <w:rsid w:val="006A7C3F"/>
    <w:rsid w:val="006F2679"/>
    <w:rsid w:val="007104DD"/>
    <w:rsid w:val="0071601D"/>
    <w:rsid w:val="00756DBD"/>
    <w:rsid w:val="00761593"/>
    <w:rsid w:val="007A401D"/>
    <w:rsid w:val="007A62E6"/>
    <w:rsid w:val="007C1326"/>
    <w:rsid w:val="0080236C"/>
    <w:rsid w:val="0080684C"/>
    <w:rsid w:val="00871C75"/>
    <w:rsid w:val="008776DC"/>
    <w:rsid w:val="008E4438"/>
    <w:rsid w:val="00967489"/>
    <w:rsid w:val="009705C8"/>
    <w:rsid w:val="009A4AB0"/>
    <w:rsid w:val="009C1CF4"/>
    <w:rsid w:val="00A1240A"/>
    <w:rsid w:val="00A30353"/>
    <w:rsid w:val="00A82EF8"/>
    <w:rsid w:val="00AA42FA"/>
    <w:rsid w:val="00AC3823"/>
    <w:rsid w:val="00AE323C"/>
    <w:rsid w:val="00AF290F"/>
    <w:rsid w:val="00B00181"/>
    <w:rsid w:val="00B00B0D"/>
    <w:rsid w:val="00B0346A"/>
    <w:rsid w:val="00B765F7"/>
    <w:rsid w:val="00B864C8"/>
    <w:rsid w:val="00BA0CA9"/>
    <w:rsid w:val="00C02897"/>
    <w:rsid w:val="00C71830"/>
    <w:rsid w:val="00CC76F9"/>
    <w:rsid w:val="00D3439C"/>
    <w:rsid w:val="00D558C5"/>
    <w:rsid w:val="00D708E0"/>
    <w:rsid w:val="00D70FE4"/>
    <w:rsid w:val="00D75300"/>
    <w:rsid w:val="00DB1831"/>
    <w:rsid w:val="00DD3BFD"/>
    <w:rsid w:val="00DF6678"/>
    <w:rsid w:val="00E82F31"/>
    <w:rsid w:val="00EF2E22"/>
    <w:rsid w:val="00F571C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5AEA9"/>
  <w15:docId w15:val="{B4E78839-A08D-4391-86E9-A0EFA648F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Paragraphedeliste">
    <w:name w:val="List Paragraph"/>
    <w:basedOn w:val="Normal"/>
    <w:uiPriority w:val="34"/>
    <w:qFormat/>
    <w:rsid w:val="007A401D"/>
    <w:pPr>
      <w:ind w:left="720"/>
      <w:contextualSpacing/>
    </w:pPr>
    <w:rPr>
      <w:kern w:val="2"/>
      <w14:ligatures w14:val="standardContextual"/>
    </w:rPr>
  </w:style>
  <w:style w:type="character" w:customStyle="1" w:styleId="content">
    <w:name w:val="content"/>
    <w:basedOn w:val="Policepardfaut"/>
    <w:rsid w:val="007A401D"/>
  </w:style>
  <w:style w:type="character" w:styleId="Mentionnonrsolue">
    <w:name w:val="Unresolved Mention"/>
    <w:basedOn w:val="Policepardfaut"/>
    <w:uiPriority w:val="99"/>
    <w:semiHidden/>
    <w:unhideWhenUsed/>
    <w:rsid w:val="000D2D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flexbarometer.nl/verhouding-typen-flexcontracten" TargetMode="External"/><Relationship Id="rId2" Type="http://schemas.openxmlformats.org/officeDocument/2006/relationships/hyperlink" Target="https://open.overheid.nl/documenten/34c15b29-b2c7-40c1-8976-f805eb29aa59/file" TargetMode="External"/><Relationship Id="rId1" Type="http://schemas.openxmlformats.org/officeDocument/2006/relationships/hyperlink" Target="https://www.mensenrechten.nl/monitor-discriminatiezaken/oordelen" TargetMode="External"/><Relationship Id="rId5" Type="http://schemas.openxmlformats.org/officeDocument/2006/relationships/hyperlink" Target="https://open.overheid.nl/documenten/54b2459d-d22c-4a98-9755-cd774107d1c1/file" TargetMode="External"/><Relationship Id="rId4" Type="http://schemas.openxmlformats.org/officeDocument/2006/relationships/hyperlink" Target="https://www.cbs.nl/nl-nl/maatwerk/2024/16/nationale-enquete-arbeidsomstandigheden--nea---2023-onderzoeksbeschrijving?pk_campaign=social_sha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E.dotm</Template>
  <TotalTime>0</TotalTime>
  <Pages>26</Pages>
  <Words>13389</Words>
  <Characters>73230</Characters>
  <Application>Microsoft Office Word</Application>
  <DocSecurity>0</DocSecurity>
  <Lines>1148</Lines>
  <Paragraphs>308</Paragraphs>
  <ScaleCrop>false</ScaleCrop>
  <HeadingPairs>
    <vt:vector size="2" baseType="variant">
      <vt:variant>
        <vt:lpstr>Titre</vt:lpstr>
      </vt:variant>
      <vt:variant>
        <vt:i4>1</vt:i4>
      </vt:variant>
    </vt:vector>
  </HeadingPairs>
  <TitlesOfParts>
    <vt:vector size="1" baseType="lpstr">
      <vt:lpstr>E/C.12/NLD/RQ/7</vt:lpstr>
    </vt:vector>
  </TitlesOfParts>
  <Company>DCM</Company>
  <LinksUpToDate>false</LinksUpToDate>
  <CharactersWithSpaces>86593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E/C.12/NLD/RQ/7</dc:title>
  <dc:subject/>
  <dc:creator>Marie DESCHAMPS</dc:creator>
  <cp:keywords/>
  <cp:lastModifiedBy>Marie DESCHAMPS</cp:lastModifiedBy>
  <cp:revision>2</cp:revision>
  <cp:lastPrinted>2024-11-25T12:03:00Z</cp:lastPrinted>
  <dcterms:created xsi:type="dcterms:W3CDTF">2024-11-25T12:05:00Z</dcterms:created>
  <dcterms:modified xsi:type="dcterms:W3CDTF">2024-11-25T12:05:00Z</dcterms:modified>
</cp:coreProperties>
</file>