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E43E9F8" w14:textId="77777777" w:rsidTr="00DD44B1">
        <w:trPr>
          <w:trHeight w:hRule="exact" w:val="851"/>
        </w:trPr>
        <w:tc>
          <w:tcPr>
            <w:tcW w:w="142" w:type="dxa"/>
            <w:tcBorders>
              <w:bottom w:val="single" w:sz="4" w:space="0" w:color="auto"/>
            </w:tcBorders>
          </w:tcPr>
          <w:p w14:paraId="453CDBBA" w14:textId="77777777" w:rsidR="002D5AAC" w:rsidRDefault="002D5AAC" w:rsidP="0045255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AC64CC1"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47B6E51" w14:textId="77777777" w:rsidR="002D5AAC" w:rsidRDefault="0045255F" w:rsidP="0045255F">
            <w:pPr>
              <w:jc w:val="right"/>
            </w:pPr>
            <w:r w:rsidRPr="0045255F">
              <w:rPr>
                <w:sz w:val="40"/>
              </w:rPr>
              <w:t>E</w:t>
            </w:r>
            <w:r>
              <w:t>/C.12/BLR/7</w:t>
            </w:r>
          </w:p>
        </w:tc>
      </w:tr>
      <w:tr w:rsidR="002D5AAC" w:rsidRPr="00777279" w14:paraId="2722A3C6" w14:textId="77777777" w:rsidTr="00DD44B1">
        <w:trPr>
          <w:trHeight w:hRule="exact" w:val="2835"/>
        </w:trPr>
        <w:tc>
          <w:tcPr>
            <w:tcW w:w="1280" w:type="dxa"/>
            <w:gridSpan w:val="2"/>
            <w:tcBorders>
              <w:top w:val="single" w:sz="4" w:space="0" w:color="auto"/>
              <w:bottom w:val="single" w:sz="12" w:space="0" w:color="auto"/>
            </w:tcBorders>
          </w:tcPr>
          <w:p w14:paraId="0E73D96A" w14:textId="77777777" w:rsidR="002D5AAC" w:rsidRDefault="002E5067" w:rsidP="00DD44B1">
            <w:pPr>
              <w:spacing w:before="120"/>
              <w:jc w:val="center"/>
            </w:pPr>
            <w:r>
              <w:rPr>
                <w:noProof/>
                <w:lang w:eastAsia="ru-RU"/>
              </w:rPr>
              <w:drawing>
                <wp:inline distT="0" distB="0" distL="0" distR="0" wp14:anchorId="3C8E9D83" wp14:editId="463D7F2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0D6876FA"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BA90286" w14:textId="77777777" w:rsidR="002D5AAC" w:rsidRDefault="0045255F" w:rsidP="00DD44B1">
            <w:pPr>
              <w:spacing w:before="240"/>
              <w:rPr>
                <w:lang w:val="en-US"/>
              </w:rPr>
            </w:pPr>
            <w:r>
              <w:rPr>
                <w:lang w:val="en-US"/>
              </w:rPr>
              <w:t>Distr.: General</w:t>
            </w:r>
          </w:p>
          <w:p w14:paraId="1DD2C73E" w14:textId="77777777" w:rsidR="0045255F" w:rsidRDefault="0045255F" w:rsidP="0045255F">
            <w:pPr>
              <w:spacing w:line="240" w:lineRule="exact"/>
              <w:rPr>
                <w:lang w:val="en-US"/>
              </w:rPr>
            </w:pPr>
            <w:r>
              <w:rPr>
                <w:lang w:val="en-US"/>
              </w:rPr>
              <w:t>4 February 2020</w:t>
            </w:r>
          </w:p>
          <w:p w14:paraId="3A32530A" w14:textId="77777777" w:rsidR="0045255F" w:rsidRDefault="0045255F" w:rsidP="0045255F">
            <w:pPr>
              <w:spacing w:line="240" w:lineRule="exact"/>
              <w:rPr>
                <w:lang w:val="en-US"/>
              </w:rPr>
            </w:pPr>
          </w:p>
          <w:p w14:paraId="37A88558" w14:textId="77777777" w:rsidR="0045255F" w:rsidRDefault="0045255F" w:rsidP="0045255F">
            <w:pPr>
              <w:spacing w:line="240" w:lineRule="exact"/>
              <w:rPr>
                <w:lang w:val="en-US"/>
              </w:rPr>
            </w:pPr>
            <w:r>
              <w:rPr>
                <w:lang w:val="en-US"/>
              </w:rPr>
              <w:t>Original: Russian</w:t>
            </w:r>
          </w:p>
          <w:p w14:paraId="57104B39" w14:textId="77777777" w:rsidR="0045255F" w:rsidRPr="00D62A45" w:rsidRDefault="0045255F" w:rsidP="0045255F">
            <w:pPr>
              <w:spacing w:line="240" w:lineRule="exact"/>
              <w:rPr>
                <w:lang w:val="en-US"/>
              </w:rPr>
            </w:pPr>
            <w:r>
              <w:rPr>
                <w:lang w:val="en-US"/>
              </w:rPr>
              <w:t>English, French, Russian and Spanish only</w:t>
            </w:r>
          </w:p>
        </w:tc>
      </w:tr>
    </w:tbl>
    <w:p w14:paraId="76F1A324" w14:textId="77777777" w:rsidR="00CC6CC7" w:rsidRPr="00777279" w:rsidRDefault="00CC6CC7" w:rsidP="00CC6CC7">
      <w:pPr>
        <w:pStyle w:val="SingleTxtGR"/>
        <w:spacing w:before="120" w:after="0"/>
        <w:ind w:left="0"/>
        <w:jc w:val="left"/>
        <w:rPr>
          <w:b/>
          <w:bCs/>
          <w:spacing w:val="0"/>
          <w:w w:val="100"/>
          <w:sz w:val="24"/>
          <w:szCs w:val="24"/>
        </w:rPr>
      </w:pPr>
      <w:r w:rsidRPr="00777279">
        <w:rPr>
          <w:b/>
          <w:bCs/>
          <w:spacing w:val="0"/>
          <w:w w:val="100"/>
          <w:sz w:val="24"/>
          <w:szCs w:val="24"/>
        </w:rPr>
        <w:t xml:space="preserve">Комитет по экономическим, социальным </w:t>
      </w:r>
      <w:r w:rsidRPr="00777279">
        <w:rPr>
          <w:b/>
          <w:bCs/>
          <w:spacing w:val="0"/>
          <w:w w:val="100"/>
          <w:sz w:val="24"/>
          <w:szCs w:val="24"/>
        </w:rPr>
        <w:br/>
        <w:t>и культурным правам</w:t>
      </w:r>
    </w:p>
    <w:p w14:paraId="2F0C8F78" w14:textId="77777777" w:rsidR="00CC6CC7" w:rsidRPr="00547A1F" w:rsidRDefault="00CC6CC7" w:rsidP="00CC6CC7">
      <w:pPr>
        <w:pStyle w:val="HMG"/>
      </w:pPr>
      <w:r w:rsidRPr="00F556A0">
        <w:tab/>
      </w:r>
      <w:r w:rsidRPr="00F556A0">
        <w:tab/>
      </w:r>
      <w:r>
        <w:t>Седьмой</w:t>
      </w:r>
      <w:r w:rsidRPr="00547A1F">
        <w:t xml:space="preserve"> </w:t>
      </w:r>
      <w:r>
        <w:t>периодический</w:t>
      </w:r>
      <w:r w:rsidRPr="00547A1F">
        <w:t xml:space="preserve"> </w:t>
      </w:r>
      <w:r>
        <w:t>доклад</w:t>
      </w:r>
      <w:r w:rsidRPr="00547A1F">
        <w:t xml:space="preserve">, </w:t>
      </w:r>
      <w:r>
        <w:t>представленный</w:t>
      </w:r>
      <w:r w:rsidRPr="00547A1F">
        <w:t xml:space="preserve"> </w:t>
      </w:r>
      <w:r>
        <w:t>Беларусью</w:t>
      </w:r>
      <w:r w:rsidRPr="00547A1F">
        <w:t xml:space="preserve"> </w:t>
      </w:r>
      <w:r w:rsidRPr="001D4409">
        <w:t xml:space="preserve">согласно </w:t>
      </w:r>
      <w:r>
        <w:br/>
      </w:r>
      <w:r w:rsidRPr="001D4409">
        <w:t>статьям 16 и 17 Пакта, ожидаемый</w:t>
      </w:r>
      <w:r>
        <w:t xml:space="preserve"> </w:t>
      </w:r>
      <w:r>
        <w:br/>
        <w:t>в</w:t>
      </w:r>
      <w:r w:rsidRPr="00547A1F">
        <w:t xml:space="preserve"> 2019</w:t>
      </w:r>
      <w:r>
        <w:t xml:space="preserve"> году</w:t>
      </w:r>
      <w:r w:rsidRPr="00CC6CC7">
        <w:rPr>
          <w:b w:val="0"/>
          <w:sz w:val="20"/>
        </w:rPr>
        <w:footnoteReference w:customMarkFollows="1" w:id="1"/>
        <w:t>*</w:t>
      </w:r>
      <w:r w:rsidRPr="00CC6CC7">
        <w:rPr>
          <w:b w:val="0"/>
        </w:rPr>
        <w:t xml:space="preserve"> </w:t>
      </w:r>
      <w:r w:rsidRPr="00CC6CC7">
        <w:rPr>
          <w:rStyle w:val="a8"/>
          <w:b w:val="0"/>
          <w:sz w:val="20"/>
          <w:vertAlign w:val="baseline"/>
        </w:rPr>
        <w:footnoteReference w:customMarkFollows="1" w:id="2"/>
        <w:t>**</w:t>
      </w:r>
    </w:p>
    <w:p w14:paraId="0FE8BDF2" w14:textId="77777777" w:rsidR="00CC6CC7" w:rsidRDefault="00CC6CC7" w:rsidP="00CC6CC7">
      <w:pPr>
        <w:pStyle w:val="SingleTxtG"/>
        <w:jc w:val="right"/>
      </w:pPr>
      <w:r>
        <w:t>[</w:t>
      </w:r>
      <w:r w:rsidRPr="00C22DEE">
        <w:t>Дата получения</w:t>
      </w:r>
      <w:r>
        <w:t xml:space="preserve">: </w:t>
      </w:r>
      <w:r w:rsidRPr="0000573D">
        <w:t xml:space="preserve">26 </w:t>
      </w:r>
      <w:r w:rsidRPr="00CC6CC7">
        <w:t>декабря</w:t>
      </w:r>
      <w:r w:rsidRPr="0000573D">
        <w:t xml:space="preserve"> 2019</w:t>
      </w:r>
      <w:r>
        <w:t xml:space="preserve"> года]</w:t>
      </w:r>
    </w:p>
    <w:p w14:paraId="6ECBAE19" w14:textId="77777777" w:rsidR="00CC6CC7" w:rsidRDefault="00CC6CC7" w:rsidP="00CC6CC7">
      <w:pPr>
        <w:suppressAutoHyphens w:val="0"/>
        <w:spacing w:line="240" w:lineRule="auto"/>
      </w:pPr>
      <w:r>
        <w:br w:type="page"/>
      </w:r>
      <w:bookmarkStart w:id="0" w:name="_GoBack"/>
      <w:bookmarkEnd w:id="0"/>
    </w:p>
    <w:p w14:paraId="16E2F656" w14:textId="77777777" w:rsidR="00CC6CC7" w:rsidRDefault="00CC6CC7" w:rsidP="00CC6CC7">
      <w:pPr>
        <w:pStyle w:val="HChG"/>
      </w:pPr>
      <w:r>
        <w:lastRenderedPageBreak/>
        <w:tab/>
      </w:r>
      <w:r>
        <w:tab/>
        <w:t>Введение</w:t>
      </w:r>
    </w:p>
    <w:p w14:paraId="1C110175" w14:textId="77777777" w:rsidR="00CC6CC7" w:rsidRDefault="00CC6CC7" w:rsidP="00CC6CC7">
      <w:pPr>
        <w:pStyle w:val="SingleTxtG"/>
      </w:pPr>
      <w:r>
        <w:t>1.</w:t>
      </w:r>
      <w:r>
        <w:tab/>
        <w:t>В соответствии со статьями 16 и 17 Международного пакта об экономических, социальных и культурных правах (МПЭСКП) Республика Беларусь представляет седьмой периодический доклад об осуществлении положений Пакта.</w:t>
      </w:r>
    </w:p>
    <w:p w14:paraId="5371B288" w14:textId="77777777" w:rsidR="00CC6CC7" w:rsidRDefault="00CC6CC7" w:rsidP="00CC6CC7">
      <w:pPr>
        <w:pStyle w:val="SingleTxtG"/>
      </w:pPr>
      <w:r>
        <w:t>2.</w:t>
      </w:r>
      <w:r>
        <w:tab/>
        <w:t>Доклад составлен в виде ответов на перечень вопросов, адресованных Беларуси Комитетом по экономическим, социальным и культурным правам до представления седьмого периодического доклада (документ E/C.12/BLR/QPR/7), а также с учётом заключительных замечаний.</w:t>
      </w:r>
    </w:p>
    <w:p w14:paraId="4BDADAC1" w14:textId="77777777" w:rsidR="00CC6CC7" w:rsidRDefault="00CC6CC7" w:rsidP="00CC6CC7">
      <w:pPr>
        <w:pStyle w:val="SingleTxtG"/>
      </w:pPr>
      <w:r>
        <w:t>3.</w:t>
      </w:r>
      <w:r>
        <w:tab/>
        <w:t xml:space="preserve">Доклад содержит информацию о законодательных, организационно-административных и иных мерах, принятых в Республике Беларусь с целью реализации положений МПЭСКП. </w:t>
      </w:r>
    </w:p>
    <w:p w14:paraId="260705AB" w14:textId="77777777" w:rsidR="00CC6CC7" w:rsidRDefault="00CC6CC7" w:rsidP="00CC6CC7">
      <w:pPr>
        <w:pStyle w:val="H1G"/>
      </w:pPr>
      <w:r>
        <w:tab/>
        <w:t>А.</w:t>
      </w:r>
      <w:r>
        <w:tab/>
        <w:t>Вопросы, имеющие особое значение</w:t>
      </w:r>
    </w:p>
    <w:p w14:paraId="767125A5" w14:textId="77777777" w:rsidR="00CC6CC7" w:rsidRDefault="00CC6CC7" w:rsidP="00CC6CC7">
      <w:pPr>
        <w:pStyle w:val="SingleTxtG"/>
      </w:pPr>
      <w:r>
        <w:t>4.</w:t>
      </w:r>
      <w:r>
        <w:tab/>
        <w:t xml:space="preserve">Беларусь в соответствии с Конституцией Республики Беларусь признает приоритет общепризнанных принципов международного права и обеспечивает соответствие им законодательства. </w:t>
      </w:r>
    </w:p>
    <w:p w14:paraId="6DBE1171" w14:textId="77777777" w:rsidR="00CC6CC7" w:rsidRDefault="00CC6CC7" w:rsidP="00CC6CC7">
      <w:pPr>
        <w:pStyle w:val="SingleTxtG"/>
      </w:pPr>
      <w:r>
        <w:t>5.</w:t>
      </w:r>
      <w:r>
        <w:tab/>
        <w:t>Законодательные акты подлежат обязательной юридической экспертизе на предмет соответствия Конституции и международным договорам, участницей которых является Беларусь. Конституционный Суд Республики Беларусь в порядке обязательного предварительного контроля принимает решения о соответствии принятых Парламентом законов до их подписания Главой государства Конституции и международно-правовым актам, ратифицированным Беларусью.</w:t>
      </w:r>
    </w:p>
    <w:p w14:paraId="2FB00879" w14:textId="77777777" w:rsidR="00CC6CC7" w:rsidRDefault="00CC6CC7" w:rsidP="00CC6CC7">
      <w:pPr>
        <w:pStyle w:val="SingleTxtG"/>
      </w:pPr>
      <w:r>
        <w:t>6.</w:t>
      </w:r>
      <w:r>
        <w:tab/>
        <w:t>Конституционный Суд использовал МПЭСКП при проверке законов:</w:t>
      </w:r>
    </w:p>
    <w:p w14:paraId="0F41DD81" w14:textId="77777777" w:rsidR="00CC6CC7" w:rsidRDefault="00CC6CC7" w:rsidP="00CC6CC7">
      <w:pPr>
        <w:pStyle w:val="Bullet1G"/>
        <w:numPr>
          <w:ilvl w:val="0"/>
          <w:numId w:val="16"/>
        </w:numPr>
      </w:pPr>
      <w:r>
        <w:t>о пенсионном обеспечении;</w:t>
      </w:r>
    </w:p>
    <w:p w14:paraId="6CDB65A4" w14:textId="77777777" w:rsidR="00CC6CC7" w:rsidRDefault="00CC6CC7" w:rsidP="00CC6CC7">
      <w:pPr>
        <w:pStyle w:val="Bullet1G"/>
        <w:numPr>
          <w:ilvl w:val="0"/>
          <w:numId w:val="16"/>
        </w:numPr>
      </w:pPr>
      <w:r>
        <w:t>о предупреждении распространения заболеваний; представляющих опасность для здоровья населения, вируса иммунодефицита человека;</w:t>
      </w:r>
    </w:p>
    <w:p w14:paraId="37D7453B" w14:textId="77777777" w:rsidR="00CC6CC7" w:rsidRDefault="00CC6CC7" w:rsidP="00CC6CC7">
      <w:pPr>
        <w:pStyle w:val="Bullet1G"/>
        <w:numPr>
          <w:ilvl w:val="0"/>
          <w:numId w:val="16"/>
        </w:numPr>
      </w:pPr>
      <w:r>
        <w:t>о социальном обслуживании;</w:t>
      </w:r>
    </w:p>
    <w:p w14:paraId="5887BDA0" w14:textId="77777777" w:rsidR="00CC6CC7" w:rsidRDefault="00CC6CC7" w:rsidP="00CC6CC7">
      <w:pPr>
        <w:pStyle w:val="Bullet1G"/>
        <w:numPr>
          <w:ilvl w:val="0"/>
          <w:numId w:val="16"/>
        </w:numPr>
      </w:pPr>
      <w:r>
        <w:t>по вопросам государственных пособий семьям, воспитывающим детей;</w:t>
      </w:r>
    </w:p>
    <w:p w14:paraId="6A82911E" w14:textId="77777777" w:rsidR="00CC6CC7" w:rsidRDefault="00CC6CC7" w:rsidP="00CC6CC7">
      <w:pPr>
        <w:pStyle w:val="Bullet1G"/>
        <w:numPr>
          <w:ilvl w:val="0"/>
          <w:numId w:val="16"/>
        </w:numPr>
      </w:pPr>
      <w:r>
        <w:t>о гарантиях по социальной защите детей-сирот, детей, оставшихся без попечения родителей, а также лиц из числа детей-сирот и детей, оставшихся без попечения родителей;</w:t>
      </w:r>
    </w:p>
    <w:p w14:paraId="2E061E9D" w14:textId="77777777" w:rsidR="00CC6CC7" w:rsidRDefault="00CC6CC7" w:rsidP="00CC6CC7">
      <w:pPr>
        <w:pStyle w:val="Bullet1G"/>
        <w:numPr>
          <w:ilvl w:val="0"/>
          <w:numId w:val="16"/>
        </w:numPr>
      </w:pPr>
      <w:r>
        <w:t>о санитарно-эпидемиологическом благополучии населения и других.</w:t>
      </w:r>
    </w:p>
    <w:p w14:paraId="3BD14A65" w14:textId="77777777" w:rsidR="00CC6CC7" w:rsidRDefault="00CC6CC7" w:rsidP="00CC6CC7">
      <w:pPr>
        <w:pStyle w:val="SingleTxtG"/>
      </w:pPr>
      <w:r>
        <w:t>7.</w:t>
      </w:r>
      <w:r>
        <w:tab/>
        <w:t>Законодательство Беларуси всех уровней согласуется с соответствующими нормами международного права в области прав человека. Основные положения МПЭСКП инкорпорированы в нормы национального законодательства, что обусловливает отсутствие прямых ссылок в судебных решениях непосредственного на Пакт.</w:t>
      </w:r>
    </w:p>
    <w:p w14:paraId="671FEAF7" w14:textId="77777777" w:rsidR="00CC6CC7" w:rsidRDefault="00CC6CC7" w:rsidP="00CC6CC7">
      <w:pPr>
        <w:pStyle w:val="SingleTxtG"/>
      </w:pPr>
      <w:r>
        <w:t>8.</w:t>
      </w:r>
      <w:r>
        <w:tab/>
        <w:t xml:space="preserve">Кодекс Республики Беларусь о судоустройстве и статусе судей действует в новой редакции с 24 января 2017 года. На основании статьи 127 Кодекса в целях укрепления судебной системы, обеспечения самостоятельности и независимости судебной власти сформирован новый орган судейского сообщества – Республиканская Конференция судей. В её состав входят: судьи Конституционного Суда; Верховного Суда; судьи других судов общей юрисдикции в количестве по 20 человек от каждой области и г. Минска, избранные соответствующими конференциями судей областных (Минского городского) судов и экономических судов областей (города Минска). Избираемый Конференцией Республиканский совет судей компетентен обсуждать вопросы судебной практики и совершенствования законодательства, изучать и распространять положительный опыт работы органов судейского сообщества, разрабатывает рекомендации по совершенствованию их деятельности. </w:t>
      </w:r>
    </w:p>
    <w:p w14:paraId="4E86039C" w14:textId="77777777" w:rsidR="00CC6CC7" w:rsidRDefault="00CC6CC7" w:rsidP="00CC6CC7">
      <w:pPr>
        <w:pStyle w:val="SingleTxtG"/>
      </w:pPr>
      <w:r>
        <w:lastRenderedPageBreak/>
        <w:t>9.</w:t>
      </w:r>
      <w:r>
        <w:tab/>
        <w:t xml:space="preserve">Беларусь – убежденный и последовательный сторонник запрещения и искоренения принудительного труда и является участницей основополагающих конвенций МОТ по ликвидации принудительного труда. </w:t>
      </w:r>
    </w:p>
    <w:p w14:paraId="06455782" w14:textId="77777777" w:rsidR="00CC6CC7" w:rsidRDefault="00CC6CC7" w:rsidP="00CC6CC7">
      <w:pPr>
        <w:pStyle w:val="SingleTxtG"/>
      </w:pPr>
      <w:r>
        <w:t>10.</w:t>
      </w:r>
      <w:r>
        <w:tab/>
        <w:t>Статья 41 Конституции запрещает принудительный труд, кроме работы или службы, определяемой приговором суда или в соответствии с законом о чрезвычайном и военном положении. Трудовой кодекс Республики Беларусь (далее – ТК) в статье 13 определяет принудительным трудом работу, требуемую от работника под угрозой применения какого-либо насильственного воздействия, в том числе в качестве: средства политического воздействия или воспитания либо в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 метода мобилизации и использования рабочей силы для нужд экономического развития; средства поддержания трудовой дисциплины; средства наказания за участие в забастовках.</w:t>
      </w:r>
    </w:p>
    <w:p w14:paraId="2D3AD5EB" w14:textId="77777777" w:rsidR="00CC6CC7" w:rsidRDefault="00CC6CC7" w:rsidP="00CC6CC7">
      <w:pPr>
        <w:pStyle w:val="SingleTxtG"/>
      </w:pPr>
      <w:r>
        <w:t>11.</w:t>
      </w:r>
      <w:r>
        <w:tab/>
        <w:t>Принудительным трудом не является: работа, выполняемая вследствие вступившего в законную силу приговора суда под надзором государственных органов, ответственных за соблюдение законности при исполнении судебных приговоров; работа, выполнение которой обусловлено законодательством о воинской службе либо чрезвычайными обстоятельствами.</w:t>
      </w:r>
    </w:p>
    <w:p w14:paraId="452D5AFB" w14:textId="77777777" w:rsidR="00CC6CC7" w:rsidRDefault="00CC6CC7" w:rsidP="00CC6CC7">
      <w:pPr>
        <w:pStyle w:val="SingleTxtG"/>
      </w:pPr>
      <w:r>
        <w:t>12.</w:t>
      </w:r>
      <w:r>
        <w:tab/>
        <w:t>Декрет Президента Республики Беларусь от 2 апреля 2015 года №</w:t>
      </w:r>
      <w:r>
        <w:rPr>
          <w:lang w:val="en-US"/>
        </w:rPr>
        <w:t> </w:t>
      </w:r>
      <w:r>
        <w:t>3 «О</w:t>
      </w:r>
      <w:r>
        <w:rPr>
          <w:lang w:val="en-US"/>
        </w:rPr>
        <w:t> </w:t>
      </w:r>
      <w:r>
        <w:t>предупреждении социального иждивенчества» (далее – Декрет № 3) претерпел существенные концептуальные изменения. 27 января 2018 года вступил в силу Декрет Президента Республики Беларусь от 25 января 2018 года № 1 «Об изменении Декрета Президента Республики Беларусь», в соответствии с которым в Декрет № 3 внесены существенные изменения и данный нормативный правовой акт изложен в новой редакции под новым названием. Новое название Декрета № 3 от 2 апреля 2015 года – «О содействии занятости населения». Следует особо отметить, что из Декрета в его нынешней редакции полностью исключены положения об уплате неработающими трудоспособными гражданами сбора на финансирование государственных расходов и, соответственно, положения о привлечении граждан к административной ответственности за неуплату сбора. В соответствии с Декретом № 1 и распоряжением Президента Республики Беларусь от 5</w:t>
      </w:r>
      <w:r>
        <w:rPr>
          <w:lang w:val="en-US"/>
        </w:rPr>
        <w:t> </w:t>
      </w:r>
      <w:r>
        <w:t>июля 2017</w:t>
      </w:r>
      <w:r>
        <w:rPr>
          <w:lang w:val="en-US"/>
        </w:rPr>
        <w:t> </w:t>
      </w:r>
      <w:r>
        <w:t>года № 111рп гражданам, уплатившим сбор, на основании их заявлений осуществляется возврат уплаченных сумм сбора. В настоящее время из бюджета возвращено около 80% сумм сбора.</w:t>
      </w:r>
    </w:p>
    <w:p w14:paraId="78083B60" w14:textId="77777777" w:rsidR="00CC6CC7" w:rsidRDefault="00CC6CC7" w:rsidP="00CC6CC7">
      <w:pPr>
        <w:pStyle w:val="SingleTxtG"/>
      </w:pPr>
      <w:r>
        <w:t>13.</w:t>
      </w:r>
      <w:r>
        <w:tab/>
        <w:t xml:space="preserve">Положения, предусматривающие оплату не занятыми в экономике трудоспособными гражданами ряда коммунальных услуг (горячее водоснабжение, газоснабжение и теплоснабжение) по тарифам, не дотируемым государством из бюджета, не вступают в противоречие с положениями МПЭСКП. </w:t>
      </w:r>
    </w:p>
    <w:p w14:paraId="6EDADD2A" w14:textId="77777777" w:rsidR="00CC6CC7" w:rsidRDefault="00CC6CC7" w:rsidP="00CC6CC7">
      <w:pPr>
        <w:pStyle w:val="SingleTxtG"/>
      </w:pPr>
      <w:r>
        <w:t>14.</w:t>
      </w:r>
      <w:r>
        <w:tab/>
        <w:t xml:space="preserve">Эти нормы направлены на формирование условий, стимулирующих граждан, которые, возможно, вовлечены в теневой бизнес и не желают работать легально, а также граждан, ведущих асоциальный образ жизни, к легальному трудоустройству или легальной самозанятости с уплатой налогов, что позволит указанным гражданам в полной мере воспользоваться защитными механизмами, предоставляемыми государством в соответствии с трудовым и социальным законодательством. </w:t>
      </w:r>
    </w:p>
    <w:p w14:paraId="5D6387DF" w14:textId="77777777" w:rsidR="00CC6CC7" w:rsidRDefault="00CC6CC7" w:rsidP="00CC6CC7">
      <w:pPr>
        <w:pStyle w:val="SingleTxtG"/>
      </w:pPr>
      <w:r>
        <w:t>15.</w:t>
      </w:r>
      <w:r>
        <w:tab/>
        <w:t xml:space="preserve">Из категории не занятых в экономике граждан, на которых распространяются положения об оплате услуг по полным тарифам, максимально исключены группы лиц, которые не работают по объективным причинам или в силу особых жизненных обстоятельств: зарегистрированные безработные, инвалиды, недееспособные лица, пенсионеры, супруги военнослужащих и дипломатических работников, лица, воспитывающие детей до 7 лет (ребенка-инвалида до 18 лет, троих и более несовершеннолетних детей), студенты дневной формы обучения, граждане, с которыми прекращены трудовые отношения (от 3 до 6 месяцев со дня увольнения в зависимости от причины увольнения), выпускники учебных заведений (до окончания календарного года), граждане под медицинским и диспансерным наблюдением, работающие или получающие образование за границей и другие. </w:t>
      </w:r>
    </w:p>
    <w:p w14:paraId="4E605A57" w14:textId="77777777" w:rsidR="00CC6CC7" w:rsidRDefault="00CC6CC7" w:rsidP="00CC6CC7">
      <w:pPr>
        <w:pStyle w:val="SingleTxtG"/>
      </w:pPr>
      <w:r>
        <w:lastRenderedPageBreak/>
        <w:t>16.</w:t>
      </w:r>
      <w:r>
        <w:tab/>
        <w:t xml:space="preserve">Главная цель реализации Декрета № 3 – это оказание всем желающим трудоспособным гражданам максимального содействия в поиске подходящей легальной работы. Граждане, не работающие по объективным причинам либо в силу особых жизненных обстоятельств, а также находящиеся в трудной жизненной ситуации, поддерживаются государством и оплачивают ЖКУ по дотируемым тарифам. </w:t>
      </w:r>
    </w:p>
    <w:p w14:paraId="61769DC3" w14:textId="77777777" w:rsidR="00CC6CC7" w:rsidRDefault="00CC6CC7" w:rsidP="00CC6CC7">
      <w:pPr>
        <w:pStyle w:val="SingleTxtG"/>
      </w:pPr>
      <w:r>
        <w:t>17.</w:t>
      </w:r>
      <w:r>
        <w:tab/>
        <w:t xml:space="preserve">Для белорусской ядерно-энергетической программы вопросы ядерной безопасности и транспарентности имеют абсолютный приоритет. Беларусь делает для этого все необходимое, максимально используя международный экспертный потенциал. Беларусь провела ряд важных оценочных миссий МАГАТЭ в сфере ядерной безопасности и намерена продолжить эту работу. Отчеты всех состоявшихся оценочных миссий МАГАТЭ опубликованы. </w:t>
      </w:r>
    </w:p>
    <w:p w14:paraId="1E8F19BC" w14:textId="77777777" w:rsidR="00CC6CC7" w:rsidRDefault="00CC6CC7" w:rsidP="00CC6CC7">
      <w:pPr>
        <w:pStyle w:val="SingleTxtG"/>
      </w:pPr>
      <w:r>
        <w:t>18.</w:t>
      </w:r>
      <w:r>
        <w:tab/>
        <w:t xml:space="preserve">Миссией по оценке регулирующей инфраструктуры (IRRS, октябрь 2016 года) сделан вывод, что в Беларуси в полной мере создана регулирующая инфраструктура ядерной и радиационной безопасности и продемонстрирована приверженность реализации принципам обеспечения ядерной и радиационной безопасности. Разработан и реализуется утвержденный Правительством Национальный план действий по выполнению рекомендаций и предложений миссии МАГАТЭ по оценке национальной регулирующей инфраструктуры Республики Беларусь. </w:t>
      </w:r>
    </w:p>
    <w:p w14:paraId="72DAF73E" w14:textId="77777777" w:rsidR="00CC6CC7" w:rsidRDefault="00CC6CC7" w:rsidP="00CC6CC7">
      <w:pPr>
        <w:pStyle w:val="SingleTxtG"/>
      </w:pPr>
      <w:r>
        <w:t>19.</w:t>
      </w:r>
      <w:r>
        <w:tab/>
        <w:t>Миссия по оценке площадки с учетом внешних событий (SEED, январь 2017 года) подтвердила, что были предприняты необходимые шаги по обеспечению защищенности Белорусской АЭС в случае наступления наихудшего возможного внешнего события.</w:t>
      </w:r>
    </w:p>
    <w:p w14:paraId="554BFD55" w14:textId="77777777" w:rsidR="00CC6CC7" w:rsidRDefault="00CC6CC7" w:rsidP="00CC6CC7">
      <w:pPr>
        <w:pStyle w:val="SingleTxtG"/>
      </w:pPr>
      <w:r>
        <w:t>20.</w:t>
      </w:r>
      <w:r>
        <w:tab/>
        <w:t xml:space="preserve">Миссией по оценке аварийной готовности (EPREV, октябрь 2018 года) сделан вывод, что в Беларуси существуют эффективно действующие и надежные механизмы в области аварийной готовности и реагирования. В ходе миссии отмечены хорошие практики, обозначены сильные стороны, а также те области, где может проводиться дальнейшее улучшение. По результатам миссии разработан и реализуется План мероприятий по реализации рекомендаций и предложений миссии МАГАТЭ по рассмотрению аварийной готовности и реагирования Республики Беларусь на ядерные и радиационные аварийные ситуации, утвержденный Советом Министров Республики Беларусь (далее – Правительство) 18 марта 2019 года. </w:t>
      </w:r>
    </w:p>
    <w:p w14:paraId="5F4290CD" w14:textId="77777777" w:rsidR="00CC6CC7" w:rsidRPr="00BA4822" w:rsidRDefault="00CC6CC7" w:rsidP="00CC6CC7">
      <w:pPr>
        <w:pStyle w:val="SingleTxtG"/>
      </w:pPr>
      <w:r>
        <w:t>21.</w:t>
      </w:r>
      <w:r>
        <w:tab/>
        <w:t>Беларусь добровольно провела всеобъемлющую оценку рисков и безопасности (стресс-тесты) Белорусской АЭС по методологии ЕС и прошла партнерскую проверку результатов стресс-тестов европейскими регуляторами в сфере ядерной безопасности. В русле европейской практики и на основании рекомендованного партнерской проверкой принципа «интеллектуального владения» подготовлен Национальный план действий по итогам стресс-тестов Белорусской АЭС, который опубликован на Интернет-ресурсе Госатомнадзора Министерства по чрезвычайным ситуациям Белар</w:t>
      </w:r>
      <w:r w:rsidRPr="00BA4822">
        <w:t>уси (</w:t>
      </w:r>
      <w:hyperlink r:id="rId8" w:history="1">
        <w:r w:rsidRPr="00BA4822">
          <w:rPr>
            <w:rStyle w:val="a7"/>
            <w:color w:val="auto"/>
          </w:rPr>
          <w:t>https://gosatomnadzor.mchs.gov.by/</w:t>
        </w:r>
      </w:hyperlink>
      <w:r w:rsidRPr="00BA4822">
        <w:t>).</w:t>
      </w:r>
    </w:p>
    <w:p w14:paraId="17B9EA08" w14:textId="77777777" w:rsidR="00CC6CC7" w:rsidRPr="00BA4822" w:rsidRDefault="00CC6CC7" w:rsidP="00CC6CC7">
      <w:pPr>
        <w:pStyle w:val="H1G"/>
      </w:pPr>
      <w:r w:rsidRPr="00BA4822">
        <w:tab/>
        <w:t>В.</w:t>
      </w:r>
      <w:r w:rsidRPr="00BA4822">
        <w:tab/>
        <w:t xml:space="preserve">Осуществление Пакта </w:t>
      </w:r>
    </w:p>
    <w:p w14:paraId="5253FB6A" w14:textId="77777777" w:rsidR="00CC6CC7" w:rsidRDefault="00CC6CC7" w:rsidP="00CC6CC7">
      <w:pPr>
        <w:pStyle w:val="H23G"/>
      </w:pPr>
      <w:r>
        <w:tab/>
      </w:r>
      <w:r>
        <w:tab/>
        <w:t>Максимальные доступные ресурсы</w:t>
      </w:r>
    </w:p>
    <w:p w14:paraId="7AE0E86C" w14:textId="77777777" w:rsidR="00CC6CC7" w:rsidRDefault="00CC6CC7" w:rsidP="00CC6CC7">
      <w:pPr>
        <w:pStyle w:val="SingleTxtG"/>
      </w:pPr>
      <w:r>
        <w:t>22.</w:t>
      </w:r>
      <w:r>
        <w:tab/>
        <w:t>В период с 2009 по 2018 год в Беларуси отсутствовало население, живущее за международной чертой бедности. Статистические данные за последние 10 лет об изменениях иных запрошенных показателей представлены ниже в статистической информации к докладу.</w:t>
      </w:r>
    </w:p>
    <w:p w14:paraId="21416C0D" w14:textId="77777777" w:rsidR="00CC6CC7" w:rsidRDefault="00CC6CC7" w:rsidP="00CC6CC7">
      <w:pPr>
        <w:pStyle w:val="SingleTxtG"/>
      </w:pPr>
      <w:r>
        <w:t>23.</w:t>
      </w:r>
      <w:r>
        <w:tab/>
        <w:t>Государственная адресная социальная помощь (далее – ГАСП) – это часть системы государственной социальной поддержки населения. ГАСП соответствует по своему смыслу целевым программам социальной помощи, которые рекомендованы КЭСПК в замечаниях № 19. Цель ГАСП – оказание социальной поддержки малообеспеченным и находящимся в трудной жизненной ситуации семьям и гражданам.</w:t>
      </w:r>
    </w:p>
    <w:p w14:paraId="65DAE917" w14:textId="77777777" w:rsidR="00CC6CC7" w:rsidRDefault="00CC6CC7" w:rsidP="00CC6CC7">
      <w:pPr>
        <w:pStyle w:val="SingleTxtG"/>
      </w:pPr>
      <w:r>
        <w:lastRenderedPageBreak/>
        <w:t>24.</w:t>
      </w:r>
      <w:r>
        <w:tab/>
        <w:t xml:space="preserve">В соответствии с Указом Президента Республики Беларусь от 19 января 2012 года № 41 «О государственной адресной социальной помощи» право на эту помощь имеют граждане Республики Беларусь, иностранные граждане и лица без гражданства, постоянно проживающие в Беларуси. </w:t>
      </w:r>
    </w:p>
    <w:p w14:paraId="1A2D044E" w14:textId="77777777" w:rsidR="00CC6CC7" w:rsidRDefault="00CC6CC7" w:rsidP="00CC6CC7">
      <w:pPr>
        <w:pStyle w:val="SingleTxtG"/>
      </w:pPr>
      <w:r>
        <w:t>25.</w:t>
      </w:r>
      <w:r>
        <w:tab/>
        <w:t>Критерием отнесения семей (граждан) к категории малообеспеченных является бюджет прожиточного минимума в среднем на душу населения (далее – БПМ).</w:t>
      </w:r>
    </w:p>
    <w:p w14:paraId="4C0ADBDB" w14:textId="77777777" w:rsidR="00CC6CC7" w:rsidRDefault="00CC6CC7" w:rsidP="00CC6CC7">
      <w:pPr>
        <w:pStyle w:val="SingleTxtG"/>
      </w:pPr>
      <w:r>
        <w:t>26.</w:t>
      </w:r>
      <w:r>
        <w:tab/>
        <w:t xml:space="preserve">Решение о предоставлении (об отказе в предоставлении) ГАСП, ее видах, формах, размерах и периоде предоставления принимается постоянно действующими при местных администрациях комиссиями. </w:t>
      </w:r>
    </w:p>
    <w:p w14:paraId="57A15140" w14:textId="77777777" w:rsidR="00CC6CC7" w:rsidRDefault="00CC6CC7" w:rsidP="00CC6CC7">
      <w:pPr>
        <w:pStyle w:val="SingleTxtG"/>
      </w:pPr>
      <w:r>
        <w:t>27.</w:t>
      </w:r>
      <w:r>
        <w:tab/>
        <w:t>В рамках системы ГАСП предоставляются 4 социальные выплаты, в том числе для малообеспеченных семей (граждан) – ежемесячное социальное пособие и обеспечение продуктами питания детей первых двух лет жизни. Для граждан, находящихся в трудной жизненной ситуации, – единовременное социальное пособие.</w:t>
      </w:r>
    </w:p>
    <w:p w14:paraId="62B6E548" w14:textId="77777777" w:rsidR="00CC6CC7" w:rsidRDefault="00CC6CC7" w:rsidP="00CC6CC7">
      <w:pPr>
        <w:pStyle w:val="SingleTxtG"/>
      </w:pPr>
      <w:r>
        <w:t>28.</w:t>
      </w:r>
      <w:r>
        <w:tab/>
        <w:t>Ежемесячное социальное пособие предоставляется малообеспеченным гражданам и семьям на период от 1 до 12 месяцев с учётом предпринимаемых семьей (гражданином) мер по улучшению своего материального положения. Размер данного пособия составляет положительную разность между критерием нуждаемости и среднедушевым доходом семьи (гражданина). При увеличении критерия нуждаемости в периоде предоставления ежемесячного социального пособия размер его пересчитывается, что позволяет поддерживать доходы малообеспеченных граждан на уровне минимальной социальной гарантии в течение всего периода предоставления поддержки.</w:t>
      </w:r>
    </w:p>
    <w:p w14:paraId="1D86DD9D" w14:textId="77777777" w:rsidR="00CC6CC7" w:rsidRDefault="00CC6CC7" w:rsidP="00CC6CC7">
      <w:pPr>
        <w:pStyle w:val="SingleTxtG"/>
      </w:pPr>
      <w:r>
        <w:t>29.</w:t>
      </w:r>
      <w:r>
        <w:tab/>
        <w:t>Единовременное социальное пособие предоставляется семьям (гражданам), оказавшимся в трудной жизненной ситуации, объективно нарушающей нормальную жизнедеятельность, при условии, что их среднедушевой доход не превышает 150% критерия нуждаемости. Предоставляется такое пособие один раз в год, его размер устанавливается в сумме до 10-кратного размера БПМ в зависимости от трудной жизненной ситуации семьи (гражданина).</w:t>
      </w:r>
    </w:p>
    <w:p w14:paraId="59F09D6F" w14:textId="77777777" w:rsidR="00CC6CC7" w:rsidRDefault="00CC6CC7" w:rsidP="00CC6CC7">
      <w:pPr>
        <w:pStyle w:val="SingleTxtG"/>
      </w:pPr>
      <w:r>
        <w:t>30.</w:t>
      </w:r>
      <w:r>
        <w:tab/>
        <w:t>Обеспечение продуктами питания детей первых двух лет жизни предоставляется семьям, воспитывающим детей в возрасте до двух лет, имеющим по объективным причинам среднедушевой доход ниже критерия нуждаемости, а также без учета уровня доходов – семьям при рождении и воспитании двойни или более детей.</w:t>
      </w:r>
    </w:p>
    <w:p w14:paraId="7ED49D83" w14:textId="77777777" w:rsidR="00CC6CC7" w:rsidRDefault="00CC6CC7" w:rsidP="00CC6CC7">
      <w:pPr>
        <w:pStyle w:val="SingleTxtG"/>
      </w:pPr>
      <w:r>
        <w:t>31.</w:t>
      </w:r>
      <w:r>
        <w:tab/>
        <w:t>ГАСП в виде обеспечения продуктами питания детей первых двух лет жизни предоставляется в натуральной форме на каждые 6 месяцев до достижения ребенком возраста двух лет.</w:t>
      </w:r>
    </w:p>
    <w:p w14:paraId="3DABA3E6" w14:textId="77777777" w:rsidR="00CC6CC7" w:rsidRDefault="00CC6CC7" w:rsidP="00CC6CC7">
      <w:pPr>
        <w:pStyle w:val="SingleTxtG"/>
      </w:pPr>
      <w:r>
        <w:t>32.</w:t>
      </w:r>
      <w:r>
        <w:tab/>
        <w:t>Социальное пособие для возмещения затрат на приобретение подгузников предоставляется детям-инвалидам в возрасте до 18 лет, имеющим IV степень утраты здоровья, и инвалидам I группы на основании медицинского заключения о нуждаемости в подгузниках и документов, подтверждающих расходы на их приобретение, независимо от величины среднедушевого дохода семьи (гражданина).</w:t>
      </w:r>
    </w:p>
    <w:p w14:paraId="7CBB8B63" w14:textId="77777777" w:rsidR="00CC6CC7" w:rsidRDefault="00CC6CC7" w:rsidP="00CC6CC7">
      <w:pPr>
        <w:pStyle w:val="SingleTxtG"/>
      </w:pPr>
      <w:r>
        <w:t>33.</w:t>
      </w:r>
      <w:r>
        <w:tab/>
        <w:t>Размер пособия устанавливается в сумме, не превышающей 1,5-кратного размера БПМ. Указанное социальное пособие предоставляется четыре раза в течение календарного года, его суммарный размер в год составляет 6 БПМ.</w:t>
      </w:r>
    </w:p>
    <w:p w14:paraId="41DF5731" w14:textId="77777777" w:rsidR="00CC6CC7" w:rsidRDefault="00CC6CC7" w:rsidP="00CC6CC7">
      <w:pPr>
        <w:pStyle w:val="SingleTxtG"/>
      </w:pPr>
      <w:r>
        <w:t>34.</w:t>
      </w:r>
      <w:r>
        <w:tab/>
        <w:t>Численность получателей ГАСП, тыс. человек:</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737"/>
        <w:gridCol w:w="737"/>
        <w:gridCol w:w="737"/>
        <w:gridCol w:w="737"/>
        <w:gridCol w:w="737"/>
        <w:gridCol w:w="737"/>
        <w:gridCol w:w="737"/>
        <w:gridCol w:w="737"/>
        <w:gridCol w:w="737"/>
        <w:gridCol w:w="737"/>
      </w:tblGrid>
      <w:tr w:rsidR="00CC6CC7" w:rsidRPr="00CD0594" w14:paraId="617C5611" w14:textId="77777777" w:rsidTr="00506216">
        <w:trPr>
          <w:tblHeader/>
        </w:trPr>
        <w:tc>
          <w:tcPr>
            <w:tcW w:w="954" w:type="dxa"/>
            <w:shd w:val="clear" w:color="auto" w:fill="auto"/>
            <w:vAlign w:val="bottom"/>
          </w:tcPr>
          <w:p w14:paraId="3020C0F4"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2009</w:t>
            </w:r>
          </w:p>
        </w:tc>
        <w:tc>
          <w:tcPr>
            <w:tcW w:w="954" w:type="dxa"/>
            <w:shd w:val="clear" w:color="auto" w:fill="auto"/>
            <w:vAlign w:val="bottom"/>
          </w:tcPr>
          <w:p w14:paraId="7397156C"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2010</w:t>
            </w:r>
          </w:p>
        </w:tc>
        <w:tc>
          <w:tcPr>
            <w:tcW w:w="954" w:type="dxa"/>
            <w:shd w:val="clear" w:color="auto" w:fill="auto"/>
            <w:vAlign w:val="bottom"/>
          </w:tcPr>
          <w:p w14:paraId="061DC6B3"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2011</w:t>
            </w:r>
          </w:p>
        </w:tc>
        <w:tc>
          <w:tcPr>
            <w:tcW w:w="954" w:type="dxa"/>
            <w:shd w:val="clear" w:color="auto" w:fill="auto"/>
            <w:vAlign w:val="bottom"/>
          </w:tcPr>
          <w:p w14:paraId="3F5C7B3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2012</w:t>
            </w:r>
          </w:p>
        </w:tc>
        <w:tc>
          <w:tcPr>
            <w:tcW w:w="954" w:type="dxa"/>
            <w:shd w:val="clear" w:color="auto" w:fill="auto"/>
            <w:vAlign w:val="bottom"/>
          </w:tcPr>
          <w:p w14:paraId="59F0FEE5"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2013</w:t>
            </w:r>
          </w:p>
        </w:tc>
        <w:tc>
          <w:tcPr>
            <w:tcW w:w="955" w:type="dxa"/>
            <w:shd w:val="clear" w:color="auto" w:fill="auto"/>
            <w:vAlign w:val="bottom"/>
          </w:tcPr>
          <w:p w14:paraId="0D6F7D52"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2014</w:t>
            </w:r>
          </w:p>
        </w:tc>
        <w:tc>
          <w:tcPr>
            <w:tcW w:w="955" w:type="dxa"/>
            <w:shd w:val="clear" w:color="auto" w:fill="auto"/>
            <w:vAlign w:val="bottom"/>
          </w:tcPr>
          <w:p w14:paraId="09277C5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2015</w:t>
            </w:r>
          </w:p>
        </w:tc>
        <w:tc>
          <w:tcPr>
            <w:tcW w:w="955" w:type="dxa"/>
            <w:shd w:val="clear" w:color="auto" w:fill="auto"/>
            <w:vAlign w:val="bottom"/>
          </w:tcPr>
          <w:p w14:paraId="4ADB0A39"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2016</w:t>
            </w:r>
          </w:p>
        </w:tc>
        <w:tc>
          <w:tcPr>
            <w:tcW w:w="955" w:type="dxa"/>
            <w:shd w:val="clear" w:color="auto" w:fill="auto"/>
            <w:vAlign w:val="bottom"/>
          </w:tcPr>
          <w:p w14:paraId="50241202"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2017</w:t>
            </w:r>
          </w:p>
        </w:tc>
        <w:tc>
          <w:tcPr>
            <w:tcW w:w="955" w:type="dxa"/>
            <w:shd w:val="clear" w:color="auto" w:fill="auto"/>
            <w:vAlign w:val="bottom"/>
          </w:tcPr>
          <w:p w14:paraId="12D3C6B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2018</w:t>
            </w:r>
          </w:p>
        </w:tc>
      </w:tr>
      <w:tr w:rsidR="00CC6CC7" w:rsidRPr="00CD0594" w14:paraId="385942DC" w14:textId="77777777" w:rsidTr="00506216">
        <w:tc>
          <w:tcPr>
            <w:tcW w:w="954" w:type="dxa"/>
            <w:shd w:val="clear" w:color="auto" w:fill="auto"/>
          </w:tcPr>
          <w:p w14:paraId="79FEAB5B"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205,9</w:t>
            </w:r>
          </w:p>
        </w:tc>
        <w:tc>
          <w:tcPr>
            <w:tcW w:w="954" w:type="dxa"/>
            <w:shd w:val="clear" w:color="auto" w:fill="auto"/>
            <w:vAlign w:val="bottom"/>
          </w:tcPr>
          <w:p w14:paraId="3A00B274"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165,4</w:t>
            </w:r>
          </w:p>
        </w:tc>
        <w:tc>
          <w:tcPr>
            <w:tcW w:w="954" w:type="dxa"/>
            <w:shd w:val="clear" w:color="auto" w:fill="auto"/>
            <w:vAlign w:val="bottom"/>
          </w:tcPr>
          <w:p w14:paraId="47CAD14D"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220,2</w:t>
            </w:r>
          </w:p>
        </w:tc>
        <w:tc>
          <w:tcPr>
            <w:tcW w:w="954" w:type="dxa"/>
            <w:shd w:val="clear" w:color="auto" w:fill="auto"/>
            <w:vAlign w:val="bottom"/>
          </w:tcPr>
          <w:p w14:paraId="4ACC438D"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281,9</w:t>
            </w:r>
          </w:p>
        </w:tc>
        <w:tc>
          <w:tcPr>
            <w:tcW w:w="954" w:type="dxa"/>
            <w:shd w:val="clear" w:color="auto" w:fill="auto"/>
            <w:vAlign w:val="bottom"/>
          </w:tcPr>
          <w:p w14:paraId="19484421"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200,7</w:t>
            </w:r>
          </w:p>
        </w:tc>
        <w:tc>
          <w:tcPr>
            <w:tcW w:w="955" w:type="dxa"/>
            <w:shd w:val="clear" w:color="auto" w:fill="auto"/>
            <w:vAlign w:val="bottom"/>
          </w:tcPr>
          <w:p w14:paraId="046A598B"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217,8</w:t>
            </w:r>
          </w:p>
        </w:tc>
        <w:tc>
          <w:tcPr>
            <w:tcW w:w="955" w:type="dxa"/>
            <w:shd w:val="clear" w:color="auto" w:fill="auto"/>
            <w:vAlign w:val="bottom"/>
          </w:tcPr>
          <w:p w14:paraId="7EF9DBC5"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251,3</w:t>
            </w:r>
          </w:p>
        </w:tc>
        <w:tc>
          <w:tcPr>
            <w:tcW w:w="955" w:type="dxa"/>
            <w:shd w:val="clear" w:color="auto" w:fill="auto"/>
            <w:vAlign w:val="bottom"/>
          </w:tcPr>
          <w:p w14:paraId="52711033"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290,4</w:t>
            </w:r>
          </w:p>
        </w:tc>
        <w:tc>
          <w:tcPr>
            <w:tcW w:w="955" w:type="dxa"/>
            <w:shd w:val="clear" w:color="auto" w:fill="auto"/>
            <w:vAlign w:val="bottom"/>
          </w:tcPr>
          <w:p w14:paraId="5687434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310,2</w:t>
            </w:r>
          </w:p>
        </w:tc>
        <w:tc>
          <w:tcPr>
            <w:tcW w:w="955" w:type="dxa"/>
            <w:shd w:val="clear" w:color="auto" w:fill="auto"/>
            <w:vAlign w:val="bottom"/>
          </w:tcPr>
          <w:p w14:paraId="1E2CD0F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302,3</w:t>
            </w:r>
          </w:p>
        </w:tc>
      </w:tr>
    </w:tbl>
    <w:p w14:paraId="5366D56D" w14:textId="77777777" w:rsidR="00CC6CC7" w:rsidRDefault="00CC6CC7" w:rsidP="00CC6CC7">
      <w:pPr>
        <w:pStyle w:val="SingleTxtG"/>
        <w:spacing w:before="120"/>
      </w:pPr>
      <w:r>
        <w:t>35.</w:t>
      </w:r>
      <w:r>
        <w:tab/>
        <w:t>В 2018 году получателями ГАСП стали 302,3 тыс. человек на сумму 92,5 млн бел. рублей.</w:t>
      </w:r>
    </w:p>
    <w:p w14:paraId="2B1698D5" w14:textId="77777777" w:rsidR="00CC6CC7" w:rsidRDefault="00CC6CC7" w:rsidP="00CC6CC7">
      <w:pPr>
        <w:pStyle w:val="SingleTxtG"/>
      </w:pPr>
      <w:r>
        <w:t>36.</w:t>
      </w:r>
      <w:r>
        <w:tab/>
        <w:t xml:space="preserve">В 2018 году ежемесячное социальное пособие назначено 87,7 тыс. человек на сумму 23,8 млн бел. рублей; единовременное социальное пособие – 43,9 тыс. человек </w:t>
      </w:r>
      <w:r>
        <w:lastRenderedPageBreak/>
        <w:t>на сумму 5,1 млн бел. рублей; социальное пособие для возмещения затрат на приобретение подгузников – 146,7 тыс. человек на сумму 42,0 млн бел. рублей; продуктами питания обеспечено более 24 тыс. детей на сумму 21,5 млн бел. рублей.</w:t>
      </w:r>
    </w:p>
    <w:p w14:paraId="1CF1DBE1" w14:textId="77777777" w:rsidR="00CC6CC7" w:rsidRDefault="00CC6CC7" w:rsidP="00CC6CC7">
      <w:pPr>
        <w:pStyle w:val="SingleTxtG"/>
      </w:pPr>
      <w:r>
        <w:t>37.</w:t>
      </w:r>
      <w:r>
        <w:tab/>
        <w:t xml:space="preserve">Система ГАСП постоянно совершенствуется с учетом экономических изменений и потребностей населения. Указ Президента Республики Беларусь от 15 июня 2017 года № 211 «О совершенствовании порядка предоставления государственной адресной социальной помощи» с 1 июля 2017 года усилил меры социальной поддержки семей, воспитывающих несовершеннолетних детей, в которых родители (один родитель в неполной семье) являются инвалидами I или II группы либо один из родителей является инвалидом I группы, а второй осуществляет уход за ним. Период предоставления таким семьям ежемесячного социального пособия увеличен с 6 до 12 месяцев. </w:t>
      </w:r>
    </w:p>
    <w:p w14:paraId="058CF892" w14:textId="77777777" w:rsidR="00CC6CC7" w:rsidRDefault="00CC6CC7" w:rsidP="00CC6CC7">
      <w:pPr>
        <w:pStyle w:val="SingleTxtG"/>
      </w:pPr>
      <w:r>
        <w:t>38.</w:t>
      </w:r>
      <w:r>
        <w:tab/>
        <w:t>Для повышения уровня доходов таких семей из расчета среднедушевого дохода при определении их права на отдельные виды ГАСП исключены ранее полученные суммы ежемесячного социального пособия, а также денежный эквивалент льгот, предоставляемых в соответствии с законодательством, а также не используются корректирующие коэффициенты.</w:t>
      </w:r>
    </w:p>
    <w:p w14:paraId="0C28A480" w14:textId="77777777" w:rsidR="00CC6CC7" w:rsidRDefault="00CC6CC7" w:rsidP="00CC6CC7">
      <w:pPr>
        <w:pStyle w:val="SingleTxtG"/>
      </w:pPr>
      <w:r>
        <w:t>39.</w:t>
      </w:r>
      <w:r>
        <w:tab/>
        <w:t>В Беларуси созданы и на практике эффективно реализуются механизмы, направленные на выявление, пресечение и профилактику коррупции, причин и условий, ей способствующих: сформировано комплексное антикоррупционное законодательство; налажена практическая деятельность государственных органов и иных организаций по противодействию коррупции; организовано международное сотрудничество в сфере борьбы с коррупцией.</w:t>
      </w:r>
    </w:p>
    <w:p w14:paraId="0E3B8377" w14:textId="77777777" w:rsidR="00CC6CC7" w:rsidRDefault="00CC6CC7" w:rsidP="00CC6CC7">
      <w:pPr>
        <w:pStyle w:val="SingleTxtG"/>
      </w:pPr>
      <w:r>
        <w:t>40.</w:t>
      </w:r>
      <w:r>
        <w:tab/>
        <w:t xml:space="preserve">Реализуется Программа по борьбе с преступностью и коррупцией на </w:t>
      </w:r>
      <w:r>
        <w:br/>
        <w:t>2017–2019 годы и осуществляются меры по совершенствованию работы субъектов профилактики правонарушений и активизации деятельности общественности по противодействию коррупции.</w:t>
      </w:r>
    </w:p>
    <w:p w14:paraId="1C2F3237" w14:textId="77777777" w:rsidR="00CC6CC7" w:rsidRDefault="00CC6CC7" w:rsidP="00CC6CC7">
      <w:pPr>
        <w:pStyle w:val="SingleTxtG"/>
      </w:pPr>
      <w:r>
        <w:t>41.</w:t>
      </w:r>
      <w:r>
        <w:tab/>
        <w:t>Организовано антикоррупционное обучение должностных лиц различных категорий и граждан по соответствующим образовательным программам на базе различных учебных заведений. Такое обучение направлено не только на развитие их моральных качеств, но и на повышение эффективности профессиональной служебной деятельности.</w:t>
      </w:r>
    </w:p>
    <w:p w14:paraId="59A6347B" w14:textId="77777777" w:rsidR="00CC6CC7" w:rsidRDefault="00CC6CC7" w:rsidP="00CC6CC7">
      <w:pPr>
        <w:pStyle w:val="SingleTxtG"/>
      </w:pPr>
      <w:r>
        <w:t>42.</w:t>
      </w:r>
      <w:r>
        <w:tab/>
        <w:t>В системе противодействия коррупции меры ответственности за коррупционное поведение и запретительные механизмы сочетаются с поощрительными, побуждающими лицо к правомерному поведению и сотрудничеству в антикоррупционной сфере. На государственном уровне к таким поощрительным механизмам относится выплата вознаграждения и других выплат физическому лицу, способствующему выявлению коррупции.</w:t>
      </w:r>
    </w:p>
    <w:p w14:paraId="58383DFB" w14:textId="77777777" w:rsidR="00CC6CC7" w:rsidRDefault="00CC6CC7" w:rsidP="00CC6CC7">
      <w:pPr>
        <w:pStyle w:val="SingleTxtG"/>
      </w:pPr>
      <w:r>
        <w:t>43.</w:t>
      </w:r>
      <w:r>
        <w:tab/>
        <w:t>Важным профилактическим механизмом является подписание государственным должностным лицом, лицом, претендующим на занятие должности государственного должностного лица, обязательств по соблюдению ограничений, установленных законодательством. Обеспечивается контроль за соблюдением таких обязательств.</w:t>
      </w:r>
    </w:p>
    <w:p w14:paraId="00AEA439" w14:textId="77777777" w:rsidR="00CC6CC7" w:rsidRDefault="00CC6CC7" w:rsidP="00CC6CC7">
      <w:pPr>
        <w:pStyle w:val="SingleTxtG"/>
      </w:pPr>
      <w:r>
        <w:t>44.</w:t>
      </w:r>
      <w:r>
        <w:tab/>
        <w:t>Государственные должностные лица и иные лица, определенные Законом Республики Беларусь от 15 июля 2015 года № 305-З «О борьбе с коррупцией» декларируют доходы и имущество.</w:t>
      </w:r>
    </w:p>
    <w:p w14:paraId="46DED09C" w14:textId="77777777" w:rsidR="00CC6CC7" w:rsidRDefault="00CC6CC7" w:rsidP="00CC6CC7">
      <w:pPr>
        <w:pStyle w:val="SingleTxtG"/>
      </w:pPr>
      <w:r>
        <w:t>45.</w:t>
      </w:r>
      <w:r>
        <w:tab/>
        <w:t>Нарушение порядка декларирования доходов и имущества влечет административную ответственность в соответствии со статьей 23.9 Кодекса об административных правонарушениях. В 2018</w:t>
      </w:r>
      <w:r>
        <w:rPr>
          <w:lang w:val="en-US"/>
        </w:rPr>
        <w:t> </w:t>
      </w:r>
      <w:r>
        <w:t>году к такой ответственности привлечено 748 лиц.</w:t>
      </w:r>
    </w:p>
    <w:p w14:paraId="6CF5C976" w14:textId="77777777" w:rsidR="00CC6CC7" w:rsidRDefault="00CC6CC7" w:rsidP="00CC6CC7">
      <w:pPr>
        <w:pStyle w:val="SingleTxtG"/>
      </w:pPr>
      <w:r>
        <w:t>46.</w:t>
      </w:r>
      <w:r>
        <w:tab/>
        <w:t xml:space="preserve">Своевременное выявление конфликта интересов является одним из ключевых профилактических элементов предотвращения коррупции. За несоблюдение порядка предотвращения и урегулирования конфликта интересов законодательством о борьбе с коррупцией установлена дисциплинарная ответственность вплоть до освобождения </w:t>
      </w:r>
      <w:r>
        <w:lastRenderedPageBreak/>
        <w:t>от занимаемой должности. В 2018 году органами прокуратуры выявлено 37 правонарушений в данной сфере. Виновные лица привлечены к дисциплинарной ответственности.</w:t>
      </w:r>
    </w:p>
    <w:p w14:paraId="2C3EA28A" w14:textId="77777777" w:rsidR="00CC6CC7" w:rsidRDefault="00CC6CC7" w:rsidP="00CC6CC7">
      <w:pPr>
        <w:pStyle w:val="SingleTxtG"/>
      </w:pPr>
      <w:r>
        <w:t>47.</w:t>
      </w:r>
      <w:r>
        <w:tab/>
        <w:t>В 2018 году в Беларуси учтено 2 469 коррупционных уголовно наказуемых преступлений:</w:t>
      </w:r>
    </w:p>
    <w:p w14:paraId="79EE468B" w14:textId="77777777" w:rsidR="00CC6CC7" w:rsidRDefault="00CC6CC7" w:rsidP="00CC6CC7">
      <w:pPr>
        <w:pStyle w:val="Bullet1G"/>
        <w:numPr>
          <w:ilvl w:val="0"/>
          <w:numId w:val="16"/>
        </w:numPr>
      </w:pPr>
      <w:r>
        <w:tab/>
        <w:t>1 168 фактов получения взяток;</w:t>
      </w:r>
    </w:p>
    <w:p w14:paraId="45154E76" w14:textId="77777777" w:rsidR="00CC6CC7" w:rsidRDefault="00CC6CC7" w:rsidP="00CC6CC7">
      <w:pPr>
        <w:pStyle w:val="Bullet1G"/>
        <w:numPr>
          <w:ilvl w:val="0"/>
          <w:numId w:val="16"/>
        </w:numPr>
      </w:pPr>
      <w:r>
        <w:t>574 факта хищений путем злоупотребления служебными полномочиями;</w:t>
      </w:r>
    </w:p>
    <w:p w14:paraId="5D6FEA65" w14:textId="77777777" w:rsidR="00CC6CC7" w:rsidRDefault="00CC6CC7" w:rsidP="00CC6CC7">
      <w:pPr>
        <w:pStyle w:val="Bullet1G"/>
        <w:numPr>
          <w:ilvl w:val="0"/>
          <w:numId w:val="16"/>
        </w:numPr>
      </w:pPr>
      <w:r>
        <w:t>124 факта превышения власти или служебных полномочий;</w:t>
      </w:r>
    </w:p>
    <w:p w14:paraId="29800341" w14:textId="77777777" w:rsidR="00CC6CC7" w:rsidRDefault="00CC6CC7" w:rsidP="00CC6CC7">
      <w:pPr>
        <w:pStyle w:val="Bullet1G"/>
        <w:numPr>
          <w:ilvl w:val="0"/>
          <w:numId w:val="16"/>
        </w:numPr>
      </w:pPr>
      <w:r>
        <w:t>355 фактов дачи взяток;</w:t>
      </w:r>
    </w:p>
    <w:p w14:paraId="2F0990EF" w14:textId="77777777" w:rsidR="00CC6CC7" w:rsidRDefault="00CC6CC7" w:rsidP="00CC6CC7">
      <w:pPr>
        <w:pStyle w:val="Bullet1G"/>
        <w:numPr>
          <w:ilvl w:val="0"/>
          <w:numId w:val="16"/>
        </w:numPr>
      </w:pPr>
      <w:r>
        <w:t>11 фактов бездействия должностного лица;</w:t>
      </w:r>
    </w:p>
    <w:p w14:paraId="1D09DCC5" w14:textId="77777777" w:rsidR="00CC6CC7" w:rsidRDefault="00CC6CC7" w:rsidP="00CC6CC7">
      <w:pPr>
        <w:pStyle w:val="Bullet1G"/>
        <w:numPr>
          <w:ilvl w:val="0"/>
          <w:numId w:val="16"/>
        </w:numPr>
      </w:pPr>
      <w:r>
        <w:t>5 фактов посредничества во взяточничестве;</w:t>
      </w:r>
    </w:p>
    <w:p w14:paraId="1E673108" w14:textId="77777777" w:rsidR="00CC6CC7" w:rsidRDefault="00CC6CC7" w:rsidP="00CC6CC7">
      <w:pPr>
        <w:pStyle w:val="Bullet1G"/>
        <w:numPr>
          <w:ilvl w:val="0"/>
          <w:numId w:val="16"/>
        </w:numPr>
      </w:pPr>
      <w:r>
        <w:t>2 факта легализации материальных ценностей.</w:t>
      </w:r>
    </w:p>
    <w:p w14:paraId="77D0D3F9" w14:textId="77777777" w:rsidR="00CC6CC7" w:rsidRDefault="00CC6CC7" w:rsidP="00CC6CC7">
      <w:pPr>
        <w:pStyle w:val="SingleTxtG"/>
      </w:pPr>
      <w:r>
        <w:t>48.</w:t>
      </w:r>
      <w:r>
        <w:tab/>
        <w:t>В 2018 году за совершенные коррупционные преступления правоохранительными органами привлечены к уголовной ответственности 1</w:t>
      </w:r>
      <w:r>
        <w:rPr>
          <w:lang w:val="en-US"/>
        </w:rPr>
        <w:t> </w:t>
      </w:r>
      <w:r>
        <w:t>089 лиц, из них к наказанию в виде лишения свободы осуждено 433 лица.</w:t>
      </w:r>
    </w:p>
    <w:p w14:paraId="2160F005" w14:textId="77777777" w:rsidR="00CC6CC7" w:rsidRDefault="00CC6CC7" w:rsidP="00CC6CC7">
      <w:pPr>
        <w:pStyle w:val="SingleTxtG"/>
      </w:pPr>
      <w:r>
        <w:t>49.</w:t>
      </w:r>
      <w:r>
        <w:tab/>
        <w:t>Из числа привлеченных к уголовной ответственности за коррупцию 29 лиц занимали ответственное положение. В частности, заместитель Министра по чрезвычайным ситуациям, заместитель Министра здравоохранения, управляющая фондом социальной защиты населения Министерства труда и социальной защиты осуждены к лишению свободы за получение взяток и злоупотребление служебными полномочиями.</w:t>
      </w:r>
    </w:p>
    <w:p w14:paraId="1EE4AD56" w14:textId="77777777" w:rsidR="00CC6CC7" w:rsidRDefault="00CC6CC7" w:rsidP="00CC6CC7">
      <w:pPr>
        <w:pStyle w:val="H23G"/>
      </w:pPr>
      <w:r>
        <w:tab/>
      </w:r>
      <w:r>
        <w:tab/>
        <w:t xml:space="preserve">Принцип </w:t>
      </w:r>
      <w:proofErr w:type="spellStart"/>
      <w:r>
        <w:t>недискриминации</w:t>
      </w:r>
      <w:proofErr w:type="spellEnd"/>
    </w:p>
    <w:p w14:paraId="45DA7497" w14:textId="77777777" w:rsidR="00CC6CC7" w:rsidRDefault="00CC6CC7" w:rsidP="00CC6CC7">
      <w:pPr>
        <w:pStyle w:val="SingleTxtG"/>
      </w:pPr>
      <w:r>
        <w:t>50.</w:t>
      </w:r>
      <w:r>
        <w:tab/>
        <w:t xml:space="preserve">Конституция гарантирует гражданам Республики Беларусь право без всякой дискриминации на равную защиту прав и законных интересов (статья 22). </w:t>
      </w:r>
    </w:p>
    <w:p w14:paraId="68B78F1B" w14:textId="77777777" w:rsidR="00CC6CC7" w:rsidRDefault="00CC6CC7" w:rsidP="00CC6CC7">
      <w:pPr>
        <w:pStyle w:val="SingleTxtG"/>
      </w:pPr>
      <w:r>
        <w:t>51.</w:t>
      </w:r>
      <w:r>
        <w:tab/>
        <w:t>Правовые нормы о запрете дискриминации и обеспечении конституционного принципа равенства находят свое развитие во многих специальных отраслевых актах белорусского законодательства, регулирующих отдельные сферы общественных отношений (трудовые отношения, социальная защита, охрана общественного порядка, защита прав ребенка, деятельность средств массовой информации, рекламная деятельность, прохождение государственной службы, реализация права на судебную защиту и др.). Перечисленный комплекс нормативных актов в сочетании с Конституцией представляет собой полноценное антидискриминационное законодательство.</w:t>
      </w:r>
    </w:p>
    <w:p w14:paraId="64F9FF3C" w14:textId="77777777" w:rsidR="00CC6CC7" w:rsidRDefault="00CC6CC7" w:rsidP="00CC6CC7">
      <w:pPr>
        <w:pStyle w:val="SingleTxtG"/>
      </w:pPr>
      <w:r>
        <w:t>52.</w:t>
      </w:r>
      <w:r>
        <w:tab/>
        <w:t xml:space="preserve">Законодательство в сфере противодействия всем формам дискриминации постоянно совершенствуется путем внесения изменений в действующие нормативно-правовые акты. </w:t>
      </w:r>
    </w:p>
    <w:p w14:paraId="65C1875F" w14:textId="77777777" w:rsidR="00CC6CC7" w:rsidRDefault="00CC6CC7" w:rsidP="00CC6CC7">
      <w:pPr>
        <w:pStyle w:val="SingleTxtG"/>
      </w:pPr>
      <w:r>
        <w:t>53.</w:t>
      </w:r>
      <w:r>
        <w:tab/>
        <w:t>Принятие отдельного антидискриминационного акта не соответствует отраслевой логике построения правовой системы Беларуси. Принятие отдельного акта существенно сузило бы сферу действия антидискриминационных норм.</w:t>
      </w:r>
    </w:p>
    <w:p w14:paraId="4C733AE7" w14:textId="77777777" w:rsidR="00CC6CC7" w:rsidRDefault="00CC6CC7" w:rsidP="00CC6CC7">
      <w:pPr>
        <w:pStyle w:val="SingleTxtG"/>
      </w:pPr>
      <w:r>
        <w:t>54.</w:t>
      </w:r>
      <w:r>
        <w:tab/>
        <w:t>Лица, считающие, что они подверглись дискриминации в сфере трудовых отношений, вправе обратиться в суд с соответствующим заявлением об устранении дискриминации.</w:t>
      </w:r>
    </w:p>
    <w:p w14:paraId="7BA77F44" w14:textId="77777777" w:rsidR="00CC6CC7" w:rsidRDefault="00CC6CC7" w:rsidP="00CC6CC7">
      <w:pPr>
        <w:pStyle w:val="SingleTxtG"/>
      </w:pPr>
      <w:r>
        <w:t>55.</w:t>
      </w:r>
      <w:r>
        <w:tab/>
        <w:t>Инициировать рассмотрение в суде спора, возникающего из трудовых правоотношений, вправе как работник и наниматель, так и прокурор, профессиональный союз, выступающий в защиту прав и охраняемых законом интересов его членов, а также в предусмотренных законодательством Республики Беларусь случаях иные организации и граждане.</w:t>
      </w:r>
    </w:p>
    <w:p w14:paraId="63CA3B41" w14:textId="77777777" w:rsidR="00CC6CC7" w:rsidRDefault="00CC6CC7" w:rsidP="00CC6CC7">
      <w:pPr>
        <w:pStyle w:val="SingleTxtG"/>
      </w:pPr>
      <w:r>
        <w:t>56.</w:t>
      </w:r>
      <w:r>
        <w:tab/>
        <w:t>При рассмотрении индивидуальных трудовых споров работники освобождаются от уплаты судебных расходов.</w:t>
      </w:r>
    </w:p>
    <w:p w14:paraId="605007A6" w14:textId="77777777" w:rsidR="00CC6CC7" w:rsidRDefault="00CC6CC7" w:rsidP="00CC6CC7">
      <w:pPr>
        <w:pStyle w:val="SingleTxtG"/>
      </w:pPr>
      <w:r>
        <w:lastRenderedPageBreak/>
        <w:t>57.</w:t>
      </w:r>
      <w:r>
        <w:tab/>
        <w:t>Судами общей юрисдикции Республики Беларусь в 2018 году рассмотрено 9 162 гражданских дела по спорам, вытекающим из трудовых правоотношений (в 2017 году – 10</w:t>
      </w:r>
      <w:r>
        <w:rPr>
          <w:lang w:val="en-US"/>
        </w:rPr>
        <w:t> </w:t>
      </w:r>
      <w:r>
        <w:t>619 дел, в 2016 году – 12</w:t>
      </w:r>
      <w:r>
        <w:rPr>
          <w:lang w:val="en-US"/>
        </w:rPr>
        <w:t> </w:t>
      </w:r>
      <w:r>
        <w:t>843 дела).</w:t>
      </w:r>
    </w:p>
    <w:p w14:paraId="79425FBD" w14:textId="77777777" w:rsidR="00CC6CC7" w:rsidRDefault="00CC6CC7" w:rsidP="00CC6CC7">
      <w:pPr>
        <w:pStyle w:val="SingleTxtG"/>
      </w:pPr>
      <w:r>
        <w:t>58.</w:t>
      </w:r>
      <w:r>
        <w:tab/>
        <w:t xml:space="preserve">При этом </w:t>
      </w:r>
      <w:proofErr w:type="spellStart"/>
      <w:r>
        <w:t>удовлетворяемость</w:t>
      </w:r>
      <w:proofErr w:type="spellEnd"/>
      <w:r>
        <w:t xml:space="preserve"> исков о взыскании заработной платы составляла более 80%, о восстановлении на работе – более 30%, о возмещении имущественного ущерба, причиненного работниками при исполнении трудовых обязанностей, – свыше 93%, по иным трудовым спорам – свыше 60%.</w:t>
      </w:r>
    </w:p>
    <w:p w14:paraId="025FE035" w14:textId="77777777" w:rsidR="00CC6CC7" w:rsidRDefault="00CC6CC7" w:rsidP="00CC6CC7">
      <w:pPr>
        <w:pStyle w:val="SingleTxtG"/>
      </w:pPr>
      <w:r>
        <w:t>59.</w:t>
      </w:r>
      <w:r>
        <w:tab/>
        <w:t>По результатам обобщения судебной практики и обсуждения вопросов, связанных с реализацией норм, запрещающих дискриминацию в сфере трудовых отношений, а также соблюдением гарантий труда женщин и работников, имеющих семейные обязанности, Президиумом Верховного Суда принято постановление от 5 декабря 2017 года № 7 «О практике применения судами норм законодательства, регулирующих труд женщин и работников, имеющих семейные обязанности».</w:t>
      </w:r>
    </w:p>
    <w:p w14:paraId="3328FF30" w14:textId="77777777" w:rsidR="00CC6CC7" w:rsidRDefault="00CC6CC7" w:rsidP="00CC6CC7">
      <w:pPr>
        <w:pStyle w:val="SingleTxtG"/>
      </w:pPr>
      <w:r>
        <w:t>60.</w:t>
      </w:r>
      <w:r>
        <w:tab/>
        <w:t>Президиум Верховного Суда указал судам на необходимость тщательной проверки в судебном заседании каждого довода работника о проявлении нанимателем дискриминации в сфере трудовых отношений. Судам рекомендовано учитывать весь объем прав и гарантий, предусмотренных законодательством о труде, а также локальными нормативными правовыми актами нанимателя для работников-женщин и других работников, имеющих семейные обязанности.</w:t>
      </w:r>
    </w:p>
    <w:p w14:paraId="46D2952E" w14:textId="77777777" w:rsidR="00CC6CC7" w:rsidRDefault="00CC6CC7" w:rsidP="00CC6CC7">
      <w:pPr>
        <w:pStyle w:val="SingleTxtG"/>
      </w:pPr>
      <w:r>
        <w:t>61.</w:t>
      </w:r>
      <w:r>
        <w:tab/>
        <w:t xml:space="preserve">Закон Республики Беларусь 7 января 2012 года № 345-З «О предупреждении распространения заболеваний, представляющих опасность для здоровья населения, вируса иммунодефицита человека» направлен на обеспечение всеобщего доступа к диагностике, лечению, уходу и социальной поддержке лиц, имеющих социально опасные заболевания, ВИЧ, а также на снижение распространения социально опасных заболеваний, ВИЧ в группах населения с высоким риском заражения такими заболеваниями. </w:t>
      </w:r>
    </w:p>
    <w:p w14:paraId="17B1CDCB" w14:textId="77777777" w:rsidR="00CC6CC7" w:rsidRDefault="00CC6CC7" w:rsidP="00CC6CC7">
      <w:pPr>
        <w:pStyle w:val="SingleTxtG"/>
      </w:pPr>
      <w:r>
        <w:t>62.</w:t>
      </w:r>
      <w:r>
        <w:tab/>
        <w:t xml:space="preserve">Изучение опыта деятельности национальных правозащитных учреждений показывает, что создание такого учреждение должно сопровождаться выделением значительных ресурсов для полноценного выполнения им своих функций. </w:t>
      </w:r>
    </w:p>
    <w:p w14:paraId="1B30B48C" w14:textId="77777777" w:rsidR="00CC6CC7" w:rsidRDefault="00CC6CC7" w:rsidP="00CC6CC7">
      <w:pPr>
        <w:pStyle w:val="SingleTxtG"/>
      </w:pPr>
      <w:r>
        <w:t>63.</w:t>
      </w:r>
      <w:r>
        <w:tab/>
        <w:t>В Беларуси имеется развитая система специализированных государственно-общественных институтов по защите и поощрению различных категорий прав человека, в том числе:</w:t>
      </w:r>
    </w:p>
    <w:p w14:paraId="368B237F" w14:textId="77777777" w:rsidR="00CC6CC7" w:rsidRDefault="00CC6CC7" w:rsidP="00CC6CC7">
      <w:pPr>
        <w:pStyle w:val="Bullet1G"/>
        <w:numPr>
          <w:ilvl w:val="0"/>
          <w:numId w:val="16"/>
        </w:numPr>
      </w:pPr>
      <w:r>
        <w:t>Национальная комиссия по правам ребенка;</w:t>
      </w:r>
    </w:p>
    <w:p w14:paraId="12DD814D" w14:textId="77777777" w:rsidR="00CC6CC7" w:rsidRDefault="00CC6CC7" w:rsidP="00CC6CC7">
      <w:pPr>
        <w:pStyle w:val="Bullet1G"/>
        <w:numPr>
          <w:ilvl w:val="0"/>
          <w:numId w:val="16"/>
        </w:numPr>
      </w:pPr>
      <w:r>
        <w:t>Национальный совет по гендерной политике;</w:t>
      </w:r>
    </w:p>
    <w:p w14:paraId="56B6295C" w14:textId="77777777" w:rsidR="00CC6CC7" w:rsidRDefault="00CC6CC7" w:rsidP="00CC6CC7">
      <w:pPr>
        <w:pStyle w:val="Bullet1G"/>
        <w:numPr>
          <w:ilvl w:val="0"/>
          <w:numId w:val="16"/>
        </w:numPr>
      </w:pPr>
      <w:r>
        <w:t>Консультативный межэтнический совет;</w:t>
      </w:r>
    </w:p>
    <w:p w14:paraId="255D85B7" w14:textId="77777777" w:rsidR="00CC6CC7" w:rsidRDefault="00CC6CC7" w:rsidP="00CC6CC7">
      <w:pPr>
        <w:pStyle w:val="Bullet1G"/>
        <w:numPr>
          <w:ilvl w:val="0"/>
          <w:numId w:val="16"/>
        </w:numPr>
      </w:pPr>
      <w:r>
        <w:t>Консультативный межконфессиональный совет;</w:t>
      </w:r>
    </w:p>
    <w:p w14:paraId="0FDF8869" w14:textId="77777777" w:rsidR="00CC6CC7" w:rsidRDefault="00CC6CC7" w:rsidP="00CC6CC7">
      <w:pPr>
        <w:pStyle w:val="Bullet1G"/>
        <w:numPr>
          <w:ilvl w:val="0"/>
          <w:numId w:val="16"/>
        </w:numPr>
      </w:pPr>
      <w:r>
        <w:t xml:space="preserve">Республиканский межведомственный совет по проблемам инвалидов. </w:t>
      </w:r>
    </w:p>
    <w:p w14:paraId="0D80F033" w14:textId="77777777" w:rsidR="00CC6CC7" w:rsidRDefault="00CC6CC7" w:rsidP="00CC6CC7">
      <w:pPr>
        <w:pStyle w:val="SingleTxtG"/>
      </w:pPr>
      <w:r>
        <w:t>64.</w:t>
      </w:r>
      <w:r>
        <w:tab/>
        <w:t>Беларусь продолжит изучать международный опыт функционирования правозащитных учреждений и рассматривать вопрос о возможности и целесообразности дополнения существующих национальных институтов по защите и поощрению прав человека правозащитным учреждением в духе Парижских принципов.</w:t>
      </w:r>
    </w:p>
    <w:p w14:paraId="268B9604" w14:textId="77777777" w:rsidR="00CC6CC7" w:rsidRDefault="00CC6CC7" w:rsidP="00CC6CC7">
      <w:pPr>
        <w:pStyle w:val="SingleTxtG"/>
      </w:pPr>
      <w:r>
        <w:t>65.</w:t>
      </w:r>
      <w:r>
        <w:tab/>
        <w:t xml:space="preserve">Защита прав людей, живущих с ВИЧ, осуществляется в силу прямого действия конституционных норм (статья 22) о равенстве в правах и об ограничениях прав. Правовой статус людей, живущих с ВИЧ, по объему и содержанию такой же, как и у других граждан. </w:t>
      </w:r>
    </w:p>
    <w:p w14:paraId="5406E7DA" w14:textId="77777777" w:rsidR="00CC6CC7" w:rsidRDefault="00CC6CC7" w:rsidP="00CC6CC7">
      <w:pPr>
        <w:pStyle w:val="SingleTxtG"/>
      </w:pPr>
      <w:r>
        <w:t>66.</w:t>
      </w:r>
      <w:r>
        <w:tab/>
        <w:t>Перечень медицинских показаний и противопоказаний для получения образования (далее – перечень) определен постановлением Министерства здравоохранения от 22</w:t>
      </w:r>
      <w:r>
        <w:rPr>
          <w:lang w:val="en-US"/>
        </w:rPr>
        <w:t> </w:t>
      </w:r>
      <w:r>
        <w:t>декабря 2011</w:t>
      </w:r>
      <w:r>
        <w:rPr>
          <w:lang w:val="en-US"/>
        </w:rPr>
        <w:t> </w:t>
      </w:r>
      <w:r>
        <w:t>года №</w:t>
      </w:r>
      <w:r>
        <w:rPr>
          <w:lang w:val="en-US"/>
        </w:rPr>
        <w:t> </w:t>
      </w:r>
      <w:r>
        <w:t>128. В перечень не включен вирус иммунодефицита человека. Следовательно, ограничений для получения дошкольного, общего среднего и специального образования детьми, инфицированными вирусом иммунодефицита человека, не имеется.</w:t>
      </w:r>
    </w:p>
    <w:p w14:paraId="27F96C37" w14:textId="77777777" w:rsidR="00CC6CC7" w:rsidRDefault="00CC6CC7" w:rsidP="00CC6CC7">
      <w:pPr>
        <w:pStyle w:val="SingleTxtG"/>
      </w:pPr>
      <w:r>
        <w:lastRenderedPageBreak/>
        <w:t>67.</w:t>
      </w:r>
      <w:r>
        <w:tab/>
        <w:t>Закон Республики Беларусь от 18</w:t>
      </w:r>
      <w:r>
        <w:rPr>
          <w:lang w:val="en-US"/>
        </w:rPr>
        <w:t> </w:t>
      </w:r>
      <w:r>
        <w:t>июня 1993</w:t>
      </w:r>
      <w:r>
        <w:rPr>
          <w:lang w:val="en-US"/>
        </w:rPr>
        <w:t> </w:t>
      </w:r>
      <w:r>
        <w:t>года №</w:t>
      </w:r>
      <w:r>
        <w:rPr>
          <w:lang w:val="en-US"/>
        </w:rPr>
        <w:t> </w:t>
      </w:r>
      <w:r>
        <w:t xml:space="preserve">2435-XII «О здравоохранении», обеспечивает право всех граждан на доступное медицинское обслуживание: </w:t>
      </w:r>
    </w:p>
    <w:p w14:paraId="26B9418A" w14:textId="77777777" w:rsidR="00CC6CC7" w:rsidRDefault="00CC6CC7" w:rsidP="00CC6CC7">
      <w:pPr>
        <w:pStyle w:val="Bullet1G"/>
        <w:numPr>
          <w:ilvl w:val="0"/>
          <w:numId w:val="16"/>
        </w:numPr>
      </w:pPr>
      <w:r>
        <w:t>предоставлением бесплатной медицинской помощи на основании государственных минимальных социальных стандартов в области здравоохранения в государственных учреждениях здравоохранения;</w:t>
      </w:r>
    </w:p>
    <w:p w14:paraId="2C141085" w14:textId="77777777" w:rsidR="00CC6CC7" w:rsidRDefault="00CC6CC7" w:rsidP="00CC6CC7">
      <w:pPr>
        <w:pStyle w:val="Bullet1G"/>
        <w:numPr>
          <w:ilvl w:val="0"/>
          <w:numId w:val="16"/>
        </w:numPr>
      </w:pPr>
      <w:r>
        <w:t xml:space="preserve">предоставлением медицинской помощи в государственных организациях здравоохранения, негосударственных организациях здравоохранения и у индивидуальных предпринимателей, осуществляющих, в установленном законодательством Республики Беларусь порядке, медицинскую деятельность, за счет собственных средств, средств юридических лиц и иных источников, не запрещенных законодательством Республики Беларусь; </w:t>
      </w:r>
    </w:p>
    <w:p w14:paraId="18CA7970" w14:textId="77777777" w:rsidR="00CC6CC7" w:rsidRDefault="00CC6CC7" w:rsidP="00CC6CC7">
      <w:pPr>
        <w:pStyle w:val="Bullet1G"/>
        <w:numPr>
          <w:ilvl w:val="0"/>
          <w:numId w:val="16"/>
        </w:numPr>
      </w:pPr>
      <w:r>
        <w:t xml:space="preserve">доступностью лекарственных средств; </w:t>
      </w:r>
    </w:p>
    <w:p w14:paraId="2AA17D3A" w14:textId="77777777" w:rsidR="00CC6CC7" w:rsidRDefault="00CC6CC7" w:rsidP="00CC6CC7">
      <w:pPr>
        <w:pStyle w:val="Bullet1G"/>
        <w:numPr>
          <w:ilvl w:val="0"/>
          <w:numId w:val="16"/>
        </w:numPr>
      </w:pPr>
      <w:r>
        <w:t>осуществлением мер по санитарно-эпидемиологическому благополучию населения;</w:t>
      </w:r>
    </w:p>
    <w:p w14:paraId="104DF51D" w14:textId="77777777" w:rsidR="00CC6CC7" w:rsidRDefault="00CC6CC7" w:rsidP="00CC6CC7">
      <w:pPr>
        <w:pStyle w:val="Bullet1G"/>
        <w:numPr>
          <w:ilvl w:val="0"/>
          <w:numId w:val="16"/>
        </w:numPr>
      </w:pPr>
      <w:r>
        <w:t>проведением медицинских экспертиз.</w:t>
      </w:r>
    </w:p>
    <w:p w14:paraId="19C10140" w14:textId="77777777" w:rsidR="00CC6CC7" w:rsidRDefault="00CC6CC7" w:rsidP="00CC6CC7">
      <w:pPr>
        <w:pStyle w:val="SingleTxtG"/>
      </w:pPr>
      <w:r>
        <w:t>68.</w:t>
      </w:r>
      <w:r>
        <w:tab/>
        <w:t xml:space="preserve">Законодательство о труде не содержит нормативных правовых актов, в которых имеются ссылки дискриминирующего характера по отношению к ВИЧ-позитивным людям, а также запрещающие приём на работу лиц с ВИЧ-позитивным статусом. </w:t>
      </w:r>
    </w:p>
    <w:p w14:paraId="1C59B211" w14:textId="77777777" w:rsidR="00CC6CC7" w:rsidRDefault="00CC6CC7" w:rsidP="00CC6CC7">
      <w:pPr>
        <w:pStyle w:val="SingleTxtG"/>
      </w:pPr>
      <w:r>
        <w:t>69.</w:t>
      </w:r>
      <w:r>
        <w:tab/>
        <w:t>Согласно статье 14 ТК дискриминация, то есть ограничение в трудовых правах или получение каких-либо преимуществ в зависимости от пола, расы, национального и социального происхождения, языка, религиозных или политических убеждений, участия или неучастия в профсоюзах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не препятствующих исполнению соответствующих трудовых обязанностей, иных обстоятельств, не связанных с деловыми качествами и не обусловленных спецификой трудовой функции работника, запрещается.</w:t>
      </w:r>
    </w:p>
    <w:p w14:paraId="38110A65" w14:textId="77777777" w:rsidR="00CC6CC7" w:rsidRDefault="00CC6CC7" w:rsidP="00CC6CC7">
      <w:pPr>
        <w:pStyle w:val="SingleTxtG"/>
      </w:pPr>
      <w:r>
        <w:t>70.</w:t>
      </w:r>
      <w:r>
        <w:tab/>
        <w:t xml:space="preserve">Решение о приеме на работу по определенной профессии, должности принимается нанимателем с учетом установленных законодательством квалификационных требований, предъявляемых к лицу, претендующему на выполнение работы по определенной профессии или занятию соответствующей должности. </w:t>
      </w:r>
    </w:p>
    <w:p w14:paraId="00C8A4D4" w14:textId="77777777" w:rsidR="00CC6CC7" w:rsidRDefault="00CC6CC7" w:rsidP="00CC6CC7">
      <w:pPr>
        <w:pStyle w:val="SingleTxtG"/>
      </w:pPr>
      <w:r>
        <w:t>71.</w:t>
      </w:r>
      <w:r>
        <w:tab/>
        <w:t>С учетом норм ТК работники, имеющие ВИЧ-статус, не имеют особенностей в сфере трудовых отношений, в связи с чем могут осуществлять трудовую деятельность без каких-либо ограничений.</w:t>
      </w:r>
    </w:p>
    <w:p w14:paraId="2C680E37" w14:textId="77777777" w:rsidR="00CC6CC7" w:rsidRDefault="00CC6CC7" w:rsidP="00CC6CC7">
      <w:pPr>
        <w:pStyle w:val="SingleTxtG"/>
      </w:pPr>
      <w:r>
        <w:t>72.</w:t>
      </w:r>
      <w:r>
        <w:tab/>
        <w:t xml:space="preserve">В этой связи у нанимателя нет оснований для расторжения трудового договора (контракта) с работником по причине наличия ВИЧ-инфекции. </w:t>
      </w:r>
    </w:p>
    <w:p w14:paraId="2EF62C79" w14:textId="77777777" w:rsidR="00CC6CC7" w:rsidRDefault="00CC6CC7" w:rsidP="00CC6CC7">
      <w:pPr>
        <w:pStyle w:val="SingleTxtG"/>
      </w:pPr>
      <w:r>
        <w:t>73.</w:t>
      </w:r>
      <w:r>
        <w:tab/>
        <w:t>На 1 января 2019 года в Беларуси зарегистрировано 26</w:t>
      </w:r>
      <w:r>
        <w:rPr>
          <w:lang w:val="en-US"/>
        </w:rPr>
        <w:t> </w:t>
      </w:r>
      <w:r>
        <w:t>979 случаев ВИЧ-инфекции, 20</w:t>
      </w:r>
      <w:r>
        <w:rPr>
          <w:lang w:val="en-US"/>
        </w:rPr>
        <w:t> </w:t>
      </w:r>
      <w:r>
        <w:t xml:space="preserve">953 человек, живущих с ВИЧ, 220,7 на 100 тыс. населения показатель распространенности. </w:t>
      </w:r>
    </w:p>
    <w:p w14:paraId="3514F0CB" w14:textId="77777777" w:rsidR="00CC6CC7" w:rsidRDefault="00CC6CC7" w:rsidP="00CC6CC7">
      <w:pPr>
        <w:pStyle w:val="SingleTxtG"/>
      </w:pPr>
      <w:r>
        <w:t>74.</w:t>
      </w:r>
      <w:r>
        <w:tab/>
        <w:t xml:space="preserve">Министерством здравоохранения 1 июня 2017 года утвержден Клинический протокол «Диагностика и лечение пациентов с ВИЧ-инфекцией», который полностью учитывает рекомендации Всемирной организации здравоохранения. С 2018 года внедрен универсальный доступ к лечению ВИЧ-инфекции и регламентируется применение экспресс-тестов по крови в качестве первого этапа диагностики, что сокращает этапы от момента обращения в организацию здравоохранения до установления диагноза. </w:t>
      </w:r>
    </w:p>
    <w:p w14:paraId="7F665ADF" w14:textId="77777777" w:rsidR="00CC6CC7" w:rsidRDefault="00CC6CC7" w:rsidP="00CC6CC7">
      <w:pPr>
        <w:pStyle w:val="SingleTxtG"/>
      </w:pPr>
      <w:r>
        <w:t>75.</w:t>
      </w:r>
      <w:r>
        <w:tab/>
        <w:t>Реализуется подпрограмма 5 «Профилактика ВИЧ-инфекции Государственной программы "Здоровье народа и демографическая безопасность Республики Беларусь" на 2016–2020 годы», в рамках которой закуплены антиретровирусные препараты и диагностические тест-системы для обеспечения всеобщего доступа к лечению.</w:t>
      </w:r>
    </w:p>
    <w:p w14:paraId="14B90B46" w14:textId="77777777" w:rsidR="00CC6CC7" w:rsidRDefault="00CC6CC7" w:rsidP="00CC6CC7">
      <w:pPr>
        <w:pStyle w:val="SingleTxtG"/>
      </w:pPr>
      <w:r>
        <w:lastRenderedPageBreak/>
        <w:t>76.</w:t>
      </w:r>
      <w:r>
        <w:tab/>
        <w:t>В программы лечения включены 15 530 пациентов, в том числе 1 167 пациентов, находящихся в учреждениях отбывания наказаний. Диагностика ВИЧ и АРВ-лечение этих пациентов обеспечивается из средств государственного бюджета. Охват комбинированной антиретровирусной терапией ВИЧ-позитивных пациентов, нуждающихся в лечении на 1 января 2019 года, составил 74,1%.</w:t>
      </w:r>
    </w:p>
    <w:p w14:paraId="19F227AA" w14:textId="77777777" w:rsidR="00CC6CC7" w:rsidRDefault="00CC6CC7" w:rsidP="00CC6CC7">
      <w:pPr>
        <w:pStyle w:val="SingleTxtG"/>
      </w:pPr>
      <w:r>
        <w:t>77.</w:t>
      </w:r>
      <w:r>
        <w:tab/>
        <w:t xml:space="preserve">Для исключения вертикальной передачи ВИЧ-инфекции от матери ребенку и случаев передачи ВИЧ, связанных с оказанием медицинской помощи, все дети, рожденные ВИЧ-инфицированными матерями, обеспечиваются молочными адаптированными смесями для искусственного вскармливания. </w:t>
      </w:r>
    </w:p>
    <w:p w14:paraId="79E8772D" w14:textId="77777777" w:rsidR="00CC6CC7" w:rsidRDefault="00CC6CC7" w:rsidP="00CC6CC7">
      <w:pPr>
        <w:pStyle w:val="SingleTxtG"/>
      </w:pPr>
      <w:r>
        <w:t>78.</w:t>
      </w:r>
      <w:r>
        <w:tab/>
        <w:t>Для снижения распространения ВИЧ в группах населения с высоким риском инфицирования в стране реализуются все профилактические программы, рекомендованные ВОЗ. В стране функционируют: 19 пунктов заместительной терапии метадоном для наркопотребителей, 7 мобильных пунктов профилактики для наркопотребителей, 3 пункта социального сопровождения для людей, живущих с</w:t>
      </w:r>
      <w:r>
        <w:rPr>
          <w:lang w:val="en-US"/>
        </w:rPr>
        <w:t> </w:t>
      </w:r>
      <w:r>
        <w:t xml:space="preserve">ВИЧ/наркопотребителей, 48 анонимно-консультативных пунктов для ключевых групп населения с наибольшим риском инфицирования ВИЧ. При сотрудничестве </w:t>
      </w:r>
      <w:r>
        <w:br/>
        <w:t>с ВИЧ-сервисными общественными организациями охват ключевых групп населения с</w:t>
      </w:r>
      <w:r>
        <w:rPr>
          <w:lang w:val="en-US"/>
        </w:rPr>
        <w:t> </w:t>
      </w:r>
      <w:r>
        <w:t>высоким риском инфицирования ВИЧ профилактическими мероприятиями составил 44,5%.</w:t>
      </w:r>
    </w:p>
    <w:p w14:paraId="6630F20E" w14:textId="77777777" w:rsidR="00CC6CC7" w:rsidRDefault="00CC6CC7" w:rsidP="00CC6CC7">
      <w:pPr>
        <w:pStyle w:val="SingleTxtG"/>
      </w:pPr>
      <w:r>
        <w:t>79.</w:t>
      </w:r>
      <w:r>
        <w:tab/>
        <w:t>Для изменения негативного отношения общества к проблеме ВИЧ/СПИДа в</w:t>
      </w:r>
      <w:r>
        <w:rPr>
          <w:lang w:val="en-US"/>
        </w:rPr>
        <w:t> </w:t>
      </w:r>
      <w:r>
        <w:t xml:space="preserve">Беларуси реализуется Единая информационная стратегия по ВИЧ/СПИДу, представляющая собой инновационный подход по информационному обеспечению профилактических кампаний. В целях выработки толерантного отношения к ВИЧ-инфицированным людям со стороны населения, повышения качества жизни и вовлечения людей, живущих с ВИЧ, в профилактические программы и программы формирования приверженности к антиретровирусной терапии проводятся круглые столы, тренинги, семинары и конференции с освещением медицинских, социально-психологических, юридических и других вопросов. </w:t>
      </w:r>
    </w:p>
    <w:p w14:paraId="7EC2F4E6" w14:textId="77777777" w:rsidR="00CC6CC7" w:rsidRDefault="00CC6CC7" w:rsidP="00CC6CC7">
      <w:pPr>
        <w:pStyle w:val="SingleTxtG"/>
      </w:pPr>
      <w:r>
        <w:t>80.</w:t>
      </w:r>
      <w:r>
        <w:tab/>
        <w:t xml:space="preserve">Право на объединение является конституционным правом, гарантированным каждому. </w:t>
      </w:r>
    </w:p>
    <w:p w14:paraId="183A1863" w14:textId="77777777" w:rsidR="00CC6CC7" w:rsidRDefault="00CC6CC7" w:rsidP="00CC6CC7">
      <w:pPr>
        <w:pStyle w:val="SingleTxtG"/>
      </w:pPr>
      <w:r>
        <w:t>81.</w:t>
      </w:r>
      <w:r>
        <w:tab/>
        <w:t>По состоянию на 1 июля 2019 года в республике зарегистрировано 15 политических партий, 25 профессиональных союзов, 2 955 общественных объединений. Зарегистрировано 39 союзов (ассоциаций) общественных объединений, 213 фондов, 7 республиканских государственно-общественных объединений.</w:t>
      </w:r>
    </w:p>
    <w:p w14:paraId="07C6591F" w14:textId="77777777" w:rsidR="00CC6CC7" w:rsidRDefault="00CC6CC7" w:rsidP="00CC6CC7">
      <w:pPr>
        <w:pStyle w:val="SingleTxtG"/>
      </w:pPr>
      <w:r>
        <w:t>82.</w:t>
      </w:r>
      <w:r>
        <w:tab/>
        <w:t>Число организационных структур общественных организаций ежегодно растёт. За 2018 год зарегистрировано, поставлено на учет 6 организационных структур политических партий, 731 организационная структура общественных объединений и 1 256 организационных структур профсоюзов. Всего по состоянию на 1 июля 2019 года зарегистрировано, поставлено на учёт 1 180 партийных организаций, 25 295 профсоюзных организаций и 43 063 организационные структуры общественных объединений.</w:t>
      </w:r>
    </w:p>
    <w:p w14:paraId="5F55B4DB" w14:textId="77777777" w:rsidR="00CC6CC7" w:rsidRDefault="00CC6CC7" w:rsidP="00CC6CC7">
      <w:pPr>
        <w:pStyle w:val="SingleTxtG"/>
      </w:pPr>
      <w:r>
        <w:t>83.</w:t>
      </w:r>
      <w:r>
        <w:tab/>
        <w:t xml:space="preserve">Большинство общественных объединений созданы для решения задач в области работы с молодежью, образования, социального обеспечения, здравоохранения и т. д. </w:t>
      </w:r>
    </w:p>
    <w:p w14:paraId="7608110B" w14:textId="77777777" w:rsidR="00CC6CC7" w:rsidRDefault="00CC6CC7" w:rsidP="00CC6CC7">
      <w:pPr>
        <w:pStyle w:val="SingleTxtG"/>
      </w:pPr>
      <w:r>
        <w:t>84.</w:t>
      </w:r>
      <w:r>
        <w:tab/>
        <w:t>Зарегистрированы физкультурно-спортивные; благотворительные; молодежные, в том числе детские; просветительские, культурно-досуговые, воспитательные; граждан, относящих себя к национальным меньшинствам; инвалидов войны и труда, ветеранов; научно-технические; сторонников охраны природы, памятников истории, культуры; творческие; женские и другие общественные объединения.</w:t>
      </w:r>
    </w:p>
    <w:p w14:paraId="2E82CAE2" w14:textId="77777777" w:rsidR="00CC6CC7" w:rsidRDefault="00CC6CC7" w:rsidP="00CC6CC7">
      <w:pPr>
        <w:pStyle w:val="SingleTxtG"/>
      </w:pPr>
      <w:r>
        <w:t>85.</w:t>
      </w:r>
      <w:r>
        <w:tab/>
        <w:t xml:space="preserve">Беларусь, как современное правовое государство, обеспечивает возможность создания всевозможных общественных объединений: нет каких-либо преимуществ или исключений для общественных объединений, занимающихся в своей деятельности вопросами экономических, социальных или культурных прав граждан. Порядок создания общественных объединений регламентирован Законом Республики </w:t>
      </w:r>
      <w:r>
        <w:lastRenderedPageBreak/>
        <w:t xml:space="preserve">Беларусь от 4 октября 1994 года № 3254-XІІ «Об общественных объединениях» (далее – Закон об общественных объединениях). </w:t>
      </w:r>
    </w:p>
    <w:p w14:paraId="6AAE0B8D" w14:textId="77777777" w:rsidR="00CC6CC7" w:rsidRDefault="00CC6CC7" w:rsidP="00CC6CC7">
      <w:pPr>
        <w:pStyle w:val="SingleTxtG"/>
      </w:pPr>
      <w:r>
        <w:t>86.</w:t>
      </w:r>
      <w:r>
        <w:tab/>
        <w:t xml:space="preserve">Приоритет государственного развития на современном этапе – это построение гражданского общества и демократического правового государства. </w:t>
      </w:r>
    </w:p>
    <w:p w14:paraId="31FE1D0E" w14:textId="77777777" w:rsidR="00CC6CC7" w:rsidRDefault="00CC6CC7" w:rsidP="00CC6CC7">
      <w:pPr>
        <w:pStyle w:val="SingleTxtG"/>
      </w:pPr>
      <w:r>
        <w:t>87.</w:t>
      </w:r>
      <w:r>
        <w:tab/>
        <w:t>На сегодняшний день Беларусь находится на качественно новой ступени развития законодательства об общественных объединениях.</w:t>
      </w:r>
    </w:p>
    <w:p w14:paraId="7CAD6D16" w14:textId="77777777" w:rsidR="00CC6CC7" w:rsidRDefault="00CC6CC7" w:rsidP="00CC6CC7">
      <w:pPr>
        <w:pStyle w:val="SingleTxtG"/>
      </w:pPr>
      <w:r>
        <w:t>88.</w:t>
      </w:r>
      <w:r>
        <w:tab/>
        <w:t xml:space="preserve">В феврале 2014 года вступили в силу изменения в Закон «Об общественных объединениях», упростившие условий создания и государственной регистрации общественных объединений, политических партий. </w:t>
      </w:r>
    </w:p>
    <w:p w14:paraId="243EDE61" w14:textId="77777777" w:rsidR="00CC6CC7" w:rsidRDefault="00CC6CC7" w:rsidP="00CC6CC7">
      <w:pPr>
        <w:pStyle w:val="SingleTxtG"/>
      </w:pPr>
      <w:r>
        <w:t>89.</w:t>
      </w:r>
      <w:r>
        <w:tab/>
        <w:t>Ранее для создания республиканского общественного объединения требовалось 50 учредителей, причем, по 10 человек от четырех областей и 10 человек от г. Минска. Изменения предусмотрели снижение представительства учредителей общественного объединения от областей и г. Минска. Также упрощен порядок государственной регистрации изменений в уставы общественных объединений и политических партий, их ликвидации, регистрации организационных структур.</w:t>
      </w:r>
    </w:p>
    <w:p w14:paraId="1AE5EC9B" w14:textId="77777777" w:rsidR="00CC6CC7" w:rsidRDefault="00CC6CC7" w:rsidP="00CC6CC7">
      <w:pPr>
        <w:pStyle w:val="SingleTxtG"/>
      </w:pPr>
      <w:r>
        <w:t>90.</w:t>
      </w:r>
      <w:r>
        <w:tab/>
        <w:t xml:space="preserve">Законодательство не содержит норм, препятствующих подаче документов о государственной регистрации общественного объединения, которому ранее было отказано в государственной регистрации. Учредители общественного объединения при устранении нарушений и недостатков вправе повторно подать документы в регистрирующий орган. Отказано в государственной регистрации общественному объединению может быть только по основаниям, указанным Законе в законе об общественных объединениях. </w:t>
      </w:r>
    </w:p>
    <w:p w14:paraId="01B2C716" w14:textId="77777777" w:rsidR="00CC6CC7" w:rsidRDefault="00CC6CC7" w:rsidP="00CC6CC7">
      <w:pPr>
        <w:pStyle w:val="SingleTxtG"/>
      </w:pPr>
      <w:r>
        <w:t>91.</w:t>
      </w:r>
      <w:r>
        <w:tab/>
        <w:t>В 2019 году в Республике Беларусь осуществлена подготовка проекта Закона Республики Беларусь «Об изменении законов по вопросам деятельности политических партий и других общественных объединений». Целью подготовки проекта Закона являлось совершенствование законодательства в сфере создания и деятельности общественных объединений и политических партий. Проект предусматривает ряд изменений, касающихся вопросов упрощения создания и деятельности общественных объединений и политических партий (НКО). Среди них уменьшение необходимого числа учредителей НКО, возможность проведения заседаний органов НКО онлайн, подача документов НКО в электронном виде, возможность иметь юридический адрес общественных объединений по месту работы их руководителей и др. В ходе подготовки данного законопроекта все его положения обсуждались с представителями общественных объединений и политических партий в рамках специально созданной рабочей группы. Кроме того, было организовано публичное обсуждение законопроекта на Правовом форуме Беларуси: каждый мог оставить свои предложения и комментарии по его содержанию. Было оставлено 30 предложений и комментариев. Как содержание законопроекта, так и то, что он готовился в тесном взаимодействии с представителями общественных объединений и политических партий, положительно оценено гражданским обществом Беларуси.</w:t>
      </w:r>
    </w:p>
    <w:p w14:paraId="428C4320" w14:textId="77777777" w:rsidR="00CC6CC7" w:rsidRDefault="00CC6CC7" w:rsidP="00CC6CC7">
      <w:pPr>
        <w:pStyle w:val="SingleTxtG"/>
      </w:pPr>
      <w:r>
        <w:t>92.</w:t>
      </w:r>
      <w:r>
        <w:tab/>
        <w:t>Формирование законодательства, способствующего максимальному упрощению взаимоотношений общественных организаций и государственных органов – характерная черта современного подхода к правовому регулированию деятельности общественных организаций.</w:t>
      </w:r>
    </w:p>
    <w:p w14:paraId="19F7FBF2" w14:textId="77777777" w:rsidR="00CC6CC7" w:rsidRDefault="00CC6CC7" w:rsidP="00CC6CC7">
      <w:pPr>
        <w:pStyle w:val="H23G"/>
      </w:pPr>
      <w:r>
        <w:tab/>
      </w:r>
      <w:r>
        <w:tab/>
        <w:t xml:space="preserve">Равенство прав мужчин и женщин </w:t>
      </w:r>
    </w:p>
    <w:p w14:paraId="59892ACF" w14:textId="77777777" w:rsidR="00CC6CC7" w:rsidRDefault="00CC6CC7" w:rsidP="00CC6CC7">
      <w:pPr>
        <w:pStyle w:val="SingleTxtG"/>
      </w:pPr>
      <w:r>
        <w:t>93.</w:t>
      </w:r>
      <w:r>
        <w:tab/>
        <w:t xml:space="preserve">Статья 262 ТК запрещает привлечение женщин к выполнению тяжелых работ и работ с вредными и (или) опасными условиями труда, подземных работ, кроме некоторых подземных работ (нефизических работ или работ по санитарному и бытовому обслуживанию), а также к выполнению любых видов работ, связанных с подъемом и перемещением тяжестей вручную, превышающих установленные нормы предельно допустимых нагрузок для женщин. Эта норма действует для защиты здоровья женщин при выполнении ими трудовых функций. </w:t>
      </w:r>
    </w:p>
    <w:p w14:paraId="7E3C345E" w14:textId="77777777" w:rsidR="00CC6CC7" w:rsidRDefault="00CC6CC7" w:rsidP="00CC6CC7">
      <w:pPr>
        <w:pStyle w:val="SingleTxtG"/>
      </w:pPr>
      <w:r>
        <w:t>94.</w:t>
      </w:r>
      <w:r>
        <w:tab/>
        <w:t>Постановлением Министерства труда и социальной защиты от 12</w:t>
      </w:r>
      <w:r>
        <w:rPr>
          <w:lang w:val="en-US"/>
        </w:rPr>
        <w:t> </w:t>
      </w:r>
      <w:r>
        <w:t xml:space="preserve">июня 2014 года № 35 установлен список тяжелых работ и работ с вредными и (или) </w:t>
      </w:r>
      <w:r>
        <w:lastRenderedPageBreak/>
        <w:t>опасными условиями труда, на которых запрещается привлечение к труду женщин (Список № 35).</w:t>
      </w:r>
    </w:p>
    <w:p w14:paraId="66B1ECF0" w14:textId="77777777" w:rsidR="00CC6CC7" w:rsidRDefault="00CC6CC7" w:rsidP="00CC6CC7">
      <w:pPr>
        <w:pStyle w:val="SingleTxtG"/>
      </w:pPr>
      <w:r>
        <w:t>95.</w:t>
      </w:r>
      <w:r>
        <w:tab/>
        <w:t>В настоящее время Список № 35 содержит 181 позицию, включающую виды тяжелых работ и работ с вредными и (или) опасными условиями труда, и наименования профессий, по которым запрещен труд женщин. Ранее Список № 35 предусматривал 252 позиции.</w:t>
      </w:r>
    </w:p>
    <w:p w14:paraId="52DB9784" w14:textId="77777777" w:rsidR="00CC6CC7" w:rsidRDefault="00CC6CC7" w:rsidP="00CC6CC7">
      <w:pPr>
        <w:pStyle w:val="SingleTxtG"/>
      </w:pPr>
      <w:r>
        <w:t>96.</w:t>
      </w:r>
      <w:r>
        <w:tab/>
        <w:t>В связи с изменившимися условиями труда по отдельным производствам (видам работ, профессиям), связанными в первую очередь с совершенствованием технологических процессов, внедрением новой техники, общее количество работ с вредными и (или) опасными условиями труда, на которых запрещается привлечение к труду женщин, было сокращено.</w:t>
      </w:r>
    </w:p>
    <w:p w14:paraId="4D50851C" w14:textId="77777777" w:rsidR="00CC6CC7" w:rsidRDefault="00CC6CC7" w:rsidP="00CC6CC7">
      <w:pPr>
        <w:pStyle w:val="SingleTxtG"/>
      </w:pPr>
      <w:r>
        <w:t>97.</w:t>
      </w:r>
      <w:r>
        <w:tab/>
        <w:t>Запрещающие нормы, предусмотренные Списком № 35, действуют только в случае, когда выполняемые на конкретном производстве работы относятся к работам с вредными и (или) опасными условиями труда по итогам аттестации рабочих мест по условиям труда, т. е. предусмотрены в отношении работ и профессий, на которых не обеспечены здоровые и безопасные условия труда.</w:t>
      </w:r>
    </w:p>
    <w:p w14:paraId="250F5B11" w14:textId="77777777" w:rsidR="00CC6CC7" w:rsidRDefault="00CC6CC7" w:rsidP="00CC6CC7">
      <w:pPr>
        <w:pStyle w:val="SingleTxtG"/>
      </w:pPr>
      <w:r>
        <w:t>98.</w:t>
      </w:r>
      <w:r>
        <w:tab/>
        <w:t>Для решения вопроса о возможности применения труда женщин в производствах и на работах, перечисленных в Списке № 35, работодатель должен проводить работу по внедрению оздоровительных мероприятий и устранению факторов, препятствующих применению труда женщин.</w:t>
      </w:r>
    </w:p>
    <w:p w14:paraId="5925511F" w14:textId="77777777" w:rsidR="00CC6CC7" w:rsidRDefault="00CC6CC7" w:rsidP="00CC6CC7">
      <w:pPr>
        <w:pStyle w:val="SingleTxtG"/>
      </w:pPr>
      <w:r>
        <w:t>99.</w:t>
      </w:r>
      <w:r>
        <w:tab/>
        <w:t xml:space="preserve">С 2016 года количество рабочих мест с вредными и (или) опасными условиями труда уменьшилось на 108,9 тыс. (2016 год – 656 тыс. рабочих мест, 2018 год – 547,1). </w:t>
      </w:r>
    </w:p>
    <w:p w14:paraId="07A60A13" w14:textId="77777777" w:rsidR="00CC6CC7" w:rsidRDefault="00CC6CC7" w:rsidP="00CC6CC7">
      <w:pPr>
        <w:pStyle w:val="SingleTxtG"/>
      </w:pPr>
      <w:r>
        <w:t>100.</w:t>
      </w:r>
      <w:r>
        <w:tab/>
        <w:t>В Беларуси социальный и экономический статус женщин повышается из года в год. Женщины составляют более 53,4% населения страны и 49,8% занятых в экономике и реализуют себя практически во всех сферах деятельности. На 1 000 мужчин в республике приходится 1 146 женщин, в возрастной группе 65 лет и старше – 2</w:t>
      </w:r>
      <w:r>
        <w:rPr>
          <w:lang w:val="en-US"/>
        </w:rPr>
        <w:t> </w:t>
      </w:r>
      <w:r>
        <w:t>061 женщина.</w:t>
      </w:r>
    </w:p>
    <w:p w14:paraId="07DD3F64" w14:textId="77777777" w:rsidR="00CC6CC7" w:rsidRDefault="00CC6CC7" w:rsidP="00CC6CC7">
      <w:pPr>
        <w:pStyle w:val="SingleTxtG"/>
      </w:pPr>
      <w:r>
        <w:t>101.</w:t>
      </w:r>
      <w:r>
        <w:tab/>
        <w:t>Женщины успешно занимаются предпринимательством, создают рабочие места, являются руководителями среднего и высшего звена. Среди руководителей (законодатели, руководители органов государственного управления, общественных объединений, коммерческих и некоммерческих организаций) удельный вес женщин составляет 47,3%, среди специалистов – 71,2%.</w:t>
      </w:r>
    </w:p>
    <w:p w14:paraId="4DD5938D" w14:textId="77777777" w:rsidR="00CC6CC7" w:rsidRDefault="00CC6CC7" w:rsidP="00CC6CC7">
      <w:pPr>
        <w:pStyle w:val="SingleTxtG"/>
      </w:pPr>
      <w:r>
        <w:t>102.</w:t>
      </w:r>
      <w:r>
        <w:tab/>
        <w:t>Для белорусского рынка труда характерен более высокий уровень образования женщин, чем мужчин. Так, среди занятых женщин 38,2% имеют высшее образование, 26,7% – среднее специальное, аналогичные показатели среди мужчин составляют 27,4% и 18%.</w:t>
      </w:r>
    </w:p>
    <w:p w14:paraId="158A7938" w14:textId="77777777" w:rsidR="00CC6CC7" w:rsidRDefault="00CC6CC7" w:rsidP="00CC6CC7">
      <w:pPr>
        <w:pStyle w:val="SingleTxtG"/>
      </w:pPr>
      <w:r>
        <w:t>103.</w:t>
      </w:r>
      <w:r>
        <w:tab/>
        <w:t>Женщины широко представлены в государственном управлении: среди государственных служащих всех уровней управления женщины составляют 67,4%, в том числе на должностях руководителей организаций и их заместителей – 56,2%.</w:t>
      </w:r>
    </w:p>
    <w:p w14:paraId="7C590985" w14:textId="77777777" w:rsidR="00CC6CC7" w:rsidRDefault="00CC6CC7" w:rsidP="00CC6CC7">
      <w:pPr>
        <w:pStyle w:val="SingleTxtG"/>
      </w:pPr>
      <w:r>
        <w:t>104.</w:t>
      </w:r>
      <w:r>
        <w:tab/>
        <w:t>В Национальном собрании Республики Беларусь VI созыва доля женщин составила 32,5% от общей численности депутатов Палаты представителей и членов Совета Республики по состоянию на 1 января 2019 года. В предыдущем созыве численность женщин составляла 29,2% на 1 января 2015 года соответственно. В местных Советах депутатов – 48,2% женщин от общего количества депутатов.</w:t>
      </w:r>
    </w:p>
    <w:p w14:paraId="7ECF2BA6" w14:textId="77777777" w:rsidR="00CC6CC7" w:rsidRDefault="00CC6CC7" w:rsidP="00CC6CC7">
      <w:pPr>
        <w:pStyle w:val="SingleTxtG"/>
      </w:pPr>
      <w:r>
        <w:t>105.</w:t>
      </w:r>
      <w:r>
        <w:tab/>
        <w:t>В целях привлечения внимания к вопросам участия женщин в управлении и принятии решений в октябре 2018 года проведен второй Международный форум женщин-лидеров в г. Минске. Первый Форум состоялся в 2016 году.</w:t>
      </w:r>
    </w:p>
    <w:p w14:paraId="6CCA74B7" w14:textId="77777777" w:rsidR="00CC6CC7" w:rsidRDefault="00CC6CC7" w:rsidP="00CC6CC7">
      <w:pPr>
        <w:pStyle w:val="SingleTxtG"/>
      </w:pPr>
      <w:r>
        <w:t>106.</w:t>
      </w:r>
      <w:r>
        <w:tab/>
        <w:t>Реализуется Национальный план действий по обеспечению гендерного равенства в Республике Беларусь на 2017–2020 годы (далее – План), который является пятым программным документом. Реализация Плана напрямую содействует выполнению 5-й Цели устойчивого развития – обеспечение гендерного равенства и расширение прав и возможностей женщин и девочек. Он сконцентрирован на решении наиболее актуальных вопросов положения женщин.</w:t>
      </w:r>
    </w:p>
    <w:p w14:paraId="2DEC8299" w14:textId="77777777" w:rsidR="00CC6CC7" w:rsidRDefault="00CC6CC7" w:rsidP="00CC6CC7">
      <w:pPr>
        <w:pStyle w:val="SingleTxtG"/>
      </w:pPr>
      <w:r>
        <w:lastRenderedPageBreak/>
        <w:t>107.</w:t>
      </w:r>
      <w:r>
        <w:tab/>
        <w:t xml:space="preserve">Одно из направлений деятельности по достижению гендерного равенства – снижение «двойной занятости» женщин в пользу развития их личностного потенциала. </w:t>
      </w:r>
    </w:p>
    <w:p w14:paraId="655AF3A2" w14:textId="77777777" w:rsidR="00CC6CC7" w:rsidRDefault="00CC6CC7" w:rsidP="00CC6CC7">
      <w:pPr>
        <w:pStyle w:val="SingleTxtG"/>
      </w:pPr>
      <w:r>
        <w:t>108.</w:t>
      </w:r>
      <w:r>
        <w:tab/>
        <w:t>Внесение в ТК нормы по отцовскому отпуску (вступает в силу с января 2020 года), проведение республиканского конкурса «Семья года», таких общественных инициатив как форум «Папа ПРО», проектов «Папа-школы», освещение вопросов равенства в семье в средствах массовой информации являются конкретными шагами в деле поощрения гендерного равенства в семье.</w:t>
      </w:r>
    </w:p>
    <w:p w14:paraId="6D4175B3" w14:textId="77777777" w:rsidR="00CC6CC7" w:rsidRDefault="00CC6CC7" w:rsidP="00CC6CC7">
      <w:pPr>
        <w:pStyle w:val="SingleTxtG"/>
      </w:pPr>
      <w:r>
        <w:t>109.</w:t>
      </w:r>
      <w:r>
        <w:tab/>
        <w:t>В настоящее время в обществе отмечается преломление восприятия роли обоих родителей в воспитании и уходе за детьми, распределении семейных ролей.</w:t>
      </w:r>
    </w:p>
    <w:p w14:paraId="034D4ACB" w14:textId="77777777" w:rsidR="00CC6CC7" w:rsidRDefault="00CC6CC7" w:rsidP="00CC6CC7">
      <w:pPr>
        <w:pStyle w:val="SingleTxtG"/>
      </w:pPr>
      <w:r>
        <w:t>110.</w:t>
      </w:r>
      <w:r>
        <w:tab/>
        <w:t>По данным социологического исследования «Формирование семьи, стабильность семейных отношений и рождаемость в меняющихся социально-экономических условиях жизни белорусов» по международной программе «Поколение и гендер» (количество респондентов – 10 тыс. человек в возрасте от 18 до 79 лет) семья и дети признаются большинством населения в равной степени важными как для мужчин, так и для женщин (56% респондентов). На вопрос «Чьей задачей является забота о доме и детях, мужчин или женщин?» большинство респондентов (58%) ответили, что это задача в равной мере мужчин и женщин. 84% мужчин и 78% женщин также отметили, что решения о воспитании детей принимают в равной мере с партнерами.</w:t>
      </w:r>
    </w:p>
    <w:p w14:paraId="473AFD7A" w14:textId="77777777" w:rsidR="00CC6CC7" w:rsidRDefault="00CC6CC7" w:rsidP="00CC6CC7">
      <w:pPr>
        <w:pStyle w:val="H23G"/>
      </w:pPr>
      <w:r>
        <w:tab/>
      </w:r>
      <w:r>
        <w:tab/>
        <w:t>Право на труд</w:t>
      </w:r>
    </w:p>
    <w:p w14:paraId="3D1AFFD9" w14:textId="77777777" w:rsidR="00CC6CC7" w:rsidRDefault="00CC6CC7" w:rsidP="00CC6CC7">
      <w:pPr>
        <w:pStyle w:val="SingleTxtG"/>
      </w:pPr>
      <w:r>
        <w:t>111.</w:t>
      </w:r>
      <w:r>
        <w:tab/>
        <w:t>В Республике Беларусь уровень безработицы по методологии МОТ (в возрасте 15–74 лет) в 2018 году составил 4,8% и снизился по сравнению с 2017 годом на 0,8 процентных пункта (в 2017 году – 5,6%).</w:t>
      </w:r>
    </w:p>
    <w:p w14:paraId="4FD60019" w14:textId="77777777" w:rsidR="00CC6CC7" w:rsidRDefault="00CC6CC7" w:rsidP="00CC6CC7">
      <w:pPr>
        <w:pStyle w:val="SingleTxtG"/>
      </w:pPr>
      <w:r>
        <w:t>112.</w:t>
      </w:r>
      <w:r>
        <w:tab/>
        <w:t>Уровень зарегистрированной безработицы на 1 января 2019 года составил 0,3% и по сравнению с 1 января 2018 года (0,5%) снизился на 0,2 процентных пункта.</w:t>
      </w:r>
    </w:p>
    <w:p w14:paraId="5FCE97DF" w14:textId="77777777" w:rsidR="00CC6CC7" w:rsidRDefault="00CC6CC7" w:rsidP="00CC6CC7">
      <w:pPr>
        <w:pStyle w:val="SingleTxtG"/>
      </w:pPr>
      <w:r>
        <w:t>113.</w:t>
      </w:r>
      <w:r>
        <w:tab/>
        <w:t>На учете в качестве безработных на 1</w:t>
      </w:r>
      <w:r>
        <w:rPr>
          <w:lang w:val="en-US"/>
        </w:rPr>
        <w:t> </w:t>
      </w:r>
      <w:r>
        <w:t>января 2019</w:t>
      </w:r>
      <w:r>
        <w:rPr>
          <w:lang w:val="en-US"/>
        </w:rPr>
        <w:t> </w:t>
      </w:r>
      <w:r>
        <w:t>года состояло 12,5 тыс. человек, что на 45,4% безработных меньше, чем на 1</w:t>
      </w:r>
      <w:r>
        <w:rPr>
          <w:lang w:val="en-US"/>
        </w:rPr>
        <w:t> </w:t>
      </w:r>
      <w:r>
        <w:t>января 2018</w:t>
      </w:r>
      <w:r>
        <w:rPr>
          <w:lang w:val="en-US"/>
        </w:rPr>
        <w:t> </w:t>
      </w:r>
      <w:r>
        <w:t>года (22,9 тыс. человек). В общей численности безработных, зарегистрированных в органах по труду, занятости и социальной защите, женщины составили 37,9%, мужчины – 62,1%, проживающие в сельской местности – 20,3%. Средний возраст зарегистрированного безработного на конец 2018</w:t>
      </w:r>
      <w:r>
        <w:rPr>
          <w:lang w:val="en-US"/>
        </w:rPr>
        <w:t> </w:t>
      </w:r>
      <w:r>
        <w:t>года составил 42</w:t>
      </w:r>
      <w:r>
        <w:rPr>
          <w:lang w:val="en-US"/>
        </w:rPr>
        <w:t> </w:t>
      </w:r>
      <w:r>
        <w:t xml:space="preserve">года. Дополнительные данные представлены ниже в статистической информации и отдельном приложении к докладу. </w:t>
      </w:r>
    </w:p>
    <w:p w14:paraId="13A52938" w14:textId="77777777" w:rsidR="00CC6CC7" w:rsidRDefault="00CC6CC7" w:rsidP="00CC6CC7">
      <w:pPr>
        <w:pStyle w:val="SingleTxtG"/>
      </w:pPr>
      <w:r>
        <w:t>114.</w:t>
      </w:r>
      <w:r>
        <w:tab/>
        <w:t>Обеспечение занятости молодежи в Республике Беларусь осуществляется как в рамках политики занятости населения, так и в рамках государственной молодежной политики.</w:t>
      </w:r>
    </w:p>
    <w:p w14:paraId="422B0FB4" w14:textId="77777777" w:rsidR="00CC6CC7" w:rsidRDefault="00CC6CC7" w:rsidP="00CC6CC7">
      <w:pPr>
        <w:pStyle w:val="SingleTxtG"/>
      </w:pPr>
      <w:r>
        <w:t>115.</w:t>
      </w:r>
      <w:r>
        <w:tab/>
        <w:t>Основной комплекс мер по обеспечению занятости безработной молодежи и необходимые для этого финансовые ресурсы являются составной частью подпрограммы 1 «Содействие занятости населения» Государственной программы о социальной защите и содействии занятости населения на 2016–2020 годы, утвержденной Правительством.</w:t>
      </w:r>
    </w:p>
    <w:p w14:paraId="09063560" w14:textId="77777777" w:rsidR="00CC6CC7" w:rsidRDefault="00CC6CC7" w:rsidP="00CC6CC7">
      <w:pPr>
        <w:pStyle w:val="SingleTxtG"/>
      </w:pPr>
      <w:r>
        <w:t>116.</w:t>
      </w:r>
      <w:r>
        <w:tab/>
        <w:t>Организации профессионального обучения безработных из числа молодежи, особенно несовершеннолетней, не имеющей опыта работы, а зачастую и профессиональной подготовки, уделяется особое внимание. Примерно 40% от общего количества направленных на обучение службой занятости – это именно молодые люди.</w:t>
      </w:r>
    </w:p>
    <w:p w14:paraId="4E3A5434" w14:textId="77777777" w:rsidR="00CC6CC7" w:rsidRDefault="00CC6CC7" w:rsidP="00CC6CC7">
      <w:pPr>
        <w:pStyle w:val="SingleTxtG"/>
      </w:pPr>
      <w:r>
        <w:t>117.</w:t>
      </w:r>
      <w:r>
        <w:tab/>
        <w:t xml:space="preserve">Большое внимание уделяется профориентационной работе. В целях трудоустройства в первую очередь выпускников, не имеющих опыта работы, органы по труду, занятости и социальной защите проводят работу по стимулированию нанимателей к приему на работу такой категории молодежи для приобретения навыков практической работы. </w:t>
      </w:r>
    </w:p>
    <w:p w14:paraId="2EBD2ECD" w14:textId="77777777" w:rsidR="00CC6CC7" w:rsidRDefault="00CC6CC7" w:rsidP="00CC6CC7">
      <w:pPr>
        <w:pStyle w:val="SingleTxtG"/>
      </w:pPr>
      <w:r>
        <w:lastRenderedPageBreak/>
        <w:t>118.</w:t>
      </w:r>
      <w:r>
        <w:tab/>
        <w:t>Постановлением Министерства труда и социальной защиты от 10 октября 2016 года № 58 установлен порядок и условия трудоустройства безработных для приобретения опыта практической работы с частичной компенсацией нанимателям затрат на оплату труда.</w:t>
      </w:r>
    </w:p>
    <w:p w14:paraId="2AB93522" w14:textId="77777777" w:rsidR="00CC6CC7" w:rsidRDefault="00CC6CC7" w:rsidP="00CC6CC7">
      <w:pPr>
        <w:pStyle w:val="SingleTxtG"/>
      </w:pPr>
      <w:r>
        <w:t>119.</w:t>
      </w:r>
      <w:r>
        <w:tab/>
        <w:t xml:space="preserve">Безработным, достигшим 18-летнего возраста, решившим организовать бизнес в виде индивидуального предпринимательства, частного унитарного предприятия, крестьянского (фермерского) хозяйства, по оказанию услуг в сфере </w:t>
      </w:r>
      <w:proofErr w:type="spellStart"/>
      <w:r>
        <w:t>агроэкотуризма</w:t>
      </w:r>
      <w:proofErr w:type="spellEnd"/>
      <w:r>
        <w:t>, а также ремесленную деятельность из средств государственного внебюджетного фонда социальной защиты населения предоставляется субсидия. В среднем около 35%</w:t>
      </w:r>
      <w:r>
        <w:rPr>
          <w:lang w:val="en-US"/>
        </w:rPr>
        <w:t> </w:t>
      </w:r>
      <w:r>
        <w:t>из числа безработных граждан, получивших субсидии на организацию собственного дела, составила молодежь.</w:t>
      </w:r>
    </w:p>
    <w:p w14:paraId="1E3817D8" w14:textId="77777777" w:rsidR="00CC6CC7" w:rsidRDefault="00CC6CC7" w:rsidP="00CC6CC7">
      <w:pPr>
        <w:pStyle w:val="SingleTxtG"/>
      </w:pPr>
      <w:r>
        <w:t>120.</w:t>
      </w:r>
      <w:r>
        <w:tab/>
        <w:t>Одновременно на снижение дисбаланса спроса и предложения на рынке труда направлен механизм прогнозирования и координации работ органов государственного управления при формировании потребности экономики в кадрах на пятилетний период по профессионально-квалификационным группам, который закреплен постановлением Совета Министров Республики Беларусь от 26 декабря 2017 года № 1016 «О некоторых вопросах прогнозирования потребности экономики в кадрах».</w:t>
      </w:r>
    </w:p>
    <w:p w14:paraId="68F77FAD" w14:textId="77777777" w:rsidR="00CC6CC7" w:rsidRDefault="00CC6CC7" w:rsidP="00CC6CC7">
      <w:pPr>
        <w:pStyle w:val="SingleTxtG"/>
      </w:pPr>
      <w:r>
        <w:t>121.</w:t>
      </w:r>
      <w:r>
        <w:tab/>
        <w:t>Предпринимаемые меры позволили снизить уровень молодежной безработицы. По данным выборочного обследования домашних хозяйств, уровень молодежной безработицы в возрасте 16–30 лет снизился с 8,6% в 2012 году до 6,6% в 2018 году.</w:t>
      </w:r>
    </w:p>
    <w:p w14:paraId="79E9F140" w14:textId="77777777" w:rsidR="00CC6CC7" w:rsidRDefault="00CC6CC7" w:rsidP="00CC6CC7">
      <w:pPr>
        <w:pStyle w:val="SingleTxtG"/>
      </w:pPr>
      <w:r>
        <w:t>122.</w:t>
      </w:r>
      <w:r>
        <w:tab/>
        <w:t>На 1 января 2019 года на учете в органах по труду, занятости и социальной защите состояло 568 тыс. инвалидов, в том числе 31,7 тыс. детей-инвалидов в возрасте до 18 лет.</w:t>
      </w:r>
    </w:p>
    <w:p w14:paraId="1ED9298D" w14:textId="77777777" w:rsidR="00CC6CC7" w:rsidRDefault="00CC6CC7" w:rsidP="00CC6CC7">
      <w:pPr>
        <w:pStyle w:val="SingleTxtG"/>
      </w:pPr>
      <w:r>
        <w:t>123.</w:t>
      </w:r>
      <w:r>
        <w:tab/>
        <w:t>Численность инвалидов за 2018 год выросла на 3,1 тыс. человек. Удельный вес инвалидов в общей численности населения составляет 5,9%.</w:t>
      </w:r>
    </w:p>
    <w:p w14:paraId="0C1BBF19" w14:textId="77777777" w:rsidR="00CC6CC7" w:rsidRDefault="00CC6CC7" w:rsidP="00CC6CC7">
      <w:pPr>
        <w:pStyle w:val="SingleTxtG"/>
      </w:pPr>
      <w:r>
        <w:t>124.</w:t>
      </w:r>
      <w:r>
        <w:tab/>
        <w:t>На 1 января 2019 года количество инвалидов в трудоспособном возрасте составило около 190 тыс., из них почти 60% имеют профессиональные и трудовые рекомендации. Свыше 67 тыс. лиц с инвалидностью имеют работу, что составляет 56,2% от имеющих профессиональные и трудовые рекомендации.</w:t>
      </w:r>
    </w:p>
    <w:p w14:paraId="1F7ED064" w14:textId="77777777" w:rsidR="00CC6CC7" w:rsidRDefault="00CC6CC7" w:rsidP="00CC6CC7">
      <w:pPr>
        <w:pStyle w:val="SingleTxtG"/>
      </w:pPr>
      <w:r>
        <w:t>125.</w:t>
      </w:r>
      <w:r>
        <w:tab/>
        <w:t>Созданы необходимые правовые условия для реализации права инвалидов на труд. Государство обеспечивает дополнительные гарантии в области содействия занятости инвалидов.</w:t>
      </w:r>
    </w:p>
    <w:p w14:paraId="5F0D498B" w14:textId="77777777" w:rsidR="00CC6CC7" w:rsidRDefault="00CC6CC7" w:rsidP="00CC6CC7">
      <w:pPr>
        <w:pStyle w:val="SingleTxtG"/>
      </w:pPr>
      <w:r>
        <w:t>126.</w:t>
      </w:r>
      <w:r>
        <w:tab/>
        <w:t>При обращении в органы по труду, занятости и социальной защите данная категория граждан получает право на более широкий спектр возможностей по содействию в трудоустройстве:</w:t>
      </w:r>
    </w:p>
    <w:p w14:paraId="1BCB42B3" w14:textId="77777777" w:rsidR="00CC6CC7" w:rsidRDefault="00CC6CC7" w:rsidP="00CC6CC7">
      <w:pPr>
        <w:pStyle w:val="Bullet1G"/>
        <w:numPr>
          <w:ilvl w:val="0"/>
          <w:numId w:val="16"/>
        </w:numPr>
      </w:pPr>
      <w:r>
        <w:tab/>
        <w:t>информирование о наличии свободных рабочих мест и вакансий у нанимателей;</w:t>
      </w:r>
    </w:p>
    <w:p w14:paraId="5FCA8167" w14:textId="77777777" w:rsidR="00CC6CC7" w:rsidRDefault="00CC6CC7" w:rsidP="00CC6CC7">
      <w:pPr>
        <w:pStyle w:val="Bullet1G"/>
        <w:numPr>
          <w:ilvl w:val="0"/>
          <w:numId w:val="16"/>
        </w:numPr>
      </w:pPr>
      <w:r>
        <w:t>получение направления на трудоустройство у конкретного нанимателя и по конкретной профессии (специальности), в том числе на созданные дополнительные рабочие места в специализированных организациях;</w:t>
      </w:r>
    </w:p>
    <w:p w14:paraId="76D324FB" w14:textId="77777777" w:rsidR="00CC6CC7" w:rsidRDefault="00CC6CC7" w:rsidP="00CC6CC7">
      <w:pPr>
        <w:pStyle w:val="Bullet1G"/>
        <w:numPr>
          <w:ilvl w:val="0"/>
          <w:numId w:val="16"/>
        </w:numPr>
      </w:pPr>
      <w:r>
        <w:t>трудоустройство в счет установленной брони;</w:t>
      </w:r>
    </w:p>
    <w:p w14:paraId="1D3EA5D9" w14:textId="77777777" w:rsidR="00CC6CC7" w:rsidRDefault="00CC6CC7" w:rsidP="00CC6CC7">
      <w:pPr>
        <w:pStyle w:val="Bullet1G"/>
        <w:numPr>
          <w:ilvl w:val="0"/>
          <w:numId w:val="16"/>
        </w:numPr>
      </w:pPr>
      <w:r>
        <w:t>предоставление возможности пройти в первоочередном порядке профессиональную подготовку и получение профессии (специальности) за счет средств, направляемых на финансирование мероприятий по обеспечению занятости населения;</w:t>
      </w:r>
    </w:p>
    <w:p w14:paraId="076D48A2" w14:textId="77777777" w:rsidR="00CC6CC7" w:rsidRDefault="00CC6CC7" w:rsidP="00CC6CC7">
      <w:pPr>
        <w:pStyle w:val="Bullet1G"/>
        <w:numPr>
          <w:ilvl w:val="0"/>
          <w:numId w:val="16"/>
        </w:numPr>
      </w:pPr>
      <w:r>
        <w:t>направление на адаптацию к трудовой деятельности;</w:t>
      </w:r>
    </w:p>
    <w:p w14:paraId="06881751" w14:textId="77777777" w:rsidR="00CC6CC7" w:rsidRDefault="00CC6CC7" w:rsidP="00CC6CC7">
      <w:pPr>
        <w:pStyle w:val="Bullet1G"/>
        <w:numPr>
          <w:ilvl w:val="0"/>
          <w:numId w:val="16"/>
        </w:numPr>
      </w:pPr>
      <w:r>
        <w:t>оказание поддержки (в том числе финансовой) для организации и развития индивидуальной предпринимательской деятельности.</w:t>
      </w:r>
    </w:p>
    <w:p w14:paraId="2DF33533" w14:textId="77777777" w:rsidR="00CC6CC7" w:rsidRDefault="00CC6CC7" w:rsidP="00CC6CC7">
      <w:pPr>
        <w:pStyle w:val="SingleTxtG"/>
      </w:pPr>
      <w:r>
        <w:t>127.</w:t>
      </w:r>
      <w:r>
        <w:tab/>
        <w:t>Все услуги, предоставляемые безработным органами государственной службы занятости, доступны инвалидам из числа безработных в соответствии с индивидуальными программами реабилитации инвалида.</w:t>
      </w:r>
    </w:p>
    <w:p w14:paraId="664CB6E6" w14:textId="77777777" w:rsidR="00CC6CC7" w:rsidRDefault="00CC6CC7" w:rsidP="00CC6CC7">
      <w:pPr>
        <w:pStyle w:val="SingleTxtG"/>
      </w:pPr>
      <w:r>
        <w:lastRenderedPageBreak/>
        <w:t>128.</w:t>
      </w:r>
      <w:r>
        <w:tab/>
        <w:t>В настоящее время в целях расширения возможностей для обеспечения максимальной занятости людей с инвалидностью разрабатывается проект Закона, которым предусматривается ряд мер по совершенствованию механизма трудоустройства и занятости людей с инвалидностью, включая:</w:t>
      </w:r>
    </w:p>
    <w:p w14:paraId="28117970" w14:textId="77777777" w:rsidR="00CC6CC7" w:rsidRDefault="00CC6CC7" w:rsidP="00CC6CC7">
      <w:pPr>
        <w:pStyle w:val="Bullet1G"/>
        <w:numPr>
          <w:ilvl w:val="0"/>
          <w:numId w:val="16"/>
        </w:numPr>
      </w:pPr>
      <w:r>
        <w:t>установление квот для организаций по приему на работу инвалидов;</w:t>
      </w:r>
    </w:p>
    <w:p w14:paraId="416C7609" w14:textId="77777777" w:rsidR="00CC6CC7" w:rsidRDefault="00CC6CC7" w:rsidP="00CC6CC7">
      <w:pPr>
        <w:pStyle w:val="Bullet1G"/>
        <w:numPr>
          <w:ilvl w:val="0"/>
          <w:numId w:val="16"/>
        </w:numPr>
      </w:pPr>
      <w:r>
        <w:t>предоставление помощи персонального ассистента при трудоустройстве инвалидов;</w:t>
      </w:r>
    </w:p>
    <w:p w14:paraId="78F90185" w14:textId="77777777" w:rsidR="00CC6CC7" w:rsidRDefault="00CC6CC7" w:rsidP="00CC6CC7">
      <w:pPr>
        <w:pStyle w:val="Bullet1G"/>
        <w:numPr>
          <w:ilvl w:val="0"/>
          <w:numId w:val="16"/>
        </w:numPr>
      </w:pPr>
      <w:r>
        <w:t>финансирование и компенсацию расходов для предприятий всех форм собственности, создающих рабочие места для инвалидов, в том числе специализированные.</w:t>
      </w:r>
    </w:p>
    <w:p w14:paraId="03BC4BBF" w14:textId="77777777" w:rsidR="00CC6CC7" w:rsidRDefault="00CC6CC7" w:rsidP="00CC6CC7">
      <w:pPr>
        <w:pStyle w:val="H23G"/>
      </w:pPr>
      <w:r>
        <w:tab/>
      </w:r>
      <w:r>
        <w:tab/>
        <w:t>Право на справедливые и благоприятные условия работы</w:t>
      </w:r>
    </w:p>
    <w:p w14:paraId="69B29EBF" w14:textId="77777777" w:rsidR="00CC6CC7" w:rsidRDefault="00CC6CC7" w:rsidP="00CC6CC7">
      <w:pPr>
        <w:pStyle w:val="SingleTxtG"/>
      </w:pPr>
      <w:r>
        <w:t>129.</w:t>
      </w:r>
      <w:r>
        <w:tab/>
        <w:t>Комплексное решение задач по улучшению условий и охране труда осуществляется путем реализации мероприятий, предусматриваемых государственной программой, которой определяются цель и основные направления деятельности в данной области на перспективу, как правило, на 5 лет. В настоящее время в стране реализуется Государственная программа о социальной защите и содействии занятости населения на 2016–2020 годы, которая включает 5 подпрограмм, в том числе подпрограмму 2 «Охрана труда». Задачами подпрограммы 2 «Охрана труда» являются улучшение условий охраны труда работающих и снижение производственного травматизма и профессиональной заболеваемости в республике.</w:t>
      </w:r>
    </w:p>
    <w:p w14:paraId="048106B8" w14:textId="77777777" w:rsidR="00CC6CC7" w:rsidRDefault="00CC6CC7" w:rsidP="00CC6CC7">
      <w:pPr>
        <w:pStyle w:val="SingleTxtG"/>
      </w:pPr>
      <w:r>
        <w:t>130.</w:t>
      </w:r>
      <w:r>
        <w:tab/>
        <w:t>Удельный вес рабочих мест с вредными и (или) опасными условиями труда в общем количестве рабочих мест в организациях в 2018 году составил 25,8 (в 2016 году – 28,6), уровень профессиональной заболеваемости на 10</w:t>
      </w:r>
      <w:r>
        <w:rPr>
          <w:lang w:val="en-US"/>
        </w:rPr>
        <w:t> </w:t>
      </w:r>
      <w:r>
        <w:t>тыс. работающих в 2018 году – 0,19 (в 2016 году – 0,24), уровень производственного травматизма на 100 тыс. работающих – 51,26 (в 2016 году – 52,26)</w:t>
      </w:r>
      <w:r>
        <w:rPr>
          <w:rStyle w:val="a8"/>
        </w:rPr>
        <w:footnoteReference w:id="3"/>
      </w:r>
      <w:r>
        <w:t>.</w:t>
      </w:r>
    </w:p>
    <w:p w14:paraId="64EB6196" w14:textId="77777777" w:rsidR="00CC6CC7" w:rsidRDefault="00CC6CC7" w:rsidP="00CC6CC7">
      <w:pPr>
        <w:pStyle w:val="SingleTxtG"/>
      </w:pPr>
      <w:r>
        <w:t>131.</w:t>
      </w:r>
      <w:r>
        <w:tab/>
        <w:t>Создана система контрольной (надзорной) деятельности за соблюдением законодательства о труде и об охране труда, включающая общественный контроль. Контрольная (надзорная) деятельность осуществляется с использованием мер профилактического и предупредительного характера, реализуемых контролирующими (надзорными) органами во взаимодействии с субъектами, подлежащими контролю (надзору), в том числе путем:</w:t>
      </w:r>
    </w:p>
    <w:p w14:paraId="350B9FCB" w14:textId="77777777" w:rsidR="00CC6CC7" w:rsidRDefault="00CC6CC7" w:rsidP="00CC6CC7">
      <w:pPr>
        <w:pStyle w:val="Bullet1G"/>
        <w:numPr>
          <w:ilvl w:val="0"/>
          <w:numId w:val="16"/>
        </w:numPr>
      </w:pPr>
      <w:r>
        <w:t>проведения мониторинга, направления рекомендаций по устранению и недопущению недостатков, выявленных в результате мониторинга;</w:t>
      </w:r>
    </w:p>
    <w:p w14:paraId="19FE0298" w14:textId="77777777" w:rsidR="00CC6CC7" w:rsidRDefault="00CC6CC7" w:rsidP="00CC6CC7">
      <w:pPr>
        <w:pStyle w:val="Bullet1G"/>
        <w:numPr>
          <w:ilvl w:val="0"/>
          <w:numId w:val="16"/>
        </w:numPr>
      </w:pPr>
      <w:r>
        <w:t>проведения разъяснительной работы о порядке соблюдения требований законодательства, применения его положений на практике;</w:t>
      </w:r>
    </w:p>
    <w:p w14:paraId="40B63E83" w14:textId="77777777" w:rsidR="00CC6CC7" w:rsidRDefault="00CC6CC7" w:rsidP="00CC6CC7">
      <w:pPr>
        <w:pStyle w:val="Bullet1G"/>
        <w:numPr>
          <w:ilvl w:val="0"/>
          <w:numId w:val="16"/>
        </w:numPr>
      </w:pPr>
      <w:r>
        <w:t>информирования субъектов (включая использование средств глобальной компьютерной сети «Интернет», средств массовой информации) о типичных нарушениях, выявляемых в ходе проверок контролирующими (надзорными) органами;</w:t>
      </w:r>
    </w:p>
    <w:p w14:paraId="2A88F165" w14:textId="77777777" w:rsidR="00CC6CC7" w:rsidRDefault="00CC6CC7" w:rsidP="00CC6CC7">
      <w:pPr>
        <w:pStyle w:val="Bullet1G"/>
        <w:numPr>
          <w:ilvl w:val="0"/>
          <w:numId w:val="16"/>
        </w:numPr>
      </w:pPr>
      <w:r>
        <w:t>проведения семинаров, круглых столов и другого.</w:t>
      </w:r>
    </w:p>
    <w:p w14:paraId="62A1864F" w14:textId="77777777" w:rsidR="00CC6CC7" w:rsidRDefault="00CC6CC7" w:rsidP="00CC6CC7">
      <w:pPr>
        <w:pStyle w:val="SingleTxtG"/>
      </w:pPr>
      <w:r>
        <w:t>132.</w:t>
      </w:r>
      <w:r>
        <w:tab/>
        <w:t>Контроль за фактическим состоянием условий труда в организациях и обоснованностью предоставления компенсаций за работу с вредными и (или) опасными условиями труда осуществляется, в том числе, посредством формирования электронного банка данных результатов аттестации рабочих мест по условиям труда.</w:t>
      </w:r>
    </w:p>
    <w:p w14:paraId="69AA5DA3" w14:textId="77777777" w:rsidR="00CC6CC7" w:rsidRDefault="00CC6CC7" w:rsidP="00CC6CC7">
      <w:pPr>
        <w:pStyle w:val="SingleTxtG"/>
      </w:pPr>
      <w:r>
        <w:t>133.</w:t>
      </w:r>
      <w:r>
        <w:tab/>
        <w:t xml:space="preserve">В 2018 году Департамент государственной инспекции труда Министерства труда и социальной защиты (далее – Департамент) в рамках осуществления надзора за соблюдением законодательства о труде и об охране труда провел 1 676 мониторингов, 2 101 обследование по заявлениям субъектов хозяйствования, 90 внеплановых проверок и 927 специальных расследований несчастных случаев на производстве, </w:t>
      </w:r>
      <w:r>
        <w:lastRenderedPageBreak/>
        <w:t xml:space="preserve">изучил около 1,8 тыс. информаций по вопросам нарушения сроков выплаты заработной платы, поступивших из государственных органов, и рассмотрел почти 1,2 тыс. обращений граждан. </w:t>
      </w:r>
    </w:p>
    <w:p w14:paraId="47D7275B" w14:textId="77777777" w:rsidR="00CC6CC7" w:rsidRDefault="00CC6CC7" w:rsidP="00CC6CC7">
      <w:pPr>
        <w:pStyle w:val="SingleTxtG"/>
      </w:pPr>
      <w:r>
        <w:t>134.</w:t>
      </w:r>
      <w:r>
        <w:tab/>
        <w:t>В результате осуществления указанных мероприятий государственными инспекторами было предложено (предписано к устранению) 67,0 тыс. нарушений законодательства о труде и об охране труда, из которых свыше 2,6 тыс. – нарушения по вопросам несоблюдения сроков выплаты заработной платы и 197 – о минимальной заработной плате. В целях недопущения гибели и травмирования работающих работодателям было предложено запретить эксплуатацию 13 субъектов хозяйствования, 26 объектов строительства, 208 цехов (производственных участков), свыше 2,9 тыс. единиц станков, машин, производственного оборудования, эксплуатация которых создавала угрозу жизни и здоровью работников, а также отстранить от работы 11 тыс. работников в соответствии со статьей 49 ТК. На основании материалов государственных инспекторов Департамента привлечено к дисциплинарной ответственности 2 306 должностных лиц, допустивших нарушения законодательства о труде и об охране труда.</w:t>
      </w:r>
    </w:p>
    <w:p w14:paraId="240DB28A" w14:textId="77777777" w:rsidR="00CC6CC7" w:rsidRDefault="00CC6CC7" w:rsidP="00CC6CC7">
      <w:pPr>
        <w:pStyle w:val="SingleTxtG"/>
      </w:pPr>
      <w:r>
        <w:t>135.</w:t>
      </w:r>
      <w:r>
        <w:tab/>
        <w:t>Департаментом за 2018</w:t>
      </w:r>
      <w:r>
        <w:rPr>
          <w:lang w:val="en-US"/>
        </w:rPr>
        <w:t> </w:t>
      </w:r>
      <w:r>
        <w:t>год в органы государственного управления, вышестоящие организации направлено 7 202 информации о нарушениях законодательства о труде и об охране труда.</w:t>
      </w:r>
    </w:p>
    <w:p w14:paraId="3C8721DD" w14:textId="77777777" w:rsidR="00CC6CC7" w:rsidRDefault="00CC6CC7" w:rsidP="00CC6CC7">
      <w:pPr>
        <w:pStyle w:val="SingleTxtG"/>
      </w:pPr>
      <w:r>
        <w:t>136.</w:t>
      </w:r>
      <w:r>
        <w:tab/>
        <w:t>В 2018 году Департаментом продолжалась реализация комплекса мероприятий, направленных на повышение уровня знаний и информирования граждан в сфере законодательства о труде и об охране труда с широким использованием средств массовой информации и современных информационных технологий. В результате государственные инспекторы 2 953 раза выступили в средствах массовой информации, приняли участие в 5 635 совещаниях (семинарах), 557 заседаниях местных исполнительных и распорядительных органов (их структурных подразделений), 1 092 заседаниях комиссий по профилактике производственного травматизма (иных комиссий), на которых рассматривались вопросы безопасности и гигиены труда, соблюдения трудовых прав работников, а также в проверке знаний по вопросам охраны труда у 52,3 тыс. руководителей организаций, их заместителей, ответственных за организацию охраны труда, главных специалистов, руководителей (специалистов) служб охраны труда, членов комиссий организаций (органов управления) для проверки знаний по вопросам охраны труда и иных должностных лиц.</w:t>
      </w:r>
    </w:p>
    <w:p w14:paraId="272AEAF0" w14:textId="77777777" w:rsidR="00CC6CC7" w:rsidRDefault="00CC6CC7" w:rsidP="00CC6CC7">
      <w:pPr>
        <w:pStyle w:val="SingleTxtG"/>
      </w:pPr>
      <w:r>
        <w:t>137.</w:t>
      </w:r>
      <w:r>
        <w:tab/>
        <w:t>Численность работающих, пострадавших в результате несчастных случаев на производстве</w:t>
      </w:r>
      <w:r>
        <w:rPr>
          <w:rStyle w:val="a8"/>
        </w:rPr>
        <w:footnoteReference w:id="4"/>
      </w:r>
      <w:r>
        <w:t>:</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551"/>
        <w:gridCol w:w="2551"/>
      </w:tblGrid>
      <w:tr w:rsidR="00CC6CC7" w:rsidRPr="00CD0594" w14:paraId="1193E3A4" w14:textId="77777777" w:rsidTr="00506216">
        <w:trPr>
          <w:tblHeader/>
        </w:trPr>
        <w:tc>
          <w:tcPr>
            <w:tcW w:w="2268" w:type="dxa"/>
            <w:tcBorders>
              <w:top w:val="single" w:sz="4" w:space="0" w:color="auto"/>
              <w:bottom w:val="single" w:sz="12" w:space="0" w:color="auto"/>
            </w:tcBorders>
            <w:shd w:val="clear" w:color="auto" w:fill="auto"/>
            <w:vAlign w:val="bottom"/>
          </w:tcPr>
          <w:p w14:paraId="3483AFE3" w14:textId="77777777" w:rsidR="00CC6CC7" w:rsidRPr="00CD0594" w:rsidRDefault="00CC6CC7" w:rsidP="00506216">
            <w:pPr>
              <w:suppressAutoHyphens w:val="0"/>
              <w:spacing w:before="80" w:after="80" w:line="200" w:lineRule="exact"/>
              <w:rPr>
                <w:rFonts w:cs="Times New Roman"/>
                <w:i/>
                <w:sz w:val="16"/>
              </w:rPr>
            </w:pPr>
            <w:r w:rsidRPr="00CD0594">
              <w:rPr>
                <w:rFonts w:cs="Times New Roman"/>
                <w:i/>
                <w:sz w:val="16"/>
              </w:rPr>
              <w:t>Год</w:t>
            </w:r>
          </w:p>
        </w:tc>
        <w:tc>
          <w:tcPr>
            <w:tcW w:w="2551" w:type="dxa"/>
            <w:tcBorders>
              <w:top w:val="single" w:sz="4" w:space="0" w:color="auto"/>
              <w:bottom w:val="single" w:sz="12" w:space="0" w:color="auto"/>
            </w:tcBorders>
            <w:shd w:val="clear" w:color="auto" w:fill="auto"/>
            <w:vAlign w:val="bottom"/>
          </w:tcPr>
          <w:p w14:paraId="3AFF61D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Всего</w:t>
            </w:r>
          </w:p>
        </w:tc>
        <w:tc>
          <w:tcPr>
            <w:tcW w:w="2551" w:type="dxa"/>
            <w:tcBorders>
              <w:top w:val="single" w:sz="4" w:space="0" w:color="auto"/>
              <w:bottom w:val="single" w:sz="12" w:space="0" w:color="auto"/>
            </w:tcBorders>
            <w:shd w:val="clear" w:color="auto" w:fill="auto"/>
            <w:vAlign w:val="bottom"/>
          </w:tcPr>
          <w:p w14:paraId="725A69A5"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Со смертельным исходом</w:t>
            </w:r>
          </w:p>
        </w:tc>
      </w:tr>
      <w:tr w:rsidR="00CC6CC7" w:rsidRPr="00CD0594" w14:paraId="78F9E8FC" w14:textId="77777777" w:rsidTr="00506216">
        <w:tc>
          <w:tcPr>
            <w:tcW w:w="2268" w:type="dxa"/>
            <w:shd w:val="clear" w:color="auto" w:fill="auto"/>
          </w:tcPr>
          <w:p w14:paraId="7190D86D"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1991</w:t>
            </w:r>
          </w:p>
        </w:tc>
        <w:tc>
          <w:tcPr>
            <w:tcW w:w="2551" w:type="dxa"/>
            <w:shd w:val="clear" w:color="auto" w:fill="auto"/>
            <w:vAlign w:val="bottom"/>
          </w:tcPr>
          <w:p w14:paraId="5CCBC33C"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21</w:t>
            </w:r>
            <w:r w:rsidRPr="00CD0594">
              <w:rPr>
                <w:rFonts w:cs="Times New Roman"/>
                <w:sz w:val="18"/>
                <w:lang w:val="fr-CH"/>
              </w:rPr>
              <w:t> </w:t>
            </w:r>
            <w:r w:rsidRPr="00CD0594">
              <w:rPr>
                <w:rFonts w:cs="Times New Roman"/>
                <w:sz w:val="18"/>
              </w:rPr>
              <w:t>628</w:t>
            </w:r>
          </w:p>
        </w:tc>
        <w:tc>
          <w:tcPr>
            <w:tcW w:w="2551" w:type="dxa"/>
            <w:shd w:val="clear" w:color="auto" w:fill="auto"/>
            <w:vAlign w:val="bottom"/>
          </w:tcPr>
          <w:p w14:paraId="100DB588"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402</w:t>
            </w:r>
          </w:p>
        </w:tc>
      </w:tr>
      <w:tr w:rsidR="00CC6CC7" w:rsidRPr="00CD0594" w14:paraId="4F16CB31" w14:textId="77777777" w:rsidTr="00506216">
        <w:tc>
          <w:tcPr>
            <w:tcW w:w="2268" w:type="dxa"/>
            <w:shd w:val="clear" w:color="auto" w:fill="auto"/>
          </w:tcPr>
          <w:p w14:paraId="266C0FCC"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1995</w:t>
            </w:r>
          </w:p>
        </w:tc>
        <w:tc>
          <w:tcPr>
            <w:tcW w:w="2551" w:type="dxa"/>
            <w:shd w:val="clear" w:color="auto" w:fill="auto"/>
            <w:vAlign w:val="bottom"/>
          </w:tcPr>
          <w:p w14:paraId="1AA6CF84"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13</w:t>
            </w:r>
            <w:r w:rsidRPr="00CD0594">
              <w:rPr>
                <w:rFonts w:cs="Times New Roman"/>
                <w:sz w:val="18"/>
                <w:lang w:val="fr-CH"/>
              </w:rPr>
              <w:t> </w:t>
            </w:r>
            <w:r w:rsidRPr="00CD0594">
              <w:rPr>
                <w:rFonts w:cs="Times New Roman"/>
                <w:sz w:val="18"/>
              </w:rPr>
              <w:t>027</w:t>
            </w:r>
          </w:p>
        </w:tc>
        <w:tc>
          <w:tcPr>
            <w:tcW w:w="2551" w:type="dxa"/>
            <w:shd w:val="clear" w:color="auto" w:fill="auto"/>
            <w:vAlign w:val="bottom"/>
          </w:tcPr>
          <w:p w14:paraId="0C73BC98"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345</w:t>
            </w:r>
          </w:p>
        </w:tc>
      </w:tr>
      <w:tr w:rsidR="00CC6CC7" w:rsidRPr="00CD0594" w14:paraId="48D09E28" w14:textId="77777777" w:rsidTr="00506216">
        <w:tc>
          <w:tcPr>
            <w:tcW w:w="2268" w:type="dxa"/>
            <w:shd w:val="clear" w:color="auto" w:fill="auto"/>
          </w:tcPr>
          <w:p w14:paraId="387DE494"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2000</w:t>
            </w:r>
          </w:p>
        </w:tc>
        <w:tc>
          <w:tcPr>
            <w:tcW w:w="2551" w:type="dxa"/>
            <w:shd w:val="clear" w:color="auto" w:fill="auto"/>
            <w:vAlign w:val="bottom"/>
          </w:tcPr>
          <w:p w14:paraId="50B6CA12"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8</w:t>
            </w:r>
            <w:r w:rsidRPr="00CD0594">
              <w:rPr>
                <w:rFonts w:cs="Times New Roman"/>
                <w:sz w:val="18"/>
                <w:lang w:val="fr-CH"/>
              </w:rPr>
              <w:t> </w:t>
            </w:r>
            <w:r w:rsidRPr="00CD0594">
              <w:rPr>
                <w:rFonts w:cs="Times New Roman"/>
                <w:sz w:val="18"/>
              </w:rPr>
              <w:t>218</w:t>
            </w:r>
          </w:p>
        </w:tc>
        <w:tc>
          <w:tcPr>
            <w:tcW w:w="2551" w:type="dxa"/>
            <w:shd w:val="clear" w:color="auto" w:fill="auto"/>
            <w:vAlign w:val="bottom"/>
          </w:tcPr>
          <w:p w14:paraId="0F72F93F"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258</w:t>
            </w:r>
          </w:p>
        </w:tc>
      </w:tr>
      <w:tr w:rsidR="00CC6CC7" w:rsidRPr="00CD0594" w14:paraId="3AABC63D" w14:textId="77777777" w:rsidTr="00506216">
        <w:tc>
          <w:tcPr>
            <w:tcW w:w="2268" w:type="dxa"/>
            <w:shd w:val="clear" w:color="auto" w:fill="auto"/>
          </w:tcPr>
          <w:p w14:paraId="06504E2F"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2005</w:t>
            </w:r>
          </w:p>
        </w:tc>
        <w:tc>
          <w:tcPr>
            <w:tcW w:w="2551" w:type="dxa"/>
            <w:shd w:val="clear" w:color="auto" w:fill="auto"/>
            <w:vAlign w:val="bottom"/>
          </w:tcPr>
          <w:p w14:paraId="51D418E5"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4</w:t>
            </w:r>
            <w:r w:rsidRPr="00CD0594">
              <w:rPr>
                <w:rFonts w:cs="Times New Roman"/>
                <w:sz w:val="18"/>
                <w:lang w:val="fr-CH"/>
              </w:rPr>
              <w:t> </w:t>
            </w:r>
            <w:r w:rsidRPr="00CD0594">
              <w:rPr>
                <w:rFonts w:cs="Times New Roman"/>
                <w:sz w:val="18"/>
              </w:rPr>
              <w:t>530</w:t>
            </w:r>
          </w:p>
        </w:tc>
        <w:tc>
          <w:tcPr>
            <w:tcW w:w="2551" w:type="dxa"/>
            <w:shd w:val="clear" w:color="auto" w:fill="auto"/>
            <w:vAlign w:val="bottom"/>
          </w:tcPr>
          <w:p w14:paraId="50CBEF65"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244</w:t>
            </w:r>
          </w:p>
        </w:tc>
      </w:tr>
      <w:tr w:rsidR="00CC6CC7" w:rsidRPr="00CD0594" w14:paraId="663302D8" w14:textId="77777777" w:rsidTr="00506216">
        <w:tc>
          <w:tcPr>
            <w:tcW w:w="2268" w:type="dxa"/>
            <w:shd w:val="clear" w:color="auto" w:fill="auto"/>
          </w:tcPr>
          <w:p w14:paraId="6AE0F61D"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2010</w:t>
            </w:r>
          </w:p>
        </w:tc>
        <w:tc>
          <w:tcPr>
            <w:tcW w:w="2551" w:type="dxa"/>
            <w:shd w:val="clear" w:color="auto" w:fill="auto"/>
            <w:vAlign w:val="bottom"/>
          </w:tcPr>
          <w:p w14:paraId="534E9C36"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w:t>
            </w:r>
            <w:r w:rsidRPr="00CD0594">
              <w:rPr>
                <w:rFonts w:cs="Times New Roman"/>
                <w:sz w:val="18"/>
                <w:lang w:val="fr-CH"/>
              </w:rPr>
              <w:t> </w:t>
            </w:r>
            <w:r w:rsidRPr="00CD0594">
              <w:rPr>
                <w:rFonts w:cs="Times New Roman"/>
                <w:sz w:val="18"/>
              </w:rPr>
              <w:t>612</w:t>
            </w:r>
          </w:p>
        </w:tc>
        <w:tc>
          <w:tcPr>
            <w:tcW w:w="2551" w:type="dxa"/>
            <w:shd w:val="clear" w:color="auto" w:fill="auto"/>
            <w:vAlign w:val="bottom"/>
          </w:tcPr>
          <w:p w14:paraId="09CBB031"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234</w:t>
            </w:r>
          </w:p>
        </w:tc>
      </w:tr>
      <w:tr w:rsidR="00CC6CC7" w:rsidRPr="00CD0594" w14:paraId="64E1FCEE" w14:textId="77777777" w:rsidTr="00506216">
        <w:tc>
          <w:tcPr>
            <w:tcW w:w="2268" w:type="dxa"/>
            <w:shd w:val="clear" w:color="auto" w:fill="auto"/>
          </w:tcPr>
          <w:p w14:paraId="4E00F767"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2015</w:t>
            </w:r>
          </w:p>
        </w:tc>
        <w:tc>
          <w:tcPr>
            <w:tcW w:w="2551" w:type="dxa"/>
            <w:shd w:val="clear" w:color="auto" w:fill="auto"/>
            <w:vAlign w:val="bottom"/>
          </w:tcPr>
          <w:p w14:paraId="16200994"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w:t>
            </w:r>
            <w:r w:rsidRPr="00CD0594">
              <w:rPr>
                <w:rFonts w:cs="Times New Roman"/>
                <w:sz w:val="18"/>
                <w:lang w:val="fr-CH"/>
              </w:rPr>
              <w:t> </w:t>
            </w:r>
            <w:r w:rsidRPr="00CD0594">
              <w:rPr>
                <w:rFonts w:cs="Times New Roman"/>
                <w:sz w:val="18"/>
              </w:rPr>
              <w:t>102</w:t>
            </w:r>
          </w:p>
        </w:tc>
        <w:tc>
          <w:tcPr>
            <w:tcW w:w="2551" w:type="dxa"/>
            <w:shd w:val="clear" w:color="auto" w:fill="auto"/>
            <w:vAlign w:val="bottom"/>
          </w:tcPr>
          <w:p w14:paraId="661C407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123</w:t>
            </w:r>
          </w:p>
        </w:tc>
      </w:tr>
      <w:tr w:rsidR="00CC6CC7" w:rsidRPr="00CD0594" w14:paraId="49745DA8" w14:textId="77777777" w:rsidTr="00506216">
        <w:tc>
          <w:tcPr>
            <w:tcW w:w="2268" w:type="dxa"/>
            <w:shd w:val="clear" w:color="auto" w:fill="auto"/>
          </w:tcPr>
          <w:p w14:paraId="4CB11F49"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2017</w:t>
            </w:r>
          </w:p>
        </w:tc>
        <w:tc>
          <w:tcPr>
            <w:tcW w:w="2551" w:type="dxa"/>
            <w:shd w:val="clear" w:color="auto" w:fill="auto"/>
            <w:vAlign w:val="bottom"/>
          </w:tcPr>
          <w:p w14:paraId="420A11C8"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w:t>
            </w:r>
            <w:r w:rsidRPr="00CD0594">
              <w:rPr>
                <w:rFonts w:cs="Times New Roman"/>
                <w:sz w:val="18"/>
                <w:lang w:val="fr-CH"/>
              </w:rPr>
              <w:t> </w:t>
            </w:r>
            <w:r w:rsidRPr="00CD0594">
              <w:rPr>
                <w:rFonts w:cs="Times New Roman"/>
                <w:sz w:val="18"/>
              </w:rPr>
              <w:t>689</w:t>
            </w:r>
          </w:p>
        </w:tc>
        <w:tc>
          <w:tcPr>
            <w:tcW w:w="2551" w:type="dxa"/>
            <w:shd w:val="clear" w:color="auto" w:fill="auto"/>
            <w:vAlign w:val="bottom"/>
          </w:tcPr>
          <w:p w14:paraId="1758EC7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115</w:t>
            </w:r>
          </w:p>
        </w:tc>
      </w:tr>
      <w:tr w:rsidR="00CC6CC7" w:rsidRPr="00CD0594" w14:paraId="683D5F57" w14:textId="77777777" w:rsidTr="00506216">
        <w:tc>
          <w:tcPr>
            <w:tcW w:w="2268" w:type="dxa"/>
            <w:tcBorders>
              <w:bottom w:val="single" w:sz="12" w:space="0" w:color="auto"/>
            </w:tcBorders>
            <w:shd w:val="clear" w:color="auto" w:fill="auto"/>
          </w:tcPr>
          <w:p w14:paraId="1039DA5D" w14:textId="77777777" w:rsidR="00CC6CC7" w:rsidRPr="00CD0594" w:rsidRDefault="00CC6CC7" w:rsidP="00506216">
            <w:pPr>
              <w:suppressAutoHyphens w:val="0"/>
              <w:spacing w:before="40" w:after="40" w:line="220" w:lineRule="exact"/>
              <w:rPr>
                <w:rFonts w:cs="Times New Roman"/>
                <w:sz w:val="18"/>
              </w:rPr>
            </w:pPr>
            <w:r w:rsidRPr="00CD0594">
              <w:rPr>
                <w:rFonts w:cs="Times New Roman"/>
                <w:sz w:val="18"/>
              </w:rPr>
              <w:t>2018</w:t>
            </w:r>
          </w:p>
        </w:tc>
        <w:tc>
          <w:tcPr>
            <w:tcW w:w="2551" w:type="dxa"/>
            <w:tcBorders>
              <w:bottom w:val="single" w:sz="12" w:space="0" w:color="auto"/>
            </w:tcBorders>
            <w:shd w:val="clear" w:color="auto" w:fill="auto"/>
            <w:vAlign w:val="bottom"/>
          </w:tcPr>
          <w:p w14:paraId="167ADD95"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2</w:t>
            </w:r>
            <w:r w:rsidRPr="00CD0594">
              <w:rPr>
                <w:rFonts w:cs="Times New Roman"/>
                <w:sz w:val="18"/>
                <w:lang w:val="fr-CH"/>
              </w:rPr>
              <w:t> </w:t>
            </w:r>
            <w:r w:rsidRPr="00CD0594">
              <w:rPr>
                <w:rFonts w:cs="Times New Roman"/>
                <w:sz w:val="18"/>
              </w:rPr>
              <w:t>020</w:t>
            </w:r>
          </w:p>
        </w:tc>
        <w:tc>
          <w:tcPr>
            <w:tcW w:w="2551" w:type="dxa"/>
            <w:tcBorders>
              <w:bottom w:val="single" w:sz="12" w:space="0" w:color="auto"/>
            </w:tcBorders>
            <w:shd w:val="clear" w:color="auto" w:fill="auto"/>
            <w:vAlign w:val="bottom"/>
          </w:tcPr>
          <w:p w14:paraId="02934EA9"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144</w:t>
            </w:r>
          </w:p>
        </w:tc>
      </w:tr>
    </w:tbl>
    <w:p w14:paraId="157F846C" w14:textId="77777777" w:rsidR="00CC6CC7" w:rsidRDefault="00CC6CC7" w:rsidP="00CC6CC7">
      <w:pPr>
        <w:pStyle w:val="SingleTxtG"/>
        <w:keepNext/>
        <w:spacing w:before="120"/>
      </w:pPr>
      <w:r>
        <w:lastRenderedPageBreak/>
        <w:t>138.</w:t>
      </w:r>
      <w:r>
        <w:tab/>
        <w:t>Коэффициент частоты производственного травматизма на 100</w:t>
      </w:r>
      <w:r>
        <w:rPr>
          <w:lang w:val="en-US"/>
        </w:rPr>
        <w:t> </w:t>
      </w:r>
      <w:r>
        <w:t>тыс.</w:t>
      </w:r>
      <w:r>
        <w:rPr>
          <w:lang w:val="en-US"/>
        </w:rPr>
        <w:t> </w:t>
      </w:r>
      <w:r>
        <w:t>чел. (2018 год)</w:t>
      </w:r>
      <w:r>
        <w:rPr>
          <w:rStyle w:val="a8"/>
        </w:rPr>
        <w:footnoteReference w:id="5"/>
      </w:r>
      <w:r>
        <w:t xml:space="preserve">: </w:t>
      </w:r>
    </w:p>
    <w:tbl>
      <w:tblPr>
        <w:tblStyle w:val="ae"/>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4"/>
        <w:gridCol w:w="2268"/>
        <w:gridCol w:w="2268"/>
      </w:tblGrid>
      <w:tr w:rsidR="00CC6CC7" w:rsidRPr="00CD0594" w14:paraId="7757995D" w14:textId="77777777" w:rsidTr="00506216">
        <w:trPr>
          <w:tblHeader/>
        </w:trPr>
        <w:tc>
          <w:tcPr>
            <w:tcW w:w="2835" w:type="dxa"/>
            <w:vMerge w:val="restart"/>
            <w:tcBorders>
              <w:top w:val="single" w:sz="4" w:space="0" w:color="auto"/>
              <w:bottom w:val="single" w:sz="12" w:space="0" w:color="auto"/>
            </w:tcBorders>
            <w:shd w:val="clear" w:color="auto" w:fill="auto"/>
            <w:vAlign w:val="bottom"/>
          </w:tcPr>
          <w:p w14:paraId="5807D85B" w14:textId="77777777" w:rsidR="00CC6CC7" w:rsidRPr="00CD0594" w:rsidRDefault="00CC6CC7" w:rsidP="00506216">
            <w:pPr>
              <w:suppressAutoHyphens w:val="0"/>
              <w:spacing w:before="80" w:after="80" w:line="200" w:lineRule="exact"/>
              <w:rPr>
                <w:rFonts w:cs="Times New Roman"/>
                <w:i/>
                <w:sz w:val="16"/>
                <w:lang w:val="fr-CH"/>
              </w:rPr>
            </w:pPr>
            <w:proofErr w:type="spellStart"/>
            <w:r w:rsidRPr="00CD0594">
              <w:rPr>
                <w:rFonts w:cs="Times New Roman"/>
                <w:i/>
                <w:sz w:val="16"/>
                <w:lang w:val="fr-CH"/>
              </w:rPr>
              <w:t>Общий</w:t>
            </w:r>
            <w:proofErr w:type="spellEnd"/>
          </w:p>
        </w:tc>
        <w:tc>
          <w:tcPr>
            <w:tcW w:w="4536" w:type="dxa"/>
            <w:gridSpan w:val="2"/>
            <w:tcBorders>
              <w:top w:val="single" w:sz="4" w:space="0" w:color="auto"/>
              <w:bottom w:val="single" w:sz="4" w:space="0" w:color="auto"/>
            </w:tcBorders>
            <w:shd w:val="clear" w:color="auto" w:fill="auto"/>
            <w:vAlign w:val="bottom"/>
          </w:tcPr>
          <w:p w14:paraId="400412F2" w14:textId="77777777" w:rsidR="00CC6CC7" w:rsidRPr="00CD0594" w:rsidRDefault="00CC6CC7" w:rsidP="00506216">
            <w:pPr>
              <w:suppressAutoHyphens w:val="0"/>
              <w:spacing w:before="80" w:after="80" w:line="200" w:lineRule="exact"/>
              <w:jc w:val="center"/>
              <w:rPr>
                <w:rFonts w:cs="Times New Roman"/>
                <w:i/>
                <w:sz w:val="16"/>
                <w:szCs w:val="16"/>
                <w:lang w:val="fr-CH"/>
              </w:rPr>
            </w:pPr>
            <w:r w:rsidRPr="00CD0594">
              <w:rPr>
                <w:rFonts w:cs="Times New Roman"/>
                <w:i/>
                <w:sz w:val="16"/>
                <w:szCs w:val="16"/>
                <w:lang w:val="fr-CH"/>
              </w:rPr>
              <w:t xml:space="preserve">В </w:t>
            </w:r>
            <w:proofErr w:type="spellStart"/>
            <w:r w:rsidRPr="00CD0594">
              <w:rPr>
                <w:rFonts w:cs="Times New Roman"/>
                <w:i/>
                <w:sz w:val="16"/>
                <w:szCs w:val="16"/>
                <w:lang w:val="fr-CH"/>
              </w:rPr>
              <w:t>том</w:t>
            </w:r>
            <w:proofErr w:type="spellEnd"/>
            <w:r w:rsidRPr="00CD0594">
              <w:rPr>
                <w:rFonts w:cs="Times New Roman"/>
                <w:i/>
                <w:sz w:val="16"/>
                <w:szCs w:val="16"/>
                <w:lang w:val="fr-CH"/>
              </w:rPr>
              <w:t xml:space="preserve"> </w:t>
            </w:r>
            <w:proofErr w:type="spellStart"/>
            <w:r w:rsidRPr="00CD0594">
              <w:rPr>
                <w:rFonts w:cs="Times New Roman"/>
                <w:i/>
                <w:sz w:val="16"/>
                <w:szCs w:val="16"/>
                <w:lang w:val="fr-CH"/>
              </w:rPr>
              <w:t>числе</w:t>
            </w:r>
            <w:proofErr w:type="spellEnd"/>
            <w:r w:rsidRPr="00CD0594">
              <w:rPr>
                <w:rFonts w:cs="Times New Roman"/>
                <w:i/>
                <w:sz w:val="16"/>
                <w:szCs w:val="16"/>
                <w:lang w:val="fr-CH"/>
              </w:rPr>
              <w:t>:</w:t>
            </w:r>
          </w:p>
        </w:tc>
      </w:tr>
      <w:tr w:rsidR="00CC6CC7" w:rsidRPr="00CD0594" w14:paraId="27F11725" w14:textId="77777777" w:rsidTr="00506216">
        <w:trPr>
          <w:tblHeader/>
        </w:trPr>
        <w:tc>
          <w:tcPr>
            <w:tcW w:w="2835" w:type="dxa"/>
            <w:vMerge/>
            <w:tcBorders>
              <w:top w:val="single" w:sz="12" w:space="0" w:color="auto"/>
              <w:bottom w:val="single" w:sz="12" w:space="0" w:color="auto"/>
            </w:tcBorders>
            <w:shd w:val="clear" w:color="auto" w:fill="auto"/>
            <w:vAlign w:val="bottom"/>
          </w:tcPr>
          <w:p w14:paraId="76A3819D" w14:textId="77777777" w:rsidR="00CC6CC7" w:rsidRPr="00CD0594" w:rsidRDefault="00CC6CC7" w:rsidP="00506216">
            <w:pPr>
              <w:suppressAutoHyphens w:val="0"/>
              <w:spacing w:before="80" w:after="80" w:line="200" w:lineRule="exact"/>
              <w:rPr>
                <w:rFonts w:cs="Times New Roman"/>
                <w:sz w:val="18"/>
                <w:lang w:val="fr-CH"/>
              </w:rPr>
            </w:pPr>
          </w:p>
        </w:tc>
        <w:tc>
          <w:tcPr>
            <w:tcW w:w="2268" w:type="dxa"/>
            <w:tcBorders>
              <w:top w:val="single" w:sz="4" w:space="0" w:color="auto"/>
              <w:bottom w:val="single" w:sz="12" w:space="0" w:color="auto"/>
            </w:tcBorders>
            <w:shd w:val="clear" w:color="auto" w:fill="auto"/>
            <w:vAlign w:val="bottom"/>
          </w:tcPr>
          <w:p w14:paraId="79B0558C" w14:textId="77777777" w:rsidR="00CC6CC7" w:rsidRPr="00CD0594" w:rsidRDefault="00CC6CC7" w:rsidP="00506216">
            <w:pPr>
              <w:suppressAutoHyphens w:val="0"/>
              <w:spacing w:before="80" w:after="80" w:line="200" w:lineRule="exact"/>
              <w:jc w:val="right"/>
              <w:rPr>
                <w:rFonts w:cs="Times New Roman"/>
                <w:i/>
                <w:sz w:val="16"/>
                <w:szCs w:val="16"/>
                <w:lang w:val="fr-CH"/>
              </w:rPr>
            </w:pPr>
            <w:r w:rsidRPr="00CD0594">
              <w:rPr>
                <w:rFonts w:cs="Times New Roman"/>
                <w:i/>
                <w:sz w:val="16"/>
                <w:szCs w:val="16"/>
                <w:lang w:val="fr-CH"/>
              </w:rPr>
              <w:t xml:space="preserve">с </w:t>
            </w:r>
            <w:proofErr w:type="spellStart"/>
            <w:r w:rsidRPr="00CD0594">
              <w:rPr>
                <w:rFonts w:cs="Times New Roman"/>
                <w:i/>
                <w:sz w:val="16"/>
                <w:szCs w:val="16"/>
                <w:lang w:val="fr-CH"/>
              </w:rPr>
              <w:t>тяжелым</w:t>
            </w:r>
            <w:proofErr w:type="spellEnd"/>
            <w:r w:rsidRPr="00CD0594">
              <w:rPr>
                <w:rFonts w:cs="Times New Roman"/>
                <w:i/>
                <w:sz w:val="16"/>
                <w:szCs w:val="16"/>
                <w:lang w:val="fr-CH"/>
              </w:rPr>
              <w:t xml:space="preserve"> </w:t>
            </w:r>
            <w:proofErr w:type="spellStart"/>
            <w:r w:rsidRPr="00CD0594">
              <w:rPr>
                <w:rFonts w:cs="Times New Roman"/>
                <w:i/>
                <w:sz w:val="16"/>
                <w:szCs w:val="16"/>
                <w:lang w:val="fr-CH"/>
              </w:rPr>
              <w:t>исходом</w:t>
            </w:r>
            <w:proofErr w:type="spellEnd"/>
          </w:p>
        </w:tc>
        <w:tc>
          <w:tcPr>
            <w:tcW w:w="2268" w:type="dxa"/>
            <w:tcBorders>
              <w:top w:val="single" w:sz="4" w:space="0" w:color="auto"/>
              <w:bottom w:val="single" w:sz="12" w:space="0" w:color="auto"/>
            </w:tcBorders>
            <w:shd w:val="clear" w:color="auto" w:fill="auto"/>
            <w:vAlign w:val="bottom"/>
          </w:tcPr>
          <w:p w14:paraId="7CCEE340" w14:textId="77777777" w:rsidR="00CC6CC7" w:rsidRPr="00CD0594" w:rsidRDefault="00CC6CC7" w:rsidP="00506216">
            <w:pPr>
              <w:suppressAutoHyphens w:val="0"/>
              <w:spacing w:before="80" w:after="80" w:line="200" w:lineRule="exact"/>
              <w:jc w:val="right"/>
              <w:rPr>
                <w:rFonts w:cs="Times New Roman"/>
                <w:i/>
                <w:sz w:val="16"/>
                <w:szCs w:val="16"/>
                <w:lang w:val="fr-CH"/>
              </w:rPr>
            </w:pPr>
            <w:proofErr w:type="spellStart"/>
            <w:r w:rsidRPr="00CD0594">
              <w:rPr>
                <w:rFonts w:cs="Times New Roman"/>
                <w:i/>
                <w:sz w:val="16"/>
                <w:szCs w:val="16"/>
                <w:lang w:val="fr-CH"/>
              </w:rPr>
              <w:t>со</w:t>
            </w:r>
            <w:proofErr w:type="spellEnd"/>
            <w:r w:rsidRPr="00CD0594">
              <w:rPr>
                <w:rFonts w:cs="Times New Roman"/>
                <w:i/>
                <w:sz w:val="16"/>
                <w:szCs w:val="16"/>
                <w:lang w:val="fr-CH"/>
              </w:rPr>
              <w:t xml:space="preserve"> </w:t>
            </w:r>
            <w:proofErr w:type="spellStart"/>
            <w:r w:rsidRPr="00CD0594">
              <w:rPr>
                <w:rFonts w:cs="Times New Roman"/>
                <w:i/>
                <w:sz w:val="16"/>
                <w:szCs w:val="16"/>
                <w:lang w:val="fr-CH"/>
              </w:rPr>
              <w:t>смертельным</w:t>
            </w:r>
            <w:proofErr w:type="spellEnd"/>
            <w:r w:rsidRPr="00CD0594">
              <w:rPr>
                <w:rFonts w:cs="Times New Roman"/>
                <w:i/>
                <w:sz w:val="16"/>
                <w:szCs w:val="16"/>
                <w:lang w:val="fr-CH"/>
              </w:rPr>
              <w:t xml:space="preserve"> </w:t>
            </w:r>
            <w:proofErr w:type="spellStart"/>
            <w:r w:rsidRPr="00CD0594">
              <w:rPr>
                <w:rFonts w:cs="Times New Roman"/>
                <w:i/>
                <w:sz w:val="16"/>
                <w:szCs w:val="16"/>
                <w:lang w:val="fr-CH"/>
              </w:rPr>
              <w:t>исходом</w:t>
            </w:r>
            <w:proofErr w:type="spellEnd"/>
          </w:p>
        </w:tc>
      </w:tr>
      <w:tr w:rsidR="00CC6CC7" w:rsidRPr="00CD0594" w14:paraId="259FAE69" w14:textId="77777777" w:rsidTr="00506216">
        <w:tc>
          <w:tcPr>
            <w:tcW w:w="2835" w:type="dxa"/>
            <w:tcBorders>
              <w:top w:val="single" w:sz="12" w:space="0" w:color="auto"/>
              <w:bottom w:val="single" w:sz="12" w:space="0" w:color="auto"/>
            </w:tcBorders>
            <w:shd w:val="clear" w:color="auto" w:fill="auto"/>
          </w:tcPr>
          <w:p w14:paraId="6711BAE2" w14:textId="77777777" w:rsidR="00CC6CC7" w:rsidRPr="00CD0594" w:rsidRDefault="00CC6CC7" w:rsidP="00506216">
            <w:pPr>
              <w:suppressAutoHyphens w:val="0"/>
              <w:spacing w:before="40" w:after="40" w:line="220" w:lineRule="exact"/>
              <w:rPr>
                <w:rFonts w:cs="Times New Roman"/>
                <w:sz w:val="18"/>
                <w:lang w:val="fr-CH"/>
              </w:rPr>
            </w:pPr>
            <w:r w:rsidRPr="00CD0594">
              <w:rPr>
                <w:rFonts w:cs="Times New Roman"/>
                <w:sz w:val="18"/>
                <w:lang w:val="fr-CH"/>
              </w:rPr>
              <w:t>51,3</w:t>
            </w:r>
          </w:p>
        </w:tc>
        <w:tc>
          <w:tcPr>
            <w:tcW w:w="2268" w:type="dxa"/>
            <w:tcBorders>
              <w:top w:val="single" w:sz="12" w:space="0" w:color="auto"/>
              <w:bottom w:val="single" w:sz="12" w:space="0" w:color="auto"/>
            </w:tcBorders>
            <w:shd w:val="clear" w:color="auto" w:fill="auto"/>
            <w:vAlign w:val="bottom"/>
          </w:tcPr>
          <w:p w14:paraId="2E3B6524" w14:textId="77777777" w:rsidR="00CC6CC7" w:rsidRPr="00CD0594" w:rsidRDefault="00CC6CC7" w:rsidP="00506216">
            <w:pPr>
              <w:suppressAutoHyphens w:val="0"/>
              <w:spacing w:before="40" w:after="40" w:line="220" w:lineRule="exact"/>
              <w:jc w:val="right"/>
              <w:rPr>
                <w:rFonts w:cs="Times New Roman"/>
                <w:sz w:val="18"/>
                <w:lang w:val="fr-CH"/>
              </w:rPr>
            </w:pPr>
            <w:r w:rsidRPr="00CD0594">
              <w:rPr>
                <w:rFonts w:cs="Times New Roman"/>
                <w:sz w:val="18"/>
                <w:lang w:val="fr-CH"/>
              </w:rPr>
              <w:t>17,8</w:t>
            </w:r>
          </w:p>
        </w:tc>
        <w:tc>
          <w:tcPr>
            <w:tcW w:w="2268" w:type="dxa"/>
            <w:tcBorders>
              <w:top w:val="single" w:sz="12" w:space="0" w:color="auto"/>
              <w:bottom w:val="single" w:sz="12" w:space="0" w:color="auto"/>
            </w:tcBorders>
            <w:shd w:val="clear" w:color="auto" w:fill="auto"/>
            <w:vAlign w:val="bottom"/>
          </w:tcPr>
          <w:p w14:paraId="37A3E547" w14:textId="77777777" w:rsidR="00CC6CC7" w:rsidRPr="00CD0594" w:rsidRDefault="00CC6CC7" w:rsidP="00506216">
            <w:pPr>
              <w:suppressAutoHyphens w:val="0"/>
              <w:spacing w:before="40" w:after="40" w:line="220" w:lineRule="exact"/>
              <w:jc w:val="right"/>
              <w:rPr>
                <w:rFonts w:cs="Times New Roman"/>
                <w:sz w:val="18"/>
                <w:lang w:val="fr-CH"/>
              </w:rPr>
            </w:pPr>
            <w:r w:rsidRPr="00CD0594">
              <w:rPr>
                <w:rFonts w:cs="Times New Roman"/>
                <w:sz w:val="18"/>
                <w:lang w:val="fr-CH"/>
              </w:rPr>
              <w:t>3,7</w:t>
            </w:r>
          </w:p>
        </w:tc>
      </w:tr>
    </w:tbl>
    <w:p w14:paraId="79F2AEE8" w14:textId="77777777" w:rsidR="00CC6CC7" w:rsidRDefault="00CC6CC7" w:rsidP="00CC6CC7">
      <w:pPr>
        <w:pStyle w:val="SingleTxtG"/>
        <w:spacing w:before="120"/>
      </w:pPr>
      <w:r>
        <w:t>139.</w:t>
      </w:r>
      <w:r>
        <w:tab/>
        <w:t>Декрет Президента Республики Беларусь от 24 ноября 2006 года № 18 «О дополнительных мерах по государственной защите детей в неблагополучных семьях» принят в целях обеспечения защиты прав и законных интересов детей в неблагополучных семьях, а также повышения ответственности родителей, не выполняющих обязанностей по воспитанию и содержанию своих детей.</w:t>
      </w:r>
    </w:p>
    <w:p w14:paraId="6E2D0665" w14:textId="77777777" w:rsidR="00CC6CC7" w:rsidRDefault="00CC6CC7" w:rsidP="00CC6CC7">
      <w:pPr>
        <w:pStyle w:val="SingleTxtG"/>
      </w:pPr>
      <w:r>
        <w:t>140.</w:t>
      </w:r>
      <w:r>
        <w:tab/>
        <w:t>Обязанность возмещения расходов по содержанию детей возникает со дня помещения ребенка на государственное обеспечение, а прекращается после полного погашения расходов по содержанию детей.</w:t>
      </w:r>
    </w:p>
    <w:p w14:paraId="505B444E" w14:textId="77777777" w:rsidR="00CC6CC7" w:rsidRDefault="00CC6CC7" w:rsidP="00CC6CC7">
      <w:pPr>
        <w:pStyle w:val="SingleTxtG"/>
      </w:pPr>
      <w:r>
        <w:t>141.</w:t>
      </w:r>
      <w:r>
        <w:tab/>
        <w:t>Неработающие родители, обязанные возмещать расходы по содержанию детей, находящихся на государственном обеспечении, подлежат трудоустройству в целях обеспечения выполнения ими обязанностей по содержанию и воспитанию своих детей. Вопросы трудоустройства неработающих родителей решаются судом, который выносит судебное постановление о трудоустройстве и в дальнейшем направляет его в орган по труду, занятости и социальной защите.</w:t>
      </w:r>
    </w:p>
    <w:p w14:paraId="585848AA" w14:textId="77777777" w:rsidR="00CC6CC7" w:rsidRDefault="00CC6CC7" w:rsidP="00CC6CC7">
      <w:pPr>
        <w:pStyle w:val="SingleTxtG"/>
      </w:pPr>
      <w:r>
        <w:t>142.</w:t>
      </w:r>
      <w:r>
        <w:tab/>
        <w:t>Орган по труду, занятости и социальной защите определяет организацию для трудоустройства неработающих родителей, обязанных возмещать расходы по содержанию детей, находящихся на государственном обеспечении, таким образом, чтобы заработная плата позволяла обеспечить полное исполнение ежемесячных обязательств по возмещению расходов по содержанию детей и за ними сохранялось не менее 30% заработной платы.</w:t>
      </w:r>
    </w:p>
    <w:p w14:paraId="4DE883EA" w14:textId="77777777" w:rsidR="00CC6CC7" w:rsidRDefault="00CC6CC7" w:rsidP="00CC6CC7">
      <w:pPr>
        <w:pStyle w:val="SingleTxtG"/>
      </w:pPr>
      <w:r>
        <w:t>143.</w:t>
      </w:r>
      <w:r>
        <w:tab/>
        <w:t xml:space="preserve">В 2018 году в органы по труду, занятости и социальной защите поступили решения городских и районных судов на трудоустройство 4 057 вышеназванных граждан. Трудоустроено на постоянную работу 3 567 человек. </w:t>
      </w:r>
    </w:p>
    <w:p w14:paraId="6C197FE5" w14:textId="77777777" w:rsidR="00CC6CC7" w:rsidRDefault="00CC6CC7" w:rsidP="00CC6CC7">
      <w:pPr>
        <w:pStyle w:val="SingleTxtG"/>
      </w:pPr>
      <w:r>
        <w:t>144.</w:t>
      </w:r>
      <w:r>
        <w:tab/>
        <w:t xml:space="preserve">Медико-социальная </w:t>
      </w:r>
      <w:proofErr w:type="spellStart"/>
      <w:r>
        <w:t>реадаптация</w:t>
      </w:r>
      <w:proofErr w:type="spellEnd"/>
      <w:r>
        <w:t xml:space="preserve"> граждан, находящихся в лечебно-трудовых профилакториях, направлена на формирование мотивации к отказу от потребления психоактивных веществ, с формированием готовности к выполнению социальных функций, в том числе трудоустройству, после выхода из лечебно-трудового профилактория. Важными элементами данного процесса являются организация профессиональной подготовки (переподготовки), повышения квалификации в целях привлечения данных лиц к труду. </w:t>
      </w:r>
    </w:p>
    <w:p w14:paraId="294C76DE" w14:textId="77777777" w:rsidR="00CC6CC7" w:rsidRDefault="00CC6CC7" w:rsidP="00CC6CC7">
      <w:pPr>
        <w:pStyle w:val="SingleTxtG"/>
      </w:pPr>
      <w:r>
        <w:t>145.</w:t>
      </w:r>
      <w:r>
        <w:tab/>
        <w:t>Условия нахождения граждан в лечебно-трудовых профилакториях определяются главой 5 Закона Республики Беларусь от 4 января 2010 года № 104-З «О порядке и условиях направления граждан в лечебно-трудовые профилактории и условиях нахождения в них».</w:t>
      </w:r>
    </w:p>
    <w:p w14:paraId="7578F418" w14:textId="77777777" w:rsidR="00CC6CC7" w:rsidRDefault="00CC6CC7" w:rsidP="00CC6CC7">
      <w:pPr>
        <w:pStyle w:val="SingleTxtG"/>
      </w:pPr>
      <w:r>
        <w:t>146.</w:t>
      </w:r>
      <w:r>
        <w:tab/>
        <w:t xml:space="preserve">Трудоустройство находящихся в лечебно-трудовых профилакториях граждан осуществляется с учетом их возраста, трудоспособности, состояния здоровья, специальности и квалификации. Оплата труда, предоставление трудовых и социальных отпусков осуществляются в соответствии с трудовым законодательством. </w:t>
      </w:r>
    </w:p>
    <w:p w14:paraId="3C392791" w14:textId="77777777" w:rsidR="00CC6CC7" w:rsidRDefault="00CC6CC7" w:rsidP="00CC6CC7">
      <w:pPr>
        <w:pStyle w:val="H23G"/>
      </w:pPr>
      <w:r>
        <w:tab/>
      </w:r>
      <w:r>
        <w:tab/>
        <w:t>Профсоюзные права</w:t>
      </w:r>
    </w:p>
    <w:p w14:paraId="77AFC069" w14:textId="77777777" w:rsidR="00CC6CC7" w:rsidRDefault="00CC6CC7" w:rsidP="00CC6CC7">
      <w:pPr>
        <w:pStyle w:val="SingleTxtG"/>
      </w:pPr>
      <w:r>
        <w:t>147.</w:t>
      </w:r>
      <w:r>
        <w:tab/>
        <w:t>Всего по состоянию на 1 января 2019 года зарегистрировано, поставлено на учёт 24 952 профсоюзные организации и 42 877 организационных структур общественных объединений.</w:t>
      </w:r>
    </w:p>
    <w:p w14:paraId="2C757B13" w14:textId="77777777" w:rsidR="00CC6CC7" w:rsidRDefault="00CC6CC7" w:rsidP="00CC6CC7">
      <w:pPr>
        <w:pStyle w:val="SingleTxtG"/>
      </w:pPr>
      <w:r>
        <w:lastRenderedPageBreak/>
        <w:t>148.</w:t>
      </w:r>
      <w:r>
        <w:tab/>
        <w:t>Число профессиональных союзов с 2010 года уменьшилось с 33 до 28. Это обусловлено преобразованием (слиянием, присоединением) отдельных профсоюзов с целью их укрупнения и оптимизации работы.</w:t>
      </w:r>
    </w:p>
    <w:p w14:paraId="31FF565A" w14:textId="77777777" w:rsidR="00CC6CC7" w:rsidRDefault="00CC6CC7" w:rsidP="00CC6CC7">
      <w:pPr>
        <w:pStyle w:val="SingleTxtG"/>
      </w:pPr>
      <w:r>
        <w:t>149.</w:t>
      </w:r>
      <w:r>
        <w:tab/>
        <w:t>Согласно статье 41 Конституции граждане имеют право на защиту своих экономических и социальных интересов, включая право на объединение в профессиональные союзы (профсоюзы).</w:t>
      </w:r>
    </w:p>
    <w:p w14:paraId="2BA09B5B" w14:textId="77777777" w:rsidR="00CC6CC7" w:rsidRDefault="00CC6CC7" w:rsidP="00CC6CC7">
      <w:pPr>
        <w:pStyle w:val="SingleTxtG"/>
      </w:pPr>
      <w:r>
        <w:t>150.</w:t>
      </w:r>
      <w:r>
        <w:tab/>
        <w:t xml:space="preserve">В развитие этой нормы законодательные основы деятельности профсоюзов заложены в Законе Республики Беларусь от 22 апреля 1992 года № 1605-XІІ «О профессиональных союзах» и Декрете Президента Республики Беларусь от 26 января 1999 года № 2 «О некоторых мерах по упорядочению деятельности политических партий, профессиональных союзов, иных общественных объединений». </w:t>
      </w:r>
    </w:p>
    <w:p w14:paraId="4B74B1AC" w14:textId="77777777" w:rsidR="00CC6CC7" w:rsidRDefault="00CC6CC7" w:rsidP="00CC6CC7">
      <w:pPr>
        <w:pStyle w:val="SingleTxtG"/>
      </w:pPr>
      <w:r>
        <w:t>151.</w:t>
      </w:r>
      <w:r>
        <w:tab/>
        <w:t>Граждане Беларуси имеют право добровольно создавать по своему выбору профсоюзы, а также вступать в профсоюзы при условии соблюдения их уставов. Деятельность профсоюзов может быть ограничена лишь в случаях, которые предусмотрены законодательными актами Республики Беларусь в интересах национальной безопасности, общественного порядка или обеспечения прав и свобод других лиц. Профсоюзы самостоятельно разрабатывают и утверждают свои уставы, определяют структуру, избирают руководящие органы, организуют свою деятельность, проводят заседания выборных органов.</w:t>
      </w:r>
    </w:p>
    <w:p w14:paraId="56D0F57D" w14:textId="77777777" w:rsidR="00CC6CC7" w:rsidRDefault="00CC6CC7" w:rsidP="00CC6CC7">
      <w:pPr>
        <w:pStyle w:val="SingleTxtG"/>
      </w:pPr>
      <w:r>
        <w:t>152.</w:t>
      </w:r>
      <w:r>
        <w:tab/>
        <w:t xml:space="preserve">С целью совершенствования вопросов создания и деятельности профессиональных союзов Декретом Президента Республики Беларусь от 2 июня 2015 года № 4 предусмотрено исключение необходимости наличия не менее 10% работающих (обучающихся) от их общего числа в организации для создания и деятельности профессионального союза. Осталась в силе лишь норма о необходимости наличия в таком профсоюзе не менее 10 учредителей (членов). </w:t>
      </w:r>
    </w:p>
    <w:p w14:paraId="2966ACBB" w14:textId="77777777" w:rsidR="00CC6CC7" w:rsidRDefault="00CC6CC7" w:rsidP="00CC6CC7">
      <w:pPr>
        <w:pStyle w:val="SingleTxtG"/>
      </w:pPr>
      <w:r>
        <w:t>153.</w:t>
      </w:r>
      <w:r>
        <w:tab/>
        <w:t xml:space="preserve">Это изменение способствовало реализации прав работников на объединение в профессиональные союзы и было направлено дальнейшее совершенствование вопросов защиты их социально-трудовых прав и интересов. </w:t>
      </w:r>
    </w:p>
    <w:p w14:paraId="62FD401F" w14:textId="77777777" w:rsidR="00CC6CC7" w:rsidRDefault="00CC6CC7" w:rsidP="00CC6CC7">
      <w:pPr>
        <w:pStyle w:val="SingleTxtG"/>
      </w:pPr>
      <w:r>
        <w:t>154.</w:t>
      </w:r>
      <w:r>
        <w:tab/>
        <w:t>В соответствии со статьей 14 Конституции отношения в социально-трудовой сфере между органами государственного управления, объединениями нанимателей и профессиональными союзами строятся на принципах социального партнерства.</w:t>
      </w:r>
    </w:p>
    <w:p w14:paraId="2891DC53" w14:textId="77777777" w:rsidR="00CC6CC7" w:rsidRDefault="00CC6CC7" w:rsidP="00CC6CC7">
      <w:pPr>
        <w:pStyle w:val="SingleTxtG"/>
      </w:pPr>
      <w:r>
        <w:t>155.</w:t>
      </w:r>
      <w:r>
        <w:tab/>
        <w:t xml:space="preserve">В целях осуществления взаимодействия Правительства, республиканских объединений нанимателей и профсоюзов по реализации социально-экономической политики, защите трудовых прав, экономических и социальных интересов граждан создан Национальный совет по трудовым и социальным вопросам. Данный коллегиальный орган на постоянной основе участвует в разработке и проведении согласованной социально-экономической политики, направленной на защиту трудовых прав, экономических и социальных интересов работников, повышение уровня жизни населения. </w:t>
      </w:r>
    </w:p>
    <w:p w14:paraId="7EBE27AD" w14:textId="77777777" w:rsidR="00CC6CC7" w:rsidRDefault="00CC6CC7" w:rsidP="00CC6CC7">
      <w:pPr>
        <w:pStyle w:val="SingleTxtG"/>
      </w:pPr>
      <w:r>
        <w:t>156.</w:t>
      </w:r>
      <w:r>
        <w:tab/>
        <w:t>Республика Беларусь является членом МОТ с 1954 года и ратифицировала следующие конвенции МОТ, затрагивающие профсоюзные права: Конвенцию 1921 года о праве на организацию и объединение трудящихся в сельском хозяйстве (№ 11), Конвенцию 1948 года о свободе ассоциации и защите права на организацию (№ 87), Конвенцию 1949 года о применении принципов права на организацию и на ведение коллективных переговоров (№ 98), Конвенцию 1976 года о трехсторонних консультациях для содействия применению международных трудовых норм (№ 144) и Конвенцию 1981 года о содействии коллективным переговорам (№ 154). В рамках действующего в МОТ контрольного механизма Беларусь предоставляет в соответствии с графиком Международному бюро труда доклады правительственной стороны о применении положений указанных конвенций.</w:t>
      </w:r>
    </w:p>
    <w:p w14:paraId="60051BA5" w14:textId="77777777" w:rsidR="00CC6CC7" w:rsidRDefault="00CC6CC7" w:rsidP="00CC6CC7">
      <w:pPr>
        <w:pStyle w:val="H23G"/>
      </w:pPr>
      <w:r>
        <w:tab/>
      </w:r>
      <w:r>
        <w:tab/>
        <w:t>Право на социальное обеспечение</w:t>
      </w:r>
    </w:p>
    <w:p w14:paraId="3F027643" w14:textId="77777777" w:rsidR="00CC6CC7" w:rsidRDefault="00CC6CC7" w:rsidP="00CC6CC7">
      <w:pPr>
        <w:pStyle w:val="SingleTxtG"/>
      </w:pPr>
      <w:r>
        <w:t>157.</w:t>
      </w:r>
      <w:r>
        <w:tab/>
        <w:t>Одним из видов социального обеспечения в Республике Беларусь является государственное пенсионное обеспечение.</w:t>
      </w:r>
    </w:p>
    <w:p w14:paraId="5C7FC2B4" w14:textId="77777777" w:rsidR="00CC6CC7" w:rsidRDefault="00CC6CC7" w:rsidP="00CC6CC7">
      <w:pPr>
        <w:pStyle w:val="SingleTxtG"/>
      </w:pPr>
      <w:r>
        <w:lastRenderedPageBreak/>
        <w:t>158.</w:t>
      </w:r>
      <w:r>
        <w:tab/>
        <w:t xml:space="preserve">В Беларуси право на государственное пенсионное обеспечение в старости, нетрудоспособности, в случае потери кормильца гарантируется Конституцией и комплексом законодательных и нормативных актов. </w:t>
      </w:r>
    </w:p>
    <w:p w14:paraId="2C5D4F7B" w14:textId="77777777" w:rsidR="00CC6CC7" w:rsidRDefault="00CC6CC7" w:rsidP="00CC6CC7">
      <w:pPr>
        <w:pStyle w:val="SingleTxtG"/>
      </w:pPr>
      <w:r>
        <w:t>159.</w:t>
      </w:r>
      <w:r>
        <w:tab/>
        <w:t>На основании Закона Республики Беларусь от 17 апреля 1992 года № 1596-XII «О пенсионном обеспечении» гражданам назначается трудовая пенсия (основанная на уплате взносов): по возрасту, за выслугу лет, по инвалидности, по случаю потери кормильца. Гражданам, не имеющим права на трудовую пенсию, назначается социальная пенсия (не требующая предварительной уплаты взносов): при достижении возраста 60 лет женщинами и 65 лет мужчинами (без каких-либо дополнительных требований), в связи с инвалидностью (взрослым инвалидам и детям-инвалидам), детям, потерявшим кормильца.</w:t>
      </w:r>
    </w:p>
    <w:p w14:paraId="12BEDE3B" w14:textId="77777777" w:rsidR="00CC6CC7" w:rsidRDefault="00CC6CC7" w:rsidP="00CC6CC7">
      <w:pPr>
        <w:pStyle w:val="SingleTxtG"/>
      </w:pPr>
      <w:r>
        <w:t>160.</w:t>
      </w:r>
      <w:r>
        <w:tab/>
        <w:t>Государственным пенсионным обеспечением (трудовыми пенсиями и социальными пенсиями) охватываются практически все нуждающиеся в этом нетрудоспособные лица.</w:t>
      </w:r>
    </w:p>
    <w:p w14:paraId="3F6027EB" w14:textId="77777777" w:rsidR="00CC6CC7" w:rsidRDefault="00CC6CC7" w:rsidP="00CC6CC7">
      <w:pPr>
        <w:pStyle w:val="SingleTxtG"/>
      </w:pPr>
      <w:r>
        <w:t>161.</w:t>
      </w:r>
      <w:r>
        <w:tab/>
        <w:t>Одним из показателей национальной системы индикаторов достойного труда (раздел 9 «Социальная защита») является удельный вес населения старше трудоспособного возраста, состоящего на учете в органах по труду, занятости и социальной защите и получающего трудовые пенсии, в общей численности населения старше трудоспособного возраста. В 2017 году данный показатель составил 94,6%.</w:t>
      </w:r>
    </w:p>
    <w:p w14:paraId="66E83BD5" w14:textId="77777777" w:rsidR="00CC6CC7" w:rsidRDefault="00CC6CC7" w:rsidP="00CC6CC7">
      <w:pPr>
        <w:pStyle w:val="SingleTxtG"/>
      </w:pPr>
      <w:r>
        <w:t>162.</w:t>
      </w:r>
      <w:r>
        <w:tab/>
        <w:t>Удельный вес населения старше трудоспособного возраста, состоящего на учете в органах по труду, занятости и социальной защите и получающего трудовые пенсии, в общей численности населения старше трудоспособного возраста,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818"/>
        <w:gridCol w:w="819"/>
        <w:gridCol w:w="819"/>
        <w:gridCol w:w="819"/>
        <w:gridCol w:w="819"/>
        <w:gridCol w:w="819"/>
        <w:gridCol w:w="819"/>
        <w:gridCol w:w="819"/>
        <w:gridCol w:w="819"/>
      </w:tblGrid>
      <w:tr w:rsidR="00CC6CC7" w:rsidRPr="00CD0594" w14:paraId="191A81F5" w14:textId="77777777" w:rsidTr="00506216">
        <w:trPr>
          <w:tblHeader/>
        </w:trPr>
        <w:tc>
          <w:tcPr>
            <w:tcW w:w="1070" w:type="dxa"/>
            <w:shd w:val="clear" w:color="auto" w:fill="auto"/>
            <w:vAlign w:val="bottom"/>
          </w:tcPr>
          <w:p w14:paraId="764C55E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2009</w:t>
            </w:r>
          </w:p>
        </w:tc>
        <w:tc>
          <w:tcPr>
            <w:tcW w:w="1071" w:type="dxa"/>
            <w:shd w:val="clear" w:color="auto" w:fill="auto"/>
            <w:vAlign w:val="bottom"/>
          </w:tcPr>
          <w:p w14:paraId="69899FD1"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2010</w:t>
            </w:r>
          </w:p>
        </w:tc>
        <w:tc>
          <w:tcPr>
            <w:tcW w:w="1071" w:type="dxa"/>
            <w:shd w:val="clear" w:color="auto" w:fill="auto"/>
            <w:vAlign w:val="bottom"/>
          </w:tcPr>
          <w:p w14:paraId="5FC507A4"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2011</w:t>
            </w:r>
          </w:p>
        </w:tc>
        <w:tc>
          <w:tcPr>
            <w:tcW w:w="1071" w:type="dxa"/>
            <w:shd w:val="clear" w:color="auto" w:fill="auto"/>
            <w:vAlign w:val="bottom"/>
          </w:tcPr>
          <w:p w14:paraId="24C2FBF1"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2012</w:t>
            </w:r>
          </w:p>
        </w:tc>
        <w:tc>
          <w:tcPr>
            <w:tcW w:w="1071" w:type="dxa"/>
            <w:shd w:val="clear" w:color="auto" w:fill="auto"/>
            <w:vAlign w:val="bottom"/>
          </w:tcPr>
          <w:p w14:paraId="67480C76"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2013</w:t>
            </w:r>
          </w:p>
        </w:tc>
        <w:tc>
          <w:tcPr>
            <w:tcW w:w="1071" w:type="dxa"/>
            <w:shd w:val="clear" w:color="auto" w:fill="auto"/>
            <w:vAlign w:val="bottom"/>
          </w:tcPr>
          <w:p w14:paraId="521308BF"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2014</w:t>
            </w:r>
          </w:p>
        </w:tc>
        <w:tc>
          <w:tcPr>
            <w:tcW w:w="1071" w:type="dxa"/>
            <w:shd w:val="clear" w:color="auto" w:fill="auto"/>
            <w:vAlign w:val="bottom"/>
          </w:tcPr>
          <w:p w14:paraId="3F436738"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2015</w:t>
            </w:r>
          </w:p>
        </w:tc>
        <w:tc>
          <w:tcPr>
            <w:tcW w:w="1071" w:type="dxa"/>
            <w:shd w:val="clear" w:color="auto" w:fill="auto"/>
            <w:vAlign w:val="bottom"/>
          </w:tcPr>
          <w:p w14:paraId="17DBB566"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2016</w:t>
            </w:r>
          </w:p>
        </w:tc>
        <w:tc>
          <w:tcPr>
            <w:tcW w:w="1071" w:type="dxa"/>
            <w:shd w:val="clear" w:color="auto" w:fill="auto"/>
            <w:vAlign w:val="bottom"/>
          </w:tcPr>
          <w:p w14:paraId="62CACCAA" w14:textId="77777777" w:rsidR="00CC6CC7" w:rsidRPr="00CD0594" w:rsidRDefault="00CC6CC7" w:rsidP="00506216">
            <w:pPr>
              <w:suppressAutoHyphens w:val="0"/>
              <w:spacing w:before="80" w:after="80" w:line="200" w:lineRule="exact"/>
              <w:jc w:val="right"/>
              <w:rPr>
                <w:rFonts w:cs="Times New Roman"/>
                <w:i/>
                <w:sz w:val="16"/>
              </w:rPr>
            </w:pPr>
            <w:r w:rsidRPr="00CD0594">
              <w:rPr>
                <w:rFonts w:cs="Times New Roman"/>
                <w:i/>
                <w:sz w:val="16"/>
              </w:rPr>
              <w:t>2017</w:t>
            </w:r>
          </w:p>
        </w:tc>
      </w:tr>
      <w:tr w:rsidR="00CC6CC7" w:rsidRPr="00CD0594" w14:paraId="4E7AC35E" w14:textId="77777777" w:rsidTr="00506216">
        <w:tc>
          <w:tcPr>
            <w:tcW w:w="1070" w:type="dxa"/>
            <w:shd w:val="clear" w:color="auto" w:fill="auto"/>
          </w:tcPr>
          <w:p w14:paraId="28F85292"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95,2</w:t>
            </w:r>
          </w:p>
        </w:tc>
        <w:tc>
          <w:tcPr>
            <w:tcW w:w="1071" w:type="dxa"/>
            <w:shd w:val="clear" w:color="auto" w:fill="auto"/>
            <w:vAlign w:val="bottom"/>
          </w:tcPr>
          <w:p w14:paraId="5984783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95,1</w:t>
            </w:r>
          </w:p>
        </w:tc>
        <w:tc>
          <w:tcPr>
            <w:tcW w:w="1071" w:type="dxa"/>
            <w:shd w:val="clear" w:color="auto" w:fill="auto"/>
            <w:vAlign w:val="bottom"/>
          </w:tcPr>
          <w:p w14:paraId="4A04B344"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95,0</w:t>
            </w:r>
          </w:p>
        </w:tc>
        <w:tc>
          <w:tcPr>
            <w:tcW w:w="1071" w:type="dxa"/>
            <w:shd w:val="clear" w:color="auto" w:fill="auto"/>
            <w:vAlign w:val="bottom"/>
          </w:tcPr>
          <w:p w14:paraId="315E1703"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95,1</w:t>
            </w:r>
          </w:p>
        </w:tc>
        <w:tc>
          <w:tcPr>
            <w:tcW w:w="1071" w:type="dxa"/>
            <w:shd w:val="clear" w:color="auto" w:fill="auto"/>
            <w:vAlign w:val="bottom"/>
          </w:tcPr>
          <w:p w14:paraId="01A5A9BB"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95,0</w:t>
            </w:r>
          </w:p>
        </w:tc>
        <w:tc>
          <w:tcPr>
            <w:tcW w:w="1071" w:type="dxa"/>
            <w:shd w:val="clear" w:color="auto" w:fill="auto"/>
            <w:vAlign w:val="bottom"/>
          </w:tcPr>
          <w:p w14:paraId="4B6D2407"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94,5</w:t>
            </w:r>
          </w:p>
        </w:tc>
        <w:tc>
          <w:tcPr>
            <w:tcW w:w="1071" w:type="dxa"/>
            <w:shd w:val="clear" w:color="auto" w:fill="auto"/>
            <w:vAlign w:val="bottom"/>
          </w:tcPr>
          <w:p w14:paraId="350C0A1E"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94,3</w:t>
            </w:r>
          </w:p>
        </w:tc>
        <w:tc>
          <w:tcPr>
            <w:tcW w:w="1071" w:type="dxa"/>
            <w:shd w:val="clear" w:color="auto" w:fill="auto"/>
            <w:vAlign w:val="bottom"/>
          </w:tcPr>
          <w:p w14:paraId="29ED0395"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94,0</w:t>
            </w:r>
          </w:p>
        </w:tc>
        <w:tc>
          <w:tcPr>
            <w:tcW w:w="1071" w:type="dxa"/>
            <w:shd w:val="clear" w:color="auto" w:fill="auto"/>
            <w:vAlign w:val="bottom"/>
          </w:tcPr>
          <w:p w14:paraId="04AF2713" w14:textId="77777777" w:rsidR="00CC6CC7" w:rsidRPr="00CD0594" w:rsidRDefault="00CC6CC7" w:rsidP="00506216">
            <w:pPr>
              <w:suppressAutoHyphens w:val="0"/>
              <w:spacing w:before="40" w:after="40" w:line="220" w:lineRule="exact"/>
              <w:jc w:val="right"/>
              <w:rPr>
                <w:rFonts w:cs="Times New Roman"/>
                <w:sz w:val="18"/>
              </w:rPr>
            </w:pPr>
            <w:r w:rsidRPr="00CD0594">
              <w:rPr>
                <w:rFonts w:cs="Times New Roman"/>
                <w:sz w:val="18"/>
              </w:rPr>
              <w:t>94,6</w:t>
            </w:r>
          </w:p>
        </w:tc>
      </w:tr>
    </w:tbl>
    <w:p w14:paraId="56A5C138" w14:textId="77777777" w:rsidR="00CC6CC7" w:rsidRDefault="00CC6CC7" w:rsidP="00CC6CC7">
      <w:pPr>
        <w:pStyle w:val="SingleTxtG"/>
        <w:spacing w:before="120"/>
      </w:pPr>
      <w:r>
        <w:t>163.</w:t>
      </w:r>
      <w:r>
        <w:tab/>
        <w:t>Численность пенсионеров, состоящих на учете в органах по труду, занятости и социальной защите (на конец года), тыс. человек:</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818"/>
        <w:gridCol w:w="819"/>
        <w:gridCol w:w="819"/>
        <w:gridCol w:w="819"/>
        <w:gridCol w:w="819"/>
        <w:gridCol w:w="819"/>
        <w:gridCol w:w="819"/>
        <w:gridCol w:w="819"/>
        <w:gridCol w:w="819"/>
      </w:tblGrid>
      <w:tr w:rsidR="00CC6CC7" w:rsidRPr="00F40D2D" w14:paraId="3CC54D32" w14:textId="77777777" w:rsidTr="00506216">
        <w:trPr>
          <w:tblHeader/>
        </w:trPr>
        <w:tc>
          <w:tcPr>
            <w:tcW w:w="1056" w:type="dxa"/>
            <w:shd w:val="clear" w:color="auto" w:fill="auto"/>
            <w:vAlign w:val="bottom"/>
          </w:tcPr>
          <w:p w14:paraId="2FF2538B"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2009</w:t>
            </w:r>
          </w:p>
        </w:tc>
        <w:tc>
          <w:tcPr>
            <w:tcW w:w="1056" w:type="dxa"/>
            <w:shd w:val="clear" w:color="auto" w:fill="auto"/>
            <w:vAlign w:val="bottom"/>
          </w:tcPr>
          <w:p w14:paraId="7E7BB8EF"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2010</w:t>
            </w:r>
          </w:p>
        </w:tc>
        <w:tc>
          <w:tcPr>
            <w:tcW w:w="1056" w:type="dxa"/>
            <w:shd w:val="clear" w:color="auto" w:fill="auto"/>
            <w:vAlign w:val="bottom"/>
          </w:tcPr>
          <w:p w14:paraId="6B72A6ED"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2011</w:t>
            </w:r>
          </w:p>
        </w:tc>
        <w:tc>
          <w:tcPr>
            <w:tcW w:w="1056" w:type="dxa"/>
            <w:shd w:val="clear" w:color="auto" w:fill="auto"/>
            <w:vAlign w:val="bottom"/>
          </w:tcPr>
          <w:p w14:paraId="287AC6EA"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2012</w:t>
            </w:r>
          </w:p>
        </w:tc>
        <w:tc>
          <w:tcPr>
            <w:tcW w:w="1056" w:type="dxa"/>
            <w:shd w:val="clear" w:color="auto" w:fill="auto"/>
            <w:vAlign w:val="bottom"/>
          </w:tcPr>
          <w:p w14:paraId="092DB961"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2013</w:t>
            </w:r>
          </w:p>
        </w:tc>
        <w:tc>
          <w:tcPr>
            <w:tcW w:w="1056" w:type="dxa"/>
            <w:shd w:val="clear" w:color="auto" w:fill="auto"/>
            <w:vAlign w:val="bottom"/>
          </w:tcPr>
          <w:p w14:paraId="3A2D84D2"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2014</w:t>
            </w:r>
          </w:p>
        </w:tc>
        <w:tc>
          <w:tcPr>
            <w:tcW w:w="1056" w:type="dxa"/>
            <w:shd w:val="clear" w:color="auto" w:fill="auto"/>
            <w:vAlign w:val="bottom"/>
          </w:tcPr>
          <w:p w14:paraId="7F4D4A2C"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2015</w:t>
            </w:r>
          </w:p>
        </w:tc>
        <w:tc>
          <w:tcPr>
            <w:tcW w:w="1056" w:type="dxa"/>
            <w:shd w:val="clear" w:color="auto" w:fill="auto"/>
            <w:vAlign w:val="bottom"/>
          </w:tcPr>
          <w:p w14:paraId="53236AAD"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2016</w:t>
            </w:r>
          </w:p>
        </w:tc>
        <w:tc>
          <w:tcPr>
            <w:tcW w:w="1056" w:type="dxa"/>
            <w:shd w:val="clear" w:color="auto" w:fill="auto"/>
            <w:vAlign w:val="bottom"/>
          </w:tcPr>
          <w:p w14:paraId="10C04FE2"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2017</w:t>
            </w:r>
          </w:p>
        </w:tc>
      </w:tr>
      <w:tr w:rsidR="00CC6CC7" w:rsidRPr="00F40D2D" w14:paraId="299BA2FD" w14:textId="77777777" w:rsidTr="00506216">
        <w:tc>
          <w:tcPr>
            <w:tcW w:w="1056" w:type="dxa"/>
            <w:shd w:val="clear" w:color="auto" w:fill="auto"/>
          </w:tcPr>
          <w:p w14:paraId="782F4490"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2 454,3</w:t>
            </w:r>
          </w:p>
        </w:tc>
        <w:tc>
          <w:tcPr>
            <w:tcW w:w="1056" w:type="dxa"/>
            <w:shd w:val="clear" w:color="auto" w:fill="auto"/>
            <w:vAlign w:val="bottom"/>
          </w:tcPr>
          <w:p w14:paraId="48663A81"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2 468,9</w:t>
            </w:r>
          </w:p>
        </w:tc>
        <w:tc>
          <w:tcPr>
            <w:tcW w:w="1056" w:type="dxa"/>
            <w:shd w:val="clear" w:color="auto" w:fill="auto"/>
            <w:vAlign w:val="bottom"/>
          </w:tcPr>
          <w:p w14:paraId="14DF39D0"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2 486,9</w:t>
            </w:r>
          </w:p>
        </w:tc>
        <w:tc>
          <w:tcPr>
            <w:tcW w:w="1056" w:type="dxa"/>
            <w:shd w:val="clear" w:color="auto" w:fill="auto"/>
            <w:vAlign w:val="bottom"/>
          </w:tcPr>
          <w:p w14:paraId="52B996F6"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2 512,2</w:t>
            </w:r>
          </w:p>
        </w:tc>
        <w:tc>
          <w:tcPr>
            <w:tcW w:w="1056" w:type="dxa"/>
            <w:shd w:val="clear" w:color="auto" w:fill="auto"/>
            <w:vAlign w:val="bottom"/>
          </w:tcPr>
          <w:p w14:paraId="34E13043"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2 537,3</w:t>
            </w:r>
          </w:p>
        </w:tc>
        <w:tc>
          <w:tcPr>
            <w:tcW w:w="1056" w:type="dxa"/>
            <w:shd w:val="clear" w:color="auto" w:fill="auto"/>
            <w:vAlign w:val="bottom"/>
          </w:tcPr>
          <w:p w14:paraId="3E054C76"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2 559,7</w:t>
            </w:r>
          </w:p>
        </w:tc>
        <w:tc>
          <w:tcPr>
            <w:tcW w:w="1056" w:type="dxa"/>
            <w:shd w:val="clear" w:color="auto" w:fill="auto"/>
            <w:vAlign w:val="bottom"/>
          </w:tcPr>
          <w:p w14:paraId="6C5327B3"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2 592,8</w:t>
            </w:r>
          </w:p>
        </w:tc>
        <w:tc>
          <w:tcPr>
            <w:tcW w:w="1056" w:type="dxa"/>
            <w:shd w:val="clear" w:color="auto" w:fill="auto"/>
            <w:vAlign w:val="bottom"/>
          </w:tcPr>
          <w:p w14:paraId="4D270041"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2 619,3</w:t>
            </w:r>
          </w:p>
        </w:tc>
        <w:tc>
          <w:tcPr>
            <w:tcW w:w="1056" w:type="dxa"/>
            <w:shd w:val="clear" w:color="auto" w:fill="auto"/>
            <w:vAlign w:val="bottom"/>
          </w:tcPr>
          <w:p w14:paraId="6C418BC3"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2 593,7</w:t>
            </w:r>
          </w:p>
        </w:tc>
      </w:tr>
    </w:tbl>
    <w:p w14:paraId="52C89428" w14:textId="77777777" w:rsidR="00CC6CC7" w:rsidRDefault="00CC6CC7" w:rsidP="00CC6CC7">
      <w:pPr>
        <w:pStyle w:val="SingleTxtG"/>
        <w:spacing w:before="120"/>
      </w:pPr>
      <w:r>
        <w:t>164.</w:t>
      </w:r>
      <w:r>
        <w:tab/>
        <w:t>Фактический охват пожилых людей государственным пенсионным обеспечением еще выше, поскольку при расчете приведенного показателя не учитываются пожилые граждане, получающие социальные пенсии, а также граждане, получающие пенсии в других государственных органах (военнослужащие и приравненные к ним лица).</w:t>
      </w:r>
    </w:p>
    <w:p w14:paraId="73E8B0F9" w14:textId="77777777" w:rsidR="00CC6CC7" w:rsidRDefault="00CC6CC7" w:rsidP="00CC6CC7">
      <w:pPr>
        <w:pStyle w:val="SingleTxtG"/>
      </w:pPr>
      <w:r>
        <w:t>165.</w:t>
      </w:r>
      <w:r>
        <w:tab/>
        <w:t>Начиная с 2019 года отслеживается показатель «удельный вес населения в общеустановленном пенсионном возрасте и старше, получающего пенсию, в общей численности населения, достигшего общеустановленного пенсионного возраста» в рамках мониторинга достижения задачи</w:t>
      </w:r>
      <w:r>
        <w:rPr>
          <w:lang w:val="en-US"/>
        </w:rPr>
        <w:t> </w:t>
      </w:r>
      <w:r>
        <w:t>1.3 Целей устойчивого развития (национальный индикатор 1.3.1.1). Данный показатель будет более объективно отражать охват пожилых граждан государственным пенсионным обеспечением, поскольку будет рассчитываться с учетом численности граждан, получающих социальные пенсии, а также граждан, получающих пенсии в других государственных органах (военнослужащие и приравненные к ним лица).</w:t>
      </w:r>
    </w:p>
    <w:p w14:paraId="40DA369F" w14:textId="77777777" w:rsidR="00CC6CC7" w:rsidRDefault="00CC6CC7" w:rsidP="00CC6CC7">
      <w:pPr>
        <w:pStyle w:val="SingleTxtG"/>
      </w:pPr>
      <w:r>
        <w:t>166.</w:t>
      </w:r>
      <w:r>
        <w:tab/>
        <w:t xml:space="preserve">Стабильное функционирование пенсионной системы, выплата пенсий на социально приемлемом уровне являются государственным приоритетом. </w:t>
      </w:r>
    </w:p>
    <w:p w14:paraId="0E6E3679" w14:textId="77777777" w:rsidR="00CC6CC7" w:rsidRDefault="00CC6CC7" w:rsidP="00CC6CC7">
      <w:pPr>
        <w:pStyle w:val="SingleTxtG"/>
      </w:pPr>
      <w:r>
        <w:t>167.</w:t>
      </w:r>
      <w:r>
        <w:tab/>
        <w:t>Перерасчет трудовых пенсий в связи с ростом средней заработной платы работников осуществляется не менее одного раза в год. В 2018 году на основании указов Главы государства проведено три перерасчета трудовых пенсий.</w:t>
      </w:r>
    </w:p>
    <w:p w14:paraId="352C8917" w14:textId="77777777" w:rsidR="00CC6CC7" w:rsidRDefault="00CC6CC7" w:rsidP="00CC6CC7">
      <w:pPr>
        <w:pStyle w:val="SingleTxtG"/>
      </w:pPr>
      <w:r>
        <w:t>168.</w:t>
      </w:r>
      <w:r>
        <w:tab/>
        <w:t>Минимальные трудовые пенсии индексируются еще по одному основанию – в связи с повышением БПМ в среднем на душу населения (как правило, ежеквартально). В таком же порядке (в связи с повышением БПМ, как правило, ежеквартально) индексируются и социальные пенсии.</w:t>
      </w:r>
    </w:p>
    <w:p w14:paraId="0893F5A0" w14:textId="77777777" w:rsidR="00CC6CC7" w:rsidRDefault="00CC6CC7" w:rsidP="00CC6CC7">
      <w:pPr>
        <w:pStyle w:val="SingleTxtG"/>
      </w:pPr>
      <w:r>
        <w:lastRenderedPageBreak/>
        <w:t>169.</w:t>
      </w:r>
      <w:r>
        <w:tab/>
        <w:t>Осуществляется регулярное повышение минимальных трудовых и социальных пенсий с учетом изменения стоимости жизни.</w:t>
      </w:r>
    </w:p>
    <w:p w14:paraId="2F42AC6E" w14:textId="77777777" w:rsidR="00CC6CC7" w:rsidRDefault="00CC6CC7" w:rsidP="00CC6CC7">
      <w:pPr>
        <w:pStyle w:val="SingleTxtG"/>
      </w:pPr>
      <w:r>
        <w:t>170.</w:t>
      </w:r>
      <w:r>
        <w:tab/>
        <w:t>Количество перерасчетов пенсий (в год) в связи с повышением величины БПМ в среднем на душу населения:</w:t>
      </w:r>
    </w:p>
    <w:tbl>
      <w:tblPr>
        <w:tblW w:w="7370" w:type="dxa"/>
        <w:tblInd w:w="1134" w:type="dxa"/>
        <w:tblLayout w:type="fixed"/>
        <w:tblCellMar>
          <w:left w:w="0" w:type="dxa"/>
          <w:right w:w="0" w:type="dxa"/>
        </w:tblCellMar>
        <w:tblLook w:val="00A0" w:firstRow="1" w:lastRow="0" w:firstColumn="1" w:lastColumn="0" w:noHBand="0" w:noVBand="0"/>
      </w:tblPr>
      <w:tblGrid>
        <w:gridCol w:w="1700"/>
        <w:gridCol w:w="567"/>
        <w:gridCol w:w="567"/>
        <w:gridCol w:w="567"/>
        <w:gridCol w:w="567"/>
        <w:gridCol w:w="567"/>
        <w:gridCol w:w="567"/>
        <w:gridCol w:w="567"/>
        <w:gridCol w:w="567"/>
        <w:gridCol w:w="567"/>
        <w:gridCol w:w="567"/>
      </w:tblGrid>
      <w:tr w:rsidR="00CC6CC7" w:rsidRPr="00F40D2D" w14:paraId="59FCCEBA" w14:textId="77777777" w:rsidTr="00506216">
        <w:trPr>
          <w:tblHeader/>
        </w:trPr>
        <w:tc>
          <w:tcPr>
            <w:tcW w:w="1701" w:type="dxa"/>
            <w:tcBorders>
              <w:top w:val="single" w:sz="4" w:space="0" w:color="auto"/>
              <w:bottom w:val="single" w:sz="12" w:space="0" w:color="auto"/>
            </w:tcBorders>
            <w:shd w:val="clear" w:color="auto" w:fill="auto"/>
            <w:vAlign w:val="bottom"/>
          </w:tcPr>
          <w:p w14:paraId="2BDDBF5F" w14:textId="77777777" w:rsidR="00CC6CC7" w:rsidRPr="00F40D2D" w:rsidRDefault="00CC6CC7" w:rsidP="00506216">
            <w:pPr>
              <w:suppressAutoHyphens w:val="0"/>
              <w:spacing w:before="80" w:after="80" w:line="200" w:lineRule="exact"/>
              <w:rPr>
                <w:rFonts w:cs="Times New Roman"/>
                <w:i/>
                <w:sz w:val="16"/>
              </w:rPr>
            </w:pPr>
          </w:p>
        </w:tc>
        <w:tc>
          <w:tcPr>
            <w:tcW w:w="567" w:type="dxa"/>
            <w:tcBorders>
              <w:top w:val="single" w:sz="4" w:space="0" w:color="auto"/>
              <w:bottom w:val="single" w:sz="12" w:space="0" w:color="auto"/>
            </w:tcBorders>
            <w:shd w:val="clear" w:color="auto" w:fill="auto"/>
            <w:vAlign w:val="bottom"/>
          </w:tcPr>
          <w:p w14:paraId="750356F5"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2009</w:t>
            </w:r>
          </w:p>
        </w:tc>
        <w:tc>
          <w:tcPr>
            <w:tcW w:w="567" w:type="dxa"/>
            <w:tcBorders>
              <w:top w:val="single" w:sz="4" w:space="0" w:color="auto"/>
              <w:bottom w:val="single" w:sz="12" w:space="0" w:color="auto"/>
            </w:tcBorders>
            <w:shd w:val="clear" w:color="auto" w:fill="auto"/>
            <w:vAlign w:val="bottom"/>
          </w:tcPr>
          <w:p w14:paraId="1C2BDEBB"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2010</w:t>
            </w:r>
          </w:p>
        </w:tc>
        <w:tc>
          <w:tcPr>
            <w:tcW w:w="567" w:type="dxa"/>
            <w:tcBorders>
              <w:top w:val="single" w:sz="4" w:space="0" w:color="auto"/>
              <w:bottom w:val="single" w:sz="12" w:space="0" w:color="auto"/>
            </w:tcBorders>
            <w:shd w:val="clear" w:color="auto" w:fill="auto"/>
            <w:vAlign w:val="bottom"/>
          </w:tcPr>
          <w:p w14:paraId="5A0C6ACC"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2011</w:t>
            </w:r>
          </w:p>
        </w:tc>
        <w:tc>
          <w:tcPr>
            <w:tcW w:w="567" w:type="dxa"/>
            <w:tcBorders>
              <w:top w:val="single" w:sz="4" w:space="0" w:color="auto"/>
              <w:bottom w:val="single" w:sz="12" w:space="0" w:color="auto"/>
            </w:tcBorders>
            <w:shd w:val="clear" w:color="auto" w:fill="auto"/>
            <w:vAlign w:val="bottom"/>
          </w:tcPr>
          <w:p w14:paraId="2969FD29"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2012</w:t>
            </w:r>
          </w:p>
        </w:tc>
        <w:tc>
          <w:tcPr>
            <w:tcW w:w="567" w:type="dxa"/>
            <w:tcBorders>
              <w:top w:val="single" w:sz="4" w:space="0" w:color="auto"/>
              <w:bottom w:val="single" w:sz="12" w:space="0" w:color="auto"/>
            </w:tcBorders>
            <w:shd w:val="clear" w:color="auto" w:fill="auto"/>
            <w:vAlign w:val="bottom"/>
          </w:tcPr>
          <w:p w14:paraId="6221DAB2"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2013</w:t>
            </w:r>
          </w:p>
        </w:tc>
        <w:tc>
          <w:tcPr>
            <w:tcW w:w="567" w:type="dxa"/>
            <w:tcBorders>
              <w:top w:val="single" w:sz="4" w:space="0" w:color="auto"/>
              <w:bottom w:val="single" w:sz="12" w:space="0" w:color="auto"/>
            </w:tcBorders>
            <w:shd w:val="clear" w:color="auto" w:fill="auto"/>
            <w:vAlign w:val="bottom"/>
          </w:tcPr>
          <w:p w14:paraId="47CFBF79"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2014</w:t>
            </w:r>
          </w:p>
        </w:tc>
        <w:tc>
          <w:tcPr>
            <w:tcW w:w="567" w:type="dxa"/>
            <w:tcBorders>
              <w:top w:val="single" w:sz="4" w:space="0" w:color="auto"/>
              <w:bottom w:val="single" w:sz="12" w:space="0" w:color="auto"/>
            </w:tcBorders>
            <w:shd w:val="clear" w:color="auto" w:fill="auto"/>
            <w:vAlign w:val="bottom"/>
          </w:tcPr>
          <w:p w14:paraId="07F15283"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2015</w:t>
            </w:r>
          </w:p>
        </w:tc>
        <w:tc>
          <w:tcPr>
            <w:tcW w:w="567" w:type="dxa"/>
            <w:tcBorders>
              <w:top w:val="single" w:sz="4" w:space="0" w:color="auto"/>
              <w:bottom w:val="single" w:sz="12" w:space="0" w:color="auto"/>
            </w:tcBorders>
            <w:shd w:val="clear" w:color="auto" w:fill="auto"/>
            <w:vAlign w:val="bottom"/>
          </w:tcPr>
          <w:p w14:paraId="4FF71EFD"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2016</w:t>
            </w:r>
          </w:p>
        </w:tc>
        <w:tc>
          <w:tcPr>
            <w:tcW w:w="567" w:type="dxa"/>
            <w:tcBorders>
              <w:top w:val="single" w:sz="4" w:space="0" w:color="auto"/>
              <w:bottom w:val="single" w:sz="12" w:space="0" w:color="auto"/>
            </w:tcBorders>
            <w:shd w:val="clear" w:color="auto" w:fill="auto"/>
            <w:vAlign w:val="bottom"/>
          </w:tcPr>
          <w:p w14:paraId="566CC0FA"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2017</w:t>
            </w:r>
          </w:p>
        </w:tc>
        <w:tc>
          <w:tcPr>
            <w:tcW w:w="567" w:type="dxa"/>
            <w:tcBorders>
              <w:top w:val="single" w:sz="4" w:space="0" w:color="auto"/>
              <w:bottom w:val="single" w:sz="12" w:space="0" w:color="auto"/>
            </w:tcBorders>
            <w:shd w:val="clear" w:color="auto" w:fill="auto"/>
            <w:vAlign w:val="bottom"/>
          </w:tcPr>
          <w:p w14:paraId="25341455" w14:textId="77777777" w:rsidR="00CC6CC7" w:rsidRPr="00F40D2D" w:rsidRDefault="00CC6CC7" w:rsidP="00506216">
            <w:pPr>
              <w:suppressAutoHyphens w:val="0"/>
              <w:spacing w:before="80" w:after="80" w:line="200" w:lineRule="exact"/>
              <w:jc w:val="right"/>
              <w:rPr>
                <w:rFonts w:cs="Times New Roman"/>
                <w:i/>
                <w:sz w:val="16"/>
              </w:rPr>
            </w:pPr>
            <w:r w:rsidRPr="00F40D2D">
              <w:rPr>
                <w:rFonts w:cs="Times New Roman"/>
                <w:i/>
                <w:sz w:val="16"/>
              </w:rPr>
              <w:t>2018</w:t>
            </w:r>
          </w:p>
        </w:tc>
      </w:tr>
      <w:tr w:rsidR="00CC6CC7" w:rsidRPr="00F40D2D" w14:paraId="15BAFDDD" w14:textId="77777777" w:rsidTr="00506216">
        <w:tc>
          <w:tcPr>
            <w:tcW w:w="1701" w:type="dxa"/>
            <w:tcBorders>
              <w:top w:val="single" w:sz="12" w:space="0" w:color="auto"/>
            </w:tcBorders>
            <w:shd w:val="clear" w:color="auto" w:fill="auto"/>
          </w:tcPr>
          <w:p w14:paraId="5293AB35" w14:textId="77777777" w:rsidR="00CC6CC7" w:rsidRPr="00F40D2D" w:rsidRDefault="00CC6CC7" w:rsidP="00506216">
            <w:pPr>
              <w:spacing w:before="40" w:after="40" w:line="220" w:lineRule="exact"/>
              <w:rPr>
                <w:rFonts w:cs="Times New Roman"/>
                <w:sz w:val="18"/>
              </w:rPr>
            </w:pPr>
            <w:r w:rsidRPr="00F40D2D">
              <w:rPr>
                <w:rFonts w:cs="Times New Roman"/>
                <w:sz w:val="18"/>
              </w:rPr>
              <w:t>Минимальные трудовые пенсии</w:t>
            </w:r>
          </w:p>
        </w:tc>
        <w:tc>
          <w:tcPr>
            <w:tcW w:w="567" w:type="dxa"/>
            <w:tcBorders>
              <w:top w:val="single" w:sz="12" w:space="0" w:color="auto"/>
            </w:tcBorders>
            <w:shd w:val="clear" w:color="auto" w:fill="auto"/>
            <w:vAlign w:val="bottom"/>
          </w:tcPr>
          <w:p w14:paraId="061BF0D7"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78F320C0"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223C4BE1"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7E37C064"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3BDCAB5F"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1BA73CD9"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79D6026E"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3</w:t>
            </w:r>
          </w:p>
        </w:tc>
        <w:tc>
          <w:tcPr>
            <w:tcW w:w="567" w:type="dxa"/>
            <w:tcBorders>
              <w:top w:val="single" w:sz="12" w:space="0" w:color="auto"/>
            </w:tcBorders>
            <w:shd w:val="clear" w:color="auto" w:fill="auto"/>
            <w:vAlign w:val="bottom"/>
          </w:tcPr>
          <w:p w14:paraId="22283F9B"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7D1CEAB5"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top w:val="single" w:sz="12" w:space="0" w:color="auto"/>
            </w:tcBorders>
            <w:shd w:val="clear" w:color="auto" w:fill="auto"/>
            <w:vAlign w:val="bottom"/>
          </w:tcPr>
          <w:p w14:paraId="596513F2"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r>
      <w:tr w:rsidR="00CC6CC7" w:rsidRPr="00F40D2D" w14:paraId="2D8A3DE9" w14:textId="77777777" w:rsidTr="00506216">
        <w:tc>
          <w:tcPr>
            <w:tcW w:w="1701" w:type="dxa"/>
            <w:tcBorders>
              <w:bottom w:val="single" w:sz="12" w:space="0" w:color="auto"/>
            </w:tcBorders>
            <w:shd w:val="clear" w:color="auto" w:fill="auto"/>
          </w:tcPr>
          <w:p w14:paraId="41A9BDAF" w14:textId="77777777" w:rsidR="00CC6CC7" w:rsidRPr="00F40D2D" w:rsidRDefault="00CC6CC7" w:rsidP="00506216">
            <w:pPr>
              <w:suppressAutoHyphens w:val="0"/>
              <w:spacing w:before="40" w:after="40" w:line="220" w:lineRule="exact"/>
              <w:rPr>
                <w:rFonts w:cs="Times New Roman"/>
                <w:sz w:val="18"/>
              </w:rPr>
            </w:pPr>
            <w:r w:rsidRPr="00F40D2D">
              <w:rPr>
                <w:rFonts w:cs="Times New Roman"/>
                <w:sz w:val="18"/>
              </w:rPr>
              <w:t>Социальные пенсии</w:t>
            </w:r>
          </w:p>
        </w:tc>
        <w:tc>
          <w:tcPr>
            <w:tcW w:w="567" w:type="dxa"/>
            <w:tcBorders>
              <w:bottom w:val="single" w:sz="12" w:space="0" w:color="auto"/>
            </w:tcBorders>
            <w:shd w:val="clear" w:color="auto" w:fill="auto"/>
            <w:vAlign w:val="bottom"/>
          </w:tcPr>
          <w:p w14:paraId="27DEB778"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263148B8"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4BBF7151"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0A6B0C4B"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47C340E2"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289CFB50"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29620468"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3</w:t>
            </w:r>
          </w:p>
        </w:tc>
        <w:tc>
          <w:tcPr>
            <w:tcW w:w="567" w:type="dxa"/>
            <w:tcBorders>
              <w:bottom w:val="single" w:sz="12" w:space="0" w:color="auto"/>
            </w:tcBorders>
            <w:shd w:val="clear" w:color="auto" w:fill="auto"/>
            <w:vAlign w:val="bottom"/>
          </w:tcPr>
          <w:p w14:paraId="304FC32D"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7EFF746E"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c>
          <w:tcPr>
            <w:tcW w:w="567" w:type="dxa"/>
            <w:tcBorders>
              <w:bottom w:val="single" w:sz="12" w:space="0" w:color="auto"/>
            </w:tcBorders>
            <w:shd w:val="clear" w:color="auto" w:fill="auto"/>
            <w:vAlign w:val="bottom"/>
          </w:tcPr>
          <w:p w14:paraId="29228D0F" w14:textId="77777777" w:rsidR="00CC6CC7" w:rsidRPr="00F40D2D" w:rsidRDefault="00CC6CC7" w:rsidP="00506216">
            <w:pPr>
              <w:suppressAutoHyphens w:val="0"/>
              <w:spacing w:before="40" w:after="40" w:line="220" w:lineRule="exact"/>
              <w:jc w:val="right"/>
              <w:rPr>
                <w:rFonts w:cs="Times New Roman"/>
                <w:sz w:val="18"/>
              </w:rPr>
            </w:pPr>
            <w:r w:rsidRPr="00F40D2D">
              <w:rPr>
                <w:rFonts w:cs="Times New Roman"/>
                <w:sz w:val="18"/>
              </w:rPr>
              <w:t>4</w:t>
            </w:r>
          </w:p>
        </w:tc>
      </w:tr>
    </w:tbl>
    <w:p w14:paraId="2B75D5BC" w14:textId="77777777" w:rsidR="00CC6CC7" w:rsidRDefault="00CC6CC7" w:rsidP="00CC6CC7">
      <w:pPr>
        <w:pStyle w:val="SingleTxtG"/>
        <w:spacing w:before="120"/>
      </w:pPr>
      <w:r>
        <w:t>171.</w:t>
      </w:r>
      <w:r>
        <w:tab/>
        <w:t>Размеры трудовых пенсий по возрасту поддерживаются на уровне около 40% средней зарплаты работников.</w:t>
      </w:r>
    </w:p>
    <w:p w14:paraId="629548B7" w14:textId="77777777" w:rsidR="00CC6CC7" w:rsidRDefault="00CC6CC7" w:rsidP="00CC6CC7">
      <w:pPr>
        <w:pStyle w:val="SingleTxtG"/>
      </w:pPr>
      <w:r>
        <w:t>172.</w:t>
      </w:r>
      <w:r>
        <w:tab/>
        <w:t>Пенсионеры фактически выведены из категории малообеспеченных: доля получателей с размером пенсии ниже БПМ пенсионера с 2011 года составляет менее</w:t>
      </w:r>
      <w:r>
        <w:rPr>
          <w:lang w:val="en-US"/>
        </w:rPr>
        <w:t> </w:t>
      </w:r>
      <w:r>
        <w:t>1%. Статистика ниже в статистической информации к докладу.</w:t>
      </w:r>
    </w:p>
    <w:p w14:paraId="14136FE5" w14:textId="77777777" w:rsidR="00CC6CC7" w:rsidRDefault="00CC6CC7" w:rsidP="00CC6CC7">
      <w:pPr>
        <w:pStyle w:val="SingleTxtG"/>
      </w:pPr>
      <w:r>
        <w:t>173.</w:t>
      </w:r>
      <w:r>
        <w:tab/>
        <w:t>В последние годы расходы на пенсии составляют около 9% ВВП.</w:t>
      </w:r>
    </w:p>
    <w:p w14:paraId="48B86EBF" w14:textId="77777777" w:rsidR="00CC6CC7" w:rsidRDefault="00CC6CC7" w:rsidP="00CC6CC7">
      <w:pPr>
        <w:pStyle w:val="SingleTxtG"/>
      </w:pPr>
      <w:r>
        <w:t>174.</w:t>
      </w:r>
      <w:r>
        <w:tab/>
        <w:t>Постепенно повышаются минимальный стаж работы с уплатой взносов для назначения пенсии – до 20 лет в 2025 году (до 1 января 2014 года этот стаж составлял 5 лет), а также пенсионный возраст – до 58 лет для женщин, 63 лет для мужчин к 2022 году. Для социально уязвимых категорий (например, многодетных матерей, инвалидов с детства и их родителей), граждан, работавших во вредных условиях, предусмотрены пониженные требования к стажу и пенсионному возрасту. Условия формирования права на трудовую пенсию по возрасту для граждан остаются доступными.</w:t>
      </w:r>
    </w:p>
    <w:p w14:paraId="667D64F5" w14:textId="77777777" w:rsidR="00CC6CC7" w:rsidRDefault="00CC6CC7" w:rsidP="00CC6CC7">
      <w:pPr>
        <w:pStyle w:val="SingleTxtG"/>
      </w:pPr>
      <w:r>
        <w:t>175.</w:t>
      </w:r>
      <w:r>
        <w:tab/>
        <w:t>Выплата пособий по безработице осуществляется из средств государственного внебюджетного фонда социальной защиты населения Республики Беларусь, формируемого за счет обязательных отчислений нанимателей на социальное страхование.</w:t>
      </w:r>
    </w:p>
    <w:p w14:paraId="73970775" w14:textId="77777777" w:rsidR="00CC6CC7" w:rsidRDefault="00CC6CC7" w:rsidP="00CC6CC7">
      <w:pPr>
        <w:pStyle w:val="SingleTxtG"/>
      </w:pPr>
      <w:r>
        <w:t>176.</w:t>
      </w:r>
      <w:r>
        <w:tab/>
        <w:t>В соответствии с Законом «О занятости населения Республики Беларусь» от 15 июня 2006 года № 125-З государство гарантирует безработным:</w:t>
      </w:r>
    </w:p>
    <w:p w14:paraId="04060865" w14:textId="77777777" w:rsidR="00CC6CC7" w:rsidRDefault="00CC6CC7" w:rsidP="00CC6CC7">
      <w:pPr>
        <w:pStyle w:val="Bullet1G"/>
        <w:numPr>
          <w:ilvl w:val="0"/>
          <w:numId w:val="16"/>
        </w:numPr>
      </w:pPr>
      <w:r>
        <w:t>выплату пособия по безработице;</w:t>
      </w:r>
    </w:p>
    <w:p w14:paraId="767CCBF3" w14:textId="77777777" w:rsidR="00CC6CC7" w:rsidRDefault="00CC6CC7" w:rsidP="00CC6CC7">
      <w:pPr>
        <w:pStyle w:val="Bullet1G"/>
        <w:numPr>
          <w:ilvl w:val="0"/>
          <w:numId w:val="16"/>
        </w:numPr>
      </w:pPr>
      <w:r>
        <w:t>стипендии в период обучения по направлению органов по труду, занятости и социальной защите;</w:t>
      </w:r>
    </w:p>
    <w:p w14:paraId="2CA93180" w14:textId="77777777" w:rsidR="00CC6CC7" w:rsidRDefault="00CC6CC7" w:rsidP="00CC6CC7">
      <w:pPr>
        <w:pStyle w:val="Bullet1G"/>
        <w:numPr>
          <w:ilvl w:val="0"/>
          <w:numId w:val="16"/>
        </w:numPr>
      </w:pPr>
      <w:r>
        <w:t>оказание материальной помощи безработным и членам их семей.</w:t>
      </w:r>
    </w:p>
    <w:p w14:paraId="71DCB7AA" w14:textId="77777777" w:rsidR="00CC6CC7" w:rsidRDefault="00CC6CC7" w:rsidP="00CC6CC7">
      <w:pPr>
        <w:pStyle w:val="SingleTxtG"/>
      </w:pPr>
      <w:r>
        <w:t>177.</w:t>
      </w:r>
      <w:r>
        <w:tab/>
        <w:t>Размер пособия по безработице и стипендии установлен в отношении к базовой величине.</w:t>
      </w:r>
    </w:p>
    <w:p w14:paraId="3B7EEF7E" w14:textId="77777777" w:rsidR="00CC6CC7" w:rsidRDefault="00CC6CC7" w:rsidP="00CC6CC7">
      <w:pPr>
        <w:pStyle w:val="SingleTxtG"/>
      </w:pPr>
      <w:r>
        <w:t>178.</w:t>
      </w:r>
      <w:r>
        <w:tab/>
        <w:t>Минимальный размер пособия по безработице составляет 70% базовой величины, максимальный − две базовые величины.</w:t>
      </w:r>
    </w:p>
    <w:p w14:paraId="0FB67CA2" w14:textId="77777777" w:rsidR="00CC6CC7" w:rsidRDefault="00CC6CC7" w:rsidP="00CC6CC7">
      <w:pPr>
        <w:pStyle w:val="SingleTxtG"/>
      </w:pPr>
      <w:r>
        <w:t>179.</w:t>
      </w:r>
      <w:r>
        <w:tab/>
        <w:t>Безработным, имеющим на иждивении ребенка в возрасте до 14 лет или ребенка-инвалида в возрасте до 18 лет, размер пособия увеличивается на 10%, а при наличии троих и более детей указанного возраста или двоих и более детей-инвалидов − на 20%.</w:t>
      </w:r>
    </w:p>
    <w:p w14:paraId="66D80DBE" w14:textId="77777777" w:rsidR="00CC6CC7" w:rsidRDefault="00CC6CC7" w:rsidP="00CC6CC7">
      <w:pPr>
        <w:pStyle w:val="SingleTxtG"/>
      </w:pPr>
      <w:r>
        <w:t>180.</w:t>
      </w:r>
      <w:r>
        <w:tab/>
        <w:t>Срок выплаты пособия по безработице не может превышать 26 календарных недель в течение каждого 12-месячного периода, исчисленного со дня регистрации в органах по труду, занятости и социальной защите.</w:t>
      </w:r>
    </w:p>
    <w:p w14:paraId="09942963" w14:textId="77777777" w:rsidR="00CC6CC7" w:rsidRDefault="00CC6CC7" w:rsidP="00CC6CC7">
      <w:pPr>
        <w:pStyle w:val="SingleTxtG"/>
      </w:pPr>
      <w:r>
        <w:t>181.</w:t>
      </w:r>
      <w:r>
        <w:tab/>
        <w:t>Безработным, стаж работы которых составляет более 25 лет у мужчин и 20 лет у женщин, срок выплаты пособия увеличивается за каждый год работы на 2 календарные недели.</w:t>
      </w:r>
    </w:p>
    <w:p w14:paraId="14047C01" w14:textId="77777777" w:rsidR="00CC6CC7" w:rsidRDefault="00CC6CC7" w:rsidP="00CC6CC7">
      <w:pPr>
        <w:pStyle w:val="SingleTxtG"/>
      </w:pPr>
      <w:r>
        <w:t>182.</w:t>
      </w:r>
      <w:r>
        <w:tab/>
        <w:t xml:space="preserve">По состоянию на 1 января 2019 года пособие по безработице получали 5,8 тыс. человек (46,2% от общей численности безработных, состоявших на учете). </w:t>
      </w:r>
      <w:r>
        <w:lastRenderedPageBreak/>
        <w:t>Средний размер пособия по безработице в декабре 2018 года составлял 26,4 бел. рублей.</w:t>
      </w:r>
    </w:p>
    <w:p w14:paraId="0B15FF51" w14:textId="77777777" w:rsidR="00CC6CC7" w:rsidRDefault="00CC6CC7" w:rsidP="00CC6CC7">
      <w:pPr>
        <w:pStyle w:val="SingleTxtG"/>
      </w:pPr>
      <w:r>
        <w:t>183.</w:t>
      </w:r>
      <w:r>
        <w:tab/>
        <w:t xml:space="preserve">Гражданам, зарегистрированным в установленном законодательством порядке в качестве безработных и находящимся в тяжелой жизненной ситуации, может оказываться государственная адресная социальная помощь (ежемесячное социальное пособие малообеспеченным гражданам или единовременное социальное пособие гражданам, находящимся в трудной жизненной ситуации гражданам с доходами ниже 150% бюджета прожиточного минимума). </w:t>
      </w:r>
    </w:p>
    <w:p w14:paraId="65F08ECE" w14:textId="77777777" w:rsidR="00CC6CC7" w:rsidRDefault="00CC6CC7" w:rsidP="00CC6CC7">
      <w:pPr>
        <w:pStyle w:val="SingleTxtG"/>
      </w:pPr>
      <w:r>
        <w:t>184.</w:t>
      </w:r>
      <w:r>
        <w:tab/>
        <w:t>Материальная поддержка безработных осуществляется не только путем предоставления им пособия по безработице, но и посредством оказания им материальной помощи, обеспечения возможности временного трудоустройства и участия в оплачиваемых общественных работах в период поиска постоянной работы для получения дополнительного заработка.</w:t>
      </w:r>
    </w:p>
    <w:p w14:paraId="58A36082" w14:textId="77777777" w:rsidR="00CC6CC7" w:rsidRDefault="00CC6CC7" w:rsidP="00CC6CC7">
      <w:pPr>
        <w:pStyle w:val="SingleTxtG"/>
      </w:pPr>
      <w:r>
        <w:t>185.</w:t>
      </w:r>
      <w:r>
        <w:tab/>
        <w:t xml:space="preserve">В настоящее время в целях решения вопросов социальной защиты безработных государство проводит целенаправленную политику регулирования рынка труда. Приоритет отдается активным мерам политики занятости, которые направлены на развитие потенциала работников, проведение эффективной работы по их профессиональной переподготовке, обеспечению опережающего переобучения работников, находящихся под угрозой увольнения, по востребованным на рынке труда специальностями, на их адаптацию к реальным потребностям экономики. </w:t>
      </w:r>
    </w:p>
    <w:p w14:paraId="0EBA35BE" w14:textId="77777777" w:rsidR="00CC6CC7" w:rsidRDefault="00CC6CC7" w:rsidP="00CC6CC7">
      <w:pPr>
        <w:pStyle w:val="H23G"/>
      </w:pPr>
      <w:r>
        <w:tab/>
      </w:r>
      <w:r>
        <w:tab/>
        <w:t>Защита семьи и детей</w:t>
      </w:r>
    </w:p>
    <w:p w14:paraId="18AC7DB0" w14:textId="77777777" w:rsidR="00CC6CC7" w:rsidRDefault="00CC6CC7" w:rsidP="00CC6CC7">
      <w:pPr>
        <w:pStyle w:val="SingleTxtG"/>
      </w:pPr>
      <w:r>
        <w:t>186.</w:t>
      </w:r>
      <w:r>
        <w:tab/>
        <w:t>ТК содержит ряд статей, направленных на равную реализацию прав женщин и мужчин, в том числе в вопросах воспитания детей. Особенности регулирования труда женщин и работников, имеющих семейные обязанности, содержатся в главе 19 ТК.</w:t>
      </w:r>
    </w:p>
    <w:p w14:paraId="2C5E7D3D" w14:textId="77777777" w:rsidR="00CC6CC7" w:rsidRDefault="00CC6CC7" w:rsidP="00CC6CC7">
      <w:pPr>
        <w:pStyle w:val="SingleTxtG"/>
      </w:pPr>
      <w:r>
        <w:t>187.</w:t>
      </w:r>
      <w:r>
        <w:tab/>
        <w:t xml:space="preserve">Статьей 185 ТК установлена императивная норма, свидетельствующая о том, что отпуск по уходу за ребенком до достижения им возраста трех лет предоставляется по усмотрению семьи работающим отцу или другому родственнику, члену семьи ребенка в случае выхода матери ребенка на работу (службу), а также если она является индивидуальным предпринимателем, нотариусом, адвокатом, творческим работником, лицом, осуществляющим ремесленную деятельность, деятельность в сфере </w:t>
      </w:r>
      <w:proofErr w:type="spellStart"/>
      <w:r>
        <w:t>агроэкотуризма</w:t>
      </w:r>
      <w:proofErr w:type="spellEnd"/>
      <w:r>
        <w:t>.</w:t>
      </w:r>
    </w:p>
    <w:p w14:paraId="3FF75EC2" w14:textId="77777777" w:rsidR="00CC6CC7" w:rsidRDefault="00CC6CC7" w:rsidP="00CC6CC7">
      <w:pPr>
        <w:pStyle w:val="SingleTxtG"/>
      </w:pPr>
      <w:r>
        <w:t>188.</w:t>
      </w:r>
      <w:r>
        <w:tab/>
        <w:t xml:space="preserve">На законодательном уровне предоставлено право семье самостоятельно определять, кто из работающих родителей будет осуществлять уход за ребенком и соответственно находиться в отпуске по уходу за ребенком до достижения им возраста трех лет. </w:t>
      </w:r>
    </w:p>
    <w:p w14:paraId="0FFB0AE7" w14:textId="77777777" w:rsidR="00CC6CC7" w:rsidRDefault="00CC6CC7" w:rsidP="00CC6CC7">
      <w:pPr>
        <w:pStyle w:val="SingleTxtG"/>
      </w:pPr>
      <w:r>
        <w:t>189.</w:t>
      </w:r>
      <w:r>
        <w:tab/>
        <w:t>На отца, находящегося в отпуске по уходу за ребенком до достижения им возраста трех лет, распространяются те же льготы, что и на мать. В период нахождения отца в отпуске по уходу за ребенком до достижения им возраста трех лет по его желанию он может работать по основному (по другой профессии, должности) или другому месту работы на условиях неполного рабочего времени (не более половины месячной нормы рабочего времени).</w:t>
      </w:r>
    </w:p>
    <w:p w14:paraId="2CDDEBE7" w14:textId="77777777" w:rsidR="00CC6CC7" w:rsidRDefault="00CC6CC7" w:rsidP="00CC6CC7">
      <w:pPr>
        <w:pStyle w:val="SingleTxtG"/>
      </w:pPr>
      <w:r>
        <w:t>190.</w:t>
      </w:r>
      <w:r>
        <w:tab/>
        <w:t>В целях совершенствования законодательства в части предоставления равных прав и возможностей в сфере трудовых отношений принят Закон Республики Беларусь от 18 июля 2019 года № 219-З «Об изменении законов» (вступает в силу с 28 января 2020 года), которым предусмотрено:</w:t>
      </w:r>
    </w:p>
    <w:p w14:paraId="58AFC84B" w14:textId="77777777" w:rsidR="00CC6CC7" w:rsidRDefault="00CC6CC7" w:rsidP="00CC6CC7">
      <w:pPr>
        <w:pStyle w:val="Bullet1G"/>
        <w:numPr>
          <w:ilvl w:val="0"/>
          <w:numId w:val="16"/>
        </w:numPr>
      </w:pPr>
      <w:r>
        <w:t>установление права на кратковременный отцовский отпуск при рождении ребенка и воспитании его в семье (до 14 дней в течение 6 месяцев после рождения ребенка);</w:t>
      </w:r>
    </w:p>
    <w:p w14:paraId="6AA3DB1B" w14:textId="77777777" w:rsidR="00CC6CC7" w:rsidRDefault="00CC6CC7" w:rsidP="00CC6CC7">
      <w:pPr>
        <w:pStyle w:val="Bullet1G"/>
        <w:numPr>
          <w:ilvl w:val="0"/>
          <w:numId w:val="16"/>
        </w:numPr>
      </w:pPr>
      <w:r>
        <w:t>распространение на отцов (отчимов), воспитывающих ребенка-инвалида в возрасте до 18 лет, права выбора трудового отпуска в летнее время;</w:t>
      </w:r>
    </w:p>
    <w:p w14:paraId="2B19904C" w14:textId="77777777" w:rsidR="00CC6CC7" w:rsidRDefault="00CC6CC7" w:rsidP="00CC6CC7">
      <w:pPr>
        <w:pStyle w:val="Bullet1G"/>
        <w:numPr>
          <w:ilvl w:val="0"/>
          <w:numId w:val="16"/>
        </w:numPr>
      </w:pPr>
      <w:r>
        <w:t>распространение гарантий, предусмотренных для работающих женщин-матерей, на работающих одиноких родителей, воспитывающих детей;</w:t>
      </w:r>
    </w:p>
    <w:p w14:paraId="0EC18642" w14:textId="77777777" w:rsidR="00CC6CC7" w:rsidRDefault="00CC6CC7" w:rsidP="00CC6CC7">
      <w:pPr>
        <w:pStyle w:val="Bullet1G"/>
        <w:numPr>
          <w:ilvl w:val="0"/>
          <w:numId w:val="16"/>
        </w:numPr>
      </w:pPr>
      <w:r>
        <w:lastRenderedPageBreak/>
        <w:t>снятие запрета на привлечение к сверхурочным работам, работе в государственные праздники и праздничные дни, в выходные дни и на направление в служебную командировку женщин, имеющих детей в возрасте до трех лет.</w:t>
      </w:r>
    </w:p>
    <w:p w14:paraId="314852DE" w14:textId="77777777" w:rsidR="00CC6CC7" w:rsidRDefault="00CC6CC7" w:rsidP="00CC6CC7">
      <w:pPr>
        <w:pStyle w:val="SingleTxtG"/>
      </w:pPr>
      <w:r>
        <w:t>191.</w:t>
      </w:r>
      <w:r>
        <w:tab/>
        <w:t>В 2018 году проведено исследование гендерных ролей в белорусских семьях и разработаны предложения по совершенствованию организационно-правовых форм обеспечения равного участия обоих родителей в жизни ребенка, в том числе после расторжения брака либо когда родители ребенка в браке не состоят.</w:t>
      </w:r>
    </w:p>
    <w:p w14:paraId="3E9FCDAA" w14:textId="77777777" w:rsidR="00CC6CC7" w:rsidRDefault="00CC6CC7" w:rsidP="00CC6CC7">
      <w:pPr>
        <w:pStyle w:val="SingleTxtG"/>
      </w:pPr>
      <w:r>
        <w:t>192.</w:t>
      </w:r>
      <w:r>
        <w:tab/>
        <w:t xml:space="preserve">В Беларуси государством гарантировано получение доступного бесплатного дошкольного образования, и система дошкольного образования динамично развивается. </w:t>
      </w:r>
    </w:p>
    <w:p w14:paraId="13A1C362" w14:textId="77777777" w:rsidR="00CC6CC7" w:rsidRDefault="00CC6CC7" w:rsidP="00CC6CC7">
      <w:pPr>
        <w:pStyle w:val="SingleTxtG"/>
      </w:pPr>
      <w:r>
        <w:t>193.</w:t>
      </w:r>
      <w:r>
        <w:tab/>
        <w:t>По состоянию на 5 сентября 2018 года функционировали 3 803 учреждения образования, реализующих образовательную программу дошкольного образования, для более 435 тыс. воспитанников, в том числе для 72,4 тыс. детей раннего возраста (от 2 месяцев до 3 лет). В сельской местности функционировали 1 713 таких учреждений образования для более 59 тыс. воспитанников, в том числе для порядка 7 тыс. детей раннего возраста.</w:t>
      </w:r>
    </w:p>
    <w:p w14:paraId="3FD14B29" w14:textId="77777777" w:rsidR="00CC6CC7" w:rsidRDefault="00CC6CC7" w:rsidP="00CC6CC7">
      <w:pPr>
        <w:pStyle w:val="SingleTxtG"/>
      </w:pPr>
      <w:r>
        <w:t>194.</w:t>
      </w:r>
      <w:r>
        <w:tab/>
        <w:t>С учетом потребностей родителей дети, в том числе раннего возраста, получают дошкольное образование в учреждениях дошкольного образования разных видов (яслях, яслях-садах, детских садах, санаторных яслях-садах, санаторных детских садах, дошкольных центрах развития ребенка) и форм собственности (государственной и частной), с разным режимом работы (от 2 до 7 часов, 10,5 часа, 12 часов, 24 часа). Учреждения дошкольного образования доступны для посещения детьми из разных социальных групп населения.</w:t>
      </w:r>
    </w:p>
    <w:p w14:paraId="5B3D4573" w14:textId="77777777" w:rsidR="00CC6CC7" w:rsidRDefault="00CC6CC7" w:rsidP="00CC6CC7">
      <w:pPr>
        <w:pStyle w:val="SingleTxtG"/>
      </w:pPr>
      <w:r>
        <w:t>195.</w:t>
      </w:r>
      <w:r>
        <w:tab/>
        <w:t xml:space="preserve">В соответствии с запросами родителей открываются группы кратковременного пребывания (от 2 до 7 часов): «материнские школы», адаптационные, прогулочные и вечерние группы, группы выходного дня, сезонные и игровые площадки. Количество таких групп с 2014 года увеличилось на 2 477 единиц, а количество детей, их посещающих, – на 19 400 чел. и составило в 2018 году 5 376 групп для 45 400 чел. (2014 год – 2 899 групп (25 986 детей)). В 2018 году в сельской местности функционировало 1 313 групп кратковременного пребывания (от 2 до 7 часов) для 8 060 детей раннего возраста. </w:t>
      </w:r>
    </w:p>
    <w:p w14:paraId="589E39A6" w14:textId="77777777" w:rsidR="00CC6CC7" w:rsidRDefault="00CC6CC7" w:rsidP="00CC6CC7">
      <w:pPr>
        <w:pStyle w:val="SingleTxtG"/>
      </w:pPr>
      <w:r>
        <w:t>196.</w:t>
      </w:r>
      <w:r>
        <w:tab/>
        <w:t>Принимаемые меры позволили увеличить охват детей в возрасте от 1 года до 3 лет учреждениями дошкольного образования в 2018 году до 44,3%, в том числе в сельской местности – до 22,9%.</w:t>
      </w:r>
    </w:p>
    <w:p w14:paraId="49166C39" w14:textId="77777777" w:rsidR="00CC6CC7" w:rsidRDefault="00CC6CC7" w:rsidP="00CC6CC7">
      <w:pPr>
        <w:pStyle w:val="SingleTxtG"/>
      </w:pPr>
      <w:r>
        <w:t>197.</w:t>
      </w:r>
      <w:r>
        <w:tab/>
        <w:t xml:space="preserve">Укреплены лидирующие позиции среди государств–участников СНГ по охвату детей учреждениями дошкольного образования. Доля детей от 3 до 6 лет, получающих дошкольное образование, выросла с 95,4% в 2015 году до 96,4% в 2018 году. В сельской местности в 2015 и в 2018 годах охват оставил 68,3%. </w:t>
      </w:r>
    </w:p>
    <w:p w14:paraId="7C429527" w14:textId="77777777" w:rsidR="00CC6CC7" w:rsidRDefault="00CC6CC7" w:rsidP="00CC6CC7">
      <w:pPr>
        <w:pStyle w:val="SingleTxtG"/>
      </w:pPr>
      <w:r>
        <w:t>198.</w:t>
      </w:r>
      <w:r>
        <w:tab/>
        <w:t>В последние три года выросла доля детей в возрасте от 1 года до 6 лет, получающих дошкольное образование (в 2016 году – 74,8%, в 2017 году – 75,8%, в 2018 году – 79,4%). В сельской местности данный показатель составил 51,7% (в 2016 году – 49,4%, в 2017 году – 49,8%).</w:t>
      </w:r>
    </w:p>
    <w:p w14:paraId="21610031" w14:textId="77777777" w:rsidR="00CC6CC7" w:rsidRDefault="00CC6CC7" w:rsidP="00CC6CC7">
      <w:pPr>
        <w:pStyle w:val="SingleTxtG"/>
      </w:pPr>
      <w:r>
        <w:t>199.</w:t>
      </w:r>
      <w:r>
        <w:tab/>
        <w:t xml:space="preserve">Сохраняется достигнутый в предыдущие годы полный охват детей пятилетнего возраста подготовкой к школе, что обеспечивает равные стартовые возможности для представителей всех социальных групп белорусского общества. </w:t>
      </w:r>
    </w:p>
    <w:p w14:paraId="21511791" w14:textId="77777777" w:rsidR="00CC6CC7" w:rsidRDefault="00CC6CC7" w:rsidP="00CC6CC7">
      <w:pPr>
        <w:pStyle w:val="SingleTxtG"/>
      </w:pPr>
      <w:r>
        <w:t>200.</w:t>
      </w:r>
      <w:r>
        <w:tab/>
        <w:t xml:space="preserve">С 2013 по 2018 год органами внутренних дел выявлено 615 преступлений, связанных с торговлей людьми (предусмотрены </w:t>
      </w:r>
      <w:proofErr w:type="spellStart"/>
      <w:r>
        <w:t>Палермским</w:t>
      </w:r>
      <w:proofErr w:type="spellEnd"/>
      <w:r>
        <w:t xml:space="preserve"> протоколом), из них 15 – непосредственно факты торговли людьми. Перекрыто 95 каналов вывоза и 1 канал ввоза людей для эксплуатации. В ходе пресечения распространения проституции (как одного из основных факторов сексуальной эксплуатации) к административной ответственности за оказание платных сексуальных услуг привлечены 8 011 лиц.</w:t>
      </w:r>
    </w:p>
    <w:p w14:paraId="3F01DF41" w14:textId="77777777" w:rsidR="00CC6CC7" w:rsidRDefault="00CC6CC7" w:rsidP="00CC6CC7">
      <w:pPr>
        <w:pStyle w:val="SingleTxtG"/>
      </w:pPr>
      <w:r>
        <w:lastRenderedPageBreak/>
        <w:t>201.</w:t>
      </w:r>
      <w:r>
        <w:tab/>
        <w:t>Существенного роста преступности, связанной с торговлей людьми, в отчетном периоде не отмечено, что говорит об эффективности предпринимаемых превентивных и иных мер.</w:t>
      </w:r>
    </w:p>
    <w:p w14:paraId="45DEA8B0" w14:textId="77777777" w:rsidR="00CC6CC7" w:rsidRDefault="00CC6CC7" w:rsidP="00CC6CC7">
      <w:pPr>
        <w:pStyle w:val="SingleTxtG"/>
      </w:pPr>
      <w:r>
        <w:t>202.</w:t>
      </w:r>
      <w:r>
        <w:tab/>
        <w:t xml:space="preserve">Сегодня в Беларуси принимаются комплексные меры по противодействию торговле людьми, значительная часть которых направлена на ее профилактику. </w:t>
      </w:r>
    </w:p>
    <w:p w14:paraId="09FA4D3F" w14:textId="77777777" w:rsidR="00CC6CC7" w:rsidRDefault="00CC6CC7" w:rsidP="00CC6CC7">
      <w:pPr>
        <w:pStyle w:val="SingleTxtG"/>
      </w:pPr>
      <w:r>
        <w:t>203.</w:t>
      </w:r>
      <w:r>
        <w:tab/>
        <w:t xml:space="preserve">Реализуются </w:t>
      </w:r>
      <w:proofErr w:type="spellStart"/>
      <w:r>
        <w:t>антитрафикинговые</w:t>
      </w:r>
      <w:proofErr w:type="spellEnd"/>
      <w:r>
        <w:t xml:space="preserve"> программы, активное участие в которых принимают не только государственные органы, но и неправительственные организации. Если изначально программы были ориентированы на уголовное преследование </w:t>
      </w:r>
      <w:proofErr w:type="spellStart"/>
      <w:r>
        <w:t>трафикеров</w:t>
      </w:r>
      <w:proofErr w:type="spellEnd"/>
      <w:r>
        <w:t>, то в последующем акценты сместились на предупреждение торговли людьми, работу телефонов «горячей линии», создание социальной рекламы, защиту и реабилитацию жертв с активным использованием потенциала Международной организации по миграции и общественных объединений.</w:t>
      </w:r>
    </w:p>
    <w:p w14:paraId="62720D2D" w14:textId="77777777" w:rsidR="00CC6CC7" w:rsidRDefault="00CC6CC7" w:rsidP="00CC6CC7">
      <w:pPr>
        <w:pStyle w:val="SingleTxtG"/>
      </w:pPr>
      <w:r>
        <w:t>204.</w:t>
      </w:r>
      <w:r>
        <w:tab/>
        <w:t xml:space="preserve">В соответствии с Законом Республики Беларусь от 7 января 2012 года № 350-З «О противодействии торговле людьми» принято постановление Правительства от 11 июня 2015 года № 485 «Об утверждении Положения о порядке идентификации жертв торговли людьми, порядке заполнения и форме анкеты гражданина, который мог пострадать от торговли людьми или связанных с ней преступлений, порядке предоставления содержащихся в ней сведений». В соответствии с этим постановлением создан и применяется на практике Национальный механизм идентификации и перенаправления жертв торговли людьми на реабилитацию. </w:t>
      </w:r>
    </w:p>
    <w:p w14:paraId="4C706664" w14:textId="77777777" w:rsidR="00CC6CC7" w:rsidRDefault="00CC6CC7" w:rsidP="00CC6CC7">
      <w:pPr>
        <w:pStyle w:val="SingleTxtG"/>
      </w:pPr>
      <w:r>
        <w:t>205.</w:t>
      </w:r>
      <w:r>
        <w:tab/>
        <w:t xml:space="preserve">С 2013 по 2018 год органами внутренних дел установлены 824 жертвы торговли людьми, из них 173 – несовершеннолетние. Сексуальной эксплуатации подверглись 770 жертв, трудовой – 54. </w:t>
      </w:r>
    </w:p>
    <w:p w14:paraId="0F14EB83" w14:textId="77777777" w:rsidR="00CC6CC7" w:rsidRDefault="00CC6CC7" w:rsidP="00CC6CC7">
      <w:pPr>
        <w:pStyle w:val="SingleTxtG"/>
      </w:pPr>
      <w:r>
        <w:t>206.</w:t>
      </w:r>
      <w:r>
        <w:tab/>
        <w:t>На реабилитацию направлены 264 жертвы (остальные на момент установления в помощи не нуждались).</w:t>
      </w:r>
    </w:p>
    <w:p w14:paraId="309BCA9F" w14:textId="77777777" w:rsidR="00CC6CC7" w:rsidRDefault="00CC6CC7" w:rsidP="00CC6CC7">
      <w:pPr>
        <w:pStyle w:val="SingleTxtG"/>
      </w:pPr>
      <w:r>
        <w:t>207.</w:t>
      </w:r>
      <w:r>
        <w:tab/>
        <w:t xml:space="preserve">Законодательство предусматривает, что при выявлении гражданина, который мог пострадать от торговли людьми или связанных с ней преступлений, компетентные государственные органы, информируют гражданина о его праве на применение в отношении его мер по защите и реабилитации жертв торговли людьми, выясняют, какие виды помощи необходимы гражданину, определяют государственные или иные организации, которые оказывают соответствующую помощь, направляют и при необходимости сопровождают гражданина в эти организации для применения в отношении его мер по защите и реабилитации. </w:t>
      </w:r>
    </w:p>
    <w:p w14:paraId="63B8FAEB" w14:textId="77777777" w:rsidR="00CC6CC7" w:rsidRDefault="00CC6CC7" w:rsidP="00CC6CC7">
      <w:pPr>
        <w:pStyle w:val="SingleTxtG"/>
      </w:pPr>
      <w:r>
        <w:t>208.</w:t>
      </w:r>
      <w:r>
        <w:tab/>
        <w:t xml:space="preserve">Оказание услуг по реабилитации жертв входит в функции территориальных центров социального обслуживания населения (всего 146), а также Гомельского и Минского городских центров социального обслуживания семьи и детей, которые действуют в системе Министерства труда и социальной защиты. Эти центры также оказывает помощь пострадавшим от насилия в семье. </w:t>
      </w:r>
    </w:p>
    <w:p w14:paraId="4A7EFC50" w14:textId="77777777" w:rsidR="00CC6CC7" w:rsidRDefault="00CC6CC7" w:rsidP="00CC6CC7">
      <w:pPr>
        <w:pStyle w:val="SingleTxtG"/>
      </w:pPr>
      <w:r>
        <w:t>209.</w:t>
      </w:r>
      <w:r>
        <w:tab/>
        <w:t>Действует сеть круглосуточных «кризисных» комнат (для повышения доступности услуги временного приюта). По состоянию на 1 января 2019 года в республике функционируют 132 «кризисные» комнаты.</w:t>
      </w:r>
    </w:p>
    <w:p w14:paraId="04A254F8" w14:textId="77777777" w:rsidR="00CC6CC7" w:rsidRDefault="00CC6CC7" w:rsidP="00CC6CC7">
      <w:pPr>
        <w:pStyle w:val="SingleTxtG"/>
      </w:pPr>
      <w:r>
        <w:t>210.</w:t>
      </w:r>
      <w:r>
        <w:tab/>
        <w:t>Повышение эффективности деятельности по оказанию помощи жертвам торговли людьми пострадавшим от насилия в семье находится на постоянном контроле Министерства труда и социальной защиты.</w:t>
      </w:r>
    </w:p>
    <w:p w14:paraId="62A261A5" w14:textId="77777777" w:rsidR="00CC6CC7" w:rsidRDefault="00CC6CC7" w:rsidP="00CC6CC7">
      <w:pPr>
        <w:pStyle w:val="SingleTxtG"/>
      </w:pPr>
      <w:r>
        <w:t>211.</w:t>
      </w:r>
      <w:r>
        <w:tab/>
        <w:t>В 2018 году в «кризисных» комнатах проживало 679 человек, в том числе 4 человека – жертвы торговли людьми.</w:t>
      </w:r>
    </w:p>
    <w:p w14:paraId="0A88CF96" w14:textId="77777777" w:rsidR="00CC6CC7" w:rsidRDefault="00CC6CC7" w:rsidP="00CC6CC7">
      <w:pPr>
        <w:pStyle w:val="SingleTxtG"/>
      </w:pPr>
      <w:r>
        <w:t>212.</w:t>
      </w:r>
      <w:r>
        <w:tab/>
        <w:t xml:space="preserve">Обратившимся предоставлены социальные услуги: временный приют, </w:t>
      </w:r>
      <w:r w:rsidRPr="00BE6247">
        <w:rPr>
          <w:spacing w:val="-2"/>
        </w:rPr>
        <w:t>социально-психологические, информационно-консультационные услуги, гуманитарная</w:t>
      </w:r>
      <w:r>
        <w:t xml:space="preserve"> помощь. Также обратившиеся направлены на профобучение, им оказано содействие в трудоустройстве.</w:t>
      </w:r>
    </w:p>
    <w:p w14:paraId="3D905C66" w14:textId="77777777" w:rsidR="00CC6CC7" w:rsidRDefault="00CC6CC7" w:rsidP="00CC6CC7">
      <w:pPr>
        <w:pStyle w:val="SingleTxtG"/>
      </w:pPr>
      <w:r>
        <w:t>213.</w:t>
      </w:r>
      <w:r>
        <w:tab/>
        <w:t xml:space="preserve">Услуга временного приюта оказывается жертвам торговли людьми без взимания платы. </w:t>
      </w:r>
    </w:p>
    <w:p w14:paraId="663583A7" w14:textId="77777777" w:rsidR="00CC6CC7" w:rsidRDefault="00CC6CC7" w:rsidP="00CC6CC7">
      <w:pPr>
        <w:pStyle w:val="H23G"/>
      </w:pPr>
      <w:r>
        <w:lastRenderedPageBreak/>
        <w:tab/>
      </w:r>
      <w:r>
        <w:tab/>
        <w:t>Право на достаточный жизненный уровень</w:t>
      </w:r>
    </w:p>
    <w:p w14:paraId="2E088C43" w14:textId="77777777" w:rsidR="00CC6CC7" w:rsidRDefault="00CC6CC7" w:rsidP="00CC6CC7">
      <w:pPr>
        <w:pStyle w:val="SingleTxtG"/>
      </w:pPr>
      <w:r>
        <w:t>214.</w:t>
      </w:r>
      <w:r>
        <w:tab/>
        <w:t>Право на жилье гражданам Беларуси гарантировано статьей 21 Конституции.</w:t>
      </w:r>
    </w:p>
    <w:p w14:paraId="18F9C414" w14:textId="77777777" w:rsidR="00CC6CC7" w:rsidRDefault="00CC6CC7" w:rsidP="00CC6CC7">
      <w:pPr>
        <w:pStyle w:val="SingleTxtG"/>
      </w:pPr>
      <w:r>
        <w:t>215.</w:t>
      </w:r>
      <w:r>
        <w:tab/>
        <w:t xml:space="preserve">Реализация права регулируется Жилищным кодексом, согласно которому обеспечивается: </w:t>
      </w:r>
    </w:p>
    <w:p w14:paraId="40E3EFA8" w14:textId="77777777" w:rsidR="00CC6CC7" w:rsidRDefault="00CC6CC7" w:rsidP="00CC6CC7">
      <w:pPr>
        <w:pStyle w:val="Bullet1G"/>
        <w:numPr>
          <w:ilvl w:val="0"/>
          <w:numId w:val="16"/>
        </w:numPr>
      </w:pPr>
      <w:r>
        <w:t xml:space="preserve">свободный выбор гражданами способа улучшений жилищных условий; </w:t>
      </w:r>
    </w:p>
    <w:p w14:paraId="036DE94F" w14:textId="77777777" w:rsidR="00CC6CC7" w:rsidRDefault="00CC6CC7" w:rsidP="00CC6CC7">
      <w:pPr>
        <w:pStyle w:val="Bullet1G"/>
        <w:numPr>
          <w:ilvl w:val="0"/>
          <w:numId w:val="16"/>
        </w:numPr>
      </w:pPr>
      <w:r>
        <w:t xml:space="preserve">гарантированное предоставление государством социального жилья по договору найма малообеспеченным нетрудоспособным гражданам; </w:t>
      </w:r>
    </w:p>
    <w:p w14:paraId="2A9C370B" w14:textId="77777777" w:rsidR="00CC6CC7" w:rsidRDefault="00CC6CC7" w:rsidP="00CC6CC7">
      <w:pPr>
        <w:pStyle w:val="Bullet1G"/>
        <w:numPr>
          <w:ilvl w:val="0"/>
          <w:numId w:val="16"/>
        </w:numPr>
      </w:pPr>
      <w:r>
        <w:t xml:space="preserve">государственная поддержка малообеспеченных граждан, нуждающихся в улучшении жилищных условий, при строительстве или при приобретении жилых помещений; </w:t>
      </w:r>
    </w:p>
    <w:p w14:paraId="45F87571" w14:textId="77777777" w:rsidR="00CC6CC7" w:rsidRDefault="00CC6CC7" w:rsidP="00CC6CC7">
      <w:pPr>
        <w:pStyle w:val="Bullet1G"/>
        <w:numPr>
          <w:ilvl w:val="0"/>
          <w:numId w:val="16"/>
        </w:numPr>
      </w:pPr>
      <w:r>
        <w:t xml:space="preserve">переход в вопросах предоставления и оплаты жилья на общую площадь; </w:t>
      </w:r>
    </w:p>
    <w:p w14:paraId="67BE3EB9" w14:textId="77777777" w:rsidR="00CC6CC7" w:rsidRDefault="00CC6CC7" w:rsidP="00CC6CC7">
      <w:pPr>
        <w:pStyle w:val="Bullet1G"/>
        <w:numPr>
          <w:ilvl w:val="0"/>
          <w:numId w:val="16"/>
        </w:numPr>
      </w:pPr>
      <w:r>
        <w:t xml:space="preserve">право граждан на свободное распоряжение, находящимися в их собственности жилыми помещениями в соответствии с законодательством; </w:t>
      </w:r>
    </w:p>
    <w:p w14:paraId="087934C6" w14:textId="77777777" w:rsidR="00CC6CC7" w:rsidRDefault="00CC6CC7" w:rsidP="00CC6CC7">
      <w:pPr>
        <w:pStyle w:val="Bullet1G"/>
        <w:numPr>
          <w:ilvl w:val="0"/>
          <w:numId w:val="16"/>
        </w:numPr>
      </w:pPr>
      <w:r>
        <w:t xml:space="preserve">судебная защита любых жилищных прав граждан; </w:t>
      </w:r>
    </w:p>
    <w:p w14:paraId="2CEA432F" w14:textId="77777777" w:rsidR="00CC6CC7" w:rsidRDefault="00CC6CC7" w:rsidP="00CC6CC7">
      <w:pPr>
        <w:pStyle w:val="Bullet1G"/>
        <w:numPr>
          <w:ilvl w:val="0"/>
          <w:numId w:val="16"/>
        </w:numPr>
      </w:pPr>
      <w:r>
        <w:t>расширение прав общественности по контролю за соблюдением жилищного законодательства.</w:t>
      </w:r>
    </w:p>
    <w:p w14:paraId="32201ED8" w14:textId="77777777" w:rsidR="00CC6CC7" w:rsidRDefault="00CC6CC7" w:rsidP="00CC6CC7">
      <w:pPr>
        <w:pStyle w:val="SingleTxtG"/>
      </w:pPr>
      <w:r>
        <w:t>216.</w:t>
      </w:r>
      <w:r>
        <w:tab/>
        <w:t xml:space="preserve">Для осуществления этих задач в стране решением правительства утверждены Концепция совершенствования и развития жилищно-коммунального хозяйства до 2025 года, Государственная программа «Комфортное жилье и благоприятная среда» на 2016–2020 годы, Государственная программа «Строительство жилья» на </w:t>
      </w:r>
      <w:r>
        <w:br/>
        <w:t xml:space="preserve">2016–2020 годы. </w:t>
      </w:r>
    </w:p>
    <w:p w14:paraId="154C03DC" w14:textId="77777777" w:rsidR="00CC6CC7" w:rsidRDefault="00CC6CC7" w:rsidP="00CC6CC7">
      <w:pPr>
        <w:pStyle w:val="SingleTxtG"/>
      </w:pPr>
      <w:r>
        <w:t>217.</w:t>
      </w:r>
      <w:r>
        <w:tab/>
        <w:t xml:space="preserve">В Государственной программой «Строительство жилья» предусмотрено увеличение уровня обеспеченности населения жильем с 26,36 кв. м на человека (в 2015 году) до 27,3 кв. м (в 2020 году). </w:t>
      </w:r>
    </w:p>
    <w:p w14:paraId="203CDC06" w14:textId="77777777" w:rsidR="00CC6CC7" w:rsidRDefault="00CC6CC7" w:rsidP="00CC6CC7">
      <w:pPr>
        <w:pStyle w:val="SingleTxtG"/>
      </w:pPr>
      <w:r>
        <w:t>218.</w:t>
      </w:r>
      <w:r>
        <w:tab/>
        <w:t>Жилищным законодательством предусмотрено право граждан на постановку на учет нуждающихся в улучшении жилищных условий, и включения отдельных категорий граждан в списки на получение жилья социального пользования, а также на строительство жилых помещений с использованием господдержки. Дополнительные данные приведены ниже в статистической информации к докладу.</w:t>
      </w:r>
    </w:p>
    <w:p w14:paraId="59D1A87F" w14:textId="77777777" w:rsidR="00CC6CC7" w:rsidRDefault="00CC6CC7" w:rsidP="00CC6CC7">
      <w:pPr>
        <w:pStyle w:val="SingleTxtG"/>
      </w:pPr>
      <w:r>
        <w:t>219.</w:t>
      </w:r>
      <w:r>
        <w:tab/>
        <w:t>Положение об учете граждан, нуждающихся в улучшении жилищных условий, и о порядке предоставления жилых помещений государственного жилищного фонда, утвержденное Указом Президента Республики Беларусь от 16 декабря 2013 года № 563 «О некоторых вопросах правового регулирования жилищных отношений» (далее – Положение об учете граждан, нуждающихся в улучшении жилищных условий), предусматривает 12 оснований, при наличии которых граждане вправе стать на учет нуждающихся в улучшении жилищных условий:</w:t>
      </w:r>
    </w:p>
    <w:p w14:paraId="5B39F391" w14:textId="77777777" w:rsidR="00CC6CC7" w:rsidRDefault="00CC6CC7" w:rsidP="00CC6CC7">
      <w:pPr>
        <w:pStyle w:val="Bullet1G"/>
        <w:numPr>
          <w:ilvl w:val="0"/>
          <w:numId w:val="16"/>
        </w:numPr>
      </w:pPr>
      <w:r>
        <w:t>обеспеченность общей площадью жилья на одного человека менее 15 кв. м, в г. Минске – 10 кв. м;</w:t>
      </w:r>
    </w:p>
    <w:p w14:paraId="5941DCF0" w14:textId="77777777" w:rsidR="00CC6CC7" w:rsidRDefault="00CC6CC7" w:rsidP="00CC6CC7">
      <w:pPr>
        <w:pStyle w:val="Bullet1G"/>
        <w:numPr>
          <w:ilvl w:val="0"/>
          <w:numId w:val="16"/>
        </w:numPr>
      </w:pPr>
      <w:r>
        <w:t>проживание в одной комнате или однокомнатной квартире с другими гражданами при наличии заболеваний, при которых невозможно совместное проживание (перечень определен постановлением Минздрава от 22.12.2012 № 202);</w:t>
      </w:r>
    </w:p>
    <w:p w14:paraId="4EC5C62B" w14:textId="77777777" w:rsidR="00CC6CC7" w:rsidRDefault="00CC6CC7" w:rsidP="00CC6CC7">
      <w:pPr>
        <w:pStyle w:val="Bullet1G"/>
        <w:numPr>
          <w:ilvl w:val="0"/>
          <w:numId w:val="16"/>
        </w:numPr>
      </w:pPr>
      <w:r>
        <w:t>проживание в однокомнатной с другим гражданином (в том числе, независимо от того, является ли этот гражданин либо нет близким родственником), кроме супругов;</w:t>
      </w:r>
    </w:p>
    <w:p w14:paraId="14503771" w14:textId="77777777" w:rsidR="00CC6CC7" w:rsidRDefault="00CC6CC7" w:rsidP="00CC6CC7">
      <w:pPr>
        <w:pStyle w:val="Bullet1G"/>
        <w:numPr>
          <w:ilvl w:val="0"/>
          <w:numId w:val="16"/>
        </w:numPr>
      </w:pPr>
      <w:r>
        <w:t>проживание в специальных домах для ветеранов, престарелых и инвалидов, а также в домах-интернатах для престарелых и инвалидов, которым установлена III группа инвалидности либо инвалидность снята, если за этими гражданами не сохранилось прежнее жилье, из которого они выбыли;</w:t>
      </w:r>
    </w:p>
    <w:p w14:paraId="646B9907" w14:textId="77777777" w:rsidR="00CC6CC7" w:rsidRDefault="00CC6CC7" w:rsidP="00CC6CC7">
      <w:pPr>
        <w:pStyle w:val="Bullet1G"/>
        <w:numPr>
          <w:ilvl w:val="0"/>
          <w:numId w:val="16"/>
        </w:numPr>
      </w:pPr>
      <w:r>
        <w:lastRenderedPageBreak/>
        <w:t>проживание в жилье, признанном не соответствующим установленным санитарным и техническим нормам; по договору найма частного жилищного фонда и ряд других.</w:t>
      </w:r>
    </w:p>
    <w:p w14:paraId="0EDA9D7A" w14:textId="77777777" w:rsidR="00CC6CC7" w:rsidRDefault="00CC6CC7" w:rsidP="00CC6CC7">
      <w:pPr>
        <w:pStyle w:val="SingleTxtG"/>
      </w:pPr>
      <w:r>
        <w:t>220.</w:t>
      </w:r>
      <w:r>
        <w:tab/>
        <w:t>Постановка на учет нуждающихся в улучшении жилищных условий людей, имеющих право на получение жилого помещения социального пользования, осуществляется не только посредством включения этих граждан в общий список учета граждан, которых по республике по состоянию на 1 января 2019 года насчитывается порядка 663,8 тыс. человек, но и в отдельные списки, формируемые исполкомами.</w:t>
      </w:r>
    </w:p>
    <w:p w14:paraId="73D8156D" w14:textId="77777777" w:rsidR="00CC6CC7" w:rsidRDefault="00CC6CC7" w:rsidP="00CC6CC7">
      <w:pPr>
        <w:pStyle w:val="SingleTxtG"/>
      </w:pPr>
      <w:r>
        <w:t>221.</w:t>
      </w:r>
      <w:r>
        <w:tab/>
        <w:t>На 1 января 2019 года на учете нуждающихся в улучшении жилищных условий и имеющих право на получение социального жилья, из категории людей с инвалидностью, состоят 3 990 человек:</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276"/>
        <w:gridCol w:w="2126"/>
        <w:gridCol w:w="2267"/>
      </w:tblGrid>
      <w:tr w:rsidR="00CC6CC7" w:rsidRPr="00BE6247" w14:paraId="1739FAD7" w14:textId="77777777" w:rsidTr="00506216">
        <w:trPr>
          <w:tblHeader/>
        </w:trPr>
        <w:tc>
          <w:tcPr>
            <w:tcW w:w="1701" w:type="dxa"/>
            <w:tcBorders>
              <w:top w:val="single" w:sz="4" w:space="0" w:color="auto"/>
              <w:bottom w:val="single" w:sz="12" w:space="0" w:color="auto"/>
            </w:tcBorders>
            <w:shd w:val="clear" w:color="auto" w:fill="auto"/>
            <w:vAlign w:val="bottom"/>
          </w:tcPr>
          <w:p w14:paraId="43BAFB12" w14:textId="77777777" w:rsidR="00CC6CC7" w:rsidRPr="00BE6247" w:rsidRDefault="00CC6CC7" w:rsidP="00506216">
            <w:pPr>
              <w:suppressAutoHyphens w:val="0"/>
              <w:spacing w:before="80" w:after="80" w:line="200" w:lineRule="exact"/>
              <w:rPr>
                <w:rFonts w:cs="Times New Roman"/>
                <w:i/>
                <w:sz w:val="16"/>
              </w:rPr>
            </w:pPr>
          </w:p>
        </w:tc>
        <w:tc>
          <w:tcPr>
            <w:tcW w:w="1276" w:type="dxa"/>
            <w:tcBorders>
              <w:top w:val="single" w:sz="4" w:space="0" w:color="auto"/>
              <w:bottom w:val="single" w:sz="12" w:space="0" w:color="auto"/>
            </w:tcBorders>
            <w:shd w:val="clear" w:color="auto" w:fill="auto"/>
            <w:vAlign w:val="bottom"/>
          </w:tcPr>
          <w:p w14:paraId="773EC0C5" w14:textId="77777777" w:rsidR="00CC6CC7" w:rsidRPr="00BE6247" w:rsidRDefault="00CC6CC7" w:rsidP="00506216">
            <w:pPr>
              <w:suppressAutoHyphens w:val="0"/>
              <w:spacing w:before="80" w:after="80" w:line="200" w:lineRule="exact"/>
              <w:jc w:val="right"/>
              <w:rPr>
                <w:rFonts w:cs="Times New Roman"/>
                <w:i/>
                <w:sz w:val="16"/>
              </w:rPr>
            </w:pPr>
            <w:r w:rsidRPr="00BE6247">
              <w:rPr>
                <w:rFonts w:cs="Times New Roman"/>
                <w:i/>
                <w:sz w:val="16"/>
              </w:rPr>
              <w:t xml:space="preserve">Всего состоит </w:t>
            </w:r>
          </w:p>
        </w:tc>
        <w:tc>
          <w:tcPr>
            <w:tcW w:w="2126" w:type="dxa"/>
            <w:tcBorders>
              <w:top w:val="single" w:sz="4" w:space="0" w:color="auto"/>
              <w:bottom w:val="single" w:sz="12" w:space="0" w:color="auto"/>
            </w:tcBorders>
            <w:shd w:val="clear" w:color="auto" w:fill="auto"/>
            <w:vAlign w:val="bottom"/>
          </w:tcPr>
          <w:p w14:paraId="3D764099" w14:textId="77777777" w:rsidR="00CC6CC7" w:rsidRPr="00BE6247" w:rsidRDefault="00CC6CC7" w:rsidP="00506216">
            <w:pPr>
              <w:suppressAutoHyphens w:val="0"/>
              <w:spacing w:before="80" w:after="80" w:line="200" w:lineRule="exact"/>
              <w:jc w:val="right"/>
              <w:rPr>
                <w:rFonts w:cs="Times New Roman"/>
                <w:i/>
                <w:sz w:val="16"/>
              </w:rPr>
            </w:pPr>
            <w:r w:rsidRPr="00BE6247">
              <w:rPr>
                <w:rFonts w:cs="Times New Roman"/>
                <w:i/>
                <w:sz w:val="16"/>
              </w:rPr>
              <w:t xml:space="preserve">Все категории, имеющие </w:t>
            </w:r>
            <w:r>
              <w:rPr>
                <w:rFonts w:cs="Times New Roman"/>
                <w:i/>
                <w:sz w:val="16"/>
              </w:rPr>
              <w:br/>
            </w:r>
            <w:r w:rsidRPr="00BE6247">
              <w:rPr>
                <w:rFonts w:cs="Times New Roman"/>
                <w:i/>
                <w:sz w:val="16"/>
              </w:rPr>
              <w:t>право</w:t>
            </w:r>
            <w:r>
              <w:rPr>
                <w:rFonts w:cs="Times New Roman"/>
                <w:i/>
                <w:sz w:val="16"/>
              </w:rPr>
              <w:t xml:space="preserve"> </w:t>
            </w:r>
            <w:r w:rsidRPr="00BE6247">
              <w:rPr>
                <w:rFonts w:cs="Times New Roman"/>
                <w:i/>
                <w:sz w:val="16"/>
              </w:rPr>
              <w:t xml:space="preserve">на получение </w:t>
            </w:r>
            <w:r>
              <w:rPr>
                <w:rFonts w:cs="Times New Roman"/>
                <w:i/>
                <w:sz w:val="16"/>
              </w:rPr>
              <w:br/>
            </w:r>
            <w:r w:rsidRPr="00BE6247">
              <w:rPr>
                <w:rFonts w:cs="Times New Roman"/>
                <w:i/>
                <w:sz w:val="16"/>
              </w:rPr>
              <w:t xml:space="preserve">социального жилья </w:t>
            </w:r>
          </w:p>
        </w:tc>
        <w:tc>
          <w:tcPr>
            <w:tcW w:w="2267" w:type="dxa"/>
            <w:tcBorders>
              <w:top w:val="single" w:sz="4" w:space="0" w:color="auto"/>
              <w:bottom w:val="single" w:sz="12" w:space="0" w:color="auto"/>
            </w:tcBorders>
            <w:shd w:val="clear" w:color="auto" w:fill="auto"/>
            <w:vAlign w:val="bottom"/>
          </w:tcPr>
          <w:p w14:paraId="7C99114F" w14:textId="77777777" w:rsidR="00CC6CC7" w:rsidRPr="00BE6247" w:rsidRDefault="00CC6CC7" w:rsidP="00506216">
            <w:pPr>
              <w:suppressAutoHyphens w:val="0"/>
              <w:spacing w:before="80" w:after="80" w:line="200" w:lineRule="exact"/>
              <w:jc w:val="right"/>
              <w:rPr>
                <w:rFonts w:cs="Times New Roman"/>
                <w:i/>
                <w:sz w:val="16"/>
              </w:rPr>
            </w:pPr>
            <w:r w:rsidRPr="00BE6247">
              <w:rPr>
                <w:rFonts w:cs="Times New Roman"/>
                <w:i/>
                <w:sz w:val="16"/>
              </w:rPr>
              <w:t>Из них инвалиды, имеющие</w:t>
            </w:r>
            <w:r>
              <w:rPr>
                <w:rFonts w:cs="Times New Roman"/>
                <w:i/>
                <w:sz w:val="16"/>
              </w:rPr>
              <w:t xml:space="preserve"> </w:t>
            </w:r>
            <w:r w:rsidRPr="00BE6247">
              <w:rPr>
                <w:rFonts w:cs="Times New Roman"/>
                <w:i/>
                <w:sz w:val="16"/>
              </w:rPr>
              <w:t>право</w:t>
            </w:r>
            <w:r>
              <w:rPr>
                <w:rFonts w:cs="Times New Roman"/>
                <w:i/>
                <w:sz w:val="16"/>
              </w:rPr>
              <w:t xml:space="preserve"> </w:t>
            </w:r>
            <w:r w:rsidRPr="00BE6247">
              <w:rPr>
                <w:rFonts w:cs="Times New Roman"/>
                <w:i/>
                <w:sz w:val="16"/>
              </w:rPr>
              <w:t xml:space="preserve">на получение </w:t>
            </w:r>
            <w:r>
              <w:rPr>
                <w:rFonts w:cs="Times New Roman"/>
                <w:i/>
                <w:sz w:val="16"/>
              </w:rPr>
              <w:br/>
            </w:r>
            <w:r w:rsidRPr="00BE6247">
              <w:rPr>
                <w:rFonts w:cs="Times New Roman"/>
                <w:i/>
                <w:sz w:val="16"/>
              </w:rPr>
              <w:t>социального жилья</w:t>
            </w:r>
          </w:p>
        </w:tc>
      </w:tr>
      <w:tr w:rsidR="00CC6CC7" w:rsidRPr="00BE6247" w14:paraId="1BDD44EC" w14:textId="77777777" w:rsidTr="00506216">
        <w:tc>
          <w:tcPr>
            <w:tcW w:w="1701" w:type="dxa"/>
            <w:tcBorders>
              <w:top w:val="single" w:sz="12" w:space="0" w:color="auto"/>
            </w:tcBorders>
            <w:shd w:val="clear" w:color="auto" w:fill="auto"/>
          </w:tcPr>
          <w:p w14:paraId="2658B664"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Брестская область</w:t>
            </w:r>
          </w:p>
        </w:tc>
        <w:tc>
          <w:tcPr>
            <w:tcW w:w="1276" w:type="dxa"/>
            <w:tcBorders>
              <w:top w:val="single" w:sz="12" w:space="0" w:color="auto"/>
            </w:tcBorders>
            <w:shd w:val="clear" w:color="auto" w:fill="auto"/>
            <w:vAlign w:val="bottom"/>
          </w:tcPr>
          <w:p w14:paraId="3459DB38"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88 684</w:t>
            </w:r>
          </w:p>
        </w:tc>
        <w:tc>
          <w:tcPr>
            <w:tcW w:w="2126" w:type="dxa"/>
            <w:tcBorders>
              <w:top w:val="single" w:sz="12" w:space="0" w:color="auto"/>
            </w:tcBorders>
            <w:shd w:val="clear" w:color="auto" w:fill="auto"/>
            <w:vAlign w:val="bottom"/>
          </w:tcPr>
          <w:p w14:paraId="763BB25B"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1 897</w:t>
            </w:r>
          </w:p>
        </w:tc>
        <w:tc>
          <w:tcPr>
            <w:tcW w:w="2267" w:type="dxa"/>
            <w:tcBorders>
              <w:top w:val="single" w:sz="12" w:space="0" w:color="auto"/>
            </w:tcBorders>
            <w:shd w:val="clear" w:color="auto" w:fill="auto"/>
            <w:vAlign w:val="bottom"/>
          </w:tcPr>
          <w:p w14:paraId="6B36440B"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530</w:t>
            </w:r>
          </w:p>
        </w:tc>
      </w:tr>
      <w:tr w:rsidR="00CC6CC7" w:rsidRPr="00BE6247" w14:paraId="2E5E8829" w14:textId="77777777" w:rsidTr="00506216">
        <w:tc>
          <w:tcPr>
            <w:tcW w:w="1701" w:type="dxa"/>
            <w:shd w:val="clear" w:color="auto" w:fill="auto"/>
          </w:tcPr>
          <w:p w14:paraId="12A9CD01"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Витебская область</w:t>
            </w:r>
          </w:p>
        </w:tc>
        <w:tc>
          <w:tcPr>
            <w:tcW w:w="1276" w:type="dxa"/>
            <w:shd w:val="clear" w:color="auto" w:fill="auto"/>
            <w:vAlign w:val="bottom"/>
          </w:tcPr>
          <w:p w14:paraId="172A6CD8"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66 484</w:t>
            </w:r>
          </w:p>
        </w:tc>
        <w:tc>
          <w:tcPr>
            <w:tcW w:w="2126" w:type="dxa"/>
            <w:shd w:val="clear" w:color="auto" w:fill="auto"/>
            <w:vAlign w:val="bottom"/>
          </w:tcPr>
          <w:p w14:paraId="519E46E7"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3 018</w:t>
            </w:r>
          </w:p>
        </w:tc>
        <w:tc>
          <w:tcPr>
            <w:tcW w:w="2267" w:type="dxa"/>
            <w:shd w:val="clear" w:color="auto" w:fill="auto"/>
            <w:vAlign w:val="bottom"/>
          </w:tcPr>
          <w:p w14:paraId="4012DABE"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317</w:t>
            </w:r>
          </w:p>
        </w:tc>
      </w:tr>
      <w:tr w:rsidR="00CC6CC7" w:rsidRPr="00BE6247" w14:paraId="7F820B3E" w14:textId="77777777" w:rsidTr="00506216">
        <w:tc>
          <w:tcPr>
            <w:tcW w:w="1701" w:type="dxa"/>
            <w:shd w:val="clear" w:color="auto" w:fill="auto"/>
          </w:tcPr>
          <w:p w14:paraId="7B9A5E43"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Гомельская область</w:t>
            </w:r>
          </w:p>
        </w:tc>
        <w:tc>
          <w:tcPr>
            <w:tcW w:w="1276" w:type="dxa"/>
            <w:shd w:val="clear" w:color="auto" w:fill="auto"/>
            <w:vAlign w:val="bottom"/>
          </w:tcPr>
          <w:p w14:paraId="6C1F3A95"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89 260</w:t>
            </w:r>
          </w:p>
        </w:tc>
        <w:tc>
          <w:tcPr>
            <w:tcW w:w="2126" w:type="dxa"/>
            <w:shd w:val="clear" w:color="auto" w:fill="auto"/>
            <w:vAlign w:val="bottom"/>
          </w:tcPr>
          <w:p w14:paraId="051744EB"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2 837</w:t>
            </w:r>
          </w:p>
        </w:tc>
        <w:tc>
          <w:tcPr>
            <w:tcW w:w="2267" w:type="dxa"/>
            <w:shd w:val="clear" w:color="auto" w:fill="auto"/>
            <w:vAlign w:val="bottom"/>
          </w:tcPr>
          <w:p w14:paraId="68BB964E"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567</w:t>
            </w:r>
          </w:p>
        </w:tc>
      </w:tr>
      <w:tr w:rsidR="00CC6CC7" w:rsidRPr="00BE6247" w14:paraId="7E019A07" w14:textId="77777777" w:rsidTr="00506216">
        <w:tc>
          <w:tcPr>
            <w:tcW w:w="1701" w:type="dxa"/>
            <w:shd w:val="clear" w:color="auto" w:fill="auto"/>
          </w:tcPr>
          <w:p w14:paraId="3AF652B8"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Гродненская область</w:t>
            </w:r>
          </w:p>
        </w:tc>
        <w:tc>
          <w:tcPr>
            <w:tcW w:w="1276" w:type="dxa"/>
            <w:shd w:val="clear" w:color="auto" w:fill="auto"/>
            <w:vAlign w:val="bottom"/>
          </w:tcPr>
          <w:p w14:paraId="16D026CD"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69 125</w:t>
            </w:r>
          </w:p>
        </w:tc>
        <w:tc>
          <w:tcPr>
            <w:tcW w:w="2126" w:type="dxa"/>
            <w:shd w:val="clear" w:color="auto" w:fill="auto"/>
            <w:vAlign w:val="bottom"/>
          </w:tcPr>
          <w:p w14:paraId="4A6D44AA"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2 346</w:t>
            </w:r>
          </w:p>
        </w:tc>
        <w:tc>
          <w:tcPr>
            <w:tcW w:w="2267" w:type="dxa"/>
            <w:shd w:val="clear" w:color="auto" w:fill="auto"/>
            <w:vAlign w:val="bottom"/>
          </w:tcPr>
          <w:p w14:paraId="5CEFFE74"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369</w:t>
            </w:r>
          </w:p>
        </w:tc>
      </w:tr>
      <w:tr w:rsidR="00CC6CC7" w:rsidRPr="00BE6247" w14:paraId="7F55D38B" w14:textId="77777777" w:rsidTr="00506216">
        <w:tc>
          <w:tcPr>
            <w:tcW w:w="1701" w:type="dxa"/>
            <w:shd w:val="clear" w:color="auto" w:fill="auto"/>
          </w:tcPr>
          <w:p w14:paraId="1E7F0258"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Могилевская область</w:t>
            </w:r>
          </w:p>
        </w:tc>
        <w:tc>
          <w:tcPr>
            <w:tcW w:w="1276" w:type="dxa"/>
            <w:shd w:val="clear" w:color="auto" w:fill="auto"/>
            <w:vAlign w:val="bottom"/>
          </w:tcPr>
          <w:p w14:paraId="0989B0EE"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63 192</w:t>
            </w:r>
          </w:p>
        </w:tc>
        <w:tc>
          <w:tcPr>
            <w:tcW w:w="2126" w:type="dxa"/>
            <w:shd w:val="clear" w:color="auto" w:fill="auto"/>
            <w:vAlign w:val="bottom"/>
          </w:tcPr>
          <w:p w14:paraId="02554E77"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3 284</w:t>
            </w:r>
          </w:p>
        </w:tc>
        <w:tc>
          <w:tcPr>
            <w:tcW w:w="2267" w:type="dxa"/>
            <w:shd w:val="clear" w:color="auto" w:fill="auto"/>
            <w:vAlign w:val="bottom"/>
          </w:tcPr>
          <w:p w14:paraId="1DAFE0F5"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558</w:t>
            </w:r>
          </w:p>
        </w:tc>
      </w:tr>
      <w:tr w:rsidR="00CC6CC7" w:rsidRPr="00BE6247" w14:paraId="4CE5433E" w14:textId="77777777" w:rsidTr="00506216">
        <w:tc>
          <w:tcPr>
            <w:tcW w:w="1701" w:type="dxa"/>
            <w:shd w:val="clear" w:color="auto" w:fill="auto"/>
          </w:tcPr>
          <w:p w14:paraId="1AA189B6"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Минская область</w:t>
            </w:r>
          </w:p>
        </w:tc>
        <w:tc>
          <w:tcPr>
            <w:tcW w:w="1276" w:type="dxa"/>
            <w:shd w:val="clear" w:color="auto" w:fill="auto"/>
            <w:vAlign w:val="bottom"/>
          </w:tcPr>
          <w:p w14:paraId="422CDBAA"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88 434</w:t>
            </w:r>
          </w:p>
        </w:tc>
        <w:tc>
          <w:tcPr>
            <w:tcW w:w="2126" w:type="dxa"/>
            <w:shd w:val="clear" w:color="auto" w:fill="auto"/>
            <w:vAlign w:val="bottom"/>
          </w:tcPr>
          <w:p w14:paraId="4DF3ECB6"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4 857</w:t>
            </w:r>
          </w:p>
        </w:tc>
        <w:tc>
          <w:tcPr>
            <w:tcW w:w="2267" w:type="dxa"/>
            <w:shd w:val="clear" w:color="auto" w:fill="auto"/>
            <w:vAlign w:val="bottom"/>
          </w:tcPr>
          <w:p w14:paraId="21CCE7CC"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1 095</w:t>
            </w:r>
          </w:p>
        </w:tc>
      </w:tr>
      <w:tr w:rsidR="00CC6CC7" w:rsidRPr="00BE6247" w14:paraId="64A32B93" w14:textId="77777777" w:rsidTr="00506216">
        <w:tc>
          <w:tcPr>
            <w:tcW w:w="1701" w:type="dxa"/>
            <w:tcBorders>
              <w:bottom w:val="single" w:sz="4" w:space="0" w:color="auto"/>
            </w:tcBorders>
            <w:shd w:val="clear" w:color="auto" w:fill="auto"/>
          </w:tcPr>
          <w:p w14:paraId="12517BF7" w14:textId="77777777" w:rsidR="00CC6CC7" w:rsidRPr="00BE6247" w:rsidRDefault="00CC6CC7" w:rsidP="00506216">
            <w:pPr>
              <w:suppressAutoHyphens w:val="0"/>
              <w:spacing w:before="40" w:after="40" w:line="220" w:lineRule="exact"/>
              <w:rPr>
                <w:rFonts w:cs="Times New Roman"/>
                <w:sz w:val="18"/>
              </w:rPr>
            </w:pPr>
            <w:r w:rsidRPr="00BE6247">
              <w:rPr>
                <w:rFonts w:cs="Times New Roman"/>
                <w:sz w:val="18"/>
              </w:rPr>
              <w:t>г. Минск</w:t>
            </w:r>
          </w:p>
        </w:tc>
        <w:tc>
          <w:tcPr>
            <w:tcW w:w="1276" w:type="dxa"/>
            <w:tcBorders>
              <w:bottom w:val="single" w:sz="4" w:space="0" w:color="auto"/>
            </w:tcBorders>
            <w:shd w:val="clear" w:color="auto" w:fill="auto"/>
            <w:vAlign w:val="bottom"/>
          </w:tcPr>
          <w:p w14:paraId="5B0D6F6C"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198 664</w:t>
            </w:r>
          </w:p>
        </w:tc>
        <w:tc>
          <w:tcPr>
            <w:tcW w:w="2126" w:type="dxa"/>
            <w:tcBorders>
              <w:bottom w:val="single" w:sz="4" w:space="0" w:color="auto"/>
            </w:tcBorders>
            <w:shd w:val="clear" w:color="auto" w:fill="auto"/>
            <w:vAlign w:val="bottom"/>
          </w:tcPr>
          <w:p w14:paraId="2D786105"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1 126</w:t>
            </w:r>
          </w:p>
        </w:tc>
        <w:tc>
          <w:tcPr>
            <w:tcW w:w="2267" w:type="dxa"/>
            <w:tcBorders>
              <w:bottom w:val="single" w:sz="4" w:space="0" w:color="auto"/>
            </w:tcBorders>
            <w:shd w:val="clear" w:color="auto" w:fill="auto"/>
            <w:vAlign w:val="bottom"/>
          </w:tcPr>
          <w:p w14:paraId="7E2ECE09" w14:textId="77777777" w:rsidR="00CC6CC7" w:rsidRPr="00BE6247" w:rsidRDefault="00CC6CC7" w:rsidP="00506216">
            <w:pPr>
              <w:suppressAutoHyphens w:val="0"/>
              <w:spacing w:before="40" w:after="40" w:line="220" w:lineRule="exact"/>
              <w:jc w:val="right"/>
              <w:rPr>
                <w:rFonts w:cs="Times New Roman"/>
                <w:sz w:val="18"/>
              </w:rPr>
            </w:pPr>
            <w:r w:rsidRPr="00BE6247">
              <w:rPr>
                <w:rFonts w:cs="Times New Roman"/>
                <w:sz w:val="18"/>
              </w:rPr>
              <w:t>464</w:t>
            </w:r>
          </w:p>
        </w:tc>
      </w:tr>
      <w:tr w:rsidR="00CC6CC7" w:rsidRPr="001F202E" w14:paraId="2E650442" w14:textId="77777777" w:rsidTr="00506216">
        <w:tc>
          <w:tcPr>
            <w:tcW w:w="1701" w:type="dxa"/>
            <w:tcBorders>
              <w:top w:val="single" w:sz="4" w:space="0" w:color="auto"/>
              <w:bottom w:val="single" w:sz="12" w:space="0" w:color="auto"/>
            </w:tcBorders>
            <w:shd w:val="clear" w:color="auto" w:fill="auto"/>
          </w:tcPr>
          <w:p w14:paraId="62CB8D6D" w14:textId="77777777" w:rsidR="00CC6CC7" w:rsidRPr="001F202E" w:rsidRDefault="00CC6CC7" w:rsidP="00506216">
            <w:pPr>
              <w:suppressAutoHyphens w:val="0"/>
              <w:spacing w:before="80" w:after="80" w:line="220" w:lineRule="exact"/>
              <w:ind w:firstLine="284"/>
              <w:rPr>
                <w:rFonts w:cs="Times New Roman"/>
                <w:b/>
                <w:sz w:val="18"/>
              </w:rPr>
            </w:pPr>
            <w:r w:rsidRPr="001F202E">
              <w:rPr>
                <w:rFonts w:cs="Times New Roman"/>
                <w:b/>
                <w:sz w:val="18"/>
              </w:rPr>
              <w:t>Итого</w:t>
            </w:r>
          </w:p>
        </w:tc>
        <w:tc>
          <w:tcPr>
            <w:tcW w:w="1276" w:type="dxa"/>
            <w:tcBorders>
              <w:top w:val="single" w:sz="4" w:space="0" w:color="auto"/>
              <w:bottom w:val="single" w:sz="12" w:space="0" w:color="auto"/>
            </w:tcBorders>
            <w:shd w:val="clear" w:color="auto" w:fill="auto"/>
            <w:vAlign w:val="bottom"/>
          </w:tcPr>
          <w:p w14:paraId="35FD856F" w14:textId="77777777" w:rsidR="00CC6CC7" w:rsidRPr="001F202E" w:rsidRDefault="00CC6CC7" w:rsidP="00506216">
            <w:pPr>
              <w:suppressAutoHyphens w:val="0"/>
              <w:spacing w:before="80" w:after="80" w:line="220" w:lineRule="exact"/>
              <w:jc w:val="right"/>
              <w:rPr>
                <w:rFonts w:cs="Times New Roman"/>
                <w:b/>
                <w:sz w:val="18"/>
              </w:rPr>
            </w:pPr>
            <w:r w:rsidRPr="001F202E">
              <w:rPr>
                <w:rFonts w:cs="Times New Roman"/>
                <w:b/>
                <w:sz w:val="18"/>
              </w:rPr>
              <w:t>663 843</w:t>
            </w:r>
          </w:p>
        </w:tc>
        <w:tc>
          <w:tcPr>
            <w:tcW w:w="2126" w:type="dxa"/>
            <w:tcBorders>
              <w:top w:val="single" w:sz="4" w:space="0" w:color="auto"/>
              <w:bottom w:val="single" w:sz="12" w:space="0" w:color="auto"/>
            </w:tcBorders>
            <w:shd w:val="clear" w:color="auto" w:fill="auto"/>
            <w:vAlign w:val="bottom"/>
          </w:tcPr>
          <w:p w14:paraId="59F4D04F" w14:textId="77777777" w:rsidR="00CC6CC7" w:rsidRPr="001F202E" w:rsidRDefault="00CC6CC7" w:rsidP="00506216">
            <w:pPr>
              <w:suppressAutoHyphens w:val="0"/>
              <w:spacing w:before="80" w:after="80" w:line="220" w:lineRule="exact"/>
              <w:jc w:val="right"/>
              <w:rPr>
                <w:rFonts w:cs="Times New Roman"/>
                <w:b/>
                <w:sz w:val="18"/>
              </w:rPr>
            </w:pPr>
            <w:r w:rsidRPr="001F202E">
              <w:rPr>
                <w:rFonts w:cs="Times New Roman"/>
                <w:b/>
                <w:sz w:val="18"/>
              </w:rPr>
              <w:t>19 365</w:t>
            </w:r>
          </w:p>
        </w:tc>
        <w:tc>
          <w:tcPr>
            <w:tcW w:w="2267" w:type="dxa"/>
            <w:tcBorders>
              <w:top w:val="single" w:sz="4" w:space="0" w:color="auto"/>
              <w:bottom w:val="single" w:sz="12" w:space="0" w:color="auto"/>
            </w:tcBorders>
            <w:shd w:val="clear" w:color="auto" w:fill="auto"/>
            <w:vAlign w:val="bottom"/>
          </w:tcPr>
          <w:p w14:paraId="1FE85080" w14:textId="77777777" w:rsidR="00CC6CC7" w:rsidRPr="001F202E" w:rsidRDefault="00CC6CC7" w:rsidP="00506216">
            <w:pPr>
              <w:suppressAutoHyphens w:val="0"/>
              <w:spacing w:before="80" w:after="80" w:line="220" w:lineRule="exact"/>
              <w:jc w:val="right"/>
              <w:rPr>
                <w:rFonts w:cs="Times New Roman"/>
                <w:b/>
                <w:sz w:val="18"/>
              </w:rPr>
            </w:pPr>
            <w:r w:rsidRPr="001F202E">
              <w:rPr>
                <w:rFonts w:cs="Times New Roman"/>
                <w:b/>
                <w:sz w:val="18"/>
              </w:rPr>
              <w:t>3 990</w:t>
            </w:r>
          </w:p>
        </w:tc>
      </w:tr>
    </w:tbl>
    <w:p w14:paraId="746135EF" w14:textId="77777777" w:rsidR="00CC6CC7" w:rsidRDefault="00CC6CC7" w:rsidP="00CC6CC7">
      <w:pPr>
        <w:pStyle w:val="SingleTxtG"/>
        <w:spacing w:before="120"/>
      </w:pPr>
      <w:r>
        <w:t>222.</w:t>
      </w:r>
      <w:r>
        <w:tab/>
        <w:t>На законодательном уровне определен значительный круг лиц (18 категорий), имеющих право на получение социального жилья. Положением об учете граждан, нуждающихся в улучшении жилищных условий данное право предоставлено:</w:t>
      </w:r>
    </w:p>
    <w:p w14:paraId="505F097C" w14:textId="77777777" w:rsidR="00CC6CC7" w:rsidRDefault="00CC6CC7" w:rsidP="00CC6CC7">
      <w:pPr>
        <w:pStyle w:val="Bullet1G"/>
        <w:numPr>
          <w:ilvl w:val="0"/>
          <w:numId w:val="16"/>
        </w:numPr>
      </w:pPr>
      <w:r>
        <w:t>Героям Беларуси, Героям Советского Союза, Героям Социалистического Труда, полным кавалерам орденов Славы, Трудовой Славы;</w:t>
      </w:r>
    </w:p>
    <w:p w14:paraId="68FBB708" w14:textId="77777777" w:rsidR="00CC6CC7" w:rsidRDefault="00CC6CC7" w:rsidP="00CC6CC7">
      <w:pPr>
        <w:pStyle w:val="Bullet1G"/>
        <w:numPr>
          <w:ilvl w:val="0"/>
          <w:numId w:val="16"/>
        </w:numPr>
      </w:pPr>
      <w:r>
        <w:t>ветеранам и инвалидам Великой Отечественной войны;</w:t>
      </w:r>
    </w:p>
    <w:p w14:paraId="1BA997B5" w14:textId="77777777" w:rsidR="00CC6CC7" w:rsidRDefault="00CC6CC7" w:rsidP="00CC6CC7">
      <w:pPr>
        <w:pStyle w:val="Bullet1G"/>
        <w:numPr>
          <w:ilvl w:val="0"/>
          <w:numId w:val="16"/>
        </w:numPr>
      </w:pPr>
      <w:r>
        <w:t>ветеранам и инвалидам боевых действий на территории других государств;</w:t>
      </w:r>
    </w:p>
    <w:p w14:paraId="542DC083" w14:textId="77777777" w:rsidR="00CC6CC7" w:rsidRDefault="00CC6CC7" w:rsidP="00CC6CC7">
      <w:pPr>
        <w:pStyle w:val="Bullet1G"/>
        <w:numPr>
          <w:ilvl w:val="0"/>
          <w:numId w:val="16"/>
        </w:numPr>
      </w:pPr>
      <w:r>
        <w:t>инвалидам с детства вследствие ранения, контузии, увечья, связанных с боевыми действиями в период ВОВ либо с последствиями военных действий;</w:t>
      </w:r>
    </w:p>
    <w:p w14:paraId="7A3F3F8C" w14:textId="77777777" w:rsidR="00CC6CC7" w:rsidRDefault="00CC6CC7" w:rsidP="00CC6CC7">
      <w:pPr>
        <w:pStyle w:val="Bullet1G"/>
        <w:numPr>
          <w:ilvl w:val="0"/>
          <w:numId w:val="16"/>
        </w:numPr>
      </w:pPr>
      <w:r>
        <w:t>гражданам, заболевшим и перенесшим лучевую болезнь, вызванную последствиями катастрофы на Чернобыльской АЭС, других радиационных аварий;</w:t>
      </w:r>
    </w:p>
    <w:p w14:paraId="6775D585" w14:textId="77777777" w:rsidR="00CC6CC7" w:rsidRDefault="00CC6CC7" w:rsidP="00CC6CC7">
      <w:pPr>
        <w:pStyle w:val="Bullet1G"/>
        <w:numPr>
          <w:ilvl w:val="0"/>
          <w:numId w:val="16"/>
        </w:numPr>
      </w:pPr>
      <w:r>
        <w:t>семьям, воспитывающим детей-инвалидов и др.</w:t>
      </w:r>
    </w:p>
    <w:p w14:paraId="2E8D2C4E" w14:textId="77777777" w:rsidR="00CC6CC7" w:rsidRDefault="00CC6CC7" w:rsidP="00CC6CC7">
      <w:pPr>
        <w:pStyle w:val="SingleTxtG"/>
      </w:pPr>
      <w:r>
        <w:tab/>
      </w:r>
      <w:r>
        <w:tab/>
        <w:t>Иные категории, имеющие право на получение социального жилья:</w:t>
      </w:r>
    </w:p>
    <w:p w14:paraId="78E96FC5" w14:textId="77777777" w:rsidR="00CC6CC7" w:rsidRDefault="00CC6CC7" w:rsidP="00CC6CC7">
      <w:pPr>
        <w:pStyle w:val="Bullet1G"/>
        <w:numPr>
          <w:ilvl w:val="0"/>
          <w:numId w:val="16"/>
        </w:numPr>
      </w:pPr>
      <w:r>
        <w:t>граждане, жилые помещения которых вследствие чрезвычайных ситуаций природного и техногенного характера, боевых действий и актов терроризма стали непригодными для проживания;</w:t>
      </w:r>
    </w:p>
    <w:p w14:paraId="2E71C4B0" w14:textId="77777777" w:rsidR="00CC6CC7" w:rsidRDefault="00CC6CC7" w:rsidP="00CC6CC7">
      <w:pPr>
        <w:pStyle w:val="Bullet1G"/>
        <w:numPr>
          <w:ilvl w:val="0"/>
          <w:numId w:val="16"/>
        </w:numPr>
      </w:pPr>
      <w:r>
        <w:t>граждане, имеющие заболевания, и граждане, в составе семей которых есть дети, имеющие заболевания, при которых невозможно совместное проживание (перечень определен постановлением Минздрава от 22.12.2012 № 202);</w:t>
      </w:r>
    </w:p>
    <w:p w14:paraId="5D9371F9" w14:textId="77777777" w:rsidR="00CC6CC7" w:rsidRDefault="00CC6CC7" w:rsidP="00CC6CC7">
      <w:pPr>
        <w:pStyle w:val="Bullet1G"/>
        <w:numPr>
          <w:ilvl w:val="0"/>
          <w:numId w:val="16"/>
        </w:numPr>
      </w:pPr>
      <w:r>
        <w:t>дети-сироты и дети, оставшиеся без попечения родителей, в отношении которых принято решение об эмансипации или которые вступили в брак, лица из числа детей-сирот и детей, оставшихся без попечения родителей;</w:t>
      </w:r>
    </w:p>
    <w:p w14:paraId="7C8835B8" w14:textId="77777777" w:rsidR="00CC6CC7" w:rsidRDefault="00CC6CC7" w:rsidP="00CC6CC7">
      <w:pPr>
        <w:pStyle w:val="Bullet1G"/>
        <w:numPr>
          <w:ilvl w:val="0"/>
          <w:numId w:val="16"/>
        </w:numPr>
      </w:pPr>
      <w:r>
        <w:t>граждане, в том числе уволенные в запас (отставку), из числа военнослужащих, ставших инвалидами вследствие ранения, контузии, увечья или заболевания, полученных при исполнении обязанностей военной службы (служебных обязанностей);</w:t>
      </w:r>
    </w:p>
    <w:p w14:paraId="1081D300" w14:textId="77777777" w:rsidR="00CC6CC7" w:rsidRDefault="00CC6CC7" w:rsidP="00CC6CC7">
      <w:pPr>
        <w:pStyle w:val="Bullet1G"/>
        <w:numPr>
          <w:ilvl w:val="0"/>
          <w:numId w:val="16"/>
        </w:numPr>
      </w:pPr>
      <w:r>
        <w:lastRenderedPageBreak/>
        <w:t>неработающие одинокие инвалиды I и II группы;</w:t>
      </w:r>
    </w:p>
    <w:p w14:paraId="5F8863EA" w14:textId="77777777" w:rsidR="00CC6CC7" w:rsidRDefault="00CC6CC7" w:rsidP="00CC6CC7">
      <w:pPr>
        <w:pStyle w:val="Bullet1G"/>
        <w:numPr>
          <w:ilvl w:val="0"/>
          <w:numId w:val="16"/>
        </w:numPr>
      </w:pPr>
      <w:r>
        <w:t>неработающие одинокие пенсионеры;</w:t>
      </w:r>
    </w:p>
    <w:p w14:paraId="0E6DFBB3" w14:textId="77777777" w:rsidR="00CC6CC7" w:rsidRDefault="00CC6CC7" w:rsidP="00CC6CC7">
      <w:pPr>
        <w:pStyle w:val="Bullet1G"/>
        <w:numPr>
          <w:ilvl w:val="0"/>
          <w:numId w:val="16"/>
        </w:numPr>
      </w:pPr>
      <w:r>
        <w:t>малообеспеченные:</w:t>
      </w:r>
    </w:p>
    <w:p w14:paraId="2C5DC6E3" w14:textId="77777777" w:rsidR="00CC6CC7" w:rsidRDefault="00CC6CC7" w:rsidP="00CC6CC7">
      <w:pPr>
        <w:pStyle w:val="Bullet2G"/>
        <w:numPr>
          <w:ilvl w:val="0"/>
          <w:numId w:val="17"/>
        </w:numPr>
      </w:pPr>
      <w:r>
        <w:t>инвалиды I и II группы, за исключением неработающих инвалидов и инвалидов в связи с катастрофой на ЧАЭС, другими радиационными авариями;</w:t>
      </w:r>
    </w:p>
    <w:p w14:paraId="24A3C989" w14:textId="77777777" w:rsidR="00CC6CC7" w:rsidRDefault="00CC6CC7" w:rsidP="00CC6CC7">
      <w:pPr>
        <w:pStyle w:val="Bullet2G"/>
        <w:numPr>
          <w:ilvl w:val="0"/>
          <w:numId w:val="17"/>
        </w:numPr>
      </w:pPr>
      <w:r>
        <w:t>пенсионеры;</w:t>
      </w:r>
    </w:p>
    <w:p w14:paraId="3A7742CB" w14:textId="77777777" w:rsidR="00CC6CC7" w:rsidRDefault="00CC6CC7" w:rsidP="00CC6CC7">
      <w:pPr>
        <w:pStyle w:val="Bullet2G"/>
        <w:numPr>
          <w:ilvl w:val="0"/>
          <w:numId w:val="17"/>
        </w:numPr>
      </w:pPr>
      <w:r>
        <w:t>многодетные семьи;</w:t>
      </w:r>
    </w:p>
    <w:p w14:paraId="0C4A3E2A" w14:textId="77777777" w:rsidR="00CC6CC7" w:rsidRDefault="00CC6CC7" w:rsidP="00CC6CC7">
      <w:pPr>
        <w:pStyle w:val="Bullet2G"/>
        <w:numPr>
          <w:ilvl w:val="0"/>
          <w:numId w:val="17"/>
        </w:numPr>
      </w:pPr>
      <w:r>
        <w:t>граждане, взявшие на воспитание троих и более детей-сирот и (или) детей, оставшихся без попечения родителей.</w:t>
      </w:r>
    </w:p>
    <w:p w14:paraId="173F91A0" w14:textId="77777777" w:rsidR="00CC6CC7" w:rsidRDefault="00CC6CC7" w:rsidP="00CC6CC7">
      <w:pPr>
        <w:pStyle w:val="SingleTxtG"/>
      </w:pPr>
      <w:r>
        <w:t>223.</w:t>
      </w:r>
      <w:r>
        <w:tab/>
        <w:t>При получении социального жилья плата за данное жилье не взимается, оплачиваются только жилищно-коммунальные услуги.</w:t>
      </w:r>
    </w:p>
    <w:p w14:paraId="7CC25BB9" w14:textId="77777777" w:rsidR="00CC6CC7" w:rsidRDefault="00CC6CC7" w:rsidP="00CC6CC7">
      <w:pPr>
        <w:pStyle w:val="SingleTxtG"/>
      </w:pPr>
      <w:r>
        <w:t>224.</w:t>
      </w:r>
      <w:r>
        <w:tab/>
        <w:t>Основными принципами государственной политики Беларуси в области охраны окружающей среды являются:</w:t>
      </w:r>
    </w:p>
    <w:p w14:paraId="4745B5AD" w14:textId="77777777" w:rsidR="00CC6CC7" w:rsidRDefault="00CC6CC7" w:rsidP="00CC6CC7">
      <w:pPr>
        <w:pStyle w:val="Bullet1G"/>
        <w:numPr>
          <w:ilvl w:val="0"/>
          <w:numId w:val="16"/>
        </w:numPr>
      </w:pPr>
      <w:r>
        <w:t>соблюдение права граждан на благоприятную окружающую среду;</w:t>
      </w:r>
    </w:p>
    <w:p w14:paraId="58579639" w14:textId="77777777" w:rsidR="00CC6CC7" w:rsidRDefault="00CC6CC7" w:rsidP="00CC6CC7">
      <w:pPr>
        <w:pStyle w:val="Bullet1G"/>
        <w:numPr>
          <w:ilvl w:val="0"/>
          <w:numId w:val="16"/>
        </w:numPr>
      </w:pPr>
      <w:r>
        <w:t>обеспечение благоприятных условий для жизни и здоровья граждан, снижения вредного воздействия хозяйственной и иной деятельности на окружающую среду с учетом экономических и социальных факторов;</w:t>
      </w:r>
    </w:p>
    <w:p w14:paraId="332AE385" w14:textId="77777777" w:rsidR="00CC6CC7" w:rsidRDefault="00CC6CC7" w:rsidP="00CC6CC7">
      <w:pPr>
        <w:pStyle w:val="Bullet1G"/>
        <w:numPr>
          <w:ilvl w:val="0"/>
          <w:numId w:val="16"/>
        </w:numPr>
      </w:pPr>
      <w:r>
        <w:t>гласность в работе государственных органов, общественных объединений по вопросам охраны окружающей среды и обеспечения граждан полной, достоверной и своевременной экологической информацией;</w:t>
      </w:r>
    </w:p>
    <w:p w14:paraId="0F6744DA" w14:textId="77777777" w:rsidR="00CC6CC7" w:rsidRDefault="00CC6CC7" w:rsidP="00CC6CC7">
      <w:pPr>
        <w:pStyle w:val="Bullet1G"/>
        <w:numPr>
          <w:ilvl w:val="0"/>
          <w:numId w:val="16"/>
        </w:numPr>
      </w:pPr>
      <w:r>
        <w:t>обязательность участия в деятельности по охране окружающей среды государственных органов, общественных объединений, иных юридических лиц и граждан.</w:t>
      </w:r>
    </w:p>
    <w:p w14:paraId="07C92961" w14:textId="77777777" w:rsidR="00CC6CC7" w:rsidRDefault="00CC6CC7" w:rsidP="00CC6CC7">
      <w:pPr>
        <w:pStyle w:val="SingleTxtG"/>
      </w:pPr>
      <w:r>
        <w:t>225.</w:t>
      </w:r>
      <w:r>
        <w:tab/>
        <w:t>Законодательство предусматривает обязательность проведения оценки воздействия на окружающую среду в отношении проектов хозяйственной деятельности и проектов программных документов, реализация которых оказывает воздействие на окружающую среду и (или) связана с использованием природных ресурсов, а также закрепляет право участия общественности в принятии экологически значимых решений и право доступа к экологической информации. За нарушение этих норм законодательства предусмотрена ответственность.</w:t>
      </w:r>
    </w:p>
    <w:p w14:paraId="4B451AF8" w14:textId="77777777" w:rsidR="00CC6CC7" w:rsidRDefault="00CC6CC7" w:rsidP="00CC6CC7">
      <w:pPr>
        <w:pStyle w:val="SingleTxtG"/>
      </w:pPr>
      <w:r>
        <w:t>226.</w:t>
      </w:r>
      <w:r>
        <w:tab/>
        <w:t xml:space="preserve">В результате проведенной в 2018 году работы по развитию системы особо охраняемых природных территорий их общая площадь достигла 8,9% от общей площади страны (показатель национальной безопасности в экологической сфере – не менее 8,0%). На 1 января 2019 года функционируют 1 289 особо охраняемых природных территорий. </w:t>
      </w:r>
    </w:p>
    <w:p w14:paraId="352886CB" w14:textId="77777777" w:rsidR="00CC6CC7" w:rsidRDefault="00CC6CC7" w:rsidP="00CC6CC7">
      <w:pPr>
        <w:pStyle w:val="SingleTxtG"/>
      </w:pPr>
      <w:r>
        <w:t>227.</w:t>
      </w:r>
      <w:r>
        <w:tab/>
        <w:t>В рамках выполнения обязательств, принятых Республикой Беларусь по реализации Стокгольмской конвенции о стойких органических загрязнителях, общее количество оборудования и отходов, содержащих полихлорированные бифенилы, с 2015 года уменьшилось более чем на 15%.</w:t>
      </w:r>
    </w:p>
    <w:p w14:paraId="6EC7E665" w14:textId="77777777" w:rsidR="00CC6CC7" w:rsidRDefault="00CC6CC7" w:rsidP="00CC6CC7">
      <w:pPr>
        <w:pStyle w:val="SingleTxtG"/>
      </w:pPr>
      <w:r>
        <w:t>228.</w:t>
      </w:r>
      <w:r>
        <w:tab/>
        <w:t>В результате принятых мер к 2019 году уменьшилось количество складских помещений, в которых хранятся непригодные пестициды, а также количество хранящихся в них отходов – на 35%. За 2015–2017 годы в республике отмечено уменьшение объема накопления опасных отходов (1–3 классов опасности) на 12%.</w:t>
      </w:r>
    </w:p>
    <w:p w14:paraId="05DEA9EE" w14:textId="77777777" w:rsidR="00CC6CC7" w:rsidRDefault="00CC6CC7" w:rsidP="00CC6CC7">
      <w:pPr>
        <w:pStyle w:val="SingleTxtG"/>
      </w:pPr>
      <w:r>
        <w:t>229.</w:t>
      </w:r>
      <w:r>
        <w:tab/>
        <w:t>За счет внедрения мировых стандартов, экологических требований по недопущению образования и вовлечения в оборот отходов производства, количество отходов, направляемых на захоронение за последние 5 лет, сократилось на 41%.</w:t>
      </w:r>
    </w:p>
    <w:p w14:paraId="4A29BF0A" w14:textId="77777777" w:rsidR="00CC6CC7" w:rsidRDefault="00CC6CC7" w:rsidP="00CC6CC7">
      <w:pPr>
        <w:pStyle w:val="SingleTxtG"/>
      </w:pPr>
      <w:r>
        <w:t>230.</w:t>
      </w:r>
      <w:r>
        <w:tab/>
        <w:t xml:space="preserve">При Министерстве природных ресурсов и охраны окружающей среды создан постоянный общественный координационный экологический совет (ОКЭС) для взаимодействия с общественными организациями, осуществляющими деятельность в </w:t>
      </w:r>
      <w:r>
        <w:lastRenderedPageBreak/>
        <w:t>области охраны окружающей среды и рационального использования природных ресурсов. В состав ОКЭС входят 23 общественные организации.</w:t>
      </w:r>
    </w:p>
    <w:p w14:paraId="3E92C996" w14:textId="77777777" w:rsidR="00CC6CC7" w:rsidRDefault="00CC6CC7" w:rsidP="00CC6CC7">
      <w:pPr>
        <w:pStyle w:val="SingleTxtG"/>
      </w:pPr>
      <w:r>
        <w:t>231.</w:t>
      </w:r>
      <w:r>
        <w:tab/>
        <w:t xml:space="preserve">В 2018 году состоялось три заседания ОКЭС, в ходе работы которых были рассмотрены вопросы по разработке законопроекта, содержащего изменения в статью 100 Закона Республики Беларусь от 26 ноября 1992 года № 1982-XІІ «Об охране окружающей среды», проекта Стратегии управления водными ресурсами в условиях изменения климата на период до 2030 года, подготовке к Конференции Сторон Рамочной конвенции Организации Объединенных Наций об изменении климата. </w:t>
      </w:r>
    </w:p>
    <w:p w14:paraId="204C4900" w14:textId="77777777" w:rsidR="00CC6CC7" w:rsidRDefault="00CC6CC7" w:rsidP="00CC6CC7">
      <w:pPr>
        <w:pStyle w:val="SingleTxtG"/>
      </w:pPr>
      <w:r>
        <w:t>232.</w:t>
      </w:r>
      <w:r>
        <w:tab/>
        <w:t>План работы на год, повестки и протоколы заседаний совета и протоколы размещены в открытом доступе на официальном сайте Минприроды в разделе «Взаимодействие с общественностью и бизнес-сообществом».</w:t>
      </w:r>
    </w:p>
    <w:p w14:paraId="29993FBF" w14:textId="77777777" w:rsidR="00CC6CC7" w:rsidRDefault="00CC6CC7" w:rsidP="00CC6CC7">
      <w:pPr>
        <w:pStyle w:val="SingleTxtG"/>
      </w:pPr>
      <w:r>
        <w:t>233.</w:t>
      </w:r>
      <w:r>
        <w:tab/>
        <w:t xml:space="preserve">Выносимые на общественные обсуждения нормативные правовые акты, в том числе рассматриваемые ОКЭС, размещаются на сайте Минприроды в разделе «Общественные обсуждения». </w:t>
      </w:r>
    </w:p>
    <w:p w14:paraId="772F4572" w14:textId="77777777" w:rsidR="00CC6CC7" w:rsidRDefault="00CC6CC7" w:rsidP="00CC6CC7">
      <w:pPr>
        <w:pStyle w:val="SingleTxtG"/>
      </w:pPr>
      <w:r>
        <w:t>234.</w:t>
      </w:r>
      <w:r>
        <w:tab/>
        <w:t>В рамках работы с общественностью и обеспечения доступа общественности к экологически значимой информации в 2018 году были даны ответы на 488 обращений граждан, в том числе по вопросам проведения государственной экологической экспертизы, стратегической экологической оценки, оценки воздействия на окружающую среду, радиационной безопасности окружающей среды в установленный законодательством срок.</w:t>
      </w:r>
    </w:p>
    <w:p w14:paraId="6B88160E" w14:textId="77777777" w:rsidR="00CC6CC7" w:rsidRDefault="00CC6CC7" w:rsidP="00CC6CC7">
      <w:pPr>
        <w:pStyle w:val="SingleTxtG"/>
      </w:pPr>
      <w:r>
        <w:t>235.</w:t>
      </w:r>
      <w:r>
        <w:tab/>
        <w:t>Большое внимание уделялось объектам «Строительство завода по производству сульфатной беленой целлюлозы на базе ОАО "Светлогорский ЦКК" мощностью 400 тыс. тонн в год», «Аккумуляторный завод ООО "</w:t>
      </w:r>
      <w:proofErr w:type="spellStart"/>
      <w:r>
        <w:t>АйПауэр</w:t>
      </w:r>
      <w:proofErr w:type="spellEnd"/>
      <w:r>
        <w:t xml:space="preserve">" с собственной котельной на природном газе по адресу: Брестский район, СЭЗ "Брест", район "Аэропорт"», «Строительство завода по выпуску спецмашин с реконструкцией действующего производства в </w:t>
      </w:r>
      <w:proofErr w:type="spellStart"/>
      <w:r>
        <w:t>п.у</w:t>
      </w:r>
      <w:proofErr w:type="spellEnd"/>
      <w:r>
        <w:t>. Колодищи Минского района».</w:t>
      </w:r>
    </w:p>
    <w:p w14:paraId="5EC309CD" w14:textId="77777777" w:rsidR="00CC6CC7" w:rsidRDefault="00CC6CC7" w:rsidP="00CC6CC7">
      <w:pPr>
        <w:pStyle w:val="SingleTxtG"/>
      </w:pPr>
      <w:r>
        <w:t>236.</w:t>
      </w:r>
      <w:r>
        <w:tab/>
        <w:t>Проведена полномасштабная разъяснительная работа в ходе встреч, посредством переписки по природоохранных вопросам, имеющим отношение к вышеуказанным объектам, что в некоторой степени способствовало снятию социального напряжения граждан, выступающих против строительства данных объектов, осуществлялись выезды специалистов Минприроды на эти объекты.</w:t>
      </w:r>
    </w:p>
    <w:p w14:paraId="7B5BDAE8" w14:textId="77777777" w:rsidR="00CC6CC7" w:rsidRDefault="00CC6CC7" w:rsidP="00CC6CC7">
      <w:pPr>
        <w:pStyle w:val="SingleTxtG"/>
      </w:pPr>
      <w:r>
        <w:t>237.</w:t>
      </w:r>
      <w:r>
        <w:tab/>
        <w:t xml:space="preserve">В целях информирования населения об изменениях законодательства в области охраны окружающей среды, а также о применении норм Декрета Президента Республики Беларусь от 23 ноября 2017 года № 7 «О развитии предпринимательства» в части, касающейся природоохранных требований, в течение года специалистами системы Минприроды проводилась информационно-разъяснительная работа путем участия в пресс-мероприятиях, конференциях, семинарах, совещаниях. Проведено 2 842 мероприятия: встречи, семинары, учеба, выезды, беседы с населением, представителями бизнеса и членами трудовых коллективов. </w:t>
      </w:r>
    </w:p>
    <w:p w14:paraId="0DE9E388" w14:textId="77777777" w:rsidR="00CC6CC7" w:rsidRDefault="00CC6CC7" w:rsidP="00CC6CC7">
      <w:pPr>
        <w:pStyle w:val="SingleTxtG"/>
      </w:pPr>
      <w:r>
        <w:t>238.</w:t>
      </w:r>
      <w:r>
        <w:tab/>
        <w:t xml:space="preserve">Минприроды и территориальными органами проводилась работа по информированию общественности о мероприятиях экологической направленности в социальных сетях. </w:t>
      </w:r>
    </w:p>
    <w:p w14:paraId="60CA8596" w14:textId="77777777" w:rsidR="00CC6CC7" w:rsidRDefault="00CC6CC7" w:rsidP="00CC6CC7">
      <w:pPr>
        <w:pStyle w:val="SingleTxtG"/>
      </w:pPr>
      <w:r>
        <w:t>239.</w:t>
      </w:r>
      <w:r>
        <w:tab/>
        <w:t>В целях формирования экологически ответственной позиции населения разработана и реализуется «Дорожная карта по повышению эффективности информационной работы с населением на 2018–2020 годы», утвержденная Министром природных ресурсов и охраны окружающей среды 18 июля 2018 года № 16-План. Разработаны методические рекомендации для территориальных комитетов Минприроды по проведению мониторинга общественного мнения по отдельным тематическим блокам в области охраны окружающей среды и рационального использования природных ресурсов.</w:t>
      </w:r>
    </w:p>
    <w:p w14:paraId="5473B9A3" w14:textId="77777777" w:rsidR="00CC6CC7" w:rsidRDefault="00CC6CC7" w:rsidP="00CC6CC7">
      <w:pPr>
        <w:pStyle w:val="SingleTxtG"/>
      </w:pPr>
      <w:r>
        <w:t>240.</w:t>
      </w:r>
      <w:r>
        <w:tab/>
        <w:t xml:space="preserve">Преодоление последствий катастрофы на Чернобыльской АЭС реализуется в рамках государственных программ, направленных на снижение риска неблагоприятных последствий для здоровья граждан, пострадавших от катастрофы на </w:t>
      </w:r>
      <w:r>
        <w:lastRenderedPageBreak/>
        <w:t xml:space="preserve">Чернобыльской АЭС, и содействие переходу от реабилитации территорий к их устойчивому социально-экономическому развитию при безусловном обеспечении требований радиационной безопасности. </w:t>
      </w:r>
    </w:p>
    <w:p w14:paraId="76A57C80" w14:textId="77777777" w:rsidR="00CC6CC7" w:rsidRDefault="00CC6CC7" w:rsidP="00CC6CC7">
      <w:pPr>
        <w:pStyle w:val="SingleTxtG"/>
      </w:pPr>
      <w:r>
        <w:t>241.</w:t>
      </w:r>
      <w:r>
        <w:tab/>
        <w:t>В настоящее время реализовывается Государственная программа по преодолению последствий катастрофы на Чернобыльской АЭС на 2011–2015 годы и на период до 2020 года, более половины средств которой направляется на социальную защиту, медицинское обеспечение и оздоровление пострадавшего населения. Дополнительная информация представлена в отдельном приложении к докладу.</w:t>
      </w:r>
    </w:p>
    <w:p w14:paraId="45A635FB" w14:textId="77777777" w:rsidR="00CC6CC7" w:rsidRDefault="00CC6CC7" w:rsidP="00CC6CC7">
      <w:pPr>
        <w:pStyle w:val="SingleTxtG"/>
      </w:pPr>
      <w:r>
        <w:t>242.</w:t>
      </w:r>
      <w:r>
        <w:tab/>
        <w:t>Финансирование мероприятий Государственной программы осуществляется за счет средств, запланированных на эти цели в республиканском и местных бюджетах, а также иных источников, предусмотренных законодательством, в соответствии с перечнями объектов, товаров (работ, услуг), разработанными заказчиками Государственной программы.</w:t>
      </w:r>
    </w:p>
    <w:p w14:paraId="1471C537" w14:textId="77777777" w:rsidR="00CC6CC7" w:rsidRDefault="00CC6CC7" w:rsidP="00CC6CC7">
      <w:pPr>
        <w:pStyle w:val="SingleTxtG"/>
      </w:pPr>
      <w:r>
        <w:t>243.</w:t>
      </w:r>
      <w:r>
        <w:tab/>
        <w:t>В рамках Государственной программы предусмотрены мероприятия:</w:t>
      </w:r>
    </w:p>
    <w:p w14:paraId="6BA77916" w14:textId="77777777" w:rsidR="00CC6CC7" w:rsidRDefault="00CC6CC7" w:rsidP="00CC6CC7">
      <w:pPr>
        <w:pStyle w:val="Bullet1G"/>
        <w:numPr>
          <w:ilvl w:val="0"/>
          <w:numId w:val="16"/>
        </w:numPr>
      </w:pPr>
      <w:r>
        <w:t xml:space="preserve">по социальной защите, медицинскому обеспечению, санаторно-курортному лечению и оздоровлению пострадавшего населения; </w:t>
      </w:r>
    </w:p>
    <w:p w14:paraId="12DD4458" w14:textId="77777777" w:rsidR="00CC6CC7" w:rsidRDefault="00CC6CC7" w:rsidP="00CC6CC7">
      <w:pPr>
        <w:pStyle w:val="Bullet1G"/>
        <w:numPr>
          <w:ilvl w:val="0"/>
          <w:numId w:val="16"/>
        </w:numPr>
      </w:pPr>
      <w:r>
        <w:t xml:space="preserve">по радиационной защите и адресному применению защитных мер; </w:t>
      </w:r>
    </w:p>
    <w:p w14:paraId="4D93A77B" w14:textId="77777777" w:rsidR="00CC6CC7" w:rsidRDefault="00CC6CC7" w:rsidP="00CC6CC7">
      <w:pPr>
        <w:pStyle w:val="Bullet1G"/>
        <w:numPr>
          <w:ilvl w:val="0"/>
          <w:numId w:val="16"/>
        </w:numPr>
      </w:pPr>
      <w:r>
        <w:t xml:space="preserve">по радиоактивному мониторингу и контролю радиоактивного загрязнения; </w:t>
      </w:r>
    </w:p>
    <w:p w14:paraId="348CE669" w14:textId="77777777" w:rsidR="00CC6CC7" w:rsidRDefault="00CC6CC7" w:rsidP="00CC6CC7">
      <w:pPr>
        <w:pStyle w:val="Bullet1G"/>
        <w:numPr>
          <w:ilvl w:val="0"/>
          <w:numId w:val="16"/>
        </w:numPr>
      </w:pPr>
      <w:r>
        <w:t>по социально-экономическому развитию пострадавших регионов.</w:t>
      </w:r>
    </w:p>
    <w:p w14:paraId="1C7023FC" w14:textId="77777777" w:rsidR="00CC6CC7" w:rsidRDefault="00CC6CC7" w:rsidP="00CC6CC7">
      <w:pPr>
        <w:pStyle w:val="SingleTxtG"/>
      </w:pPr>
      <w:r>
        <w:t>244.</w:t>
      </w:r>
      <w:r>
        <w:tab/>
        <w:t>Действующим законодательством установлена система льгот, прав, гарантий гражданам, принимавшим участие в ликвидации последствий чернобыльской катастрофы, а также эвакуированных, отселенных и выехавших на новое место жительства с территорий радиоактивного загрязнения, проживающих и работающих на загрязненных радионуклидами территориях.</w:t>
      </w:r>
    </w:p>
    <w:p w14:paraId="15214C39" w14:textId="77777777" w:rsidR="00CC6CC7" w:rsidRDefault="00CC6CC7" w:rsidP="00CC6CC7">
      <w:pPr>
        <w:pStyle w:val="SingleTxtG"/>
      </w:pPr>
      <w:r>
        <w:t>245.</w:t>
      </w:r>
      <w:r>
        <w:tab/>
        <w:t>Система медицинского наблюдения, диспансеризации, диагностики и лечения заболеваний, оздоровления и санаторно-курортного лечения пострадавших граждан позволяет компенсировать ущерб здоровью, нанесенный катастрофой.</w:t>
      </w:r>
    </w:p>
    <w:p w14:paraId="3975D9BC" w14:textId="77777777" w:rsidR="00CC6CC7" w:rsidRDefault="00CC6CC7" w:rsidP="00CC6CC7">
      <w:pPr>
        <w:pStyle w:val="SingleTxtG"/>
      </w:pPr>
      <w:r>
        <w:t>246.</w:t>
      </w:r>
      <w:r>
        <w:tab/>
        <w:t>Для санаторно-курортного лечения и оздоровления детей создана сеть из 12 специализированных организаций – детских реабилитационно-оздоровительных центров, которые круглый год принимают детей организованными группами. Ежегодно, начиная с 1990 года, белорусские дети более 1 млн раз выезжали на оздоровление за рубеж.</w:t>
      </w:r>
    </w:p>
    <w:p w14:paraId="792ECF85" w14:textId="77777777" w:rsidR="00CC6CC7" w:rsidRDefault="00CC6CC7" w:rsidP="00CC6CC7">
      <w:pPr>
        <w:pStyle w:val="SingleTxtG"/>
      </w:pPr>
      <w:r>
        <w:t>247.</w:t>
      </w:r>
      <w:r>
        <w:tab/>
        <w:t>Организовано ежегодное бесплатное питание для несовершеннолетних детей, проживающих или обучающихся на территории радиоактивного загрязнения.</w:t>
      </w:r>
    </w:p>
    <w:p w14:paraId="13DC136F" w14:textId="77777777" w:rsidR="00CC6CC7" w:rsidRDefault="00CC6CC7" w:rsidP="00CC6CC7">
      <w:pPr>
        <w:pStyle w:val="SingleTxtG"/>
      </w:pPr>
      <w:r>
        <w:t>248.</w:t>
      </w:r>
      <w:r>
        <w:tab/>
        <w:t>Проводимый комплекс защитных мероприятий в сельском хозяйстве вместе с эффективно функционирующей службой радиационного контроля в агропромышленном комплексе гарантирует поступление на стол потребителя нормативно чистых продуктов питания.</w:t>
      </w:r>
    </w:p>
    <w:p w14:paraId="7CE2555F" w14:textId="77777777" w:rsidR="00CC6CC7" w:rsidRDefault="00CC6CC7" w:rsidP="00CC6CC7">
      <w:pPr>
        <w:pStyle w:val="SingleTxtG"/>
      </w:pPr>
      <w:r>
        <w:t>249.</w:t>
      </w:r>
      <w:r>
        <w:tab/>
        <w:t>В основу государственной политики по преодолению последствий катастрофы на Чернобыльской АЭС заложен переход от послеаварийных реабилитационных мероприятий к развитию социально-экономического потенциала пострадавших регионов. Выполняются мероприятия, направленные на снижение дозы облучения вследствие благоустройства населенных пунктов, обеспечения качественной питьевой водой, сокращения использования местных видов топлива. Реализуются инвестиционные проекты, направленные на социально-экономическое развитие пострадавших районов и создание рабочих мест.</w:t>
      </w:r>
    </w:p>
    <w:p w14:paraId="11F22BBB" w14:textId="77777777" w:rsidR="00CC6CC7" w:rsidRDefault="00CC6CC7" w:rsidP="00CC6CC7">
      <w:pPr>
        <w:pStyle w:val="SingleTxtG"/>
      </w:pPr>
      <w:r>
        <w:t>250.</w:t>
      </w:r>
      <w:r>
        <w:tab/>
        <w:t xml:space="preserve">За период с 1986 года улучшены социальные и санитарно-бытовые условия проживания людей в пострадавших районах в результате строительства свыше 68,8 тыс. квартир и домов усадебного типа, в том числе 239 поселков с необходимой инфраструктурой. Проведено обустройство поселков и компактных мест проживания переселенцев. Построено 157 общеобразовательных школ на 48 тыс. мест, 116 детских </w:t>
      </w:r>
      <w:r>
        <w:lastRenderedPageBreak/>
        <w:t>садов и яслей на 18,6 тыс. мест, поликлиник и амбулаторий – на 21,5 тыс. посещений в смену, больниц – на 5 тыс. коек.</w:t>
      </w:r>
    </w:p>
    <w:p w14:paraId="12844F1F" w14:textId="77777777" w:rsidR="00CC6CC7" w:rsidRDefault="00CC6CC7" w:rsidP="00CC6CC7">
      <w:pPr>
        <w:pStyle w:val="SingleTxtG"/>
      </w:pPr>
      <w:r>
        <w:t>251.</w:t>
      </w:r>
      <w:r>
        <w:tab/>
        <w:t>С целью улучшения экологической обстановки пострадавших районов проложено 3,8 тыс. км газопроводов, газифицировано более 22 тыс. индивидуальных жилых домов, для обеспечения населения чистой водой проведено более 2,2 тыс. км водопроводов, осуществлялось строительство станций обезжелезивания воды и артезианских скважин.</w:t>
      </w:r>
    </w:p>
    <w:p w14:paraId="78DC15DA" w14:textId="77777777" w:rsidR="00CC6CC7" w:rsidRDefault="00CC6CC7" w:rsidP="00CC6CC7">
      <w:pPr>
        <w:pStyle w:val="SingleTxtG"/>
      </w:pPr>
      <w:r>
        <w:t>252.</w:t>
      </w:r>
      <w:r>
        <w:tab/>
        <w:t>Построено 113,5 км автомобильных дорог, проведено благоустройство населенных пунктов.</w:t>
      </w:r>
    </w:p>
    <w:p w14:paraId="2E3F31E0" w14:textId="77777777" w:rsidR="00CC6CC7" w:rsidRDefault="00CC6CC7" w:rsidP="00CC6CC7">
      <w:pPr>
        <w:pStyle w:val="SingleTxtG"/>
      </w:pPr>
      <w:r>
        <w:t>253.</w:t>
      </w:r>
      <w:r>
        <w:tab/>
        <w:t>Ведется строительство (реконструкция) объектов оздоровления, спорта, культуры.</w:t>
      </w:r>
    </w:p>
    <w:p w14:paraId="49692495" w14:textId="77777777" w:rsidR="00CC6CC7" w:rsidRDefault="00CC6CC7" w:rsidP="00CC6CC7">
      <w:pPr>
        <w:pStyle w:val="H23G"/>
      </w:pPr>
      <w:r>
        <w:tab/>
      </w:r>
      <w:r>
        <w:tab/>
        <w:t>Право на физическое и психическое здоровье</w:t>
      </w:r>
    </w:p>
    <w:p w14:paraId="61AD4989" w14:textId="77777777" w:rsidR="00CC6CC7" w:rsidRDefault="00CC6CC7" w:rsidP="00CC6CC7">
      <w:pPr>
        <w:pStyle w:val="SingleTxtG"/>
      </w:pPr>
      <w:r>
        <w:t>254.</w:t>
      </w:r>
      <w:r>
        <w:tab/>
        <w:t>Система здравоохранения Республики Беларусь сохранила государственный статус, обеспечивает оказание качественной бесплатной медицинской помощи, содействуя тем самым реализации конституционного права граждан на охрану здоровья. Основная цель дальнейшего развития системы здравоохранения страны − закрепление этих процессов и улучшение показателей состояния здоровья.</w:t>
      </w:r>
    </w:p>
    <w:p w14:paraId="4FEAEBB4" w14:textId="77777777" w:rsidR="00CC6CC7" w:rsidRDefault="00CC6CC7" w:rsidP="00CC6CC7">
      <w:pPr>
        <w:pStyle w:val="SingleTxtG"/>
      </w:pPr>
      <w:r>
        <w:t>255.</w:t>
      </w:r>
      <w:r>
        <w:tab/>
        <w:t>Развитие здравоохранения осуществляется в соответствии со Стратегией развития здравоохранения Республики Беларусь до 2020 года. Разработана Стратегия развития фармацевтической отрасли на 2019</w:t>
      </w:r>
      <w:r w:rsidRPr="001775FB">
        <w:t>–</w:t>
      </w:r>
      <w:r>
        <w:t>2025 годы.</w:t>
      </w:r>
    </w:p>
    <w:p w14:paraId="0261378E" w14:textId="77777777" w:rsidR="00CC6CC7" w:rsidRDefault="00CC6CC7" w:rsidP="00CC6CC7">
      <w:pPr>
        <w:pStyle w:val="SingleTxtG"/>
      </w:pPr>
      <w:r>
        <w:t>256.</w:t>
      </w:r>
      <w:r>
        <w:tab/>
        <w:t xml:space="preserve">Медицинская помощь населению Республики Беларусь оказывается в организациях здравоохранения: </w:t>
      </w:r>
    </w:p>
    <w:p w14:paraId="669CE9EC" w14:textId="77777777" w:rsidR="00CC6CC7" w:rsidRDefault="00CC6CC7" w:rsidP="00CC6CC7">
      <w:pPr>
        <w:pStyle w:val="Bullet1G"/>
        <w:numPr>
          <w:ilvl w:val="0"/>
          <w:numId w:val="16"/>
        </w:numPr>
      </w:pPr>
      <w:r>
        <w:t>на районном уровне – фельдшерско-акушерские пункты, участковые больницы, больницы сестринского ухода, врачебные амбулатории и амбулатории врача общей практики, центральные районные больницы;</w:t>
      </w:r>
    </w:p>
    <w:p w14:paraId="2CC6EA70" w14:textId="77777777" w:rsidR="00CC6CC7" w:rsidRDefault="00CC6CC7" w:rsidP="00CC6CC7">
      <w:pPr>
        <w:pStyle w:val="Bullet1G"/>
        <w:numPr>
          <w:ilvl w:val="0"/>
          <w:numId w:val="16"/>
        </w:numPr>
      </w:pPr>
      <w:r>
        <w:t>на межрайонном и областном уровнях − многопрофильные поликлиники, многопрофильные больницы, диспансеры, больницы скорой медицинской помощи, Центры реабилитации;</w:t>
      </w:r>
    </w:p>
    <w:p w14:paraId="661CA426" w14:textId="77777777" w:rsidR="00CC6CC7" w:rsidRDefault="00CC6CC7" w:rsidP="00CC6CC7">
      <w:pPr>
        <w:pStyle w:val="Bullet1G"/>
        <w:numPr>
          <w:ilvl w:val="0"/>
          <w:numId w:val="16"/>
        </w:numPr>
      </w:pPr>
      <w:r>
        <w:t>на республиканском уровне − многопрофильные поликлиники, многопрофильные больницы, диспансеры, республиканские научно-практические центры (РНПЦ), республиканская больница медицинской реабилитации, Центры реабилитации.</w:t>
      </w:r>
    </w:p>
    <w:p w14:paraId="73D2415C" w14:textId="77777777" w:rsidR="00CC6CC7" w:rsidRDefault="00CC6CC7" w:rsidP="00CC6CC7">
      <w:pPr>
        <w:pStyle w:val="SingleTxtG"/>
      </w:pPr>
      <w:r>
        <w:t>257.</w:t>
      </w:r>
      <w:r>
        <w:tab/>
        <w:t xml:space="preserve">Для оказания медицинской помощи активно развиваются </w:t>
      </w:r>
      <w:proofErr w:type="spellStart"/>
      <w:r>
        <w:t>стационарозамещающие</w:t>
      </w:r>
      <w:proofErr w:type="spellEnd"/>
      <w:r>
        <w:t xml:space="preserve"> технологии: отделения дневного пребывания и стационары на дому. В 2018 году в отделениях дневного пребывания и стационары на дому пролечено более 686 тыс. пациентов. </w:t>
      </w:r>
    </w:p>
    <w:p w14:paraId="6422546A" w14:textId="77777777" w:rsidR="00CC6CC7" w:rsidRDefault="00CC6CC7" w:rsidP="00CC6CC7">
      <w:pPr>
        <w:pStyle w:val="SingleTxtG"/>
      </w:pPr>
      <w:r>
        <w:t>258.</w:t>
      </w:r>
      <w:r>
        <w:tab/>
        <w:t>Для обеспечения надлежащей медицинской и социальной помощи пожилым гражданам в стране функционирует 103 больницы сестринского ухода на 2 709 коек, развернуто всего 4 677 сестринских коек, на которых в 2018 году получили лечение 18</w:t>
      </w:r>
      <w:r>
        <w:rPr>
          <w:lang w:val="en-US"/>
        </w:rPr>
        <w:t> </w:t>
      </w:r>
      <w:r>
        <w:t xml:space="preserve">900 человек. </w:t>
      </w:r>
    </w:p>
    <w:p w14:paraId="140D593A" w14:textId="77777777" w:rsidR="00CC6CC7" w:rsidRDefault="00CC6CC7" w:rsidP="00CC6CC7">
      <w:pPr>
        <w:pStyle w:val="SingleTxtG"/>
      </w:pPr>
      <w:r>
        <w:t>259.</w:t>
      </w:r>
      <w:r>
        <w:tab/>
        <w:t>Медицинскую помощь населению оказывают более чем 55,4 тыс. врачей и 126,9</w:t>
      </w:r>
      <w:r>
        <w:rPr>
          <w:lang w:val="en-US"/>
        </w:rPr>
        <w:t> </w:t>
      </w:r>
      <w:r>
        <w:t>тыс. средних медработников в 612 больничных и 1</w:t>
      </w:r>
      <w:r>
        <w:rPr>
          <w:lang w:val="en-US"/>
        </w:rPr>
        <w:t> </w:t>
      </w:r>
      <w:r>
        <w:t xml:space="preserve">443 амбулаторно-поликлинических организациях. </w:t>
      </w:r>
    </w:p>
    <w:p w14:paraId="5F24BD11" w14:textId="77777777" w:rsidR="00CC6CC7" w:rsidRDefault="00CC6CC7" w:rsidP="00CC6CC7">
      <w:pPr>
        <w:pStyle w:val="SingleTxtG"/>
      </w:pPr>
      <w:r>
        <w:t>260.</w:t>
      </w:r>
      <w:r>
        <w:tab/>
        <w:t>Сегодня здравоохранение Республики Беларусь обладает практически всем спектром оказания медицинских услуг, что позволило исключить направление граждан на лечение за рубеж и оказывать им внутри страны высокотехнологические медицинские, реабилитационные, оздоровительные услуги на самом высоком уровне.</w:t>
      </w:r>
    </w:p>
    <w:p w14:paraId="1F761B75" w14:textId="77777777" w:rsidR="00CC6CC7" w:rsidRDefault="00CC6CC7" w:rsidP="00CC6CC7">
      <w:pPr>
        <w:pStyle w:val="SingleTxtG"/>
      </w:pPr>
      <w:r>
        <w:t>261.</w:t>
      </w:r>
      <w:r>
        <w:tab/>
        <w:t>Показатель младенческой смертности сократился с 4,0 в 2010 году до 2,5</w:t>
      </w:r>
      <w:r>
        <w:rPr>
          <w:lang w:val="en-US"/>
        </w:rPr>
        <w:t> </w:t>
      </w:r>
      <w:r>
        <w:t xml:space="preserve">случаев на 1 000 живорожденных с учетом детей с массой тела при рождении от 500 граммов в 2018 году и остается самым низким на территории СНГ. </w:t>
      </w:r>
    </w:p>
    <w:p w14:paraId="110808A9" w14:textId="77777777" w:rsidR="00CC6CC7" w:rsidRDefault="00CC6CC7" w:rsidP="00CC6CC7">
      <w:pPr>
        <w:pStyle w:val="SingleTxtG"/>
      </w:pPr>
      <w:r>
        <w:lastRenderedPageBreak/>
        <w:t>262.</w:t>
      </w:r>
      <w:r>
        <w:tab/>
        <w:t>В 2018 году показатель смертности детей в возрасте до 5 лет сократился до 3,4</w:t>
      </w:r>
      <w:r>
        <w:rPr>
          <w:lang w:val="en-US"/>
        </w:rPr>
        <w:t> </w:t>
      </w:r>
      <w:r>
        <w:t>на 1 000 родившихся живыми против 5,4 − в 2010 году.</w:t>
      </w:r>
    </w:p>
    <w:p w14:paraId="7C40F4DC" w14:textId="77777777" w:rsidR="00CC6CC7" w:rsidRDefault="00CC6CC7" w:rsidP="00CC6CC7">
      <w:pPr>
        <w:pStyle w:val="SingleTxtG"/>
      </w:pPr>
      <w:r>
        <w:t>263.</w:t>
      </w:r>
      <w:r>
        <w:tab/>
        <w:t>В республике регистрируются единичные случаи материнской смертности в год. В 2018 году зарегистрировано 3 случая, показатель материнской смертности составил 3,4 на 100 тыс. детей, рожденных живыми. Уровень материнской смертности является одним из показателей стабильности белоруской системы здравоохранения, сопоставим с уровнем материнской смертности в таких странах, как Израиль, Польша, Финляндия.</w:t>
      </w:r>
    </w:p>
    <w:p w14:paraId="62FEA856" w14:textId="77777777" w:rsidR="00CC6CC7" w:rsidRDefault="00CC6CC7" w:rsidP="00CC6CC7">
      <w:pPr>
        <w:pStyle w:val="SingleTxtG"/>
      </w:pPr>
      <w:r>
        <w:t>264.</w:t>
      </w:r>
      <w:r>
        <w:tab/>
        <w:t>Сократилось, по сравнению с 2010 годом, число умерших от болезней органов дыхания (на 37,2%), от некоторых инфекционных и паразитарных болезней (на 42,0%), от болезней системы кровообращения (на 7,9%), от внешних причин (на 43,9%). Увеличилась смертность от болезней нервной системы, болезней костно-мышечной системы и соединительной ткани.</w:t>
      </w:r>
    </w:p>
    <w:p w14:paraId="5E8CD45D" w14:textId="77777777" w:rsidR="00CC6CC7" w:rsidRDefault="00CC6CC7" w:rsidP="00CC6CC7">
      <w:pPr>
        <w:pStyle w:val="SingleTxtG"/>
      </w:pPr>
      <w:r>
        <w:t>265.</w:t>
      </w:r>
      <w:r>
        <w:tab/>
        <w:t xml:space="preserve">Как показатель качества жизни имеет место увеличение ожидаемой продолжительности жизни с 70,4 лет в 2010 году до 74,5 лет в 2018 году, в том числе у мужчин с 64,6 до 69,2 лет, у женщин с 76,5 до 79,4 лет. </w:t>
      </w:r>
    </w:p>
    <w:p w14:paraId="5BBBEDEB" w14:textId="77777777" w:rsidR="00CC6CC7" w:rsidRDefault="00CC6CC7" w:rsidP="00CC6CC7">
      <w:pPr>
        <w:pStyle w:val="SingleTxtG"/>
      </w:pPr>
      <w:r>
        <w:t>266.</w:t>
      </w:r>
      <w:r>
        <w:tab/>
        <w:t>Значительный вклад в развитие высоких технологий в Беларуси, их выходе на мировой уровень внесла организация республиканских научно-практических центров, в которых обеспечена тесная связь науки и практики, что способствует быстрому внедрению научных разработок в практическое здравоохранение. В Беларуси функционируют 16 республиканских научно-практических центров и 1 Минский научно-практический центр.</w:t>
      </w:r>
    </w:p>
    <w:p w14:paraId="53A32D0E" w14:textId="77777777" w:rsidR="00CC6CC7" w:rsidRDefault="00CC6CC7" w:rsidP="00CC6CC7">
      <w:pPr>
        <w:pStyle w:val="SingleTxtG"/>
      </w:pPr>
      <w:r>
        <w:t>267.</w:t>
      </w:r>
      <w:r>
        <w:tab/>
        <w:t xml:space="preserve">Высокотехнологичная медицинская помощь внедрена не только на базе республиканских специализированных медицинских центров, но и в регионах. Во всех областях страны на базе областных больниц функционируют кардиохирургические отделения: освоены и выполняются диагностические коронарографии, операции по имплантации электрокардиостимуляторов, </w:t>
      </w:r>
      <w:proofErr w:type="spellStart"/>
      <w:r>
        <w:t>стентированию</w:t>
      </w:r>
      <w:proofErr w:type="spellEnd"/>
      <w:r>
        <w:t xml:space="preserve"> артерий, в том числе коронарных, аортокоронарное шунтирование. В 2018 году проведено 2 203,5 кардиохирургических вмешательств на 1 млн населения; 447,4 операций на открытом сердце на 1 млн населения и 4,3 трансплантаций на 1 млн населения.</w:t>
      </w:r>
    </w:p>
    <w:p w14:paraId="36046660" w14:textId="77777777" w:rsidR="00CC6CC7" w:rsidRDefault="00CC6CC7" w:rsidP="00CC6CC7">
      <w:pPr>
        <w:pStyle w:val="SingleTxtG"/>
      </w:pPr>
      <w:r>
        <w:t>268.</w:t>
      </w:r>
      <w:r>
        <w:tab/>
        <w:t>Во всех травматологических отделениях областных больниц, больниц скорой медицинской помощи выполняются высокотехнологичные и сложные операции на опорно-двигательной системе, современные реконструктивно-восстановительные операции. Разработаны и внедрены технологии трехмерного компьютерного планирования операций на тазобедренном суставе; малоинвазивного остеосинтеза при тяжелых переломах длинных трубчатых костей нижних конечностей и др.</w:t>
      </w:r>
    </w:p>
    <w:p w14:paraId="61D8471E" w14:textId="77777777" w:rsidR="00CC6CC7" w:rsidRDefault="00CC6CC7" w:rsidP="00CC6CC7">
      <w:pPr>
        <w:pStyle w:val="SingleTxtG"/>
      </w:pPr>
      <w:r>
        <w:t>269.</w:t>
      </w:r>
      <w:r>
        <w:tab/>
        <w:t xml:space="preserve">В практическую деятельность нейрохирургической службы внедрены высокотехнологичные методы хирургических вмешательств, способы </w:t>
      </w:r>
      <w:proofErr w:type="spellStart"/>
      <w:r>
        <w:t>транскраниального</w:t>
      </w:r>
      <w:proofErr w:type="spellEnd"/>
      <w:r>
        <w:t xml:space="preserve"> эндоскопического доступа к доброкачественным опухолям основания черепа в передней черепной ямке и </w:t>
      </w:r>
      <w:proofErr w:type="spellStart"/>
      <w:r>
        <w:t>хиазмально-селлярной</w:t>
      </w:r>
      <w:proofErr w:type="spellEnd"/>
      <w:r>
        <w:t xml:space="preserve"> области; малоинвазивный </w:t>
      </w:r>
      <w:proofErr w:type="spellStart"/>
      <w:r>
        <w:t>декомпрессивно</w:t>
      </w:r>
      <w:proofErr w:type="spellEnd"/>
      <w:r>
        <w:t xml:space="preserve">-стабилизирующий хирургический метод лечения </w:t>
      </w:r>
      <w:proofErr w:type="spellStart"/>
      <w:r>
        <w:t>спондилопатий</w:t>
      </w:r>
      <w:proofErr w:type="spellEnd"/>
      <w:r>
        <w:t xml:space="preserve">; схема динамического наблюдения и коррекции лечения пациентов с </w:t>
      </w:r>
      <w:proofErr w:type="spellStart"/>
      <w:r>
        <w:t>фармакорезистентными</w:t>
      </w:r>
      <w:proofErr w:type="spellEnd"/>
      <w:r>
        <w:t xml:space="preserve"> формами эпилепсии после нейрохирургического вмешательства и др.</w:t>
      </w:r>
    </w:p>
    <w:p w14:paraId="412D265C" w14:textId="77777777" w:rsidR="00CC6CC7" w:rsidRDefault="00CC6CC7" w:rsidP="00CC6CC7">
      <w:pPr>
        <w:pStyle w:val="SingleTxtG"/>
      </w:pPr>
      <w:r>
        <w:t>270.</w:t>
      </w:r>
      <w:r>
        <w:tab/>
        <w:t xml:space="preserve">Увеличиваются объемы оказания кардиохирургической помощи детям благодаря работе государственного учреждения «РНПЦ детской хирургии». </w:t>
      </w:r>
    </w:p>
    <w:p w14:paraId="7C2576CD" w14:textId="77777777" w:rsidR="00CC6CC7" w:rsidRDefault="00CC6CC7" w:rsidP="00CC6CC7">
      <w:pPr>
        <w:pStyle w:val="SingleTxtG"/>
      </w:pPr>
      <w:r>
        <w:t>271.</w:t>
      </w:r>
      <w:r>
        <w:tab/>
        <w:t xml:space="preserve">Достигнуты значительные, сопоставимые с ведущими мировыми центрами, успехи в лечении </w:t>
      </w:r>
      <w:proofErr w:type="spellStart"/>
      <w:r>
        <w:t>онкогематологических</w:t>
      </w:r>
      <w:proofErr w:type="spellEnd"/>
      <w:r>
        <w:t xml:space="preserve"> заболеваний у детей. Общая долгосрочная выживаемость детей, страдающих </w:t>
      </w:r>
      <w:proofErr w:type="spellStart"/>
      <w:r>
        <w:t>онкогематологическими</w:t>
      </w:r>
      <w:proofErr w:type="spellEnd"/>
      <w:r>
        <w:t xml:space="preserve"> заболеваниями, составляет 74%, а по некоторым нозологическим формам (лимфогранулематоз, </w:t>
      </w:r>
      <w:proofErr w:type="spellStart"/>
      <w:r>
        <w:t>нефробластома</w:t>
      </w:r>
      <w:proofErr w:type="spellEnd"/>
      <w:r>
        <w:t xml:space="preserve">) превышает 90%. по этому показателю Беларусь занимает второе место в Европе. По результатам лечения острого </w:t>
      </w:r>
      <w:proofErr w:type="spellStart"/>
      <w:r>
        <w:t>лимфобластного</w:t>
      </w:r>
      <w:proofErr w:type="spellEnd"/>
      <w:r>
        <w:t xml:space="preserve"> лейкоза у детей Беларусь занимает 8 место в мире, опережая такие страны, как США, Израиль, Япония, Финляндия и др. (</w:t>
      </w:r>
      <w:proofErr w:type="spellStart"/>
      <w:r>
        <w:t>Lancet</w:t>
      </w:r>
      <w:proofErr w:type="spellEnd"/>
      <w:r>
        <w:t xml:space="preserve"> 2017).</w:t>
      </w:r>
    </w:p>
    <w:p w14:paraId="444B9F71" w14:textId="77777777" w:rsidR="00CC6CC7" w:rsidRDefault="00CC6CC7" w:rsidP="00CC6CC7">
      <w:pPr>
        <w:pStyle w:val="SingleTxtG"/>
      </w:pPr>
      <w:r>
        <w:lastRenderedPageBreak/>
        <w:t>272.</w:t>
      </w:r>
      <w:r>
        <w:tab/>
        <w:t>Одним из достижений здравоохранения является применение вспомогательных репродуктивных технологий, эффективность которых достигает 43,1%, что соответствует средним мировым показателям.</w:t>
      </w:r>
    </w:p>
    <w:p w14:paraId="24308D64" w14:textId="77777777" w:rsidR="00CC6CC7" w:rsidRDefault="00CC6CC7" w:rsidP="00CC6CC7">
      <w:pPr>
        <w:pStyle w:val="SingleTxtG"/>
      </w:pPr>
      <w:r>
        <w:t>273.</w:t>
      </w:r>
      <w:r>
        <w:tab/>
        <w:t xml:space="preserve">Это стало возможным благодаря приобретению и рациональному использованию уникального дорогостоящего оборудования, а также подготовке в лучших клиниках Европы высококвалифицированных медицинских кадров, созданию условий для развития медицинской науки. </w:t>
      </w:r>
    </w:p>
    <w:p w14:paraId="75ACF8E9" w14:textId="77777777" w:rsidR="00CC6CC7" w:rsidRDefault="00CC6CC7" w:rsidP="00CC6CC7">
      <w:pPr>
        <w:pStyle w:val="SingleTxtG"/>
      </w:pPr>
      <w:r>
        <w:t>274.</w:t>
      </w:r>
      <w:r>
        <w:tab/>
        <w:t xml:space="preserve">При выполнении высокотехнологичных операций широко применяются расходные материалы и комплектующие изделия отечественного производства. </w:t>
      </w:r>
    </w:p>
    <w:p w14:paraId="07D5FCB5" w14:textId="77777777" w:rsidR="00CC6CC7" w:rsidRDefault="00CC6CC7" w:rsidP="00CC6CC7">
      <w:pPr>
        <w:pStyle w:val="SingleTxtG"/>
      </w:pPr>
      <w:r>
        <w:t>275.</w:t>
      </w:r>
      <w:r>
        <w:tab/>
        <w:t>Законодательно определены категории граждан, имеющих право на льготное (в том числе бесплатное) обеспечение лекарственными средствами, выдаваемыми по рецептам врачей в пределах перечня основных лекарственных средств.</w:t>
      </w:r>
    </w:p>
    <w:p w14:paraId="374C5B2F" w14:textId="77777777" w:rsidR="00CC6CC7" w:rsidRDefault="00CC6CC7" w:rsidP="00CC6CC7">
      <w:pPr>
        <w:pStyle w:val="SingleTxtG"/>
      </w:pPr>
      <w:r>
        <w:t>276.</w:t>
      </w:r>
      <w:r>
        <w:tab/>
        <w:t>Постановлением Правительства Беларусь от 30 ноября 2007 года № 1650 «О некоторых вопросах бесплатного и льготного обеспечения лекарственными средствами и перевязочными материалами отдельных категорий граждан» определен перечень заболеваний, дающий право гражданам на бесплатное обеспечение лекарственными средствами в пределах перечня основных лекарственных средств, утвержденного постановлением Министерства здравоохранения Республики Беларусь от 16 июля 2007 года № 65 «Об утверждении перечня основных лекарственных средств».</w:t>
      </w:r>
    </w:p>
    <w:p w14:paraId="0752F318" w14:textId="77777777" w:rsidR="00CC6CC7" w:rsidRDefault="00CC6CC7" w:rsidP="00CC6CC7">
      <w:pPr>
        <w:pStyle w:val="SingleTxtG"/>
      </w:pPr>
      <w:r>
        <w:t>277.</w:t>
      </w:r>
      <w:r>
        <w:tab/>
        <w:t>В Беларуси действуют собственные предприятия по производству лекарственных препаратов, что позволяет обеспечивать население качественными и недорогими лекарствами.</w:t>
      </w:r>
    </w:p>
    <w:p w14:paraId="14448B1B" w14:textId="77777777" w:rsidR="00CC6CC7" w:rsidRDefault="00CC6CC7" w:rsidP="00CC6CC7">
      <w:pPr>
        <w:pStyle w:val="SingleTxtG"/>
      </w:pPr>
      <w:r>
        <w:t>278.</w:t>
      </w:r>
      <w:r>
        <w:tab/>
        <w:t>Модель финансирования здравоохранения Беларуси в полной мере обеспечивает равную доступность качественной медицинской помощи для населения. В настоящее время стоит задача повышения эффективности расходов на здравоохранение, перехода от избыточной сети стационарных лечебных учреждений к системе первичной медицинской помощи, адаптированной для контроля неинфекционных заболеваний и продвижения здорового образа жизни среди населения, содействия активной и здоровой жизни в пожилом возрасте, что позволит снизить издержки в здравоохранении и направить имеющиеся средства на решение первоочередных задач, в т. ч. с учетом вероятного увеличения нагрузки в связи со старением населения.</w:t>
      </w:r>
    </w:p>
    <w:p w14:paraId="249944CE" w14:textId="77777777" w:rsidR="00CC6CC7" w:rsidRDefault="00CC6CC7" w:rsidP="00CC6CC7">
      <w:pPr>
        <w:pStyle w:val="SingleTxtG"/>
      </w:pPr>
      <w:r>
        <w:t>279.</w:t>
      </w:r>
      <w:r>
        <w:tab/>
        <w:t xml:space="preserve">В Беларуси законодательно регламентирован порядок оказания населению психиатрической, психотерапевтической, наркологической и психологической помощи. Действуют ряд законодательных и нормативных правовых актов, регламентирующие основные направления деятельности – диспансеризацию, реализацию принудительных мер безопасности и лечения, оказание психотерапевтической и психологической помощи, курирование стационарных учреждений социального обслуживания, профилактику суицидального поведения населения и другие. </w:t>
      </w:r>
    </w:p>
    <w:p w14:paraId="26F15CF1" w14:textId="77777777" w:rsidR="00CC6CC7" w:rsidRDefault="00CC6CC7" w:rsidP="00CC6CC7">
      <w:pPr>
        <w:pStyle w:val="SingleTxtG"/>
      </w:pPr>
      <w:r>
        <w:t>280.</w:t>
      </w:r>
      <w:r>
        <w:tab/>
        <w:t xml:space="preserve">Это обусловливает стабильную и устойчивую работу медицинских учреждений, входящих в состав психиатрической службы, на всех территориальных уровнях системы здравоохранения (районном, городском, областном и республиканском). </w:t>
      </w:r>
    </w:p>
    <w:p w14:paraId="148755AE" w14:textId="77777777" w:rsidR="00CC6CC7" w:rsidRDefault="00CC6CC7" w:rsidP="00CC6CC7">
      <w:pPr>
        <w:pStyle w:val="SingleTxtG"/>
      </w:pPr>
      <w:r>
        <w:t>281.</w:t>
      </w:r>
      <w:r>
        <w:tab/>
        <w:t>Беларусь одной из первых среди стран СНГ страной приняла в 1999 году принят Закон «О психиатрической помощи и гарантиях прав граждан при ее оказании». Важнейшим принципом развития психиатрической помощи явилось обеспечение каждому гражданину Беларуси доступной и бесплатной психиатрической помощи вне зависимости от его социального статуса, уровня доходов и места жительства в наименее ограничительных условиях, а также отсутствие дискриминации и ущемления в правах лиц, страдающих психическими и поведенческими расстройствами.</w:t>
      </w:r>
    </w:p>
    <w:p w14:paraId="26EEBCAB" w14:textId="77777777" w:rsidR="00CC6CC7" w:rsidRDefault="00CC6CC7" w:rsidP="00CC6CC7">
      <w:pPr>
        <w:pStyle w:val="SingleTxtG"/>
      </w:pPr>
      <w:r>
        <w:t>282.</w:t>
      </w:r>
      <w:r>
        <w:tab/>
        <w:t xml:space="preserve">В настоящее время оказание психиатрической помощи регламентировано Законом Республики Беларусь от 12.01.2012 № 2/1901 «Об оказании психиатрической </w:t>
      </w:r>
      <w:r>
        <w:lastRenderedPageBreak/>
        <w:t xml:space="preserve">помощи». В ноябре 2019 года в него внесены изменения и дополнения, расширяющие доступность психиатрической помощи пациентам с пограничными психическими расстройствами (заболеваниями). </w:t>
      </w:r>
    </w:p>
    <w:p w14:paraId="2FC8B866" w14:textId="77777777" w:rsidR="00CC6CC7" w:rsidRDefault="00CC6CC7" w:rsidP="00CC6CC7">
      <w:pPr>
        <w:pStyle w:val="SingleTxtG"/>
      </w:pPr>
      <w:r>
        <w:t>283.</w:t>
      </w:r>
      <w:r>
        <w:tab/>
        <w:t xml:space="preserve">Разработан проект клинического протокола диагностики и лечения психических и поведенческих расстройств для врачей-специалистов, оказывающих первичную медицинскую помощь. </w:t>
      </w:r>
    </w:p>
    <w:p w14:paraId="4256F772" w14:textId="77777777" w:rsidR="00CC6CC7" w:rsidRDefault="00CC6CC7" w:rsidP="00CC6CC7">
      <w:pPr>
        <w:pStyle w:val="SingleTxtG"/>
      </w:pPr>
      <w:r>
        <w:t>284.</w:t>
      </w:r>
      <w:r>
        <w:tab/>
        <w:t>Оказание психологической помощи регламентировано Законом от 1 июля 2010 года № 2/1708 «Об оказании психологической помощи».</w:t>
      </w:r>
    </w:p>
    <w:p w14:paraId="1D5FBAD1" w14:textId="77777777" w:rsidR="00CC6CC7" w:rsidRDefault="00CC6CC7" w:rsidP="00CC6CC7">
      <w:pPr>
        <w:pStyle w:val="SingleTxtG"/>
      </w:pPr>
      <w:r>
        <w:t>285.</w:t>
      </w:r>
      <w:r>
        <w:tab/>
        <w:t>Разработаны и утверждены приказом Министерства здравоохранения от 28 декабря 2018 года № 1421 «Методические рекомендации по оказанию психологической и психотерапевтической помощи жертвам домашнего насилия» и «Методические рекомендации по проведению коррекции агрессивного поведения».</w:t>
      </w:r>
    </w:p>
    <w:p w14:paraId="7C8E94B3" w14:textId="77777777" w:rsidR="00CC6CC7" w:rsidRDefault="00CC6CC7" w:rsidP="00CC6CC7">
      <w:pPr>
        <w:pStyle w:val="SingleTxtG"/>
      </w:pPr>
      <w:r>
        <w:t>286.</w:t>
      </w:r>
      <w:r>
        <w:tab/>
        <w:t>Разработаны и утверждены: Примерный перечень методов и методик оказания психологической помощи, рекомендуемых к применению в государственных организациях здравоохранения (приказ Министерства здравоохранения от 29 июня 2018 года № 662) и Инструкция, об оказании психологической помощи в организациях здравоохранения (приказ Министерства здравоохранения от 29</w:t>
      </w:r>
      <w:r>
        <w:rPr>
          <w:lang w:val="en-US"/>
        </w:rPr>
        <w:t> </w:t>
      </w:r>
      <w:r>
        <w:t>июня 2018</w:t>
      </w:r>
      <w:r>
        <w:rPr>
          <w:lang w:val="en-US"/>
        </w:rPr>
        <w:t> </w:t>
      </w:r>
      <w:r>
        <w:t>года № 663).</w:t>
      </w:r>
    </w:p>
    <w:p w14:paraId="04EBA0C0" w14:textId="77777777" w:rsidR="00CC6CC7" w:rsidRDefault="00CC6CC7" w:rsidP="00CC6CC7">
      <w:pPr>
        <w:pStyle w:val="SingleTxtG"/>
      </w:pPr>
      <w:r>
        <w:t>287.</w:t>
      </w:r>
      <w:r>
        <w:tab/>
        <w:t xml:space="preserve">Ряд нормативных правовых актов Министерства здравоохранения предусматривает активизацию межведомственного взаимодействия: с министерствами труда и социальной защиты, образования и внутренних дел Республики Беларусь. </w:t>
      </w:r>
    </w:p>
    <w:p w14:paraId="5E8293D4" w14:textId="77777777" w:rsidR="00CC6CC7" w:rsidRDefault="00CC6CC7" w:rsidP="00CC6CC7">
      <w:pPr>
        <w:pStyle w:val="SingleTxtG"/>
      </w:pPr>
      <w:r>
        <w:t>288.</w:t>
      </w:r>
      <w:r>
        <w:tab/>
        <w:t xml:space="preserve">Реализация программных документов, регламентирующих развитие психиатрической помощи (Концепция развития психиатрической помощи в Республике Беларусь на 2007–2010 годы и План мероприятий по реализации Концепция развития психиатрической помощи в Республике Беларусь на </w:t>
      </w:r>
      <w:r>
        <w:br/>
        <w:t>2007–2010 годы) позволила создать новую, устойчиво функционирующую сбалансированную и эффективную модель оказания психиатрической помощи без значительного увеличения нагрузки на бюджет здравоохранения и положила начало осуществления перехода от закрытых с длительной изоляцией стационарных технологий к преимущественно интегрированной в общемедицинскую сеть системе оказания психиатрической помощи с минимальной изоляцией пациентов.</w:t>
      </w:r>
    </w:p>
    <w:p w14:paraId="526E210E" w14:textId="77777777" w:rsidR="00CC6CC7" w:rsidRDefault="00CC6CC7" w:rsidP="00CC6CC7">
      <w:pPr>
        <w:pStyle w:val="SingleTxtG"/>
      </w:pPr>
      <w:r>
        <w:t>289.</w:t>
      </w:r>
      <w:r>
        <w:tab/>
        <w:t>В настоящее время реализуются Концепция развития психиатрической помощи в Республике Беларусь на 2016–2020 годы и План мероприятий по ее реализации. Это позволит осуществить перенос акцентов в оказании психиатрической помощи с психиатрических организаций здравоохранения на общесоматические организации здравоохранения и минимизацию стигмы.</w:t>
      </w:r>
    </w:p>
    <w:p w14:paraId="65F6E548" w14:textId="77777777" w:rsidR="00CC6CC7" w:rsidRDefault="00CC6CC7" w:rsidP="00CC6CC7">
      <w:pPr>
        <w:pStyle w:val="SingleTxtG"/>
      </w:pPr>
      <w:r>
        <w:t>290.</w:t>
      </w:r>
      <w:r>
        <w:tab/>
        <w:t>Реализован Комплексный план профилактики суицидального поведения на 2009–2012 годы, позволивший создать систему профилактики суицидального поведения населения.</w:t>
      </w:r>
    </w:p>
    <w:p w14:paraId="4BC6FB22" w14:textId="77777777" w:rsidR="00CC6CC7" w:rsidRDefault="00CC6CC7" w:rsidP="00CC6CC7">
      <w:pPr>
        <w:pStyle w:val="SingleTxtG"/>
      </w:pPr>
      <w:r>
        <w:t>291.</w:t>
      </w:r>
      <w:r>
        <w:tab/>
        <w:t>В каждой области и г. Минске организована и функционирует служба экстренной психологической помощи по «телефону доверия». Во всех учреждениях здравоохранения размещена информация (с указанием номеров телефонов в каждом регионе) о службе экстренной психологической помощи «Телефон доверия», кабинетах анонимного психологического консультирования, психотерапевтических кабинетах поликлиник, а также телефона единой общенациональной детской линии (Детская телефонная линия 8-801-100 1611).</w:t>
      </w:r>
    </w:p>
    <w:p w14:paraId="2B9D2A7C" w14:textId="77777777" w:rsidR="00CC6CC7" w:rsidRDefault="00CC6CC7" w:rsidP="00CC6CC7">
      <w:pPr>
        <w:pStyle w:val="SingleTxtG"/>
      </w:pPr>
      <w:r>
        <w:t>292.</w:t>
      </w:r>
      <w:r>
        <w:tab/>
        <w:t>В настоящее время реализуется Комплекс мер по профилактике суицидального поведения населения Республики Беларусь на 2015–2019 годы. Реализация указанных документов позволила продолжить снижение показателей суицидальной активности населения: уровень суицидов снизился с 20,5 в 2017 году до 19,0 случая на 100 тыс. населения в 2018 году, при этом, республика вернулась в категорию стран со средним уровнем суицидов (до 20,0 случаев на 100 тыс. населения).</w:t>
      </w:r>
    </w:p>
    <w:p w14:paraId="47739670" w14:textId="77777777" w:rsidR="00CC6CC7" w:rsidRDefault="00CC6CC7" w:rsidP="00CC6CC7">
      <w:pPr>
        <w:pStyle w:val="SingleTxtG"/>
      </w:pPr>
      <w:r>
        <w:lastRenderedPageBreak/>
        <w:t>293.</w:t>
      </w:r>
      <w:r>
        <w:tab/>
        <w:t>В настоящее время в Республике Беларусь насчитывается 5 705 психиатрических коек, обеспеченность – 6,0 коек на 10 000 населения. По сравнению с 2008 годом общее число коек в психиатрических стационарах сократилось на 14,8%, что связано с применением интенсивных терапевтических технологий в психиатрических стационарах, развитием психиатрической помощи в амбулаторных условиях и условиях отделений дневного пребывания.</w:t>
      </w:r>
    </w:p>
    <w:p w14:paraId="385F13CA" w14:textId="77777777" w:rsidR="00CC6CC7" w:rsidRDefault="00CC6CC7" w:rsidP="00CC6CC7">
      <w:pPr>
        <w:pStyle w:val="SingleTxtG"/>
      </w:pPr>
      <w:r>
        <w:t>294.</w:t>
      </w:r>
      <w:r>
        <w:tab/>
        <w:t>Обеспеченность местами в отделениях дневного пребывания для пациентов с психическими и поведенческими расстройствами составляет 1,54 места на 10 000 населения (1 459 мест). В сравнении с 2008 годом число мест в отделениях дневного пребывания возросло на 23,4%.</w:t>
      </w:r>
    </w:p>
    <w:p w14:paraId="328702B4" w14:textId="77777777" w:rsidR="00CC6CC7" w:rsidRDefault="00CC6CC7" w:rsidP="00CC6CC7">
      <w:pPr>
        <w:pStyle w:val="SingleTxtG"/>
      </w:pPr>
      <w:r>
        <w:t>295.</w:t>
      </w:r>
      <w:r>
        <w:tab/>
        <w:t>Обеспеченность населения врачами-психиатрами-наркологами увеличилась, в сравнении с 2008 годом, и в настоящее время составляет 0,99 должностей на 10 000 жителей (в 2008 году – 0,75 должности на 10 000 жителей).</w:t>
      </w:r>
    </w:p>
    <w:p w14:paraId="007F7076" w14:textId="77777777" w:rsidR="00CC6CC7" w:rsidRDefault="00CC6CC7" w:rsidP="00CC6CC7">
      <w:pPr>
        <w:pStyle w:val="SingleTxtG"/>
      </w:pPr>
      <w:r>
        <w:t>296.</w:t>
      </w:r>
      <w:r>
        <w:tab/>
        <w:t>В период с 2008 по 2018 год первичная заболеваемость населения психическими и поведенческими расстройствами возросла на 2,6% и составила в 2018</w:t>
      </w:r>
      <w:r>
        <w:rPr>
          <w:lang w:val="en-US"/>
        </w:rPr>
        <w:t> </w:t>
      </w:r>
      <w:r>
        <w:t>году 718,1 случая на 100</w:t>
      </w:r>
      <w:r>
        <w:rPr>
          <w:lang w:val="en-US"/>
        </w:rPr>
        <w:t> </w:t>
      </w:r>
      <w:r>
        <w:t>тыс. жителей (68</w:t>
      </w:r>
      <w:r>
        <w:rPr>
          <w:lang w:val="en-US"/>
        </w:rPr>
        <w:t> </w:t>
      </w:r>
      <w:r>
        <w:t>162 чел.). Среднегодовой темп прироста составил – 0,26%.</w:t>
      </w:r>
    </w:p>
    <w:p w14:paraId="340A13C5" w14:textId="77777777" w:rsidR="00CC6CC7" w:rsidRDefault="00CC6CC7" w:rsidP="00CC6CC7">
      <w:pPr>
        <w:pStyle w:val="SingleTxtG"/>
      </w:pPr>
      <w:r>
        <w:t>297.</w:t>
      </w:r>
      <w:r>
        <w:tab/>
        <w:t xml:space="preserve">В Республике Беларусь госпитализация в психиатрические стационары для обследования и лечения осуществляется в добровольном порядке, с согласия пациента либо его законного представителя в соответствии со статьями 16, 17, 34 Закона об оказании психиатрической помощи. Стационарная психиатрическая помощь оказывается в наименее ограничительной для пациента форме, обеспечивающей его безопасность и соблюдение медицинскими работниками его прав и законных интересов (статья 35 Закона об оказании психиатрической помощи). </w:t>
      </w:r>
    </w:p>
    <w:p w14:paraId="01A52930" w14:textId="77777777" w:rsidR="00CC6CC7" w:rsidRDefault="00CC6CC7" w:rsidP="00CC6CC7">
      <w:pPr>
        <w:pStyle w:val="SingleTxtG"/>
      </w:pPr>
      <w:r>
        <w:t>298.</w:t>
      </w:r>
      <w:r>
        <w:tab/>
        <w:t>Функционирует система постоянного судебного контроля над принудительной госпитализацией граждан в психиатрические стационары. Госпитализация и лечение граждан, страдающих психическими расстройствами, без их согласия (принудительно) осуществляется только в установленном законодательством порядке (статьи 36–39 Закона об оказании психиатрической помощи), что способствует сохранению законных прав и свобод граждан. Основанием для принудительной госпитализации и лечения в психиатрическом стационаре является только решение суда в соответствии со статьей 392 Гражданского процессуального кодекса Республики Беларусь.</w:t>
      </w:r>
    </w:p>
    <w:p w14:paraId="3829D364" w14:textId="77777777" w:rsidR="00CC6CC7" w:rsidRDefault="00CC6CC7" w:rsidP="00CC6CC7">
      <w:pPr>
        <w:pStyle w:val="SingleTxtG"/>
      </w:pPr>
      <w:r>
        <w:t>299.</w:t>
      </w:r>
      <w:r>
        <w:tab/>
        <w:t>Госпитализация при применении принудительных мер безопасности и лечения осуществляется только в соответствии с определением (постановлением) суда о применении принудительных мер безопасности и лечения в виде принудительного лечения в психиатрическом стационаре в соответствии со статьей 101-106 Уголовного кодекса Республики Беларусь.</w:t>
      </w:r>
    </w:p>
    <w:p w14:paraId="379F8752" w14:textId="77777777" w:rsidR="00CC6CC7" w:rsidRDefault="00CC6CC7" w:rsidP="00CC6CC7">
      <w:pPr>
        <w:pStyle w:val="SingleTxtG"/>
      </w:pPr>
      <w:r>
        <w:t>300.</w:t>
      </w:r>
      <w:r>
        <w:tab/>
        <w:t>В Республике Беларусь в настоящее время реализуется Государственная программа «Здоровье народа и демографическая безопасность Республики Беларусь» на 2016–2020 годы (далее – Государственная программа), утвержденная постановлением Правительства от 14.03.2016 № 200.</w:t>
      </w:r>
    </w:p>
    <w:p w14:paraId="7E173644" w14:textId="77777777" w:rsidR="00CC6CC7" w:rsidRDefault="00CC6CC7" w:rsidP="00CC6CC7">
      <w:pPr>
        <w:pStyle w:val="SingleTxtG"/>
      </w:pPr>
      <w:r>
        <w:t>301.</w:t>
      </w:r>
      <w:r>
        <w:tab/>
        <w:t>Показатели деятельности организаций здравоохранения свидетельствуют о положительной динамике в оказании медицинской помощи лицам, страдающим зависимостью от психоактивных веществ.</w:t>
      </w:r>
    </w:p>
    <w:p w14:paraId="5B89DAF8" w14:textId="77777777" w:rsidR="00CC6CC7" w:rsidRDefault="00CC6CC7" w:rsidP="00CC6CC7">
      <w:pPr>
        <w:pStyle w:val="SingleTxtG"/>
      </w:pPr>
      <w:r>
        <w:t>302.</w:t>
      </w:r>
      <w:r>
        <w:tab/>
        <w:t>За 11</w:t>
      </w:r>
      <w:r>
        <w:rPr>
          <w:lang w:val="en-US"/>
        </w:rPr>
        <w:t> </w:t>
      </w:r>
      <w:r>
        <w:t>месяцев 2019</w:t>
      </w:r>
      <w:r>
        <w:rPr>
          <w:lang w:val="en-US"/>
        </w:rPr>
        <w:t> </w:t>
      </w:r>
      <w:r>
        <w:t>года организациями здравоохранения выявлено 15 598 человек с зарегистрированными впервые в жизни наркологическими расстройствами, что составляет 164,6 на 100</w:t>
      </w:r>
      <w:r>
        <w:rPr>
          <w:lang w:val="en-US"/>
        </w:rPr>
        <w:t> </w:t>
      </w:r>
      <w:r>
        <w:t>тыс. населения (в 2018</w:t>
      </w:r>
      <w:r>
        <w:rPr>
          <w:lang w:val="en-US"/>
        </w:rPr>
        <w:t> </w:t>
      </w:r>
      <w:r>
        <w:t>году – 16 411 человек или 172,9 на 100 тыс. населения). Из них: с зависимостью от алкоголя – 14</w:t>
      </w:r>
      <w:r>
        <w:rPr>
          <w:lang w:val="en-US"/>
        </w:rPr>
        <w:t> </w:t>
      </w:r>
      <w:r>
        <w:t>325 человек (151,2 на 100 тыс. населения), в 2018 году – 15</w:t>
      </w:r>
      <w:r>
        <w:rPr>
          <w:lang w:val="en-US"/>
        </w:rPr>
        <w:t> </w:t>
      </w:r>
      <w:r>
        <w:t>109 человек (159,2 на 100 тыс. населения). С алкогольными психозами выявлено 875 человек (9,2 на 100 тыс. населения), в 2018 году – 861 человек (9,1 на 100 тыс. населения). Из числа выявленных в течение 11 месяцев пациентов, женщин – 3</w:t>
      </w:r>
      <w:r>
        <w:rPr>
          <w:lang w:val="en-US"/>
        </w:rPr>
        <w:t> </w:t>
      </w:r>
      <w:r>
        <w:t>103 человека (74,7 на 100 тыс. населения), в 2018 году – 3</w:t>
      </w:r>
      <w:r>
        <w:rPr>
          <w:lang w:val="en-US"/>
        </w:rPr>
        <w:t> </w:t>
      </w:r>
      <w:r>
        <w:t>288 человек (145,1 на 100 тыс. населения).</w:t>
      </w:r>
    </w:p>
    <w:p w14:paraId="52A23721" w14:textId="77777777" w:rsidR="00CC6CC7" w:rsidRDefault="00CC6CC7" w:rsidP="00CC6CC7">
      <w:pPr>
        <w:pStyle w:val="SingleTxtG"/>
      </w:pPr>
      <w:r>
        <w:lastRenderedPageBreak/>
        <w:t>303.</w:t>
      </w:r>
      <w:r>
        <w:tab/>
        <w:t>За 11 месяцев 2019 года, по сравнению с аналогичным периодом 2018 года, на 25,0% сократилось общее число несовершеннолетних, зарегистрированных впервые в жизни организациями здравоохранения в связи с психическими и поведенческими расстройствами, связанными с употреблением психоактивных веществ.</w:t>
      </w:r>
    </w:p>
    <w:p w14:paraId="3429E16E" w14:textId="77777777" w:rsidR="00CC6CC7" w:rsidRDefault="00CC6CC7" w:rsidP="00CC6CC7">
      <w:pPr>
        <w:pStyle w:val="SingleTxtG"/>
      </w:pPr>
      <w:r>
        <w:t>304.</w:t>
      </w:r>
      <w:r>
        <w:tab/>
        <w:t>В Беларуси введено 446 штатных должностей врачей-психиатров-наркологов для оказания наркологической помощи взрослому населению, 85,5 штатных должностей врачей-психиатров-наркологов для оказания наркологической помощи детскому населению, из них – 350,5 штатных должностей врачей-психиатров-наркологов для оказания амбулаторной наркологической помощи взрослому населению и 84,25 штатных должностей врачей-психиатров-наркологов для оказания амбулаторной наркологической помощи детскому населению.</w:t>
      </w:r>
    </w:p>
    <w:p w14:paraId="45B9F6C7" w14:textId="77777777" w:rsidR="00CC6CC7" w:rsidRDefault="00CC6CC7" w:rsidP="00CC6CC7">
      <w:pPr>
        <w:pStyle w:val="SingleTxtG"/>
      </w:pPr>
      <w:r>
        <w:t>305.</w:t>
      </w:r>
      <w:r>
        <w:tab/>
        <w:t xml:space="preserve">В целях повышения уровня информированности населения о вреде курения, профилактики заболеваний, связанных с потреблением табака, дважды в год (в ноябре и мае) проводится республиканская информационно-образовательная акция «Беларусь против табака». </w:t>
      </w:r>
    </w:p>
    <w:p w14:paraId="0A3D0484" w14:textId="77777777" w:rsidR="00CC6CC7" w:rsidRDefault="00CC6CC7" w:rsidP="00CC6CC7">
      <w:pPr>
        <w:pStyle w:val="SingleTxtG"/>
      </w:pPr>
      <w:r>
        <w:t>306.</w:t>
      </w:r>
      <w:r>
        <w:tab/>
        <w:t>Ежегодно в рамках Единых дней здоровья в Беларуси проводятся «Международный день борьбы с наркоманией» (1</w:t>
      </w:r>
      <w:r>
        <w:rPr>
          <w:lang w:val="en-US"/>
        </w:rPr>
        <w:t> </w:t>
      </w:r>
      <w:r>
        <w:t>марта), «Всемирный день распространения информации о проблеме аутизма» (2</w:t>
      </w:r>
      <w:r>
        <w:rPr>
          <w:lang w:val="en-US"/>
        </w:rPr>
        <w:t> </w:t>
      </w:r>
      <w:r>
        <w:t>апреля), «Всемирный день здоровья» (7</w:t>
      </w:r>
      <w:r>
        <w:rPr>
          <w:lang w:val="en-US"/>
        </w:rPr>
        <w:t> </w:t>
      </w:r>
      <w:r>
        <w:t>апреля), «Всемирный день без табака» (31</w:t>
      </w:r>
      <w:r>
        <w:rPr>
          <w:lang w:val="en-US"/>
        </w:rPr>
        <w:t> </w:t>
      </w:r>
      <w:r>
        <w:t>мая), «День профилактики алкоголизма» (7</w:t>
      </w:r>
      <w:r>
        <w:rPr>
          <w:lang w:val="en-US"/>
        </w:rPr>
        <w:t> </w:t>
      </w:r>
      <w:r>
        <w:t xml:space="preserve">июля), «Всемирный день предотвращения самоубийств» (10 сентября), «Всемирный день психического здоровья» (10 октября), «Всемирный день </w:t>
      </w:r>
      <w:proofErr w:type="spellStart"/>
      <w:r>
        <w:t>некурения</w:t>
      </w:r>
      <w:proofErr w:type="spellEnd"/>
      <w:r>
        <w:t>. Профилактика онкологических заболеваний» (каждый третий четверг ноября).</w:t>
      </w:r>
    </w:p>
    <w:p w14:paraId="61E2F5B9" w14:textId="77777777" w:rsidR="00CC6CC7" w:rsidRDefault="00CC6CC7" w:rsidP="00CC6CC7">
      <w:pPr>
        <w:pStyle w:val="SingleTxtG"/>
      </w:pPr>
      <w:r>
        <w:t>307.</w:t>
      </w:r>
      <w:r>
        <w:tab/>
        <w:t xml:space="preserve">Основной акцент профилактических мероприятий, проводимых заинтересованными органами и ведомствами, направлен на повышение мотивации населения к ведению здорового образа жизни и коррекцию имеющихся факторов риска, информирование о негативных последствиях, связанных с употреблением психоактивных веществ. Используются как традиционные, так и новые формы профилактической работы с населением: заседания «круглых столов» и пресс-конференций, кино – и </w:t>
      </w:r>
      <w:proofErr w:type="spellStart"/>
      <w:r>
        <w:t>видеосеансы</w:t>
      </w:r>
      <w:proofErr w:type="spellEnd"/>
      <w:r>
        <w:t>, конкурсы, выставки и тематические вечера, выступления перед населением, индивидуальные консультации, «горячие» телефонные линии, обучение в школах здоровья. Активно используются Интернет-ресурсы как один из востребованных и эффективных источников информации, позволяющих охватить наибольшее количество потребителей из различных целевых аудиторий.</w:t>
      </w:r>
    </w:p>
    <w:p w14:paraId="5AF995C5" w14:textId="77777777" w:rsidR="00CC6CC7" w:rsidRDefault="00CC6CC7" w:rsidP="00CC6CC7">
      <w:pPr>
        <w:pStyle w:val="SingleTxtG"/>
      </w:pPr>
      <w:r>
        <w:t>308.</w:t>
      </w:r>
      <w:r>
        <w:tab/>
        <w:t>В настоящее время на базе ГУ «РНПЦ психического здоровья» создан экспериментальный центр медико-социальной реабилитации для лиц с синдромом зависимости от психоактивных веществ.</w:t>
      </w:r>
    </w:p>
    <w:p w14:paraId="33F37F0F" w14:textId="77777777" w:rsidR="00CC6CC7" w:rsidRDefault="00CC6CC7" w:rsidP="00CC6CC7">
      <w:pPr>
        <w:pStyle w:val="SingleTxtG"/>
      </w:pPr>
      <w:r>
        <w:t>309.</w:t>
      </w:r>
      <w:r>
        <w:tab/>
        <w:t>До 2015 года в Беларуси наблюдался значительный рост количества преступлений, связанных с незаконным оборотом наркотических средств и психотропных веществ, а также числа лиц, в него вовлеченных. Темп прироста таких преступлений достиг своего пика в 2014 году и составил 46,1%.</w:t>
      </w:r>
    </w:p>
    <w:p w14:paraId="1F5E29C9" w14:textId="77777777" w:rsidR="00CC6CC7" w:rsidRDefault="00CC6CC7" w:rsidP="00CC6CC7">
      <w:pPr>
        <w:pStyle w:val="SingleTxtG"/>
      </w:pPr>
      <w:r>
        <w:t>310.</w:t>
      </w:r>
      <w:r>
        <w:tab/>
        <w:t>Ситуация, сложившаяся в этот период, напрямую связана с массовым распространением в республике так называемых «курительных смесей» (</w:t>
      </w:r>
      <w:proofErr w:type="spellStart"/>
      <w:r>
        <w:t>спайсы</w:t>
      </w:r>
      <w:proofErr w:type="spellEnd"/>
      <w:r>
        <w:t xml:space="preserve">, миксы и др.). </w:t>
      </w:r>
    </w:p>
    <w:p w14:paraId="7A75B47F" w14:textId="77777777" w:rsidR="00CC6CC7" w:rsidRDefault="00CC6CC7" w:rsidP="00CC6CC7">
      <w:pPr>
        <w:pStyle w:val="SingleTxtG"/>
      </w:pPr>
      <w:r>
        <w:t>311.</w:t>
      </w:r>
      <w:r>
        <w:tab/>
        <w:t xml:space="preserve">Изменения законодательства, в совокупности с практическими мерами, стали своевременным и необходимым шагом в противодействии незаконному обороту наркотиков. Результатом принятых мер стало уменьшение общего количества зарегистрированных наркопреступлений, в том числе совершенных несовершеннолетними, фактов отравлений психоактивными веществами. </w:t>
      </w:r>
    </w:p>
    <w:p w14:paraId="109A59FC" w14:textId="77777777" w:rsidR="00CC6CC7" w:rsidRDefault="00CC6CC7" w:rsidP="00CC6CC7">
      <w:pPr>
        <w:pStyle w:val="SingleTxtG"/>
      </w:pPr>
      <w:r>
        <w:t>312.</w:t>
      </w:r>
      <w:r>
        <w:tab/>
        <w:t>В 4 раза снизилось число доставлений в учреждения здравоохранения в связи с передозировкой психоактивными веществами (с 1</w:t>
      </w:r>
      <w:r>
        <w:rPr>
          <w:lang w:val="en-US"/>
        </w:rPr>
        <w:t> </w:t>
      </w:r>
      <w:r>
        <w:t>351 до 327), в том числе в двадцать раз – среди несовершеннолетних лиц (с 223 до 11).</w:t>
      </w:r>
    </w:p>
    <w:p w14:paraId="0C7AD71E" w14:textId="77777777" w:rsidR="00CC6CC7" w:rsidRDefault="00CC6CC7" w:rsidP="00CC6CC7">
      <w:pPr>
        <w:pStyle w:val="SingleTxtG"/>
      </w:pPr>
      <w:r>
        <w:lastRenderedPageBreak/>
        <w:t>313.</w:t>
      </w:r>
      <w:r>
        <w:tab/>
        <w:t xml:space="preserve">Стратегическое значение приобрел Комплексный план мероприятий, направленных на принятие эффективных мер по противодействию незаконному обороту наркотиков, профилактике их потребления, в том числе среди детей и молодежи, социальной реабилитации лиц, больных наркоманией, впервые разработанный в 2015 году. </w:t>
      </w:r>
    </w:p>
    <w:p w14:paraId="5F9B40B6" w14:textId="77777777" w:rsidR="00CC6CC7" w:rsidRDefault="00CC6CC7" w:rsidP="00CC6CC7">
      <w:pPr>
        <w:pStyle w:val="SingleTxtG"/>
      </w:pPr>
      <w:r>
        <w:t>314.</w:t>
      </w:r>
      <w:r>
        <w:tab/>
        <w:t xml:space="preserve">В основу плана лег ряд мероприятий аналитического, практического, организационного и профилактического характера. В реализации мероприятий плана участвуют правоохранительные и иные государственные органы, общественные и религиозные организации. </w:t>
      </w:r>
    </w:p>
    <w:p w14:paraId="620E6367" w14:textId="77777777" w:rsidR="00CC6CC7" w:rsidRDefault="00CC6CC7" w:rsidP="00CC6CC7">
      <w:pPr>
        <w:pStyle w:val="SingleTxtG"/>
      </w:pPr>
      <w:r>
        <w:t>315.</w:t>
      </w:r>
      <w:r>
        <w:tab/>
        <w:t xml:space="preserve">В настоящее время вопросам, связанным с профилактикой наркомании, уделяется внимание во всех органах государственной власти. </w:t>
      </w:r>
    </w:p>
    <w:p w14:paraId="5D0845BA" w14:textId="77777777" w:rsidR="00CC6CC7" w:rsidRDefault="00CC6CC7" w:rsidP="00CC6CC7">
      <w:pPr>
        <w:pStyle w:val="SingleTxtG"/>
      </w:pPr>
      <w:r>
        <w:t>316.</w:t>
      </w:r>
      <w:r>
        <w:tab/>
        <w:t xml:space="preserve">В Беларуси, как и в других странах, имеется латентность наркомании. Индекс латентности наркомании и итоговое число наркопотребителей в нашей стране коррелируют с данными международных экспертов. В целях снижения латентности наркомании Министерством здравоохранения реализуется ряд мер, направленных на повышение мотивации наркопотребителей к раннему обращению за специализированной наркологической помощью: </w:t>
      </w:r>
    </w:p>
    <w:p w14:paraId="2167CC36" w14:textId="77777777" w:rsidR="00CC6CC7" w:rsidRDefault="00CC6CC7" w:rsidP="00CC6CC7">
      <w:pPr>
        <w:pStyle w:val="Bullet1G"/>
        <w:numPr>
          <w:ilvl w:val="0"/>
          <w:numId w:val="16"/>
        </w:numPr>
      </w:pPr>
      <w:r>
        <w:t xml:space="preserve">расширение </w:t>
      </w:r>
      <w:proofErr w:type="spellStart"/>
      <w:r>
        <w:t>низкопороговых</w:t>
      </w:r>
      <w:proofErr w:type="spellEnd"/>
      <w:r>
        <w:t xml:space="preserve"> программ доступа наркопотребителей к лечению;</w:t>
      </w:r>
    </w:p>
    <w:p w14:paraId="2611ECB7" w14:textId="77777777" w:rsidR="00CC6CC7" w:rsidRDefault="00CC6CC7" w:rsidP="00CC6CC7">
      <w:pPr>
        <w:pStyle w:val="Bullet1G"/>
        <w:numPr>
          <w:ilvl w:val="0"/>
          <w:numId w:val="16"/>
        </w:numPr>
      </w:pPr>
      <w:r>
        <w:t xml:space="preserve">расширение спектра реабилитационных услуг для лиц с синдромом зависимости от психоактивных веществ; </w:t>
      </w:r>
    </w:p>
    <w:p w14:paraId="18B2EBB2" w14:textId="77777777" w:rsidR="00CC6CC7" w:rsidRDefault="00CC6CC7" w:rsidP="00CC6CC7">
      <w:pPr>
        <w:pStyle w:val="Bullet1G"/>
        <w:numPr>
          <w:ilvl w:val="0"/>
          <w:numId w:val="16"/>
        </w:numPr>
      </w:pPr>
      <w:r>
        <w:t>пересмотр клинических протоколов по заместительной терапии и разработка единого порядка проведения заместительной терапии.</w:t>
      </w:r>
    </w:p>
    <w:p w14:paraId="2308BC85" w14:textId="77777777" w:rsidR="00CC6CC7" w:rsidRDefault="00CC6CC7" w:rsidP="00CC6CC7">
      <w:pPr>
        <w:pStyle w:val="SingleTxtG"/>
      </w:pPr>
      <w:r>
        <w:t>317.</w:t>
      </w:r>
      <w:r>
        <w:tab/>
        <w:t xml:space="preserve">Важным шагом стала разработка в стране информационного социально ориентированного ресурса «POMOGUT.BY». Ресурс создан в целях совершенствования работы по профилактике наркомании, оказания помощи наркозависимым и </w:t>
      </w:r>
      <w:proofErr w:type="spellStart"/>
      <w:r>
        <w:t>созависимым</w:t>
      </w:r>
      <w:proofErr w:type="spellEnd"/>
      <w:r>
        <w:t xml:space="preserve"> лицам, а также иным гражданам, столкнувшимся с проблемой наркомании. 18 октября 2018 года состоялся запуск единого консультационного центра (</w:t>
      </w:r>
      <w:proofErr w:type="spellStart"/>
      <w:r>
        <w:t>колл</w:t>
      </w:r>
      <w:proofErr w:type="spellEnd"/>
      <w:r>
        <w:t xml:space="preserve">-центра) «pomogut.by». </w:t>
      </w:r>
    </w:p>
    <w:p w14:paraId="2134FE47" w14:textId="77777777" w:rsidR="00CC6CC7" w:rsidRDefault="00CC6CC7" w:rsidP="00CC6CC7">
      <w:pPr>
        <w:pStyle w:val="SingleTxtG"/>
      </w:pPr>
      <w:r>
        <w:t>318.</w:t>
      </w:r>
      <w:r>
        <w:tab/>
        <w:t>Значительное внимание в Беларуси уделяется реабилитации наркозависимых, целью которой является их социализация, возвращение в полноценный ритм общества.</w:t>
      </w:r>
    </w:p>
    <w:p w14:paraId="090BB9F8" w14:textId="77777777" w:rsidR="00CC6CC7" w:rsidRDefault="00CC6CC7" w:rsidP="00CC6CC7">
      <w:pPr>
        <w:pStyle w:val="SingleTxtG"/>
      </w:pPr>
      <w:r>
        <w:t>319.</w:t>
      </w:r>
      <w:r>
        <w:tab/>
        <w:t>Для предупреждения и преодоления пьянства и алкоголизма, а также формирования навыков здорового образа жизни органами внутренних дел проводятся информационные мероприятия. В 2018 году сотрудниками в средствах массовой информации размещено 3,4 тыс. материалов по профилактике правонарушений, связанных с пьянством и алкоголизмом, в т. ч. 605 на телевидении, 1,4 тыс. на радио и 1,5</w:t>
      </w:r>
      <w:r>
        <w:rPr>
          <w:lang w:val="en-US"/>
        </w:rPr>
        <w:t> </w:t>
      </w:r>
      <w:r>
        <w:t>тыс. в газетах. Проведено 187 специальных мероприятий для прессы по антиалкогольной тематике.</w:t>
      </w:r>
    </w:p>
    <w:p w14:paraId="21EA2035" w14:textId="77777777" w:rsidR="00CC6CC7" w:rsidRDefault="00CC6CC7" w:rsidP="00CC6CC7">
      <w:pPr>
        <w:pStyle w:val="SingleTxtG"/>
      </w:pPr>
      <w:r>
        <w:t>320.</w:t>
      </w:r>
      <w:r>
        <w:tab/>
        <w:t>В средствах массовой информации опубликованы 788 тематических материалов по вопросам популяризации здорового образа жизни, профилактики пьянства, алкоголизма, вредных последствий употребления самогона, непищевой спиртосодержащей продукции.</w:t>
      </w:r>
    </w:p>
    <w:p w14:paraId="2DE2652D" w14:textId="77777777" w:rsidR="00CC6CC7" w:rsidRDefault="00CC6CC7" w:rsidP="00CC6CC7">
      <w:pPr>
        <w:pStyle w:val="SingleTxtG"/>
      </w:pPr>
      <w:r>
        <w:t>321.</w:t>
      </w:r>
      <w:r>
        <w:tab/>
        <w:t>Для профилактики потребления молодыми людьми алкогольных, слабоалкогольных напитков в учреждениях образования проводятся обучающие семинары для педагогов по механизму раннего выявления и предупреждения потребления подростками указанных напитков.</w:t>
      </w:r>
    </w:p>
    <w:p w14:paraId="6150339B" w14:textId="77777777" w:rsidR="00CC6CC7" w:rsidRDefault="00CC6CC7" w:rsidP="00CC6CC7">
      <w:pPr>
        <w:pStyle w:val="SingleTxtG"/>
      </w:pPr>
      <w:r>
        <w:t>322.</w:t>
      </w:r>
      <w:r>
        <w:tab/>
        <w:t xml:space="preserve">Для привлечения внимания детей к наглядной информации, размещаемой в уголках правовых знаний учреждений образования, сотрудниками ОВД широко применяются технологии дополненной реальности. В качестве носителя информации сотрудники милиции используют QR-коды. </w:t>
      </w:r>
    </w:p>
    <w:p w14:paraId="5CD8AD5B" w14:textId="77777777" w:rsidR="00CC6CC7" w:rsidRDefault="00CC6CC7" w:rsidP="00CC6CC7">
      <w:pPr>
        <w:pStyle w:val="SingleTxtG"/>
      </w:pPr>
      <w:r>
        <w:t>323.</w:t>
      </w:r>
      <w:r>
        <w:tab/>
        <w:t>Реализуемые мероприятия позволили на 5,8% (с 16</w:t>
      </w:r>
      <w:r>
        <w:rPr>
          <w:lang w:val="en-US"/>
        </w:rPr>
        <w:t> </w:t>
      </w:r>
      <w:r>
        <w:t>018 до 15</w:t>
      </w:r>
      <w:r>
        <w:rPr>
          <w:lang w:val="en-US"/>
        </w:rPr>
        <w:t> </w:t>
      </w:r>
      <w:r>
        <w:t xml:space="preserve">091) снизить количество преступлений, совершенных лицами в состоянии алкогольного опьянения. </w:t>
      </w:r>
    </w:p>
    <w:p w14:paraId="7F7F530C" w14:textId="77777777" w:rsidR="00CC6CC7" w:rsidRDefault="00CC6CC7" w:rsidP="00CC6CC7">
      <w:pPr>
        <w:pStyle w:val="SingleTxtG"/>
      </w:pPr>
      <w:r>
        <w:lastRenderedPageBreak/>
        <w:t>324.</w:t>
      </w:r>
      <w:r>
        <w:tab/>
        <w:t>Снизилось количество неработающих и не обучающихся (–4,0%; с 8</w:t>
      </w:r>
      <w:r>
        <w:rPr>
          <w:lang w:val="en-US"/>
        </w:rPr>
        <w:t> </w:t>
      </w:r>
      <w:r>
        <w:t>650 до 8 306), а также лиц, имеющих судимость (–3,8%; с 4</w:t>
      </w:r>
      <w:r>
        <w:rPr>
          <w:lang w:val="en-US"/>
        </w:rPr>
        <w:t> </w:t>
      </w:r>
      <w:r>
        <w:t>650 до 4</w:t>
      </w:r>
      <w:r>
        <w:rPr>
          <w:lang w:val="en-US"/>
        </w:rPr>
        <w:t> </w:t>
      </w:r>
      <w:r>
        <w:t>472), совершивших преступления в состоянии алкогольного опьянения.</w:t>
      </w:r>
    </w:p>
    <w:p w14:paraId="52A1EF24" w14:textId="77777777" w:rsidR="00CC6CC7" w:rsidRDefault="00CC6CC7" w:rsidP="00CC6CC7">
      <w:pPr>
        <w:pStyle w:val="SingleTxtG"/>
      </w:pPr>
      <w:r>
        <w:t>325.</w:t>
      </w:r>
      <w:r>
        <w:tab/>
        <w:t>Наряду с изложенным необходимо отметить, что по итогам 2018 года по республике на 19,9% снизилось количество дорожно-транспортных происшествий по вине водителей, находившихся в состоянии опьянения (с 361 до 289), а также погибших (–18,4%; с 87 до 71) и раненых (–17,9%; с 396 до 325) в таких происшествиях людей.</w:t>
      </w:r>
    </w:p>
    <w:p w14:paraId="2960149E" w14:textId="77777777" w:rsidR="00CC6CC7" w:rsidRDefault="00CC6CC7" w:rsidP="00CC6CC7">
      <w:pPr>
        <w:pStyle w:val="SingleTxtG"/>
      </w:pPr>
      <w:r>
        <w:t>326.</w:t>
      </w:r>
      <w:r>
        <w:tab/>
        <w:t>Также в отчетном периоде наблюдаются положительные тенденции, связанные со снижением числа (–3,5%; с 257 до 248) несовершеннолетних участников уголовно наказуемых деяний в состоянии алкогольного опьянения.</w:t>
      </w:r>
    </w:p>
    <w:p w14:paraId="6603B163" w14:textId="77777777" w:rsidR="00CC6CC7" w:rsidRDefault="00CC6CC7" w:rsidP="00CC6CC7">
      <w:pPr>
        <w:pStyle w:val="SingleTxtG"/>
      </w:pPr>
      <w:r>
        <w:t>327.</w:t>
      </w:r>
      <w:r>
        <w:tab/>
        <w:t>В Беларуси в течение последних лет совершенствуется и ужесточается законодательство по ограничению распространения курения. Декретом Президента Республики Беларусь от 17 декабря 2002 года №</w:t>
      </w:r>
      <w:r>
        <w:rPr>
          <w:lang w:val="en-US"/>
        </w:rPr>
        <w:t> </w:t>
      </w:r>
      <w:r>
        <w:t>28 «О государственном регулировании производства, оборота и потребления табачного сырья и табачных изделий» (в редакции Декрета Президента Республики Беларусь от 24</w:t>
      </w:r>
      <w:r>
        <w:rPr>
          <w:lang w:val="en-US"/>
        </w:rPr>
        <w:t> </w:t>
      </w:r>
      <w:r>
        <w:t>ноября 2019 года №</w:t>
      </w:r>
      <w:r>
        <w:rPr>
          <w:lang w:val="en-US"/>
        </w:rPr>
        <w:t> </w:t>
      </w:r>
      <w:r>
        <w:t>2 «Об изменении Декретов Президента Республики Беларусь»), вступившим в силу 27 июля 2019 года, предусмотрено регулирование электронных систем курения, жидкостей для электронных систем курения, систем для потребления табака, отдельных норм и правил, действующих в отношении оборота и потребления табачных изделий. Также введены ограничения в части мест продажи и использования электронных систем курения и жидкостей к ним, систем для потребления табака. Установлен запрет на продажу жидкости.</w:t>
      </w:r>
    </w:p>
    <w:p w14:paraId="36B90173" w14:textId="77777777" w:rsidR="00CC6CC7" w:rsidRDefault="00CC6CC7" w:rsidP="00CC6CC7">
      <w:pPr>
        <w:pStyle w:val="SingleTxtG"/>
      </w:pPr>
      <w:r>
        <w:t>328.</w:t>
      </w:r>
      <w:r>
        <w:tab/>
        <w:t>Согласно данным STEPS-исследований (распространенность факторов риска неинфекционных заболеваний в Беларуси среди населения в возрасте от 18 до 69 лет), проведенных в 2016–2017 годах, курят в настоящее время 29,6% респондентов (в 2010 году по данным социологических исследований «Поведенческие факторы риска населения Республики Беларусь» доля курящего населения от 16 лет и старше составила – 30,6%, в том числе 27,1% – ежедневно). Среди мужчин потребление курительного табака составляет 48,4% (в 2010 году – 47,1%), среди женщин – 12,6% (в 2010 году – 17,0%).</w:t>
      </w:r>
    </w:p>
    <w:p w14:paraId="7279747D" w14:textId="77777777" w:rsidR="00CC6CC7" w:rsidRDefault="00CC6CC7" w:rsidP="00CC6CC7">
      <w:pPr>
        <w:pStyle w:val="SingleTxtG"/>
      </w:pPr>
      <w:r>
        <w:t>329.</w:t>
      </w:r>
      <w:r>
        <w:tab/>
        <w:t xml:space="preserve">В 2018 года с целью популяризации здорового образа жизни специалистами органов и учреждений, осуществляющих государственный санитарный надзор, в Республике Беларусь проведено более 8 тыс. выступлений по телевидению, более 10 тыс. выступлений по радио, опубликовано более 10 тыс. статей в печатных изданиях; проведено 453 заседания «круглого стола», 227 пресс-конференций по вопросам формирования навыков ответственного поведения, профилактики зависимостей и заболеваний. Эффективным источником информации являются интернет-ресурсы, позволяющие охватить наибольшее количество потребителей информации из различных целевых аудиторий. В сети Интернет за истекший период текущего года размещено более 35 тыс. информационных материалов по вопросам сохранения и укрепления здоровья. </w:t>
      </w:r>
    </w:p>
    <w:p w14:paraId="3876C5D7" w14:textId="77777777" w:rsidR="00CC6CC7" w:rsidRDefault="00CC6CC7" w:rsidP="00CC6CC7">
      <w:pPr>
        <w:pStyle w:val="SingleTxtG"/>
      </w:pPr>
      <w:r>
        <w:t>330.</w:t>
      </w:r>
      <w:r>
        <w:tab/>
        <w:t>В Республике Беларусь разработана национальная модель службы планирования семьи, мужского здоровья.</w:t>
      </w:r>
    </w:p>
    <w:p w14:paraId="3F908845" w14:textId="77777777" w:rsidR="00CC6CC7" w:rsidRDefault="00CC6CC7" w:rsidP="00CC6CC7">
      <w:pPr>
        <w:pStyle w:val="SingleTxtG"/>
      </w:pPr>
      <w:r>
        <w:t>331.</w:t>
      </w:r>
      <w:r>
        <w:tab/>
        <w:t>В стране функционирует отработанная система медицинского наблюдения девочек и девушек-подростков.</w:t>
      </w:r>
    </w:p>
    <w:p w14:paraId="26C89DA1" w14:textId="77777777" w:rsidR="00CC6CC7" w:rsidRDefault="00CC6CC7" w:rsidP="00CC6CC7">
      <w:pPr>
        <w:pStyle w:val="SingleTxtG"/>
      </w:pPr>
      <w:r>
        <w:t>332.</w:t>
      </w:r>
      <w:r>
        <w:tab/>
        <w:t>Скрининговые осмотры девочек (девушек) (врачами-акушерами-гинекологами) проводятся в 2–3 года – при оформлении в учреждение дошкольного образования, в возрасте 5–6 лет – в случае отсутствия осмотра ранее, с 15 до 17 лет – ежегодно.</w:t>
      </w:r>
    </w:p>
    <w:p w14:paraId="7953E5CD" w14:textId="77777777" w:rsidR="00CC6CC7" w:rsidRDefault="00CC6CC7" w:rsidP="00CC6CC7">
      <w:pPr>
        <w:pStyle w:val="SingleTxtG"/>
      </w:pPr>
      <w:r>
        <w:t>333.</w:t>
      </w:r>
      <w:r>
        <w:tab/>
        <w:t>Удельный вес бесплодных супружеских пар составляет около 14,0%. В каждом областном центре и г.</w:t>
      </w:r>
      <w:r>
        <w:rPr>
          <w:lang w:val="en-US"/>
        </w:rPr>
        <w:t> </w:t>
      </w:r>
      <w:r>
        <w:t>Минске созданы консультации «Брак и семья», работают отделения вспомогательных репродуктивных технологий. Отмечается ежегодное снижение количества абортов, с 2010 по 2018 год их количество сократилось в 1,3 раза.</w:t>
      </w:r>
    </w:p>
    <w:p w14:paraId="22A3F225" w14:textId="77777777" w:rsidR="00CC6CC7" w:rsidRDefault="00CC6CC7" w:rsidP="00CC6CC7">
      <w:pPr>
        <w:pStyle w:val="SingleTxtG"/>
      </w:pPr>
      <w:r>
        <w:lastRenderedPageBreak/>
        <w:t>334.</w:t>
      </w:r>
      <w:r>
        <w:tab/>
        <w:t>Беременной женщине обеспечено медицинское наблюдение и оказание всех видов медицинской помощи в амбулаторных и стационарных условиях во время беременности, родов и после родов, а также медицинская помощь новорожденным. В стационарных условиях происходит 99,8% деторождений.</w:t>
      </w:r>
    </w:p>
    <w:p w14:paraId="068D34E9" w14:textId="77777777" w:rsidR="00CC6CC7" w:rsidRDefault="00CC6CC7" w:rsidP="00CC6CC7">
      <w:pPr>
        <w:pStyle w:val="SingleTxtG"/>
      </w:pPr>
      <w:r>
        <w:t>335.</w:t>
      </w:r>
      <w:r>
        <w:tab/>
        <w:t>В медицинских учреждениях Беларуси работает 2</w:t>
      </w:r>
      <w:r>
        <w:rPr>
          <w:lang w:val="en-US"/>
        </w:rPr>
        <w:t> </w:t>
      </w:r>
      <w:r>
        <w:t>635 врачей акушеров-гинекологов (5,4% от всех врачей).</w:t>
      </w:r>
    </w:p>
    <w:p w14:paraId="72337C59" w14:textId="77777777" w:rsidR="00CC6CC7" w:rsidRDefault="00CC6CC7" w:rsidP="00CC6CC7">
      <w:pPr>
        <w:pStyle w:val="SingleTxtG"/>
      </w:pPr>
      <w:r>
        <w:t>336.</w:t>
      </w:r>
      <w:r>
        <w:tab/>
        <w:t xml:space="preserve">Сформирована и функционирует разноуровневая система оказания перинатальной помощи, построенная на принципе равной доступности специализированной медицинской помощи с позиций ее обоснованности и эффективности. </w:t>
      </w:r>
    </w:p>
    <w:p w14:paraId="3C365AE4" w14:textId="77777777" w:rsidR="00CC6CC7" w:rsidRDefault="00CC6CC7" w:rsidP="00CC6CC7">
      <w:pPr>
        <w:pStyle w:val="SingleTxtG"/>
      </w:pPr>
      <w:r>
        <w:t>337.</w:t>
      </w:r>
      <w:r>
        <w:tab/>
        <w:t xml:space="preserve">В настоящее время в стране функционирует 1 перинатальный центр IV уровня – ГУ «РНПЦ Мать и дитя», 17 перинатальных центров III уровня, 27 перинатальных центров II уровня. </w:t>
      </w:r>
    </w:p>
    <w:p w14:paraId="0C49C0B6" w14:textId="77777777" w:rsidR="00CC6CC7" w:rsidRDefault="00CC6CC7" w:rsidP="00CC6CC7">
      <w:pPr>
        <w:pStyle w:val="SingleTxtG"/>
      </w:pPr>
      <w:r>
        <w:t>338.</w:t>
      </w:r>
      <w:r>
        <w:tab/>
        <w:t xml:space="preserve">В Беларуси средства контрацепции доступны для населения, в том числе для мужчин. Основой выбора метода контрацепции является желание гражданина. </w:t>
      </w:r>
    </w:p>
    <w:p w14:paraId="0472BE78" w14:textId="77777777" w:rsidR="00CC6CC7" w:rsidRDefault="00CC6CC7" w:rsidP="00CC6CC7">
      <w:pPr>
        <w:pStyle w:val="SingleTxtG"/>
      </w:pPr>
      <w:r>
        <w:t>339.</w:t>
      </w:r>
      <w:r>
        <w:tab/>
        <w:t>Государством созданы условия по обеспечению наличия и доступности различных видов контрацептивных средств. В аптечной сети республики представлен широкий ассортимент средств контрацепции, в том числе барьерные, механические и гормональные, средняя стоимость которых не превышает 10 долларов в месяц. Гормональные средства контрацепции, за исключением средств экстренной контрацепции, отпускаются по рецепту врача.</w:t>
      </w:r>
    </w:p>
    <w:p w14:paraId="4101A57C" w14:textId="77777777" w:rsidR="00CC6CC7" w:rsidRDefault="00CC6CC7" w:rsidP="00CC6CC7">
      <w:pPr>
        <w:pStyle w:val="SingleTxtG"/>
      </w:pPr>
      <w:r>
        <w:t>340.</w:t>
      </w:r>
      <w:r>
        <w:tab/>
        <w:t>В Беларуси женщине предоставлено право самой решать вопрос о материнстве.</w:t>
      </w:r>
    </w:p>
    <w:p w14:paraId="7736601C" w14:textId="77777777" w:rsidR="00CC6CC7" w:rsidRDefault="00CC6CC7" w:rsidP="00CC6CC7">
      <w:pPr>
        <w:pStyle w:val="SingleTxtG"/>
      </w:pPr>
      <w:r>
        <w:t>341.</w:t>
      </w:r>
      <w:r>
        <w:tab/>
        <w:t xml:space="preserve">В практику внедрено </w:t>
      </w:r>
      <w:proofErr w:type="spellStart"/>
      <w:r>
        <w:t>предабортное</w:t>
      </w:r>
      <w:proofErr w:type="spellEnd"/>
      <w:r>
        <w:t xml:space="preserve"> психологическое консультирование, целью которого является снижение психологической нагрузки на женщину/семейную пару. В организациях здравоохранения созданы условия и обеспечено проведение </w:t>
      </w:r>
      <w:proofErr w:type="spellStart"/>
      <w:r>
        <w:t>предабортного</w:t>
      </w:r>
      <w:proofErr w:type="spellEnd"/>
      <w:r>
        <w:t xml:space="preserve"> психологического консультирования женщин, обратившихся за проведением искусственного прерывания беременности. В женских консультациях для проведения </w:t>
      </w:r>
      <w:proofErr w:type="spellStart"/>
      <w:r>
        <w:t>предабортного</w:t>
      </w:r>
      <w:proofErr w:type="spellEnd"/>
      <w:r>
        <w:t xml:space="preserve"> консультирования введена должность штатного психолога.</w:t>
      </w:r>
    </w:p>
    <w:p w14:paraId="7C11F8BF" w14:textId="77777777" w:rsidR="00CC6CC7" w:rsidRDefault="00CC6CC7" w:rsidP="00CC6CC7">
      <w:pPr>
        <w:pStyle w:val="SingleTxtG"/>
      </w:pPr>
      <w:r>
        <w:t>342.</w:t>
      </w:r>
      <w:r>
        <w:tab/>
      </w:r>
      <w:proofErr w:type="spellStart"/>
      <w:r>
        <w:t>Предабортное</w:t>
      </w:r>
      <w:proofErr w:type="spellEnd"/>
      <w:r>
        <w:t xml:space="preserve"> консультирование позволило более 20% женщин принять решение о сохранении ребенка.</w:t>
      </w:r>
    </w:p>
    <w:p w14:paraId="5880AADA" w14:textId="77777777" w:rsidR="00CC6CC7" w:rsidRDefault="00CC6CC7" w:rsidP="00CC6CC7">
      <w:pPr>
        <w:pStyle w:val="SingleTxtG"/>
      </w:pPr>
      <w:r>
        <w:t>343.</w:t>
      </w:r>
      <w:r>
        <w:tab/>
        <w:t xml:space="preserve">В ходе </w:t>
      </w:r>
      <w:proofErr w:type="spellStart"/>
      <w:r>
        <w:t>предабортного</w:t>
      </w:r>
      <w:proofErr w:type="spellEnd"/>
      <w:r>
        <w:t xml:space="preserve"> консультирования женщина (при желании ее партнер) получает полную информацию о вреде аборта и возможных осложнениях в связи с прерыванием беременности.</w:t>
      </w:r>
    </w:p>
    <w:p w14:paraId="5B274396" w14:textId="77777777" w:rsidR="00CC6CC7" w:rsidRDefault="00CC6CC7" w:rsidP="00CC6CC7">
      <w:pPr>
        <w:pStyle w:val="SingleTxtG"/>
      </w:pPr>
      <w:r>
        <w:t>344.</w:t>
      </w:r>
      <w:r>
        <w:tab/>
        <w:t>В 2018 году показатель абортов у женщин фертильного возраста снизился до 10,5 на 1</w:t>
      </w:r>
      <w:r>
        <w:rPr>
          <w:lang w:val="en-US"/>
        </w:rPr>
        <w:t> </w:t>
      </w:r>
      <w:r>
        <w:t>000 женщин соответствующего возраста (2010 год – 13,5%</w:t>
      </w:r>
      <w:r>
        <w:rPr>
          <w:lang w:val="en-US"/>
        </w:rPr>
        <w:t>o</w:t>
      </w:r>
      <w:r>
        <w:t>), у девочек</w:t>
      </w:r>
      <w:r w:rsidRPr="00A243E3">
        <w:t>-</w:t>
      </w:r>
      <w:r>
        <w:t>подростков – 0,48%</w:t>
      </w:r>
      <w:r>
        <w:rPr>
          <w:lang w:val="en-US"/>
        </w:rPr>
        <w:t>o</w:t>
      </w:r>
      <w:r>
        <w:t xml:space="preserve"> (2010 год – 1,8%).</w:t>
      </w:r>
    </w:p>
    <w:p w14:paraId="0C58BBE5" w14:textId="77777777" w:rsidR="00CC6CC7" w:rsidRDefault="00CC6CC7" w:rsidP="00CC6CC7">
      <w:pPr>
        <w:pStyle w:val="H23G"/>
      </w:pPr>
      <w:r>
        <w:tab/>
      </w:r>
      <w:r>
        <w:tab/>
        <w:t>Право на образование</w:t>
      </w:r>
    </w:p>
    <w:p w14:paraId="432CF0F8" w14:textId="77777777" w:rsidR="00CC6CC7" w:rsidRDefault="00CC6CC7" w:rsidP="00CC6CC7">
      <w:pPr>
        <w:pStyle w:val="SingleTxtG"/>
      </w:pPr>
      <w:r>
        <w:t>345.</w:t>
      </w:r>
      <w:r>
        <w:tab/>
        <w:t xml:space="preserve">Высшее образование в Республике Беларусь доступно для всех в соответствии со способностями каждого. Каждый может на конкурсной основе бесплатно получить соответствующее образование в государственных учреждениях образования. Данное право гарантировано статьей 49 Конституции. </w:t>
      </w:r>
    </w:p>
    <w:p w14:paraId="2E253D73" w14:textId="77777777" w:rsidR="00CC6CC7" w:rsidRDefault="00CC6CC7" w:rsidP="00CC6CC7">
      <w:pPr>
        <w:pStyle w:val="SingleTxtG"/>
      </w:pPr>
      <w:r>
        <w:t>346.</w:t>
      </w:r>
      <w:r>
        <w:tab/>
        <w:t xml:space="preserve">Граждане Беларуси, иностранные граждане и лица без гражданства, постоянно проживающие в Республике Беларусь, иностранные граждане и лица без гражданства, которым предоставлены статус беженца или убежище в Республике Беларусь, имеют право участвовать в конкурсе на получение высшего образования в государственных учреждениях высшего образования за счет средств республиканского бюджета, если данный уровень образования они получают за счет средств бюджета впервые, либо в государственных или частных учреждениях высшего образования на платной основе. </w:t>
      </w:r>
    </w:p>
    <w:p w14:paraId="65B33912" w14:textId="77777777" w:rsidR="00CC6CC7" w:rsidRDefault="00CC6CC7" w:rsidP="00CC6CC7">
      <w:pPr>
        <w:pStyle w:val="SingleTxtG"/>
        <w:keepNext/>
      </w:pPr>
      <w:r>
        <w:lastRenderedPageBreak/>
        <w:t>347.</w:t>
      </w:r>
      <w:r>
        <w:tab/>
        <w:t>Согласно статистическим данным в учреждениях высшего образования в 2018/2019 учебном году обучается:</w:t>
      </w:r>
    </w:p>
    <w:p w14:paraId="27A14EA4" w14:textId="77777777" w:rsidR="00CC6CC7" w:rsidRDefault="00CC6CC7" w:rsidP="00CC6CC7">
      <w:pPr>
        <w:pStyle w:val="Bullet1G"/>
        <w:numPr>
          <w:ilvl w:val="0"/>
          <w:numId w:val="16"/>
        </w:numPr>
      </w:pPr>
      <w:r>
        <w:t>268 102 студентов, из них – 142 447 женщин (53,1%), 845 лиц с инвалидностью;</w:t>
      </w:r>
    </w:p>
    <w:p w14:paraId="7252C104" w14:textId="77777777" w:rsidR="00CC6CC7" w:rsidRDefault="00CC6CC7" w:rsidP="00CC6CC7">
      <w:pPr>
        <w:pStyle w:val="Bullet1G"/>
        <w:numPr>
          <w:ilvl w:val="0"/>
          <w:numId w:val="16"/>
        </w:numPr>
      </w:pPr>
      <w:r>
        <w:t>14 705 магистрантов, из них – 5</w:t>
      </w:r>
      <w:r>
        <w:rPr>
          <w:lang w:val="en-US"/>
        </w:rPr>
        <w:t> </w:t>
      </w:r>
      <w:r>
        <w:t>919 женщин (40,3%), 23 лица с инвалидностью.</w:t>
      </w:r>
    </w:p>
    <w:p w14:paraId="6BC3B5AE" w14:textId="77777777" w:rsidR="00CC6CC7" w:rsidRDefault="00CC6CC7" w:rsidP="00CC6CC7">
      <w:pPr>
        <w:pStyle w:val="SingleTxtG"/>
      </w:pPr>
      <w:r>
        <w:t>348.</w:t>
      </w:r>
      <w:r>
        <w:tab/>
        <w:t>На уровне среднего специального образования обучается 113 297 человек, в том числе 57 439 лиц мужского пола, или 50,7%, и 55 858 лиц женского пола, или 49,3%. Инвалидами является 771 учащихся, или 0,7% от всех обучающихся.</w:t>
      </w:r>
    </w:p>
    <w:p w14:paraId="4E1DBE89" w14:textId="77777777" w:rsidR="00CC6CC7" w:rsidRDefault="00CC6CC7" w:rsidP="00CC6CC7">
      <w:pPr>
        <w:pStyle w:val="SingleTxtG"/>
      </w:pPr>
      <w:r>
        <w:t>349.</w:t>
      </w:r>
      <w:r>
        <w:tab/>
        <w:t>На уровне профессионально-технического образования обучается 65 705 человек, в том числе 44 145 лиц мужского пола, или 67,2%, и 21 560 лиц женского пола, или 32,8%. Инвалидами являются 557 учащихся, или 0,85% от всех обучающихся.</w:t>
      </w:r>
    </w:p>
    <w:p w14:paraId="66235E04" w14:textId="77777777" w:rsidR="00CC6CC7" w:rsidRDefault="00CC6CC7" w:rsidP="00CC6CC7">
      <w:pPr>
        <w:pStyle w:val="SingleTxtG"/>
      </w:pPr>
      <w:r>
        <w:t>350.</w:t>
      </w:r>
      <w:r>
        <w:tab/>
        <w:t>По состоянию на 01.09.2018 на уровне общего среднего образования обучалось 996 018 учащихся, в том числе 503 774 лиц мужского пола, или 50,6%, и 492 244 лиц женского пола, или 49,4%.</w:t>
      </w:r>
    </w:p>
    <w:p w14:paraId="75DAADE5" w14:textId="77777777" w:rsidR="00CC6CC7" w:rsidRDefault="00CC6CC7" w:rsidP="00CC6CC7">
      <w:pPr>
        <w:pStyle w:val="SingleTxtG"/>
      </w:pPr>
      <w:r>
        <w:t>351.</w:t>
      </w:r>
      <w:r>
        <w:tab/>
        <w:t xml:space="preserve">Ведется учёт детей в возрасте от 0 до 18 лет в целях реализации конституционных прав граждан на образование, обеспечения всеобщности и обязательности общего базового образования, осуществления перехода к обязательному общему среднему образованию, выявления </w:t>
      </w:r>
      <w:proofErr w:type="spellStart"/>
      <w:r>
        <w:t>необучающихся</w:t>
      </w:r>
      <w:proofErr w:type="spellEnd"/>
      <w:r>
        <w:t xml:space="preserve"> детей и принятия мер к их обучению, создания необходимых условий для эффективного функционирования и развития системы общего среднего образования.</w:t>
      </w:r>
    </w:p>
    <w:p w14:paraId="614E205A" w14:textId="77777777" w:rsidR="00CC6CC7" w:rsidRDefault="00CC6CC7" w:rsidP="00CC6CC7">
      <w:pPr>
        <w:pStyle w:val="SingleTxtG"/>
      </w:pPr>
      <w:r>
        <w:t>352.</w:t>
      </w:r>
      <w:r>
        <w:tab/>
        <w:t>Порядок учёта детей определен в Положении о порядке организации учета детей, подлежащих обучению на уровне общего среднего образования, утвержденном постановлением Правительства от 08.11.2006 № 1493.</w:t>
      </w:r>
    </w:p>
    <w:p w14:paraId="0D3C07C5" w14:textId="77777777" w:rsidR="00CC6CC7" w:rsidRDefault="00CC6CC7" w:rsidP="00CC6CC7">
      <w:pPr>
        <w:pStyle w:val="SingleTxtG"/>
      </w:pPr>
      <w:r>
        <w:t>353.</w:t>
      </w:r>
      <w:r>
        <w:tab/>
        <w:t>По состоянию на 15.09.2018 в банк данных о детях с особенностями психофизического развития (далее – ОПФР) включены 161 694 ребенка с ОПФР, из них 12</w:t>
      </w:r>
      <w:r>
        <w:rPr>
          <w:lang w:val="en-US"/>
        </w:rPr>
        <w:t> </w:t>
      </w:r>
      <w:r>
        <w:t>646 детей-инвалидов. Это составляет 8,67% от общего количества детей в возрасте до 18 лет.</w:t>
      </w:r>
    </w:p>
    <w:p w14:paraId="5302D9B2" w14:textId="77777777" w:rsidR="00CC6CC7" w:rsidRDefault="00CC6CC7" w:rsidP="00CC6CC7">
      <w:pPr>
        <w:pStyle w:val="SingleTxtG"/>
      </w:pPr>
      <w:r>
        <w:t>354.</w:t>
      </w:r>
      <w:r>
        <w:tab/>
        <w:t>Для расширения возможностей детей с ОПФР в условиях образования принимаются следующие меры:</w:t>
      </w:r>
    </w:p>
    <w:p w14:paraId="2F66664B" w14:textId="77777777" w:rsidR="00CC6CC7" w:rsidRDefault="00CC6CC7" w:rsidP="00CC6CC7">
      <w:pPr>
        <w:pStyle w:val="Bullet1G"/>
        <w:numPr>
          <w:ilvl w:val="0"/>
          <w:numId w:val="16"/>
        </w:numPr>
      </w:pPr>
      <w:r>
        <w:t>в проект новой редакции Кодекса внесены изменения и дополнения, касающиеся ориентации государственной политики в области образования на принцип инклюзии в образовании, обеспечивающий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 (одаренного, талантливого, обучающегося, индивидуальные потребности которого обусловлены его жизненной ситуацией, состоянием здоровья, иными обстоятельствами);</w:t>
      </w:r>
    </w:p>
    <w:p w14:paraId="066F22EB" w14:textId="77777777" w:rsidR="00CC6CC7" w:rsidRDefault="00CC6CC7" w:rsidP="00CC6CC7">
      <w:pPr>
        <w:pStyle w:val="Bullet1G"/>
        <w:numPr>
          <w:ilvl w:val="0"/>
          <w:numId w:val="16"/>
        </w:numPr>
      </w:pPr>
      <w:r>
        <w:t>реализуются экспериментальные проекты, направленные на развитие инклюзивных процессов в образовании;</w:t>
      </w:r>
    </w:p>
    <w:p w14:paraId="709B3269" w14:textId="77777777" w:rsidR="00CC6CC7" w:rsidRDefault="00CC6CC7" w:rsidP="00CC6CC7">
      <w:pPr>
        <w:pStyle w:val="Bullet1G"/>
        <w:numPr>
          <w:ilvl w:val="0"/>
          <w:numId w:val="16"/>
        </w:numPr>
      </w:pPr>
      <w:r>
        <w:t xml:space="preserve">проводится работа по созданию адаптивной образовательной, в том числе </w:t>
      </w:r>
      <w:proofErr w:type="spellStart"/>
      <w:r>
        <w:t>безбарьерной</w:t>
      </w:r>
      <w:proofErr w:type="spellEnd"/>
      <w:r>
        <w:t>, среды в учреждениях образования;</w:t>
      </w:r>
    </w:p>
    <w:p w14:paraId="0CE9EA52" w14:textId="77777777" w:rsidR="00CC6CC7" w:rsidRDefault="00CC6CC7" w:rsidP="00CC6CC7">
      <w:pPr>
        <w:pStyle w:val="Bullet1G"/>
        <w:numPr>
          <w:ilvl w:val="0"/>
          <w:numId w:val="16"/>
        </w:numPr>
      </w:pPr>
      <w:r>
        <w:t>осуществляется оптимизация специальных школ (специальных школ-интернатов) (за последние 10 лет их количество сократилось на 38,7%);</w:t>
      </w:r>
    </w:p>
    <w:p w14:paraId="04CF0F27" w14:textId="77777777" w:rsidR="00CC6CC7" w:rsidRDefault="00CC6CC7" w:rsidP="00CC6CC7">
      <w:pPr>
        <w:pStyle w:val="Bullet1G"/>
        <w:numPr>
          <w:ilvl w:val="0"/>
          <w:numId w:val="16"/>
        </w:numPr>
      </w:pPr>
      <w:r>
        <w:t>создан Институт инклюзивного образования на базе факультета специального образования учреждения образования «Белорусский государственный педагогический университет имени Максима Танка», осуществляющий подготовку педагогических кадров для работы с детьми с ОПФР;</w:t>
      </w:r>
    </w:p>
    <w:p w14:paraId="168509F6" w14:textId="77777777" w:rsidR="00CC6CC7" w:rsidRDefault="00CC6CC7" w:rsidP="00CC6CC7">
      <w:pPr>
        <w:pStyle w:val="Bullet1G"/>
        <w:numPr>
          <w:ilvl w:val="0"/>
          <w:numId w:val="16"/>
        </w:numPr>
      </w:pPr>
      <w:r>
        <w:t>при поддержке Детского Фонда ООН (ЮНИСЕФ) открыт Республиканский ресурсный центр инклюзивного образования, проводится работа по созданию областных ресурсных центров;</w:t>
      </w:r>
    </w:p>
    <w:p w14:paraId="08DBDE17" w14:textId="77777777" w:rsidR="00CC6CC7" w:rsidRDefault="00CC6CC7" w:rsidP="00CC6CC7">
      <w:pPr>
        <w:pStyle w:val="Bullet1G"/>
        <w:numPr>
          <w:ilvl w:val="0"/>
          <w:numId w:val="16"/>
        </w:numPr>
      </w:pPr>
      <w:r>
        <w:lastRenderedPageBreak/>
        <w:t>обеспечивается персональное сопровождение в образовательном процессе обучающихся с аутистическими нарушениями в учреждениях дошкольного, общего среднего и специального образования, учащихся с нарушениями функций опорно-двигательного аппарата, незрячих учащихся в учреждениях общего среднего и специального образования;</w:t>
      </w:r>
    </w:p>
    <w:p w14:paraId="75E3C2E9" w14:textId="77777777" w:rsidR="00CC6CC7" w:rsidRDefault="00CC6CC7" w:rsidP="00CC6CC7">
      <w:pPr>
        <w:pStyle w:val="Bullet1G"/>
        <w:numPr>
          <w:ilvl w:val="0"/>
          <w:numId w:val="16"/>
        </w:numPr>
      </w:pPr>
      <w:r>
        <w:t>ведется активная информационно-просветительская работа по формированию инклюзивной культуры, толерантного отношения к проблеме инвалидности на всех уровнях системы образования;</w:t>
      </w:r>
    </w:p>
    <w:p w14:paraId="3DB96B71" w14:textId="77777777" w:rsidR="00CC6CC7" w:rsidRDefault="00CC6CC7" w:rsidP="00CC6CC7">
      <w:pPr>
        <w:pStyle w:val="Bullet1G"/>
        <w:numPr>
          <w:ilvl w:val="0"/>
          <w:numId w:val="16"/>
        </w:numPr>
      </w:pPr>
      <w:r>
        <w:t>проводятся республиканские, областные и региональные мероприятия с участием детей с ОПФР, в том числе с инвалидностью, и их сверстников.</w:t>
      </w:r>
    </w:p>
    <w:p w14:paraId="0D5B9F34" w14:textId="77777777" w:rsidR="00CC6CC7" w:rsidRDefault="00CC6CC7" w:rsidP="00CC6CC7">
      <w:pPr>
        <w:pStyle w:val="SingleTxtG"/>
      </w:pPr>
      <w:r>
        <w:t>355.</w:t>
      </w:r>
      <w:r>
        <w:tab/>
        <w:t>В Беларуси обеспечивается возможность получения образования всеми детьми, независимо от вида и степени выраженности имеющихся нарушений.</w:t>
      </w:r>
    </w:p>
    <w:p w14:paraId="0EF73681" w14:textId="77777777" w:rsidR="00CC6CC7" w:rsidRDefault="00CC6CC7" w:rsidP="00CC6CC7">
      <w:pPr>
        <w:pStyle w:val="SingleTxtG"/>
      </w:pPr>
      <w:r>
        <w:t>356.</w:t>
      </w:r>
      <w:r>
        <w:tab/>
        <w:t xml:space="preserve">Обеспечение инклюзивных подходов в образовании закреплено в законодательстве и документах стратегического планирования, включая Национальную стратегию устойчивого социально-экономического развития до 2030 года, Государственную программу «Образование и молодежная политика» на 2016–2020 годы. </w:t>
      </w:r>
    </w:p>
    <w:p w14:paraId="3CF2B793" w14:textId="77777777" w:rsidR="00CC6CC7" w:rsidRDefault="00CC6CC7" w:rsidP="00CC6CC7">
      <w:pPr>
        <w:pStyle w:val="SingleTxtG"/>
      </w:pPr>
      <w:r>
        <w:t>357.</w:t>
      </w:r>
      <w:r>
        <w:tab/>
        <w:t>Программа социально-экономического развития Беларуси на 2016–2020 годы. определяет одним из важных направлений развитие инклюзивного образования. В этих целях предусматривается создание оптимальной сети учреждений образования, реализующих инклюзивное образование, опорных учреждений образования по интегрированному обучению и воспитанию, а также ресурсных центров в учреждениях специального образования.</w:t>
      </w:r>
    </w:p>
    <w:p w14:paraId="46794B88" w14:textId="77777777" w:rsidR="00CC6CC7" w:rsidRDefault="00CC6CC7" w:rsidP="00CC6CC7">
      <w:pPr>
        <w:pStyle w:val="SingleTxtG"/>
      </w:pPr>
      <w:r>
        <w:t>358.</w:t>
      </w:r>
      <w:r>
        <w:tab/>
        <w:t>Министерством образования принят ряд документов, направленных на развитие инклюзивного образования, в том числе, Концепция развития инклюзивного образования для лиц с особенностями психофизического развития в Республике Беларусь и План мероприятий на 2016–2020 годы по ее реализации; утверждены концептуальные подходы к развитию системы образования до 2020 года и на перспективу до 2030, где в качестве перспективы развития до 2030 года определяется развитие инклюзивных процессов в образовании и формирование готовности всех субъектов образовательного процесса к реализации идей инклюзии.</w:t>
      </w:r>
    </w:p>
    <w:p w14:paraId="36538509" w14:textId="77777777" w:rsidR="00CC6CC7" w:rsidRDefault="00CC6CC7" w:rsidP="00CC6CC7">
      <w:pPr>
        <w:pStyle w:val="SingleTxtG"/>
      </w:pPr>
      <w:r>
        <w:t>359.</w:t>
      </w:r>
      <w:r>
        <w:tab/>
        <w:t>Тема «Гендерные отношения в современном обществе» включена в раздел 1 «Социальная сфера общества» учебной программы по учебному предмету «Обществоведение» для учащихся X классов (повышенный уровень изучения) учреждений общего среднего образования, утвержденной постановлением Министерства образования от 27 июля 2017 года.</w:t>
      </w:r>
    </w:p>
    <w:p w14:paraId="3D2381F0" w14:textId="77777777" w:rsidR="00CC6CC7" w:rsidRPr="001E049B" w:rsidRDefault="00CC6CC7" w:rsidP="00CC6CC7">
      <w:pPr>
        <w:pStyle w:val="SingleTxtG"/>
      </w:pPr>
      <w:r>
        <w:t>360.</w:t>
      </w:r>
      <w:r>
        <w:tab/>
        <w:t>Методические рекомендации для учителя при проведении учебных занятий по теме «Гендерные отношения в современном обществе» размещены на национальном образовательном портале</w:t>
      </w:r>
      <w:r w:rsidRPr="001E049B">
        <w:t xml:space="preserve"> </w:t>
      </w:r>
      <w:hyperlink r:id="rId9" w:history="1">
        <w:r w:rsidRPr="001E049B">
          <w:rPr>
            <w:rStyle w:val="a7"/>
            <w:color w:val="auto"/>
          </w:rPr>
          <w:t>https://adu.by/</w:t>
        </w:r>
      </w:hyperlink>
      <w:r w:rsidRPr="001E049B">
        <w:t>.</w:t>
      </w:r>
    </w:p>
    <w:p w14:paraId="163C9B99" w14:textId="77777777" w:rsidR="00CC6CC7" w:rsidRDefault="00CC6CC7" w:rsidP="00CC6CC7">
      <w:pPr>
        <w:pStyle w:val="SingleTxtG"/>
      </w:pPr>
      <w:r>
        <w:t>361.</w:t>
      </w:r>
      <w:r>
        <w:tab/>
        <w:t>На преодоление гендерных стереотипов направлено совместное обучение в учреждениях общего среднего образования. Совместное обучение дает учащимся возможность научиться общаться с противоположным полом, позволяет учащимся развиваться при наличии альтернативного мышления, благоприятствует развитию партнерских отношений между полами, воспитывает их в духе толерантности. В то же время в Республике Беларусь функционируют и учреждения образования, где обучаются либо только девочки (девушки) (например, ГУО «</w:t>
      </w:r>
      <w:proofErr w:type="spellStart"/>
      <w:r>
        <w:t>Жодинская</w:t>
      </w:r>
      <w:proofErr w:type="spellEnd"/>
      <w:r>
        <w:t xml:space="preserve"> женская гимназия»), либо только мальчики (юноши) (например, ГУО «Минское городское кадетское училище»).</w:t>
      </w:r>
    </w:p>
    <w:p w14:paraId="2E29F408" w14:textId="77777777" w:rsidR="00CC6CC7" w:rsidRDefault="00CC6CC7" w:rsidP="00CC6CC7">
      <w:pPr>
        <w:pStyle w:val="SingleTxtG"/>
      </w:pPr>
      <w:r>
        <w:t>362.</w:t>
      </w:r>
      <w:r>
        <w:tab/>
        <w:t>Вопросы сохранения репродуктивного и сексуального здоровья в учреждениях общего среднего образования рассматриваются с учетом возрастных особенностей учащихся.</w:t>
      </w:r>
    </w:p>
    <w:p w14:paraId="1A839A45" w14:textId="77777777" w:rsidR="00CC6CC7" w:rsidRDefault="00CC6CC7" w:rsidP="00CC6CC7">
      <w:pPr>
        <w:pStyle w:val="SingleTxtG"/>
      </w:pPr>
      <w:r>
        <w:t>363.</w:t>
      </w:r>
      <w:r>
        <w:tab/>
        <w:t xml:space="preserve">В учебный предмет «Биология» на изучение темы «Репродуктивная система. Индивидуальное развитие человека» в IX классе выделено 5 часов. В рамках темы рассматриваются следующие вопросы: понятие о репродукции и индивидуальном </w:t>
      </w:r>
      <w:r>
        <w:lastRenderedPageBreak/>
        <w:t>развитии человека; мужская и женская половые системы; оплодотворение, беременность, роды; половое созревание; планирование семьи; понятие о заболеваниях, передающихся половым путем; факторы, отрицательно влияющие на индивидуальное развитие человека (алкоголь, никотин, токсичные вещества).</w:t>
      </w:r>
    </w:p>
    <w:p w14:paraId="45C207DB" w14:textId="77777777" w:rsidR="00CC6CC7" w:rsidRDefault="00CC6CC7" w:rsidP="00CC6CC7">
      <w:pPr>
        <w:pStyle w:val="SingleTxtG"/>
      </w:pPr>
      <w:r>
        <w:t>364.</w:t>
      </w:r>
      <w:r>
        <w:tab/>
        <w:t>В учебный предмет «Допризывная и медицинская подготовка» включен раздел «Медико-биологические аспекты полового воспитания» (X класс), на изучение которого отводится 8 часов. В рамках раздела изучаются следующие темы: проблемы взаимоотношений юношей и девушек; репродуктивное здоровье; виды контрацепции; беременность; аборт и его последствия; профилактика венерических заболеваний; профилактика СПИДа.</w:t>
      </w:r>
    </w:p>
    <w:p w14:paraId="3FB43EA4" w14:textId="77777777" w:rsidR="00CC6CC7" w:rsidRDefault="00CC6CC7" w:rsidP="00CC6CC7">
      <w:pPr>
        <w:pStyle w:val="SingleTxtG"/>
      </w:pPr>
      <w:r>
        <w:t>365.</w:t>
      </w:r>
      <w:r>
        <w:tab/>
        <w:t>Вопросы репродуктивного и сексуального здоровья рассматриваются на занятиях в рамках курса «Основы безопасности жизнедеятельности»: при изучении раздела «Здоровый образ жизни» в V классе 3 часа отводится на изучение тем «Алкоголизм, социальные последствия, и влияние на репродуктивное здоровье человека», «Наркомания, социальные последствия и влияние на репродуктивное здоровье человека».</w:t>
      </w:r>
    </w:p>
    <w:p w14:paraId="00D3EA81" w14:textId="77777777" w:rsidR="00CC6CC7" w:rsidRDefault="00CC6CC7" w:rsidP="00CC6CC7">
      <w:pPr>
        <w:pStyle w:val="SingleTxtG"/>
      </w:pPr>
      <w:r>
        <w:t>366.</w:t>
      </w:r>
      <w:r>
        <w:tab/>
        <w:t>В учреждениях общего среднего образования реализуются программы факультативных занятий по вопросам семейного, гендерного воспитания, которые утверждены в установленном порядке: «Подготовка учащихся к семейной жизни», X (XI) классов; «Основы гендерных знаний», X–XI.</w:t>
      </w:r>
    </w:p>
    <w:p w14:paraId="5CD810EE" w14:textId="77777777" w:rsidR="00CC6CC7" w:rsidRDefault="00CC6CC7" w:rsidP="00CC6CC7">
      <w:pPr>
        <w:pStyle w:val="SingleTxtG"/>
      </w:pPr>
      <w:r>
        <w:t>367.</w:t>
      </w:r>
      <w:r>
        <w:tab/>
        <w:t>В нормативных правовых актах отсутствуют ограничения на обучение в учреждениях общего среднего образования беременных девочек-подростков.</w:t>
      </w:r>
    </w:p>
    <w:p w14:paraId="680E71E5" w14:textId="77777777" w:rsidR="00CC6CC7" w:rsidRDefault="00CC6CC7" w:rsidP="00CC6CC7">
      <w:pPr>
        <w:pStyle w:val="SingleTxtG"/>
      </w:pPr>
      <w:r>
        <w:t>368.</w:t>
      </w:r>
      <w:r>
        <w:tab/>
        <w:t>На основании подпункта 56.3 пункта 56 Правил проведения аттестации учащихся при освоении содержания образовательных программ общего среднего образования, утвержденных постановлением Министерства образования от 20 июля 2011 года, учащиеся-женщины, имеющие детей в возрасте до 3 лет, освобождаются от всех выпускных экзаменов на основании заявления при условии наличия положительных отметок.</w:t>
      </w:r>
    </w:p>
    <w:p w14:paraId="0D345807" w14:textId="77777777" w:rsidR="00CC6CC7" w:rsidRDefault="00CC6CC7" w:rsidP="00CC6CC7">
      <w:pPr>
        <w:pStyle w:val="H23G"/>
      </w:pPr>
      <w:r>
        <w:tab/>
      </w:r>
      <w:r>
        <w:tab/>
        <w:t>Культурные права</w:t>
      </w:r>
    </w:p>
    <w:p w14:paraId="2C21C55C" w14:textId="77777777" w:rsidR="00CC6CC7" w:rsidRDefault="00CC6CC7" w:rsidP="00CC6CC7">
      <w:pPr>
        <w:pStyle w:val="SingleTxtG"/>
      </w:pPr>
      <w:r>
        <w:t>369.</w:t>
      </w:r>
      <w:r>
        <w:tab/>
        <w:t>Правовое положение национальных меньшинств, в том числе возможность выбора представителями национальных меньшинств языка воспитания и обучения, регулируется рядом законодательных актов, в числе которых статья 50 Конституции, Закон Республики Беларусь от 1 января 2004 года № 260-З «О национальных меньшинствах в Республике Беларусь» (статья 6), Кодекс Республики Беларусь об образовании (статья 90).</w:t>
      </w:r>
    </w:p>
    <w:p w14:paraId="269D1278" w14:textId="77777777" w:rsidR="00CC6CC7" w:rsidRDefault="00CC6CC7" w:rsidP="00CC6CC7">
      <w:pPr>
        <w:pStyle w:val="SingleTxtG"/>
      </w:pPr>
      <w:r>
        <w:t>370.</w:t>
      </w:r>
      <w:r>
        <w:tab/>
        <w:t>Основные принципы государственной политики в сфере культуры заложены в Кодексе Республики Беларусь о культуре.</w:t>
      </w:r>
    </w:p>
    <w:p w14:paraId="72DA5A56" w14:textId="77777777" w:rsidR="00CC6CC7" w:rsidRDefault="00CC6CC7" w:rsidP="00CC6CC7">
      <w:pPr>
        <w:pStyle w:val="SingleTxtG"/>
      </w:pPr>
      <w:r>
        <w:t>371.</w:t>
      </w:r>
      <w:r>
        <w:tab/>
        <w:t>Граждане, которые проживают в Беларуси и являются представителями национальных сообществ или выходцами из другой культурной среды, имеют право соблюдать и развивать свою национальную культуру, воспитывать детей в национальных культурных традициях, пользоваться родным языком, устанавливать культурное общение с представителями соответствующих национальных сообществ, которые проживают за рубежом.</w:t>
      </w:r>
    </w:p>
    <w:p w14:paraId="3DC87FCA" w14:textId="77777777" w:rsidR="00CC6CC7" w:rsidRDefault="00CC6CC7" w:rsidP="00CC6CC7">
      <w:pPr>
        <w:pStyle w:val="SingleTxtG"/>
      </w:pPr>
      <w:r>
        <w:t>372.</w:t>
      </w:r>
      <w:r>
        <w:tab/>
        <w:t>Граждане Беларуси имеют право создавать общественные объединения в сфере культуры, в том числе творческие союзы, а также вступать в действующие общественные объединения в сфере культуры. На поддержку национально-культурных объединений постоянно выделяются средства из республиканского бюджета.</w:t>
      </w:r>
    </w:p>
    <w:p w14:paraId="4FDB4D9C" w14:textId="77777777" w:rsidR="00CC6CC7" w:rsidRDefault="00CC6CC7" w:rsidP="00CC6CC7">
      <w:pPr>
        <w:pStyle w:val="SingleTxtG"/>
      </w:pPr>
      <w:r>
        <w:t>373.</w:t>
      </w:r>
      <w:r>
        <w:tab/>
        <w:t xml:space="preserve">В Беларуси представлены более 140 наций и народностей. Действуют 193 национально-культурные общественные объединения Республики Беларусь, в том числе объединения азербайджанцев – 9; армян – 4; афганцев – 2; греков – 2; грузин – 3; дагестанцев – I; евреев – 43; иранцев – 1; казаков – 2; корейцев – 1; литовцев – 10; молдаван – 1; немцев – 2; палестинцев – 1; поляков – 69, русских – 15; сирийцев – 1; </w:t>
      </w:r>
      <w:r>
        <w:lastRenderedPageBreak/>
        <w:t>татар – 2; татаро-</w:t>
      </w:r>
      <w:proofErr w:type="spellStart"/>
      <w:r>
        <w:t>башкиров</w:t>
      </w:r>
      <w:proofErr w:type="spellEnd"/>
      <w:r>
        <w:t xml:space="preserve"> – 2; туркменов – 1; турков – 1; украинцев – 12; цыган – 5; чувашей – 2; эстонцев – 1.</w:t>
      </w:r>
    </w:p>
    <w:p w14:paraId="2B3D42B9" w14:textId="77777777" w:rsidR="00CC6CC7" w:rsidRDefault="00CC6CC7" w:rsidP="00CC6CC7">
      <w:pPr>
        <w:pStyle w:val="SingleTxtG"/>
      </w:pPr>
      <w:r>
        <w:t>374.</w:t>
      </w:r>
      <w:r>
        <w:tab/>
        <w:t xml:space="preserve">При учреждении культуры «Республиканский центр национальных культур» действует 21 национально-культурное общественное объединение. В 2018 году ими проведено 371 мероприятие. Традиционно в Беларуси проводится Республиканский фестиваль национальных культур, объединяющий все национальные меньшинства, проживающие на территории страны. Фестиваль способствует взаимопониманию и взаимному обогащению культур. В 2018 году в заключительных мероприятиях XII Республиканского фестиваля национальных культур приняли участие более 800 представителей 35 национальностей, проведены 14 праздников национальных культур в Верхнем городе (г. Минск) – грузинской, корейской, молдавской, польской, русской, украинской, шведской, эстонской и др. Проведен ряд мероприятий, посвященных особенностям национальных языков, алфавитов, орнаментов, национальной и государственной символики, юбилеям деятелей культуры и истории, народным праздникам и обрядам. </w:t>
      </w:r>
    </w:p>
    <w:p w14:paraId="68358002" w14:textId="77777777" w:rsidR="00CC6CC7" w:rsidRDefault="00CC6CC7" w:rsidP="00CC6CC7">
      <w:pPr>
        <w:pStyle w:val="SingleTxtG"/>
      </w:pPr>
      <w:r>
        <w:t>375.</w:t>
      </w:r>
      <w:r>
        <w:tab/>
        <w:t>Для выработки рекомендаций по вопросам формирования государственной политики в сфере поддержки национальных меньшинств при Уполномоченном по делам религий и национальностей продолжает работать Консультативный межэтнический совет, в состав которого входят представители более 20 национальностей, представленных в Беларуси.</w:t>
      </w:r>
    </w:p>
    <w:p w14:paraId="677CAD88" w14:textId="77777777" w:rsidR="00CC6CC7" w:rsidRDefault="00CC6CC7" w:rsidP="00CC6CC7">
      <w:pPr>
        <w:pStyle w:val="SingleTxtG"/>
      </w:pPr>
      <w:r>
        <w:t>376.</w:t>
      </w:r>
      <w:r>
        <w:tab/>
        <w:t xml:space="preserve">Представители национальных меньшинств имеют равные со всеми гражданами Беларуси права на получение образования, в том числе в сфере культуры. По желанию граждан разных национальностей местные власти могут беспрепятственно создавать детские сады либо отдельные группы, общеобразовательные школы либо классы, в которых обучение происходит на языке национального меньшинства. Создание таких учебных заведений происходит при поддержке Министерства образования. </w:t>
      </w:r>
    </w:p>
    <w:p w14:paraId="351A2E52" w14:textId="77777777" w:rsidR="00CC6CC7" w:rsidRDefault="00CC6CC7" w:rsidP="00CC6CC7">
      <w:pPr>
        <w:pStyle w:val="SingleTxtG"/>
      </w:pPr>
      <w:r>
        <w:t>377.</w:t>
      </w:r>
      <w:r>
        <w:tab/>
        <w:t xml:space="preserve">В Беларуси на данный момент функционируют школы и отдельные классы, в которых обучение происходит полностью на польском, литовском языках и на иврите. </w:t>
      </w:r>
    </w:p>
    <w:p w14:paraId="486FD98E" w14:textId="77777777" w:rsidR="00CC6CC7" w:rsidRDefault="00CC6CC7" w:rsidP="00CC6CC7">
      <w:pPr>
        <w:pStyle w:val="SingleTxtG"/>
      </w:pPr>
      <w:r>
        <w:t>378.</w:t>
      </w:r>
      <w:r>
        <w:tab/>
        <w:t xml:space="preserve">При национально-культурных объединениях создано более 60 школ выходного дня, в которых родной язык, историю и культуру изучают около 5 тыс. человек 14 национальностей. </w:t>
      </w:r>
    </w:p>
    <w:p w14:paraId="05F9E74B" w14:textId="77777777" w:rsidR="00CC6CC7" w:rsidRDefault="00CC6CC7" w:rsidP="00CC6CC7">
      <w:pPr>
        <w:pStyle w:val="SingleTxtG"/>
      </w:pPr>
      <w:r>
        <w:t>379.</w:t>
      </w:r>
      <w:r>
        <w:tab/>
        <w:t>Университеты в Бресте, Гродно и Минске готовят преподавателей литовского, польского, украинского языков. При государственной поддержке издаются газеты на украинском, польском, литовском языках.</w:t>
      </w:r>
    </w:p>
    <w:p w14:paraId="5F2ADF64" w14:textId="77777777" w:rsidR="00CC6CC7" w:rsidRDefault="00CC6CC7" w:rsidP="00CC6CC7">
      <w:pPr>
        <w:pStyle w:val="SingleTxtG"/>
      </w:pPr>
      <w:r>
        <w:t>380.</w:t>
      </w:r>
      <w:r>
        <w:tab/>
        <w:t xml:space="preserve">В Гомельской области с 2016 года реализуется первый в стране проект для цыганской диаспоры «Образование рома — новый взгляд в будущее». В 2018 году в Гомеле прошел первый в Беларуси фестиваль цыганской культуры. </w:t>
      </w:r>
    </w:p>
    <w:p w14:paraId="0AC8F38C" w14:textId="77777777" w:rsidR="00CC6CC7" w:rsidRDefault="00CC6CC7" w:rsidP="00CC6CC7">
      <w:pPr>
        <w:pStyle w:val="SingleTxtG"/>
      </w:pPr>
      <w:r>
        <w:t>381.</w:t>
      </w:r>
      <w:r>
        <w:tab/>
        <w:t>Активно функционирует Польский Институт в Минске, который распространяет польскую культуру, язык, заботится о контактах между представителями науки, литературы, культуры Польши и Беларуси.</w:t>
      </w:r>
    </w:p>
    <w:p w14:paraId="5A33EAC5" w14:textId="77777777" w:rsidR="00CC6CC7" w:rsidRDefault="00CC6CC7" w:rsidP="00CC6CC7">
      <w:pPr>
        <w:pStyle w:val="SingleTxtG"/>
      </w:pPr>
      <w:r>
        <w:t>382.</w:t>
      </w:r>
      <w:r>
        <w:tab/>
        <w:t>Русский язык является вторым государственным языком в Беларуси, его изучение и обучение организовано повсеместно.</w:t>
      </w:r>
    </w:p>
    <w:p w14:paraId="14C26827" w14:textId="77777777" w:rsidR="00CC6CC7" w:rsidRDefault="00CC6CC7" w:rsidP="00CC6CC7">
      <w:pPr>
        <w:pStyle w:val="SingleTxtG"/>
      </w:pPr>
      <w:r>
        <w:t>383.</w:t>
      </w:r>
      <w:r>
        <w:tab/>
        <w:t>На 2-й ступени получения образования (магистратура) обучение осуществляется как на русском языке, так и на английском (по выбору студента), что, в свою очередь, отражает специфику поликультурного вектора воспитания, образования и развития студенческой молодежи.</w:t>
      </w:r>
    </w:p>
    <w:p w14:paraId="012258D1" w14:textId="77777777" w:rsidR="00CC6CC7" w:rsidRDefault="00CC6CC7" w:rsidP="00CC6CC7">
      <w:pPr>
        <w:pStyle w:val="H1G"/>
      </w:pPr>
      <w:r>
        <w:tab/>
        <w:t>C.</w:t>
      </w:r>
      <w:r>
        <w:tab/>
        <w:t>Успешная практика</w:t>
      </w:r>
    </w:p>
    <w:p w14:paraId="1DB609B1" w14:textId="77777777" w:rsidR="00CC6CC7" w:rsidRDefault="00CC6CC7" w:rsidP="00CC6CC7">
      <w:pPr>
        <w:pStyle w:val="H23G"/>
      </w:pPr>
      <w:r>
        <w:tab/>
      </w:r>
      <w:r>
        <w:tab/>
        <w:t xml:space="preserve">Координация усилий по достижению ЦУР </w:t>
      </w:r>
    </w:p>
    <w:p w14:paraId="6B9E94E1" w14:textId="77777777" w:rsidR="00CC6CC7" w:rsidRDefault="00CC6CC7" w:rsidP="00CC6CC7">
      <w:pPr>
        <w:pStyle w:val="SingleTxtG"/>
      </w:pPr>
      <w:r>
        <w:t>384.</w:t>
      </w:r>
      <w:r>
        <w:tab/>
        <w:t xml:space="preserve">Беларусь привержена осуществлению Повестки-2030 и предпринимает конкретные шаги для ее реализации на национальном уровне. Для формирования </w:t>
      </w:r>
      <w:r>
        <w:lastRenderedPageBreak/>
        <w:t xml:space="preserve">институциональных основ выполнения Повестки-2030 и общей координации деятельности по достижению ЦУР Президент Республики Беларусь назначил заместителя Председателя Совета Республики Национального собрания Республики Беларусь </w:t>
      </w:r>
      <w:proofErr w:type="spellStart"/>
      <w:r>
        <w:t>Щёткину</w:t>
      </w:r>
      <w:proofErr w:type="spellEnd"/>
      <w:r>
        <w:t xml:space="preserve"> М.А. Национальным координатором по достижению Целей устойчивого развития. Под ее руководством создан Совет по устойчивому развитию, его состав сформирован из представителей государственных органов и организаций на уровне заместителей руководителей (состоялись три заседания Совета: 4 сентября 2017 года</w:t>
      </w:r>
      <w:r w:rsidRPr="00B84673">
        <w:t>,</w:t>
      </w:r>
      <w:r>
        <w:t xml:space="preserve"> 1 июня 2018 года</w:t>
      </w:r>
      <w:r w:rsidRPr="00B84673">
        <w:t xml:space="preserve"> </w:t>
      </w:r>
      <w:r>
        <w:t xml:space="preserve">и 26 июня 2019 года). </w:t>
      </w:r>
    </w:p>
    <w:p w14:paraId="3DC26F51" w14:textId="77777777" w:rsidR="00CC6CC7" w:rsidRDefault="00CC6CC7" w:rsidP="00CC6CC7">
      <w:pPr>
        <w:pStyle w:val="SingleTxtG"/>
      </w:pPr>
      <w:r>
        <w:t>385.</w:t>
      </w:r>
      <w:r>
        <w:tab/>
        <w:t>Во всех областях организованы региональные группы по устойчивому развитию. 28</w:t>
      </w:r>
      <w:r>
        <w:rPr>
          <w:lang w:val="en-US"/>
        </w:rPr>
        <w:t> </w:t>
      </w:r>
      <w:r>
        <w:t>июня 2019</w:t>
      </w:r>
      <w:r>
        <w:rPr>
          <w:lang w:val="en-US"/>
        </w:rPr>
        <w:t> </w:t>
      </w:r>
      <w:r>
        <w:t>года в Могилеве состоялся первый в стране форум по вопросам устойчивого регионального развития.</w:t>
      </w:r>
    </w:p>
    <w:p w14:paraId="67354420" w14:textId="77777777" w:rsidR="00CC6CC7" w:rsidRDefault="00CC6CC7" w:rsidP="00CC6CC7">
      <w:pPr>
        <w:pStyle w:val="SingleTxtG"/>
      </w:pPr>
      <w:r>
        <w:t>386.</w:t>
      </w:r>
      <w:r>
        <w:tab/>
        <w:t>Для участия широкой общественности в вопросах работы по ЦУР Совет взаимодействует с партнерской группой устойчивого развития, к работе которой подключены представители бизнеса, общественных объединений, научных кругов.</w:t>
      </w:r>
    </w:p>
    <w:p w14:paraId="01836754" w14:textId="77777777" w:rsidR="00CC6CC7" w:rsidRDefault="00CC6CC7" w:rsidP="00CC6CC7">
      <w:pPr>
        <w:pStyle w:val="SingleTxtG"/>
      </w:pPr>
      <w:r>
        <w:t>387.</w:t>
      </w:r>
      <w:r>
        <w:tab/>
        <w:t>В Национальном собрании создана парламентская группа по ЦУР. 19 декабря 2017</w:t>
      </w:r>
      <w:r>
        <w:rPr>
          <w:lang w:val="en-US"/>
        </w:rPr>
        <w:t> </w:t>
      </w:r>
      <w:r>
        <w:t>года в Совете Республики прошли открытые парламентские слушания «Партнерство ветвей власти как необходимое условие успешного достижения Целей устойчивого развития». Принятые по итогам слушаний рекомендации были направлены в правительство для исполнения и руководства. 17 декабря 2018 года на расширенном заседании парламентской группы был рассмотрен ход выполнения рекомендаций.</w:t>
      </w:r>
    </w:p>
    <w:p w14:paraId="291FC3FB" w14:textId="77777777" w:rsidR="00CC6CC7" w:rsidRDefault="00CC6CC7" w:rsidP="00CC6CC7">
      <w:pPr>
        <w:pStyle w:val="SingleTxtG"/>
      </w:pPr>
      <w:r>
        <w:t>388.</w:t>
      </w:r>
      <w:r>
        <w:tab/>
        <w:t>Ведется работа по имплементации показателей глобального мониторинга ЦУР в национальную статистическую систему. В стране сформирован национальный перечень показателей ЦУР, включающий 255 показателей. В конце 2018 года запущена Национальная платформа представления отчетности по показателям ЦУР</w:t>
      </w:r>
      <w:r>
        <w:rPr>
          <w:rStyle w:val="a8"/>
        </w:rPr>
        <w:footnoteReference w:id="6"/>
      </w:r>
      <w:r>
        <w:t xml:space="preserve"> – основной инструмент для мониторинга прогресса достижения ЦУР.</w:t>
      </w:r>
    </w:p>
    <w:p w14:paraId="42AE2C15" w14:textId="77777777" w:rsidR="00CC6CC7" w:rsidRDefault="00CC6CC7" w:rsidP="00CC6CC7">
      <w:pPr>
        <w:pStyle w:val="SingleTxtG"/>
      </w:pPr>
      <w:r>
        <w:t>389.</w:t>
      </w:r>
      <w:r>
        <w:tab/>
        <w:t>Ключевыми программными документами, регулирующими вопросы развития на перспективу, являются Национальная стратегия устойчивого социально-экономического развития Республики Беларусь на период до 2030 года и Программа социально-экономического развития Республики Беларусь на 2016–2020 годы. В 2018 году в Беларуси началась разработка Национальной стратегии устойчивого развития на период до 2035 года (НСУР-2035), в которой будут учтены ЦУР. Ожидается, проект НСУР-2035 будет подготовлен до конца 2019 года.</w:t>
      </w:r>
    </w:p>
    <w:p w14:paraId="2EDDF3F0" w14:textId="77777777" w:rsidR="00CC6CC7" w:rsidRDefault="00CC6CC7" w:rsidP="00CC6CC7">
      <w:pPr>
        <w:pStyle w:val="SingleTxtG"/>
      </w:pPr>
      <w:r>
        <w:t>390.</w:t>
      </w:r>
      <w:r>
        <w:tab/>
        <w:t xml:space="preserve">24 января 2019 года в Минске состоялся первый Национальный форум по устойчивому развитию, участие в котором приняло более 450 человек, включая представителей руководства правительства, парламента и органов государственного управления. </w:t>
      </w:r>
    </w:p>
    <w:p w14:paraId="13E4194E" w14:textId="77777777" w:rsidR="00CC6CC7" w:rsidRDefault="00CC6CC7" w:rsidP="00CC6CC7">
      <w:pPr>
        <w:pStyle w:val="SingleTxtG"/>
      </w:pPr>
      <w:r>
        <w:t>391.</w:t>
      </w:r>
      <w:r>
        <w:tab/>
        <w:t>Для обеспечения доступа граждан к информации по ЦУР разработан веб-сайт по Целям устойчивого развития в Беларус</w:t>
      </w:r>
      <w:r w:rsidRPr="00327332">
        <w:t>и (</w:t>
      </w:r>
      <w:hyperlink r:id="rId10" w:history="1">
        <w:r w:rsidRPr="00327332">
          <w:rPr>
            <w:rStyle w:val="a7"/>
            <w:color w:val="auto"/>
          </w:rPr>
          <w:t>www.sdgs.by</w:t>
        </w:r>
      </w:hyperlink>
      <w:r w:rsidRPr="00327332">
        <w:t>). Ве</w:t>
      </w:r>
      <w:r>
        <w:t>дется также работа в социальных сетях: создан и активно продвигается аккаунт по достижению ЦУР в</w:t>
      </w:r>
      <w:r>
        <w:rPr>
          <w:lang w:val="en-US"/>
        </w:rPr>
        <w:t> </w:t>
      </w:r>
      <w:r>
        <w:t>Беларуси в сети «Твиттер».</w:t>
      </w:r>
    </w:p>
    <w:p w14:paraId="30AB7404" w14:textId="77777777" w:rsidR="00381C24" w:rsidRPr="0045255F" w:rsidRDefault="00CC6CC7" w:rsidP="00CC6CC7">
      <w:pPr>
        <w:spacing w:before="240"/>
        <w:jc w:val="center"/>
        <w:rPr>
          <w:lang w:val="en-US"/>
        </w:rPr>
      </w:pPr>
      <w:r>
        <w:rPr>
          <w:u w:val="single"/>
        </w:rPr>
        <w:tab/>
      </w:r>
      <w:r>
        <w:rPr>
          <w:u w:val="single"/>
        </w:rPr>
        <w:tab/>
      </w:r>
      <w:r>
        <w:rPr>
          <w:u w:val="single"/>
        </w:rPr>
        <w:tab/>
      </w:r>
    </w:p>
    <w:sectPr w:rsidR="00381C24" w:rsidRPr="0045255F" w:rsidSect="0045255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0B3CF" w14:textId="77777777" w:rsidR="00A873FD" w:rsidRPr="00A312BC" w:rsidRDefault="00A873FD" w:rsidP="00A312BC"/>
  </w:endnote>
  <w:endnote w:type="continuationSeparator" w:id="0">
    <w:p w14:paraId="33E9651C" w14:textId="77777777" w:rsidR="00A873FD" w:rsidRPr="00A312BC" w:rsidRDefault="00A873F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19A0" w14:textId="77777777" w:rsidR="0045255F" w:rsidRPr="0045255F" w:rsidRDefault="0045255F">
    <w:pPr>
      <w:pStyle w:val="aa"/>
    </w:pPr>
    <w:r w:rsidRPr="0045255F">
      <w:rPr>
        <w:b/>
        <w:sz w:val="18"/>
      </w:rPr>
      <w:fldChar w:fldCharType="begin"/>
    </w:r>
    <w:r w:rsidRPr="0045255F">
      <w:rPr>
        <w:b/>
        <w:sz w:val="18"/>
      </w:rPr>
      <w:instrText xml:space="preserve"> PAGE  \* MERGEFORMAT </w:instrText>
    </w:r>
    <w:r w:rsidRPr="0045255F">
      <w:rPr>
        <w:b/>
        <w:sz w:val="18"/>
      </w:rPr>
      <w:fldChar w:fldCharType="separate"/>
    </w:r>
    <w:r w:rsidR="00FD66AB">
      <w:rPr>
        <w:b/>
        <w:noProof/>
        <w:sz w:val="18"/>
      </w:rPr>
      <w:t>20</w:t>
    </w:r>
    <w:r w:rsidRPr="0045255F">
      <w:rPr>
        <w:b/>
        <w:sz w:val="18"/>
      </w:rPr>
      <w:fldChar w:fldCharType="end"/>
    </w:r>
    <w:r>
      <w:rPr>
        <w:b/>
        <w:sz w:val="18"/>
      </w:rPr>
      <w:tab/>
    </w:r>
    <w:r>
      <w:t>GE.20-01600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6057E" w14:textId="77777777" w:rsidR="0045255F" w:rsidRPr="0045255F" w:rsidRDefault="0045255F" w:rsidP="0045255F">
    <w:pPr>
      <w:pStyle w:val="aa"/>
      <w:tabs>
        <w:tab w:val="clear" w:pos="9639"/>
        <w:tab w:val="right" w:pos="9638"/>
      </w:tabs>
      <w:rPr>
        <w:b/>
        <w:sz w:val="18"/>
      </w:rPr>
    </w:pPr>
    <w:r>
      <w:t>GE.20-01600</w:t>
    </w:r>
    <w:r>
      <w:tab/>
    </w:r>
    <w:r w:rsidRPr="0045255F">
      <w:rPr>
        <w:b/>
        <w:sz w:val="18"/>
      </w:rPr>
      <w:fldChar w:fldCharType="begin"/>
    </w:r>
    <w:r w:rsidRPr="0045255F">
      <w:rPr>
        <w:b/>
        <w:sz w:val="18"/>
      </w:rPr>
      <w:instrText xml:space="preserve"> PAGE  \* MERGEFORMAT </w:instrText>
    </w:r>
    <w:r w:rsidRPr="0045255F">
      <w:rPr>
        <w:b/>
        <w:sz w:val="18"/>
      </w:rPr>
      <w:fldChar w:fldCharType="separate"/>
    </w:r>
    <w:r w:rsidR="00FD66AB">
      <w:rPr>
        <w:b/>
        <w:noProof/>
        <w:sz w:val="18"/>
      </w:rPr>
      <w:t>21</w:t>
    </w:r>
    <w:r w:rsidRPr="004525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100AD" w14:textId="77777777" w:rsidR="00042B72" w:rsidRPr="0045255F" w:rsidRDefault="0045255F" w:rsidP="0045255F">
    <w:pPr>
      <w:spacing w:before="120" w:line="240" w:lineRule="auto"/>
    </w:pPr>
    <w:r>
      <w:t>GE.</w:t>
    </w:r>
    <w:r w:rsidR="00DF71B9">
      <w:rPr>
        <w:b/>
        <w:noProof/>
        <w:lang w:eastAsia="ru-RU"/>
      </w:rPr>
      <w:drawing>
        <wp:anchor distT="0" distB="0" distL="114300" distR="114300" simplePos="0" relativeHeight="251658240" behindDoc="0" locked="0" layoutInCell="1" allowOverlap="1" wp14:anchorId="7F756A6F" wp14:editId="568121E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20-01600  (R)</w:t>
    </w:r>
    <w:r>
      <w:rPr>
        <w:lang w:val="en-US"/>
      </w:rPr>
      <w:t xml:space="preserve">  060220  </w:t>
    </w:r>
    <w:r w:rsidR="00777279">
      <w:rPr>
        <w:lang w:val="en-US"/>
      </w:rPr>
      <w:t>10</w:t>
    </w:r>
    <w:r>
      <w:rPr>
        <w:lang w:val="en-US"/>
      </w:rPr>
      <w:t>0220</w:t>
    </w:r>
    <w:r>
      <w:br/>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sidRPr="0045255F">
      <w:rPr>
        <w:rFonts w:ascii="C39T30Lfz" w:hAnsi="C39T30Lfz"/>
        <w:kern w:val="14"/>
        <w:sz w:val="56"/>
      </w:rPr>
      <w:t></w:t>
    </w:r>
    <w:r>
      <w:rPr>
        <w:noProof/>
        <w:lang w:eastAsia="ru-RU"/>
      </w:rPr>
      <w:drawing>
        <wp:anchor distT="0" distB="0" distL="114300" distR="114300" simplePos="0" relativeHeight="251659264" behindDoc="0" locked="0" layoutInCell="1" allowOverlap="1" wp14:anchorId="32FE853E" wp14:editId="694A6BB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BLR/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2D38E" w14:textId="77777777" w:rsidR="00A873FD" w:rsidRPr="001075E9" w:rsidRDefault="00A873FD" w:rsidP="001075E9">
      <w:pPr>
        <w:tabs>
          <w:tab w:val="right" w:pos="2155"/>
        </w:tabs>
        <w:spacing w:after="80" w:line="240" w:lineRule="auto"/>
        <w:ind w:left="680"/>
        <w:rPr>
          <w:u w:val="single"/>
        </w:rPr>
      </w:pPr>
      <w:r>
        <w:rPr>
          <w:u w:val="single"/>
        </w:rPr>
        <w:tab/>
      </w:r>
    </w:p>
  </w:footnote>
  <w:footnote w:type="continuationSeparator" w:id="0">
    <w:p w14:paraId="365E0B64" w14:textId="77777777" w:rsidR="00A873FD" w:rsidRDefault="00A873FD" w:rsidP="00407B78">
      <w:pPr>
        <w:tabs>
          <w:tab w:val="right" w:pos="2155"/>
        </w:tabs>
        <w:spacing w:after="80"/>
        <w:ind w:left="680"/>
        <w:rPr>
          <w:u w:val="single"/>
        </w:rPr>
      </w:pPr>
      <w:r>
        <w:rPr>
          <w:u w:val="single"/>
        </w:rPr>
        <w:tab/>
      </w:r>
    </w:p>
  </w:footnote>
  <w:footnote w:id="1">
    <w:p w14:paraId="67127323" w14:textId="77777777" w:rsidR="00CC6CC7" w:rsidRPr="00C22DEE" w:rsidRDefault="00CC6CC7" w:rsidP="00CC6CC7">
      <w:pPr>
        <w:pStyle w:val="af"/>
        <w:rPr>
          <w:sz w:val="20"/>
        </w:rPr>
      </w:pPr>
      <w:r>
        <w:tab/>
      </w:r>
      <w:r w:rsidRPr="00C22DEE">
        <w:rPr>
          <w:rStyle w:val="a8"/>
          <w:sz w:val="20"/>
          <w:vertAlign w:val="baseline"/>
        </w:rPr>
        <w:t>*</w:t>
      </w:r>
      <w:r w:rsidRPr="00C22DEE">
        <w:rPr>
          <w:sz w:val="20"/>
        </w:rPr>
        <w:tab/>
      </w:r>
      <w:r w:rsidRPr="00C22DEE">
        <w:rPr>
          <w:szCs w:val="18"/>
        </w:rPr>
        <w:t xml:space="preserve">Настоящий документ </w:t>
      </w:r>
      <w:r>
        <w:rPr>
          <w:szCs w:val="18"/>
        </w:rPr>
        <w:t>выпуска</w:t>
      </w:r>
      <w:r w:rsidRPr="00C22DEE">
        <w:rPr>
          <w:szCs w:val="18"/>
        </w:rPr>
        <w:t>ется без официального редактирования.</w:t>
      </w:r>
    </w:p>
  </w:footnote>
  <w:footnote w:id="2">
    <w:p w14:paraId="49D7FFFF" w14:textId="77777777" w:rsidR="00CC6CC7" w:rsidRPr="00C22DEE" w:rsidRDefault="00CC6CC7" w:rsidP="00CC6CC7">
      <w:pPr>
        <w:pStyle w:val="af"/>
      </w:pPr>
      <w:r w:rsidRPr="00C22DEE">
        <w:tab/>
      </w:r>
      <w:r w:rsidRPr="00C22DEE">
        <w:rPr>
          <w:rStyle w:val="a8"/>
          <w:sz w:val="20"/>
          <w:vertAlign w:val="baseline"/>
        </w:rPr>
        <w:t>**</w:t>
      </w:r>
      <w:r w:rsidRPr="00C22DEE">
        <w:rPr>
          <w:rStyle w:val="a8"/>
          <w:sz w:val="20"/>
          <w:vertAlign w:val="baseline"/>
        </w:rPr>
        <w:tab/>
      </w:r>
      <w:r w:rsidRPr="00C22DEE">
        <w:t>Приложения к настоящему докладу доступны для ознакомления</w:t>
      </w:r>
      <w:r>
        <w:t xml:space="preserve"> на</w:t>
      </w:r>
      <w:r w:rsidRPr="00C22DEE">
        <w:t xml:space="preserve"> веб-страниц</w:t>
      </w:r>
      <w:r>
        <w:t>е</w:t>
      </w:r>
      <w:r w:rsidRPr="00C22DEE">
        <w:t xml:space="preserve"> Комитета.</w:t>
      </w:r>
    </w:p>
  </w:footnote>
  <w:footnote w:id="3">
    <w:p w14:paraId="7E84C442" w14:textId="77777777" w:rsidR="00CC6CC7" w:rsidRDefault="00CC6CC7" w:rsidP="00CC6CC7">
      <w:pPr>
        <w:pStyle w:val="af"/>
      </w:pPr>
      <w:r w:rsidRPr="00C22DEE">
        <w:tab/>
      </w:r>
      <w:r>
        <w:rPr>
          <w:rStyle w:val="a8"/>
        </w:rPr>
        <w:footnoteRef/>
      </w:r>
      <w:r>
        <w:tab/>
      </w:r>
      <w:r w:rsidRPr="00CD0594">
        <w:t>На основании оперативны</w:t>
      </w:r>
      <w:r>
        <w:t>х</w:t>
      </w:r>
      <w:r w:rsidRPr="00CD0594">
        <w:t xml:space="preserve"> данных Департамента государственной инспекции труда Министерства труда и социальной защиты и БРУСП «</w:t>
      </w:r>
      <w:proofErr w:type="spellStart"/>
      <w:r w:rsidRPr="00CD0594">
        <w:t>Белгосстрах</w:t>
      </w:r>
      <w:proofErr w:type="spellEnd"/>
      <w:r w:rsidRPr="00CD0594">
        <w:t>».</w:t>
      </w:r>
    </w:p>
  </w:footnote>
  <w:footnote w:id="4">
    <w:p w14:paraId="466A0406" w14:textId="77777777" w:rsidR="00CC6CC7" w:rsidRDefault="00CC6CC7" w:rsidP="00CC6CC7">
      <w:pPr>
        <w:pStyle w:val="af"/>
      </w:pPr>
      <w:r>
        <w:tab/>
      </w:r>
      <w:r>
        <w:rPr>
          <w:rStyle w:val="a8"/>
        </w:rPr>
        <w:footnoteRef/>
      </w:r>
      <w:r>
        <w:tab/>
      </w:r>
      <w:r w:rsidRPr="00CD0594">
        <w:t>На основании оперативны</w:t>
      </w:r>
      <w:r>
        <w:t>х</w:t>
      </w:r>
      <w:r w:rsidRPr="00CD0594">
        <w:t xml:space="preserve"> данны</w:t>
      </w:r>
      <w:r>
        <w:t>х</w:t>
      </w:r>
      <w:r w:rsidRPr="00CD0594">
        <w:t xml:space="preserve"> Департамента государственной инспекции труда Министерства труда и социальной защиты и БРУСП «</w:t>
      </w:r>
      <w:proofErr w:type="spellStart"/>
      <w:r w:rsidRPr="00CD0594">
        <w:t>Белгосстрах</w:t>
      </w:r>
      <w:proofErr w:type="spellEnd"/>
      <w:r w:rsidRPr="00CD0594">
        <w:t>».</w:t>
      </w:r>
    </w:p>
  </w:footnote>
  <w:footnote w:id="5">
    <w:p w14:paraId="6C293152" w14:textId="77777777" w:rsidR="00CC6CC7" w:rsidRDefault="00CC6CC7" w:rsidP="00CC6CC7">
      <w:pPr>
        <w:pStyle w:val="af"/>
      </w:pPr>
      <w:r>
        <w:tab/>
      </w:r>
      <w:r>
        <w:rPr>
          <w:rStyle w:val="a8"/>
        </w:rPr>
        <w:footnoteRef/>
      </w:r>
      <w:r>
        <w:tab/>
      </w:r>
      <w:r w:rsidRPr="00CD0594">
        <w:t>На основании оперативны</w:t>
      </w:r>
      <w:r>
        <w:t>х</w:t>
      </w:r>
      <w:r w:rsidRPr="00CD0594">
        <w:t xml:space="preserve"> данны</w:t>
      </w:r>
      <w:r>
        <w:t>х</w:t>
      </w:r>
      <w:r w:rsidRPr="00CD0594">
        <w:t xml:space="preserve"> Департамента государственной инспекции труда Министерства труда и социальной защиты и БРУСП «</w:t>
      </w:r>
      <w:proofErr w:type="spellStart"/>
      <w:r w:rsidRPr="00CD0594">
        <w:t>Белгосстрах</w:t>
      </w:r>
      <w:proofErr w:type="spellEnd"/>
      <w:r w:rsidRPr="00CD0594">
        <w:t>».</w:t>
      </w:r>
    </w:p>
  </w:footnote>
  <w:footnote w:id="6">
    <w:p w14:paraId="0355FA26" w14:textId="77777777" w:rsidR="00CC6CC7" w:rsidRPr="001F202E" w:rsidRDefault="00CC6CC7" w:rsidP="00CC6CC7">
      <w:pPr>
        <w:pStyle w:val="af"/>
      </w:pPr>
      <w:r>
        <w:tab/>
      </w:r>
      <w:r>
        <w:rPr>
          <w:rStyle w:val="a8"/>
        </w:rPr>
        <w:footnoteRef/>
      </w:r>
      <w:r>
        <w:tab/>
      </w:r>
      <w:hyperlink r:id="rId1" w:history="1">
        <w:r w:rsidRPr="001F202E">
          <w:rPr>
            <w:rStyle w:val="a7"/>
            <w:color w:val="auto"/>
          </w:rPr>
          <w:t>http://195.50.6.73/sites/belstatfront/home.html</w:t>
        </w:r>
      </w:hyperlink>
      <w:r w:rsidRPr="001F202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2850A" w14:textId="71AEE34E" w:rsidR="0045255F" w:rsidRPr="0045255F" w:rsidRDefault="00FD66AB">
    <w:pPr>
      <w:pStyle w:val="a5"/>
    </w:pPr>
    <w:fldSimple w:instr=" TITLE  \* MERGEFORMAT ">
      <w:r w:rsidR="0051770B">
        <w:t>E/C.12/BLR/7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3E029" w14:textId="55F07B31" w:rsidR="0045255F" w:rsidRPr="0045255F" w:rsidRDefault="00FD66AB" w:rsidP="0045255F">
    <w:pPr>
      <w:pStyle w:val="a5"/>
      <w:jc w:val="right"/>
    </w:pPr>
    <w:fldSimple w:instr=" TITLE  \* MERGEFORMAT ">
      <w:r w:rsidR="0051770B">
        <w:t>E/C.12/BLR/7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1A191" w14:textId="77777777" w:rsidR="0045255F" w:rsidRDefault="0045255F" w:rsidP="0045255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3FD"/>
    <w:rsid w:val="00033EE1"/>
    <w:rsid w:val="00042B72"/>
    <w:rsid w:val="00043B08"/>
    <w:rsid w:val="000558BD"/>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16C30"/>
    <w:rsid w:val="002979E2"/>
    <w:rsid w:val="002A2EFC"/>
    <w:rsid w:val="002B74B1"/>
    <w:rsid w:val="002C0E18"/>
    <w:rsid w:val="002D5AAC"/>
    <w:rsid w:val="002E5067"/>
    <w:rsid w:val="002F405F"/>
    <w:rsid w:val="002F7011"/>
    <w:rsid w:val="002F7EEC"/>
    <w:rsid w:val="00301299"/>
    <w:rsid w:val="00305C08"/>
    <w:rsid w:val="00306D32"/>
    <w:rsid w:val="00307FB6"/>
    <w:rsid w:val="00317339"/>
    <w:rsid w:val="00322004"/>
    <w:rsid w:val="003402C2"/>
    <w:rsid w:val="00381C24"/>
    <w:rsid w:val="003958D0"/>
    <w:rsid w:val="003A0D43"/>
    <w:rsid w:val="003B00E5"/>
    <w:rsid w:val="00407B78"/>
    <w:rsid w:val="00424203"/>
    <w:rsid w:val="0042551A"/>
    <w:rsid w:val="00452493"/>
    <w:rsid w:val="0045255F"/>
    <w:rsid w:val="00453318"/>
    <w:rsid w:val="00454E07"/>
    <w:rsid w:val="00470BA5"/>
    <w:rsid w:val="00472C5C"/>
    <w:rsid w:val="0050108D"/>
    <w:rsid w:val="00513081"/>
    <w:rsid w:val="0051770B"/>
    <w:rsid w:val="00517901"/>
    <w:rsid w:val="00526683"/>
    <w:rsid w:val="005709E0"/>
    <w:rsid w:val="00572E19"/>
    <w:rsid w:val="005961C8"/>
    <w:rsid w:val="005966F1"/>
    <w:rsid w:val="005B2F86"/>
    <w:rsid w:val="005D7914"/>
    <w:rsid w:val="005E2B41"/>
    <w:rsid w:val="005F0B42"/>
    <w:rsid w:val="005F1707"/>
    <w:rsid w:val="00620E60"/>
    <w:rsid w:val="00640F49"/>
    <w:rsid w:val="00681A10"/>
    <w:rsid w:val="006A16E3"/>
    <w:rsid w:val="006A1ED8"/>
    <w:rsid w:val="006C2031"/>
    <w:rsid w:val="006D461A"/>
    <w:rsid w:val="006F35EE"/>
    <w:rsid w:val="007021FF"/>
    <w:rsid w:val="00712895"/>
    <w:rsid w:val="00734ACB"/>
    <w:rsid w:val="00757357"/>
    <w:rsid w:val="00777279"/>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84021"/>
    <w:rsid w:val="00A84D35"/>
    <w:rsid w:val="00A873FD"/>
    <w:rsid w:val="00A917B3"/>
    <w:rsid w:val="00AB2DBD"/>
    <w:rsid w:val="00AB4B51"/>
    <w:rsid w:val="00AC3430"/>
    <w:rsid w:val="00B10CC7"/>
    <w:rsid w:val="00B36DF7"/>
    <w:rsid w:val="00B539E7"/>
    <w:rsid w:val="00B62458"/>
    <w:rsid w:val="00BC18B2"/>
    <w:rsid w:val="00BD33EE"/>
    <w:rsid w:val="00BF21E1"/>
    <w:rsid w:val="00C106D6"/>
    <w:rsid w:val="00C60F0C"/>
    <w:rsid w:val="00C805C9"/>
    <w:rsid w:val="00C92939"/>
    <w:rsid w:val="00CA1679"/>
    <w:rsid w:val="00CB151C"/>
    <w:rsid w:val="00CC6CC7"/>
    <w:rsid w:val="00CE5A1A"/>
    <w:rsid w:val="00CF55F6"/>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D66A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45446"/>
  <w15:docId w15:val="{FE9EC2B4-E63A-4C19-8CB4-E230EB353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4_GR,Footnote symbol"/>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5_GR,Footnote,Podrozdział,Podrozdzia3,single space,footnote text, Märk,Footnote Text Char Char Char Char,Footnote Text Char Char,Footnote Text Char Char Char Char Char,Footnote Text Char Char Char Char Char Char Char 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5_GR Знак,Footnote Знак,Podrozdział Знак,Podrozdzia3 Знак,single space Знак,footnote text Знак, Märk Знак,Footnote Text Char Char Char Char Знак,Footnote Text Char Char Знак,Footnote Text Char Char Char Char Char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CC6CC7"/>
    <w:rPr>
      <w:lang w:val="ru-RU" w:eastAsia="en-US"/>
    </w:rPr>
  </w:style>
  <w:style w:type="character" w:customStyle="1" w:styleId="11">
    <w:name w:val="Неразрешенное упоминание1"/>
    <w:basedOn w:val="a0"/>
    <w:uiPriority w:val="99"/>
    <w:semiHidden/>
    <w:unhideWhenUsed/>
    <w:rsid w:val="00CC6CC7"/>
    <w:rPr>
      <w:color w:val="605E5C"/>
      <w:shd w:val="clear" w:color="auto" w:fill="E1DFDD"/>
    </w:rPr>
  </w:style>
  <w:style w:type="paragraph" w:customStyle="1" w:styleId="SingleTxtGR">
    <w:name w:val="_ Single Txt_GR"/>
    <w:basedOn w:val="a"/>
    <w:qFormat/>
    <w:rsid w:val="00CC6CC7"/>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satomnadzor.mchs.gov.b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dgs.by" TargetMode="External"/><Relationship Id="rId4" Type="http://schemas.openxmlformats.org/officeDocument/2006/relationships/webSettings" Target="webSettings.xml"/><Relationship Id="rId9" Type="http://schemas.openxmlformats.org/officeDocument/2006/relationships/hyperlink" Target="https://adu.by/"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195.50.6.73/sites/belstatfront/hom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42</Pages>
  <Words>17421</Words>
  <Characters>121430</Characters>
  <Application>Microsoft Office Word</Application>
  <DocSecurity>0</DocSecurity>
  <Lines>2428</Lines>
  <Paragraphs>1084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137767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E/C.12/BLR/7</dc:title>
  <dc:subject/>
  <dc:creator>Olga OVTCHINNIKOVA</dc:creator>
  <cp:keywords/>
  <cp:lastModifiedBy>Ioulia Goussarova</cp:lastModifiedBy>
  <cp:revision>3</cp:revision>
  <cp:lastPrinted>2020-02-10T11:56:00Z</cp:lastPrinted>
  <dcterms:created xsi:type="dcterms:W3CDTF">2020-02-10T11:56:00Z</dcterms:created>
  <dcterms:modified xsi:type="dcterms:W3CDTF">2020-02-10T11:56:00Z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