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C3792" w:rsidRPr="00DB58B5" w14:paraId="4E4367F8" w14:textId="77777777" w:rsidTr="00702DC1">
        <w:trPr>
          <w:trHeight w:hRule="exact" w:val="851"/>
        </w:trPr>
        <w:tc>
          <w:tcPr>
            <w:tcW w:w="1276" w:type="dxa"/>
            <w:tcBorders>
              <w:bottom w:val="single" w:sz="4" w:space="0" w:color="auto"/>
            </w:tcBorders>
          </w:tcPr>
          <w:p w14:paraId="1420C08A" w14:textId="77777777" w:rsidR="009C3792" w:rsidRPr="00DB58B5" w:rsidRDefault="009C3792" w:rsidP="00A11C2F"/>
        </w:tc>
        <w:tc>
          <w:tcPr>
            <w:tcW w:w="2268" w:type="dxa"/>
            <w:tcBorders>
              <w:bottom w:val="single" w:sz="4" w:space="0" w:color="auto"/>
            </w:tcBorders>
            <w:vAlign w:val="bottom"/>
          </w:tcPr>
          <w:p w14:paraId="478728BA" w14:textId="77777777" w:rsidR="009C3792" w:rsidRPr="00DB58B5" w:rsidRDefault="009C3792" w:rsidP="00702DC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2732430F" w14:textId="3740D8A6" w:rsidR="009C3792" w:rsidRPr="00DB58B5" w:rsidRDefault="00A11C2F" w:rsidP="00A11C2F">
            <w:pPr>
              <w:jc w:val="right"/>
            </w:pPr>
            <w:r w:rsidRPr="00A11C2F">
              <w:rPr>
                <w:sz w:val="40"/>
              </w:rPr>
              <w:t>HRI</w:t>
            </w:r>
            <w:r>
              <w:t>/MC/2022/1</w:t>
            </w:r>
          </w:p>
        </w:tc>
      </w:tr>
      <w:tr w:rsidR="009C3792" w:rsidRPr="00DB58B5" w14:paraId="66135F3A" w14:textId="77777777" w:rsidTr="00702DC1">
        <w:trPr>
          <w:trHeight w:hRule="exact" w:val="2835"/>
        </w:trPr>
        <w:tc>
          <w:tcPr>
            <w:tcW w:w="1276" w:type="dxa"/>
            <w:tcBorders>
              <w:top w:val="single" w:sz="4" w:space="0" w:color="auto"/>
              <w:bottom w:val="single" w:sz="12" w:space="0" w:color="auto"/>
            </w:tcBorders>
          </w:tcPr>
          <w:p w14:paraId="0AF886EA" w14:textId="77777777" w:rsidR="009C3792" w:rsidRPr="00DB58B5" w:rsidRDefault="009C3792" w:rsidP="00702DC1">
            <w:pPr>
              <w:spacing w:before="120"/>
              <w:jc w:val="center"/>
            </w:pPr>
            <w:r>
              <w:rPr>
                <w:noProof/>
                <w:lang w:eastAsia="fr-CH"/>
              </w:rPr>
              <w:drawing>
                <wp:inline distT="0" distB="0" distL="0" distR="0" wp14:anchorId="7A5E3837" wp14:editId="0B9F8F3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B5C6F1C" w14:textId="31A76A6D" w:rsidR="009C3792" w:rsidRPr="00740562" w:rsidRDefault="009C3792" w:rsidP="00702DC1">
            <w:pPr>
              <w:spacing w:before="120" w:line="380" w:lineRule="exact"/>
              <w:rPr>
                <w:b/>
                <w:sz w:val="40"/>
                <w:szCs w:val="40"/>
              </w:rPr>
            </w:pPr>
            <w:r>
              <w:rPr>
                <w:b/>
                <w:sz w:val="34"/>
                <w:szCs w:val="34"/>
              </w:rPr>
              <w:t>Instruments internationaux</w:t>
            </w:r>
            <w:r>
              <w:rPr>
                <w:b/>
                <w:sz w:val="34"/>
                <w:szCs w:val="34"/>
              </w:rPr>
              <w:br/>
              <w:t>relatifs aux droits de l</w:t>
            </w:r>
            <w:r w:rsidR="00A11C2F">
              <w:rPr>
                <w:b/>
                <w:sz w:val="34"/>
                <w:szCs w:val="34"/>
              </w:rPr>
              <w:t>’</w:t>
            </w:r>
            <w:r>
              <w:rPr>
                <w:b/>
                <w:sz w:val="34"/>
                <w:szCs w:val="34"/>
              </w:rPr>
              <w:t>homme</w:t>
            </w:r>
          </w:p>
        </w:tc>
        <w:tc>
          <w:tcPr>
            <w:tcW w:w="2835" w:type="dxa"/>
            <w:tcBorders>
              <w:top w:val="single" w:sz="4" w:space="0" w:color="auto"/>
              <w:bottom w:val="single" w:sz="12" w:space="0" w:color="auto"/>
            </w:tcBorders>
          </w:tcPr>
          <w:p w14:paraId="45D7C7A2" w14:textId="77777777" w:rsidR="009C3792" w:rsidRDefault="00A11C2F" w:rsidP="00702DC1">
            <w:pPr>
              <w:spacing w:before="240"/>
            </w:pPr>
            <w:r>
              <w:t>Distr. générale</w:t>
            </w:r>
          </w:p>
          <w:p w14:paraId="584638C3" w14:textId="77777777" w:rsidR="00A11C2F" w:rsidRDefault="00A11C2F" w:rsidP="00A11C2F">
            <w:pPr>
              <w:spacing w:line="240" w:lineRule="exact"/>
            </w:pPr>
            <w:r>
              <w:t>19 avril 2022</w:t>
            </w:r>
          </w:p>
          <w:p w14:paraId="4423697D" w14:textId="77777777" w:rsidR="00A11C2F" w:rsidRDefault="00A11C2F" w:rsidP="00A11C2F">
            <w:pPr>
              <w:spacing w:line="240" w:lineRule="exact"/>
            </w:pPr>
            <w:r>
              <w:t>Français</w:t>
            </w:r>
          </w:p>
          <w:p w14:paraId="0E539FE9" w14:textId="77777777" w:rsidR="00A11C2F" w:rsidRDefault="00A11C2F" w:rsidP="00A11C2F">
            <w:pPr>
              <w:spacing w:line="240" w:lineRule="exact"/>
            </w:pPr>
            <w:r>
              <w:t>Original : anglais</w:t>
            </w:r>
          </w:p>
          <w:p w14:paraId="241F768A" w14:textId="0A434C7A" w:rsidR="00A11C2F" w:rsidRPr="00DB58B5" w:rsidRDefault="00A11C2F" w:rsidP="00A11C2F">
            <w:pPr>
              <w:spacing w:line="240" w:lineRule="exact"/>
            </w:pPr>
            <w:r>
              <w:t>Anglais, espagnol et français seulement</w:t>
            </w:r>
          </w:p>
        </w:tc>
      </w:tr>
    </w:tbl>
    <w:p w14:paraId="7A071690" w14:textId="36CEAC56" w:rsidR="00A11C2F" w:rsidRPr="00A11C2F" w:rsidRDefault="00A11C2F" w:rsidP="00C97E83">
      <w:pPr>
        <w:spacing w:before="120"/>
        <w:rPr>
          <w:b/>
          <w:bCs/>
          <w:color w:val="000000" w:themeColor="text1"/>
          <w:sz w:val="24"/>
          <w:szCs w:val="24"/>
          <w:lang w:val="fr-FR"/>
        </w:rPr>
      </w:pPr>
      <w:r w:rsidRPr="00A11C2F">
        <w:rPr>
          <w:b/>
          <w:bCs/>
          <w:sz w:val="24"/>
          <w:szCs w:val="24"/>
          <w:lang w:val="fr-FR"/>
        </w:rPr>
        <w:t xml:space="preserve">Trente-quatrième réunion des présidents des organes </w:t>
      </w:r>
      <w:r>
        <w:rPr>
          <w:b/>
          <w:bCs/>
          <w:sz w:val="24"/>
          <w:szCs w:val="24"/>
          <w:lang w:val="fr-FR"/>
        </w:rPr>
        <w:br/>
      </w:r>
      <w:r w:rsidRPr="00A11C2F">
        <w:rPr>
          <w:b/>
          <w:bCs/>
          <w:sz w:val="24"/>
          <w:szCs w:val="24"/>
          <w:lang w:val="fr-FR"/>
        </w:rPr>
        <w:t>créés en vertu d</w:t>
      </w:r>
      <w:r>
        <w:rPr>
          <w:b/>
          <w:bCs/>
          <w:sz w:val="24"/>
          <w:szCs w:val="24"/>
          <w:lang w:val="fr-FR"/>
        </w:rPr>
        <w:t>’</w:t>
      </w:r>
      <w:r w:rsidRPr="00A11C2F">
        <w:rPr>
          <w:b/>
          <w:bCs/>
          <w:sz w:val="24"/>
          <w:szCs w:val="24"/>
          <w:lang w:val="fr-FR"/>
        </w:rPr>
        <w:t xml:space="preserve">instruments internationaux </w:t>
      </w:r>
      <w:r>
        <w:rPr>
          <w:b/>
          <w:bCs/>
          <w:sz w:val="24"/>
          <w:szCs w:val="24"/>
          <w:lang w:val="fr-FR"/>
        </w:rPr>
        <w:br/>
      </w:r>
      <w:r w:rsidRPr="00A11C2F">
        <w:rPr>
          <w:b/>
          <w:bCs/>
          <w:sz w:val="24"/>
          <w:szCs w:val="24"/>
          <w:lang w:val="fr-FR"/>
        </w:rPr>
        <w:t>relatifs aux droits de l</w:t>
      </w:r>
      <w:r>
        <w:rPr>
          <w:b/>
          <w:bCs/>
          <w:sz w:val="24"/>
          <w:szCs w:val="24"/>
          <w:lang w:val="fr-FR"/>
        </w:rPr>
        <w:t>’</w:t>
      </w:r>
      <w:r w:rsidRPr="00A11C2F">
        <w:rPr>
          <w:b/>
          <w:bCs/>
          <w:sz w:val="24"/>
          <w:szCs w:val="24"/>
          <w:lang w:val="fr-FR"/>
        </w:rPr>
        <w:t>homme</w:t>
      </w:r>
    </w:p>
    <w:p w14:paraId="7CF9943C" w14:textId="77777777" w:rsidR="00A11C2F" w:rsidRPr="00D07BE4" w:rsidRDefault="00A11C2F" w:rsidP="00A11C2F">
      <w:pPr>
        <w:rPr>
          <w:color w:val="000000" w:themeColor="text1"/>
          <w:lang w:val="fr-FR"/>
        </w:rPr>
      </w:pPr>
      <w:r>
        <w:rPr>
          <w:lang w:val="fr-FR"/>
        </w:rPr>
        <w:t>Genève, 30 mai-3 juin 2022</w:t>
      </w:r>
    </w:p>
    <w:p w14:paraId="0DB8C0CE" w14:textId="38313B5C" w:rsidR="00A11C2F" w:rsidRPr="00D07BE4" w:rsidRDefault="00A11C2F" w:rsidP="00A11C2F">
      <w:pPr>
        <w:rPr>
          <w:color w:val="000000" w:themeColor="text1"/>
          <w:lang w:val="fr-FR"/>
        </w:rPr>
      </w:pPr>
      <w:r>
        <w:rPr>
          <w:lang w:val="fr-FR"/>
        </w:rPr>
        <w:t>Point 2 de l</w:t>
      </w:r>
      <w:r>
        <w:rPr>
          <w:lang w:val="fr-FR"/>
        </w:rPr>
        <w:t>’</w:t>
      </w:r>
      <w:r>
        <w:rPr>
          <w:lang w:val="fr-FR"/>
        </w:rPr>
        <w:t>ordre du jour provisoire</w:t>
      </w:r>
    </w:p>
    <w:p w14:paraId="03C94DD2" w14:textId="63B0CB92" w:rsidR="00A11C2F" w:rsidRPr="00D07BE4" w:rsidRDefault="00A11C2F" w:rsidP="00A11C2F">
      <w:pPr>
        <w:rPr>
          <w:b/>
          <w:bCs/>
          <w:color w:val="000000" w:themeColor="text1"/>
          <w:lang w:val="fr-FR"/>
        </w:rPr>
      </w:pPr>
      <w:r>
        <w:rPr>
          <w:b/>
          <w:bCs/>
          <w:lang w:val="fr-FR"/>
        </w:rPr>
        <w:t>Adoption de l</w:t>
      </w:r>
      <w:r>
        <w:rPr>
          <w:b/>
          <w:bCs/>
          <w:lang w:val="fr-FR"/>
        </w:rPr>
        <w:t>’</w:t>
      </w:r>
      <w:r>
        <w:rPr>
          <w:b/>
          <w:bCs/>
          <w:lang w:val="fr-FR"/>
        </w:rPr>
        <w:t>ordre du jour et organisation des travaux</w:t>
      </w:r>
    </w:p>
    <w:p w14:paraId="5CBB207E" w14:textId="118698BA" w:rsidR="00A11C2F" w:rsidRPr="00D07BE4" w:rsidRDefault="00A11C2F" w:rsidP="00A11C2F">
      <w:pPr>
        <w:pStyle w:val="HChG"/>
        <w:rPr>
          <w:lang w:val="fr-FR"/>
        </w:rPr>
      </w:pPr>
      <w:r>
        <w:rPr>
          <w:lang w:val="fr-FR"/>
        </w:rPr>
        <w:tab/>
      </w:r>
      <w:r>
        <w:rPr>
          <w:lang w:val="fr-FR"/>
        </w:rPr>
        <w:tab/>
        <w:t>Ordre du jour provisoire annoté</w:t>
      </w:r>
      <w:r w:rsidRPr="00A11C2F">
        <w:rPr>
          <w:rStyle w:val="Appelnotedebasdep"/>
          <w:b w:val="0"/>
          <w:bCs/>
          <w:sz w:val="20"/>
          <w:vertAlign w:val="baseline"/>
        </w:rPr>
        <w:footnoteReference w:customMarkFollows="1" w:id="2"/>
        <w:t>*</w:t>
      </w:r>
    </w:p>
    <w:p w14:paraId="11DA6C40" w14:textId="77777777" w:rsidR="00A11C2F" w:rsidRPr="00D07BE4" w:rsidRDefault="00A11C2F" w:rsidP="00A11C2F">
      <w:pPr>
        <w:pStyle w:val="H1G"/>
        <w:rPr>
          <w:lang w:val="fr-FR"/>
        </w:rPr>
      </w:pPr>
      <w:r>
        <w:rPr>
          <w:lang w:val="fr-FR"/>
        </w:rPr>
        <w:tab/>
      </w:r>
      <w:r>
        <w:rPr>
          <w:lang w:val="fr-FR"/>
        </w:rPr>
        <w:tab/>
        <w:t>Ordre du jour provisoire</w:t>
      </w:r>
    </w:p>
    <w:p w14:paraId="03778B00" w14:textId="77777777" w:rsidR="00A11C2F" w:rsidRPr="00D07BE4" w:rsidRDefault="00A11C2F" w:rsidP="00A11C2F">
      <w:pPr>
        <w:pStyle w:val="SingleTxtG"/>
        <w:ind w:left="1701" w:hanging="567"/>
        <w:rPr>
          <w:lang w:val="fr-FR"/>
        </w:rPr>
      </w:pPr>
      <w:r>
        <w:rPr>
          <w:lang w:val="fr-FR"/>
        </w:rPr>
        <w:t>1.</w:t>
      </w:r>
      <w:r>
        <w:rPr>
          <w:lang w:val="fr-FR"/>
        </w:rPr>
        <w:tab/>
        <w:t>Élection du Bureau.</w:t>
      </w:r>
    </w:p>
    <w:p w14:paraId="1C1C37E0" w14:textId="62947630" w:rsidR="00A11C2F" w:rsidRPr="00D07BE4" w:rsidRDefault="00A11C2F" w:rsidP="00A11C2F">
      <w:pPr>
        <w:pStyle w:val="SingleTxtG"/>
        <w:ind w:left="1701" w:hanging="567"/>
        <w:rPr>
          <w:lang w:val="fr-FR"/>
        </w:rPr>
      </w:pPr>
      <w:r>
        <w:rPr>
          <w:lang w:val="fr-FR"/>
        </w:rPr>
        <w:t>2.</w:t>
      </w:r>
      <w:r>
        <w:rPr>
          <w:lang w:val="fr-FR"/>
        </w:rPr>
        <w:tab/>
        <w:t>Adoption de l</w:t>
      </w:r>
      <w:r>
        <w:rPr>
          <w:lang w:val="fr-FR"/>
        </w:rPr>
        <w:t>’</w:t>
      </w:r>
      <w:r>
        <w:rPr>
          <w:lang w:val="fr-FR"/>
        </w:rPr>
        <w:t>ordre du jour et organisation des travaux</w:t>
      </w:r>
      <w:r>
        <w:rPr>
          <w:lang w:val="fr-FR"/>
        </w:rPr>
        <w:t>.</w:t>
      </w:r>
    </w:p>
    <w:p w14:paraId="01983AAF" w14:textId="73C356D0" w:rsidR="00A11C2F" w:rsidRPr="00C803C9" w:rsidRDefault="00A11C2F" w:rsidP="00A11C2F">
      <w:pPr>
        <w:pStyle w:val="SingleTxtG"/>
        <w:ind w:left="1701" w:hanging="567"/>
        <w:rPr>
          <w:lang w:val="fr-FR"/>
        </w:rPr>
      </w:pPr>
      <w:r>
        <w:rPr>
          <w:lang w:val="fr-FR"/>
        </w:rPr>
        <w:t>3.</w:t>
      </w:r>
      <w:r>
        <w:rPr>
          <w:lang w:val="fr-FR"/>
        </w:rPr>
        <w:tab/>
        <w:t>Examen par l</w:t>
      </w:r>
      <w:r>
        <w:rPr>
          <w:lang w:val="fr-FR"/>
        </w:rPr>
        <w:t>’</w:t>
      </w:r>
      <w:r>
        <w:rPr>
          <w:lang w:val="fr-FR"/>
        </w:rPr>
        <w:t>Assemblée générale du système des organes conventionnels en 2020</w:t>
      </w:r>
      <w:r>
        <w:rPr>
          <w:lang w:val="fr-FR"/>
        </w:rPr>
        <w:t> </w:t>
      </w:r>
      <w:r>
        <w:rPr>
          <w:lang w:val="fr-FR"/>
        </w:rPr>
        <w:t xml:space="preserve">: </w:t>
      </w:r>
      <w:r w:rsidRPr="00C803C9">
        <w:rPr>
          <w:lang w:val="fr-FR"/>
        </w:rPr>
        <w:t>suivi</w:t>
      </w:r>
      <w:r>
        <w:rPr>
          <w:lang w:val="fr-FR"/>
        </w:rPr>
        <w:t>.</w:t>
      </w:r>
    </w:p>
    <w:p w14:paraId="481008CA" w14:textId="70202E27" w:rsidR="00A11C2F" w:rsidRPr="00D07BE4" w:rsidRDefault="00A11C2F" w:rsidP="00A11C2F">
      <w:pPr>
        <w:pStyle w:val="SingleTxtG"/>
        <w:ind w:left="1701" w:hanging="567"/>
        <w:rPr>
          <w:lang w:val="fr-FR"/>
        </w:rPr>
      </w:pPr>
      <w:r>
        <w:rPr>
          <w:lang w:val="fr-FR"/>
        </w:rPr>
        <w:t>4.</w:t>
      </w:r>
      <w:r>
        <w:rPr>
          <w:lang w:val="fr-FR"/>
        </w:rPr>
        <w:tab/>
        <w:t>Progrès accomplis dans l</w:t>
      </w:r>
      <w:r>
        <w:rPr>
          <w:lang w:val="fr-FR"/>
        </w:rPr>
        <w:t>’</w:t>
      </w:r>
      <w:r>
        <w:rPr>
          <w:lang w:val="fr-FR"/>
        </w:rPr>
        <w:t>harmonisation des méthodes de travail et des pratiques des organes conventionnels</w:t>
      </w:r>
      <w:r>
        <w:rPr>
          <w:lang w:val="fr-FR"/>
        </w:rPr>
        <w:t>.</w:t>
      </w:r>
    </w:p>
    <w:p w14:paraId="2A2E1696" w14:textId="5884296C" w:rsidR="00A11C2F" w:rsidRPr="00D07BE4" w:rsidRDefault="00A11C2F" w:rsidP="00A11C2F">
      <w:pPr>
        <w:pStyle w:val="SingleTxtG"/>
        <w:ind w:left="1701" w:hanging="567"/>
        <w:rPr>
          <w:lang w:val="fr-FR"/>
        </w:rPr>
      </w:pPr>
      <w:r>
        <w:rPr>
          <w:lang w:val="fr-FR"/>
        </w:rPr>
        <w:t>5.</w:t>
      </w:r>
      <w:r>
        <w:rPr>
          <w:lang w:val="fr-FR"/>
        </w:rPr>
        <w:tab/>
        <w:t>Application par les organes conventionnels des Principes directeurs relatifs à la lutte contre l</w:t>
      </w:r>
      <w:r>
        <w:rPr>
          <w:lang w:val="fr-FR"/>
        </w:rPr>
        <w:t>’</w:t>
      </w:r>
      <w:r>
        <w:rPr>
          <w:lang w:val="fr-FR"/>
        </w:rPr>
        <w:t>intimidation ou les représailles (Principes directeurs de San José), une attention particulière étant accordée aux cas de représailles et aux tendances en la matière</w:t>
      </w:r>
      <w:r>
        <w:rPr>
          <w:lang w:val="fr-FR"/>
        </w:rPr>
        <w:t>.</w:t>
      </w:r>
    </w:p>
    <w:p w14:paraId="45253855" w14:textId="7B3CC1DE" w:rsidR="00A11C2F" w:rsidRPr="00D07BE4" w:rsidRDefault="00A11C2F" w:rsidP="00A11C2F">
      <w:pPr>
        <w:pStyle w:val="SingleTxtG"/>
        <w:ind w:left="1701" w:hanging="567"/>
        <w:rPr>
          <w:lang w:val="fr-FR"/>
        </w:rPr>
      </w:pPr>
      <w:r>
        <w:rPr>
          <w:lang w:val="fr-FR"/>
        </w:rPr>
        <w:t>6.</w:t>
      </w:r>
      <w:r>
        <w:rPr>
          <w:lang w:val="fr-FR"/>
        </w:rPr>
        <w:tab/>
        <w:t>Application par les organes conventionnels des Principes directeurs relatifs à l</w:t>
      </w:r>
      <w:r>
        <w:rPr>
          <w:lang w:val="fr-FR"/>
        </w:rPr>
        <w:t>’</w:t>
      </w:r>
      <w:r>
        <w:rPr>
          <w:lang w:val="fr-FR"/>
        </w:rPr>
        <w:t>indépendance et à l</w:t>
      </w:r>
      <w:r>
        <w:rPr>
          <w:lang w:val="fr-FR"/>
        </w:rPr>
        <w:t>’</w:t>
      </w:r>
      <w:r>
        <w:rPr>
          <w:lang w:val="fr-FR"/>
        </w:rPr>
        <w:t>impartialité des membres des organes créés en vertu d</w:t>
      </w:r>
      <w:r>
        <w:rPr>
          <w:lang w:val="fr-FR"/>
        </w:rPr>
        <w:t>’</w:t>
      </w:r>
      <w:r>
        <w:rPr>
          <w:lang w:val="fr-FR"/>
        </w:rPr>
        <w:t>instruments relatifs aux droits de l</w:t>
      </w:r>
      <w:r>
        <w:rPr>
          <w:lang w:val="fr-FR"/>
        </w:rPr>
        <w:t>’</w:t>
      </w:r>
      <w:r>
        <w:rPr>
          <w:lang w:val="fr-FR"/>
        </w:rPr>
        <w:t>homme (Principes directeurs d</w:t>
      </w:r>
      <w:r>
        <w:rPr>
          <w:lang w:val="fr-FR"/>
        </w:rPr>
        <w:t>’</w:t>
      </w:r>
      <w:r>
        <w:rPr>
          <w:lang w:val="fr-FR"/>
        </w:rPr>
        <w:t>Addis-Abeba).</w:t>
      </w:r>
    </w:p>
    <w:p w14:paraId="3FEEE56D" w14:textId="77777777" w:rsidR="00A11C2F" w:rsidRPr="00D07BE4" w:rsidRDefault="00A11C2F" w:rsidP="00A11C2F">
      <w:pPr>
        <w:pStyle w:val="SingleTxtG"/>
        <w:ind w:left="1701" w:hanging="567"/>
        <w:rPr>
          <w:lang w:val="fr-FR"/>
        </w:rPr>
      </w:pPr>
      <w:r>
        <w:rPr>
          <w:lang w:val="fr-FR"/>
        </w:rPr>
        <w:t>7.</w:t>
      </w:r>
      <w:r>
        <w:rPr>
          <w:lang w:val="fr-FR"/>
        </w:rPr>
        <w:tab/>
        <w:t>Modalités et organisation des futures réunions des présidents et des autres activités intersessions.</w:t>
      </w:r>
    </w:p>
    <w:p w14:paraId="4AE46A8D" w14:textId="77777777" w:rsidR="00A11C2F" w:rsidRPr="00D07BE4" w:rsidRDefault="00A11C2F" w:rsidP="00A11C2F">
      <w:pPr>
        <w:pStyle w:val="SingleTxtG"/>
        <w:ind w:left="1701" w:hanging="567"/>
        <w:rPr>
          <w:lang w:val="fr-FR"/>
        </w:rPr>
      </w:pPr>
      <w:r>
        <w:rPr>
          <w:lang w:val="fr-FR"/>
        </w:rPr>
        <w:t>8.</w:t>
      </w:r>
      <w:r>
        <w:rPr>
          <w:lang w:val="fr-FR"/>
        </w:rPr>
        <w:tab/>
        <w:t>Questions diverses.</w:t>
      </w:r>
    </w:p>
    <w:p w14:paraId="37D888E7" w14:textId="0021119B" w:rsidR="00A11C2F" w:rsidRPr="00D07BE4" w:rsidRDefault="00A11C2F" w:rsidP="00A11C2F">
      <w:pPr>
        <w:pStyle w:val="SingleTxtG"/>
        <w:ind w:left="1701" w:hanging="567"/>
        <w:rPr>
          <w:lang w:val="fr-FR"/>
        </w:rPr>
      </w:pPr>
      <w:r>
        <w:rPr>
          <w:lang w:val="fr-FR"/>
        </w:rPr>
        <w:t>9.</w:t>
      </w:r>
      <w:r>
        <w:rPr>
          <w:lang w:val="fr-FR"/>
        </w:rPr>
        <w:tab/>
        <w:t>Adoption du rapport de la trente-quatrième réunion</w:t>
      </w:r>
      <w:r>
        <w:rPr>
          <w:lang w:val="fr-FR"/>
        </w:rPr>
        <w:t>.</w:t>
      </w:r>
    </w:p>
    <w:p w14:paraId="0908CC0E" w14:textId="77777777" w:rsidR="00A11C2F" w:rsidRPr="00D07BE4" w:rsidRDefault="00A11C2F" w:rsidP="00A11C2F">
      <w:pPr>
        <w:pStyle w:val="H1G"/>
        <w:rPr>
          <w:lang w:val="fr-FR"/>
        </w:rPr>
      </w:pPr>
      <w:r>
        <w:rPr>
          <w:lang w:val="fr-FR"/>
        </w:rPr>
        <w:tab/>
      </w:r>
      <w:r>
        <w:rPr>
          <w:lang w:val="fr-FR"/>
        </w:rPr>
        <w:tab/>
      </w:r>
      <w:r w:rsidRPr="00A11C2F">
        <w:rPr>
          <w:lang w:val="fr-FR"/>
        </w:rPr>
        <w:t>Annotations</w:t>
      </w:r>
    </w:p>
    <w:p w14:paraId="3188E92A" w14:textId="4D0DBEC3" w:rsidR="00A11C2F" w:rsidRPr="00D07BE4" w:rsidRDefault="00A11C2F" w:rsidP="00A11C2F">
      <w:pPr>
        <w:pStyle w:val="H23G"/>
        <w:rPr>
          <w:lang w:val="fr-FR"/>
        </w:rPr>
      </w:pPr>
      <w:r>
        <w:rPr>
          <w:lang w:val="fr-FR"/>
        </w:rPr>
        <w:tab/>
        <w:t>1.</w:t>
      </w:r>
      <w:r>
        <w:rPr>
          <w:lang w:val="fr-FR"/>
        </w:rPr>
        <w:tab/>
        <w:t>Élection du Bureau</w:t>
      </w:r>
    </w:p>
    <w:p w14:paraId="6C65ACF3" w14:textId="3CFB88E3" w:rsidR="00A11C2F" w:rsidRPr="00D07BE4" w:rsidRDefault="00A11C2F" w:rsidP="00A11C2F">
      <w:pPr>
        <w:pStyle w:val="SingleTxtG"/>
        <w:ind w:firstLine="567"/>
        <w:rPr>
          <w:lang w:val="fr-FR"/>
        </w:rPr>
      </w:pPr>
      <w:r>
        <w:rPr>
          <w:lang w:val="fr-FR"/>
        </w:rPr>
        <w:t>Si elle peut assister à la réunion, la Haute-Commissaire des Nations Unies aux droits de l</w:t>
      </w:r>
      <w:r>
        <w:rPr>
          <w:lang w:val="fr-FR"/>
        </w:rPr>
        <w:t>’</w:t>
      </w:r>
      <w:r>
        <w:rPr>
          <w:lang w:val="fr-FR"/>
        </w:rPr>
        <w:t xml:space="preserve">homme fera des observations </w:t>
      </w:r>
      <w:r w:rsidRPr="00A11C2F">
        <w:t>liminaires</w:t>
      </w:r>
      <w:r>
        <w:rPr>
          <w:lang w:val="fr-FR"/>
        </w:rPr>
        <w:t>. Le président et le vice-président seront élus à l</w:t>
      </w:r>
      <w:r>
        <w:rPr>
          <w:lang w:val="fr-FR"/>
        </w:rPr>
        <w:t>’</w:t>
      </w:r>
      <w:r>
        <w:rPr>
          <w:lang w:val="fr-FR"/>
        </w:rPr>
        <w:t>ouverture de la réunion, suivant le principe du roulement décidé par les présidents.</w:t>
      </w:r>
    </w:p>
    <w:p w14:paraId="13A8C511" w14:textId="7D496C62" w:rsidR="00A11C2F" w:rsidRPr="00D07BE4" w:rsidRDefault="00A11C2F" w:rsidP="00A11C2F">
      <w:pPr>
        <w:pStyle w:val="H23G"/>
        <w:rPr>
          <w:lang w:val="fr-FR"/>
        </w:rPr>
      </w:pPr>
      <w:r>
        <w:rPr>
          <w:lang w:val="fr-FR"/>
        </w:rPr>
        <w:lastRenderedPageBreak/>
        <w:tab/>
        <w:t>2.</w:t>
      </w:r>
      <w:r>
        <w:rPr>
          <w:lang w:val="fr-FR"/>
        </w:rPr>
        <w:tab/>
      </w:r>
      <w:r>
        <w:rPr>
          <w:bCs/>
          <w:lang w:val="fr-FR"/>
        </w:rPr>
        <w:t>Adoption de l</w:t>
      </w:r>
      <w:r>
        <w:rPr>
          <w:bCs/>
          <w:lang w:val="fr-FR"/>
        </w:rPr>
        <w:t>’</w:t>
      </w:r>
      <w:r>
        <w:rPr>
          <w:bCs/>
          <w:lang w:val="fr-FR"/>
        </w:rPr>
        <w:t xml:space="preserve">ordre du jour et </w:t>
      </w:r>
      <w:r w:rsidRPr="00A11C2F">
        <w:rPr>
          <w:lang w:val="fr-FR"/>
        </w:rPr>
        <w:t>organisation</w:t>
      </w:r>
      <w:r>
        <w:rPr>
          <w:bCs/>
          <w:lang w:val="fr-FR"/>
        </w:rPr>
        <w:t xml:space="preserve"> des travaux</w:t>
      </w:r>
    </w:p>
    <w:p w14:paraId="4C9CC81C" w14:textId="5A3B163A" w:rsidR="00A11C2F" w:rsidRPr="00D07BE4" w:rsidRDefault="00A11C2F" w:rsidP="00A11C2F">
      <w:pPr>
        <w:pStyle w:val="SingleTxtG"/>
        <w:ind w:firstLine="567"/>
        <w:rPr>
          <w:lang w:val="fr-FR"/>
        </w:rPr>
      </w:pPr>
      <w:r>
        <w:rPr>
          <w:lang w:val="fr-FR"/>
        </w:rPr>
        <w:t>La réunion se tiendra en application de la résolution 49/178 de l</w:t>
      </w:r>
      <w:r>
        <w:rPr>
          <w:lang w:val="fr-FR"/>
        </w:rPr>
        <w:t>’</w:t>
      </w:r>
      <w:r>
        <w:rPr>
          <w:lang w:val="fr-FR"/>
        </w:rPr>
        <w:t>Assemblée générale sur l</w:t>
      </w:r>
      <w:r>
        <w:rPr>
          <w:lang w:val="fr-FR"/>
        </w:rPr>
        <w:t>’</w:t>
      </w:r>
      <w:r>
        <w:rPr>
          <w:lang w:val="fr-FR"/>
        </w:rPr>
        <w:t>application effective des instruments internationaux relatifs aux droits de l</w:t>
      </w:r>
      <w:r>
        <w:rPr>
          <w:lang w:val="fr-FR"/>
        </w:rPr>
        <w:t>’</w:t>
      </w:r>
      <w:r>
        <w:rPr>
          <w:lang w:val="fr-FR"/>
        </w:rPr>
        <w:t>homme, y compris l</w:t>
      </w:r>
      <w:r>
        <w:rPr>
          <w:lang w:val="fr-FR"/>
        </w:rPr>
        <w:t>’</w:t>
      </w:r>
      <w:r>
        <w:rPr>
          <w:lang w:val="fr-FR"/>
        </w:rPr>
        <w:t>obligation de présenter des rapports à ce titre.</w:t>
      </w:r>
    </w:p>
    <w:p w14:paraId="35B5B715" w14:textId="280C3BF6" w:rsidR="00A11C2F" w:rsidRPr="00D07BE4" w:rsidRDefault="00A11C2F" w:rsidP="00A11C2F">
      <w:pPr>
        <w:pStyle w:val="SingleTxtG"/>
        <w:ind w:firstLine="567"/>
        <w:rPr>
          <w:lang w:val="fr-FR"/>
        </w:rPr>
      </w:pPr>
      <w:r>
        <w:rPr>
          <w:lang w:val="fr-FR"/>
        </w:rPr>
        <w:t>Les présidents adopteront l</w:t>
      </w:r>
      <w:r>
        <w:rPr>
          <w:lang w:val="fr-FR"/>
        </w:rPr>
        <w:t>’</w:t>
      </w:r>
      <w:r>
        <w:rPr>
          <w:lang w:val="fr-FR"/>
        </w:rPr>
        <w:t>ordre du jour en se fondant sur l</w:t>
      </w:r>
      <w:r>
        <w:rPr>
          <w:lang w:val="fr-FR"/>
        </w:rPr>
        <w:t>’</w:t>
      </w:r>
      <w:r>
        <w:rPr>
          <w:lang w:val="fr-FR"/>
        </w:rPr>
        <w:t>ordre du jour provisoire figurant dans le présent document. Ils adopteront également le projet de programme de travail et examineront les éventuelles questions d</w:t>
      </w:r>
      <w:r>
        <w:rPr>
          <w:lang w:val="fr-FR"/>
        </w:rPr>
        <w:t>’</w:t>
      </w:r>
      <w:r>
        <w:rPr>
          <w:lang w:val="fr-FR"/>
        </w:rPr>
        <w:t>organisation.</w:t>
      </w:r>
    </w:p>
    <w:p w14:paraId="173D8376" w14:textId="142997F9" w:rsidR="00A11C2F" w:rsidRPr="00D07BE4" w:rsidRDefault="00A11C2F" w:rsidP="00A11C2F">
      <w:pPr>
        <w:pStyle w:val="H23G"/>
        <w:rPr>
          <w:lang w:val="fr-FR"/>
        </w:rPr>
      </w:pPr>
      <w:r>
        <w:rPr>
          <w:lang w:val="fr-FR"/>
        </w:rPr>
        <w:tab/>
        <w:t>3.</w:t>
      </w:r>
      <w:r>
        <w:rPr>
          <w:lang w:val="fr-FR"/>
        </w:rPr>
        <w:tab/>
      </w:r>
      <w:r>
        <w:rPr>
          <w:bCs/>
          <w:lang w:val="fr-FR"/>
        </w:rPr>
        <w:t xml:space="preserve">Examen par </w:t>
      </w:r>
      <w:r w:rsidRPr="00A11C2F">
        <w:rPr>
          <w:lang w:val="fr-FR"/>
        </w:rPr>
        <w:t>l</w:t>
      </w:r>
      <w:r>
        <w:rPr>
          <w:lang w:val="fr-FR"/>
        </w:rPr>
        <w:t>’</w:t>
      </w:r>
      <w:r w:rsidRPr="00A11C2F">
        <w:rPr>
          <w:lang w:val="fr-FR"/>
        </w:rPr>
        <w:t>Assemblée</w:t>
      </w:r>
      <w:r>
        <w:rPr>
          <w:bCs/>
          <w:lang w:val="fr-FR"/>
        </w:rPr>
        <w:t xml:space="preserve"> générale du système </w:t>
      </w:r>
      <w:r w:rsidR="00C97E83">
        <w:rPr>
          <w:bCs/>
          <w:lang w:val="fr-FR"/>
        </w:rPr>
        <w:br/>
      </w:r>
      <w:r>
        <w:rPr>
          <w:bCs/>
          <w:lang w:val="fr-FR"/>
        </w:rPr>
        <w:t>des organes conventionnels en 2020</w:t>
      </w:r>
      <w:r>
        <w:rPr>
          <w:bCs/>
          <w:lang w:val="fr-FR"/>
        </w:rPr>
        <w:t> </w:t>
      </w:r>
      <w:r>
        <w:rPr>
          <w:bCs/>
          <w:lang w:val="fr-FR"/>
        </w:rPr>
        <w:t>: suivi</w:t>
      </w:r>
    </w:p>
    <w:p w14:paraId="2DE90FBF" w14:textId="5DD61CD9" w:rsidR="00A11C2F" w:rsidRPr="00D07BE4" w:rsidRDefault="00A11C2F" w:rsidP="00A11C2F">
      <w:pPr>
        <w:pStyle w:val="SingleTxtG"/>
        <w:ind w:firstLine="567"/>
        <w:rPr>
          <w:lang w:val="fr-FR"/>
        </w:rPr>
      </w:pPr>
      <w:r>
        <w:rPr>
          <w:lang w:val="fr-FR"/>
        </w:rPr>
        <w:t>Conformément à la résolution 68/268 de l</w:t>
      </w:r>
      <w:r>
        <w:rPr>
          <w:lang w:val="fr-FR"/>
        </w:rPr>
        <w:t>’</w:t>
      </w:r>
      <w:r>
        <w:rPr>
          <w:lang w:val="fr-FR"/>
        </w:rPr>
        <w:t>Assemblée générale, les présidents donneront la priorité au suivi de l</w:t>
      </w:r>
      <w:r>
        <w:rPr>
          <w:lang w:val="fr-FR"/>
        </w:rPr>
        <w:t>’</w:t>
      </w:r>
      <w:r>
        <w:rPr>
          <w:lang w:val="fr-FR"/>
        </w:rPr>
        <w:t>examen du système des organes conventionnels, comme ils l</w:t>
      </w:r>
      <w:r>
        <w:rPr>
          <w:lang w:val="fr-FR"/>
        </w:rPr>
        <w:t>’</w:t>
      </w:r>
      <w:r>
        <w:rPr>
          <w:lang w:val="fr-FR"/>
        </w:rPr>
        <w:t>ont fait à leur trente-troisième réunion</w:t>
      </w:r>
      <w:r w:rsidRPr="00B50366">
        <w:rPr>
          <w:lang w:val="fr-FR"/>
        </w:rPr>
        <w:t>. Ils poursuivront l</w:t>
      </w:r>
      <w:r>
        <w:rPr>
          <w:lang w:val="fr-FR"/>
        </w:rPr>
        <w:t>’</w:t>
      </w:r>
      <w:r w:rsidRPr="00B50366">
        <w:rPr>
          <w:lang w:val="fr-FR"/>
        </w:rPr>
        <w:t>analyse des recommandations</w:t>
      </w:r>
      <w:r>
        <w:rPr>
          <w:lang w:val="fr-FR"/>
        </w:rPr>
        <w:t xml:space="preserve"> contenues dans le rapport des cofacilitateurs sur l</w:t>
      </w:r>
      <w:r>
        <w:rPr>
          <w:lang w:val="fr-FR"/>
        </w:rPr>
        <w:t>’</w:t>
      </w:r>
      <w:r>
        <w:rPr>
          <w:lang w:val="fr-FR"/>
        </w:rPr>
        <w:t>examen de la situation du système des organes conventionnels de l</w:t>
      </w:r>
      <w:r>
        <w:rPr>
          <w:lang w:val="fr-FR"/>
        </w:rPr>
        <w:t>’</w:t>
      </w:r>
      <w:r>
        <w:rPr>
          <w:lang w:val="fr-FR"/>
        </w:rPr>
        <w:t>ONU en matière de droits de l</w:t>
      </w:r>
      <w:r>
        <w:rPr>
          <w:lang w:val="fr-FR"/>
        </w:rPr>
        <w:t>’</w:t>
      </w:r>
      <w:r>
        <w:rPr>
          <w:lang w:val="fr-FR"/>
        </w:rPr>
        <w:t>homme</w:t>
      </w:r>
      <w:r w:rsidRPr="008720E7">
        <w:rPr>
          <w:rStyle w:val="Appelnotedebasdep"/>
        </w:rPr>
        <w:footnoteReference w:id="3"/>
      </w:r>
      <w:r>
        <w:rPr>
          <w:lang w:val="fr-FR"/>
        </w:rPr>
        <w:t>. En particulier, ils examineront les recommandations suivantes faites par les cofacilitateurs</w:t>
      </w:r>
      <w:r>
        <w:rPr>
          <w:lang w:val="fr-FR"/>
        </w:rPr>
        <w:t> </w:t>
      </w:r>
      <w:r>
        <w:rPr>
          <w:lang w:val="fr-FR"/>
        </w:rPr>
        <w:t>: a) afin de mieux éclairer les échanges et de faire respecter dans toute la mesure possible les obligations en matière d</w:t>
      </w:r>
      <w:r>
        <w:rPr>
          <w:lang w:val="fr-FR"/>
        </w:rPr>
        <w:t>’</w:t>
      </w:r>
      <w:r>
        <w:rPr>
          <w:lang w:val="fr-FR"/>
        </w:rPr>
        <w:t>établissement des rapports, le Haut-Commissariat aux droits de l</w:t>
      </w:r>
      <w:r>
        <w:rPr>
          <w:lang w:val="fr-FR"/>
        </w:rPr>
        <w:t>’</w:t>
      </w:r>
      <w:r>
        <w:rPr>
          <w:lang w:val="fr-FR"/>
        </w:rPr>
        <w:t>homme pourrait élaborer, en coordination avec les organes conventionnels, un projet de calendrier et un état prévisionnel des coûts pour l</w:t>
      </w:r>
      <w:r>
        <w:rPr>
          <w:lang w:val="fr-FR"/>
        </w:rPr>
        <w:t>’</w:t>
      </w:r>
      <w:r>
        <w:rPr>
          <w:lang w:val="fr-FR"/>
        </w:rPr>
        <w:t>établissement d</w:t>
      </w:r>
      <w:r>
        <w:rPr>
          <w:lang w:val="fr-FR"/>
        </w:rPr>
        <w:t>’</w:t>
      </w:r>
      <w:r>
        <w:rPr>
          <w:lang w:val="fr-FR"/>
        </w:rPr>
        <w:t>un cycle prévisible. Ce calendrier devrait viser à optimiser les synergies entre les procédures d</w:t>
      </w:r>
      <w:r>
        <w:rPr>
          <w:lang w:val="fr-FR"/>
        </w:rPr>
        <w:t>’</w:t>
      </w:r>
      <w:r>
        <w:rPr>
          <w:lang w:val="fr-FR"/>
        </w:rPr>
        <w:t>examen et tenir compte des contraintes pesant sur les ressources des États parties, notamment les petits États, les petits États insulaires en développement et les pays les moins avancés. Le calendrier des examens des États à réaliser par le Haut-Commissariat devrait également tenir compte d</w:t>
      </w:r>
      <w:r>
        <w:rPr>
          <w:lang w:val="fr-FR"/>
        </w:rPr>
        <w:t>’</w:t>
      </w:r>
      <w:r>
        <w:rPr>
          <w:lang w:val="fr-FR"/>
        </w:rPr>
        <w:t>autres obligations en matière de présentation de rapports, notamment dans le cadre de l</w:t>
      </w:r>
      <w:r>
        <w:rPr>
          <w:lang w:val="fr-FR"/>
        </w:rPr>
        <w:t>’</w:t>
      </w:r>
      <w:r>
        <w:rPr>
          <w:lang w:val="fr-FR"/>
        </w:rPr>
        <w:t>Examen périodique universel</w:t>
      </w:r>
      <w:r w:rsidRPr="008720E7">
        <w:rPr>
          <w:rStyle w:val="Appelnotedebasdep"/>
        </w:rPr>
        <w:footnoteReference w:id="4"/>
      </w:r>
      <w:r>
        <w:rPr>
          <w:lang w:val="fr-FR"/>
        </w:rPr>
        <w:t> </w:t>
      </w:r>
      <w:r>
        <w:rPr>
          <w:lang w:val="fr-FR"/>
        </w:rPr>
        <w:t>; b) les</w:t>
      </w:r>
      <w:r w:rsidR="00C97E83">
        <w:rPr>
          <w:lang w:val="fr-FR"/>
        </w:rPr>
        <w:t> </w:t>
      </w:r>
      <w:r>
        <w:rPr>
          <w:lang w:val="fr-FR"/>
        </w:rPr>
        <w:t>organes conventionnels devraient accélérer l</w:t>
      </w:r>
      <w:r>
        <w:rPr>
          <w:lang w:val="fr-FR"/>
        </w:rPr>
        <w:t>’</w:t>
      </w:r>
      <w:r>
        <w:rPr>
          <w:lang w:val="fr-FR"/>
        </w:rPr>
        <w:t>harmonisation de leurs méthodes de travail et le Haut-Commissariat pourrait être invité à proposer un modèle de méthodes de travail rationalisées, harmonisées et modernes pour les organes conventionnels, en s</w:t>
      </w:r>
      <w:r>
        <w:rPr>
          <w:lang w:val="fr-FR"/>
        </w:rPr>
        <w:t>’</w:t>
      </w:r>
      <w:r>
        <w:rPr>
          <w:lang w:val="fr-FR"/>
        </w:rPr>
        <w:t>appuyant sur les avis et les conclusions issues du processus de consultation, les réunions des présidentes et présidents de ces organes et les enseignements tirés de la pandémie</w:t>
      </w:r>
      <w:r w:rsidRPr="008720E7">
        <w:rPr>
          <w:rStyle w:val="Appelnotedebasdep"/>
        </w:rPr>
        <w:footnoteReference w:id="5"/>
      </w:r>
      <w:r>
        <w:rPr>
          <w:lang w:val="fr-FR"/>
        </w:rPr>
        <w:t> ; c) le</w:t>
      </w:r>
      <w:r w:rsidR="00C97E83">
        <w:rPr>
          <w:lang w:val="fr-FR"/>
        </w:rPr>
        <w:t> </w:t>
      </w:r>
      <w:r>
        <w:rPr>
          <w:lang w:val="fr-FR"/>
        </w:rPr>
        <w:t>Haut-Commissariat aux droits de l</w:t>
      </w:r>
      <w:r>
        <w:rPr>
          <w:lang w:val="fr-FR"/>
        </w:rPr>
        <w:t>’</w:t>
      </w:r>
      <w:r>
        <w:rPr>
          <w:lang w:val="fr-FR"/>
        </w:rPr>
        <w:t>homme devrait prendre des mesures pour améliorer la visibilité et l</w:t>
      </w:r>
      <w:r>
        <w:rPr>
          <w:lang w:val="fr-FR"/>
        </w:rPr>
        <w:t>’</w:t>
      </w:r>
      <w:r>
        <w:rPr>
          <w:lang w:val="fr-FR"/>
        </w:rPr>
        <w:t>accessibilité du système des organes conventionnels, notamment en facilitant l</w:t>
      </w:r>
      <w:r>
        <w:rPr>
          <w:lang w:val="fr-FR"/>
        </w:rPr>
        <w:t>’</w:t>
      </w:r>
      <w:r>
        <w:rPr>
          <w:lang w:val="fr-FR"/>
        </w:rPr>
        <w:t>interaction virtuelle avec les parties prenantes grâce à l</w:t>
      </w:r>
      <w:r>
        <w:rPr>
          <w:lang w:val="fr-FR"/>
        </w:rPr>
        <w:t>’</w:t>
      </w:r>
      <w:r>
        <w:rPr>
          <w:lang w:val="fr-FR"/>
        </w:rPr>
        <w:t>utilisation d</w:t>
      </w:r>
      <w:r>
        <w:rPr>
          <w:lang w:val="fr-FR"/>
        </w:rPr>
        <w:t>’</w:t>
      </w:r>
      <w:r>
        <w:rPr>
          <w:lang w:val="fr-FR"/>
        </w:rPr>
        <w:t>outils en ligne</w:t>
      </w:r>
      <w:r w:rsidRPr="008720E7">
        <w:rPr>
          <w:rStyle w:val="Appelnotedebasdep"/>
        </w:rPr>
        <w:footnoteReference w:id="6"/>
      </w:r>
      <w:r>
        <w:rPr>
          <w:lang w:val="fr-FR"/>
        </w:rPr>
        <w:t>.</w:t>
      </w:r>
      <w:bookmarkStart w:id="0" w:name="_Hlk68681419"/>
      <w:bookmarkEnd w:id="0"/>
    </w:p>
    <w:p w14:paraId="610DEFF8" w14:textId="3DA667F2" w:rsidR="00A11C2F" w:rsidRPr="00D07BE4" w:rsidRDefault="00A11C2F" w:rsidP="00A11C2F">
      <w:pPr>
        <w:pStyle w:val="SingleTxtG"/>
        <w:ind w:firstLine="567"/>
        <w:rPr>
          <w:lang w:val="fr-FR"/>
        </w:rPr>
      </w:pPr>
      <w:r>
        <w:rPr>
          <w:lang w:val="fr-FR"/>
        </w:rPr>
        <w:t>Dans sa résolution 68/268, l</w:t>
      </w:r>
      <w:r>
        <w:rPr>
          <w:lang w:val="fr-FR"/>
        </w:rPr>
        <w:t>’</w:t>
      </w:r>
      <w:r>
        <w:rPr>
          <w:lang w:val="fr-FR"/>
        </w:rPr>
        <w:t>Assemblée générale a encouragé les organes conventionnels des droits de l</w:t>
      </w:r>
      <w:r>
        <w:rPr>
          <w:lang w:val="fr-FR"/>
        </w:rPr>
        <w:t>’</w:t>
      </w:r>
      <w:r>
        <w:rPr>
          <w:lang w:val="fr-FR"/>
        </w:rPr>
        <w:t>homme à multiplier les possibilités d</w:t>
      </w:r>
      <w:r>
        <w:rPr>
          <w:lang w:val="fr-FR"/>
        </w:rPr>
        <w:t>’</w:t>
      </w:r>
      <w:r>
        <w:rPr>
          <w:lang w:val="fr-FR"/>
        </w:rPr>
        <w:t>interaction avec les États parties à tous les traités relatifs aux droits de l</w:t>
      </w:r>
      <w:r>
        <w:rPr>
          <w:lang w:val="fr-FR"/>
        </w:rPr>
        <w:t>’</w:t>
      </w:r>
      <w:r>
        <w:rPr>
          <w:lang w:val="fr-FR"/>
        </w:rPr>
        <w:t>homme, au cours des réunions annuelles des présidents des organes conventionnels, en vue d</w:t>
      </w:r>
      <w:r>
        <w:rPr>
          <w:lang w:val="fr-FR"/>
        </w:rPr>
        <w:t>’</w:t>
      </w:r>
      <w:r>
        <w:rPr>
          <w:lang w:val="fr-FR"/>
        </w:rPr>
        <w:t>instaurer un cadre de dialogue interactif ouvert et formel.</w:t>
      </w:r>
    </w:p>
    <w:p w14:paraId="6EBBF846" w14:textId="7A1D953C" w:rsidR="00A11C2F" w:rsidRPr="00D07BE4" w:rsidRDefault="00A11C2F" w:rsidP="00A11C2F">
      <w:pPr>
        <w:pStyle w:val="H23G"/>
        <w:rPr>
          <w:lang w:val="fr-FR"/>
        </w:rPr>
      </w:pPr>
      <w:r>
        <w:rPr>
          <w:lang w:val="fr-FR"/>
        </w:rPr>
        <w:tab/>
        <w:t>4.</w:t>
      </w:r>
      <w:r>
        <w:rPr>
          <w:lang w:val="fr-FR"/>
        </w:rPr>
        <w:tab/>
      </w:r>
      <w:r>
        <w:rPr>
          <w:bCs/>
          <w:lang w:val="fr-FR"/>
        </w:rPr>
        <w:t xml:space="preserve">Progrès accomplis dans </w:t>
      </w:r>
      <w:r w:rsidRPr="00A11C2F">
        <w:rPr>
          <w:lang w:val="fr-FR"/>
        </w:rPr>
        <w:t>l</w:t>
      </w:r>
      <w:r>
        <w:rPr>
          <w:lang w:val="fr-FR"/>
        </w:rPr>
        <w:t>’</w:t>
      </w:r>
      <w:r w:rsidRPr="00A11C2F">
        <w:rPr>
          <w:lang w:val="fr-FR"/>
        </w:rPr>
        <w:t>harmonisation</w:t>
      </w:r>
      <w:r>
        <w:rPr>
          <w:bCs/>
          <w:lang w:val="fr-FR"/>
        </w:rPr>
        <w:t xml:space="preserve"> des méthodes de travail </w:t>
      </w:r>
      <w:r w:rsidR="00C97E83">
        <w:rPr>
          <w:bCs/>
          <w:lang w:val="fr-FR"/>
        </w:rPr>
        <w:br/>
      </w:r>
      <w:r>
        <w:rPr>
          <w:bCs/>
          <w:lang w:val="fr-FR"/>
        </w:rPr>
        <w:t>et des pratiques des organes conventionnels</w:t>
      </w:r>
    </w:p>
    <w:p w14:paraId="3C3086F2" w14:textId="77777777" w:rsidR="00A11C2F" w:rsidRPr="00D07BE4" w:rsidRDefault="00A11C2F" w:rsidP="00A11C2F">
      <w:pPr>
        <w:pStyle w:val="SingleTxtG"/>
        <w:ind w:firstLine="567"/>
        <w:rPr>
          <w:lang w:val="fr-FR"/>
        </w:rPr>
      </w:pPr>
      <w:r>
        <w:rPr>
          <w:lang w:val="fr-FR"/>
        </w:rPr>
        <w:t>Le secrétariat présentera des informations sur le respect par les États parties de leurs obligations en matière de soumission de rapports, pour examen par les présidents</w:t>
      </w:r>
      <w:r w:rsidRPr="008720E7">
        <w:rPr>
          <w:rStyle w:val="Appelnotedebasdep"/>
        </w:rPr>
        <w:footnoteReference w:id="7"/>
      </w:r>
      <w:r>
        <w:rPr>
          <w:lang w:val="fr-FR"/>
        </w:rPr>
        <w:t>.</w:t>
      </w:r>
    </w:p>
    <w:p w14:paraId="2CB5D2F3" w14:textId="6633B95B" w:rsidR="00A11C2F" w:rsidRPr="00D07BE4" w:rsidRDefault="00A11C2F" w:rsidP="00A11C2F">
      <w:pPr>
        <w:pStyle w:val="SingleTxtG"/>
        <w:ind w:firstLine="567"/>
        <w:rPr>
          <w:lang w:val="fr-FR"/>
        </w:rPr>
      </w:pPr>
      <w:r>
        <w:rPr>
          <w:lang w:val="fr-FR"/>
        </w:rPr>
        <w:t>Les présidents examineront les recommandations des cofacilitateurs de l</w:t>
      </w:r>
      <w:r>
        <w:rPr>
          <w:lang w:val="fr-FR"/>
        </w:rPr>
        <w:t>’</w:t>
      </w:r>
      <w:r>
        <w:rPr>
          <w:lang w:val="fr-FR"/>
        </w:rPr>
        <w:t>examen des organes conventionnels selon lesquelles : les présidents de ces organes devraient jouer un rôle central dans ce travail d</w:t>
      </w:r>
      <w:r>
        <w:rPr>
          <w:lang w:val="fr-FR"/>
        </w:rPr>
        <w:t>’</w:t>
      </w:r>
      <w:r>
        <w:rPr>
          <w:lang w:val="fr-FR"/>
        </w:rPr>
        <w:t>harmonisation, notamment en poursuivant les initiatives de renforcement de la coordination et de la planification et de mise en commun des meilleures pratiques ; les présidents devraient se réunir plus fréquemment, y compris en ligne, et suivre l</w:t>
      </w:r>
      <w:r>
        <w:rPr>
          <w:lang w:val="fr-FR"/>
        </w:rPr>
        <w:t>’</w:t>
      </w:r>
      <w:r>
        <w:rPr>
          <w:lang w:val="fr-FR"/>
        </w:rPr>
        <w:t>application de leurs conclusions concertées sur les méthodes de travail</w:t>
      </w:r>
      <w:r w:rsidRPr="008720E7">
        <w:rPr>
          <w:rStyle w:val="Appelnotedebasdep"/>
        </w:rPr>
        <w:footnoteReference w:id="8"/>
      </w:r>
      <w:r>
        <w:rPr>
          <w:lang w:val="fr-FR"/>
        </w:rPr>
        <w:t>.</w:t>
      </w:r>
    </w:p>
    <w:p w14:paraId="566A705E" w14:textId="50D76ED2" w:rsidR="00A11C2F" w:rsidRPr="00D07BE4" w:rsidRDefault="00A11C2F" w:rsidP="00A11C2F">
      <w:pPr>
        <w:pStyle w:val="SingleTxtG"/>
        <w:ind w:firstLine="567"/>
        <w:rPr>
          <w:lang w:val="fr-FR"/>
        </w:rPr>
      </w:pPr>
      <w:r>
        <w:rPr>
          <w:lang w:val="fr-FR"/>
        </w:rPr>
        <w:t>Les présidents examineront une note du secrétariat intitulée « Aide-mémoire sur le suivi de l</w:t>
      </w:r>
      <w:r>
        <w:rPr>
          <w:lang w:val="fr-FR"/>
        </w:rPr>
        <w:t>’</w:t>
      </w:r>
      <w:r>
        <w:rPr>
          <w:lang w:val="fr-FR"/>
        </w:rPr>
        <w:t>avancement de la mise en application des décisions et recommandations des présidents des organes conventionnels »</w:t>
      </w:r>
      <w:r w:rsidRPr="008720E7">
        <w:rPr>
          <w:rStyle w:val="Appelnotedebasdep"/>
        </w:rPr>
        <w:footnoteReference w:id="9"/>
      </w:r>
      <w:r>
        <w:rPr>
          <w:lang w:val="fr-FR"/>
        </w:rPr>
        <w:t>. Cette note a une valeur indicative et n</w:t>
      </w:r>
      <w:r>
        <w:rPr>
          <w:lang w:val="fr-FR"/>
        </w:rPr>
        <w:t>’</w:t>
      </w:r>
      <w:r>
        <w:rPr>
          <w:lang w:val="fr-FR"/>
        </w:rPr>
        <w:t>est pas exhaustive ; elle sera mise à jour aussi souvent que nécessaire pour tenir compte d</w:t>
      </w:r>
      <w:r>
        <w:rPr>
          <w:lang w:val="fr-FR"/>
        </w:rPr>
        <w:t>’</w:t>
      </w:r>
      <w:r>
        <w:rPr>
          <w:lang w:val="fr-FR"/>
        </w:rPr>
        <w:t>éléments nouveaux. Elle contient une liste des décisions prises par les présidents, des propositions antérieures, des bonnes pratiques et des questions demeurant en suspens sur les sujets suivants</w:t>
      </w:r>
      <w:r>
        <w:rPr>
          <w:lang w:val="fr-FR"/>
        </w:rPr>
        <w:t> </w:t>
      </w:r>
      <w:r>
        <w:rPr>
          <w:lang w:val="fr-FR"/>
        </w:rPr>
        <w:t>: la procédure simplifiée de présentation des rapports, les travaux intersessions, les réparations, les enquêtes et les visites de pays, les observations générales et les représailles.</w:t>
      </w:r>
    </w:p>
    <w:p w14:paraId="4C65B9EA" w14:textId="33BB3D7A" w:rsidR="00A11C2F" w:rsidRPr="00D07BE4" w:rsidRDefault="00A11C2F" w:rsidP="00A11C2F">
      <w:pPr>
        <w:pStyle w:val="SingleTxtG"/>
        <w:ind w:firstLine="567"/>
        <w:rPr>
          <w:lang w:val="fr-FR"/>
        </w:rPr>
      </w:pPr>
      <w:r>
        <w:rPr>
          <w:lang w:val="fr-FR"/>
        </w:rPr>
        <w:t>Les présidents examineront également une note du secrétariat sur les progrès accomplis dans l</w:t>
      </w:r>
      <w:r>
        <w:rPr>
          <w:lang w:val="fr-FR"/>
        </w:rPr>
        <w:t>’</w:t>
      </w:r>
      <w:r>
        <w:rPr>
          <w:lang w:val="fr-FR"/>
        </w:rPr>
        <w:t>harmonisation des méthodes de travail et des pratiques des organes conventionnels</w:t>
      </w:r>
      <w:r w:rsidRPr="008720E7">
        <w:rPr>
          <w:rStyle w:val="Appelnotedebasdep"/>
        </w:rPr>
        <w:footnoteReference w:id="10"/>
      </w:r>
      <w:r>
        <w:rPr>
          <w:lang w:val="fr-FR"/>
        </w:rPr>
        <w:t>, ainsi que trois documents de séance décrivant les méthodes de travail et les pratiques des organes conventionnels</w:t>
      </w:r>
      <w:r w:rsidRPr="008720E7">
        <w:rPr>
          <w:rStyle w:val="Appelnotedebasdep"/>
        </w:rPr>
        <w:footnoteReference w:id="11"/>
      </w:r>
      <w:r>
        <w:rPr>
          <w:lang w:val="fr-FR"/>
        </w:rPr>
        <w:t xml:space="preserve"> </w:t>
      </w:r>
      <w:r w:rsidR="00A47094">
        <w:rPr>
          <w:lang w:val="fr-FR"/>
        </w:rPr>
        <w:t>−</w:t>
      </w:r>
      <w:r>
        <w:rPr>
          <w:lang w:val="fr-FR"/>
        </w:rPr>
        <w:t xml:space="preserve"> l</w:t>
      </w:r>
      <w:r>
        <w:rPr>
          <w:lang w:val="fr-FR"/>
        </w:rPr>
        <w:t>’</w:t>
      </w:r>
      <w:r>
        <w:rPr>
          <w:lang w:val="fr-FR"/>
        </w:rPr>
        <w:t>un sur la coordination des questions thématiques dans le cadre de la procédure d</w:t>
      </w:r>
      <w:r>
        <w:rPr>
          <w:lang w:val="fr-FR"/>
        </w:rPr>
        <w:t>’</w:t>
      </w:r>
      <w:r>
        <w:rPr>
          <w:lang w:val="fr-FR"/>
        </w:rPr>
        <w:t>établissement des rapports, l</w:t>
      </w:r>
      <w:r>
        <w:rPr>
          <w:lang w:val="fr-FR"/>
        </w:rPr>
        <w:t>’</w:t>
      </w:r>
      <w:r>
        <w:rPr>
          <w:lang w:val="fr-FR"/>
        </w:rPr>
        <w:t xml:space="preserve">autre sur les recours et les mesures de réparation dans la jurisprudence des organes conventionnels et le dernier sur les enquêtes et les visites de pays </w:t>
      </w:r>
      <w:r w:rsidR="00A47094">
        <w:rPr>
          <w:lang w:val="fr-FR"/>
        </w:rPr>
        <w:t>−</w:t>
      </w:r>
      <w:r>
        <w:rPr>
          <w:lang w:val="fr-FR"/>
        </w:rPr>
        <w:t xml:space="preserve"> et recensant les progrès réalisés en matière d</w:t>
      </w:r>
      <w:r>
        <w:rPr>
          <w:lang w:val="fr-FR"/>
        </w:rPr>
        <w:t>’</w:t>
      </w:r>
      <w:r>
        <w:rPr>
          <w:lang w:val="fr-FR"/>
        </w:rPr>
        <w:t>harmonisation des méthodes de travail, soulignant les bonnes pratiques et contenant des propositions sur les moyens de renforcer la cohérence et l</w:t>
      </w:r>
      <w:r>
        <w:rPr>
          <w:lang w:val="fr-FR"/>
        </w:rPr>
        <w:t>’</w:t>
      </w:r>
      <w:r>
        <w:rPr>
          <w:lang w:val="fr-FR"/>
        </w:rPr>
        <w:t>homogénéité au sein de l</w:t>
      </w:r>
      <w:r>
        <w:rPr>
          <w:lang w:val="fr-FR"/>
        </w:rPr>
        <w:t>’</w:t>
      </w:r>
      <w:r>
        <w:rPr>
          <w:lang w:val="fr-FR"/>
        </w:rPr>
        <w:t>ensemble du système des organes conventionnels.</w:t>
      </w:r>
    </w:p>
    <w:p w14:paraId="759A11D5" w14:textId="695AB950" w:rsidR="00A11C2F" w:rsidRPr="00D07BE4" w:rsidRDefault="00A11C2F" w:rsidP="00A11C2F">
      <w:pPr>
        <w:pStyle w:val="H23G"/>
        <w:rPr>
          <w:lang w:val="fr-FR"/>
        </w:rPr>
      </w:pPr>
      <w:r>
        <w:rPr>
          <w:lang w:val="fr-FR"/>
        </w:rPr>
        <w:tab/>
        <w:t>5.</w:t>
      </w:r>
      <w:r>
        <w:rPr>
          <w:lang w:val="fr-FR"/>
        </w:rPr>
        <w:tab/>
      </w:r>
      <w:r>
        <w:rPr>
          <w:bCs/>
          <w:lang w:val="fr-FR"/>
        </w:rPr>
        <w:t>Application par les organes conventionnels des Principes directeurs relatifs à la lutte contre l</w:t>
      </w:r>
      <w:r>
        <w:rPr>
          <w:bCs/>
          <w:lang w:val="fr-FR"/>
        </w:rPr>
        <w:t>’</w:t>
      </w:r>
      <w:r>
        <w:rPr>
          <w:bCs/>
          <w:lang w:val="fr-FR"/>
        </w:rPr>
        <w:t>intimidation ou les représailles (Principes directeurs de San José), une</w:t>
      </w:r>
      <w:r>
        <w:rPr>
          <w:bCs/>
          <w:lang w:val="fr-FR"/>
        </w:rPr>
        <w:t> </w:t>
      </w:r>
      <w:r>
        <w:rPr>
          <w:bCs/>
          <w:lang w:val="fr-FR"/>
        </w:rPr>
        <w:t xml:space="preserve">attention particulière étant accordée aux cas de représailles </w:t>
      </w:r>
      <w:r>
        <w:rPr>
          <w:bCs/>
          <w:lang w:val="fr-FR"/>
        </w:rPr>
        <w:br/>
      </w:r>
      <w:r>
        <w:rPr>
          <w:bCs/>
          <w:lang w:val="fr-FR"/>
        </w:rPr>
        <w:t>et aux tendances en la matière</w:t>
      </w:r>
    </w:p>
    <w:p w14:paraId="32AB11B0" w14:textId="31213D32" w:rsidR="00A11C2F" w:rsidRPr="00D07BE4" w:rsidRDefault="00A11C2F" w:rsidP="00A11C2F">
      <w:pPr>
        <w:pStyle w:val="SingleTxtG"/>
        <w:ind w:firstLine="567"/>
        <w:rPr>
          <w:lang w:val="fr-FR"/>
        </w:rPr>
      </w:pPr>
      <w:r>
        <w:rPr>
          <w:lang w:val="fr-FR"/>
        </w:rPr>
        <w:t>Les présidents examineront une note sur les pratiques des organes conventionnels en matière de lutte contre l</w:t>
      </w:r>
      <w:r>
        <w:rPr>
          <w:lang w:val="fr-FR"/>
        </w:rPr>
        <w:t>’</w:t>
      </w:r>
      <w:r>
        <w:rPr>
          <w:lang w:val="fr-FR"/>
        </w:rPr>
        <w:t>intimidation et les représailles et des questions appelant des mesures complémentaires de leur part</w:t>
      </w:r>
      <w:r w:rsidRPr="008720E7">
        <w:rPr>
          <w:rStyle w:val="Appelnotedebasdep"/>
        </w:rPr>
        <w:footnoteReference w:id="12"/>
      </w:r>
      <w:r>
        <w:rPr>
          <w:lang w:val="fr-FR"/>
        </w:rPr>
        <w:t>, qui contient un résumé des cas de représailles et des tendances en la matière et qui a été établie par le Secrétariat conformément à la demande qu</w:t>
      </w:r>
      <w:r>
        <w:rPr>
          <w:lang w:val="fr-FR"/>
        </w:rPr>
        <w:t>’</w:t>
      </w:r>
      <w:r>
        <w:rPr>
          <w:lang w:val="fr-FR"/>
        </w:rPr>
        <w:t>ils ont formulée à leur trente et unième réunion</w:t>
      </w:r>
      <w:r w:rsidRPr="008720E7">
        <w:rPr>
          <w:rStyle w:val="Appelnotedebasdep"/>
        </w:rPr>
        <w:footnoteReference w:id="13"/>
      </w:r>
      <w:r>
        <w:rPr>
          <w:lang w:val="fr-FR"/>
        </w:rPr>
        <w:t>.</w:t>
      </w:r>
    </w:p>
    <w:p w14:paraId="67D269C6" w14:textId="33644166" w:rsidR="00A11C2F" w:rsidRPr="00D07BE4" w:rsidRDefault="00A11C2F" w:rsidP="00A11C2F">
      <w:pPr>
        <w:pStyle w:val="H23G"/>
        <w:rPr>
          <w:lang w:val="fr-FR"/>
        </w:rPr>
      </w:pPr>
      <w:r>
        <w:rPr>
          <w:lang w:val="fr-FR"/>
        </w:rPr>
        <w:tab/>
        <w:t>6.</w:t>
      </w:r>
      <w:r>
        <w:rPr>
          <w:lang w:val="fr-FR"/>
        </w:rPr>
        <w:tab/>
      </w:r>
      <w:r>
        <w:rPr>
          <w:bCs/>
          <w:lang w:val="fr-FR"/>
        </w:rPr>
        <w:t>Application par les organes conventionnels des Principes directeurs relatifs à</w:t>
      </w:r>
      <w:r>
        <w:rPr>
          <w:bCs/>
          <w:lang w:val="fr-FR"/>
        </w:rPr>
        <w:t> </w:t>
      </w:r>
      <w:r>
        <w:rPr>
          <w:bCs/>
          <w:lang w:val="fr-FR"/>
        </w:rPr>
        <w:t>l</w:t>
      </w:r>
      <w:r>
        <w:rPr>
          <w:bCs/>
          <w:lang w:val="fr-FR"/>
        </w:rPr>
        <w:t>’</w:t>
      </w:r>
      <w:r>
        <w:rPr>
          <w:bCs/>
          <w:lang w:val="fr-FR"/>
        </w:rPr>
        <w:t>indépendance et à l</w:t>
      </w:r>
      <w:r>
        <w:rPr>
          <w:bCs/>
          <w:lang w:val="fr-FR"/>
        </w:rPr>
        <w:t>’</w:t>
      </w:r>
      <w:r>
        <w:rPr>
          <w:bCs/>
          <w:lang w:val="fr-FR"/>
        </w:rPr>
        <w:t xml:space="preserve">impartialité des membres des organes créés </w:t>
      </w:r>
      <w:r>
        <w:rPr>
          <w:bCs/>
          <w:lang w:val="fr-FR"/>
        </w:rPr>
        <w:br/>
      </w:r>
      <w:r>
        <w:rPr>
          <w:bCs/>
          <w:lang w:val="fr-FR"/>
        </w:rPr>
        <w:t>en vertu d</w:t>
      </w:r>
      <w:r>
        <w:rPr>
          <w:bCs/>
          <w:lang w:val="fr-FR"/>
        </w:rPr>
        <w:t>’</w:t>
      </w:r>
      <w:r>
        <w:rPr>
          <w:bCs/>
          <w:lang w:val="fr-FR"/>
        </w:rPr>
        <w:t>instruments relatifs aux droits de l</w:t>
      </w:r>
      <w:r>
        <w:rPr>
          <w:bCs/>
          <w:lang w:val="fr-FR"/>
        </w:rPr>
        <w:t>’</w:t>
      </w:r>
      <w:r>
        <w:rPr>
          <w:bCs/>
          <w:lang w:val="fr-FR"/>
        </w:rPr>
        <w:t xml:space="preserve">homme </w:t>
      </w:r>
      <w:r>
        <w:rPr>
          <w:bCs/>
          <w:lang w:val="fr-FR"/>
        </w:rPr>
        <w:br/>
      </w:r>
      <w:r>
        <w:rPr>
          <w:bCs/>
          <w:lang w:val="fr-FR"/>
        </w:rPr>
        <w:t>(Principes directeurs d</w:t>
      </w:r>
      <w:r>
        <w:rPr>
          <w:bCs/>
          <w:lang w:val="fr-FR"/>
        </w:rPr>
        <w:t>’</w:t>
      </w:r>
      <w:r>
        <w:rPr>
          <w:bCs/>
          <w:lang w:val="fr-FR"/>
        </w:rPr>
        <w:t>Addis-Abeba)</w:t>
      </w:r>
    </w:p>
    <w:p w14:paraId="0E30ACCC" w14:textId="0DEB639C" w:rsidR="00A11C2F" w:rsidRPr="00D07BE4" w:rsidRDefault="00A11C2F" w:rsidP="00A11C2F">
      <w:pPr>
        <w:pStyle w:val="SingleTxtG"/>
        <w:ind w:firstLine="567"/>
        <w:rPr>
          <w:lang w:val="fr-FR"/>
        </w:rPr>
      </w:pPr>
      <w:r>
        <w:rPr>
          <w:lang w:val="fr-FR"/>
        </w:rPr>
        <w:t>À leur vingt-quatrième réunion, en juin 2012, les présidents ont approuvé les Principes directeurs relatifs à l</w:t>
      </w:r>
      <w:r>
        <w:rPr>
          <w:lang w:val="fr-FR"/>
        </w:rPr>
        <w:t>’</w:t>
      </w:r>
      <w:r>
        <w:rPr>
          <w:lang w:val="fr-FR"/>
        </w:rPr>
        <w:t>indépendance et à l</w:t>
      </w:r>
      <w:r>
        <w:rPr>
          <w:lang w:val="fr-FR"/>
        </w:rPr>
        <w:t>’</w:t>
      </w:r>
      <w:r>
        <w:rPr>
          <w:lang w:val="fr-FR"/>
        </w:rPr>
        <w:t>impartialité des membres des organes créés en vertu d</w:t>
      </w:r>
      <w:r>
        <w:rPr>
          <w:lang w:val="fr-FR"/>
        </w:rPr>
        <w:t>’</w:t>
      </w:r>
      <w:r>
        <w:rPr>
          <w:lang w:val="fr-FR"/>
        </w:rPr>
        <w:t>instruments relatifs aux droits de l</w:t>
      </w:r>
      <w:r>
        <w:rPr>
          <w:lang w:val="fr-FR"/>
        </w:rPr>
        <w:t>’</w:t>
      </w:r>
      <w:r>
        <w:rPr>
          <w:lang w:val="fr-FR"/>
        </w:rPr>
        <w:t>homme (Principes directeurs d</w:t>
      </w:r>
      <w:r>
        <w:rPr>
          <w:lang w:val="fr-FR"/>
        </w:rPr>
        <w:t>’</w:t>
      </w:r>
      <w:r>
        <w:rPr>
          <w:lang w:val="fr-FR"/>
        </w:rPr>
        <w:t>Addis-Abeba) et vivement recommandé que chacun des organes conventionnels les adopte promptement.</w:t>
      </w:r>
    </w:p>
    <w:p w14:paraId="7C61B5BE" w14:textId="30ADFFBB" w:rsidR="00A11C2F" w:rsidRPr="00D07BE4" w:rsidRDefault="00A11C2F" w:rsidP="00A11C2F">
      <w:pPr>
        <w:pStyle w:val="SingleTxtG"/>
        <w:ind w:firstLine="567"/>
        <w:rPr>
          <w:lang w:val="fr-FR"/>
        </w:rPr>
      </w:pPr>
      <w:r>
        <w:rPr>
          <w:lang w:val="fr-FR"/>
        </w:rPr>
        <w:t>Aux paragraphes 36 et 37 de sa résolution 68/268, l</w:t>
      </w:r>
      <w:r>
        <w:rPr>
          <w:lang w:val="fr-FR"/>
        </w:rPr>
        <w:t>’</w:t>
      </w:r>
      <w:r>
        <w:rPr>
          <w:lang w:val="fr-FR"/>
        </w:rPr>
        <w:t>Assemblée générale a encouragé les organes conventionnels à appliquer les Principes directeurs d</w:t>
      </w:r>
      <w:r>
        <w:rPr>
          <w:lang w:val="fr-FR"/>
        </w:rPr>
        <w:t>’</w:t>
      </w:r>
      <w:r>
        <w:rPr>
          <w:lang w:val="fr-FR"/>
        </w:rPr>
        <w:t>Addis-Abeba conformément à leur mandat et a invité les présidents à tenir les États parties informés de la mise en œuvre de ces principes.</w:t>
      </w:r>
    </w:p>
    <w:p w14:paraId="4B863D99" w14:textId="77777777" w:rsidR="00A11C2F" w:rsidRPr="00D07BE4" w:rsidRDefault="00A11C2F" w:rsidP="00A11C2F">
      <w:pPr>
        <w:pStyle w:val="SingleTxtG"/>
        <w:ind w:firstLine="567"/>
        <w:rPr>
          <w:lang w:val="fr-FR"/>
        </w:rPr>
      </w:pPr>
      <w:r>
        <w:rPr>
          <w:lang w:val="fr-FR"/>
        </w:rPr>
        <w:t>Les présidents examineront les principaux obstacles à lever et les mesures à prendre pour rendre les Principes directeurs opérationnels dans tous les organes conventionnels.</w:t>
      </w:r>
    </w:p>
    <w:p w14:paraId="77F5EEEB" w14:textId="313249D0" w:rsidR="00A11C2F" w:rsidRPr="00D07BE4" w:rsidRDefault="00A11C2F" w:rsidP="00A11C2F">
      <w:pPr>
        <w:pStyle w:val="H23G"/>
        <w:rPr>
          <w:lang w:val="fr-FR"/>
        </w:rPr>
      </w:pPr>
      <w:r>
        <w:rPr>
          <w:lang w:val="fr-FR"/>
        </w:rPr>
        <w:tab/>
      </w:r>
      <w:r>
        <w:rPr>
          <w:lang w:val="fr-FR"/>
        </w:rPr>
        <w:t>7.</w:t>
      </w:r>
      <w:r>
        <w:rPr>
          <w:lang w:val="fr-FR"/>
        </w:rPr>
        <w:tab/>
      </w:r>
      <w:r>
        <w:rPr>
          <w:bCs/>
          <w:lang w:val="fr-FR"/>
        </w:rPr>
        <w:t xml:space="preserve">Modalités et organisation </w:t>
      </w:r>
      <w:r w:rsidRPr="00A11C2F">
        <w:rPr>
          <w:lang w:val="fr-FR"/>
        </w:rPr>
        <w:t>des</w:t>
      </w:r>
      <w:r>
        <w:rPr>
          <w:bCs/>
          <w:lang w:val="fr-FR"/>
        </w:rPr>
        <w:t xml:space="preserve"> futures réunions des présidents </w:t>
      </w:r>
      <w:r w:rsidR="00A47094">
        <w:rPr>
          <w:bCs/>
          <w:lang w:val="fr-FR"/>
        </w:rPr>
        <w:br/>
      </w:r>
      <w:r>
        <w:rPr>
          <w:bCs/>
          <w:lang w:val="fr-FR"/>
        </w:rPr>
        <w:t>et des autres activités intersessions</w:t>
      </w:r>
    </w:p>
    <w:p w14:paraId="30DBB37E" w14:textId="10FF81D6" w:rsidR="00A11C2F" w:rsidRPr="00D07BE4" w:rsidRDefault="00A11C2F" w:rsidP="00A11C2F">
      <w:pPr>
        <w:pStyle w:val="SingleTxtG"/>
        <w:ind w:firstLine="567"/>
        <w:rPr>
          <w:lang w:val="fr-FR"/>
        </w:rPr>
      </w:pPr>
      <w:r>
        <w:rPr>
          <w:lang w:val="fr-FR"/>
        </w:rPr>
        <w:t>Dans le but d</w:t>
      </w:r>
      <w:r>
        <w:rPr>
          <w:lang w:val="fr-FR"/>
        </w:rPr>
        <w:t>’</w:t>
      </w:r>
      <w:r>
        <w:rPr>
          <w:lang w:val="fr-FR"/>
        </w:rPr>
        <w:t>améliorer encore l</w:t>
      </w:r>
      <w:r>
        <w:rPr>
          <w:lang w:val="fr-FR"/>
        </w:rPr>
        <w:t>’</w:t>
      </w:r>
      <w:r>
        <w:rPr>
          <w:lang w:val="fr-FR"/>
        </w:rPr>
        <w:t>efficience et l</w:t>
      </w:r>
      <w:r>
        <w:rPr>
          <w:lang w:val="fr-FR"/>
        </w:rPr>
        <w:t>’</w:t>
      </w:r>
      <w:r>
        <w:rPr>
          <w:lang w:val="fr-FR"/>
        </w:rPr>
        <w:t>efficacité de leur réunion annuelle, les présidents examineront les modalités de fonctionnement et l</w:t>
      </w:r>
      <w:r>
        <w:rPr>
          <w:lang w:val="fr-FR"/>
        </w:rPr>
        <w:t>’</w:t>
      </w:r>
      <w:r>
        <w:rPr>
          <w:lang w:val="fr-FR"/>
        </w:rPr>
        <w:t>organisation de leurs réunions et de leurs activités intersessions.</w:t>
      </w:r>
    </w:p>
    <w:p w14:paraId="7781C801" w14:textId="362B2336" w:rsidR="00A11C2F" w:rsidRPr="00D07BE4" w:rsidRDefault="00A11C2F" w:rsidP="00A11C2F">
      <w:pPr>
        <w:pStyle w:val="H23G"/>
        <w:rPr>
          <w:lang w:val="fr-FR"/>
        </w:rPr>
      </w:pPr>
      <w:r>
        <w:rPr>
          <w:lang w:val="fr-FR"/>
        </w:rPr>
        <w:tab/>
        <w:t>8.</w:t>
      </w:r>
      <w:r>
        <w:rPr>
          <w:lang w:val="fr-FR"/>
        </w:rPr>
        <w:tab/>
      </w:r>
      <w:r>
        <w:rPr>
          <w:bCs/>
          <w:lang w:val="fr-FR"/>
        </w:rPr>
        <w:t xml:space="preserve">Questions </w:t>
      </w:r>
      <w:r w:rsidRPr="00A11C2F">
        <w:rPr>
          <w:lang w:val="fr-FR"/>
        </w:rPr>
        <w:t>diverses</w:t>
      </w:r>
    </w:p>
    <w:p w14:paraId="48E2C965" w14:textId="1B570B28" w:rsidR="00A11C2F" w:rsidRPr="00D07BE4" w:rsidRDefault="00A11C2F" w:rsidP="00A11C2F">
      <w:pPr>
        <w:pStyle w:val="SingleTxtG"/>
        <w:ind w:firstLine="567"/>
        <w:rPr>
          <w:lang w:val="fr-FR"/>
        </w:rPr>
      </w:pPr>
      <w:r>
        <w:rPr>
          <w:lang w:val="fr-FR"/>
        </w:rPr>
        <w:t>Les présidents examineront, selon qu</w:t>
      </w:r>
      <w:r>
        <w:rPr>
          <w:lang w:val="fr-FR"/>
        </w:rPr>
        <w:t>’</w:t>
      </w:r>
      <w:r>
        <w:rPr>
          <w:lang w:val="fr-FR"/>
        </w:rPr>
        <w:t>il conviendra, toute autre question intéressant les travaux des organes conventionnels des droits de l</w:t>
      </w:r>
      <w:r>
        <w:rPr>
          <w:lang w:val="fr-FR"/>
        </w:rPr>
        <w:t>’</w:t>
      </w:r>
      <w:r>
        <w:rPr>
          <w:lang w:val="fr-FR"/>
        </w:rPr>
        <w:t>homme.</w:t>
      </w:r>
    </w:p>
    <w:p w14:paraId="3F550B6C" w14:textId="77777777" w:rsidR="00A11C2F" w:rsidRPr="00D07BE4" w:rsidRDefault="00A11C2F" w:rsidP="00A11C2F">
      <w:pPr>
        <w:pStyle w:val="H23G"/>
        <w:rPr>
          <w:lang w:val="fr-FR"/>
        </w:rPr>
      </w:pPr>
      <w:r>
        <w:rPr>
          <w:lang w:val="fr-FR"/>
        </w:rPr>
        <w:tab/>
        <w:t>9.</w:t>
      </w:r>
      <w:r>
        <w:rPr>
          <w:lang w:val="fr-FR"/>
        </w:rPr>
        <w:tab/>
      </w:r>
      <w:r>
        <w:rPr>
          <w:bCs/>
          <w:lang w:val="fr-FR"/>
        </w:rPr>
        <w:t>Adoption du rapport de la trente-quatrième réunion</w:t>
      </w:r>
    </w:p>
    <w:p w14:paraId="5E5223B8" w14:textId="109E5C7B" w:rsidR="00446FE5" w:rsidRDefault="00A11C2F" w:rsidP="00A11C2F">
      <w:pPr>
        <w:pStyle w:val="SingleTxtG"/>
        <w:ind w:firstLine="567"/>
        <w:rPr>
          <w:lang w:val="fr-FR"/>
        </w:rPr>
      </w:pPr>
      <w:r>
        <w:rPr>
          <w:lang w:val="fr-FR"/>
        </w:rPr>
        <w:t xml:space="preserve">Les présidents adopteront </w:t>
      </w:r>
      <w:r w:rsidRPr="00A47094">
        <w:rPr>
          <w:i/>
          <w:iCs/>
          <w:lang w:val="fr-FR"/>
        </w:rPr>
        <w:t>ad referendum</w:t>
      </w:r>
      <w:r>
        <w:rPr>
          <w:lang w:val="fr-FR"/>
        </w:rPr>
        <w:t xml:space="preserve"> le projet de rapport sur la trente-quatrième réunion, dans lequel figureront le projet d</w:t>
      </w:r>
      <w:r>
        <w:rPr>
          <w:lang w:val="fr-FR"/>
        </w:rPr>
        <w:t>’</w:t>
      </w:r>
      <w:r>
        <w:rPr>
          <w:lang w:val="fr-FR"/>
        </w:rPr>
        <w:t>ordre du jour de la trente-cinquième réunion et, selon qu</w:t>
      </w:r>
      <w:r>
        <w:rPr>
          <w:lang w:val="fr-FR"/>
        </w:rPr>
        <w:t>’</w:t>
      </w:r>
      <w:r>
        <w:rPr>
          <w:lang w:val="fr-FR"/>
        </w:rPr>
        <w:t>il conviendra, les recommandations à présenter à la soixante-dix-septième session de l</w:t>
      </w:r>
      <w:r>
        <w:rPr>
          <w:lang w:val="fr-FR"/>
        </w:rPr>
        <w:t>’</w:t>
      </w:r>
      <w:r>
        <w:rPr>
          <w:lang w:val="fr-FR"/>
        </w:rPr>
        <w:t>Assemblée générale.</w:t>
      </w:r>
    </w:p>
    <w:p w14:paraId="4539A64D" w14:textId="4FADB28F" w:rsidR="00A11C2F" w:rsidRPr="00A11C2F" w:rsidRDefault="00A11C2F" w:rsidP="00A11C2F">
      <w:pPr>
        <w:pStyle w:val="SingleTxtG"/>
        <w:spacing w:before="240" w:after="0"/>
        <w:jc w:val="center"/>
        <w:rPr>
          <w:u w:val="single"/>
        </w:rPr>
      </w:pPr>
      <w:r>
        <w:rPr>
          <w:u w:val="single"/>
        </w:rPr>
        <w:tab/>
      </w:r>
      <w:r>
        <w:rPr>
          <w:u w:val="single"/>
        </w:rPr>
        <w:tab/>
      </w:r>
      <w:r>
        <w:rPr>
          <w:u w:val="single"/>
        </w:rPr>
        <w:tab/>
      </w:r>
    </w:p>
    <w:sectPr w:rsidR="00A11C2F" w:rsidRPr="00A11C2F" w:rsidSect="00A11C2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DBDCF8" w14:textId="77777777" w:rsidR="003B7870" w:rsidRDefault="003B7870" w:rsidP="00F95C08">
      <w:pPr>
        <w:spacing w:line="240" w:lineRule="auto"/>
      </w:pPr>
    </w:p>
  </w:endnote>
  <w:endnote w:type="continuationSeparator" w:id="0">
    <w:p w14:paraId="26FE5149" w14:textId="77777777" w:rsidR="003B7870" w:rsidRPr="00AC3823" w:rsidRDefault="003B7870" w:rsidP="00AC3823">
      <w:pPr>
        <w:pStyle w:val="Pieddepage"/>
      </w:pPr>
    </w:p>
  </w:endnote>
  <w:endnote w:type="continuationNotice" w:id="1">
    <w:p w14:paraId="48B71BC9" w14:textId="77777777" w:rsidR="003B7870" w:rsidRDefault="003B78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27587D" w14:textId="5084F510" w:rsidR="00A11C2F" w:rsidRPr="00A11C2F" w:rsidRDefault="00A11C2F" w:rsidP="00A11C2F">
    <w:pPr>
      <w:pStyle w:val="Pieddepage"/>
      <w:tabs>
        <w:tab w:val="right" w:pos="9638"/>
      </w:tabs>
    </w:pPr>
    <w:r w:rsidRPr="00A11C2F">
      <w:rPr>
        <w:b/>
        <w:sz w:val="18"/>
      </w:rPr>
      <w:fldChar w:fldCharType="begin"/>
    </w:r>
    <w:r w:rsidRPr="00A11C2F">
      <w:rPr>
        <w:b/>
        <w:sz w:val="18"/>
      </w:rPr>
      <w:instrText xml:space="preserve"> PAGE  \* MERGEFORMAT </w:instrText>
    </w:r>
    <w:r w:rsidRPr="00A11C2F">
      <w:rPr>
        <w:b/>
        <w:sz w:val="18"/>
      </w:rPr>
      <w:fldChar w:fldCharType="separate"/>
    </w:r>
    <w:r w:rsidRPr="00A11C2F">
      <w:rPr>
        <w:b/>
        <w:noProof/>
        <w:sz w:val="18"/>
      </w:rPr>
      <w:t>2</w:t>
    </w:r>
    <w:r w:rsidRPr="00A11C2F">
      <w:rPr>
        <w:b/>
        <w:sz w:val="18"/>
      </w:rPr>
      <w:fldChar w:fldCharType="end"/>
    </w:r>
    <w:r>
      <w:rPr>
        <w:b/>
        <w:sz w:val="18"/>
      </w:rPr>
      <w:tab/>
    </w:r>
    <w:r>
      <w:t>GE.22-05755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B317CB" w14:textId="0B37EF76" w:rsidR="00A11C2F" w:rsidRPr="00A11C2F" w:rsidRDefault="00A11C2F" w:rsidP="00A11C2F">
    <w:pPr>
      <w:pStyle w:val="Pieddepage"/>
      <w:tabs>
        <w:tab w:val="right" w:pos="9638"/>
      </w:tabs>
      <w:rPr>
        <w:b/>
        <w:sz w:val="18"/>
      </w:rPr>
    </w:pPr>
    <w:r>
      <w:t>GE.22-05755</w:t>
    </w:r>
    <w:r>
      <w:tab/>
    </w:r>
    <w:r w:rsidRPr="00A11C2F">
      <w:rPr>
        <w:b/>
        <w:sz w:val="18"/>
      </w:rPr>
      <w:fldChar w:fldCharType="begin"/>
    </w:r>
    <w:r w:rsidRPr="00A11C2F">
      <w:rPr>
        <w:b/>
        <w:sz w:val="18"/>
      </w:rPr>
      <w:instrText xml:space="preserve"> PAGE  \* MERGEFORMAT </w:instrText>
    </w:r>
    <w:r w:rsidRPr="00A11C2F">
      <w:rPr>
        <w:b/>
        <w:sz w:val="18"/>
      </w:rPr>
      <w:fldChar w:fldCharType="separate"/>
    </w:r>
    <w:r w:rsidRPr="00A11C2F">
      <w:rPr>
        <w:b/>
        <w:noProof/>
        <w:sz w:val="18"/>
      </w:rPr>
      <w:t>3</w:t>
    </w:r>
    <w:r w:rsidRPr="00A11C2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A9677A" w14:textId="5C06C1C1" w:rsidR="00AB1FED" w:rsidRPr="00A11C2F" w:rsidRDefault="00A11C2F" w:rsidP="00A11C2F">
    <w:pPr>
      <w:pStyle w:val="Pieddepage"/>
      <w:spacing w:before="120"/>
      <w:rPr>
        <w:sz w:val="20"/>
      </w:rPr>
    </w:pPr>
    <w:r>
      <w:rPr>
        <w:sz w:val="20"/>
      </w:rPr>
      <w:t>GE.</w:t>
    </w:r>
    <w:r w:rsidR="00AB1FED">
      <w:rPr>
        <w:noProof/>
        <w:lang w:eastAsia="fr-CH"/>
      </w:rPr>
      <w:drawing>
        <wp:anchor distT="0" distB="0" distL="114300" distR="114300" simplePos="0" relativeHeight="251659264" behindDoc="0" locked="0" layoutInCell="1" allowOverlap="0" wp14:anchorId="1DA72970" wp14:editId="49D28653">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22-05755  (F)</w:t>
    </w:r>
    <w:r>
      <w:rPr>
        <w:noProof/>
        <w:sz w:val="20"/>
      </w:rPr>
      <w:drawing>
        <wp:anchor distT="0" distB="0" distL="114300" distR="114300" simplePos="0" relativeHeight="251660288" behindDoc="0" locked="0" layoutInCell="1" allowOverlap="1" wp14:anchorId="7CBE5F9C" wp14:editId="086DCE70">
          <wp:simplePos x="0" y="0"/>
          <wp:positionH relativeFrom="margin">
            <wp:posOffset>5489575</wp:posOffset>
          </wp:positionH>
          <wp:positionV relativeFrom="margin">
            <wp:posOffset>8891905</wp:posOffset>
          </wp:positionV>
          <wp:extent cx="561975" cy="561975"/>
          <wp:effectExtent l="0" t="0" r="9525" b="9525"/>
          <wp:wrapNone/>
          <wp:docPr id="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250422    250422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4606ED" w14:textId="77777777" w:rsidR="003B7870" w:rsidRPr="00AC3823" w:rsidRDefault="003B7870" w:rsidP="00AC3823">
      <w:pPr>
        <w:pStyle w:val="Pieddepage"/>
        <w:tabs>
          <w:tab w:val="right" w:pos="2155"/>
        </w:tabs>
        <w:spacing w:after="80" w:line="240" w:lineRule="atLeast"/>
        <w:ind w:left="680"/>
        <w:rPr>
          <w:u w:val="single"/>
        </w:rPr>
      </w:pPr>
      <w:r>
        <w:rPr>
          <w:u w:val="single"/>
        </w:rPr>
        <w:tab/>
      </w:r>
    </w:p>
  </w:footnote>
  <w:footnote w:type="continuationSeparator" w:id="0">
    <w:p w14:paraId="64309371" w14:textId="77777777" w:rsidR="003B7870" w:rsidRPr="00AC3823" w:rsidRDefault="003B7870" w:rsidP="00AC3823">
      <w:pPr>
        <w:pStyle w:val="Pieddepage"/>
        <w:tabs>
          <w:tab w:val="right" w:pos="2155"/>
        </w:tabs>
        <w:spacing w:after="80" w:line="240" w:lineRule="atLeast"/>
        <w:ind w:left="680"/>
        <w:rPr>
          <w:u w:val="single"/>
        </w:rPr>
      </w:pPr>
      <w:r>
        <w:rPr>
          <w:u w:val="single"/>
        </w:rPr>
        <w:tab/>
      </w:r>
    </w:p>
  </w:footnote>
  <w:footnote w:type="continuationNotice" w:id="1">
    <w:p w14:paraId="18E45B41" w14:textId="77777777" w:rsidR="003B7870" w:rsidRPr="00AC3823" w:rsidRDefault="003B7870">
      <w:pPr>
        <w:spacing w:line="240" w:lineRule="auto"/>
        <w:rPr>
          <w:sz w:val="2"/>
          <w:szCs w:val="2"/>
        </w:rPr>
      </w:pPr>
    </w:p>
  </w:footnote>
  <w:footnote w:id="2">
    <w:p w14:paraId="739DDEE6" w14:textId="041A3081" w:rsidR="00A11C2F" w:rsidRPr="00A11C2F" w:rsidRDefault="00A11C2F">
      <w:pPr>
        <w:pStyle w:val="Notedebasdepage"/>
      </w:pPr>
      <w:r>
        <w:rPr>
          <w:rStyle w:val="Appelnotedebasdep"/>
        </w:rPr>
        <w:tab/>
      </w:r>
      <w:r w:rsidRPr="00A11C2F">
        <w:rPr>
          <w:rStyle w:val="Appelnotedebasdep"/>
          <w:sz w:val="20"/>
          <w:vertAlign w:val="baseline"/>
        </w:rPr>
        <w:t>*</w:t>
      </w:r>
      <w:r>
        <w:rPr>
          <w:rStyle w:val="Appelnotedebasdep"/>
          <w:sz w:val="20"/>
          <w:vertAlign w:val="baseline"/>
        </w:rPr>
        <w:tab/>
      </w:r>
      <w:r>
        <w:rPr>
          <w:lang w:val="fr-FR"/>
        </w:rPr>
        <w:t>Il a été convenu que le présent document serait publié après la date normale de publication en raison de circonstances indépendantes de la volonté du soumetteur.</w:t>
      </w:r>
    </w:p>
  </w:footnote>
  <w:footnote w:id="3">
    <w:p w14:paraId="5279DE05" w14:textId="1AF7BC73"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r>
      <w:hyperlink r:id="rId1" w:history="1">
        <w:r w:rsidRPr="00C97E83">
          <w:rPr>
            <w:rStyle w:val="Lienhypertexte"/>
            <w:lang w:val="fr-FR"/>
          </w:rPr>
          <w:t>A/75/601</w:t>
        </w:r>
      </w:hyperlink>
      <w:r>
        <w:rPr>
          <w:lang w:val="fr-FR"/>
        </w:rPr>
        <w:t>, annexe.</w:t>
      </w:r>
    </w:p>
  </w:footnote>
  <w:footnote w:id="4">
    <w:p w14:paraId="28475370" w14:textId="77777777"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t>Ibid., par. 56.</w:t>
      </w:r>
    </w:p>
  </w:footnote>
  <w:footnote w:id="5">
    <w:p w14:paraId="5358BF8F" w14:textId="77777777"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t>Ibid., par. 35.</w:t>
      </w:r>
    </w:p>
  </w:footnote>
  <w:footnote w:id="6">
    <w:p w14:paraId="0EB9C2EB" w14:textId="77777777"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t>Ibid., par. 62.</w:t>
      </w:r>
    </w:p>
  </w:footnote>
  <w:footnote w:id="7">
    <w:p w14:paraId="07776F6A" w14:textId="03DBBB68"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r>
      <w:hyperlink r:id="rId2" w:history="1">
        <w:r w:rsidRPr="00C97E83">
          <w:rPr>
            <w:rStyle w:val="Lienhypertexte"/>
            <w:lang w:val="fr-FR"/>
          </w:rPr>
          <w:t>A/74/256</w:t>
        </w:r>
      </w:hyperlink>
      <w:r>
        <w:rPr>
          <w:lang w:val="fr-FR"/>
        </w:rPr>
        <w:t>, par. 49.</w:t>
      </w:r>
    </w:p>
  </w:footnote>
  <w:footnote w:id="8">
    <w:p w14:paraId="0BF9F846" w14:textId="28584347"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r>
      <w:hyperlink r:id="rId3" w:history="1">
        <w:r w:rsidRPr="00C97E83">
          <w:rPr>
            <w:rStyle w:val="Lienhypertexte"/>
            <w:lang w:val="fr-FR"/>
          </w:rPr>
          <w:t>A/75/601</w:t>
        </w:r>
      </w:hyperlink>
      <w:r>
        <w:rPr>
          <w:lang w:val="fr-FR"/>
        </w:rPr>
        <w:t>, par. 36.</w:t>
      </w:r>
    </w:p>
  </w:footnote>
  <w:footnote w:id="9">
    <w:p w14:paraId="0FB642D7" w14:textId="7835BBD4"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r>
      <w:hyperlink r:id="rId4" w:history="1">
        <w:r w:rsidRPr="00A47094">
          <w:rPr>
            <w:rStyle w:val="Lienhypertexte"/>
            <w:lang w:val="fr-FR"/>
          </w:rPr>
          <w:t>HRI/MC/2022/2</w:t>
        </w:r>
      </w:hyperlink>
      <w:r>
        <w:rPr>
          <w:lang w:val="fr-FR"/>
        </w:rPr>
        <w:t>.</w:t>
      </w:r>
    </w:p>
  </w:footnote>
  <w:footnote w:id="10">
    <w:p w14:paraId="5E2EE86D" w14:textId="7E02CEC9"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r>
      <w:hyperlink r:id="rId5" w:history="1">
        <w:r w:rsidRPr="00A47094">
          <w:rPr>
            <w:rStyle w:val="Lienhypertexte"/>
            <w:lang w:val="fr-FR"/>
          </w:rPr>
          <w:t>HRI/MC/2022/3</w:t>
        </w:r>
      </w:hyperlink>
      <w:r>
        <w:rPr>
          <w:lang w:val="fr-FR"/>
        </w:rPr>
        <w:t>.</w:t>
      </w:r>
    </w:p>
  </w:footnote>
  <w:footnote w:id="11">
    <w:p w14:paraId="489791E3" w14:textId="3E5E39BF" w:rsidR="00A11C2F" w:rsidRPr="00D07BE4" w:rsidRDefault="00A11C2F" w:rsidP="00A11C2F">
      <w:pPr>
        <w:pStyle w:val="Notedebasdepage"/>
        <w:rPr>
          <w:lang w:val="fr-FR"/>
        </w:rPr>
      </w:pPr>
      <w:r w:rsidRPr="00F96C71">
        <w:rPr>
          <w:lang w:val="fr-FR"/>
        </w:rPr>
        <w:tab/>
      </w:r>
      <w:r w:rsidRPr="008720E7">
        <w:rPr>
          <w:rStyle w:val="Appelnotedebasdep"/>
        </w:rPr>
        <w:footnoteRef/>
      </w:r>
      <w:r>
        <w:rPr>
          <w:lang w:val="fr-FR"/>
        </w:rPr>
        <w:tab/>
        <w:t>Les documents de séance peuvent être consultés à l</w:t>
      </w:r>
      <w:r>
        <w:rPr>
          <w:lang w:val="fr-FR"/>
        </w:rPr>
        <w:t>’</w:t>
      </w:r>
      <w:r>
        <w:rPr>
          <w:lang w:val="fr-FR"/>
        </w:rPr>
        <w:t xml:space="preserve">adresse </w:t>
      </w:r>
      <w:hyperlink r:id="rId6" w:history="1">
        <w:r w:rsidRPr="00A47094">
          <w:rPr>
            <w:rStyle w:val="Lienhypertexte"/>
            <w:lang w:val="fr-FR"/>
          </w:rPr>
          <w:t>https://www.</w:t>
        </w:r>
        <w:r w:rsidRPr="00A47094">
          <w:rPr>
            <w:rStyle w:val="Lienhypertexte"/>
            <w:lang w:val="fr-FR"/>
          </w:rPr>
          <w:t>o</w:t>
        </w:r>
        <w:r w:rsidRPr="00A47094">
          <w:rPr>
            <w:rStyle w:val="Lienhypertexte"/>
            <w:lang w:val="fr-FR"/>
          </w:rPr>
          <w:t>hchr.org/fr/treaty-bodies/annual</w:t>
        </w:r>
        <w:r w:rsidR="00A47094" w:rsidRPr="00A47094">
          <w:rPr>
            <w:rStyle w:val="Lienhypertexte"/>
            <w:lang w:val="fr-FR"/>
          </w:rPr>
          <w:t>-</w:t>
        </w:r>
        <w:r w:rsidRPr="00A47094">
          <w:rPr>
            <w:rStyle w:val="Lienhypertexte"/>
            <w:lang w:val="fr-FR"/>
          </w:rPr>
          <w:t>meeting</w:t>
        </w:r>
        <w:r w:rsidR="00A47094" w:rsidRPr="00A47094">
          <w:rPr>
            <w:rStyle w:val="Lienhypertexte"/>
            <w:lang w:val="fr-FR"/>
          </w:rPr>
          <w:t>-</w:t>
        </w:r>
        <w:r w:rsidRPr="00A47094">
          <w:rPr>
            <w:rStyle w:val="Lienhypertexte"/>
            <w:lang w:val="fr-FR"/>
          </w:rPr>
          <w:t>chairpersons-hu</w:t>
        </w:r>
        <w:r w:rsidRPr="00A47094">
          <w:rPr>
            <w:rStyle w:val="Lienhypertexte"/>
            <w:lang w:val="fr-FR"/>
          </w:rPr>
          <w:t>m</w:t>
        </w:r>
        <w:r w:rsidRPr="00A47094">
          <w:rPr>
            <w:rStyle w:val="Lienhypertexte"/>
            <w:lang w:val="fr-FR"/>
          </w:rPr>
          <w:t>an-rights-treaty-bodies</w:t>
        </w:r>
      </w:hyperlink>
      <w:r>
        <w:rPr>
          <w:lang w:val="fr-FR"/>
        </w:rPr>
        <w:t>.</w:t>
      </w:r>
    </w:p>
  </w:footnote>
  <w:footnote w:id="12">
    <w:p w14:paraId="79C487B4" w14:textId="0DA74522" w:rsidR="00A11C2F" w:rsidRPr="00F96C71" w:rsidRDefault="00A11C2F" w:rsidP="00A11C2F">
      <w:pPr>
        <w:pStyle w:val="Notedebasdepage"/>
      </w:pPr>
      <w:r w:rsidRPr="00F96C71">
        <w:rPr>
          <w:lang w:val="fr-FR"/>
        </w:rPr>
        <w:tab/>
      </w:r>
      <w:r w:rsidRPr="008720E7">
        <w:rPr>
          <w:rStyle w:val="Appelnotedebasdep"/>
        </w:rPr>
        <w:footnoteRef/>
      </w:r>
      <w:r>
        <w:rPr>
          <w:lang w:val="fr-FR"/>
        </w:rPr>
        <w:tab/>
      </w:r>
      <w:hyperlink r:id="rId7" w:history="1">
        <w:r w:rsidRPr="00A47094">
          <w:rPr>
            <w:rStyle w:val="Lienhypertexte"/>
            <w:lang w:val="fr-FR"/>
          </w:rPr>
          <w:t>HRI/MC/2022/4</w:t>
        </w:r>
      </w:hyperlink>
      <w:r>
        <w:rPr>
          <w:lang w:val="fr-FR"/>
        </w:rPr>
        <w:t>.</w:t>
      </w:r>
    </w:p>
  </w:footnote>
  <w:footnote w:id="13">
    <w:p w14:paraId="03970738" w14:textId="66318C4B" w:rsidR="00A11C2F" w:rsidRPr="00F96C71" w:rsidRDefault="00A11C2F" w:rsidP="00A11C2F">
      <w:pPr>
        <w:pStyle w:val="Notedebasdepage"/>
      </w:pPr>
      <w:r w:rsidRPr="00F96C71">
        <w:rPr>
          <w:lang w:val="fr-FR"/>
        </w:rPr>
        <w:tab/>
      </w:r>
      <w:r w:rsidRPr="008720E7">
        <w:rPr>
          <w:rStyle w:val="Appelnotedebasdep"/>
        </w:rPr>
        <w:footnoteRef/>
      </w:r>
      <w:r>
        <w:rPr>
          <w:lang w:val="fr-FR"/>
        </w:rPr>
        <w:tab/>
      </w:r>
      <w:hyperlink r:id="rId8" w:history="1">
        <w:r w:rsidRPr="00A47094">
          <w:rPr>
            <w:rStyle w:val="Lienhypertexte"/>
            <w:lang w:val="fr-FR"/>
          </w:rPr>
          <w:t>A/74/256</w:t>
        </w:r>
      </w:hyperlink>
      <w:r>
        <w:rPr>
          <w:lang w:val="fr-FR"/>
        </w:rPr>
        <w:t>, par. 50.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FD52B" w14:textId="30C98818" w:rsidR="00A11C2F" w:rsidRPr="00A11C2F" w:rsidRDefault="00A11C2F">
    <w:pPr>
      <w:pStyle w:val="En-tte"/>
    </w:pPr>
    <w:fldSimple w:instr=" TITLE  \* MERGEFORMAT ">
      <w:r w:rsidR="00C6382D">
        <w:t>HRI/MC/2022/1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BC6505" w14:textId="7171C8B2" w:rsidR="00A11C2F" w:rsidRPr="00A11C2F" w:rsidRDefault="00A11C2F" w:rsidP="00A11C2F">
    <w:pPr>
      <w:pStyle w:val="En-tte"/>
      <w:jc w:val="right"/>
    </w:pPr>
    <w:fldSimple w:instr=" TITLE  \* MERGEFORMAT ">
      <w:r w:rsidR="00C6382D">
        <w:t>HRI/MC/2022/1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74ECDF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4B0065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C24A3858"/>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attachedTemplate r:id="rId1"/>
  <w:defaultTabStop w:val="567"/>
  <w:hyphenationZone w:val="425"/>
  <w:evenAndOddHeaders/>
  <w:characterSpacingControl w:val="doNotCompress"/>
  <w:savePreviewPicture/>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7870"/>
    <w:rsid w:val="00017F94"/>
    <w:rsid w:val="00023842"/>
    <w:rsid w:val="000334F9"/>
    <w:rsid w:val="0007796D"/>
    <w:rsid w:val="000B7790"/>
    <w:rsid w:val="00111F2F"/>
    <w:rsid w:val="0014365E"/>
    <w:rsid w:val="0017066B"/>
    <w:rsid w:val="00176178"/>
    <w:rsid w:val="001F525A"/>
    <w:rsid w:val="00223272"/>
    <w:rsid w:val="0024779E"/>
    <w:rsid w:val="002832AC"/>
    <w:rsid w:val="002D7C93"/>
    <w:rsid w:val="003B7870"/>
    <w:rsid w:val="00441C3B"/>
    <w:rsid w:val="00446FE5"/>
    <w:rsid w:val="00452396"/>
    <w:rsid w:val="004E468C"/>
    <w:rsid w:val="00534233"/>
    <w:rsid w:val="005505B7"/>
    <w:rsid w:val="00573BE5"/>
    <w:rsid w:val="00586ED3"/>
    <w:rsid w:val="00596AA9"/>
    <w:rsid w:val="006D1276"/>
    <w:rsid w:val="00702DC1"/>
    <w:rsid w:val="0071601D"/>
    <w:rsid w:val="007A62E6"/>
    <w:rsid w:val="0080684C"/>
    <w:rsid w:val="00871C75"/>
    <w:rsid w:val="008776DC"/>
    <w:rsid w:val="008B603D"/>
    <w:rsid w:val="009509A2"/>
    <w:rsid w:val="009705C8"/>
    <w:rsid w:val="009C1CF4"/>
    <w:rsid w:val="009C3792"/>
    <w:rsid w:val="00A11C2F"/>
    <w:rsid w:val="00A30353"/>
    <w:rsid w:val="00A47094"/>
    <w:rsid w:val="00AB1FED"/>
    <w:rsid w:val="00AC3823"/>
    <w:rsid w:val="00AE323C"/>
    <w:rsid w:val="00B00181"/>
    <w:rsid w:val="00B00B0D"/>
    <w:rsid w:val="00B765F7"/>
    <w:rsid w:val="00B9154A"/>
    <w:rsid w:val="00BA0CA9"/>
    <w:rsid w:val="00BA419D"/>
    <w:rsid w:val="00C02897"/>
    <w:rsid w:val="00C6382D"/>
    <w:rsid w:val="00C97E83"/>
    <w:rsid w:val="00D16ADD"/>
    <w:rsid w:val="00D3439C"/>
    <w:rsid w:val="00DB1831"/>
    <w:rsid w:val="00DD3BFD"/>
    <w:rsid w:val="00DF6678"/>
    <w:rsid w:val="00EF2E22"/>
    <w:rsid w:val="00F515BD"/>
    <w:rsid w:val="00F660DF"/>
    <w:rsid w:val="00F95C08"/>
    <w:rsid w:val="00FE6F77"/>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4F41D7AE"/>
  <w15:docId w15:val="{D62F054C-DE39-48D2-A3E1-16EE0BEED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9A2"/>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9509A2"/>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9509A2"/>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9509A2"/>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9509A2"/>
    <w:pPr>
      <w:spacing w:line="240" w:lineRule="auto"/>
    </w:pPr>
    <w:rPr>
      <w:sz w:val="16"/>
    </w:rPr>
  </w:style>
  <w:style w:type="character" w:customStyle="1" w:styleId="PieddepageCar">
    <w:name w:val="Pied de page Car"/>
    <w:aliases w:val="3_G Car"/>
    <w:basedOn w:val="Policepardfaut"/>
    <w:link w:val="Pieddepage"/>
    <w:rsid w:val="009509A2"/>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9509A2"/>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9509A2"/>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9509A2"/>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9509A2"/>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9509A2"/>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9509A2"/>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9509A2"/>
    <w:pPr>
      <w:tabs>
        <w:tab w:val="left" w:pos="1701"/>
        <w:tab w:val="left" w:pos="2268"/>
        <w:tab w:val="left" w:pos="2835"/>
      </w:tabs>
      <w:spacing w:after="120"/>
      <w:ind w:left="1134" w:right="1134"/>
      <w:jc w:val="both"/>
    </w:pPr>
  </w:style>
  <w:style w:type="paragraph" w:customStyle="1" w:styleId="SLG">
    <w:name w:val="__S_L_G"/>
    <w:basedOn w:val="Normal"/>
    <w:next w:val="Normal"/>
    <w:rsid w:val="009509A2"/>
    <w:pPr>
      <w:keepNext/>
      <w:keepLines/>
      <w:spacing w:before="240" w:after="240" w:line="580" w:lineRule="exact"/>
      <w:ind w:left="1134" w:right="1134"/>
    </w:pPr>
    <w:rPr>
      <w:b/>
      <w:sz w:val="56"/>
    </w:rPr>
  </w:style>
  <w:style w:type="paragraph" w:customStyle="1" w:styleId="SMG">
    <w:name w:val="__S_M_G"/>
    <w:basedOn w:val="Normal"/>
    <w:next w:val="Normal"/>
    <w:rsid w:val="009509A2"/>
    <w:pPr>
      <w:keepNext/>
      <w:keepLines/>
      <w:spacing w:before="240" w:after="240" w:line="420" w:lineRule="exact"/>
      <w:ind w:left="1134" w:right="1134"/>
    </w:pPr>
    <w:rPr>
      <w:b/>
      <w:sz w:val="40"/>
    </w:rPr>
  </w:style>
  <w:style w:type="paragraph" w:customStyle="1" w:styleId="SSG">
    <w:name w:val="__S_S_G"/>
    <w:basedOn w:val="Normal"/>
    <w:next w:val="Normal"/>
    <w:rsid w:val="009509A2"/>
    <w:pPr>
      <w:keepNext/>
      <w:keepLines/>
      <w:spacing w:before="240" w:after="240" w:line="300" w:lineRule="exact"/>
      <w:ind w:left="1134" w:right="1134"/>
    </w:pPr>
    <w:rPr>
      <w:b/>
      <w:sz w:val="28"/>
    </w:rPr>
  </w:style>
  <w:style w:type="paragraph" w:customStyle="1" w:styleId="XLargeG">
    <w:name w:val="__XLarge_G"/>
    <w:basedOn w:val="Normal"/>
    <w:next w:val="Normal"/>
    <w:rsid w:val="009509A2"/>
    <w:pPr>
      <w:keepNext/>
      <w:keepLines/>
      <w:spacing w:before="240" w:after="240" w:line="420" w:lineRule="exact"/>
      <w:ind w:left="1134" w:right="1134"/>
    </w:pPr>
    <w:rPr>
      <w:b/>
      <w:sz w:val="40"/>
    </w:rPr>
  </w:style>
  <w:style w:type="paragraph" w:customStyle="1" w:styleId="Bullet1G">
    <w:name w:val="_Bullet 1_G"/>
    <w:basedOn w:val="Normal"/>
    <w:qFormat/>
    <w:rsid w:val="009509A2"/>
    <w:pPr>
      <w:numPr>
        <w:numId w:val="14"/>
      </w:numPr>
      <w:spacing w:after="120"/>
      <w:ind w:right="1134"/>
      <w:jc w:val="both"/>
    </w:pPr>
  </w:style>
  <w:style w:type="paragraph" w:customStyle="1" w:styleId="Bullet2G">
    <w:name w:val="_Bullet 2_G"/>
    <w:basedOn w:val="Normal"/>
    <w:qFormat/>
    <w:rsid w:val="009509A2"/>
    <w:pPr>
      <w:numPr>
        <w:numId w:val="15"/>
      </w:numPr>
      <w:spacing w:after="120"/>
      <w:ind w:right="1134"/>
      <w:jc w:val="both"/>
    </w:pPr>
  </w:style>
  <w:style w:type="paragraph" w:customStyle="1" w:styleId="ParNoG">
    <w:name w:val="_ParNo_G"/>
    <w:basedOn w:val="Normal"/>
    <w:qFormat/>
    <w:rsid w:val="009509A2"/>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9509A2"/>
    <w:rPr>
      <w:rFonts w:ascii="Times New Roman" w:hAnsi="Times New Roman"/>
      <w:sz w:val="18"/>
      <w:vertAlign w:val="superscript"/>
      <w:lang w:val="fr-CH"/>
    </w:rPr>
  </w:style>
  <w:style w:type="character" w:styleId="Appeldenotedefin">
    <w:name w:val="endnote reference"/>
    <w:aliases w:val="1_G"/>
    <w:basedOn w:val="Appelnotedebasdep"/>
    <w:qFormat/>
    <w:rsid w:val="009509A2"/>
    <w:rPr>
      <w:rFonts w:ascii="Times New Roman" w:hAnsi="Times New Roman"/>
      <w:sz w:val="18"/>
      <w:vertAlign w:val="superscript"/>
      <w:lang w:val="fr-CH"/>
    </w:rPr>
  </w:style>
  <w:style w:type="table" w:styleId="Grilledutableau">
    <w:name w:val="Table Grid"/>
    <w:basedOn w:val="TableauNormal"/>
    <w:rsid w:val="009509A2"/>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9509A2"/>
    <w:rPr>
      <w:color w:val="0000FF"/>
      <w:u w:val="none"/>
    </w:rPr>
  </w:style>
  <w:style w:type="character" w:styleId="Lienhypertextesuivivisit">
    <w:name w:val="FollowedHyperlink"/>
    <w:basedOn w:val="Policepardfaut"/>
    <w:unhideWhenUsed/>
    <w:rsid w:val="009509A2"/>
    <w:rPr>
      <w:color w:val="0000FF"/>
      <w:u w:val="none"/>
    </w:rPr>
  </w:style>
  <w:style w:type="paragraph" w:styleId="Notedebasdepage">
    <w:name w:val="footnote text"/>
    <w:aliases w:val="5_G"/>
    <w:basedOn w:val="Normal"/>
    <w:link w:val="NotedebasdepageCar"/>
    <w:qFormat/>
    <w:rsid w:val="009509A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9509A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9509A2"/>
  </w:style>
  <w:style w:type="character" w:customStyle="1" w:styleId="NotedefinCar">
    <w:name w:val="Note de fin Car"/>
    <w:aliases w:val="2_G Car"/>
    <w:basedOn w:val="Policepardfaut"/>
    <w:link w:val="Notedefin"/>
    <w:rsid w:val="009509A2"/>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9509A2"/>
    <w:rPr>
      <w:rFonts w:ascii="Times New Roman" w:hAnsi="Times New Roman"/>
      <w:b/>
      <w:sz w:val="18"/>
      <w:lang w:val="fr-CH"/>
    </w:rPr>
  </w:style>
  <w:style w:type="character" w:customStyle="1" w:styleId="Titre1Car">
    <w:name w:val="Titre 1 Car"/>
    <w:aliases w:val="Table_G Car"/>
    <w:basedOn w:val="Policepardfaut"/>
    <w:link w:val="Titre1"/>
    <w:rsid w:val="009509A2"/>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9C379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9C3792"/>
    <w:rPr>
      <w:rFonts w:ascii="Tahoma" w:hAnsi="Tahoma" w:cs="Tahoma"/>
      <w:sz w:val="16"/>
      <w:szCs w:val="16"/>
      <w:lang w:eastAsia="en-US"/>
    </w:rPr>
  </w:style>
  <w:style w:type="character" w:styleId="Mentionnonrsolue">
    <w:name w:val="Unresolved Mention"/>
    <w:basedOn w:val="Policepardfaut"/>
    <w:uiPriority w:val="99"/>
    <w:semiHidden/>
    <w:unhideWhenUsed/>
    <w:rsid w:val="00C97E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fr/A/74/256" TargetMode="External"/><Relationship Id="rId3" Type="http://schemas.openxmlformats.org/officeDocument/2006/relationships/hyperlink" Target="https://undocs.org/fr/A/75/601" TargetMode="External"/><Relationship Id="rId7" Type="http://schemas.openxmlformats.org/officeDocument/2006/relationships/hyperlink" Target="https://undocs.org/fr/HRI/MC/2022/4" TargetMode="External"/><Relationship Id="rId2" Type="http://schemas.openxmlformats.org/officeDocument/2006/relationships/hyperlink" Target="https://undocs.org/fr/A/74/256" TargetMode="External"/><Relationship Id="rId1" Type="http://schemas.openxmlformats.org/officeDocument/2006/relationships/hyperlink" Target="https://undocs.org/fr/A/75/601" TargetMode="External"/><Relationship Id="rId6" Type="http://schemas.openxmlformats.org/officeDocument/2006/relationships/hyperlink" Target="https://www.ohchr.org/fr/treaty-bodies/annual-meeting-chairpersons-human-rights-treaty-bodies" TargetMode="External"/><Relationship Id="rId5" Type="http://schemas.openxmlformats.org/officeDocument/2006/relationships/hyperlink" Target="https://undocs.org/fr/HRI/MC/2022/3" TargetMode="External"/><Relationship Id="rId4" Type="http://schemas.openxmlformats.org/officeDocument/2006/relationships/hyperlink" Target="https://undocs.org/fr/HRI/MC/2022/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HRI.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HRI.dotm</Template>
  <TotalTime>0</TotalTime>
  <Pages>4</Pages>
  <Words>1224</Words>
  <Characters>8572</Characters>
  <Application>Microsoft Office Word</Application>
  <DocSecurity>0</DocSecurity>
  <Lines>952</Lines>
  <Paragraphs>306</Paragraphs>
  <ScaleCrop>false</ScaleCrop>
  <HeadingPairs>
    <vt:vector size="4" baseType="variant">
      <vt:variant>
        <vt:lpstr>Titre</vt:lpstr>
      </vt:variant>
      <vt:variant>
        <vt:i4>1</vt:i4>
      </vt:variant>
      <vt:variant>
        <vt:lpstr>Titres</vt:lpstr>
      </vt:variant>
      <vt:variant>
        <vt:i4>3</vt:i4>
      </vt:variant>
    </vt:vector>
  </HeadingPairs>
  <TitlesOfParts>
    <vt:vector size="4" baseType="lpstr">
      <vt:lpstr>HRI/MC/2022/1</vt:lpstr>
      <vt:lpstr>    Ordre du jour provisoire annoté*</vt:lpstr>
      <vt:lpstr>        Ordre du jour provisoire</vt:lpstr>
      <vt:lpstr>        Annotations</vt:lpstr>
    </vt:vector>
  </TitlesOfParts>
  <Company>DCM</Company>
  <LinksUpToDate>false</LinksUpToDate>
  <CharactersWithSpaces>9490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HRI/MC/2022/1</dc:title>
  <dc:subject/>
  <dc:creator>Julien OKRZESIK</dc:creator>
  <cp:keywords/>
  <cp:lastModifiedBy>Julien Okrzesik</cp:lastModifiedBy>
  <cp:revision>3</cp:revision>
  <cp:lastPrinted>2022-04-25T10:46:00Z</cp:lastPrinted>
  <dcterms:created xsi:type="dcterms:W3CDTF">2022-04-25T10:46:00Z</dcterms:created>
  <dcterms:modified xsi:type="dcterms:W3CDTF">2022-04-25T10:46:00Z</dcterms:modified>
</cp:coreProperties>
</file>