
<file path=[Content_Types].xml><?xml version="1.0" encoding="utf-8"?>
<Types xmlns="http://schemas.openxmlformats.org/package/2006/content-types">
  <Default Extension="gif" ContentType="image/gif"/>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tbl>
      <w:tblPr>
        <w:tblpPr w:leftFromText="142" w:rightFromText="142" w:vertAnchor="page" w:horzAnchor="page" w:tblpX="1135" w:tblpY="285"/>
        <w:tblOverlap w:val="never"/>
        <w:bidiVisual/>
        <w:tblW w:w="9631" w:type="dxa"/>
        <w:tblBorders>
          <w:bottom w:val="single" w:sz="4" w:space="0" w:color="auto"/>
          <w:insideH w:val="single" w:sz="4" w:space="0" w:color="auto"/>
        </w:tblBorders>
        <w:tblLayout w:type="fixed"/>
        <w:tblCellMar>
          <w:left w:w="0" w:type="dxa"/>
          <w:right w:w="0" w:type="dxa"/>
        </w:tblCellMar>
        <w:tblLook w:val="01E0" w:firstRow="1" w:lastRow="1" w:firstColumn="1" w:lastColumn="1" w:noHBand="0" w:noVBand="0"/>
      </w:tblPr>
      <w:tblGrid>
        <w:gridCol w:w="1266"/>
        <w:gridCol w:w="4767"/>
        <w:gridCol w:w="3598"/>
      </w:tblGrid>
      <w:tr w:rsidR="006B3E27" w:rsidRPr="00CA35DF" w14:paraId="302D4444" w14:textId="77777777" w:rsidTr="00B456A0">
        <w:trPr>
          <w:trHeight w:hRule="exact" w:val="810"/>
        </w:trPr>
        <w:tc>
          <w:tcPr>
            <w:tcW w:w="1266" w:type="dxa"/>
            <w:tcBorders>
              <w:top w:val="nil"/>
              <w:bottom w:val="single" w:sz="4" w:space="0" w:color="auto"/>
            </w:tcBorders>
            <w:shd w:val="clear" w:color="auto" w:fill="auto"/>
          </w:tcPr>
          <w:p w14:paraId="6AD62FFB" w14:textId="77777777" w:rsidR="00712059" w:rsidRPr="00CA35DF" w:rsidRDefault="00712059" w:rsidP="00D00CAA">
            <w:pPr>
              <w:kinsoku w:val="0"/>
              <w:overflowPunct w:val="0"/>
              <w:autoSpaceDE w:val="0"/>
              <w:autoSpaceDN w:val="0"/>
              <w:adjustRightInd w:val="0"/>
              <w:snapToGrid w:val="0"/>
              <w:spacing w:after="80" w:line="480" w:lineRule="exact"/>
              <w:rPr>
                <w:rFonts w:hint="cs"/>
                <w:szCs w:val="40"/>
                <w:rtl/>
              </w:rPr>
            </w:pPr>
            <w:bookmarkStart w:id="0" w:name="_Hlk118705841"/>
          </w:p>
        </w:tc>
        <w:tc>
          <w:tcPr>
            <w:tcW w:w="4767" w:type="dxa"/>
            <w:tcBorders>
              <w:top w:val="nil"/>
              <w:bottom w:val="single" w:sz="4" w:space="0" w:color="auto"/>
            </w:tcBorders>
            <w:shd w:val="clear" w:color="auto" w:fill="auto"/>
            <w:vAlign w:val="bottom"/>
          </w:tcPr>
          <w:p w14:paraId="35FBAD04" w14:textId="77777777" w:rsidR="006B3E27" w:rsidRPr="00CA35DF" w:rsidRDefault="006B3E27" w:rsidP="00E2697F">
            <w:pPr>
              <w:spacing w:after="80" w:line="480" w:lineRule="exact"/>
              <w:ind w:left="57"/>
              <w:rPr>
                <w:sz w:val="30"/>
                <w:szCs w:val="30"/>
                <w:rtl/>
              </w:rPr>
            </w:pPr>
            <w:r w:rsidRPr="00CA35DF">
              <w:rPr>
                <w:rFonts w:hint="cs"/>
                <w:sz w:val="30"/>
                <w:szCs w:val="30"/>
                <w:rtl/>
              </w:rPr>
              <w:t>الأمم المتحدة</w:t>
            </w:r>
          </w:p>
        </w:tc>
        <w:tc>
          <w:tcPr>
            <w:tcW w:w="3598" w:type="dxa"/>
            <w:tcBorders>
              <w:top w:val="nil"/>
              <w:bottom w:val="single" w:sz="4" w:space="0" w:color="auto"/>
            </w:tcBorders>
            <w:shd w:val="clear" w:color="auto" w:fill="auto"/>
            <w:vAlign w:val="bottom"/>
          </w:tcPr>
          <w:p w14:paraId="13293D9C" w14:textId="6D7752D4" w:rsidR="006B3E27" w:rsidRPr="004F510D" w:rsidRDefault="004F510D" w:rsidP="004F510D">
            <w:pPr>
              <w:bidi w:val="0"/>
              <w:rPr>
                <w:szCs w:val="20"/>
              </w:rPr>
            </w:pPr>
            <w:r w:rsidRPr="00790D70">
              <w:rPr>
                <w:sz w:val="40"/>
                <w:szCs w:val="20"/>
              </w:rPr>
              <w:t>CAT</w:t>
            </w:r>
            <w:r w:rsidRPr="00790D70">
              <w:rPr>
                <w:szCs w:val="20"/>
              </w:rPr>
              <w:t>/C/ISL/CO/</w:t>
            </w:r>
            <w:r w:rsidRPr="009B5F24">
              <w:rPr>
                <w:szCs w:val="20"/>
              </w:rPr>
              <w:t>4</w:t>
            </w:r>
          </w:p>
        </w:tc>
      </w:tr>
      <w:tr w:rsidR="006B3E27" w:rsidRPr="00CA35DF" w14:paraId="664D70C6" w14:textId="77777777" w:rsidTr="00B456A0">
        <w:trPr>
          <w:trHeight w:hRule="exact" w:val="2835"/>
        </w:trPr>
        <w:tc>
          <w:tcPr>
            <w:tcW w:w="1266" w:type="dxa"/>
            <w:tcBorders>
              <w:top w:val="nil"/>
              <w:bottom w:val="single" w:sz="12" w:space="0" w:color="auto"/>
            </w:tcBorders>
            <w:shd w:val="clear" w:color="auto" w:fill="auto"/>
          </w:tcPr>
          <w:p w14:paraId="53A0C031" w14:textId="77777777" w:rsidR="006B3E27" w:rsidRPr="00CA35DF" w:rsidRDefault="00261289" w:rsidP="00CA35DF">
            <w:pPr>
              <w:jc w:val="center"/>
              <w:rPr>
                <w:rtl/>
              </w:rPr>
            </w:pPr>
            <w:r w:rsidRPr="00CA35DF">
              <w:rPr>
                <w:noProof/>
                <w:rtl/>
              </w:rPr>
              <w:drawing>
                <wp:inline distT="0" distB="0" distL="0" distR="0" wp14:anchorId="5B5E2FA1" wp14:editId="47561738">
                  <wp:extent cx="629920" cy="611505"/>
                  <wp:effectExtent l="0" t="0" r="0" b="0"/>
                  <wp:docPr id="2" name="Picture 1" descr="شعار الأمم المتحدة"/>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14:useLocalDpi xmlns:a14="http://schemas.microsoft.com/office/drawing/2010/main" val="0"/>
                              </a:ext>
                            </a:extLst>
                          </a:blip>
                          <a:srcRect l="-52" t="-1387" r="-52" b="-1387"/>
                          <a:stretch>
                            <a:fillRect/>
                          </a:stretch>
                        </pic:blipFill>
                        <pic:spPr bwMode="auto">
                          <a:xfrm>
                            <a:off x="0" y="0"/>
                            <a:ext cx="629920" cy="611505"/>
                          </a:xfrm>
                          <a:prstGeom prst="rect">
                            <a:avLst/>
                          </a:prstGeom>
                          <a:noFill/>
                        </pic:spPr>
                      </pic:pic>
                    </a:graphicData>
                  </a:graphic>
                </wp:inline>
              </w:drawing>
            </w:r>
          </w:p>
        </w:tc>
        <w:tc>
          <w:tcPr>
            <w:tcW w:w="4767" w:type="dxa"/>
            <w:tcBorders>
              <w:top w:val="nil"/>
              <w:bottom w:val="single" w:sz="12" w:space="0" w:color="auto"/>
            </w:tcBorders>
            <w:shd w:val="clear" w:color="auto" w:fill="auto"/>
          </w:tcPr>
          <w:p w14:paraId="58F9E952" w14:textId="77777777" w:rsidR="00A67AF5" w:rsidRPr="009B5F24" w:rsidRDefault="00817373" w:rsidP="00D3653E">
            <w:pPr>
              <w:spacing w:before="120" w:after="40" w:line="580" w:lineRule="exact"/>
              <w:ind w:left="57"/>
              <w:rPr>
                <w:b/>
                <w:bCs/>
                <w:sz w:val="42"/>
                <w:szCs w:val="42"/>
              </w:rPr>
            </w:pPr>
            <w:r w:rsidRPr="009B5F24">
              <w:rPr>
                <w:rFonts w:hint="cs"/>
                <w:b/>
                <w:bCs/>
                <w:sz w:val="42"/>
                <w:szCs w:val="42"/>
                <w:rtl/>
              </w:rPr>
              <w:t>اتفاقية مناهضة التعذيب وغيره من ضروب المعاملة أو العقوبة القاسية أو اللاإنسانية أو المهينة</w:t>
            </w:r>
          </w:p>
        </w:tc>
        <w:tc>
          <w:tcPr>
            <w:tcW w:w="3598" w:type="dxa"/>
            <w:tcBorders>
              <w:top w:val="nil"/>
              <w:bottom w:val="single" w:sz="12" w:space="0" w:color="auto"/>
            </w:tcBorders>
            <w:shd w:val="clear" w:color="auto" w:fill="auto"/>
          </w:tcPr>
          <w:p w14:paraId="49ED15A4" w14:textId="6554A9FE" w:rsidR="006B3E27" w:rsidRDefault="004F510D" w:rsidP="00EE56C3">
            <w:pPr>
              <w:bidi w:val="0"/>
              <w:spacing w:before="240"/>
              <w:rPr>
                <w:szCs w:val="20"/>
              </w:rPr>
            </w:pPr>
            <w:r>
              <w:rPr>
                <w:szCs w:val="20"/>
              </w:rPr>
              <w:t>Dist</w:t>
            </w:r>
            <w:r w:rsidR="00790D70" w:rsidRPr="00790D70">
              <w:rPr>
                <w:szCs w:val="20"/>
              </w:rPr>
              <w:t>r.:</w:t>
            </w:r>
            <w:r>
              <w:rPr>
                <w:szCs w:val="20"/>
              </w:rPr>
              <w:t xml:space="preserve"> General</w:t>
            </w:r>
          </w:p>
          <w:p w14:paraId="53BC06A5" w14:textId="156867FB" w:rsidR="004F510D" w:rsidRDefault="00525A39" w:rsidP="004F510D">
            <w:pPr>
              <w:bidi w:val="0"/>
              <w:spacing w:line="240" w:lineRule="exact"/>
              <w:jc w:val="left"/>
              <w:rPr>
                <w:szCs w:val="20"/>
              </w:rPr>
            </w:pPr>
            <w:r>
              <w:rPr>
                <w:szCs w:val="20"/>
              </w:rPr>
              <w:t>9</w:t>
            </w:r>
            <w:r w:rsidR="00790D70">
              <w:rPr>
                <w:szCs w:val="20"/>
              </w:rPr>
              <w:t xml:space="preserve"> June </w:t>
            </w:r>
            <w:r w:rsidR="004F510D" w:rsidRPr="009B5F24">
              <w:rPr>
                <w:szCs w:val="20"/>
              </w:rPr>
              <w:t>2022</w:t>
            </w:r>
          </w:p>
          <w:p w14:paraId="196099B2" w14:textId="77777777" w:rsidR="004F510D" w:rsidRDefault="004F510D" w:rsidP="004F510D">
            <w:pPr>
              <w:bidi w:val="0"/>
              <w:spacing w:line="240" w:lineRule="exact"/>
              <w:jc w:val="left"/>
              <w:rPr>
                <w:szCs w:val="20"/>
              </w:rPr>
            </w:pPr>
            <w:r>
              <w:rPr>
                <w:szCs w:val="20"/>
              </w:rPr>
              <w:t>Arabic</w:t>
            </w:r>
          </w:p>
          <w:p w14:paraId="0678E09C" w14:textId="3F52BC70" w:rsidR="004F510D" w:rsidRPr="004F510D" w:rsidRDefault="004F510D" w:rsidP="004F510D">
            <w:pPr>
              <w:bidi w:val="0"/>
              <w:spacing w:line="240" w:lineRule="exact"/>
              <w:jc w:val="left"/>
              <w:rPr>
                <w:szCs w:val="20"/>
              </w:rPr>
            </w:pPr>
            <w:r>
              <w:rPr>
                <w:szCs w:val="20"/>
              </w:rPr>
              <w:t>Origina</w:t>
            </w:r>
            <w:r w:rsidR="00790D70" w:rsidRPr="00790D70">
              <w:rPr>
                <w:szCs w:val="20"/>
              </w:rPr>
              <w:t xml:space="preserve">l: </w:t>
            </w:r>
            <w:r>
              <w:rPr>
                <w:szCs w:val="20"/>
              </w:rPr>
              <w:t>English</w:t>
            </w:r>
          </w:p>
        </w:tc>
      </w:tr>
    </w:tbl>
    <w:p w14:paraId="0AFD1CCD" w14:textId="77777777" w:rsidR="00790D70" w:rsidRPr="009B5F24" w:rsidRDefault="00790D70" w:rsidP="00790D70">
      <w:pPr>
        <w:pStyle w:val="SingleTxtGA"/>
        <w:spacing w:before="120" w:after="0"/>
        <w:ind w:left="0" w:right="283"/>
        <w:jc w:val="left"/>
        <w:rPr>
          <w:b/>
          <w:bCs/>
          <w:sz w:val="26"/>
          <w:szCs w:val="26"/>
          <w:lang w:val="en-US" w:eastAsia="zh-TW" w:bidi="en-GB"/>
        </w:rPr>
      </w:pPr>
      <w:r w:rsidRPr="009B5F24">
        <w:rPr>
          <w:b/>
          <w:bCs/>
          <w:sz w:val="26"/>
          <w:szCs w:val="26"/>
          <w:rtl/>
        </w:rPr>
        <w:t>لجنة مناهضة التعذيب</w:t>
      </w:r>
    </w:p>
    <w:p w14:paraId="2B46A79C" w14:textId="07A01415" w:rsidR="00790D70" w:rsidRPr="009B5F24" w:rsidRDefault="00790D70" w:rsidP="00790D70">
      <w:pPr>
        <w:pStyle w:val="HChGA"/>
        <w:rPr>
          <w:sz w:val="34"/>
          <w:szCs w:val="34"/>
          <w:lang w:val="en-US" w:eastAsia="zh-TW" w:bidi="en-GB"/>
        </w:rPr>
      </w:pPr>
      <w:r w:rsidRPr="009B5F24">
        <w:rPr>
          <w:rtl/>
        </w:rPr>
        <w:tab/>
      </w:r>
      <w:r w:rsidRPr="009B5F24">
        <w:rPr>
          <w:rtl/>
        </w:rPr>
        <w:tab/>
        <w:t>الملاحظات الختامية بشأن التقرير الدوري الرابع لآيسلندا</w:t>
      </w:r>
      <w:r w:rsidRPr="009B5F24">
        <w:rPr>
          <w:rStyle w:val="FootnoteReference"/>
          <w:sz w:val="26"/>
          <w:szCs w:val="26"/>
          <w:vertAlign w:val="baseline"/>
          <w:rtl/>
          <w:lang w:val="en-US" w:eastAsia="zh-TW"/>
        </w:rPr>
        <w:footnoteReference w:customMarkFollows="1" w:id="1"/>
        <w:t>*</w:t>
      </w:r>
    </w:p>
    <w:p w14:paraId="5098E76C" w14:textId="6ED37487" w:rsidR="00790D70" w:rsidRPr="0052017A" w:rsidRDefault="00790D70" w:rsidP="00790D70">
      <w:pPr>
        <w:pStyle w:val="SingleTxtGA"/>
        <w:rPr>
          <w:rFonts w:eastAsiaTheme="minorEastAsia"/>
          <w:spacing w:val="-2"/>
          <w:lang w:val="ar-SA" w:eastAsia="zh-TW" w:bidi="en-GB"/>
        </w:rPr>
      </w:pPr>
      <w:r w:rsidRPr="009B5F24">
        <w:rPr>
          <w:rFonts w:eastAsiaTheme="minorEastAsia"/>
          <w:rtl/>
        </w:rPr>
        <w:t>1</w:t>
      </w:r>
      <w:r w:rsidRPr="00790D70">
        <w:rPr>
          <w:rFonts w:eastAsiaTheme="minorEastAsia"/>
          <w:rtl/>
        </w:rPr>
        <w:t>-</w:t>
      </w:r>
      <w:r w:rsidRPr="00790D70">
        <w:rPr>
          <w:rFonts w:eastAsiaTheme="minorEastAsia"/>
          <w:rtl/>
        </w:rPr>
        <w:tab/>
        <w:t>نظرت لجنة مناهضة التعذيب في التقرير الدوري الرابع لآيسلندا</w:t>
      </w:r>
      <w:r w:rsidRPr="00491133">
        <w:rPr>
          <w:rStyle w:val="FootnoteReference"/>
          <w:rFonts w:eastAsiaTheme="minorEastAsia"/>
          <w:sz w:val="22"/>
          <w:rtl/>
        </w:rPr>
        <w:t>(</w:t>
      </w:r>
      <w:r w:rsidRPr="009B5F24">
        <w:rPr>
          <w:rStyle w:val="FootnoteReference"/>
          <w:rFonts w:eastAsiaTheme="minorEastAsia"/>
          <w:sz w:val="22"/>
          <w:lang w:val="en-US"/>
        </w:rPr>
        <w:footnoteReference w:id="2"/>
      </w:r>
      <w:r>
        <w:rPr>
          <w:rStyle w:val="FootnoteReference"/>
          <w:rFonts w:eastAsiaTheme="minorEastAsia"/>
          <w:sz w:val="22"/>
          <w:rtl/>
        </w:rPr>
        <w:t>)</w:t>
      </w:r>
      <w:r w:rsidRPr="00790D70">
        <w:rPr>
          <w:rFonts w:eastAsiaTheme="minorEastAsia"/>
          <w:rtl/>
        </w:rPr>
        <w:t xml:space="preserve"> في جلستيها </w:t>
      </w:r>
      <w:r w:rsidRPr="009B5F24">
        <w:rPr>
          <w:rFonts w:eastAsiaTheme="minorEastAsia"/>
          <w:rtl/>
        </w:rPr>
        <w:t>1879</w:t>
      </w:r>
      <w:r w:rsidRPr="00790D70">
        <w:rPr>
          <w:rFonts w:eastAsiaTheme="minorEastAsia"/>
          <w:rtl/>
        </w:rPr>
        <w:t xml:space="preserve"> </w:t>
      </w:r>
      <w:r w:rsidRPr="0052017A">
        <w:rPr>
          <w:rFonts w:eastAsiaTheme="minorEastAsia"/>
          <w:spacing w:val="-4"/>
          <w:rtl/>
        </w:rPr>
        <w:t>و</w:t>
      </w:r>
      <w:r w:rsidRPr="009B5F24">
        <w:rPr>
          <w:rFonts w:eastAsiaTheme="minorEastAsia"/>
          <w:spacing w:val="-4"/>
          <w:rtl/>
        </w:rPr>
        <w:t>1882</w:t>
      </w:r>
      <w:r w:rsidRPr="00491133">
        <w:rPr>
          <w:rStyle w:val="FootnoteReference"/>
          <w:rFonts w:eastAsiaTheme="minorEastAsia"/>
          <w:spacing w:val="-4"/>
          <w:sz w:val="22"/>
          <w:rtl/>
        </w:rPr>
        <w:t>(</w:t>
      </w:r>
      <w:r w:rsidRPr="009B5F24">
        <w:rPr>
          <w:rStyle w:val="FootnoteReference"/>
          <w:rFonts w:eastAsiaTheme="minorEastAsia"/>
          <w:spacing w:val="-4"/>
          <w:sz w:val="22"/>
          <w:lang w:val="en-US"/>
        </w:rPr>
        <w:footnoteReference w:id="3"/>
      </w:r>
      <w:r w:rsidRPr="0052017A">
        <w:rPr>
          <w:rStyle w:val="FootnoteReference"/>
          <w:rFonts w:eastAsiaTheme="minorEastAsia"/>
          <w:spacing w:val="-4"/>
          <w:sz w:val="22"/>
          <w:rtl/>
        </w:rPr>
        <w:t>)</w:t>
      </w:r>
      <w:r w:rsidRPr="0052017A">
        <w:rPr>
          <w:rFonts w:eastAsiaTheme="minorEastAsia"/>
          <w:spacing w:val="-4"/>
          <w:rtl/>
        </w:rPr>
        <w:t xml:space="preserve">، المعقودتين في </w:t>
      </w:r>
      <w:r w:rsidRPr="009B5F24">
        <w:rPr>
          <w:rFonts w:eastAsiaTheme="minorEastAsia"/>
          <w:spacing w:val="-4"/>
          <w:rtl/>
        </w:rPr>
        <w:t>20</w:t>
      </w:r>
      <w:r w:rsidRPr="0052017A">
        <w:rPr>
          <w:rFonts w:eastAsiaTheme="minorEastAsia"/>
          <w:spacing w:val="-4"/>
          <w:rtl/>
        </w:rPr>
        <w:t xml:space="preserve"> و</w:t>
      </w:r>
      <w:r w:rsidRPr="009B5F24">
        <w:rPr>
          <w:rFonts w:eastAsiaTheme="minorEastAsia"/>
          <w:spacing w:val="-4"/>
          <w:rtl/>
        </w:rPr>
        <w:t>21</w:t>
      </w:r>
      <w:r w:rsidRPr="0052017A">
        <w:rPr>
          <w:rFonts w:eastAsiaTheme="minorEastAsia"/>
          <w:spacing w:val="-4"/>
          <w:rtl/>
        </w:rPr>
        <w:t xml:space="preserve"> نيسان/أبريل </w:t>
      </w:r>
      <w:r w:rsidRPr="009B5F24">
        <w:rPr>
          <w:rFonts w:eastAsiaTheme="minorEastAsia"/>
          <w:spacing w:val="-4"/>
          <w:rtl/>
        </w:rPr>
        <w:t>2022</w:t>
      </w:r>
      <w:r w:rsidRPr="0052017A">
        <w:rPr>
          <w:rFonts w:eastAsiaTheme="minorEastAsia"/>
          <w:spacing w:val="-4"/>
          <w:rtl/>
        </w:rPr>
        <w:t xml:space="preserve">، واعتمدت في جلستها </w:t>
      </w:r>
      <w:r w:rsidRPr="009B5F24">
        <w:rPr>
          <w:rFonts w:eastAsiaTheme="minorEastAsia"/>
          <w:spacing w:val="-4"/>
          <w:rtl/>
        </w:rPr>
        <w:t>1903</w:t>
      </w:r>
      <w:r w:rsidRPr="0052017A">
        <w:rPr>
          <w:rFonts w:eastAsiaTheme="minorEastAsia"/>
          <w:spacing w:val="-4"/>
          <w:rtl/>
        </w:rPr>
        <w:t xml:space="preserve">، المعقودة في </w:t>
      </w:r>
      <w:r w:rsidRPr="009B5F24">
        <w:rPr>
          <w:rFonts w:eastAsiaTheme="minorEastAsia"/>
          <w:spacing w:val="-4"/>
          <w:rtl/>
        </w:rPr>
        <w:t>9</w:t>
      </w:r>
      <w:r w:rsidRPr="0052017A">
        <w:rPr>
          <w:rFonts w:eastAsiaTheme="minorEastAsia"/>
          <w:spacing w:val="-2"/>
          <w:rtl/>
        </w:rPr>
        <w:t xml:space="preserve"> أيار/</w:t>
      </w:r>
      <w:r w:rsidR="0052017A">
        <w:rPr>
          <w:rFonts w:eastAsiaTheme="minorEastAsia" w:hint="cs"/>
          <w:spacing w:val="-2"/>
          <w:rtl/>
        </w:rPr>
        <w:t xml:space="preserve"> </w:t>
      </w:r>
      <w:r w:rsidRPr="0052017A">
        <w:rPr>
          <w:rFonts w:eastAsiaTheme="minorEastAsia"/>
          <w:spacing w:val="-2"/>
          <w:rtl/>
        </w:rPr>
        <w:t xml:space="preserve">مايو </w:t>
      </w:r>
      <w:r w:rsidRPr="009B5F24">
        <w:rPr>
          <w:rFonts w:eastAsiaTheme="minorEastAsia"/>
          <w:spacing w:val="-2"/>
          <w:rtl/>
        </w:rPr>
        <w:t>2022</w:t>
      </w:r>
      <w:r w:rsidRPr="0052017A">
        <w:rPr>
          <w:rFonts w:eastAsiaTheme="minorEastAsia"/>
          <w:spacing w:val="-2"/>
          <w:rtl/>
        </w:rPr>
        <w:t>، هذه الملاحظات الختامية.</w:t>
      </w:r>
    </w:p>
    <w:p w14:paraId="14F2F0F8" w14:textId="77777777" w:rsidR="00790D70" w:rsidRPr="009B5F24" w:rsidRDefault="00790D70" w:rsidP="00790D70">
      <w:pPr>
        <w:pStyle w:val="H1GA"/>
        <w:rPr>
          <w:lang w:val="en-US" w:eastAsia="zh-TW" w:bidi="en-GB"/>
        </w:rPr>
      </w:pPr>
      <w:r w:rsidRPr="009B5F24">
        <w:rPr>
          <w:rtl/>
        </w:rPr>
        <w:tab/>
        <w:t>ألف-</w:t>
      </w:r>
      <w:r w:rsidRPr="009B5F24">
        <w:rPr>
          <w:rtl/>
        </w:rPr>
        <w:tab/>
        <w:t>مقدمة</w:t>
      </w:r>
    </w:p>
    <w:p w14:paraId="471303E7" w14:textId="0ED197F7" w:rsidR="00790D70" w:rsidRPr="00790D70" w:rsidRDefault="00790D70" w:rsidP="00790D70">
      <w:pPr>
        <w:pStyle w:val="SingleTxtGA"/>
        <w:rPr>
          <w:rFonts w:eastAsiaTheme="minorEastAsia"/>
          <w:lang w:eastAsia="zh-TW" w:bidi="en-GB"/>
        </w:rPr>
      </w:pPr>
      <w:r w:rsidRPr="009B5F24">
        <w:rPr>
          <w:rFonts w:eastAsiaTheme="minorEastAsia"/>
          <w:rtl/>
        </w:rPr>
        <w:t>2</w:t>
      </w:r>
      <w:r w:rsidRPr="00790D70">
        <w:rPr>
          <w:rFonts w:eastAsiaTheme="minorEastAsia"/>
          <w:rtl/>
        </w:rPr>
        <w:t>-</w:t>
      </w:r>
      <w:r w:rsidRPr="00790D70">
        <w:rPr>
          <w:rFonts w:eastAsiaTheme="minorEastAsia"/>
          <w:rtl/>
        </w:rPr>
        <w:tab/>
        <w:t>تعرب اللجنة عن تقديرها قبولَ الدولة الطرف الإجراء المبسط لتقديم التقارير وتقديمها تقريرها الدوري</w:t>
      </w:r>
      <w:r>
        <w:rPr>
          <w:rFonts w:eastAsiaTheme="minorEastAsia"/>
          <w:rtl/>
        </w:rPr>
        <w:t xml:space="preserve"> </w:t>
      </w:r>
      <w:r w:rsidRPr="00790D70">
        <w:rPr>
          <w:rFonts w:eastAsiaTheme="minorEastAsia"/>
          <w:rtl/>
        </w:rPr>
        <w:t xml:space="preserve">في إطاره، لأن ذلك يسمح بإجراء حوار أكثر تركيزاً بين الدولة الطرف واللجنة، بيد أنها تأسف لتقديم التقرير بعد تأخير دام ستة أعوام. </w:t>
      </w:r>
    </w:p>
    <w:p w14:paraId="3F899C65" w14:textId="77E1C406" w:rsidR="00790D70" w:rsidRPr="00790D70" w:rsidRDefault="00790D70" w:rsidP="00790D70">
      <w:pPr>
        <w:pStyle w:val="SingleTxtGA"/>
        <w:rPr>
          <w:rFonts w:eastAsiaTheme="minorEastAsia"/>
          <w:lang w:val="ar-SA" w:eastAsia="zh-TW" w:bidi="en-GB"/>
        </w:rPr>
      </w:pPr>
      <w:r w:rsidRPr="009B5F24">
        <w:rPr>
          <w:rFonts w:eastAsiaTheme="minorEastAsia"/>
          <w:rtl/>
        </w:rPr>
        <w:t>3</w:t>
      </w:r>
      <w:r w:rsidRPr="00790D70">
        <w:rPr>
          <w:rFonts w:eastAsiaTheme="minorEastAsia"/>
          <w:rtl/>
        </w:rPr>
        <w:t>-</w:t>
      </w:r>
      <w:r w:rsidRPr="00790D70">
        <w:rPr>
          <w:rFonts w:eastAsiaTheme="minorEastAsia"/>
          <w:rtl/>
        </w:rPr>
        <w:tab/>
        <w:t>وتقدّر اللجنة فرصة الحوار مع وفد الدولة الطرف والمعلومات والتوضيحات الإضافية التي</w:t>
      </w:r>
      <w:r w:rsidR="007363D2">
        <w:rPr>
          <w:rFonts w:eastAsiaTheme="minorEastAsia" w:hint="cs"/>
          <w:rtl/>
        </w:rPr>
        <w:t> </w:t>
      </w:r>
      <w:r w:rsidRPr="00790D70">
        <w:rPr>
          <w:rFonts w:eastAsiaTheme="minorEastAsia"/>
          <w:rtl/>
        </w:rPr>
        <w:t>قدمها.</w:t>
      </w:r>
    </w:p>
    <w:p w14:paraId="1D41A29D" w14:textId="77777777" w:rsidR="00790D70" w:rsidRPr="009B5F24" w:rsidRDefault="00790D70" w:rsidP="00790D70">
      <w:pPr>
        <w:pStyle w:val="H1GA"/>
        <w:rPr>
          <w:lang w:val="en-US" w:eastAsia="zh-TW" w:bidi="en-GB"/>
        </w:rPr>
      </w:pPr>
      <w:r w:rsidRPr="009B5F24">
        <w:rPr>
          <w:rtl/>
        </w:rPr>
        <w:tab/>
        <w:t>باء-</w:t>
      </w:r>
      <w:r w:rsidRPr="009B5F24">
        <w:rPr>
          <w:rtl/>
        </w:rPr>
        <w:tab/>
        <w:t>الجوانب الإيجابية</w:t>
      </w:r>
    </w:p>
    <w:p w14:paraId="7A08254B" w14:textId="0C87FB91" w:rsidR="00790D70" w:rsidRPr="00790D70" w:rsidRDefault="00790D70" w:rsidP="00790D70">
      <w:pPr>
        <w:pStyle w:val="SingleTxtGA"/>
        <w:rPr>
          <w:rFonts w:eastAsiaTheme="minorEastAsia"/>
          <w:lang w:val="ar-SA" w:eastAsia="zh-TW" w:bidi="en-GB"/>
        </w:rPr>
      </w:pPr>
      <w:r w:rsidRPr="009B5F24">
        <w:rPr>
          <w:rFonts w:eastAsiaTheme="minorEastAsia"/>
          <w:rtl/>
        </w:rPr>
        <w:t>4</w:t>
      </w:r>
      <w:r w:rsidRPr="00790D70">
        <w:rPr>
          <w:rFonts w:eastAsiaTheme="minorEastAsia"/>
          <w:spacing w:val="-6"/>
          <w:rtl/>
        </w:rPr>
        <w:t>-</w:t>
      </w:r>
      <w:r w:rsidRPr="00790D70">
        <w:rPr>
          <w:rFonts w:eastAsiaTheme="minorEastAsia"/>
          <w:spacing w:val="-6"/>
          <w:rtl/>
        </w:rPr>
        <w:tab/>
        <w:t>ترحّب اللجنة بتصديق الدولة الطرف على الصكوك الدولية التالية أو بانضمامها إليها:</w:t>
      </w:r>
    </w:p>
    <w:p w14:paraId="258B9A4B" w14:textId="77777777" w:rsidR="00790D70" w:rsidRPr="00790D70" w:rsidRDefault="00790D70" w:rsidP="00790D70">
      <w:pPr>
        <w:pStyle w:val="SingleTxtGA"/>
        <w:rPr>
          <w:rFonts w:eastAsiaTheme="minorEastAsia"/>
          <w:lang w:eastAsia="zh-TW" w:bidi="en-GB"/>
        </w:rPr>
      </w:pPr>
      <w:r w:rsidRPr="00790D70">
        <w:rPr>
          <w:rFonts w:eastAsiaTheme="minorEastAsia"/>
          <w:rtl/>
        </w:rPr>
        <w:tab/>
        <w:t>(أ)</w:t>
      </w:r>
      <w:r w:rsidRPr="00790D70">
        <w:rPr>
          <w:rFonts w:eastAsiaTheme="minorEastAsia"/>
          <w:rtl/>
        </w:rPr>
        <w:tab/>
        <w:t xml:space="preserve">اتفاقية وضع الأشخاص عديمي الجنسية واتفاقية خفض حالات انعدام الجنسية، في عام </w:t>
      </w:r>
      <w:r w:rsidRPr="009B5F24">
        <w:rPr>
          <w:rFonts w:eastAsiaTheme="minorEastAsia"/>
          <w:rtl/>
        </w:rPr>
        <w:t>2021</w:t>
      </w:r>
      <w:r w:rsidRPr="00790D70">
        <w:rPr>
          <w:rFonts w:eastAsiaTheme="minorEastAsia"/>
          <w:rtl/>
        </w:rPr>
        <w:t>؛</w:t>
      </w:r>
    </w:p>
    <w:p w14:paraId="77AB0662" w14:textId="77777777" w:rsidR="00790D70" w:rsidRPr="00790D70" w:rsidRDefault="00790D70" w:rsidP="00790D70">
      <w:pPr>
        <w:pStyle w:val="SingleTxtGA"/>
        <w:rPr>
          <w:rFonts w:eastAsiaTheme="minorEastAsia"/>
          <w:lang w:val="ar-SA" w:eastAsia="zh-TW" w:bidi="en-GB"/>
        </w:rPr>
      </w:pPr>
      <w:r w:rsidRPr="00790D70">
        <w:rPr>
          <w:rFonts w:eastAsiaTheme="minorEastAsia"/>
          <w:rtl/>
        </w:rPr>
        <w:tab/>
        <w:t>(ب)</w:t>
      </w:r>
      <w:r w:rsidRPr="00790D70">
        <w:rPr>
          <w:rFonts w:eastAsiaTheme="minorEastAsia"/>
          <w:rtl/>
        </w:rPr>
        <w:tab/>
        <w:t xml:space="preserve">البروتوكول الاختياري لاتفاقية مناهضة التعذيب وغيره من ضروب المعاملة أو العقوبة القاسية أو اللاإنسانية أو المهينة، في عام </w:t>
      </w:r>
      <w:r w:rsidRPr="009B5F24">
        <w:rPr>
          <w:rFonts w:eastAsiaTheme="minorEastAsia"/>
          <w:rtl/>
        </w:rPr>
        <w:t>2019</w:t>
      </w:r>
      <w:r w:rsidRPr="00790D70">
        <w:rPr>
          <w:rFonts w:eastAsiaTheme="minorEastAsia"/>
          <w:rtl/>
        </w:rPr>
        <w:t>؛</w:t>
      </w:r>
    </w:p>
    <w:p w14:paraId="7720E751" w14:textId="26A93D34" w:rsidR="00790D70" w:rsidRPr="00790D70" w:rsidRDefault="00790D70" w:rsidP="00790D70">
      <w:pPr>
        <w:pStyle w:val="SingleTxtGA"/>
        <w:rPr>
          <w:rFonts w:eastAsiaTheme="minorEastAsia"/>
          <w:lang w:val="en-US" w:eastAsia="zh-TW" w:bidi="en-GB"/>
        </w:rPr>
      </w:pPr>
      <w:r w:rsidRPr="00790D70">
        <w:rPr>
          <w:rFonts w:eastAsiaTheme="minorEastAsia"/>
          <w:rtl/>
        </w:rPr>
        <w:tab/>
        <w:t>(ج)</w:t>
      </w:r>
      <w:r w:rsidRPr="00790D70">
        <w:rPr>
          <w:rFonts w:eastAsiaTheme="minorEastAsia"/>
          <w:rtl/>
        </w:rPr>
        <w:tab/>
        <w:t>اتفاقية مجلس أوروبا للوقاية من العنف ضد النساء والعنف</w:t>
      </w:r>
      <w:r>
        <w:rPr>
          <w:rFonts w:eastAsiaTheme="minorEastAsia"/>
          <w:rtl/>
        </w:rPr>
        <w:t xml:space="preserve"> </w:t>
      </w:r>
      <w:r w:rsidRPr="00790D70">
        <w:rPr>
          <w:rFonts w:eastAsiaTheme="minorEastAsia"/>
          <w:rtl/>
        </w:rPr>
        <w:t xml:space="preserve">العائلي ومكافحتهما، في عام </w:t>
      </w:r>
      <w:r w:rsidRPr="009B5F24">
        <w:rPr>
          <w:rFonts w:eastAsiaTheme="minorEastAsia"/>
          <w:rtl/>
        </w:rPr>
        <w:t>2018</w:t>
      </w:r>
      <w:r w:rsidRPr="00790D70">
        <w:rPr>
          <w:rFonts w:eastAsiaTheme="minorEastAsia"/>
          <w:rtl/>
        </w:rPr>
        <w:t xml:space="preserve">؛ </w:t>
      </w:r>
    </w:p>
    <w:p w14:paraId="4457093C" w14:textId="77777777" w:rsidR="00790D70" w:rsidRPr="00790D70" w:rsidRDefault="00790D70" w:rsidP="00790D70">
      <w:pPr>
        <w:pStyle w:val="SingleTxtGA"/>
        <w:rPr>
          <w:rFonts w:eastAsiaTheme="minorEastAsia"/>
          <w:lang w:val="ar-SA" w:eastAsia="zh-TW" w:bidi="en-GB"/>
        </w:rPr>
      </w:pPr>
      <w:r w:rsidRPr="00790D70">
        <w:rPr>
          <w:rFonts w:eastAsiaTheme="minorEastAsia"/>
          <w:rtl/>
        </w:rPr>
        <w:tab/>
        <w:t>(د)</w:t>
      </w:r>
      <w:r w:rsidRPr="00790D70">
        <w:rPr>
          <w:rFonts w:eastAsiaTheme="minorEastAsia"/>
          <w:rtl/>
        </w:rPr>
        <w:tab/>
      </w:r>
      <w:r w:rsidRPr="00491133">
        <w:rPr>
          <w:rFonts w:eastAsiaTheme="minorEastAsia"/>
          <w:rtl/>
        </w:rPr>
        <w:t>اتفاقية حقوق الأشخاص ذوي الإعاقة، في</w:t>
      </w:r>
      <w:r w:rsidRPr="00790D70">
        <w:rPr>
          <w:rFonts w:eastAsiaTheme="minorEastAsia"/>
          <w:rtl/>
        </w:rPr>
        <w:t xml:space="preserve"> عام </w:t>
      </w:r>
      <w:r w:rsidRPr="009B5F24">
        <w:rPr>
          <w:rFonts w:eastAsiaTheme="minorEastAsia"/>
          <w:rtl/>
        </w:rPr>
        <w:t>2016</w:t>
      </w:r>
      <w:r w:rsidRPr="00790D70">
        <w:rPr>
          <w:rFonts w:eastAsiaTheme="minorEastAsia"/>
          <w:rtl/>
        </w:rPr>
        <w:t xml:space="preserve">؛ </w:t>
      </w:r>
    </w:p>
    <w:p w14:paraId="5A0A118C" w14:textId="3FD991A9" w:rsidR="00790D70" w:rsidRPr="00790D70" w:rsidRDefault="00790D70" w:rsidP="00790D70">
      <w:pPr>
        <w:pStyle w:val="SingleTxtGA"/>
        <w:rPr>
          <w:rFonts w:eastAsiaTheme="minorEastAsia"/>
          <w:lang w:val="ar-SA" w:eastAsia="zh-TW" w:bidi="en-GB"/>
        </w:rPr>
      </w:pPr>
      <w:r w:rsidRPr="00790D70">
        <w:rPr>
          <w:rFonts w:eastAsiaTheme="minorEastAsia"/>
          <w:rtl/>
        </w:rPr>
        <w:lastRenderedPageBreak/>
        <w:tab/>
        <w:t>(هـ)</w:t>
      </w:r>
      <w:r w:rsidRPr="00790D70">
        <w:rPr>
          <w:rFonts w:eastAsiaTheme="minorEastAsia"/>
          <w:rtl/>
        </w:rPr>
        <w:tab/>
        <w:t>معاهدة مجلس أوروبا بشأن حماية الأطفال من الاستغلال والاعتداء الجنسي، في عام</w:t>
      </w:r>
      <w:r>
        <w:rPr>
          <w:rFonts w:eastAsiaTheme="minorEastAsia" w:hint="cs"/>
          <w:rtl/>
        </w:rPr>
        <w:t> </w:t>
      </w:r>
      <w:r w:rsidRPr="009B5F24">
        <w:rPr>
          <w:rFonts w:eastAsiaTheme="minorEastAsia"/>
          <w:rtl/>
        </w:rPr>
        <w:t>2012</w:t>
      </w:r>
      <w:r w:rsidRPr="00790D70">
        <w:rPr>
          <w:rFonts w:eastAsiaTheme="minorEastAsia"/>
          <w:rtl/>
        </w:rPr>
        <w:t xml:space="preserve">؛ </w:t>
      </w:r>
    </w:p>
    <w:p w14:paraId="4F4FFE07" w14:textId="77777777" w:rsidR="00790D70" w:rsidRPr="00790D70" w:rsidRDefault="00790D70" w:rsidP="00790D70">
      <w:pPr>
        <w:pStyle w:val="SingleTxtGA"/>
        <w:rPr>
          <w:rFonts w:eastAsiaTheme="minorEastAsia"/>
          <w:lang w:val="ar-SA" w:eastAsia="zh-TW" w:bidi="en-GB"/>
        </w:rPr>
      </w:pPr>
      <w:r w:rsidRPr="00790D70">
        <w:rPr>
          <w:rFonts w:eastAsiaTheme="minorEastAsia"/>
          <w:rtl/>
        </w:rPr>
        <w:tab/>
        <w:t>(و)</w:t>
      </w:r>
      <w:r w:rsidRPr="00790D70">
        <w:rPr>
          <w:rFonts w:eastAsiaTheme="minorEastAsia"/>
          <w:rtl/>
        </w:rPr>
        <w:tab/>
        <w:t xml:space="preserve">اتفاقية مجلس أوروبا بشأن مكافحة الاتجار بالبشر، في عام </w:t>
      </w:r>
      <w:r w:rsidRPr="009B5F24">
        <w:rPr>
          <w:rFonts w:eastAsiaTheme="minorEastAsia"/>
          <w:rtl/>
        </w:rPr>
        <w:t>2012</w:t>
      </w:r>
      <w:r w:rsidRPr="00790D70">
        <w:rPr>
          <w:rFonts w:eastAsiaTheme="minorEastAsia"/>
          <w:rtl/>
        </w:rPr>
        <w:t xml:space="preserve">؛ </w:t>
      </w:r>
    </w:p>
    <w:p w14:paraId="3B039973" w14:textId="600E6C42" w:rsidR="00790D70" w:rsidRPr="007363D2" w:rsidRDefault="00790D70" w:rsidP="00790D70">
      <w:pPr>
        <w:pStyle w:val="SingleTxtGA"/>
        <w:rPr>
          <w:rFonts w:eastAsiaTheme="minorEastAsia"/>
          <w:lang w:val="en-US" w:eastAsia="zh-TW" w:bidi="en-GB"/>
        </w:rPr>
      </w:pPr>
      <w:r w:rsidRPr="00790D70">
        <w:rPr>
          <w:rFonts w:eastAsiaTheme="minorEastAsia"/>
          <w:rtl/>
        </w:rPr>
        <w:tab/>
        <w:t>(ز)</w:t>
      </w:r>
      <w:r w:rsidRPr="00790D70">
        <w:rPr>
          <w:rFonts w:eastAsiaTheme="minorEastAsia"/>
          <w:rtl/>
        </w:rPr>
        <w:tab/>
      </w:r>
      <w:r w:rsidRPr="00491133">
        <w:rPr>
          <w:rFonts w:eastAsiaTheme="minorEastAsia"/>
          <w:rtl/>
        </w:rPr>
        <w:t xml:space="preserve">اتفاقية الأمم المتحدة لمكافحة الجريمة المنظمة عبر الوطنية، وبروتوكول منع وقمع ومعاقبة الاتجار بالأشخاص، وبخاصة النساء والأطفال، المكمل لاتفاقية الأمم المتحدة لمكافحة الجريمة المنظمة عبر الوطنية، في عام </w:t>
      </w:r>
      <w:r w:rsidRPr="009B5F24">
        <w:rPr>
          <w:rFonts w:eastAsiaTheme="minorEastAsia"/>
          <w:rtl/>
        </w:rPr>
        <w:t>2010</w:t>
      </w:r>
      <w:r w:rsidRPr="00491133">
        <w:rPr>
          <w:rFonts w:eastAsiaTheme="minorEastAsia"/>
          <w:rtl/>
        </w:rPr>
        <w:t>.</w:t>
      </w:r>
    </w:p>
    <w:p w14:paraId="54F9C4C6" w14:textId="1422AB72" w:rsidR="00790D70" w:rsidRPr="00790D70" w:rsidRDefault="00790D70" w:rsidP="00790D70">
      <w:pPr>
        <w:pStyle w:val="SingleTxtGA"/>
        <w:rPr>
          <w:rFonts w:eastAsiaTheme="minorEastAsia"/>
          <w:lang w:val="ar-SA" w:eastAsia="zh-TW" w:bidi="en-GB"/>
        </w:rPr>
      </w:pPr>
      <w:r w:rsidRPr="009B5F24">
        <w:rPr>
          <w:rFonts w:eastAsiaTheme="minorEastAsia"/>
          <w:rtl/>
        </w:rPr>
        <w:t>5</w:t>
      </w:r>
      <w:r w:rsidRPr="00790D70">
        <w:rPr>
          <w:rFonts w:eastAsiaTheme="minorEastAsia"/>
          <w:rtl/>
        </w:rPr>
        <w:t>-</w:t>
      </w:r>
      <w:r w:rsidRPr="00790D70">
        <w:rPr>
          <w:rFonts w:eastAsiaTheme="minorEastAsia"/>
          <w:rtl/>
        </w:rPr>
        <w:tab/>
        <w:t>وترحب اللجنة أيضاً بالمبادرات التي اتخذتها الدولة الطرف لتنقيح تشريعاتها في الميادين المرتبطة بالاتفاقية، ومن بينها ما يلي:</w:t>
      </w:r>
    </w:p>
    <w:p w14:paraId="0CFEC22A" w14:textId="77777777" w:rsidR="00790D70" w:rsidRPr="00790D70" w:rsidRDefault="00790D70" w:rsidP="00790D70">
      <w:pPr>
        <w:pStyle w:val="SingleTxtGA"/>
        <w:rPr>
          <w:rFonts w:eastAsiaTheme="minorEastAsia"/>
          <w:lang w:val="ar-SA" w:eastAsia="zh-TW" w:bidi="en-GB"/>
        </w:rPr>
      </w:pPr>
      <w:r w:rsidRPr="00790D70">
        <w:rPr>
          <w:rFonts w:eastAsiaTheme="minorEastAsia"/>
          <w:rtl/>
        </w:rPr>
        <w:tab/>
        <w:t>(أ)</w:t>
      </w:r>
      <w:r w:rsidRPr="00790D70">
        <w:rPr>
          <w:rFonts w:eastAsiaTheme="minorEastAsia"/>
          <w:rtl/>
        </w:rPr>
        <w:tab/>
        <w:t xml:space="preserve">إدراج اتفاقية حقوق الطفل في قانون آيسلندا، في عام </w:t>
      </w:r>
      <w:r w:rsidRPr="009B5F24">
        <w:rPr>
          <w:rFonts w:eastAsiaTheme="minorEastAsia"/>
          <w:rtl/>
        </w:rPr>
        <w:t>2013</w:t>
      </w:r>
      <w:r w:rsidRPr="00790D70">
        <w:rPr>
          <w:rFonts w:eastAsiaTheme="minorEastAsia"/>
          <w:rtl/>
        </w:rPr>
        <w:t>؛</w:t>
      </w:r>
    </w:p>
    <w:p w14:paraId="246B7DC1" w14:textId="77777777" w:rsidR="00790D70" w:rsidRPr="00790D70" w:rsidRDefault="00790D70" w:rsidP="00790D70">
      <w:pPr>
        <w:pStyle w:val="SingleTxtGA"/>
        <w:rPr>
          <w:rFonts w:eastAsiaTheme="minorEastAsia"/>
          <w:lang w:val="ar-SA" w:eastAsia="zh-TW" w:bidi="en-GB"/>
        </w:rPr>
      </w:pPr>
      <w:r w:rsidRPr="00790D70">
        <w:rPr>
          <w:rFonts w:eastAsiaTheme="minorEastAsia"/>
          <w:rtl/>
        </w:rPr>
        <w:tab/>
        <w:t>(ب)</w:t>
      </w:r>
      <w:r w:rsidRPr="00790D70">
        <w:rPr>
          <w:rFonts w:eastAsiaTheme="minorEastAsia"/>
          <w:rtl/>
        </w:rPr>
        <w:tab/>
      </w:r>
      <w:r w:rsidRPr="00491133">
        <w:rPr>
          <w:rFonts w:eastAsiaTheme="minorEastAsia"/>
          <w:rtl/>
        </w:rPr>
        <w:t>إدراج أحكام جديدة بشأن التعقب والحماية من العنف الجنسي الرقمي ورفع مستوى الحماية القضائية لضحايا الاتجار بالبشر في قانون العقوبات</w:t>
      </w:r>
      <w:r w:rsidRPr="00790D70">
        <w:rPr>
          <w:rFonts w:eastAsiaTheme="minorEastAsia"/>
          <w:rtl/>
        </w:rPr>
        <w:t xml:space="preserve"> العام، في عام </w:t>
      </w:r>
      <w:r w:rsidRPr="009B5F24">
        <w:rPr>
          <w:rFonts w:eastAsiaTheme="minorEastAsia"/>
          <w:rtl/>
        </w:rPr>
        <w:t>2021</w:t>
      </w:r>
      <w:r w:rsidRPr="00790D70">
        <w:rPr>
          <w:rFonts w:eastAsiaTheme="minorEastAsia"/>
          <w:rtl/>
        </w:rPr>
        <w:t>؛</w:t>
      </w:r>
    </w:p>
    <w:p w14:paraId="4AC42D4E" w14:textId="77777777" w:rsidR="00790D70" w:rsidRPr="00790D70" w:rsidRDefault="00790D70" w:rsidP="00790D70">
      <w:pPr>
        <w:pStyle w:val="SingleTxtGA"/>
        <w:rPr>
          <w:rFonts w:eastAsiaTheme="minorEastAsia"/>
          <w:spacing w:val="-4"/>
          <w:lang w:val="ar-SA" w:eastAsia="zh-TW" w:bidi="en-GB"/>
        </w:rPr>
      </w:pPr>
      <w:r w:rsidRPr="00790D70">
        <w:rPr>
          <w:rFonts w:eastAsiaTheme="minorEastAsia"/>
          <w:spacing w:val="-4"/>
          <w:rtl/>
        </w:rPr>
        <w:tab/>
        <w:t>(ج)</w:t>
      </w:r>
      <w:r w:rsidRPr="00790D70">
        <w:rPr>
          <w:rFonts w:eastAsiaTheme="minorEastAsia"/>
          <w:spacing w:val="-4"/>
          <w:rtl/>
        </w:rPr>
        <w:tab/>
        <w:t xml:space="preserve">اعتماد القرار البرلماني بشأن خطة تدابير مكافحة العنف وعواقبه، للفترة </w:t>
      </w:r>
      <w:r w:rsidRPr="009B5F24">
        <w:rPr>
          <w:rFonts w:eastAsiaTheme="minorEastAsia"/>
          <w:spacing w:val="-4"/>
          <w:rtl/>
        </w:rPr>
        <w:t>2019</w:t>
      </w:r>
      <w:r w:rsidRPr="00790D70">
        <w:rPr>
          <w:rFonts w:eastAsiaTheme="minorEastAsia"/>
          <w:spacing w:val="-4"/>
          <w:rtl/>
        </w:rPr>
        <w:t>-</w:t>
      </w:r>
      <w:r w:rsidRPr="009B5F24">
        <w:rPr>
          <w:rFonts w:eastAsiaTheme="minorEastAsia"/>
          <w:spacing w:val="-4"/>
          <w:rtl/>
        </w:rPr>
        <w:t>2022</w:t>
      </w:r>
      <w:r w:rsidRPr="00790D70">
        <w:rPr>
          <w:rFonts w:eastAsiaTheme="minorEastAsia"/>
          <w:spacing w:val="-4"/>
          <w:rtl/>
        </w:rPr>
        <w:t xml:space="preserve">؛ </w:t>
      </w:r>
    </w:p>
    <w:p w14:paraId="630ADB28" w14:textId="77777777" w:rsidR="00790D70" w:rsidRPr="00790D70" w:rsidRDefault="00790D70" w:rsidP="00790D70">
      <w:pPr>
        <w:pStyle w:val="SingleTxtGA"/>
        <w:rPr>
          <w:rFonts w:eastAsiaTheme="minorEastAsia"/>
          <w:lang w:val="ar-SA" w:eastAsia="zh-TW" w:bidi="en-GB"/>
        </w:rPr>
      </w:pPr>
      <w:r w:rsidRPr="00790D70">
        <w:rPr>
          <w:rFonts w:eastAsiaTheme="minorEastAsia"/>
          <w:rtl/>
        </w:rPr>
        <w:tab/>
        <w:t>(د)</w:t>
      </w:r>
      <w:r w:rsidRPr="00790D70">
        <w:rPr>
          <w:rFonts w:eastAsiaTheme="minorEastAsia"/>
          <w:rtl/>
        </w:rPr>
        <w:tab/>
        <w:t xml:space="preserve">اعتماد القرار البرلماني بشأن إجراءات وقاية الأطفال والشباب من العنف الجنسي </w:t>
      </w:r>
      <w:proofErr w:type="spellStart"/>
      <w:r w:rsidRPr="00790D70">
        <w:rPr>
          <w:rFonts w:eastAsiaTheme="minorEastAsia"/>
          <w:rtl/>
        </w:rPr>
        <w:t>والجنساني</w:t>
      </w:r>
      <w:proofErr w:type="spellEnd"/>
      <w:r w:rsidRPr="00790D70">
        <w:rPr>
          <w:rFonts w:eastAsiaTheme="minorEastAsia"/>
          <w:rtl/>
        </w:rPr>
        <w:t xml:space="preserve">، للفترة </w:t>
      </w:r>
      <w:r w:rsidRPr="009B5F24">
        <w:rPr>
          <w:rFonts w:eastAsiaTheme="minorEastAsia"/>
          <w:rtl/>
        </w:rPr>
        <w:t>2021</w:t>
      </w:r>
      <w:r w:rsidRPr="00790D70">
        <w:rPr>
          <w:rFonts w:eastAsiaTheme="minorEastAsia"/>
          <w:rtl/>
        </w:rPr>
        <w:t>-</w:t>
      </w:r>
      <w:r w:rsidRPr="009B5F24">
        <w:rPr>
          <w:rFonts w:eastAsiaTheme="minorEastAsia"/>
          <w:rtl/>
        </w:rPr>
        <w:t>2025</w:t>
      </w:r>
      <w:r w:rsidRPr="00790D70">
        <w:rPr>
          <w:rFonts w:eastAsiaTheme="minorEastAsia"/>
          <w:rtl/>
        </w:rPr>
        <w:t xml:space="preserve">؛ </w:t>
      </w:r>
    </w:p>
    <w:p w14:paraId="328674DC" w14:textId="77777777" w:rsidR="00790D70" w:rsidRPr="00790D70" w:rsidRDefault="00790D70" w:rsidP="00790D70">
      <w:pPr>
        <w:pStyle w:val="SingleTxtGA"/>
        <w:rPr>
          <w:rFonts w:eastAsiaTheme="minorEastAsia"/>
          <w:lang w:val="ar-SA" w:eastAsia="zh-TW" w:bidi="en-GB"/>
        </w:rPr>
      </w:pPr>
      <w:r w:rsidRPr="00790D70">
        <w:rPr>
          <w:rFonts w:eastAsiaTheme="minorEastAsia"/>
          <w:rtl/>
        </w:rPr>
        <w:tab/>
        <w:t>(هـ)</w:t>
      </w:r>
      <w:r w:rsidRPr="00790D70">
        <w:rPr>
          <w:rFonts w:eastAsiaTheme="minorEastAsia"/>
          <w:rtl/>
        </w:rPr>
        <w:tab/>
        <w:t xml:space="preserve">تعديل قانون أمين المظالم البرلماني، في عام </w:t>
      </w:r>
      <w:r w:rsidRPr="009B5F24">
        <w:rPr>
          <w:rFonts w:eastAsiaTheme="minorEastAsia"/>
          <w:rtl/>
        </w:rPr>
        <w:t>2018</w:t>
      </w:r>
      <w:r w:rsidRPr="00790D70">
        <w:rPr>
          <w:rFonts w:eastAsiaTheme="minorEastAsia"/>
          <w:rtl/>
        </w:rPr>
        <w:t xml:space="preserve">؛ </w:t>
      </w:r>
    </w:p>
    <w:p w14:paraId="6B3DE1E7" w14:textId="77777777" w:rsidR="00790D70" w:rsidRPr="00790D70" w:rsidRDefault="00790D70" w:rsidP="00790D70">
      <w:pPr>
        <w:pStyle w:val="SingleTxtGA"/>
        <w:rPr>
          <w:rFonts w:eastAsiaTheme="minorEastAsia"/>
          <w:rtl/>
          <w:lang w:eastAsia="zh-TW"/>
        </w:rPr>
      </w:pPr>
      <w:r w:rsidRPr="00790D70">
        <w:rPr>
          <w:rFonts w:eastAsiaTheme="minorEastAsia"/>
          <w:rtl/>
        </w:rPr>
        <w:tab/>
        <w:t>(و)</w:t>
      </w:r>
      <w:r w:rsidRPr="00790D70">
        <w:rPr>
          <w:rFonts w:eastAsiaTheme="minorEastAsia"/>
          <w:rtl/>
        </w:rPr>
        <w:tab/>
        <w:t xml:space="preserve">اعتماد قانون خدمات الأشخاص ذوي الإعاقة أصحاب الاحتياجات من الدعم الطويلة الأجل، في عام </w:t>
      </w:r>
      <w:r w:rsidRPr="009B5F24">
        <w:rPr>
          <w:rFonts w:eastAsiaTheme="minorEastAsia"/>
          <w:rtl/>
        </w:rPr>
        <w:t>2018</w:t>
      </w:r>
      <w:r w:rsidRPr="00790D70">
        <w:rPr>
          <w:rFonts w:eastAsiaTheme="minorEastAsia"/>
          <w:rtl/>
        </w:rPr>
        <w:t xml:space="preserve">؛ </w:t>
      </w:r>
    </w:p>
    <w:p w14:paraId="40104DC9" w14:textId="77777777" w:rsidR="00790D70" w:rsidRPr="00790D70" w:rsidRDefault="00790D70" w:rsidP="00790D70">
      <w:pPr>
        <w:pStyle w:val="SingleTxtGA"/>
        <w:rPr>
          <w:rFonts w:eastAsiaTheme="minorEastAsia"/>
          <w:lang w:val="ar-SA" w:eastAsia="zh-TW" w:bidi="en-GB"/>
        </w:rPr>
      </w:pPr>
      <w:r w:rsidRPr="00790D70">
        <w:rPr>
          <w:rFonts w:eastAsiaTheme="minorEastAsia"/>
          <w:rtl/>
        </w:rPr>
        <w:tab/>
        <w:t>(ز)</w:t>
      </w:r>
      <w:r w:rsidRPr="00790D70">
        <w:rPr>
          <w:rFonts w:eastAsiaTheme="minorEastAsia"/>
          <w:rtl/>
        </w:rPr>
        <w:tab/>
        <w:t xml:space="preserve">تعديل قانون العقوبات العام فيما يخص تعريف الاغتصاب، في عام </w:t>
      </w:r>
      <w:r w:rsidRPr="009B5F24">
        <w:rPr>
          <w:rFonts w:eastAsiaTheme="minorEastAsia"/>
          <w:rtl/>
        </w:rPr>
        <w:t>2018</w:t>
      </w:r>
      <w:r w:rsidRPr="00790D70">
        <w:rPr>
          <w:rFonts w:eastAsiaTheme="minorEastAsia"/>
          <w:rtl/>
        </w:rPr>
        <w:t>؛</w:t>
      </w:r>
    </w:p>
    <w:p w14:paraId="4C84DD07" w14:textId="77777777" w:rsidR="00790D70" w:rsidRPr="00790D70" w:rsidRDefault="00790D70" w:rsidP="00790D70">
      <w:pPr>
        <w:pStyle w:val="SingleTxtGA"/>
        <w:rPr>
          <w:rFonts w:eastAsiaTheme="minorEastAsia"/>
          <w:lang w:eastAsia="zh-TW" w:bidi="en-GB"/>
        </w:rPr>
      </w:pPr>
      <w:r w:rsidRPr="00790D70">
        <w:rPr>
          <w:rFonts w:eastAsiaTheme="minorEastAsia"/>
          <w:rtl/>
        </w:rPr>
        <w:tab/>
        <w:t>(ح)</w:t>
      </w:r>
      <w:r w:rsidRPr="00790D70">
        <w:rPr>
          <w:rFonts w:eastAsiaTheme="minorEastAsia"/>
          <w:rtl/>
        </w:rPr>
        <w:tab/>
        <w:t xml:space="preserve">اعتماد قانون تنفيذ الأحكام، في عام </w:t>
      </w:r>
      <w:r w:rsidRPr="009B5F24">
        <w:rPr>
          <w:rFonts w:eastAsiaTheme="minorEastAsia"/>
          <w:rtl/>
        </w:rPr>
        <w:t>2016</w:t>
      </w:r>
      <w:r w:rsidRPr="00790D70">
        <w:rPr>
          <w:rFonts w:eastAsiaTheme="minorEastAsia"/>
          <w:rtl/>
        </w:rPr>
        <w:t>؛</w:t>
      </w:r>
    </w:p>
    <w:p w14:paraId="20203A8C" w14:textId="77777777" w:rsidR="00790D70" w:rsidRPr="00790D70" w:rsidRDefault="00790D70" w:rsidP="00790D70">
      <w:pPr>
        <w:pStyle w:val="SingleTxtGA"/>
        <w:rPr>
          <w:rFonts w:eastAsiaTheme="minorEastAsia"/>
          <w:lang w:val="ar-SA" w:eastAsia="zh-TW" w:bidi="en-GB"/>
        </w:rPr>
      </w:pPr>
      <w:r w:rsidRPr="00790D70">
        <w:rPr>
          <w:rFonts w:eastAsiaTheme="minorEastAsia"/>
          <w:rtl/>
        </w:rPr>
        <w:tab/>
        <w:t>(ط)</w:t>
      </w:r>
      <w:r w:rsidRPr="00790D70">
        <w:rPr>
          <w:rFonts w:eastAsiaTheme="minorEastAsia"/>
          <w:rtl/>
        </w:rPr>
        <w:tab/>
        <w:t xml:space="preserve">التعديلات التي أدخلت على قانون المواطنين الأجانب في عامي </w:t>
      </w:r>
      <w:r w:rsidRPr="009B5F24">
        <w:rPr>
          <w:rFonts w:eastAsiaTheme="minorEastAsia"/>
          <w:rtl/>
        </w:rPr>
        <w:t>2010</w:t>
      </w:r>
      <w:r w:rsidRPr="00790D70">
        <w:rPr>
          <w:rFonts w:eastAsiaTheme="minorEastAsia"/>
          <w:rtl/>
        </w:rPr>
        <w:t xml:space="preserve"> و</w:t>
      </w:r>
      <w:r w:rsidRPr="009B5F24">
        <w:rPr>
          <w:rFonts w:eastAsiaTheme="minorEastAsia"/>
          <w:rtl/>
        </w:rPr>
        <w:t>2016</w:t>
      </w:r>
      <w:r w:rsidRPr="00790D70">
        <w:rPr>
          <w:rFonts w:eastAsiaTheme="minorEastAsia"/>
          <w:rtl/>
        </w:rPr>
        <w:t xml:space="preserve">؛ </w:t>
      </w:r>
    </w:p>
    <w:p w14:paraId="0F72E102" w14:textId="77777777" w:rsidR="00790D70" w:rsidRPr="00790D70" w:rsidRDefault="00790D70" w:rsidP="00790D70">
      <w:pPr>
        <w:pStyle w:val="SingleTxtGA"/>
        <w:rPr>
          <w:rFonts w:eastAsiaTheme="minorEastAsia"/>
          <w:spacing w:val="4"/>
          <w:lang w:eastAsia="zh-TW" w:bidi="en-GB"/>
        </w:rPr>
      </w:pPr>
      <w:r w:rsidRPr="00790D70">
        <w:rPr>
          <w:rFonts w:eastAsiaTheme="minorEastAsia"/>
          <w:spacing w:val="4"/>
          <w:rtl/>
        </w:rPr>
        <w:tab/>
        <w:t>(ي)</w:t>
      </w:r>
      <w:r w:rsidRPr="00790D70">
        <w:rPr>
          <w:rFonts w:eastAsiaTheme="minorEastAsia"/>
          <w:spacing w:val="4"/>
          <w:rtl/>
        </w:rPr>
        <w:tab/>
      </w:r>
      <w:r w:rsidRPr="00491133">
        <w:rPr>
          <w:rFonts w:eastAsiaTheme="minorEastAsia"/>
          <w:spacing w:val="4"/>
          <w:rtl/>
        </w:rPr>
        <w:t>تعديل قانون العقوبات العام لكي يشمل جريمة العنف العائلي كجريمة محددة، في</w:t>
      </w:r>
      <w:r w:rsidRPr="00790D70">
        <w:rPr>
          <w:rFonts w:eastAsiaTheme="minorEastAsia"/>
          <w:spacing w:val="4"/>
          <w:rtl/>
        </w:rPr>
        <w:t xml:space="preserve"> عام </w:t>
      </w:r>
      <w:r w:rsidRPr="009B5F24">
        <w:rPr>
          <w:rFonts w:eastAsiaTheme="minorEastAsia"/>
          <w:spacing w:val="4"/>
          <w:rtl/>
        </w:rPr>
        <w:t>2016</w:t>
      </w:r>
      <w:r w:rsidRPr="00790D70">
        <w:rPr>
          <w:rFonts w:eastAsiaTheme="minorEastAsia"/>
          <w:spacing w:val="4"/>
          <w:rtl/>
        </w:rPr>
        <w:t xml:space="preserve">؛ </w:t>
      </w:r>
    </w:p>
    <w:p w14:paraId="452EBC87" w14:textId="77777777" w:rsidR="00790D70" w:rsidRPr="00790D70" w:rsidRDefault="00790D70" w:rsidP="00790D70">
      <w:pPr>
        <w:pStyle w:val="SingleTxtGA"/>
        <w:rPr>
          <w:rFonts w:eastAsiaTheme="minorEastAsia"/>
          <w:lang w:val="ar-SA" w:eastAsia="zh-TW" w:bidi="en-GB"/>
        </w:rPr>
      </w:pPr>
      <w:r w:rsidRPr="00790D70">
        <w:rPr>
          <w:rFonts w:eastAsiaTheme="minorEastAsia"/>
          <w:rtl/>
        </w:rPr>
        <w:tab/>
        <w:t>(ك)</w:t>
      </w:r>
      <w:r w:rsidRPr="00790D70">
        <w:rPr>
          <w:rFonts w:eastAsiaTheme="minorEastAsia"/>
          <w:rtl/>
        </w:rPr>
        <w:tab/>
        <w:t xml:space="preserve">تعديل قانون النقل الجوي، في عام </w:t>
      </w:r>
      <w:r w:rsidRPr="009B5F24">
        <w:rPr>
          <w:rFonts w:eastAsiaTheme="minorEastAsia"/>
          <w:rtl/>
        </w:rPr>
        <w:t>2015</w:t>
      </w:r>
      <w:r w:rsidRPr="00790D70">
        <w:rPr>
          <w:rFonts w:eastAsiaTheme="minorEastAsia"/>
          <w:rtl/>
        </w:rPr>
        <w:t xml:space="preserve">؛ </w:t>
      </w:r>
    </w:p>
    <w:p w14:paraId="2D0366BA" w14:textId="77777777" w:rsidR="00790D70" w:rsidRPr="00790D70" w:rsidRDefault="00790D70" w:rsidP="00790D70">
      <w:pPr>
        <w:pStyle w:val="SingleTxtGA"/>
        <w:rPr>
          <w:rFonts w:eastAsiaTheme="minorEastAsia"/>
          <w:lang w:eastAsia="zh-TW" w:bidi="en-GB"/>
        </w:rPr>
      </w:pPr>
      <w:r w:rsidRPr="00790D70">
        <w:rPr>
          <w:rFonts w:eastAsiaTheme="minorEastAsia"/>
          <w:rtl/>
        </w:rPr>
        <w:tab/>
        <w:t>(ل)</w:t>
      </w:r>
      <w:r w:rsidRPr="00790D70">
        <w:rPr>
          <w:rFonts w:eastAsiaTheme="minorEastAsia"/>
          <w:rtl/>
        </w:rPr>
        <w:tab/>
        <w:t xml:space="preserve">تعديل قانون العقوبات العام لتشديد العقوبة القصوى على جريمة الاتجار بالبشر، في عام </w:t>
      </w:r>
      <w:r w:rsidRPr="009B5F24">
        <w:rPr>
          <w:rFonts w:eastAsiaTheme="minorEastAsia"/>
          <w:rtl/>
        </w:rPr>
        <w:t>2011</w:t>
      </w:r>
      <w:r w:rsidRPr="00790D70">
        <w:rPr>
          <w:rFonts w:eastAsiaTheme="minorEastAsia"/>
          <w:rtl/>
        </w:rPr>
        <w:t xml:space="preserve">؛ </w:t>
      </w:r>
    </w:p>
    <w:p w14:paraId="7688C5AF" w14:textId="14C9B2BB" w:rsidR="00790D70" w:rsidRPr="00790D70" w:rsidRDefault="00790D70" w:rsidP="00790D70">
      <w:pPr>
        <w:pStyle w:val="SingleTxtGA"/>
        <w:rPr>
          <w:rFonts w:eastAsiaTheme="minorEastAsia"/>
          <w:lang w:val="ar-SA" w:eastAsia="zh-TW" w:bidi="en-GB"/>
        </w:rPr>
      </w:pPr>
      <w:r w:rsidRPr="00790D70">
        <w:rPr>
          <w:rFonts w:eastAsiaTheme="minorEastAsia"/>
          <w:rtl/>
        </w:rPr>
        <w:tab/>
        <w:t>(م)</w:t>
      </w:r>
      <w:r w:rsidRPr="00790D70">
        <w:rPr>
          <w:rFonts w:eastAsiaTheme="minorEastAsia"/>
          <w:rtl/>
        </w:rPr>
        <w:tab/>
        <w:t xml:space="preserve">اعتماد القانون رقم </w:t>
      </w:r>
      <w:r w:rsidRPr="009B5F24">
        <w:rPr>
          <w:rFonts w:eastAsiaTheme="minorEastAsia"/>
          <w:rtl/>
        </w:rPr>
        <w:t>85</w:t>
      </w:r>
      <w:r w:rsidRPr="00790D70">
        <w:rPr>
          <w:rFonts w:eastAsiaTheme="minorEastAsia"/>
          <w:rtl/>
        </w:rPr>
        <w:t>/</w:t>
      </w:r>
      <w:r w:rsidRPr="009B5F24">
        <w:rPr>
          <w:rFonts w:eastAsiaTheme="minorEastAsia"/>
          <w:rtl/>
        </w:rPr>
        <w:t>2011</w:t>
      </w:r>
      <w:r w:rsidRPr="00790D70">
        <w:rPr>
          <w:rFonts w:eastAsiaTheme="minorEastAsia"/>
          <w:rtl/>
        </w:rPr>
        <w:t xml:space="preserve"> بشأن الأوامر الزجرية والطرد من المنزل، في عام</w:t>
      </w:r>
      <w:r>
        <w:rPr>
          <w:rFonts w:eastAsiaTheme="minorEastAsia" w:hint="cs"/>
          <w:rtl/>
        </w:rPr>
        <w:t> </w:t>
      </w:r>
      <w:r w:rsidRPr="009B5F24">
        <w:rPr>
          <w:rFonts w:eastAsiaTheme="minorEastAsia"/>
          <w:rtl/>
        </w:rPr>
        <w:t>2011</w:t>
      </w:r>
      <w:r w:rsidRPr="00790D70">
        <w:rPr>
          <w:rFonts w:eastAsiaTheme="minorEastAsia"/>
          <w:rtl/>
        </w:rPr>
        <w:t xml:space="preserve">؛ </w:t>
      </w:r>
    </w:p>
    <w:p w14:paraId="23D6131E" w14:textId="1DFD7B8B" w:rsidR="00790D70" w:rsidRPr="00790D70" w:rsidRDefault="00790D70" w:rsidP="00790D70">
      <w:pPr>
        <w:pStyle w:val="SingleTxtGA"/>
        <w:rPr>
          <w:rFonts w:eastAsiaTheme="minorEastAsia"/>
          <w:lang w:eastAsia="zh-TW" w:bidi="en-GB"/>
        </w:rPr>
      </w:pPr>
      <w:r w:rsidRPr="00790D70">
        <w:rPr>
          <w:rFonts w:eastAsiaTheme="minorEastAsia"/>
          <w:rtl/>
        </w:rPr>
        <w:tab/>
        <w:t>(ن)</w:t>
      </w:r>
      <w:r w:rsidRPr="00790D70">
        <w:rPr>
          <w:rFonts w:eastAsiaTheme="minorEastAsia"/>
          <w:rtl/>
        </w:rPr>
        <w:tab/>
      </w:r>
      <w:r w:rsidRPr="00491133">
        <w:rPr>
          <w:rFonts w:eastAsiaTheme="minorEastAsia"/>
          <w:rtl/>
        </w:rPr>
        <w:t>تعديل قانون العقوبات العام لكي يجرّم على وجه التحديد المستفيدين من الاتجار والدعارة ومرتكبيهما، في ع</w:t>
      </w:r>
      <w:r w:rsidRPr="00790D70">
        <w:rPr>
          <w:rFonts w:eastAsiaTheme="minorEastAsia"/>
          <w:rtl/>
        </w:rPr>
        <w:t xml:space="preserve">ام </w:t>
      </w:r>
      <w:r w:rsidRPr="009B5F24">
        <w:rPr>
          <w:rFonts w:eastAsiaTheme="minorEastAsia"/>
          <w:rtl/>
        </w:rPr>
        <w:t>2009</w:t>
      </w:r>
      <w:r w:rsidRPr="00790D70">
        <w:rPr>
          <w:rFonts w:eastAsiaTheme="minorEastAsia"/>
          <w:rtl/>
        </w:rPr>
        <w:t>.</w:t>
      </w:r>
    </w:p>
    <w:p w14:paraId="4E751FE8" w14:textId="66A8304D" w:rsidR="00790D70" w:rsidRPr="00790D70" w:rsidRDefault="00790D70" w:rsidP="00790D70">
      <w:pPr>
        <w:pStyle w:val="SingleTxtGA"/>
        <w:rPr>
          <w:rFonts w:eastAsiaTheme="minorEastAsia"/>
          <w:lang w:val="ar-SA" w:eastAsia="zh-TW" w:bidi="en-GB"/>
        </w:rPr>
      </w:pPr>
      <w:r w:rsidRPr="009B5F24">
        <w:rPr>
          <w:rFonts w:eastAsiaTheme="minorEastAsia"/>
          <w:rtl/>
        </w:rPr>
        <w:t>6</w:t>
      </w:r>
      <w:r w:rsidRPr="00790D70">
        <w:rPr>
          <w:rFonts w:eastAsiaTheme="minorEastAsia"/>
          <w:rtl/>
        </w:rPr>
        <w:t>-</w:t>
      </w:r>
      <w:r w:rsidRPr="00790D70">
        <w:rPr>
          <w:rFonts w:eastAsiaTheme="minorEastAsia"/>
          <w:rtl/>
        </w:rPr>
        <w:tab/>
        <w:t>وتثني اللجنة على المبادرات التي اتخذتها الدولة الطرف من أجل تعديل سياساتها وإجراءاتها قصد توفير حماية أكبر لحقوق الإنسان، ومن أجل تطبيق الاتفاقية، ومنها بالأخص ما يلي</w:t>
      </w:r>
      <w:r w:rsidRPr="00790D70">
        <w:rPr>
          <w:rFonts w:eastAsiaTheme="minorEastAsia"/>
        </w:rPr>
        <w:t>:</w:t>
      </w:r>
      <w:r w:rsidRPr="00790D70">
        <w:rPr>
          <w:rFonts w:eastAsiaTheme="minorEastAsia"/>
          <w:rtl/>
        </w:rPr>
        <w:t xml:space="preserve"> </w:t>
      </w:r>
    </w:p>
    <w:p w14:paraId="7E55D3EE" w14:textId="77777777" w:rsidR="00790D70" w:rsidRPr="00790D70" w:rsidRDefault="00790D70" w:rsidP="00790D70">
      <w:pPr>
        <w:pStyle w:val="SingleTxtGA"/>
        <w:rPr>
          <w:rFonts w:eastAsiaTheme="minorEastAsia"/>
          <w:lang w:eastAsia="zh-TW" w:bidi="en-GB"/>
        </w:rPr>
      </w:pPr>
      <w:r w:rsidRPr="00790D70">
        <w:rPr>
          <w:rFonts w:eastAsiaTheme="minorEastAsia"/>
          <w:rtl/>
        </w:rPr>
        <w:tab/>
        <w:t>(أ)</w:t>
      </w:r>
      <w:r w:rsidRPr="00790D70">
        <w:rPr>
          <w:rFonts w:eastAsiaTheme="minorEastAsia"/>
          <w:rtl/>
        </w:rPr>
        <w:tab/>
        <w:t xml:space="preserve">اعتماد مبادرة "التركيز على إجراءات مكافحة الاتجار بالبشر وغيره من أشكال الاستغلال"، في عام </w:t>
      </w:r>
      <w:r w:rsidRPr="009B5F24">
        <w:rPr>
          <w:rFonts w:eastAsiaTheme="minorEastAsia"/>
          <w:rtl/>
        </w:rPr>
        <w:t>2019</w:t>
      </w:r>
      <w:r w:rsidRPr="00790D70">
        <w:rPr>
          <w:rFonts w:eastAsiaTheme="minorEastAsia"/>
          <w:rtl/>
        </w:rPr>
        <w:t xml:space="preserve">؛ </w:t>
      </w:r>
    </w:p>
    <w:p w14:paraId="3DB04AB2" w14:textId="77777777" w:rsidR="00790D70" w:rsidRPr="00790D70" w:rsidRDefault="00790D70" w:rsidP="00790D70">
      <w:pPr>
        <w:pStyle w:val="SingleTxtGA"/>
        <w:rPr>
          <w:rFonts w:eastAsiaTheme="minorEastAsia"/>
          <w:lang w:val="ar-SA" w:eastAsia="zh-TW" w:bidi="en-GB"/>
        </w:rPr>
      </w:pPr>
      <w:bookmarkStart w:id="1" w:name="_Toc101354550"/>
      <w:r w:rsidRPr="00790D70">
        <w:rPr>
          <w:rFonts w:eastAsiaTheme="minorEastAsia"/>
          <w:rtl/>
        </w:rPr>
        <w:lastRenderedPageBreak/>
        <w:tab/>
        <w:t>(ب)</w:t>
      </w:r>
      <w:r w:rsidRPr="00790D70">
        <w:rPr>
          <w:rFonts w:eastAsiaTheme="minorEastAsia"/>
          <w:rtl/>
        </w:rPr>
        <w:tab/>
        <w:t xml:space="preserve">اعتماد خطة العمل للتعامل مع الجرائم الجنسية، للفترة </w:t>
      </w:r>
      <w:r w:rsidRPr="009B5F24">
        <w:rPr>
          <w:rFonts w:eastAsiaTheme="minorEastAsia"/>
          <w:rtl/>
        </w:rPr>
        <w:t>2018</w:t>
      </w:r>
      <w:r w:rsidRPr="00790D70">
        <w:rPr>
          <w:rFonts w:eastAsiaTheme="minorEastAsia"/>
          <w:rtl/>
        </w:rPr>
        <w:t>-</w:t>
      </w:r>
      <w:r w:rsidRPr="009B5F24">
        <w:rPr>
          <w:rFonts w:eastAsiaTheme="minorEastAsia"/>
          <w:rtl/>
        </w:rPr>
        <w:t>2022</w:t>
      </w:r>
      <w:r w:rsidRPr="00790D70">
        <w:rPr>
          <w:rFonts w:eastAsiaTheme="minorEastAsia"/>
          <w:rtl/>
        </w:rPr>
        <w:t xml:space="preserve">؛ </w:t>
      </w:r>
      <w:bookmarkEnd w:id="1"/>
    </w:p>
    <w:p w14:paraId="2F2E649C" w14:textId="77777777" w:rsidR="00790D70" w:rsidRPr="00790D70" w:rsidRDefault="00790D70" w:rsidP="00790D70">
      <w:pPr>
        <w:pStyle w:val="SingleTxtGA"/>
        <w:rPr>
          <w:rFonts w:eastAsiaTheme="minorEastAsia"/>
          <w:lang w:val="ar-SA" w:eastAsia="zh-TW" w:bidi="en-GB"/>
        </w:rPr>
      </w:pPr>
      <w:r w:rsidRPr="00790D70">
        <w:rPr>
          <w:rFonts w:eastAsiaTheme="minorEastAsia"/>
          <w:rtl/>
        </w:rPr>
        <w:tab/>
        <w:t>(ج)</w:t>
      </w:r>
      <w:r w:rsidRPr="00790D70">
        <w:rPr>
          <w:rFonts w:eastAsiaTheme="minorEastAsia"/>
          <w:rtl/>
        </w:rPr>
        <w:tab/>
        <w:t xml:space="preserve">إنشاء لجنة توجيهية معنية بالتدابير الشاملة لمكافحة العنف الجنسي، في عام </w:t>
      </w:r>
      <w:r w:rsidRPr="009B5F24">
        <w:rPr>
          <w:rFonts w:eastAsiaTheme="minorEastAsia"/>
          <w:rtl/>
        </w:rPr>
        <w:t>2018</w:t>
      </w:r>
      <w:r w:rsidRPr="00790D70">
        <w:rPr>
          <w:rFonts w:eastAsiaTheme="minorEastAsia"/>
          <w:rtl/>
        </w:rPr>
        <w:t>؛</w:t>
      </w:r>
    </w:p>
    <w:p w14:paraId="21D67543" w14:textId="77777777" w:rsidR="00790D70" w:rsidRPr="00790D70" w:rsidRDefault="00790D70" w:rsidP="00790D70">
      <w:pPr>
        <w:pStyle w:val="SingleTxtGA"/>
        <w:rPr>
          <w:rFonts w:eastAsiaTheme="minorEastAsia"/>
          <w:lang w:val="ar-SA" w:eastAsia="zh-TW" w:bidi="en-GB"/>
        </w:rPr>
      </w:pPr>
      <w:r w:rsidRPr="00790D70">
        <w:rPr>
          <w:rFonts w:eastAsiaTheme="minorEastAsia"/>
          <w:rtl/>
        </w:rPr>
        <w:tab/>
        <w:t>(د)</w:t>
      </w:r>
      <w:r w:rsidRPr="00790D70">
        <w:rPr>
          <w:rFonts w:eastAsiaTheme="minorEastAsia"/>
          <w:rtl/>
        </w:rPr>
        <w:tab/>
        <w:t xml:space="preserve">إنشاء اللجنة التوجيهية لحقوق الإنسان، في عام </w:t>
      </w:r>
      <w:r w:rsidRPr="009B5F24">
        <w:rPr>
          <w:rFonts w:eastAsiaTheme="minorEastAsia"/>
          <w:rtl/>
        </w:rPr>
        <w:t>2017</w:t>
      </w:r>
      <w:r w:rsidRPr="00790D70">
        <w:rPr>
          <w:rFonts w:eastAsiaTheme="minorEastAsia"/>
          <w:rtl/>
        </w:rPr>
        <w:t>؛</w:t>
      </w:r>
    </w:p>
    <w:p w14:paraId="3B5D54D8" w14:textId="77777777" w:rsidR="00790D70" w:rsidRPr="00790D70" w:rsidRDefault="00790D70" w:rsidP="00790D70">
      <w:pPr>
        <w:pStyle w:val="SingleTxtGA"/>
        <w:rPr>
          <w:rFonts w:eastAsiaTheme="minorEastAsia"/>
          <w:lang w:val="ar-SA" w:eastAsia="zh-TW" w:bidi="en-GB"/>
        </w:rPr>
      </w:pPr>
      <w:r w:rsidRPr="00790D70">
        <w:rPr>
          <w:rFonts w:eastAsiaTheme="minorEastAsia"/>
          <w:rtl/>
        </w:rPr>
        <w:tab/>
        <w:t>(هـ)</w:t>
      </w:r>
      <w:r w:rsidRPr="00790D70">
        <w:rPr>
          <w:rFonts w:eastAsiaTheme="minorEastAsia"/>
          <w:rtl/>
        </w:rPr>
        <w:tab/>
        <w:t xml:space="preserve">إنشاء لجنة مراقبة الشرطة، في عام </w:t>
      </w:r>
      <w:r w:rsidRPr="009B5F24">
        <w:rPr>
          <w:rFonts w:eastAsiaTheme="minorEastAsia"/>
          <w:rtl/>
        </w:rPr>
        <w:t>2017</w:t>
      </w:r>
      <w:r w:rsidRPr="00790D70">
        <w:rPr>
          <w:rFonts w:eastAsiaTheme="minorEastAsia"/>
          <w:rtl/>
        </w:rPr>
        <w:t>؛</w:t>
      </w:r>
    </w:p>
    <w:p w14:paraId="068CC394" w14:textId="77777777" w:rsidR="00790D70" w:rsidRPr="00790D70" w:rsidRDefault="00790D70" w:rsidP="00790D70">
      <w:pPr>
        <w:pStyle w:val="SingleTxtGA"/>
        <w:rPr>
          <w:rFonts w:eastAsiaTheme="minorEastAsia"/>
          <w:lang w:val="ar-SA" w:eastAsia="zh-TW" w:bidi="en-GB"/>
        </w:rPr>
      </w:pPr>
      <w:r w:rsidRPr="00790D70">
        <w:rPr>
          <w:rFonts w:eastAsiaTheme="minorEastAsia"/>
          <w:rtl/>
        </w:rPr>
        <w:tab/>
        <w:t>(و)</w:t>
      </w:r>
      <w:r w:rsidRPr="00790D70">
        <w:rPr>
          <w:rFonts w:eastAsiaTheme="minorEastAsia"/>
          <w:rtl/>
        </w:rPr>
        <w:tab/>
        <w:t>اعتماد خطة العمل</w:t>
      </w:r>
      <w:r w:rsidRPr="00790D70">
        <w:rPr>
          <w:rFonts w:eastAsiaTheme="minorEastAsia"/>
        </w:rPr>
        <w:t xml:space="preserve"> </w:t>
      </w:r>
      <w:r w:rsidRPr="00790D70">
        <w:rPr>
          <w:rFonts w:eastAsiaTheme="minorEastAsia"/>
          <w:rtl/>
          <w:lang w:val="de-CH" w:bidi="ar-EG"/>
        </w:rPr>
        <w:t>الخاصة</w:t>
      </w:r>
      <w:r w:rsidRPr="00790D70">
        <w:rPr>
          <w:rFonts w:eastAsiaTheme="minorEastAsia"/>
          <w:rtl/>
        </w:rPr>
        <w:t xml:space="preserve"> بالهجرة، للفترة </w:t>
      </w:r>
      <w:r w:rsidRPr="009B5F24">
        <w:rPr>
          <w:rFonts w:eastAsiaTheme="minorEastAsia"/>
          <w:rtl/>
        </w:rPr>
        <w:t>2016</w:t>
      </w:r>
      <w:r w:rsidRPr="00790D70">
        <w:rPr>
          <w:rFonts w:eastAsiaTheme="minorEastAsia"/>
          <w:rtl/>
        </w:rPr>
        <w:t>-</w:t>
      </w:r>
      <w:r w:rsidRPr="009B5F24">
        <w:rPr>
          <w:rFonts w:eastAsiaTheme="minorEastAsia"/>
          <w:rtl/>
        </w:rPr>
        <w:t>2019</w:t>
      </w:r>
      <w:r w:rsidRPr="00790D70">
        <w:rPr>
          <w:rFonts w:eastAsiaTheme="minorEastAsia"/>
          <w:rtl/>
        </w:rPr>
        <w:t xml:space="preserve">؛ </w:t>
      </w:r>
    </w:p>
    <w:p w14:paraId="6137C7D3" w14:textId="77777777" w:rsidR="00790D70" w:rsidRPr="00790D70" w:rsidRDefault="00790D70" w:rsidP="00790D70">
      <w:pPr>
        <w:pStyle w:val="SingleTxtGA"/>
        <w:rPr>
          <w:rFonts w:eastAsiaTheme="minorEastAsia"/>
          <w:lang w:eastAsia="zh-TW" w:bidi="en-GB"/>
        </w:rPr>
      </w:pPr>
      <w:r w:rsidRPr="00790D70">
        <w:rPr>
          <w:rFonts w:eastAsiaTheme="minorEastAsia"/>
          <w:rtl/>
        </w:rPr>
        <w:tab/>
        <w:t>(ز)</w:t>
      </w:r>
      <w:r w:rsidRPr="00790D70">
        <w:rPr>
          <w:rFonts w:eastAsiaTheme="minorEastAsia"/>
          <w:rtl/>
        </w:rPr>
        <w:tab/>
      </w:r>
      <w:r w:rsidRPr="00491133">
        <w:rPr>
          <w:rFonts w:eastAsiaTheme="minorEastAsia"/>
          <w:rtl/>
        </w:rPr>
        <w:t>إنشاء مركز تدريب الشرطة وتطويرها المهني داخل مكتب مفوض الشرطة الوطنية لآيسلندا، في ع</w:t>
      </w:r>
      <w:r w:rsidRPr="00790D70">
        <w:rPr>
          <w:rFonts w:eastAsiaTheme="minorEastAsia"/>
          <w:rtl/>
        </w:rPr>
        <w:t xml:space="preserve">ام </w:t>
      </w:r>
      <w:r w:rsidRPr="009B5F24">
        <w:rPr>
          <w:rFonts w:eastAsiaTheme="minorEastAsia"/>
          <w:rtl/>
        </w:rPr>
        <w:t>2016</w:t>
      </w:r>
      <w:r w:rsidRPr="00790D70">
        <w:rPr>
          <w:rFonts w:eastAsiaTheme="minorEastAsia"/>
          <w:rtl/>
        </w:rPr>
        <w:t>؛</w:t>
      </w:r>
    </w:p>
    <w:p w14:paraId="33F9D94C" w14:textId="77777777" w:rsidR="00790D70" w:rsidRPr="00790D70" w:rsidRDefault="00790D70" w:rsidP="00790D70">
      <w:pPr>
        <w:pStyle w:val="SingleTxtGA"/>
        <w:rPr>
          <w:rFonts w:eastAsiaTheme="minorEastAsia"/>
          <w:lang w:val="ar-SA" w:eastAsia="zh-TW" w:bidi="en-GB"/>
        </w:rPr>
      </w:pPr>
      <w:r w:rsidRPr="00790D70">
        <w:rPr>
          <w:rFonts w:eastAsiaTheme="minorEastAsia"/>
          <w:rtl/>
        </w:rPr>
        <w:tab/>
        <w:t>(ح)</w:t>
      </w:r>
      <w:r w:rsidRPr="00790D70">
        <w:rPr>
          <w:rFonts w:eastAsiaTheme="minorEastAsia"/>
          <w:rtl/>
        </w:rPr>
        <w:tab/>
        <w:t xml:space="preserve">إنشاء مجلس طعون الهجرة واللجوء، في عام </w:t>
      </w:r>
      <w:r w:rsidRPr="009B5F24">
        <w:rPr>
          <w:rFonts w:eastAsiaTheme="minorEastAsia"/>
          <w:rtl/>
        </w:rPr>
        <w:t>2015</w:t>
      </w:r>
      <w:r w:rsidRPr="00790D70">
        <w:rPr>
          <w:rFonts w:eastAsiaTheme="minorEastAsia"/>
          <w:rtl/>
        </w:rPr>
        <w:t>؛</w:t>
      </w:r>
    </w:p>
    <w:p w14:paraId="131204D1" w14:textId="77777777" w:rsidR="00790D70" w:rsidRPr="00790D70" w:rsidRDefault="00790D70" w:rsidP="00790D70">
      <w:pPr>
        <w:pStyle w:val="SingleTxtGA"/>
        <w:rPr>
          <w:rFonts w:eastAsiaTheme="minorEastAsia"/>
          <w:lang w:eastAsia="zh-TW" w:bidi="en-GB"/>
        </w:rPr>
      </w:pPr>
      <w:r w:rsidRPr="00790D70">
        <w:rPr>
          <w:rFonts w:eastAsiaTheme="minorEastAsia"/>
          <w:rtl/>
        </w:rPr>
        <w:tab/>
        <w:t>(ط)</w:t>
      </w:r>
      <w:r w:rsidRPr="00790D70">
        <w:rPr>
          <w:rFonts w:eastAsiaTheme="minorEastAsia"/>
          <w:rtl/>
        </w:rPr>
        <w:tab/>
        <w:t xml:space="preserve">اعتماد قواعد جديدة بشأن الإجراءات المتعلقة بحالات العنف العائلي التي تُخبَر بها الشرطة وتسجيل هذه الحالات، في عام </w:t>
      </w:r>
      <w:r w:rsidRPr="009B5F24">
        <w:rPr>
          <w:rFonts w:eastAsiaTheme="minorEastAsia"/>
          <w:rtl/>
        </w:rPr>
        <w:t>2014</w:t>
      </w:r>
      <w:r w:rsidRPr="00790D70">
        <w:rPr>
          <w:rFonts w:eastAsiaTheme="minorEastAsia"/>
          <w:rtl/>
        </w:rPr>
        <w:t xml:space="preserve">؛ </w:t>
      </w:r>
    </w:p>
    <w:p w14:paraId="148931E3" w14:textId="489A8FBE" w:rsidR="00790D70" w:rsidRPr="00790D70" w:rsidRDefault="00790D70" w:rsidP="00790D70">
      <w:pPr>
        <w:pStyle w:val="SingleTxtGA"/>
        <w:rPr>
          <w:rFonts w:eastAsiaTheme="minorEastAsia"/>
          <w:lang w:val="ar-SA" w:eastAsia="zh-TW" w:bidi="en-GB"/>
        </w:rPr>
      </w:pPr>
      <w:r w:rsidRPr="00790D70">
        <w:rPr>
          <w:rFonts w:eastAsiaTheme="minorEastAsia"/>
          <w:rtl/>
        </w:rPr>
        <w:tab/>
      </w:r>
      <w:r w:rsidRPr="00491133">
        <w:rPr>
          <w:rFonts w:eastAsiaTheme="minorEastAsia"/>
          <w:rtl/>
        </w:rPr>
        <w:t>(ي)</w:t>
      </w:r>
      <w:r w:rsidRPr="00491133">
        <w:rPr>
          <w:rFonts w:eastAsiaTheme="minorEastAsia"/>
          <w:rtl/>
        </w:rPr>
        <w:tab/>
        <w:t>اعتماد الخطة الوطنية لمكافحة الاتجار بالبشر، للفترة</w:t>
      </w:r>
      <w:r w:rsidR="007363D2">
        <w:rPr>
          <w:rFonts w:eastAsiaTheme="minorEastAsia" w:hint="cs"/>
          <w:rtl/>
        </w:rPr>
        <w:t xml:space="preserve"> </w:t>
      </w:r>
      <w:r w:rsidRPr="009B5F24">
        <w:rPr>
          <w:rFonts w:eastAsiaTheme="minorEastAsia"/>
          <w:rtl/>
        </w:rPr>
        <w:t>2013</w:t>
      </w:r>
      <w:r w:rsidRPr="00790D70">
        <w:rPr>
          <w:rFonts w:eastAsiaTheme="minorEastAsia"/>
          <w:rtl/>
        </w:rPr>
        <w:t>-</w:t>
      </w:r>
      <w:r w:rsidRPr="009B5F24">
        <w:rPr>
          <w:rFonts w:eastAsiaTheme="minorEastAsia"/>
          <w:rtl/>
        </w:rPr>
        <w:t>2016</w:t>
      </w:r>
      <w:r w:rsidRPr="00790D70">
        <w:rPr>
          <w:rFonts w:eastAsiaTheme="minorEastAsia"/>
          <w:rtl/>
        </w:rPr>
        <w:t>.</w:t>
      </w:r>
    </w:p>
    <w:p w14:paraId="4361A811" w14:textId="1C639529" w:rsidR="00790D70" w:rsidRPr="00790D70" w:rsidRDefault="00790D70" w:rsidP="00790D70">
      <w:pPr>
        <w:pStyle w:val="SingleTxtGA"/>
        <w:rPr>
          <w:rFonts w:eastAsiaTheme="minorEastAsia"/>
          <w:lang w:eastAsia="zh-TW" w:bidi="en-GB"/>
        </w:rPr>
      </w:pPr>
      <w:r w:rsidRPr="009B5F24">
        <w:rPr>
          <w:rFonts w:eastAsiaTheme="minorEastAsia"/>
          <w:rtl/>
        </w:rPr>
        <w:t>7</w:t>
      </w:r>
      <w:r w:rsidRPr="00790D70">
        <w:rPr>
          <w:rFonts w:eastAsiaTheme="minorEastAsia"/>
          <w:rtl/>
        </w:rPr>
        <w:t>-</w:t>
      </w:r>
      <w:r w:rsidRPr="00790D70">
        <w:rPr>
          <w:rFonts w:eastAsiaTheme="minorEastAsia"/>
          <w:rtl/>
        </w:rPr>
        <w:tab/>
        <w:t xml:space="preserve">وترحب اللجنة بتعيين أمين المظالم البرلماني بوصفه الآلية الوقائية الوطنية عقب التعديلات التشريعية لعام </w:t>
      </w:r>
      <w:r w:rsidRPr="009B5F24">
        <w:rPr>
          <w:rFonts w:eastAsiaTheme="minorEastAsia"/>
          <w:rtl/>
        </w:rPr>
        <w:t>2018</w:t>
      </w:r>
      <w:r w:rsidRPr="00790D70">
        <w:rPr>
          <w:rFonts w:eastAsiaTheme="minorEastAsia"/>
          <w:rtl/>
        </w:rPr>
        <w:t>. وتلاحظ أنه يمكن أمينَ المظالم البرلماني إجراء زيارات رصد لجميع أماكن سلب الحرية، وقد أجرى بالفعل تسع زيارات، ويمكنه أيض</w:t>
      </w:r>
      <w:r w:rsidR="00946B70">
        <w:rPr>
          <w:rFonts w:eastAsiaTheme="minorEastAsia"/>
          <w:rtl/>
        </w:rPr>
        <w:t xml:space="preserve">اً </w:t>
      </w:r>
      <w:r w:rsidRPr="00790D70">
        <w:rPr>
          <w:rFonts w:eastAsiaTheme="minorEastAsia"/>
          <w:rtl/>
        </w:rPr>
        <w:t xml:space="preserve">تلقي شكاوى من الأفراد بشأن العنف وتقديم توصيات غير ملزمة إلى السلطات الوطنية. </w:t>
      </w:r>
    </w:p>
    <w:p w14:paraId="14796AF2" w14:textId="77777777" w:rsidR="00790D70" w:rsidRPr="009B5F24" w:rsidRDefault="00790D70" w:rsidP="00790D70">
      <w:pPr>
        <w:pStyle w:val="H1GA"/>
        <w:rPr>
          <w:lang w:val="ar-SA" w:eastAsia="zh-TW" w:bidi="en-GB"/>
        </w:rPr>
      </w:pPr>
      <w:r w:rsidRPr="009B5F24">
        <w:rPr>
          <w:rtl/>
        </w:rPr>
        <w:tab/>
        <w:t>جيم-</w:t>
      </w:r>
      <w:r w:rsidRPr="009B5F24">
        <w:rPr>
          <w:rtl/>
        </w:rPr>
        <w:tab/>
        <w:t>دواعي القلق الرئيسية والتوصيات</w:t>
      </w:r>
    </w:p>
    <w:p w14:paraId="1108866E" w14:textId="58E52E73" w:rsidR="00790D70" w:rsidRPr="009B5F24" w:rsidRDefault="00790D70" w:rsidP="00790D70">
      <w:pPr>
        <w:pStyle w:val="H23GA"/>
        <w:rPr>
          <w:lang w:val="ar-SA" w:eastAsia="zh-TW" w:bidi="en-GB"/>
        </w:rPr>
      </w:pPr>
      <w:r w:rsidRPr="009B5F24">
        <w:rPr>
          <w:rtl/>
        </w:rPr>
        <w:tab/>
      </w:r>
      <w:r w:rsidRPr="009B5F24">
        <w:rPr>
          <w:rtl/>
        </w:rPr>
        <w:tab/>
        <w:t>مسائل المتابعة المعلَّقة منذ الجولة السابقة لتقديم التقارير</w:t>
      </w:r>
    </w:p>
    <w:p w14:paraId="0F19EC80" w14:textId="379F6EB9" w:rsidR="00790D70" w:rsidRPr="00790D70" w:rsidRDefault="00790D70" w:rsidP="00790D70">
      <w:pPr>
        <w:pStyle w:val="SingleTxtGA"/>
        <w:rPr>
          <w:rFonts w:eastAsiaTheme="minorEastAsia"/>
          <w:lang w:eastAsia="zh-TW" w:bidi="en-GB"/>
        </w:rPr>
      </w:pPr>
      <w:r w:rsidRPr="009B5F24">
        <w:rPr>
          <w:rFonts w:eastAsiaTheme="minorEastAsia"/>
          <w:rtl/>
        </w:rPr>
        <w:t>8</w:t>
      </w:r>
      <w:r w:rsidRPr="00790D70">
        <w:rPr>
          <w:rFonts w:eastAsiaTheme="minorEastAsia"/>
          <w:rtl/>
        </w:rPr>
        <w:t>-</w:t>
      </w:r>
      <w:r w:rsidRPr="00790D70">
        <w:rPr>
          <w:rFonts w:eastAsiaTheme="minorEastAsia"/>
          <w:rtl/>
        </w:rPr>
        <w:tab/>
        <w:t>طلبت اللجنة، في ملاحظاتها الختامية السابقة</w:t>
      </w:r>
      <w:r w:rsidRPr="00491133">
        <w:rPr>
          <w:rStyle w:val="FootnoteReference"/>
          <w:rFonts w:eastAsiaTheme="minorEastAsia"/>
          <w:sz w:val="22"/>
          <w:rtl/>
        </w:rPr>
        <w:t>(</w:t>
      </w:r>
      <w:r w:rsidRPr="009B5F24">
        <w:rPr>
          <w:rStyle w:val="FootnoteReference"/>
          <w:rFonts w:eastAsiaTheme="minorEastAsia"/>
          <w:sz w:val="22"/>
          <w:lang w:val="en-US"/>
        </w:rPr>
        <w:footnoteReference w:id="4"/>
      </w:r>
      <w:r w:rsidRPr="00790D70">
        <w:rPr>
          <w:rStyle w:val="FootnoteReference"/>
          <w:rFonts w:eastAsiaTheme="minorEastAsia"/>
          <w:sz w:val="22"/>
          <w:rtl/>
        </w:rPr>
        <w:t>)</w:t>
      </w:r>
      <w:r w:rsidRPr="00790D70">
        <w:rPr>
          <w:rFonts w:eastAsiaTheme="minorEastAsia"/>
          <w:rtl/>
        </w:rPr>
        <w:t>، إلى الدولة الطرف أن تقدم إليها معلومات عن تنفيذها توصيات اللجنة بشأن الحبس الانفرادي والاتجار بالبشر والعنف ضد المرأة والفتاة</w:t>
      </w:r>
      <w:r w:rsidRPr="00491133">
        <w:rPr>
          <w:rStyle w:val="FootnoteReference"/>
          <w:rFonts w:eastAsiaTheme="minorEastAsia"/>
          <w:sz w:val="22"/>
          <w:rtl/>
        </w:rPr>
        <w:t>(</w:t>
      </w:r>
      <w:r w:rsidRPr="009B5F24">
        <w:rPr>
          <w:rStyle w:val="FootnoteReference"/>
          <w:rFonts w:eastAsiaTheme="minorEastAsia"/>
          <w:sz w:val="22"/>
          <w:lang w:val="en-US"/>
        </w:rPr>
        <w:footnoteReference w:id="5"/>
      </w:r>
      <w:r w:rsidRPr="00790D70">
        <w:rPr>
          <w:rStyle w:val="FootnoteReference"/>
          <w:rFonts w:eastAsiaTheme="minorEastAsia"/>
          <w:sz w:val="22"/>
          <w:rtl/>
        </w:rPr>
        <w:t>)</w:t>
      </w:r>
      <w:r w:rsidRPr="00790D70">
        <w:rPr>
          <w:rFonts w:eastAsiaTheme="minorEastAsia"/>
          <w:rtl/>
        </w:rPr>
        <w:t xml:space="preserve">. وإذ تلاحظ مع التقدير ردود الدولة الطرف في </w:t>
      </w:r>
      <w:r w:rsidRPr="009B5F24">
        <w:rPr>
          <w:rFonts w:eastAsiaTheme="minorEastAsia"/>
          <w:rtl/>
        </w:rPr>
        <w:t>22</w:t>
      </w:r>
      <w:r w:rsidRPr="00790D70">
        <w:rPr>
          <w:rFonts w:eastAsiaTheme="minorEastAsia"/>
          <w:rtl/>
        </w:rPr>
        <w:t xml:space="preserve"> كانون الأول/ديسمبر </w:t>
      </w:r>
      <w:r w:rsidRPr="009B5F24">
        <w:rPr>
          <w:rFonts w:eastAsiaTheme="minorEastAsia"/>
          <w:rtl/>
        </w:rPr>
        <w:t>2009</w:t>
      </w:r>
      <w:r w:rsidRPr="00790D70">
        <w:rPr>
          <w:rFonts w:eastAsiaTheme="minorEastAsia"/>
          <w:rtl/>
        </w:rPr>
        <w:t xml:space="preserve"> في إطار إجراءات المتابعة</w:t>
      </w:r>
      <w:r w:rsidRPr="00491133">
        <w:rPr>
          <w:rStyle w:val="FootnoteReference"/>
          <w:rFonts w:eastAsiaTheme="minorEastAsia"/>
          <w:sz w:val="22"/>
          <w:rtl/>
        </w:rPr>
        <w:t>(</w:t>
      </w:r>
      <w:r w:rsidRPr="009B5F24">
        <w:rPr>
          <w:rStyle w:val="FootnoteReference"/>
          <w:rFonts w:eastAsiaTheme="minorEastAsia"/>
          <w:sz w:val="22"/>
          <w:lang w:val="en-US"/>
        </w:rPr>
        <w:footnoteReference w:id="6"/>
      </w:r>
      <w:r w:rsidRPr="00790D70">
        <w:rPr>
          <w:rStyle w:val="FootnoteReference"/>
          <w:rFonts w:eastAsiaTheme="minorEastAsia"/>
          <w:sz w:val="22"/>
          <w:rtl/>
        </w:rPr>
        <w:t>)</w:t>
      </w:r>
      <w:r w:rsidRPr="00790D70">
        <w:rPr>
          <w:rFonts w:eastAsiaTheme="minorEastAsia"/>
          <w:rtl/>
        </w:rPr>
        <w:t xml:space="preserve">، وإذ تشير إلى الرسالة المؤرخة </w:t>
      </w:r>
      <w:r w:rsidRPr="009B5F24">
        <w:rPr>
          <w:rFonts w:eastAsiaTheme="minorEastAsia"/>
          <w:rtl/>
        </w:rPr>
        <w:t>19</w:t>
      </w:r>
      <w:r w:rsidRPr="00790D70">
        <w:rPr>
          <w:rFonts w:eastAsiaTheme="minorEastAsia"/>
          <w:rtl/>
        </w:rPr>
        <w:t xml:space="preserve"> تشرين الثاني/نوفمبر </w:t>
      </w:r>
      <w:r w:rsidRPr="009B5F24">
        <w:rPr>
          <w:rFonts w:eastAsiaTheme="minorEastAsia"/>
          <w:rtl/>
        </w:rPr>
        <w:t>2010</w:t>
      </w:r>
      <w:r w:rsidRPr="00790D70">
        <w:rPr>
          <w:rFonts w:eastAsiaTheme="minorEastAsia"/>
          <w:rtl/>
        </w:rPr>
        <w:t xml:space="preserve"> التي وجهتها مقررة اللجنة المعنية بمتابعة الملاحظات الختامية إلى الممثل الدائم لآيسلندا لدى مكتب الأمم المتحدة والمنظمات الدولية الأخرى في جنيف، ترى أن المعلومات الواردة من الدولة الطرف لا تكفي لتقييم</w:t>
      </w:r>
      <w:r>
        <w:rPr>
          <w:rFonts w:eastAsiaTheme="minorEastAsia"/>
          <w:rtl/>
        </w:rPr>
        <w:t xml:space="preserve"> </w:t>
      </w:r>
      <w:r w:rsidRPr="00790D70">
        <w:rPr>
          <w:rFonts w:eastAsiaTheme="minorEastAsia"/>
          <w:rtl/>
        </w:rPr>
        <w:t xml:space="preserve">واستنتاج أن توصيات اللجنة الواردة في ملاحظاتها الختامية السابقة قد نُفذت تنفيذاً كاملاً. وتشتمل الفقرات </w:t>
      </w:r>
      <w:r w:rsidRPr="009B5F24">
        <w:rPr>
          <w:rFonts w:eastAsiaTheme="minorEastAsia"/>
          <w:rtl/>
        </w:rPr>
        <w:t>13</w:t>
      </w:r>
      <w:r w:rsidRPr="00790D70">
        <w:rPr>
          <w:rFonts w:eastAsiaTheme="minorEastAsia"/>
          <w:rtl/>
        </w:rPr>
        <w:t>-</w:t>
      </w:r>
      <w:r w:rsidRPr="009B5F24">
        <w:rPr>
          <w:rFonts w:eastAsiaTheme="minorEastAsia"/>
          <w:rtl/>
        </w:rPr>
        <w:t>14</w:t>
      </w:r>
      <w:r w:rsidRPr="00790D70">
        <w:rPr>
          <w:rFonts w:eastAsiaTheme="minorEastAsia"/>
          <w:rtl/>
        </w:rPr>
        <w:t xml:space="preserve"> و</w:t>
      </w:r>
      <w:r w:rsidRPr="009B5F24">
        <w:rPr>
          <w:rFonts w:eastAsiaTheme="minorEastAsia"/>
          <w:rtl/>
        </w:rPr>
        <w:t>21</w:t>
      </w:r>
      <w:r w:rsidRPr="00790D70">
        <w:rPr>
          <w:rFonts w:eastAsiaTheme="minorEastAsia"/>
          <w:rtl/>
        </w:rPr>
        <w:t>-</w:t>
      </w:r>
      <w:r w:rsidRPr="009B5F24">
        <w:rPr>
          <w:rFonts w:eastAsiaTheme="minorEastAsia"/>
          <w:rtl/>
        </w:rPr>
        <w:t>22</w:t>
      </w:r>
      <w:r w:rsidRPr="00790D70">
        <w:rPr>
          <w:rFonts w:eastAsiaTheme="minorEastAsia"/>
          <w:rtl/>
        </w:rPr>
        <w:t xml:space="preserve"> و</w:t>
      </w:r>
      <w:r w:rsidRPr="009B5F24">
        <w:rPr>
          <w:rFonts w:eastAsiaTheme="minorEastAsia"/>
          <w:rtl/>
        </w:rPr>
        <w:t>19</w:t>
      </w:r>
      <w:r w:rsidRPr="00790D70">
        <w:rPr>
          <w:rFonts w:eastAsiaTheme="minorEastAsia"/>
          <w:rtl/>
        </w:rPr>
        <w:t>-</w:t>
      </w:r>
      <w:r w:rsidRPr="009B5F24">
        <w:rPr>
          <w:rFonts w:eastAsiaTheme="minorEastAsia"/>
          <w:rtl/>
        </w:rPr>
        <w:t>20</w:t>
      </w:r>
      <w:r w:rsidRPr="00790D70">
        <w:rPr>
          <w:rFonts w:eastAsiaTheme="minorEastAsia"/>
          <w:rtl/>
        </w:rPr>
        <w:t xml:space="preserve"> من هذه الوثيقة على هذه المسائل.</w:t>
      </w:r>
    </w:p>
    <w:p w14:paraId="7092A95D" w14:textId="77777777" w:rsidR="00790D70" w:rsidRPr="009B5F24" w:rsidRDefault="00790D70" w:rsidP="00790D70">
      <w:pPr>
        <w:pStyle w:val="H23GA"/>
        <w:rPr>
          <w:lang w:eastAsia="zh-TW" w:bidi="en-GB"/>
        </w:rPr>
      </w:pPr>
      <w:r w:rsidRPr="009B5F24">
        <w:rPr>
          <w:rtl/>
        </w:rPr>
        <w:tab/>
      </w:r>
      <w:r w:rsidRPr="009B5F24">
        <w:rPr>
          <w:rtl/>
        </w:rPr>
        <w:tab/>
        <w:t xml:space="preserve">تعريف التعذيب وتجريمه </w:t>
      </w:r>
    </w:p>
    <w:p w14:paraId="24C7DE89" w14:textId="6109FEA1" w:rsidR="00790D70" w:rsidRPr="00790D70" w:rsidRDefault="00790D70" w:rsidP="00790D70">
      <w:pPr>
        <w:pStyle w:val="SingleTxtGA"/>
        <w:rPr>
          <w:rFonts w:eastAsiaTheme="minorEastAsia"/>
          <w:lang w:val="ar-SA" w:eastAsia="zh-TW" w:bidi="en-GB"/>
        </w:rPr>
      </w:pPr>
      <w:r w:rsidRPr="009B5F24">
        <w:rPr>
          <w:rFonts w:eastAsiaTheme="minorEastAsia"/>
          <w:rtl/>
        </w:rPr>
        <w:t>9</w:t>
      </w:r>
      <w:r w:rsidRPr="00790D70">
        <w:rPr>
          <w:rFonts w:eastAsiaTheme="minorEastAsia"/>
          <w:rtl/>
        </w:rPr>
        <w:t>-</w:t>
      </w:r>
      <w:r w:rsidRPr="00790D70">
        <w:rPr>
          <w:rFonts w:eastAsiaTheme="minorEastAsia"/>
          <w:rtl/>
        </w:rPr>
        <w:tab/>
        <w:t>تحيط اللجنة علم</w:t>
      </w:r>
      <w:r w:rsidR="00946B70">
        <w:rPr>
          <w:rFonts w:eastAsiaTheme="minorEastAsia"/>
          <w:rtl/>
        </w:rPr>
        <w:t xml:space="preserve">اً </w:t>
      </w:r>
      <w:r w:rsidRPr="00790D70">
        <w:rPr>
          <w:rFonts w:eastAsiaTheme="minorEastAsia"/>
          <w:rtl/>
        </w:rPr>
        <w:t>بالحكم الدستوري القائم الذي يحظر التعذيب وسوء المعاملة، وبالتشريعات التي تعاقب على جميع أشكال العنف البدني بموجب قانون العقوبات العام، إضافة إلى مبدأ تفسير المحاكم الوطنية الحظرَ الدستوري في ضوء الاتفاقية، غير أنها تأسف لكون الدولة الطرف لم تجرم بعد التعذيب بوصفه جريمة محددة في تشريعاتها الوطنية وفق</w:t>
      </w:r>
      <w:r w:rsidR="00946B70">
        <w:rPr>
          <w:rFonts w:eastAsiaTheme="minorEastAsia"/>
          <w:rtl/>
        </w:rPr>
        <w:t xml:space="preserve">اً </w:t>
      </w:r>
      <w:r w:rsidRPr="00790D70">
        <w:rPr>
          <w:rFonts w:eastAsiaTheme="minorEastAsia"/>
          <w:rtl/>
        </w:rPr>
        <w:t xml:space="preserve">للمادة </w:t>
      </w:r>
      <w:r w:rsidRPr="009B5F24">
        <w:rPr>
          <w:rFonts w:eastAsiaTheme="minorEastAsia"/>
          <w:rtl/>
        </w:rPr>
        <w:t>4</w:t>
      </w:r>
      <w:r w:rsidRPr="00790D70">
        <w:rPr>
          <w:rFonts w:eastAsiaTheme="minorEastAsia"/>
          <w:rtl/>
        </w:rPr>
        <w:t>(</w:t>
      </w:r>
      <w:r w:rsidRPr="009B5F24">
        <w:rPr>
          <w:rFonts w:eastAsiaTheme="minorEastAsia"/>
          <w:rtl/>
        </w:rPr>
        <w:t>2</w:t>
      </w:r>
      <w:r w:rsidRPr="00790D70">
        <w:rPr>
          <w:rFonts w:eastAsiaTheme="minorEastAsia"/>
          <w:rtl/>
        </w:rPr>
        <w:t xml:space="preserve">) من الاتفاقية. وعلاوة على ذلك، </w:t>
      </w:r>
      <w:r w:rsidRPr="00790D70">
        <w:rPr>
          <w:rFonts w:eastAsiaTheme="minorEastAsia"/>
          <w:rtl/>
        </w:rPr>
        <w:lastRenderedPageBreak/>
        <w:t>لا</w:t>
      </w:r>
      <w:r w:rsidR="00946B70">
        <w:rPr>
          <w:rFonts w:eastAsiaTheme="minorEastAsia" w:hint="cs"/>
          <w:rtl/>
        </w:rPr>
        <w:t> </w:t>
      </w:r>
      <w:r w:rsidRPr="00790D70">
        <w:rPr>
          <w:rFonts w:eastAsiaTheme="minorEastAsia"/>
          <w:rtl/>
        </w:rPr>
        <w:t xml:space="preserve">تزال اللجنة تشعر بالقلق من استمرار خلوّ تشريعات الدولة الطرف الوطنية من تعريف للتعذيب يتسق مع المادة </w:t>
      </w:r>
      <w:r w:rsidRPr="009B5F24">
        <w:rPr>
          <w:rFonts w:eastAsiaTheme="minorEastAsia"/>
          <w:rtl/>
        </w:rPr>
        <w:t>1</w:t>
      </w:r>
      <w:r w:rsidRPr="00790D70">
        <w:rPr>
          <w:rFonts w:eastAsiaTheme="minorEastAsia"/>
          <w:rtl/>
        </w:rPr>
        <w:t xml:space="preserve"> من الاتفاقية. وتحيط علم</w:t>
      </w:r>
      <w:r w:rsidR="00946B70">
        <w:rPr>
          <w:rFonts w:eastAsiaTheme="minorEastAsia"/>
          <w:rtl/>
        </w:rPr>
        <w:t xml:space="preserve">اً </w:t>
      </w:r>
      <w:r w:rsidRPr="00790D70">
        <w:rPr>
          <w:rFonts w:eastAsiaTheme="minorEastAsia"/>
          <w:rtl/>
        </w:rPr>
        <w:t>في هذا الصدد بالتزام الدولة الطرف بإعادة النظر في التشريعات القائمة لمواءمتها مع الاتفاقية. وأخير</w:t>
      </w:r>
      <w:r w:rsidR="00946B70">
        <w:rPr>
          <w:rFonts w:eastAsiaTheme="minorEastAsia"/>
          <w:rtl/>
        </w:rPr>
        <w:t xml:space="preserve">اً، </w:t>
      </w:r>
      <w:r w:rsidRPr="00790D70">
        <w:rPr>
          <w:rFonts w:eastAsiaTheme="minorEastAsia"/>
          <w:rtl/>
        </w:rPr>
        <w:t>تأسف أيض</w:t>
      </w:r>
      <w:r w:rsidR="00946B70">
        <w:rPr>
          <w:rFonts w:eastAsiaTheme="minorEastAsia"/>
          <w:rtl/>
        </w:rPr>
        <w:t xml:space="preserve">اً </w:t>
      </w:r>
      <w:r w:rsidRPr="00790D70">
        <w:rPr>
          <w:rFonts w:eastAsiaTheme="minorEastAsia"/>
          <w:rtl/>
        </w:rPr>
        <w:t>لكون الدولة الطرف لم تمدّها بمعلومات عن الحالات التي فسرت فيها المحاكم الوطنية، عملي</w:t>
      </w:r>
      <w:r w:rsidR="00946B70">
        <w:rPr>
          <w:rFonts w:eastAsiaTheme="minorEastAsia"/>
          <w:rtl/>
        </w:rPr>
        <w:t xml:space="preserve">اً، </w:t>
      </w:r>
      <w:r w:rsidRPr="00790D70">
        <w:rPr>
          <w:rFonts w:eastAsiaTheme="minorEastAsia"/>
          <w:rtl/>
        </w:rPr>
        <w:t xml:space="preserve">الحظر الدستوري للتعذيب في ضوء الحظر الذي تفرضه الاتفاقية (المواد </w:t>
      </w:r>
      <w:r w:rsidRPr="009B5F24">
        <w:rPr>
          <w:rFonts w:eastAsiaTheme="minorEastAsia"/>
          <w:rtl/>
        </w:rPr>
        <w:t>1</w:t>
      </w:r>
      <w:r w:rsidRPr="00790D70">
        <w:rPr>
          <w:rFonts w:eastAsiaTheme="minorEastAsia"/>
          <w:rtl/>
        </w:rPr>
        <w:t xml:space="preserve"> و</w:t>
      </w:r>
      <w:r w:rsidRPr="009B5F24">
        <w:rPr>
          <w:rFonts w:eastAsiaTheme="minorEastAsia"/>
          <w:rtl/>
        </w:rPr>
        <w:t>2</w:t>
      </w:r>
      <w:r w:rsidRPr="00790D70">
        <w:rPr>
          <w:rFonts w:eastAsiaTheme="minorEastAsia"/>
          <w:rtl/>
        </w:rPr>
        <w:t xml:space="preserve"> و</w:t>
      </w:r>
      <w:r w:rsidRPr="009B5F24">
        <w:rPr>
          <w:rFonts w:eastAsiaTheme="minorEastAsia"/>
          <w:rtl/>
        </w:rPr>
        <w:t>4</w:t>
      </w:r>
      <w:r w:rsidRPr="00790D70">
        <w:rPr>
          <w:rFonts w:eastAsiaTheme="minorEastAsia"/>
          <w:rtl/>
        </w:rPr>
        <w:t>).</w:t>
      </w:r>
    </w:p>
    <w:p w14:paraId="30E907B2" w14:textId="4F45D92C" w:rsidR="00790D70" w:rsidRPr="00790D70" w:rsidRDefault="00790D70" w:rsidP="00790D70">
      <w:pPr>
        <w:pStyle w:val="SingleTxtGA"/>
        <w:rPr>
          <w:rFonts w:eastAsiaTheme="minorEastAsia"/>
          <w:lang w:eastAsia="zh-TW" w:bidi="en-GB"/>
        </w:rPr>
      </w:pPr>
      <w:r w:rsidRPr="009B5F24">
        <w:rPr>
          <w:rFonts w:eastAsiaTheme="minorEastAsia"/>
          <w:rtl/>
        </w:rPr>
        <w:t>10</w:t>
      </w:r>
      <w:r w:rsidRPr="00790D70">
        <w:rPr>
          <w:rFonts w:eastAsiaTheme="minorEastAsia"/>
          <w:rtl/>
        </w:rPr>
        <w:t>-</w:t>
      </w:r>
      <w:r w:rsidRPr="00790D70">
        <w:rPr>
          <w:rFonts w:eastAsiaTheme="minorEastAsia"/>
          <w:rtl/>
        </w:rPr>
        <w:tab/>
      </w:r>
      <w:r w:rsidRPr="009B5F24">
        <w:rPr>
          <w:rFonts w:eastAsiaTheme="minorEastAsia"/>
          <w:b/>
          <w:bCs/>
          <w:rtl/>
        </w:rPr>
        <w:t>تكرر اللجنة توصياتها السابقة</w:t>
      </w:r>
      <w:r w:rsidRPr="00491133">
        <w:rPr>
          <w:rStyle w:val="FootnoteReference"/>
          <w:rFonts w:eastAsiaTheme="minorEastAsia"/>
          <w:sz w:val="22"/>
          <w:rtl/>
        </w:rPr>
        <w:t>(</w:t>
      </w:r>
      <w:r w:rsidRPr="009B5F24">
        <w:rPr>
          <w:rStyle w:val="FootnoteReference"/>
          <w:rFonts w:eastAsiaTheme="minorEastAsia"/>
          <w:sz w:val="22"/>
          <w:lang w:val="en-US"/>
        </w:rPr>
        <w:footnoteReference w:id="7"/>
      </w:r>
      <w:r>
        <w:rPr>
          <w:rStyle w:val="FootnoteReference"/>
          <w:rFonts w:eastAsiaTheme="minorEastAsia"/>
          <w:sz w:val="22"/>
          <w:rtl/>
        </w:rPr>
        <w:t>)</w:t>
      </w:r>
      <w:r w:rsidRPr="009B5F24">
        <w:rPr>
          <w:rFonts w:eastAsiaTheme="minorEastAsia"/>
          <w:b/>
          <w:bCs/>
          <w:rtl/>
        </w:rPr>
        <w:t xml:space="preserve"> إلى الدولة الطرف، وتحثها على أن تتخذ تدابير تشريعية فعالة لإدراج التعذيب في القوانين المحلية بوصفه جريمة محددة يعاقَب عليه بعقوبات مناسبة تراعي طبيعته الخطيرة وأن تعتمد تعريفاً له يشمل جميع العناصر الواردة في المادة 1 من الاتفاقية.</w:t>
      </w:r>
      <w:r w:rsidRPr="00790D70">
        <w:rPr>
          <w:rFonts w:eastAsiaTheme="minorEastAsia"/>
          <w:rtl/>
        </w:rPr>
        <w:t xml:space="preserve"> </w:t>
      </w:r>
      <w:r w:rsidRPr="009B5F24">
        <w:rPr>
          <w:rFonts w:eastAsiaTheme="minorEastAsia"/>
          <w:b/>
          <w:bCs/>
          <w:rtl/>
        </w:rPr>
        <w:t>وتلفت من جديد الانتباه إلى تعليقها العام رقم 2(2007) بشأن تنفيذ المادة 2 الذي جاء فيه أن التناقضات الكبيرة بين التعريف المحدد في الاتفاقية والتعريف الوارد في القانون المحلي تُحدث ثغرات فعلية أو محتملة تفتح الباب للإفلات من العقاب</w:t>
      </w:r>
      <w:r w:rsidRPr="00491133">
        <w:rPr>
          <w:rStyle w:val="FootnoteReference"/>
          <w:rFonts w:eastAsiaTheme="minorEastAsia"/>
          <w:sz w:val="22"/>
          <w:rtl/>
        </w:rPr>
        <w:t>(</w:t>
      </w:r>
      <w:r w:rsidRPr="009B5F24">
        <w:rPr>
          <w:rStyle w:val="FootnoteReference"/>
          <w:rFonts w:eastAsiaTheme="minorEastAsia"/>
          <w:sz w:val="22"/>
          <w:lang w:val="en-US"/>
        </w:rPr>
        <w:footnoteReference w:id="8"/>
      </w:r>
      <w:r w:rsidRPr="00790D70">
        <w:rPr>
          <w:rStyle w:val="FootnoteReference"/>
          <w:rFonts w:eastAsiaTheme="minorEastAsia"/>
          <w:sz w:val="22"/>
          <w:rtl/>
        </w:rPr>
        <w:t>)</w:t>
      </w:r>
      <w:r w:rsidRPr="009B5F24">
        <w:rPr>
          <w:rFonts w:eastAsiaTheme="minorEastAsia"/>
          <w:b/>
          <w:bCs/>
          <w:rtl/>
        </w:rPr>
        <w:t>.</w:t>
      </w:r>
      <w:r w:rsidRPr="00790D70">
        <w:rPr>
          <w:rFonts w:eastAsiaTheme="minorEastAsia"/>
          <w:rtl/>
        </w:rPr>
        <w:t xml:space="preserve"> </w:t>
      </w:r>
    </w:p>
    <w:p w14:paraId="76D9000B" w14:textId="77777777" w:rsidR="00790D70" w:rsidRPr="009B5F24" w:rsidRDefault="00790D70" w:rsidP="00790D70">
      <w:pPr>
        <w:pStyle w:val="H23GA"/>
        <w:rPr>
          <w:lang w:val="ar-SA" w:eastAsia="zh-TW" w:bidi="en-GB"/>
        </w:rPr>
      </w:pPr>
      <w:r w:rsidRPr="009B5F24">
        <w:rPr>
          <w:rtl/>
        </w:rPr>
        <w:tab/>
      </w:r>
      <w:r w:rsidRPr="009B5F24">
        <w:rPr>
          <w:rtl/>
        </w:rPr>
        <w:tab/>
        <w:t>الضمانات القانونية الأساسية</w:t>
      </w:r>
    </w:p>
    <w:p w14:paraId="7DE391AA" w14:textId="463DDE33" w:rsidR="00790D70" w:rsidRPr="00790D70" w:rsidRDefault="00790D70" w:rsidP="00790D70">
      <w:pPr>
        <w:pStyle w:val="SingleTxtGA"/>
        <w:rPr>
          <w:rFonts w:eastAsiaTheme="minorEastAsia"/>
          <w:lang w:eastAsia="zh-TW" w:bidi="en-GB"/>
        </w:rPr>
      </w:pPr>
      <w:r w:rsidRPr="009B5F24">
        <w:rPr>
          <w:rFonts w:eastAsiaTheme="minorEastAsia"/>
          <w:rtl/>
        </w:rPr>
        <w:t>11</w:t>
      </w:r>
      <w:r w:rsidRPr="00790D70">
        <w:rPr>
          <w:rFonts w:eastAsiaTheme="minorEastAsia"/>
          <w:rtl/>
        </w:rPr>
        <w:t>-</w:t>
      </w:r>
      <w:r w:rsidRPr="00790D70">
        <w:rPr>
          <w:rFonts w:eastAsiaTheme="minorEastAsia"/>
          <w:rtl/>
        </w:rPr>
        <w:tab/>
        <w:t>تحيط اللجنة علم</w:t>
      </w:r>
      <w:r w:rsidR="00946B70">
        <w:rPr>
          <w:rFonts w:eastAsiaTheme="minorEastAsia"/>
          <w:rtl/>
        </w:rPr>
        <w:t xml:space="preserve">اً </w:t>
      </w:r>
      <w:r w:rsidRPr="00790D70">
        <w:rPr>
          <w:rFonts w:eastAsiaTheme="minorEastAsia"/>
          <w:rtl/>
        </w:rPr>
        <w:t xml:space="preserve">بالضمانات الإجرائية لمنع التعذيب وسوء المعاملة المنصوص عليها في قانون الإجراءات الجنائية واللائحة رقم </w:t>
      </w:r>
      <w:r w:rsidRPr="009B5F24">
        <w:rPr>
          <w:rFonts w:eastAsiaTheme="minorEastAsia"/>
          <w:rtl/>
        </w:rPr>
        <w:t>651</w:t>
      </w:r>
      <w:r w:rsidRPr="00790D70">
        <w:rPr>
          <w:rFonts w:eastAsiaTheme="minorEastAsia"/>
          <w:rtl/>
        </w:rPr>
        <w:t>/</w:t>
      </w:r>
      <w:r w:rsidRPr="009B5F24">
        <w:rPr>
          <w:rFonts w:eastAsiaTheme="minorEastAsia"/>
          <w:rtl/>
        </w:rPr>
        <w:t>2009</w:t>
      </w:r>
      <w:r w:rsidRPr="00790D70">
        <w:rPr>
          <w:rFonts w:eastAsiaTheme="minorEastAsia"/>
          <w:rtl/>
        </w:rPr>
        <w:t>، بما في ذلك توفير صحيفة بيانات لمَن سُلبت حريتهم</w:t>
      </w:r>
      <w:r>
        <w:rPr>
          <w:rFonts w:eastAsiaTheme="minorEastAsia"/>
          <w:rtl/>
        </w:rPr>
        <w:t xml:space="preserve"> </w:t>
      </w:r>
      <w:r w:rsidRPr="00790D70">
        <w:rPr>
          <w:rFonts w:eastAsiaTheme="minorEastAsia"/>
          <w:rtl/>
        </w:rPr>
        <w:t xml:space="preserve">تتناول بالتفصيل حقوقهم بلغات عديدة. بيد أن اللجنة لا تزال تشعر بالقلق لكون المادة </w:t>
      </w:r>
      <w:r w:rsidRPr="009B5F24">
        <w:rPr>
          <w:rFonts w:eastAsiaTheme="minorEastAsia"/>
          <w:rtl/>
        </w:rPr>
        <w:t>1</w:t>
      </w:r>
      <w:r w:rsidRPr="00790D70">
        <w:rPr>
          <w:rFonts w:eastAsiaTheme="minorEastAsia"/>
          <w:rtl/>
        </w:rPr>
        <w:t xml:space="preserve"> من اللائحة رقم</w:t>
      </w:r>
      <w:r>
        <w:rPr>
          <w:rFonts w:eastAsiaTheme="minorEastAsia" w:hint="cs"/>
          <w:rtl/>
        </w:rPr>
        <w:t> </w:t>
      </w:r>
      <w:r w:rsidRPr="009B5F24">
        <w:rPr>
          <w:rFonts w:eastAsiaTheme="minorEastAsia"/>
          <w:rtl/>
        </w:rPr>
        <w:t>651</w:t>
      </w:r>
      <w:r w:rsidRPr="00790D70">
        <w:rPr>
          <w:rFonts w:eastAsiaTheme="minorEastAsia"/>
          <w:rtl/>
        </w:rPr>
        <w:t>/</w:t>
      </w:r>
      <w:r w:rsidRPr="009B5F24">
        <w:rPr>
          <w:rFonts w:eastAsiaTheme="minorEastAsia"/>
          <w:rtl/>
        </w:rPr>
        <w:t>2009</w:t>
      </w:r>
      <w:r w:rsidRPr="00790D70">
        <w:rPr>
          <w:rFonts w:eastAsiaTheme="minorEastAsia"/>
          <w:rtl/>
        </w:rPr>
        <w:t xml:space="preserve"> تجيز للموظفين المناوبين أو الموظفين المسؤولين عن التحقيق أن يؤخروا بصورة استثنائية الإخطار بالاحتجاز، رغم تأكيدات الوفد أن القرار بشأن تأجيل حق المعتقلين في الاتصال بأقاربهم أو غيرهم من الأشخاص الذين يختارونهم لكي يخبرونهم باحتجازهم هو قرار لا يجوز أن يتخذه إلا موظف لم يجر التحقيق (المواد </w:t>
      </w:r>
      <w:r w:rsidRPr="009B5F24">
        <w:rPr>
          <w:rFonts w:eastAsiaTheme="minorEastAsia"/>
          <w:rtl/>
        </w:rPr>
        <w:t>2</w:t>
      </w:r>
      <w:r w:rsidRPr="00790D70">
        <w:rPr>
          <w:rFonts w:eastAsiaTheme="minorEastAsia"/>
          <w:rtl/>
        </w:rPr>
        <w:t xml:space="preserve"> و</w:t>
      </w:r>
      <w:r w:rsidRPr="009B5F24">
        <w:rPr>
          <w:rFonts w:eastAsiaTheme="minorEastAsia"/>
          <w:rtl/>
        </w:rPr>
        <w:t>11</w:t>
      </w:r>
      <w:r w:rsidRPr="00790D70">
        <w:rPr>
          <w:rFonts w:eastAsiaTheme="minorEastAsia"/>
          <w:rtl/>
        </w:rPr>
        <w:t xml:space="preserve"> و</w:t>
      </w:r>
      <w:r w:rsidRPr="009B5F24">
        <w:rPr>
          <w:rFonts w:eastAsiaTheme="minorEastAsia"/>
          <w:rtl/>
        </w:rPr>
        <w:t>16</w:t>
      </w:r>
      <w:r w:rsidRPr="00790D70">
        <w:rPr>
          <w:rFonts w:eastAsiaTheme="minorEastAsia"/>
          <w:rtl/>
        </w:rPr>
        <w:t xml:space="preserve">). </w:t>
      </w:r>
    </w:p>
    <w:p w14:paraId="1E5827B6" w14:textId="72BF02BE" w:rsidR="00790D70" w:rsidRPr="00790D70" w:rsidRDefault="00790D70" w:rsidP="00790D70">
      <w:pPr>
        <w:pStyle w:val="SingleTxtGA"/>
        <w:rPr>
          <w:rFonts w:eastAsiaTheme="minorEastAsia"/>
          <w:lang w:eastAsia="zh-TW" w:bidi="en-GB"/>
        </w:rPr>
      </w:pPr>
      <w:r w:rsidRPr="009B5F24">
        <w:rPr>
          <w:rFonts w:eastAsiaTheme="minorEastAsia"/>
          <w:rtl/>
        </w:rPr>
        <w:t>12</w:t>
      </w:r>
      <w:r w:rsidRPr="00790D70">
        <w:rPr>
          <w:rFonts w:eastAsiaTheme="minorEastAsia"/>
          <w:rtl/>
        </w:rPr>
        <w:t>-</w:t>
      </w:r>
      <w:r w:rsidRPr="00790D70">
        <w:rPr>
          <w:rFonts w:eastAsiaTheme="minorEastAsia"/>
          <w:rtl/>
        </w:rPr>
        <w:tab/>
      </w:r>
      <w:r w:rsidRPr="009B5F24">
        <w:rPr>
          <w:rFonts w:eastAsiaTheme="minorEastAsia"/>
          <w:b/>
          <w:bCs/>
          <w:rtl/>
        </w:rPr>
        <w:t xml:space="preserve">ينبغي أن تكفل الدولة الطرف حصول جميع </w:t>
      </w:r>
      <w:bookmarkStart w:id="2" w:name="_Hlk118219697"/>
      <w:r w:rsidRPr="009B5F24">
        <w:rPr>
          <w:rFonts w:eastAsiaTheme="minorEastAsia"/>
          <w:b/>
          <w:bCs/>
          <w:rtl/>
        </w:rPr>
        <w:t>الموقوفين</w:t>
      </w:r>
      <w:bookmarkEnd w:id="2"/>
      <w:r w:rsidRPr="009B5F24">
        <w:rPr>
          <w:rFonts w:eastAsiaTheme="minorEastAsia"/>
          <w:b/>
          <w:bCs/>
          <w:rtl/>
        </w:rPr>
        <w:t xml:space="preserve"> أو المحتجزين، في القانون وفي الممارسة، على جميع الضمانات القانونية الأساسية التي تحميهم من التعذيب منذ اللحظة الأولى من سلبهم حريتهم، بما في ذلك الحق في إخطار أفراد الأسرة أو أي شخص من اختيارهم باحتجازهم.</w:t>
      </w:r>
      <w:r w:rsidRPr="00790D70">
        <w:rPr>
          <w:rFonts w:eastAsiaTheme="minorEastAsia"/>
          <w:rtl/>
        </w:rPr>
        <w:t xml:space="preserve"> </w:t>
      </w:r>
      <w:r w:rsidRPr="009B5F24">
        <w:rPr>
          <w:rFonts w:eastAsiaTheme="minorEastAsia"/>
          <w:b/>
          <w:bCs/>
          <w:rtl/>
        </w:rPr>
        <w:t>وينبغي أيض</w:t>
      </w:r>
      <w:r w:rsidR="00946B70" w:rsidRPr="009B5F24">
        <w:rPr>
          <w:rFonts w:eastAsiaTheme="minorEastAsia"/>
          <w:b/>
          <w:bCs/>
          <w:rtl/>
        </w:rPr>
        <w:t xml:space="preserve">اً </w:t>
      </w:r>
      <w:r w:rsidRPr="009B5F24">
        <w:rPr>
          <w:rFonts w:eastAsiaTheme="minorEastAsia"/>
          <w:b/>
          <w:bCs/>
          <w:rtl/>
        </w:rPr>
        <w:t>أن تعمل على تعديل اللائحة رقم 651/2009 تعديلاً يُشترط معه بوضوح أن يأذن بالإخطار المتأخر أحد كبار ضباط الشرطة غير مرتبط بالتحقيق أو مدع عام، وأن يُشترط بوضوح أيض</w:t>
      </w:r>
      <w:r w:rsidR="00946B70" w:rsidRPr="009B5F24">
        <w:rPr>
          <w:rFonts w:eastAsiaTheme="minorEastAsia"/>
          <w:b/>
          <w:bCs/>
          <w:rtl/>
        </w:rPr>
        <w:t xml:space="preserve">اً </w:t>
      </w:r>
      <w:r w:rsidRPr="009B5F24">
        <w:rPr>
          <w:rFonts w:eastAsiaTheme="minorEastAsia"/>
          <w:b/>
          <w:bCs/>
          <w:rtl/>
        </w:rPr>
        <w:t>أن يكون أي تأخير في الإخطار بالاحتجاز لأقصر فترة ممكنة</w:t>
      </w:r>
      <w:r w:rsidRPr="00491133">
        <w:rPr>
          <w:rStyle w:val="FootnoteReference"/>
          <w:rFonts w:eastAsiaTheme="minorEastAsia"/>
          <w:sz w:val="22"/>
          <w:rtl/>
        </w:rPr>
        <w:t>(</w:t>
      </w:r>
      <w:r w:rsidRPr="009B5F24">
        <w:rPr>
          <w:rStyle w:val="FootnoteReference"/>
          <w:rFonts w:eastAsiaTheme="minorEastAsia"/>
          <w:sz w:val="22"/>
          <w:lang w:val="en-US"/>
        </w:rPr>
        <w:footnoteReference w:id="9"/>
      </w:r>
      <w:r w:rsidRPr="00790D70">
        <w:rPr>
          <w:rStyle w:val="FootnoteReference"/>
          <w:rFonts w:eastAsiaTheme="minorEastAsia"/>
          <w:sz w:val="22"/>
          <w:rtl/>
        </w:rPr>
        <w:t>)</w:t>
      </w:r>
      <w:r w:rsidRPr="009B5F24">
        <w:rPr>
          <w:rFonts w:eastAsiaTheme="minorEastAsia"/>
          <w:b/>
          <w:bCs/>
          <w:rtl/>
        </w:rPr>
        <w:t>.</w:t>
      </w:r>
      <w:r w:rsidRPr="00790D70">
        <w:rPr>
          <w:rFonts w:eastAsiaTheme="minorEastAsia"/>
          <w:rtl/>
        </w:rPr>
        <w:t xml:space="preserve"> </w:t>
      </w:r>
    </w:p>
    <w:p w14:paraId="36F83BD2" w14:textId="426D06F4" w:rsidR="00790D70" w:rsidRPr="009B5F24" w:rsidRDefault="00790D70" w:rsidP="00790D70">
      <w:pPr>
        <w:pStyle w:val="H23GA"/>
        <w:rPr>
          <w:lang w:eastAsia="zh-TW" w:bidi="en-GB"/>
        </w:rPr>
      </w:pPr>
      <w:r w:rsidRPr="009B5F24">
        <w:rPr>
          <w:rtl/>
        </w:rPr>
        <w:tab/>
      </w:r>
      <w:r w:rsidRPr="009B5F24">
        <w:rPr>
          <w:rtl/>
        </w:rPr>
        <w:tab/>
        <w:t xml:space="preserve">الحبس الانفرادي في إطار الاحتجاز السابق للمحاكمة </w:t>
      </w:r>
    </w:p>
    <w:p w14:paraId="64BBE084" w14:textId="1686BAED" w:rsidR="00790D70" w:rsidRPr="00790D70" w:rsidRDefault="00790D70" w:rsidP="00790D70">
      <w:pPr>
        <w:pStyle w:val="SingleTxtGA"/>
        <w:rPr>
          <w:rFonts w:eastAsiaTheme="minorEastAsia"/>
          <w:lang w:eastAsia="zh-TW" w:bidi="en-GB"/>
        </w:rPr>
      </w:pPr>
      <w:r w:rsidRPr="009B5F24">
        <w:rPr>
          <w:rFonts w:eastAsiaTheme="minorEastAsia"/>
          <w:rtl/>
        </w:rPr>
        <w:t>13</w:t>
      </w:r>
      <w:r w:rsidRPr="00790D70">
        <w:rPr>
          <w:rFonts w:eastAsiaTheme="minorEastAsia"/>
          <w:rtl/>
        </w:rPr>
        <w:t>-</w:t>
      </w:r>
      <w:r w:rsidRPr="00790D70">
        <w:rPr>
          <w:rFonts w:eastAsiaTheme="minorEastAsia"/>
          <w:rtl/>
        </w:rPr>
        <w:tab/>
        <w:t>يساور اللجنة بالغ القلق إزاء الإطار القانوني الذي يبيح الحبس الانفرادي مدةً تصل إلى أربعة أسابيع في إطار الاحتجاز السابق للمحاكمة</w:t>
      </w:r>
      <w:r>
        <w:rPr>
          <w:rFonts w:eastAsiaTheme="minorEastAsia"/>
          <w:rtl/>
        </w:rPr>
        <w:t xml:space="preserve">، </w:t>
      </w:r>
      <w:r w:rsidRPr="00790D70">
        <w:rPr>
          <w:rFonts w:eastAsiaTheme="minorEastAsia"/>
          <w:rtl/>
          <w:lang w:val="de-CH" w:bidi="ar-EG"/>
        </w:rPr>
        <w:t>وحتى ل</w:t>
      </w:r>
      <w:r w:rsidRPr="00790D70">
        <w:rPr>
          <w:rFonts w:eastAsiaTheme="minorEastAsia"/>
          <w:rtl/>
        </w:rPr>
        <w:t>فترة أطول فيما يخص</w:t>
      </w:r>
      <w:r>
        <w:rPr>
          <w:rFonts w:eastAsiaTheme="minorEastAsia"/>
          <w:rtl/>
        </w:rPr>
        <w:t xml:space="preserve"> </w:t>
      </w:r>
      <w:r w:rsidRPr="00790D70">
        <w:rPr>
          <w:rFonts w:eastAsiaTheme="minorEastAsia"/>
          <w:rtl/>
        </w:rPr>
        <w:t>المتهمين بارتكاب جريمة</w:t>
      </w:r>
      <w:r>
        <w:rPr>
          <w:rFonts w:eastAsiaTheme="minorEastAsia" w:hint="cs"/>
          <w:rtl/>
        </w:rPr>
        <w:t> </w:t>
      </w:r>
      <w:r w:rsidRPr="00790D70">
        <w:rPr>
          <w:rFonts w:eastAsiaTheme="minorEastAsia"/>
          <w:rtl/>
        </w:rPr>
        <w:t xml:space="preserve">يعاقب عليها بالسجن </w:t>
      </w:r>
      <w:r w:rsidRPr="009B5F24">
        <w:rPr>
          <w:rFonts w:eastAsiaTheme="minorEastAsia"/>
          <w:rtl/>
        </w:rPr>
        <w:t>10</w:t>
      </w:r>
      <w:r w:rsidRPr="00790D70">
        <w:rPr>
          <w:rFonts w:eastAsiaTheme="minorEastAsia"/>
          <w:rtl/>
        </w:rPr>
        <w:t xml:space="preserve"> سنوات أو أكثر. ويساورها القلق أيض</w:t>
      </w:r>
      <w:r w:rsidR="00946B70">
        <w:rPr>
          <w:rFonts w:eastAsiaTheme="minorEastAsia"/>
          <w:rtl/>
        </w:rPr>
        <w:t xml:space="preserve">اً </w:t>
      </w:r>
      <w:r w:rsidRPr="00790D70">
        <w:rPr>
          <w:rFonts w:eastAsiaTheme="minorEastAsia"/>
          <w:rtl/>
        </w:rPr>
        <w:t xml:space="preserve">إزاء التقارير التي تفيد بأن الحبس الانفرادي في إطار الاحتجاز السابق للمحاكمة قد استخدم فترات طويلة تتراوح بين </w:t>
      </w:r>
      <w:r w:rsidRPr="009B5F24">
        <w:rPr>
          <w:rFonts w:eastAsiaTheme="minorEastAsia"/>
          <w:rtl/>
        </w:rPr>
        <w:t>9</w:t>
      </w:r>
      <w:r w:rsidRPr="00790D70">
        <w:rPr>
          <w:rFonts w:eastAsiaTheme="minorEastAsia"/>
          <w:rtl/>
        </w:rPr>
        <w:t xml:space="preserve"> أيام و</w:t>
      </w:r>
      <w:r w:rsidRPr="009B5F24">
        <w:rPr>
          <w:rFonts w:eastAsiaTheme="minorEastAsia"/>
          <w:rtl/>
        </w:rPr>
        <w:t>33</w:t>
      </w:r>
      <w:r w:rsidRPr="00790D70">
        <w:rPr>
          <w:rFonts w:eastAsiaTheme="minorEastAsia"/>
          <w:rtl/>
        </w:rPr>
        <w:t xml:space="preserve"> يوم</w:t>
      </w:r>
      <w:r w:rsidR="00946B70">
        <w:rPr>
          <w:rFonts w:eastAsiaTheme="minorEastAsia"/>
          <w:rtl/>
        </w:rPr>
        <w:t xml:space="preserve">اً </w:t>
      </w:r>
      <w:r w:rsidRPr="00790D70">
        <w:rPr>
          <w:rFonts w:eastAsiaTheme="minorEastAsia"/>
          <w:rtl/>
        </w:rPr>
        <w:t xml:space="preserve">في عام </w:t>
      </w:r>
      <w:r w:rsidRPr="009B5F24">
        <w:rPr>
          <w:rFonts w:eastAsiaTheme="minorEastAsia"/>
          <w:rtl/>
        </w:rPr>
        <w:t>2020</w:t>
      </w:r>
      <w:r w:rsidRPr="00790D70">
        <w:rPr>
          <w:rFonts w:eastAsiaTheme="minorEastAsia"/>
          <w:rtl/>
        </w:rPr>
        <w:t xml:space="preserve">، وما يصل إلى </w:t>
      </w:r>
      <w:r w:rsidRPr="009B5F24">
        <w:rPr>
          <w:rFonts w:eastAsiaTheme="minorEastAsia"/>
          <w:rtl/>
        </w:rPr>
        <w:t>37</w:t>
      </w:r>
      <w:r w:rsidRPr="00790D70">
        <w:rPr>
          <w:rFonts w:eastAsiaTheme="minorEastAsia"/>
          <w:rtl/>
        </w:rPr>
        <w:t xml:space="preserve"> يوم</w:t>
      </w:r>
      <w:r w:rsidR="00946B70">
        <w:rPr>
          <w:rFonts w:eastAsiaTheme="minorEastAsia"/>
          <w:rtl/>
        </w:rPr>
        <w:t xml:space="preserve">اً </w:t>
      </w:r>
      <w:r w:rsidRPr="00790D70">
        <w:rPr>
          <w:rFonts w:eastAsiaTheme="minorEastAsia"/>
          <w:rtl/>
        </w:rPr>
        <w:t xml:space="preserve">في عام </w:t>
      </w:r>
      <w:r w:rsidRPr="009B5F24">
        <w:rPr>
          <w:rFonts w:eastAsiaTheme="minorEastAsia"/>
          <w:rtl/>
        </w:rPr>
        <w:t>2021</w:t>
      </w:r>
      <w:r w:rsidRPr="00790D70">
        <w:rPr>
          <w:rFonts w:eastAsiaTheme="minorEastAsia"/>
          <w:rtl/>
        </w:rPr>
        <w:t>. وترحب اللجنة في هذا الصدد باستعداد الدولة</w:t>
      </w:r>
      <w:r>
        <w:rPr>
          <w:rFonts w:eastAsiaTheme="minorEastAsia" w:hint="cs"/>
          <w:rtl/>
        </w:rPr>
        <w:t> </w:t>
      </w:r>
      <w:r w:rsidRPr="00790D70">
        <w:rPr>
          <w:rFonts w:eastAsiaTheme="minorEastAsia"/>
          <w:rtl/>
        </w:rPr>
        <w:t>الطرف لمواصلة دراسة الإطار التشريعي وإطار العمل الإجرائي. وتحيط علم</w:t>
      </w:r>
      <w:r w:rsidR="00946B70">
        <w:rPr>
          <w:rFonts w:eastAsiaTheme="minorEastAsia"/>
          <w:rtl/>
        </w:rPr>
        <w:t xml:space="preserve">اً </w:t>
      </w:r>
      <w:r w:rsidRPr="00790D70">
        <w:rPr>
          <w:rFonts w:eastAsiaTheme="minorEastAsia"/>
          <w:rtl/>
        </w:rPr>
        <w:t xml:space="preserve">بتأكيد وفد الدولة </w:t>
      </w:r>
      <w:r w:rsidRPr="00790D70">
        <w:rPr>
          <w:rFonts w:eastAsiaTheme="minorEastAsia"/>
          <w:rtl/>
        </w:rPr>
        <w:lastRenderedPageBreak/>
        <w:t xml:space="preserve">الطرف أن </w:t>
      </w:r>
      <w:r w:rsidRPr="009B5F24">
        <w:rPr>
          <w:rFonts w:eastAsiaTheme="minorEastAsia"/>
          <w:rtl/>
        </w:rPr>
        <w:t>2</w:t>
      </w:r>
      <w:r w:rsidRPr="00790D70">
        <w:rPr>
          <w:rFonts w:eastAsiaTheme="minorEastAsia"/>
          <w:rtl/>
        </w:rPr>
        <w:t xml:space="preserve"> في المائة فقط من المقبوض عليهم محتجزون في إطار الاحتجاز السابق للمحاكمة وأن الحبس الانفرادي يخضع لتدقيق شديد من المدعين العامين والقضاة ولا يستخدم إلا عند الضرورة القصوى، غير أنها تلاحظ بقلق أن حوالي </w:t>
      </w:r>
      <w:r w:rsidRPr="009B5F24">
        <w:rPr>
          <w:rFonts w:eastAsiaTheme="minorEastAsia"/>
          <w:rtl/>
        </w:rPr>
        <w:t>54</w:t>
      </w:r>
      <w:r w:rsidRPr="00790D70">
        <w:rPr>
          <w:rFonts w:eastAsiaTheme="minorEastAsia"/>
          <w:rtl/>
        </w:rPr>
        <w:t xml:space="preserve"> في المائة -</w:t>
      </w:r>
      <w:r w:rsidR="00946B70">
        <w:rPr>
          <w:rFonts w:eastAsiaTheme="minorEastAsia" w:hint="cs"/>
          <w:rtl/>
        </w:rPr>
        <w:t xml:space="preserve"> </w:t>
      </w:r>
      <w:r w:rsidRPr="00790D70">
        <w:rPr>
          <w:rFonts w:eastAsiaTheme="minorEastAsia"/>
          <w:rtl/>
        </w:rPr>
        <w:t xml:space="preserve">وربما أكثر- من المحتجزين رهن المحاكمة أُودعوا الحبسَ الانفرادي بين عامي </w:t>
      </w:r>
      <w:r w:rsidRPr="009B5F24">
        <w:rPr>
          <w:rFonts w:eastAsiaTheme="minorEastAsia"/>
          <w:rtl/>
        </w:rPr>
        <w:t>2012</w:t>
      </w:r>
      <w:r w:rsidRPr="00790D70">
        <w:rPr>
          <w:rFonts w:eastAsiaTheme="minorEastAsia"/>
          <w:rtl/>
        </w:rPr>
        <w:t xml:space="preserve"> و</w:t>
      </w:r>
      <w:r w:rsidRPr="009B5F24">
        <w:rPr>
          <w:rFonts w:eastAsiaTheme="minorEastAsia"/>
          <w:rtl/>
        </w:rPr>
        <w:t>2021</w:t>
      </w:r>
      <w:r w:rsidRPr="00790D70">
        <w:rPr>
          <w:rFonts w:eastAsiaTheme="minorEastAsia"/>
          <w:rtl/>
        </w:rPr>
        <w:t xml:space="preserve">، ووافق القضاة على </w:t>
      </w:r>
      <w:r w:rsidRPr="009B5F24">
        <w:rPr>
          <w:rFonts w:eastAsiaTheme="minorEastAsia"/>
          <w:rtl/>
        </w:rPr>
        <w:t>98</w:t>
      </w:r>
      <w:r w:rsidRPr="00790D70">
        <w:rPr>
          <w:rFonts w:eastAsiaTheme="minorEastAsia"/>
          <w:rtl/>
        </w:rPr>
        <w:t>,</w:t>
      </w:r>
      <w:r w:rsidRPr="009B5F24">
        <w:rPr>
          <w:rFonts w:eastAsiaTheme="minorEastAsia"/>
          <w:rtl/>
        </w:rPr>
        <w:t>77</w:t>
      </w:r>
      <w:r w:rsidRPr="00790D70">
        <w:rPr>
          <w:rFonts w:eastAsiaTheme="minorEastAsia"/>
          <w:rtl/>
        </w:rPr>
        <w:t xml:space="preserve"> في المائة من طلبات الحبس الانفرادي في إطار الاحتجاز السابق للمحاكمة بين عامي </w:t>
      </w:r>
      <w:r w:rsidRPr="009B5F24">
        <w:rPr>
          <w:rFonts w:eastAsiaTheme="minorEastAsia"/>
          <w:rtl/>
        </w:rPr>
        <w:t>2016</w:t>
      </w:r>
      <w:r w:rsidRPr="00790D70">
        <w:rPr>
          <w:rFonts w:eastAsiaTheme="minorEastAsia"/>
          <w:rtl/>
        </w:rPr>
        <w:t xml:space="preserve"> و</w:t>
      </w:r>
      <w:r w:rsidRPr="009B5F24">
        <w:rPr>
          <w:rFonts w:eastAsiaTheme="minorEastAsia"/>
          <w:rtl/>
        </w:rPr>
        <w:t>2018</w:t>
      </w:r>
      <w:r w:rsidRPr="00790D70">
        <w:rPr>
          <w:rFonts w:eastAsiaTheme="minorEastAsia"/>
          <w:rtl/>
        </w:rPr>
        <w:t>. ويساور اللجنة القلق بوجه خاص بشأن التقارير التي تفيد بأن الأشخاص ذوي الإعاقات النفسية</w:t>
      </w:r>
      <w:r>
        <w:rPr>
          <w:rFonts w:eastAsiaTheme="minorEastAsia"/>
          <w:rtl/>
        </w:rPr>
        <w:t xml:space="preserve"> </w:t>
      </w:r>
      <w:r w:rsidRPr="00790D70">
        <w:rPr>
          <w:rFonts w:eastAsiaTheme="minorEastAsia"/>
          <w:rtl/>
        </w:rPr>
        <w:t xml:space="preserve">الاجتماعية، والأطفال -بصورة استثنائية - قد يكونون من بين من يخضعون للحبس الانفرادي (المواد </w:t>
      </w:r>
      <w:r w:rsidRPr="009B5F24">
        <w:rPr>
          <w:rFonts w:eastAsiaTheme="minorEastAsia"/>
          <w:rtl/>
        </w:rPr>
        <w:t>2</w:t>
      </w:r>
      <w:r w:rsidRPr="00790D70">
        <w:rPr>
          <w:rFonts w:eastAsiaTheme="minorEastAsia"/>
          <w:rtl/>
        </w:rPr>
        <w:t xml:space="preserve"> و</w:t>
      </w:r>
      <w:r w:rsidRPr="009B5F24">
        <w:rPr>
          <w:rFonts w:eastAsiaTheme="minorEastAsia"/>
          <w:rtl/>
        </w:rPr>
        <w:t>11</w:t>
      </w:r>
      <w:r w:rsidRPr="00790D70">
        <w:rPr>
          <w:rFonts w:eastAsiaTheme="minorEastAsia"/>
          <w:rtl/>
        </w:rPr>
        <w:t xml:space="preserve"> و</w:t>
      </w:r>
      <w:r w:rsidRPr="009B5F24">
        <w:rPr>
          <w:rFonts w:eastAsiaTheme="minorEastAsia"/>
          <w:rtl/>
        </w:rPr>
        <w:t>16</w:t>
      </w:r>
      <w:r w:rsidRPr="00790D70">
        <w:rPr>
          <w:rFonts w:eastAsiaTheme="minorEastAsia"/>
          <w:rtl/>
        </w:rPr>
        <w:t>).</w:t>
      </w:r>
    </w:p>
    <w:p w14:paraId="0059BA54" w14:textId="16A10FBB" w:rsidR="00790D70" w:rsidRPr="009B5F24" w:rsidRDefault="00790D70" w:rsidP="00790D70">
      <w:pPr>
        <w:pStyle w:val="SingleTxtGA"/>
        <w:rPr>
          <w:rFonts w:eastAsiaTheme="minorEastAsia"/>
          <w:b/>
          <w:bCs/>
          <w:lang w:val="ar-SA" w:eastAsia="zh-TW" w:bidi="en-GB"/>
        </w:rPr>
      </w:pPr>
      <w:r w:rsidRPr="009B5F24">
        <w:rPr>
          <w:rFonts w:eastAsiaTheme="minorEastAsia"/>
          <w:b/>
          <w:rtl/>
        </w:rPr>
        <w:t>14-</w:t>
      </w:r>
      <w:r w:rsidRPr="009B5F24">
        <w:rPr>
          <w:rFonts w:eastAsiaTheme="minorEastAsia"/>
          <w:b/>
          <w:rtl/>
        </w:rPr>
        <w:tab/>
      </w:r>
      <w:r w:rsidRPr="009B5F24">
        <w:rPr>
          <w:rFonts w:eastAsiaTheme="minorEastAsia"/>
          <w:b/>
          <w:bCs/>
          <w:rtl/>
        </w:rPr>
        <w:t xml:space="preserve">تحث اللجنة الدولة الطرف على مواءمة تشريعاتها وممارساتها المتعلقة بالحبس الانفرادي مع المعايير الدولية. وينبغي أن تضطلع بالأخص بما يلي: </w:t>
      </w:r>
    </w:p>
    <w:p w14:paraId="0D4DD181" w14:textId="5A291970" w:rsidR="00790D70" w:rsidRPr="009B5F24" w:rsidRDefault="00790D70" w:rsidP="00790D70">
      <w:pPr>
        <w:pStyle w:val="SingleTxtGA"/>
        <w:rPr>
          <w:rFonts w:eastAsiaTheme="minorEastAsia"/>
          <w:b/>
          <w:bCs/>
          <w:lang w:val="ar-SA" w:eastAsia="zh-TW" w:bidi="en-GB"/>
        </w:rPr>
      </w:pPr>
      <w:r w:rsidRPr="009B5F24">
        <w:rPr>
          <w:rFonts w:eastAsiaTheme="minorEastAsia"/>
          <w:b/>
          <w:rtl/>
        </w:rPr>
        <w:tab/>
        <w:t>(أ)</w:t>
      </w:r>
      <w:r w:rsidRPr="009B5F24">
        <w:rPr>
          <w:rFonts w:eastAsiaTheme="minorEastAsia"/>
          <w:b/>
          <w:rtl/>
        </w:rPr>
        <w:tab/>
      </w:r>
      <w:r w:rsidRPr="009B5F24">
        <w:rPr>
          <w:rFonts w:eastAsiaTheme="minorEastAsia"/>
          <w:b/>
          <w:bCs/>
          <w:rtl/>
        </w:rPr>
        <w:t>ضمان عدم اللجوء إلى الحبس الانفرادي إلا في حالات استثنائية وبوصفه آخر ملاذ، بالاستناد إلى أسس محددة وتقييم لكل حالة على حدة، وفقط عندما يكون ضروري</w:t>
      </w:r>
      <w:r w:rsidR="00946B70" w:rsidRPr="009B5F24">
        <w:rPr>
          <w:rFonts w:eastAsiaTheme="minorEastAsia"/>
          <w:b/>
          <w:bCs/>
          <w:rtl/>
        </w:rPr>
        <w:t xml:space="preserve">اً </w:t>
      </w:r>
      <w:r w:rsidRPr="009B5F24">
        <w:rPr>
          <w:rFonts w:eastAsiaTheme="minorEastAsia"/>
          <w:b/>
          <w:bCs/>
          <w:rtl/>
        </w:rPr>
        <w:t>للغاية من أجل مصلحة التحقيقات الجنائية وحفظ الأمن أو النظام، ولأقصر فترة ممكنة (لا تتعدى 15 يوم</w:t>
      </w:r>
      <w:r w:rsidR="00946B70" w:rsidRPr="009B5F24">
        <w:rPr>
          <w:rFonts w:eastAsiaTheme="minorEastAsia"/>
          <w:b/>
          <w:bCs/>
          <w:rtl/>
        </w:rPr>
        <w:t xml:space="preserve">اً </w:t>
      </w:r>
      <w:r w:rsidRPr="009B5F24">
        <w:rPr>
          <w:rFonts w:eastAsiaTheme="minorEastAsia"/>
          <w:b/>
          <w:bCs/>
          <w:rtl/>
        </w:rPr>
        <w:t>متتاليا</w:t>
      </w:r>
      <w:r w:rsidR="00946B70" w:rsidRPr="009B5F24">
        <w:rPr>
          <w:rFonts w:eastAsiaTheme="minorEastAsia" w:hint="cs"/>
          <w:b/>
          <w:bCs/>
          <w:rtl/>
        </w:rPr>
        <w:t>ً</w:t>
      </w:r>
      <w:r w:rsidRPr="009B5F24">
        <w:rPr>
          <w:rFonts w:eastAsiaTheme="minorEastAsia"/>
          <w:b/>
          <w:bCs/>
          <w:rtl/>
        </w:rPr>
        <w:t>)، وضمان أن يكون مصحوب</w:t>
      </w:r>
      <w:r w:rsidR="00946B70" w:rsidRPr="009B5F24">
        <w:rPr>
          <w:rFonts w:eastAsiaTheme="minorEastAsia"/>
          <w:b/>
          <w:bCs/>
          <w:rtl/>
        </w:rPr>
        <w:t xml:space="preserve">اً </w:t>
      </w:r>
      <w:r w:rsidRPr="009B5F24">
        <w:rPr>
          <w:rFonts w:eastAsiaTheme="minorEastAsia"/>
          <w:b/>
          <w:bCs/>
          <w:rtl/>
        </w:rPr>
        <w:t>بضمانات إجرائية صارمة وفق</w:t>
      </w:r>
      <w:r w:rsidR="00946B70" w:rsidRPr="009B5F24">
        <w:rPr>
          <w:rFonts w:eastAsiaTheme="minorEastAsia"/>
          <w:b/>
          <w:bCs/>
          <w:rtl/>
        </w:rPr>
        <w:t xml:space="preserve">اً </w:t>
      </w:r>
      <w:r w:rsidRPr="009B5F24">
        <w:rPr>
          <w:rFonts w:eastAsiaTheme="minorEastAsia"/>
          <w:b/>
          <w:bCs/>
          <w:rtl/>
        </w:rPr>
        <w:t>للقواعد 43-46 من قواعد الأمم المتحدة النموذجية الدنيا لمعاملة السجناء (قواعد نيلسون مانديلا)، وأن يشمل إمكانية توكيل محامي دفاع لديه القدرة الكاملة على الدفاع الفعال عن موكله ضد طلب تطبيق تدبير من هذا القبيل؛</w:t>
      </w:r>
    </w:p>
    <w:p w14:paraId="25433A0E" w14:textId="51775B45" w:rsidR="00790D70" w:rsidRPr="009B5F24" w:rsidRDefault="00790D70" w:rsidP="00790D70">
      <w:pPr>
        <w:pStyle w:val="SingleTxtGA"/>
        <w:rPr>
          <w:rFonts w:eastAsiaTheme="minorEastAsia"/>
          <w:b/>
          <w:bCs/>
          <w:lang w:eastAsia="zh-TW" w:bidi="en-GB"/>
        </w:rPr>
      </w:pPr>
      <w:r w:rsidRPr="009B5F24">
        <w:rPr>
          <w:rFonts w:eastAsiaTheme="minorEastAsia"/>
          <w:b/>
          <w:rtl/>
        </w:rPr>
        <w:tab/>
        <w:t>(ب)</w:t>
      </w:r>
      <w:r w:rsidRPr="009B5F24">
        <w:rPr>
          <w:rFonts w:eastAsiaTheme="minorEastAsia"/>
          <w:b/>
          <w:rtl/>
        </w:rPr>
        <w:tab/>
      </w:r>
      <w:r w:rsidRPr="009B5F24">
        <w:rPr>
          <w:rFonts w:eastAsiaTheme="minorEastAsia"/>
          <w:b/>
          <w:bCs/>
          <w:rtl/>
        </w:rPr>
        <w:t>التقيد بحظر فرض الحبس الانفرادي والتدابير المماثلة على القاصرين؛</w:t>
      </w:r>
      <w:r w:rsidRPr="009B5F24">
        <w:rPr>
          <w:rFonts w:eastAsiaTheme="minorEastAsia"/>
          <w:bCs/>
          <w:rtl/>
        </w:rPr>
        <w:t xml:space="preserve"> </w:t>
      </w:r>
      <w:r w:rsidRPr="009B5F24">
        <w:rPr>
          <w:rFonts w:eastAsiaTheme="minorEastAsia"/>
          <w:b/>
          <w:bCs/>
          <w:rtl/>
        </w:rPr>
        <w:t>وضمان الفحص الطبي الشامل وإيلاء الاعتبار الكافي لظروف الشخص المعني الصحية بحيث يُحظر إيداع ذوي الإعاقات الذهنية أو النفسية الاجتماعية أو البدنية الحبسَ الانفرادي إذا كان من شأن هذه التدابير</w:t>
      </w:r>
      <w:r w:rsidRPr="00790D70">
        <w:rPr>
          <w:rFonts w:eastAsiaTheme="minorEastAsia"/>
          <w:rtl/>
        </w:rPr>
        <w:t xml:space="preserve"> </w:t>
      </w:r>
      <w:r w:rsidRPr="009B5F24">
        <w:rPr>
          <w:rFonts w:eastAsiaTheme="minorEastAsia"/>
          <w:b/>
          <w:bCs/>
          <w:rtl/>
        </w:rPr>
        <w:t>أن تؤدي إلى تفاقم حالتهم (انظر القاعدة 67 من قواعد الأمم المتحدة بشأن حماية الأحداث المجردين من حريتهم، والقاعدة 45(2) من قواعد نيلسون مانديلا)؛</w:t>
      </w:r>
    </w:p>
    <w:p w14:paraId="0D60F2FE" w14:textId="02997737" w:rsidR="00790D70" w:rsidRPr="009B5F24" w:rsidRDefault="00790D70" w:rsidP="00790D70">
      <w:pPr>
        <w:pStyle w:val="SingleTxtGA"/>
        <w:rPr>
          <w:rFonts w:eastAsiaTheme="minorEastAsia"/>
          <w:b/>
          <w:bCs/>
          <w:lang w:eastAsia="zh-TW" w:bidi="en-GB"/>
        </w:rPr>
      </w:pPr>
      <w:r w:rsidRPr="009B5F24">
        <w:rPr>
          <w:rFonts w:eastAsiaTheme="minorEastAsia"/>
          <w:b/>
          <w:rtl/>
        </w:rPr>
        <w:tab/>
        <w:t>(ج)</w:t>
      </w:r>
      <w:r w:rsidRPr="009B5F24">
        <w:rPr>
          <w:rFonts w:eastAsiaTheme="minorEastAsia"/>
          <w:bCs/>
          <w:rtl/>
        </w:rPr>
        <w:tab/>
      </w:r>
      <w:r w:rsidRPr="009B5F24">
        <w:rPr>
          <w:rFonts w:eastAsiaTheme="minorEastAsia"/>
          <w:b/>
          <w:bCs/>
          <w:rtl/>
        </w:rPr>
        <w:t>إخبار اللجنة بالتقدم المحرز في أي مراجعة تشريعية بشأن الحبس الانفرادي احتياطياً، وبنتائجه، وكذلك برصد هذه العملية على المستوى المتعدد القطاعات؛</w:t>
      </w:r>
      <w:r w:rsidRPr="009B5F24">
        <w:rPr>
          <w:rFonts w:eastAsiaTheme="minorEastAsia"/>
          <w:bCs/>
          <w:rtl/>
        </w:rPr>
        <w:t xml:space="preserve"> </w:t>
      </w:r>
      <w:r w:rsidRPr="009B5F24">
        <w:rPr>
          <w:rFonts w:eastAsiaTheme="minorEastAsia"/>
          <w:b/>
          <w:bCs/>
          <w:rtl/>
        </w:rPr>
        <w:t>وتجميع بيانات شاملة ومصنفة، لا سيما عن الطلبات المقدمة والحبس الانفرادي المفروض، وعن عدد المحتجزين رهن</w:t>
      </w:r>
      <w:r w:rsidR="00946B70" w:rsidRPr="009B5F24">
        <w:rPr>
          <w:rFonts w:eastAsiaTheme="minorEastAsia" w:hint="cs"/>
          <w:b/>
          <w:bCs/>
          <w:rtl/>
        </w:rPr>
        <w:t> </w:t>
      </w:r>
      <w:r w:rsidRPr="009B5F24">
        <w:rPr>
          <w:rFonts w:eastAsiaTheme="minorEastAsia"/>
          <w:b/>
          <w:bCs/>
          <w:rtl/>
        </w:rPr>
        <w:t xml:space="preserve">المحاكمة الذين وضعوا في الحبس الانفرادي، </w:t>
      </w:r>
      <w:r w:rsidRPr="009B5F24">
        <w:rPr>
          <w:rFonts w:eastAsiaTheme="minorEastAsia"/>
          <w:b/>
          <w:bCs/>
          <w:rtl/>
          <w:lang w:val="de-CH"/>
        </w:rPr>
        <w:t>ك</w:t>
      </w:r>
      <w:r w:rsidRPr="009B5F24">
        <w:rPr>
          <w:rFonts w:eastAsiaTheme="minorEastAsia"/>
          <w:b/>
          <w:bCs/>
          <w:rtl/>
        </w:rPr>
        <w:t>نسبة مئوية من العدد الإجمالي للمحتجزين رهن</w:t>
      </w:r>
      <w:r w:rsidR="00946B70" w:rsidRPr="009B5F24">
        <w:rPr>
          <w:rFonts w:eastAsiaTheme="minorEastAsia" w:hint="cs"/>
          <w:b/>
          <w:bCs/>
          <w:rtl/>
        </w:rPr>
        <w:t> </w:t>
      </w:r>
      <w:r w:rsidRPr="009B5F24">
        <w:rPr>
          <w:rFonts w:eastAsiaTheme="minorEastAsia"/>
          <w:b/>
          <w:bCs/>
          <w:rtl/>
        </w:rPr>
        <w:t>المحاكمة.</w:t>
      </w:r>
      <w:r w:rsidRPr="009B5F24">
        <w:rPr>
          <w:rFonts w:eastAsiaTheme="minorEastAsia"/>
          <w:bCs/>
          <w:rtl/>
        </w:rPr>
        <w:t xml:space="preserve"> </w:t>
      </w:r>
    </w:p>
    <w:p w14:paraId="5B56A668" w14:textId="77777777" w:rsidR="00790D70" w:rsidRPr="009B5F24" w:rsidRDefault="00790D70" w:rsidP="00790D70">
      <w:pPr>
        <w:pStyle w:val="H23GA"/>
        <w:rPr>
          <w:lang w:eastAsia="zh-TW" w:bidi="en-GB"/>
        </w:rPr>
      </w:pPr>
      <w:r w:rsidRPr="009B5F24">
        <w:rPr>
          <w:rtl/>
        </w:rPr>
        <w:tab/>
      </w:r>
      <w:r w:rsidRPr="009B5F24">
        <w:rPr>
          <w:rtl/>
        </w:rPr>
        <w:tab/>
        <w:t xml:space="preserve">ظروف الاحتجاز </w:t>
      </w:r>
    </w:p>
    <w:p w14:paraId="1FE50443" w14:textId="441FBE15" w:rsidR="00790D70" w:rsidRPr="00790D70" w:rsidRDefault="00790D70" w:rsidP="00790D70">
      <w:pPr>
        <w:pStyle w:val="SingleTxtGA"/>
        <w:rPr>
          <w:rFonts w:eastAsiaTheme="minorEastAsia"/>
          <w:lang w:eastAsia="zh-TW" w:bidi="en-GB"/>
        </w:rPr>
      </w:pPr>
      <w:r w:rsidRPr="009B5F24">
        <w:rPr>
          <w:rFonts w:eastAsiaTheme="minorEastAsia"/>
          <w:rtl/>
        </w:rPr>
        <w:t>15</w:t>
      </w:r>
      <w:r w:rsidRPr="00790D70">
        <w:rPr>
          <w:rFonts w:eastAsiaTheme="minorEastAsia"/>
          <w:rtl/>
        </w:rPr>
        <w:t>-</w:t>
      </w:r>
      <w:r w:rsidRPr="00790D70">
        <w:rPr>
          <w:rFonts w:eastAsiaTheme="minorEastAsia"/>
          <w:rtl/>
        </w:rPr>
        <w:tab/>
        <w:t>ترحب اللجنة بإصلاح السجون الجاري وبالجهود المبذولة لتدعيم فرص الحصول على الرعاية الصحية في السجون، بما فيها الفحوص الطبية عند الدخول، والتنفيذ الجاري لخطة العمل الرامية إلى تحسين الرعاية الصحية النفسية في السجون، لكنها تظل تشعر بالقلق إزاء التقارير التي تتحدث عن أن علاج متعاطي المخدرات، بما في ذلك تدابير الحد من الضرر، وذوي الإعاقات الذهنية أو النفسية</w:t>
      </w:r>
      <w:r>
        <w:rPr>
          <w:rFonts w:eastAsiaTheme="minorEastAsia"/>
          <w:rtl/>
        </w:rPr>
        <w:t xml:space="preserve"> </w:t>
      </w:r>
      <w:r w:rsidRPr="00790D70">
        <w:rPr>
          <w:rFonts w:eastAsiaTheme="minorEastAsia"/>
          <w:rtl/>
        </w:rPr>
        <w:t xml:space="preserve">الاجتماعية، لا يزال غير كاف. وترحب اللجنة بالتعديلات التي أدخلت في عام </w:t>
      </w:r>
      <w:r w:rsidRPr="009B5F24">
        <w:rPr>
          <w:rFonts w:eastAsiaTheme="minorEastAsia"/>
          <w:rtl/>
        </w:rPr>
        <w:t>2011</w:t>
      </w:r>
      <w:r w:rsidRPr="00790D70">
        <w:rPr>
          <w:rFonts w:eastAsiaTheme="minorEastAsia"/>
          <w:rtl/>
        </w:rPr>
        <w:t xml:space="preserve"> على قانون تنفيذ الأحكام والتي وسعت نطاق تطبيق التدابير غير </w:t>
      </w:r>
      <w:proofErr w:type="spellStart"/>
      <w:r w:rsidRPr="00790D70">
        <w:rPr>
          <w:rFonts w:eastAsiaTheme="minorEastAsia"/>
          <w:rtl/>
        </w:rPr>
        <w:t>الاحتجازية</w:t>
      </w:r>
      <w:proofErr w:type="spellEnd"/>
      <w:r w:rsidRPr="00790D70">
        <w:rPr>
          <w:rFonts w:eastAsiaTheme="minorEastAsia"/>
          <w:rtl/>
        </w:rPr>
        <w:t>، بيد أنها تشعر بالقلق لكون القانون المعدل لا</w:t>
      </w:r>
      <w:r w:rsidR="00946B70">
        <w:rPr>
          <w:rFonts w:eastAsiaTheme="minorEastAsia" w:hint="cs"/>
          <w:rtl/>
        </w:rPr>
        <w:t> </w:t>
      </w:r>
      <w:r w:rsidRPr="00790D70">
        <w:rPr>
          <w:rFonts w:eastAsiaTheme="minorEastAsia"/>
          <w:rtl/>
        </w:rPr>
        <w:t>يقتضي وضع خطة فردية لكل سجين محكوم عليه</w:t>
      </w:r>
      <w:r w:rsidRPr="00491133">
        <w:rPr>
          <w:rStyle w:val="FootnoteReference"/>
          <w:rFonts w:eastAsiaTheme="minorEastAsia"/>
          <w:sz w:val="22"/>
          <w:rtl/>
        </w:rPr>
        <w:t>(</w:t>
      </w:r>
      <w:r w:rsidRPr="009B5F24">
        <w:rPr>
          <w:rStyle w:val="FootnoteReference"/>
          <w:rFonts w:eastAsiaTheme="minorEastAsia"/>
          <w:sz w:val="22"/>
          <w:lang w:val="en-US"/>
        </w:rPr>
        <w:footnoteReference w:id="10"/>
      </w:r>
      <w:r w:rsidRPr="00790D70">
        <w:rPr>
          <w:rStyle w:val="FootnoteReference"/>
          <w:rFonts w:eastAsiaTheme="minorEastAsia"/>
          <w:sz w:val="22"/>
          <w:rtl/>
        </w:rPr>
        <w:t>)</w:t>
      </w:r>
      <w:r w:rsidRPr="00790D70">
        <w:rPr>
          <w:rFonts w:eastAsiaTheme="minorEastAsia"/>
          <w:rtl/>
        </w:rPr>
        <w:t>. وترى أن ذلك يؤثر سلب</w:t>
      </w:r>
      <w:r w:rsidR="00946B70">
        <w:rPr>
          <w:rFonts w:eastAsiaTheme="minorEastAsia"/>
          <w:rtl/>
        </w:rPr>
        <w:t xml:space="preserve">اً </w:t>
      </w:r>
      <w:r w:rsidRPr="00790D70">
        <w:rPr>
          <w:rFonts w:eastAsiaTheme="minorEastAsia"/>
          <w:rtl/>
        </w:rPr>
        <w:t>في تطور</w:t>
      </w:r>
      <w:r>
        <w:rPr>
          <w:rFonts w:eastAsiaTheme="minorEastAsia"/>
          <w:rtl/>
        </w:rPr>
        <w:t xml:space="preserve"> </w:t>
      </w:r>
      <w:r w:rsidRPr="00790D70">
        <w:rPr>
          <w:rFonts w:eastAsiaTheme="minorEastAsia"/>
          <w:rtl/>
        </w:rPr>
        <w:t xml:space="preserve">السجناء </w:t>
      </w:r>
      <w:r w:rsidRPr="00790D70">
        <w:rPr>
          <w:rFonts w:eastAsiaTheme="minorEastAsia"/>
          <w:rtl/>
        </w:rPr>
        <w:lastRenderedPageBreak/>
        <w:t>وإمكانية حصولهم على العمل وغيره من الأنشطة في السجون وقد يعرقل إعادة تأهيلهم الاجتماعي التام لاحق</w:t>
      </w:r>
      <w:r w:rsidR="00946B70">
        <w:rPr>
          <w:rFonts w:eastAsiaTheme="minorEastAsia"/>
          <w:rtl/>
        </w:rPr>
        <w:t xml:space="preserve">اً </w:t>
      </w:r>
      <w:r w:rsidRPr="00790D70">
        <w:rPr>
          <w:rFonts w:eastAsiaTheme="minorEastAsia"/>
          <w:rtl/>
        </w:rPr>
        <w:t xml:space="preserve">(المواد </w:t>
      </w:r>
      <w:r w:rsidRPr="009B5F24">
        <w:rPr>
          <w:rFonts w:eastAsiaTheme="minorEastAsia"/>
          <w:rtl/>
        </w:rPr>
        <w:t>2</w:t>
      </w:r>
      <w:r w:rsidRPr="00790D70">
        <w:rPr>
          <w:rFonts w:eastAsiaTheme="minorEastAsia"/>
          <w:rtl/>
        </w:rPr>
        <w:t xml:space="preserve"> و</w:t>
      </w:r>
      <w:r w:rsidRPr="009B5F24">
        <w:rPr>
          <w:rFonts w:eastAsiaTheme="minorEastAsia"/>
          <w:rtl/>
        </w:rPr>
        <w:t>11</w:t>
      </w:r>
      <w:r w:rsidRPr="00790D70">
        <w:rPr>
          <w:rFonts w:eastAsiaTheme="minorEastAsia"/>
          <w:rtl/>
        </w:rPr>
        <w:t xml:space="preserve"> و</w:t>
      </w:r>
      <w:r w:rsidRPr="009B5F24">
        <w:rPr>
          <w:rFonts w:eastAsiaTheme="minorEastAsia"/>
          <w:rtl/>
        </w:rPr>
        <w:t>16</w:t>
      </w:r>
      <w:r w:rsidRPr="00790D70">
        <w:rPr>
          <w:rFonts w:eastAsiaTheme="minorEastAsia"/>
          <w:rtl/>
        </w:rPr>
        <w:t>).</w:t>
      </w:r>
    </w:p>
    <w:p w14:paraId="36752F57" w14:textId="2FE14A78" w:rsidR="00790D70" w:rsidRPr="009B5F24" w:rsidRDefault="00790D70" w:rsidP="00790D70">
      <w:pPr>
        <w:pStyle w:val="SingleTxtGA"/>
        <w:rPr>
          <w:rFonts w:eastAsiaTheme="minorEastAsia"/>
          <w:b/>
          <w:bCs/>
          <w:lang w:eastAsia="zh-TW" w:bidi="en-GB"/>
        </w:rPr>
      </w:pPr>
      <w:r w:rsidRPr="009B5F24">
        <w:rPr>
          <w:rFonts w:eastAsiaTheme="minorEastAsia"/>
          <w:b/>
          <w:rtl/>
        </w:rPr>
        <w:t>16-</w:t>
      </w:r>
      <w:r w:rsidRPr="009B5F24">
        <w:rPr>
          <w:rFonts w:eastAsiaTheme="minorEastAsia"/>
          <w:bCs/>
          <w:rtl/>
        </w:rPr>
        <w:tab/>
      </w:r>
      <w:r w:rsidRPr="009B5F24">
        <w:rPr>
          <w:rFonts w:eastAsiaTheme="minorEastAsia"/>
          <w:b/>
          <w:bCs/>
          <w:rtl/>
        </w:rPr>
        <w:t>ينبغي للدولة الطرف القيام بما يلي:</w:t>
      </w:r>
      <w:r w:rsidRPr="009B5F24">
        <w:rPr>
          <w:rFonts w:eastAsiaTheme="minorEastAsia"/>
          <w:bCs/>
          <w:rtl/>
        </w:rPr>
        <w:t xml:space="preserve"> </w:t>
      </w:r>
    </w:p>
    <w:p w14:paraId="48A5EC7B" w14:textId="77777777" w:rsidR="00790D70" w:rsidRPr="009B5F24" w:rsidRDefault="00790D70" w:rsidP="00790D70">
      <w:pPr>
        <w:pStyle w:val="SingleTxtGA"/>
        <w:rPr>
          <w:rFonts w:eastAsiaTheme="minorEastAsia"/>
          <w:b/>
          <w:bCs/>
          <w:lang w:eastAsia="zh-TW" w:bidi="en-GB"/>
        </w:rPr>
      </w:pPr>
      <w:r w:rsidRPr="009B5F24">
        <w:rPr>
          <w:rFonts w:eastAsiaTheme="minorEastAsia"/>
          <w:b/>
          <w:rtl/>
        </w:rPr>
        <w:tab/>
        <w:t>(أ)</w:t>
      </w:r>
      <w:r w:rsidRPr="009B5F24">
        <w:rPr>
          <w:rFonts w:eastAsiaTheme="minorEastAsia"/>
          <w:bCs/>
          <w:rtl/>
        </w:rPr>
        <w:tab/>
      </w:r>
      <w:r w:rsidRPr="009B5F24">
        <w:rPr>
          <w:rFonts w:eastAsiaTheme="minorEastAsia"/>
          <w:b/>
          <w:bCs/>
          <w:rtl/>
        </w:rPr>
        <w:t>مواصلة تعزيز بدائل الاحتجاز القائمة وتطبيقها بفاعلية؛</w:t>
      </w:r>
    </w:p>
    <w:p w14:paraId="206DF64A" w14:textId="77777777" w:rsidR="00790D70" w:rsidRPr="009B5F24" w:rsidRDefault="00790D70" w:rsidP="00790D70">
      <w:pPr>
        <w:pStyle w:val="SingleTxtGA"/>
        <w:rPr>
          <w:rFonts w:eastAsiaTheme="minorEastAsia"/>
          <w:b/>
          <w:bCs/>
          <w:lang w:eastAsia="zh-TW" w:bidi="en-GB"/>
        </w:rPr>
      </w:pPr>
      <w:r w:rsidRPr="009B5F24">
        <w:rPr>
          <w:rFonts w:eastAsiaTheme="minorEastAsia"/>
          <w:b/>
          <w:rtl/>
        </w:rPr>
        <w:tab/>
        <w:t>(ب)</w:t>
      </w:r>
      <w:r w:rsidRPr="009B5F24">
        <w:rPr>
          <w:rFonts w:eastAsiaTheme="minorEastAsia"/>
          <w:bCs/>
          <w:rtl/>
        </w:rPr>
        <w:tab/>
      </w:r>
      <w:r w:rsidRPr="009B5F24">
        <w:rPr>
          <w:rFonts w:eastAsiaTheme="minorEastAsia"/>
          <w:b/>
          <w:bCs/>
          <w:rtl/>
        </w:rPr>
        <w:t>زيادة فرص حصول جميع من سُلبت حريتهم على برامج إعادة التأهيل وإعادة الإدماج الاجتماعي وتمكينهم من المشاركة، في القانون وفي الممارسة، في تصميم خطة عقوباتهم الفردية لإعادة تأهيلهم بالكامل؛</w:t>
      </w:r>
      <w:r w:rsidRPr="009B5F24">
        <w:rPr>
          <w:rFonts w:eastAsiaTheme="minorEastAsia"/>
          <w:bCs/>
          <w:rtl/>
        </w:rPr>
        <w:t xml:space="preserve"> </w:t>
      </w:r>
    </w:p>
    <w:p w14:paraId="358E32ED" w14:textId="77777777" w:rsidR="00790D70" w:rsidRPr="009B5F24" w:rsidRDefault="00790D70" w:rsidP="00790D70">
      <w:pPr>
        <w:pStyle w:val="SingleTxtGA"/>
        <w:rPr>
          <w:rFonts w:eastAsiaTheme="minorEastAsia"/>
          <w:b/>
          <w:bCs/>
          <w:lang w:eastAsia="zh-TW" w:bidi="en-GB"/>
        </w:rPr>
      </w:pPr>
      <w:r w:rsidRPr="009B5F24">
        <w:rPr>
          <w:rFonts w:eastAsiaTheme="minorEastAsia"/>
          <w:b/>
          <w:rtl/>
        </w:rPr>
        <w:tab/>
        <w:t>(ج)</w:t>
      </w:r>
      <w:r w:rsidRPr="009B5F24">
        <w:rPr>
          <w:rFonts w:eastAsiaTheme="minorEastAsia"/>
          <w:bCs/>
          <w:rtl/>
        </w:rPr>
        <w:tab/>
      </w:r>
      <w:r w:rsidRPr="009B5F24">
        <w:rPr>
          <w:rFonts w:eastAsiaTheme="minorEastAsia"/>
          <w:b/>
          <w:bCs/>
          <w:rtl/>
        </w:rPr>
        <w:t>مواصلة تدعيم جهودها المستمرة لزيادة الرعاية الصحية في السجون، بما فيها الفحوص الطبية عند الدخول إلى السجن، إضافة إلى رعاية الصحة النفسية والنفسانية، وضمان استمرار تقديم العلاج الطبي في السجون، بالتعاون مع دوائر الصحة العامة، سِيّما لفائدة من يعانون إدمانَ المخدرات والكحول ولفائدة الأشخاص ذوي الإعاقة.</w:t>
      </w:r>
      <w:r w:rsidRPr="009B5F24">
        <w:rPr>
          <w:rFonts w:eastAsiaTheme="minorEastAsia"/>
          <w:bCs/>
          <w:rtl/>
        </w:rPr>
        <w:t xml:space="preserve"> </w:t>
      </w:r>
    </w:p>
    <w:p w14:paraId="2B4470DC" w14:textId="77777777" w:rsidR="00790D70" w:rsidRPr="009B5F24" w:rsidRDefault="00790D70" w:rsidP="00790D70">
      <w:pPr>
        <w:pStyle w:val="H23GA"/>
        <w:rPr>
          <w:lang w:val="ar-SA" w:eastAsia="zh-TW" w:bidi="en-GB"/>
        </w:rPr>
      </w:pPr>
      <w:r w:rsidRPr="009B5F24">
        <w:rPr>
          <w:rtl/>
        </w:rPr>
        <w:tab/>
      </w:r>
      <w:r w:rsidRPr="009B5F24">
        <w:rPr>
          <w:rtl/>
        </w:rPr>
        <w:tab/>
        <w:t>الاعترافات المنتزعة بالتعذيب</w:t>
      </w:r>
    </w:p>
    <w:p w14:paraId="732348E0" w14:textId="7F31104B" w:rsidR="00790D70" w:rsidRPr="00790D70" w:rsidRDefault="00790D70" w:rsidP="00790D70">
      <w:pPr>
        <w:pStyle w:val="SingleTxtGA"/>
        <w:rPr>
          <w:rFonts w:eastAsiaTheme="minorEastAsia"/>
          <w:lang w:eastAsia="zh-TW" w:bidi="en-GB"/>
        </w:rPr>
      </w:pPr>
      <w:r w:rsidRPr="009B5F24">
        <w:rPr>
          <w:rFonts w:eastAsiaTheme="minorEastAsia"/>
          <w:rtl/>
        </w:rPr>
        <w:t>17</w:t>
      </w:r>
      <w:r w:rsidRPr="00790D70">
        <w:rPr>
          <w:rFonts w:eastAsiaTheme="minorEastAsia"/>
          <w:rtl/>
        </w:rPr>
        <w:t>-</w:t>
      </w:r>
      <w:r w:rsidRPr="00790D70">
        <w:rPr>
          <w:rFonts w:eastAsiaTheme="minorEastAsia"/>
          <w:rtl/>
        </w:rPr>
        <w:tab/>
        <w:t>نظر</w:t>
      </w:r>
      <w:r w:rsidR="00946B70">
        <w:rPr>
          <w:rFonts w:eastAsiaTheme="minorEastAsia"/>
          <w:rtl/>
        </w:rPr>
        <w:t xml:space="preserve">اً </w:t>
      </w:r>
      <w:r w:rsidRPr="00790D70">
        <w:rPr>
          <w:rFonts w:eastAsiaTheme="minorEastAsia"/>
          <w:rtl/>
        </w:rPr>
        <w:t>إلى عدم وجود جريمة تعذيب منفصلة، تأسف اللجنة لأن الدولة الطرف لم تَخْط أي خطوات في تشريعاتها الوطنية لكي</w:t>
      </w:r>
      <w:r>
        <w:rPr>
          <w:rFonts w:eastAsiaTheme="minorEastAsia"/>
          <w:rtl/>
        </w:rPr>
        <w:t xml:space="preserve"> </w:t>
      </w:r>
      <w:r w:rsidRPr="00790D70">
        <w:rPr>
          <w:rFonts w:eastAsiaTheme="minorEastAsia"/>
          <w:rtl/>
        </w:rPr>
        <w:t xml:space="preserve">تستبعد صراحةً أي أدلة يُحصل عليها بالتعذيب (المادة </w:t>
      </w:r>
      <w:r w:rsidRPr="009B5F24">
        <w:rPr>
          <w:rFonts w:eastAsiaTheme="minorEastAsia"/>
          <w:rtl/>
        </w:rPr>
        <w:t>15</w:t>
      </w:r>
      <w:r w:rsidRPr="00790D70">
        <w:rPr>
          <w:rFonts w:eastAsiaTheme="minorEastAsia"/>
          <w:rtl/>
        </w:rPr>
        <w:t>).</w:t>
      </w:r>
    </w:p>
    <w:p w14:paraId="565811FC" w14:textId="2BAFACFE" w:rsidR="00790D70" w:rsidRPr="009B5F24" w:rsidRDefault="00790D70" w:rsidP="00790D70">
      <w:pPr>
        <w:pStyle w:val="SingleTxtGA"/>
        <w:rPr>
          <w:rFonts w:eastAsiaTheme="minorEastAsia"/>
          <w:b/>
          <w:bCs/>
          <w:lang w:eastAsia="zh-TW" w:bidi="en-GB"/>
        </w:rPr>
      </w:pPr>
      <w:r w:rsidRPr="009B5F24">
        <w:rPr>
          <w:rFonts w:eastAsiaTheme="minorEastAsia"/>
          <w:b/>
          <w:rtl/>
        </w:rPr>
        <w:t>18-</w:t>
      </w:r>
      <w:r w:rsidRPr="009B5F24">
        <w:rPr>
          <w:rFonts w:eastAsiaTheme="minorEastAsia"/>
          <w:b/>
          <w:rtl/>
        </w:rPr>
        <w:tab/>
      </w:r>
      <w:r w:rsidRPr="009B5F24">
        <w:rPr>
          <w:rFonts w:eastAsiaTheme="minorEastAsia"/>
          <w:b/>
          <w:bCs/>
          <w:rtl/>
        </w:rPr>
        <w:t>ينبغي أن تعدل الدولة الطرف تشريعاتها لكي تحظر صراحة استخدام الأدلة المنتزعة بواسطة التعذيب، ما عدا إذا كانت أدلة ضد الشخص المتَّهم بممارسة التعذيب.</w:t>
      </w:r>
    </w:p>
    <w:p w14:paraId="0BB6E4EA" w14:textId="77777777" w:rsidR="00790D70" w:rsidRPr="009B5F24" w:rsidRDefault="00790D70" w:rsidP="00790D70">
      <w:pPr>
        <w:pStyle w:val="H23GA"/>
        <w:rPr>
          <w:lang w:val="ar-SA" w:eastAsia="zh-TW" w:bidi="en-GB"/>
        </w:rPr>
      </w:pPr>
      <w:r w:rsidRPr="009B5F24">
        <w:rPr>
          <w:rtl/>
        </w:rPr>
        <w:tab/>
      </w:r>
      <w:r w:rsidRPr="009B5F24">
        <w:rPr>
          <w:rtl/>
        </w:rPr>
        <w:tab/>
        <w:t xml:space="preserve">العنف الجنسي </w:t>
      </w:r>
      <w:proofErr w:type="spellStart"/>
      <w:r w:rsidRPr="009B5F24">
        <w:rPr>
          <w:rtl/>
        </w:rPr>
        <w:t>والجنساني</w:t>
      </w:r>
      <w:proofErr w:type="spellEnd"/>
      <w:r w:rsidRPr="009B5F24">
        <w:rPr>
          <w:rtl/>
        </w:rPr>
        <w:t xml:space="preserve">، بما في ذلك العنف العائلي وغيره من أشكال الاعتداء </w:t>
      </w:r>
    </w:p>
    <w:p w14:paraId="02789BDC" w14:textId="673BC8E2" w:rsidR="00790D70" w:rsidRPr="00790D70" w:rsidRDefault="00790D70" w:rsidP="00790D70">
      <w:pPr>
        <w:pStyle w:val="SingleTxtGA"/>
        <w:rPr>
          <w:rFonts w:eastAsiaTheme="minorEastAsia"/>
          <w:lang w:val="ar-SA" w:eastAsia="zh-TW" w:bidi="en-GB"/>
        </w:rPr>
      </w:pPr>
      <w:r w:rsidRPr="009B5F24">
        <w:rPr>
          <w:rFonts w:eastAsiaTheme="minorEastAsia"/>
          <w:rtl/>
        </w:rPr>
        <w:t>19</w:t>
      </w:r>
      <w:r w:rsidRPr="00790D70">
        <w:rPr>
          <w:rFonts w:eastAsiaTheme="minorEastAsia"/>
          <w:rtl/>
        </w:rPr>
        <w:t>-</w:t>
      </w:r>
      <w:r w:rsidRPr="00790D70">
        <w:rPr>
          <w:rFonts w:eastAsiaTheme="minorEastAsia"/>
          <w:rtl/>
        </w:rPr>
        <w:tab/>
        <w:t xml:space="preserve">ترحب اللجنة بخطوات تشريعية عديدة خَطَتها الدولة الطرف، من بينها التعديلات التي أدخلت على قانون العقوبات العام، إضافة إلى التقدم المحرز على صعيدي السياسات والمؤسسات لمنع العنف الجنسي </w:t>
      </w:r>
      <w:proofErr w:type="spellStart"/>
      <w:r w:rsidRPr="00790D70">
        <w:rPr>
          <w:rFonts w:eastAsiaTheme="minorEastAsia"/>
          <w:rtl/>
        </w:rPr>
        <w:t>والجنساني</w:t>
      </w:r>
      <w:proofErr w:type="spellEnd"/>
      <w:r w:rsidRPr="00790D70">
        <w:rPr>
          <w:rFonts w:eastAsiaTheme="minorEastAsia"/>
          <w:rtl/>
        </w:rPr>
        <w:t xml:space="preserve"> ومكافحته، وحماية الضحايا وتمكينهم من الحصول على الخدمات الطبية والمأوى والمشورة وغير ذلك من أشكال الدعم، وذلك أيض</w:t>
      </w:r>
      <w:r w:rsidR="00946B70">
        <w:rPr>
          <w:rFonts w:eastAsiaTheme="minorEastAsia"/>
          <w:rtl/>
        </w:rPr>
        <w:t xml:space="preserve">اً </w:t>
      </w:r>
      <w:r w:rsidRPr="00790D70">
        <w:rPr>
          <w:rFonts w:eastAsiaTheme="minorEastAsia"/>
          <w:rtl/>
        </w:rPr>
        <w:t>أثناء جائحة مرض فيروس كورونا (كوفيد-</w:t>
      </w:r>
      <w:r w:rsidRPr="009B5F24">
        <w:rPr>
          <w:rFonts w:eastAsiaTheme="minorEastAsia"/>
          <w:rtl/>
        </w:rPr>
        <w:t>19</w:t>
      </w:r>
      <w:r w:rsidRPr="00790D70">
        <w:rPr>
          <w:rFonts w:eastAsiaTheme="minorEastAsia"/>
          <w:rtl/>
        </w:rPr>
        <w:t>). وتحيط اللجنة علم</w:t>
      </w:r>
      <w:r w:rsidR="00946B70">
        <w:rPr>
          <w:rFonts w:eastAsiaTheme="minorEastAsia"/>
          <w:rtl/>
        </w:rPr>
        <w:t xml:space="preserve">اً </w:t>
      </w:r>
      <w:r w:rsidRPr="00790D70">
        <w:rPr>
          <w:rFonts w:eastAsiaTheme="minorEastAsia"/>
          <w:rtl/>
        </w:rPr>
        <w:t xml:space="preserve">بالمعلومات التي قدمتها الدولة الطرف عن عدد حالات العنف الجنسي </w:t>
      </w:r>
      <w:proofErr w:type="spellStart"/>
      <w:r w:rsidRPr="00790D70">
        <w:rPr>
          <w:rFonts w:eastAsiaTheme="minorEastAsia"/>
          <w:rtl/>
        </w:rPr>
        <w:t>والجنساني</w:t>
      </w:r>
      <w:proofErr w:type="spellEnd"/>
      <w:r w:rsidRPr="00790D70">
        <w:rPr>
          <w:rFonts w:eastAsiaTheme="minorEastAsia"/>
          <w:rtl/>
        </w:rPr>
        <w:t xml:space="preserve"> المبلّغ عنها المرتفع، وزيادة التمويل المقدم إلى أقسام الشرطة لتدعيم التحقيقات والملاحقات القضائية بخصوص الجرائم الجنسية ورسم خطة رقمية في نظام سجلات الشرطة. ومع ذلك، لا يزال يساورها القلق إزاء أوجه القصور التالية المبلغ عنها:</w:t>
      </w:r>
    </w:p>
    <w:p w14:paraId="67FFF8E6" w14:textId="28ADE6FD" w:rsidR="00790D70" w:rsidRPr="00790D70" w:rsidRDefault="00790D70" w:rsidP="00790D70">
      <w:pPr>
        <w:pStyle w:val="SingleTxtGA"/>
        <w:rPr>
          <w:rFonts w:eastAsiaTheme="minorEastAsia"/>
          <w:lang w:eastAsia="zh-TW" w:bidi="en-GB"/>
        </w:rPr>
      </w:pPr>
      <w:r w:rsidRPr="00790D70">
        <w:rPr>
          <w:rFonts w:eastAsiaTheme="minorEastAsia"/>
          <w:rtl/>
        </w:rPr>
        <w:tab/>
        <w:t>(أ)</w:t>
      </w:r>
      <w:r w:rsidRPr="00790D70">
        <w:rPr>
          <w:rFonts w:eastAsiaTheme="minorEastAsia"/>
          <w:rtl/>
        </w:rPr>
        <w:tab/>
        <w:t>عدد حالات العنف العائلي والجنسي، بما فيها الاغتصاب، الذي لا يزال مرتفع</w:t>
      </w:r>
      <w:r w:rsidR="00946B70">
        <w:rPr>
          <w:rFonts w:eastAsiaTheme="minorEastAsia"/>
          <w:rtl/>
        </w:rPr>
        <w:t xml:space="preserve">اً، </w:t>
      </w:r>
      <w:r w:rsidRPr="00790D70">
        <w:rPr>
          <w:rFonts w:eastAsiaTheme="minorEastAsia"/>
          <w:rtl/>
        </w:rPr>
        <w:t>بما</w:t>
      </w:r>
      <w:r w:rsidR="00946B70">
        <w:rPr>
          <w:rFonts w:eastAsiaTheme="minorEastAsia" w:hint="cs"/>
          <w:rtl/>
        </w:rPr>
        <w:t> </w:t>
      </w:r>
      <w:r w:rsidRPr="00790D70">
        <w:rPr>
          <w:rFonts w:eastAsiaTheme="minorEastAsia"/>
          <w:rtl/>
        </w:rPr>
        <w:t>في ذلك بالنسبة إلى الأطفال والنساء المهاجرات والنساء والفتيات ذوات الإعاقة ونساء الأقليات</w:t>
      </w:r>
      <w:r w:rsidRPr="00491133">
        <w:rPr>
          <w:rStyle w:val="FootnoteReference"/>
          <w:rFonts w:eastAsiaTheme="minorEastAsia"/>
          <w:sz w:val="22"/>
          <w:rtl/>
        </w:rPr>
        <w:t>(</w:t>
      </w:r>
      <w:r w:rsidRPr="009B5F24">
        <w:rPr>
          <w:rStyle w:val="FootnoteReference"/>
          <w:rFonts w:eastAsiaTheme="minorEastAsia"/>
          <w:sz w:val="22"/>
          <w:lang w:val="en-US"/>
        </w:rPr>
        <w:footnoteReference w:id="11"/>
      </w:r>
      <w:r w:rsidRPr="00790D70">
        <w:rPr>
          <w:rStyle w:val="FootnoteReference"/>
          <w:rFonts w:eastAsiaTheme="minorEastAsia"/>
          <w:sz w:val="22"/>
          <w:rtl/>
        </w:rPr>
        <w:t>)</w:t>
      </w:r>
      <w:r w:rsidRPr="00790D70">
        <w:rPr>
          <w:rFonts w:eastAsiaTheme="minorEastAsia"/>
          <w:rtl/>
        </w:rPr>
        <w:t>؛ وعدد الملاحقات القضائية، بالنظر إلى عدد الحوادث المبلغ عنها، الذي يبدو محدود</w:t>
      </w:r>
      <w:r w:rsidR="00946B70">
        <w:rPr>
          <w:rFonts w:eastAsiaTheme="minorEastAsia"/>
          <w:rtl/>
        </w:rPr>
        <w:t xml:space="preserve">اً. </w:t>
      </w:r>
      <w:r w:rsidRPr="00790D70">
        <w:rPr>
          <w:rFonts w:eastAsiaTheme="minorEastAsia"/>
          <w:rtl/>
        </w:rPr>
        <w:t>ولا يزال عدد حالات إسقاط التهم في قضايا الاغتصاب وغيره من أشكال العنف الجنسي مرتفعا؛ ويُفتقر إلى معلومات عن التحليل المتعمق لعدد أحكام البراءة الكبير، مثلاً في قضايا العنف الجنسي</w:t>
      </w:r>
      <w:r w:rsidRPr="00491133">
        <w:rPr>
          <w:rStyle w:val="FootnoteReference"/>
          <w:rFonts w:eastAsiaTheme="minorEastAsia"/>
          <w:sz w:val="22"/>
          <w:rtl/>
        </w:rPr>
        <w:t>(</w:t>
      </w:r>
      <w:r w:rsidRPr="009B5F24">
        <w:rPr>
          <w:rStyle w:val="FootnoteReference"/>
          <w:rFonts w:eastAsiaTheme="minorEastAsia"/>
          <w:sz w:val="22"/>
          <w:lang w:val="en-US"/>
        </w:rPr>
        <w:footnoteReference w:id="12"/>
      </w:r>
      <w:r w:rsidRPr="00790D70">
        <w:rPr>
          <w:rStyle w:val="FootnoteReference"/>
          <w:rFonts w:eastAsiaTheme="minorEastAsia"/>
          <w:sz w:val="22"/>
          <w:rtl/>
        </w:rPr>
        <w:t>)</w:t>
      </w:r>
      <w:r w:rsidRPr="00790D70">
        <w:rPr>
          <w:rFonts w:eastAsiaTheme="minorEastAsia"/>
          <w:rtl/>
        </w:rPr>
        <w:t>. وتأسف اللجنة أيض</w:t>
      </w:r>
      <w:r w:rsidR="00946B70">
        <w:rPr>
          <w:rFonts w:eastAsiaTheme="minorEastAsia"/>
          <w:rtl/>
        </w:rPr>
        <w:t xml:space="preserve">اً </w:t>
      </w:r>
      <w:r w:rsidRPr="00790D70">
        <w:rPr>
          <w:rFonts w:eastAsiaTheme="minorEastAsia"/>
          <w:rtl/>
        </w:rPr>
        <w:t>لعدم وجود أحدث الإحصاءات عن الحالات التي لوحق فيها الجناة قضائي</w:t>
      </w:r>
      <w:r w:rsidR="00946B70">
        <w:rPr>
          <w:rFonts w:eastAsiaTheme="minorEastAsia"/>
          <w:rtl/>
        </w:rPr>
        <w:t xml:space="preserve">اً </w:t>
      </w:r>
      <w:r w:rsidRPr="00790D70">
        <w:rPr>
          <w:rFonts w:eastAsiaTheme="minorEastAsia"/>
          <w:rtl/>
        </w:rPr>
        <w:t xml:space="preserve">بخصوص جميع أشكال العنف </w:t>
      </w:r>
      <w:proofErr w:type="spellStart"/>
      <w:r w:rsidRPr="00790D70">
        <w:rPr>
          <w:rFonts w:eastAsiaTheme="minorEastAsia"/>
          <w:rtl/>
        </w:rPr>
        <w:t>الجنساني</w:t>
      </w:r>
      <w:proofErr w:type="spellEnd"/>
      <w:r w:rsidRPr="00790D70">
        <w:rPr>
          <w:rFonts w:eastAsiaTheme="minorEastAsia"/>
          <w:rtl/>
        </w:rPr>
        <w:t>، ونتائج هذه الملاحقات، ومعلومات عن جبر أضرار الضحايا؛</w:t>
      </w:r>
    </w:p>
    <w:p w14:paraId="61FC6F50" w14:textId="526A1EB4" w:rsidR="00790D70" w:rsidRPr="00790D70" w:rsidRDefault="00790D70" w:rsidP="00790D70">
      <w:pPr>
        <w:pStyle w:val="SingleTxtGA"/>
        <w:rPr>
          <w:rFonts w:eastAsiaTheme="minorEastAsia"/>
          <w:lang w:val="ar-SA" w:eastAsia="zh-TW" w:bidi="en-GB"/>
        </w:rPr>
      </w:pPr>
      <w:r w:rsidRPr="00790D70">
        <w:rPr>
          <w:rFonts w:eastAsiaTheme="minorEastAsia"/>
          <w:rtl/>
        </w:rPr>
        <w:lastRenderedPageBreak/>
        <w:tab/>
        <w:t>(ب)</w:t>
      </w:r>
      <w:r w:rsidRPr="00790D70">
        <w:rPr>
          <w:rFonts w:eastAsiaTheme="minorEastAsia"/>
          <w:rtl/>
        </w:rPr>
        <w:tab/>
        <w:t>تحيط اللجنة علم</w:t>
      </w:r>
      <w:r w:rsidR="00946B70">
        <w:rPr>
          <w:rFonts w:eastAsiaTheme="minorEastAsia"/>
          <w:rtl/>
        </w:rPr>
        <w:t xml:space="preserve">اً </w:t>
      </w:r>
      <w:r w:rsidRPr="00790D70">
        <w:rPr>
          <w:rFonts w:eastAsiaTheme="minorEastAsia"/>
          <w:rtl/>
        </w:rPr>
        <w:t xml:space="preserve">بالجهود التي بذلتها الدولة الطرف للتصدي للعنف </w:t>
      </w:r>
      <w:proofErr w:type="spellStart"/>
      <w:r w:rsidRPr="00790D70">
        <w:rPr>
          <w:rFonts w:eastAsiaTheme="minorEastAsia"/>
          <w:rtl/>
        </w:rPr>
        <w:t>الجنساني</w:t>
      </w:r>
      <w:proofErr w:type="spellEnd"/>
      <w:r w:rsidRPr="00790D70">
        <w:rPr>
          <w:rFonts w:eastAsiaTheme="minorEastAsia"/>
          <w:rtl/>
        </w:rPr>
        <w:t xml:space="preserve"> والتحرش الجنسي</w:t>
      </w:r>
      <w:r>
        <w:rPr>
          <w:rFonts w:eastAsiaTheme="minorEastAsia"/>
          <w:rtl/>
        </w:rPr>
        <w:t xml:space="preserve"> </w:t>
      </w:r>
      <w:r w:rsidRPr="00790D70">
        <w:rPr>
          <w:rFonts w:eastAsiaTheme="minorEastAsia"/>
          <w:rtl/>
        </w:rPr>
        <w:t xml:space="preserve">بالشرطيات أثناء تأدية عملهن، وتلاحظ أن المجلس المهني لمفوض الشرطة </w:t>
      </w:r>
      <w:r w:rsidRPr="00790D70">
        <w:rPr>
          <w:rFonts w:eastAsiaTheme="minorEastAsia"/>
          <w:spacing w:val="-4"/>
          <w:rtl/>
        </w:rPr>
        <w:t>الوطنية</w:t>
      </w:r>
      <w:r w:rsidRPr="00790D70">
        <w:rPr>
          <w:rFonts w:eastAsiaTheme="minorEastAsia" w:hint="cs"/>
          <w:spacing w:val="-4"/>
          <w:rtl/>
        </w:rPr>
        <w:t> </w:t>
      </w:r>
      <w:r w:rsidRPr="00790D70">
        <w:rPr>
          <w:rFonts w:eastAsiaTheme="minorEastAsia"/>
          <w:spacing w:val="-4"/>
          <w:rtl/>
        </w:rPr>
        <w:t>أُخبر ب</w:t>
      </w:r>
      <w:r>
        <w:rPr>
          <w:rFonts w:eastAsiaTheme="minorEastAsia" w:hint="cs"/>
          <w:spacing w:val="-4"/>
          <w:rtl/>
        </w:rPr>
        <w:t>ـ</w:t>
      </w:r>
      <w:r w:rsidRPr="00790D70">
        <w:rPr>
          <w:rFonts w:eastAsiaTheme="minorEastAsia" w:hint="cs"/>
          <w:spacing w:val="-4"/>
          <w:rtl/>
        </w:rPr>
        <w:t xml:space="preserve"> </w:t>
      </w:r>
      <w:r w:rsidRPr="009B5F24">
        <w:rPr>
          <w:rFonts w:eastAsiaTheme="minorEastAsia"/>
          <w:spacing w:val="-4"/>
          <w:rtl/>
        </w:rPr>
        <w:t>24</w:t>
      </w:r>
      <w:r w:rsidRPr="00790D70">
        <w:rPr>
          <w:rFonts w:eastAsiaTheme="minorEastAsia"/>
          <w:spacing w:val="-4"/>
          <w:rtl/>
        </w:rPr>
        <w:t xml:space="preserve"> حالة بين عامي </w:t>
      </w:r>
      <w:r w:rsidRPr="009B5F24">
        <w:rPr>
          <w:rFonts w:eastAsiaTheme="minorEastAsia"/>
          <w:spacing w:val="-4"/>
          <w:rtl/>
        </w:rPr>
        <w:t>2014</w:t>
      </w:r>
      <w:r w:rsidRPr="00790D70">
        <w:rPr>
          <w:rFonts w:eastAsiaTheme="minorEastAsia"/>
          <w:spacing w:val="-4"/>
          <w:rtl/>
        </w:rPr>
        <w:t xml:space="preserve"> و</w:t>
      </w:r>
      <w:r w:rsidRPr="009B5F24">
        <w:rPr>
          <w:rFonts w:eastAsiaTheme="minorEastAsia"/>
          <w:spacing w:val="-4"/>
          <w:rtl/>
        </w:rPr>
        <w:t>2020</w:t>
      </w:r>
      <w:r w:rsidRPr="00790D70">
        <w:rPr>
          <w:rFonts w:eastAsiaTheme="minorEastAsia"/>
          <w:spacing w:val="-4"/>
          <w:rtl/>
        </w:rPr>
        <w:t>، غير أنها تأسف لعدم وجود معلومات عن الإجراءات</w:t>
      </w:r>
      <w:r w:rsidRPr="00790D70">
        <w:rPr>
          <w:rFonts w:eastAsiaTheme="minorEastAsia"/>
          <w:rtl/>
        </w:rPr>
        <w:t xml:space="preserve"> التصحيحية المتخذة. ومع ذلك، فإنها</w:t>
      </w:r>
      <w:r>
        <w:rPr>
          <w:rFonts w:eastAsiaTheme="minorEastAsia"/>
          <w:rtl/>
        </w:rPr>
        <w:t xml:space="preserve"> </w:t>
      </w:r>
      <w:r w:rsidRPr="00790D70">
        <w:rPr>
          <w:rFonts w:eastAsiaTheme="minorEastAsia"/>
          <w:rtl/>
        </w:rPr>
        <w:t xml:space="preserve">ترحب بالبحث المزمع الاضطلاع به لدراسة ثقافة العمل داخل الشرطة (المادتان </w:t>
      </w:r>
      <w:r w:rsidRPr="009B5F24">
        <w:rPr>
          <w:rFonts w:eastAsiaTheme="minorEastAsia"/>
          <w:rtl/>
        </w:rPr>
        <w:t>2</w:t>
      </w:r>
      <w:r w:rsidRPr="00790D70">
        <w:rPr>
          <w:rFonts w:eastAsiaTheme="minorEastAsia"/>
          <w:rtl/>
        </w:rPr>
        <w:t xml:space="preserve"> و</w:t>
      </w:r>
      <w:r w:rsidRPr="009B5F24">
        <w:rPr>
          <w:rFonts w:eastAsiaTheme="minorEastAsia"/>
          <w:rtl/>
        </w:rPr>
        <w:t>16</w:t>
      </w:r>
      <w:r w:rsidRPr="00790D70">
        <w:rPr>
          <w:rFonts w:eastAsiaTheme="minorEastAsia"/>
          <w:rtl/>
        </w:rPr>
        <w:t xml:space="preserve">). </w:t>
      </w:r>
    </w:p>
    <w:p w14:paraId="2C474627" w14:textId="77777777" w:rsidR="00790D70" w:rsidRPr="009B5F24" w:rsidRDefault="00790D70" w:rsidP="00790D70">
      <w:pPr>
        <w:pStyle w:val="SingleTxtGA"/>
        <w:rPr>
          <w:rFonts w:eastAsiaTheme="minorEastAsia"/>
          <w:b/>
          <w:bCs/>
          <w:lang w:val="ar-SA" w:eastAsia="zh-TW" w:bidi="en-GB"/>
        </w:rPr>
      </w:pPr>
      <w:r w:rsidRPr="009B5F24">
        <w:rPr>
          <w:rFonts w:eastAsiaTheme="minorEastAsia"/>
          <w:b/>
          <w:rtl/>
        </w:rPr>
        <w:t>20-</w:t>
      </w:r>
      <w:r w:rsidRPr="009B5F24">
        <w:rPr>
          <w:rFonts w:eastAsiaTheme="minorEastAsia"/>
          <w:bCs/>
          <w:rtl/>
        </w:rPr>
        <w:tab/>
      </w:r>
      <w:r w:rsidRPr="009B5F24">
        <w:rPr>
          <w:rFonts w:eastAsiaTheme="minorEastAsia"/>
          <w:b/>
          <w:bCs/>
          <w:rtl/>
        </w:rPr>
        <w:t>ينبغي للدولة الطرف القيام بما يلي:</w:t>
      </w:r>
      <w:r w:rsidRPr="009B5F24">
        <w:rPr>
          <w:rFonts w:eastAsiaTheme="minorEastAsia"/>
          <w:bCs/>
          <w:rtl/>
        </w:rPr>
        <w:t xml:space="preserve"> </w:t>
      </w:r>
    </w:p>
    <w:p w14:paraId="455B03D5" w14:textId="1A244EAA" w:rsidR="00790D70" w:rsidRPr="009B5F24" w:rsidRDefault="00790D70" w:rsidP="00790D70">
      <w:pPr>
        <w:pStyle w:val="SingleTxtGA"/>
        <w:rPr>
          <w:rFonts w:eastAsiaTheme="minorEastAsia"/>
          <w:b/>
          <w:bCs/>
          <w:lang w:val="ar-SA" w:eastAsia="zh-TW" w:bidi="en-GB"/>
        </w:rPr>
      </w:pPr>
      <w:r w:rsidRPr="009B5F24">
        <w:rPr>
          <w:rFonts w:eastAsiaTheme="minorEastAsia"/>
          <w:b/>
          <w:rtl/>
        </w:rPr>
        <w:tab/>
        <w:t>(أ)</w:t>
      </w:r>
      <w:r w:rsidRPr="009B5F24">
        <w:rPr>
          <w:rFonts w:eastAsiaTheme="minorEastAsia"/>
          <w:b/>
          <w:rtl/>
        </w:rPr>
        <w:tab/>
      </w:r>
      <w:r w:rsidRPr="009B5F24">
        <w:rPr>
          <w:rFonts w:eastAsiaTheme="minorEastAsia"/>
          <w:b/>
          <w:bCs/>
          <w:rtl/>
        </w:rPr>
        <w:t>تدعيم الجهود المبذولة حالي</w:t>
      </w:r>
      <w:r w:rsidR="00946B70" w:rsidRPr="009B5F24">
        <w:rPr>
          <w:rFonts w:eastAsiaTheme="minorEastAsia"/>
          <w:b/>
          <w:bCs/>
          <w:rtl/>
        </w:rPr>
        <w:t xml:space="preserve">اً </w:t>
      </w:r>
      <w:r w:rsidRPr="009B5F24">
        <w:rPr>
          <w:rFonts w:eastAsiaTheme="minorEastAsia"/>
          <w:b/>
          <w:bCs/>
          <w:rtl/>
        </w:rPr>
        <w:t xml:space="preserve">التي تتوخى التحقيق الشامل في جميع حالات العنف الجنسي </w:t>
      </w:r>
      <w:proofErr w:type="spellStart"/>
      <w:r w:rsidRPr="009B5F24">
        <w:rPr>
          <w:rFonts w:eastAsiaTheme="minorEastAsia"/>
          <w:b/>
          <w:bCs/>
          <w:rtl/>
        </w:rPr>
        <w:t>والجنساني</w:t>
      </w:r>
      <w:proofErr w:type="spellEnd"/>
      <w:r w:rsidRPr="009B5F24">
        <w:rPr>
          <w:rFonts w:eastAsiaTheme="minorEastAsia"/>
          <w:b/>
          <w:bCs/>
          <w:rtl/>
        </w:rPr>
        <w:t>، خاصة ما ينطوي منها على فعل أو امتناع عن فعل من جانب سلطات الدولة أو</w:t>
      </w:r>
      <w:r w:rsidR="00946B70" w:rsidRPr="009B5F24">
        <w:rPr>
          <w:rFonts w:eastAsiaTheme="minorEastAsia" w:hint="cs"/>
          <w:b/>
          <w:bCs/>
          <w:rtl/>
        </w:rPr>
        <w:t> </w:t>
      </w:r>
      <w:r w:rsidRPr="009B5F24">
        <w:rPr>
          <w:rFonts w:eastAsiaTheme="minorEastAsia"/>
          <w:b/>
          <w:bCs/>
          <w:rtl/>
        </w:rPr>
        <w:t>كيانات أخرى يستتبع مسؤولية الدولة الطرف الدولية بموجب الاتفاقية، ومحاكمة الجناة المزعومين، وإنزال العقوبات المناسبة بهم إن ثبتت إدانتهم، وجبر ما أصاب الضحايا من أضرار جبر</w:t>
      </w:r>
      <w:r w:rsidR="00946B70" w:rsidRPr="009B5F24">
        <w:rPr>
          <w:rFonts w:eastAsiaTheme="minorEastAsia"/>
          <w:b/>
          <w:bCs/>
          <w:rtl/>
        </w:rPr>
        <w:t xml:space="preserve">اً </w:t>
      </w:r>
      <w:r w:rsidRPr="009B5F24">
        <w:rPr>
          <w:rFonts w:eastAsiaTheme="minorEastAsia"/>
          <w:b/>
          <w:bCs/>
          <w:rtl/>
        </w:rPr>
        <w:t>تام</w:t>
      </w:r>
      <w:r w:rsidR="00946B70" w:rsidRPr="009B5F24">
        <w:rPr>
          <w:rFonts w:eastAsiaTheme="minorEastAsia"/>
          <w:b/>
          <w:bCs/>
          <w:rtl/>
        </w:rPr>
        <w:t xml:space="preserve">اً، </w:t>
      </w:r>
      <w:r w:rsidRPr="009B5F24">
        <w:rPr>
          <w:rFonts w:eastAsiaTheme="minorEastAsia"/>
          <w:b/>
          <w:bCs/>
          <w:rtl/>
        </w:rPr>
        <w:t>بما في ذلك منحهم تعويضاً كافياً وإعادة تأهيلهم؛</w:t>
      </w:r>
      <w:r w:rsidRPr="009B5F24">
        <w:rPr>
          <w:rFonts w:eastAsiaTheme="minorEastAsia"/>
          <w:bCs/>
          <w:rtl/>
        </w:rPr>
        <w:t xml:space="preserve"> </w:t>
      </w:r>
    </w:p>
    <w:p w14:paraId="4FAEEF06" w14:textId="4DE1008E" w:rsidR="00790D70" w:rsidRPr="009B5F24" w:rsidRDefault="00790D70" w:rsidP="00790D70">
      <w:pPr>
        <w:pStyle w:val="SingleTxtGA"/>
        <w:rPr>
          <w:rFonts w:eastAsiaTheme="minorEastAsia"/>
          <w:b/>
          <w:bCs/>
          <w:lang w:val="ar-SA" w:eastAsia="zh-TW" w:bidi="en-GB"/>
        </w:rPr>
      </w:pPr>
      <w:r w:rsidRPr="009B5F24">
        <w:rPr>
          <w:rFonts w:eastAsiaTheme="minorEastAsia"/>
          <w:b/>
          <w:rtl/>
        </w:rPr>
        <w:tab/>
        <w:t>(ب)</w:t>
      </w:r>
      <w:r w:rsidRPr="009B5F24">
        <w:rPr>
          <w:rFonts w:eastAsiaTheme="minorEastAsia"/>
          <w:bCs/>
          <w:rtl/>
        </w:rPr>
        <w:tab/>
      </w:r>
      <w:r w:rsidRPr="009B5F24">
        <w:rPr>
          <w:rFonts w:eastAsiaTheme="minorEastAsia"/>
          <w:b/>
          <w:bCs/>
          <w:rtl/>
        </w:rPr>
        <w:t xml:space="preserve">تجميع بيانات إحصائية، مصنفة حسب عمر الضحايا </w:t>
      </w:r>
      <w:proofErr w:type="spellStart"/>
      <w:r w:rsidRPr="009B5F24">
        <w:rPr>
          <w:rFonts w:eastAsiaTheme="minorEastAsia"/>
          <w:b/>
          <w:bCs/>
          <w:rtl/>
        </w:rPr>
        <w:t>وإثنياتهم</w:t>
      </w:r>
      <w:proofErr w:type="spellEnd"/>
      <w:r w:rsidRPr="009B5F24">
        <w:rPr>
          <w:rFonts w:eastAsiaTheme="minorEastAsia"/>
          <w:b/>
          <w:bCs/>
          <w:rtl/>
        </w:rPr>
        <w:t xml:space="preserve"> أو جنسياتهم، عن عدد الشكاوى والتحقيقات والملاحقات القضائية والإدانات والعقوبات المسجلة في حالات العنف الجنسي </w:t>
      </w:r>
      <w:proofErr w:type="spellStart"/>
      <w:r w:rsidRPr="009B5F24">
        <w:rPr>
          <w:rFonts w:eastAsiaTheme="minorEastAsia"/>
          <w:b/>
          <w:bCs/>
          <w:rtl/>
        </w:rPr>
        <w:t>والجنساني</w:t>
      </w:r>
      <w:proofErr w:type="spellEnd"/>
      <w:r w:rsidRPr="009B5F24">
        <w:rPr>
          <w:rFonts w:eastAsiaTheme="minorEastAsia"/>
          <w:b/>
          <w:bCs/>
          <w:rtl/>
        </w:rPr>
        <w:t>، وكذلك عن التدابير المعتمدة لضمان حصول الضحايا على سبل انتصاف فعالة وجبر ما</w:t>
      </w:r>
      <w:r w:rsidR="00946B70" w:rsidRPr="009B5F24">
        <w:rPr>
          <w:rFonts w:eastAsiaTheme="minorEastAsia" w:hint="cs"/>
          <w:b/>
          <w:bCs/>
          <w:rtl/>
        </w:rPr>
        <w:t> </w:t>
      </w:r>
      <w:r w:rsidRPr="009B5F24">
        <w:rPr>
          <w:rFonts w:eastAsiaTheme="minorEastAsia"/>
          <w:b/>
          <w:bCs/>
          <w:rtl/>
        </w:rPr>
        <w:t xml:space="preserve">أصابهم من أضرار، ورصد فعالية آليات الشكاوى، بما في ذلك متابعة الحوادث المبلغ عنها؛ </w:t>
      </w:r>
    </w:p>
    <w:p w14:paraId="0514A18F" w14:textId="77777777" w:rsidR="00790D70" w:rsidRPr="009B5F24" w:rsidRDefault="00790D70" w:rsidP="00790D70">
      <w:pPr>
        <w:pStyle w:val="SingleTxtGA"/>
        <w:rPr>
          <w:rFonts w:eastAsiaTheme="minorEastAsia"/>
          <w:b/>
          <w:bCs/>
          <w:lang w:val="ar-SA" w:eastAsia="zh-TW" w:bidi="en-GB"/>
        </w:rPr>
      </w:pPr>
      <w:r w:rsidRPr="009B5F24">
        <w:rPr>
          <w:rFonts w:eastAsiaTheme="minorEastAsia"/>
          <w:b/>
          <w:rtl/>
        </w:rPr>
        <w:tab/>
        <w:t>(ج)</w:t>
      </w:r>
      <w:r w:rsidRPr="009B5F24">
        <w:rPr>
          <w:rFonts w:eastAsiaTheme="minorEastAsia"/>
          <w:bCs/>
          <w:rtl/>
        </w:rPr>
        <w:tab/>
      </w:r>
      <w:r w:rsidRPr="009B5F24">
        <w:rPr>
          <w:rFonts w:eastAsiaTheme="minorEastAsia"/>
          <w:b/>
          <w:bCs/>
          <w:rtl/>
        </w:rPr>
        <w:t xml:space="preserve">إبلاغ اللجنة بالإجراءات التصحيحية المتخذة للتصدي للعنف </w:t>
      </w:r>
      <w:proofErr w:type="spellStart"/>
      <w:r w:rsidRPr="009B5F24">
        <w:rPr>
          <w:rFonts w:eastAsiaTheme="minorEastAsia"/>
          <w:b/>
          <w:bCs/>
          <w:rtl/>
        </w:rPr>
        <w:t>الجنساني</w:t>
      </w:r>
      <w:proofErr w:type="spellEnd"/>
      <w:r w:rsidRPr="009B5F24">
        <w:rPr>
          <w:rFonts w:eastAsiaTheme="minorEastAsia"/>
          <w:b/>
          <w:bCs/>
          <w:rtl/>
        </w:rPr>
        <w:t xml:space="preserve"> والتحرش الجنسي داخل قوات الشرطة وبأي تقدم أحرز في ثقافة العمل فيها؛</w:t>
      </w:r>
    </w:p>
    <w:p w14:paraId="03869F67" w14:textId="77777777" w:rsidR="00790D70" w:rsidRPr="009B5F24" w:rsidRDefault="00790D70" w:rsidP="00790D70">
      <w:pPr>
        <w:pStyle w:val="SingleTxtGA"/>
        <w:rPr>
          <w:rFonts w:eastAsiaTheme="minorEastAsia"/>
          <w:b/>
          <w:bCs/>
          <w:lang w:val="ar-SA" w:eastAsia="zh-TW" w:bidi="en-GB"/>
        </w:rPr>
      </w:pPr>
      <w:r w:rsidRPr="009B5F24">
        <w:rPr>
          <w:rFonts w:eastAsiaTheme="minorEastAsia"/>
          <w:b/>
          <w:rtl/>
        </w:rPr>
        <w:tab/>
        <w:t>(د)</w:t>
      </w:r>
      <w:r w:rsidRPr="009B5F24">
        <w:rPr>
          <w:rFonts w:eastAsiaTheme="minorEastAsia"/>
          <w:bCs/>
          <w:rtl/>
        </w:rPr>
        <w:tab/>
      </w:r>
      <w:r w:rsidRPr="009B5F24">
        <w:rPr>
          <w:rFonts w:eastAsiaTheme="minorEastAsia"/>
          <w:b/>
          <w:bCs/>
          <w:rtl/>
        </w:rPr>
        <w:t xml:space="preserve">الاستمرار في توفير التدريب الإلزامي بشأن مقاضاة مرتكبي العنف الجنسي </w:t>
      </w:r>
      <w:proofErr w:type="spellStart"/>
      <w:r w:rsidRPr="009B5F24">
        <w:rPr>
          <w:rFonts w:eastAsiaTheme="minorEastAsia"/>
          <w:b/>
          <w:bCs/>
          <w:rtl/>
        </w:rPr>
        <w:t>والجنساني</w:t>
      </w:r>
      <w:proofErr w:type="spellEnd"/>
      <w:r w:rsidRPr="009B5F24">
        <w:rPr>
          <w:rFonts w:eastAsiaTheme="minorEastAsia"/>
          <w:b/>
          <w:bCs/>
          <w:rtl/>
        </w:rPr>
        <w:t xml:space="preserve"> وأساليب إجراء المقابلات مع الضحايا، لجميع موظفي العدالة وموظفي إنفاذ القانون، إضافة إلى تدريب الموظفين الاجتماعيين والمهنيين الطبيين على كيفية تحديد مؤشرات الاتجار وتوفير الحماية الفعالة لضحايا العنف الجنسي </w:t>
      </w:r>
      <w:proofErr w:type="spellStart"/>
      <w:r w:rsidRPr="009B5F24">
        <w:rPr>
          <w:rFonts w:eastAsiaTheme="minorEastAsia"/>
          <w:b/>
          <w:bCs/>
          <w:rtl/>
        </w:rPr>
        <w:t>والجنساني</w:t>
      </w:r>
      <w:proofErr w:type="spellEnd"/>
      <w:r w:rsidRPr="009B5F24">
        <w:rPr>
          <w:rFonts w:eastAsiaTheme="minorEastAsia"/>
          <w:b/>
          <w:bCs/>
          <w:rtl/>
        </w:rPr>
        <w:t>، ومواصلة حملات التوعية بجميع أشكال العنف ضد المرأة.</w:t>
      </w:r>
    </w:p>
    <w:p w14:paraId="5E9DEB96" w14:textId="77777777" w:rsidR="00790D70" w:rsidRPr="007C3507" w:rsidRDefault="00790D70" w:rsidP="00790D70">
      <w:pPr>
        <w:pStyle w:val="H23GA"/>
        <w:rPr>
          <w:lang w:val="en-US" w:eastAsia="zh-TW" w:bidi="en-GB"/>
        </w:rPr>
      </w:pPr>
      <w:r w:rsidRPr="009B5F24">
        <w:rPr>
          <w:rtl/>
        </w:rPr>
        <w:tab/>
      </w:r>
      <w:r w:rsidRPr="009B5F24">
        <w:rPr>
          <w:rtl/>
        </w:rPr>
        <w:tab/>
        <w:t xml:space="preserve">الاتجار بالبشر </w:t>
      </w:r>
    </w:p>
    <w:p w14:paraId="03DD6916" w14:textId="419126F6" w:rsidR="00790D70" w:rsidRPr="00790D70" w:rsidRDefault="00790D70" w:rsidP="00790D70">
      <w:pPr>
        <w:pStyle w:val="SingleTxtGA"/>
        <w:rPr>
          <w:rFonts w:eastAsiaTheme="minorEastAsia"/>
          <w:lang w:val="ar-SA" w:eastAsia="zh-TW" w:bidi="en-GB"/>
        </w:rPr>
      </w:pPr>
      <w:r w:rsidRPr="009B5F24">
        <w:rPr>
          <w:rFonts w:eastAsiaTheme="minorEastAsia"/>
          <w:rtl/>
        </w:rPr>
        <w:t>21</w:t>
      </w:r>
      <w:r w:rsidRPr="00790D70">
        <w:rPr>
          <w:rFonts w:eastAsiaTheme="minorEastAsia"/>
          <w:rtl/>
        </w:rPr>
        <w:t>-</w:t>
      </w:r>
      <w:r w:rsidRPr="00790D70">
        <w:rPr>
          <w:rFonts w:eastAsiaTheme="minorEastAsia"/>
          <w:rtl/>
        </w:rPr>
        <w:tab/>
        <w:t xml:space="preserve">ترحب اللجنة بالجهود المستمرة التي تبذلها الدولة الطرف وبنهجها المتعدد القطاعات للتصدي للاتجار بالبشر، وبالبيان الذي أدلى به وفد الدولة الطرف بشأن تعديلات عام </w:t>
      </w:r>
      <w:r w:rsidRPr="009B5F24">
        <w:rPr>
          <w:rFonts w:eastAsiaTheme="minorEastAsia"/>
          <w:rtl/>
        </w:rPr>
        <w:t>2021</w:t>
      </w:r>
      <w:r w:rsidRPr="00790D70">
        <w:rPr>
          <w:rFonts w:eastAsiaTheme="minorEastAsia"/>
          <w:rtl/>
        </w:rPr>
        <w:t xml:space="preserve"> على قانون العقوبات العام الرامية إلى توفير مزيد من الحماية القضائية لضحايا الاتجار. وتتطلع إلى تلقي الصيغة الكاملة للأحكام الجديدة المتعلقة</w:t>
      </w:r>
      <w:r>
        <w:rPr>
          <w:rFonts w:eastAsiaTheme="minorEastAsia"/>
          <w:rtl/>
        </w:rPr>
        <w:t xml:space="preserve"> </w:t>
      </w:r>
      <w:r w:rsidRPr="00790D70">
        <w:rPr>
          <w:rFonts w:eastAsiaTheme="minorEastAsia"/>
          <w:rtl/>
        </w:rPr>
        <w:t>بالتعريف القانوني للاتجار بالبشر، الذي يشمل جميع أنواع الاستغلال لجميع الأغراض، تمشي</w:t>
      </w:r>
      <w:r w:rsidR="00946B70">
        <w:rPr>
          <w:rFonts w:eastAsiaTheme="minorEastAsia"/>
          <w:rtl/>
        </w:rPr>
        <w:t xml:space="preserve">اً </w:t>
      </w:r>
      <w:r w:rsidRPr="00790D70">
        <w:rPr>
          <w:rFonts w:eastAsiaTheme="minorEastAsia"/>
          <w:rtl/>
        </w:rPr>
        <w:t>مع التزامات الدولة الطرف الدولية الأخرى. وتحيط اللجنة علم</w:t>
      </w:r>
      <w:r w:rsidR="00946B70">
        <w:rPr>
          <w:rFonts w:eastAsiaTheme="minorEastAsia"/>
          <w:rtl/>
        </w:rPr>
        <w:t xml:space="preserve">اً </w:t>
      </w:r>
      <w:r w:rsidRPr="00790D70">
        <w:rPr>
          <w:rFonts w:eastAsiaTheme="minorEastAsia"/>
          <w:rtl/>
        </w:rPr>
        <w:t>بالضمانات المدعَّمة في سوق العمل، غير أنها تشعر بالقلق بشأن التقارير التي تفيد بضرورة توفير مزيد من الحماية للعمال</w:t>
      </w:r>
      <w:r>
        <w:rPr>
          <w:rFonts w:eastAsiaTheme="minorEastAsia" w:hint="cs"/>
          <w:rtl/>
        </w:rPr>
        <w:t> </w:t>
      </w:r>
      <w:r w:rsidRPr="00790D70">
        <w:rPr>
          <w:rFonts w:eastAsiaTheme="minorEastAsia"/>
          <w:rtl/>
        </w:rPr>
        <w:t>المهاجرين من الاستغلال</w:t>
      </w:r>
      <w:r w:rsidRPr="00491133">
        <w:rPr>
          <w:rStyle w:val="FootnoteReference"/>
          <w:rFonts w:eastAsiaTheme="minorEastAsia"/>
          <w:sz w:val="22"/>
          <w:rtl/>
        </w:rPr>
        <w:t>(</w:t>
      </w:r>
      <w:r w:rsidRPr="009B5F24">
        <w:rPr>
          <w:rStyle w:val="FootnoteReference"/>
          <w:rFonts w:eastAsiaTheme="minorEastAsia"/>
          <w:sz w:val="22"/>
          <w:lang w:val="en-US"/>
        </w:rPr>
        <w:footnoteReference w:id="13"/>
      </w:r>
      <w:r w:rsidRPr="00790D70">
        <w:rPr>
          <w:rStyle w:val="FootnoteReference"/>
          <w:rFonts w:eastAsiaTheme="minorEastAsia"/>
          <w:sz w:val="22"/>
          <w:rtl/>
        </w:rPr>
        <w:t>)</w:t>
      </w:r>
      <w:r w:rsidRPr="00790D70">
        <w:rPr>
          <w:rFonts w:eastAsiaTheme="minorEastAsia"/>
          <w:rtl/>
        </w:rPr>
        <w:t>. وتحيط علم</w:t>
      </w:r>
      <w:r w:rsidR="00946B70">
        <w:rPr>
          <w:rFonts w:eastAsiaTheme="minorEastAsia"/>
          <w:rtl/>
        </w:rPr>
        <w:t xml:space="preserve">اً </w:t>
      </w:r>
      <w:r w:rsidRPr="00790D70">
        <w:rPr>
          <w:rFonts w:eastAsiaTheme="minorEastAsia"/>
          <w:rtl/>
        </w:rPr>
        <w:t>أيض</w:t>
      </w:r>
      <w:r w:rsidR="00946B70">
        <w:rPr>
          <w:rFonts w:eastAsiaTheme="minorEastAsia"/>
          <w:rtl/>
        </w:rPr>
        <w:t xml:space="preserve">اً </w:t>
      </w:r>
      <w:r w:rsidRPr="00790D70">
        <w:rPr>
          <w:rFonts w:eastAsiaTheme="minorEastAsia"/>
          <w:rtl/>
        </w:rPr>
        <w:t>مع القلق بقلة القضايا التي قوضي فيها من</w:t>
      </w:r>
      <w:r>
        <w:rPr>
          <w:rFonts w:eastAsiaTheme="minorEastAsia"/>
          <w:rtl/>
        </w:rPr>
        <w:t xml:space="preserve"> </w:t>
      </w:r>
      <w:r w:rsidRPr="00790D70">
        <w:rPr>
          <w:rFonts w:eastAsiaTheme="minorEastAsia"/>
          <w:rtl/>
        </w:rPr>
        <w:t>ارتكبوا جريمة الاتجار مقارنة بعدد الحالات المحتملة التي أبلغ عنها خلال الفترة المشمولة بالتقرير</w:t>
      </w:r>
      <w:r w:rsidRPr="00491133">
        <w:rPr>
          <w:rStyle w:val="FootnoteReference"/>
          <w:rFonts w:eastAsiaTheme="minorEastAsia"/>
          <w:sz w:val="22"/>
          <w:rtl/>
        </w:rPr>
        <w:t>(</w:t>
      </w:r>
      <w:r w:rsidRPr="009B5F24">
        <w:rPr>
          <w:rStyle w:val="FootnoteReference"/>
          <w:rFonts w:eastAsiaTheme="minorEastAsia"/>
          <w:sz w:val="22"/>
          <w:lang w:val="en-US"/>
        </w:rPr>
        <w:footnoteReference w:id="14"/>
      </w:r>
      <w:r>
        <w:rPr>
          <w:rStyle w:val="FootnoteReference"/>
          <w:rFonts w:eastAsiaTheme="minorEastAsia"/>
          <w:sz w:val="22"/>
          <w:rtl/>
        </w:rPr>
        <w:t>)</w:t>
      </w:r>
      <w:r w:rsidRPr="00790D70">
        <w:rPr>
          <w:rFonts w:eastAsiaTheme="minorEastAsia"/>
          <w:rtl/>
        </w:rPr>
        <w:t xml:space="preserve"> (المادتان </w:t>
      </w:r>
      <w:r w:rsidRPr="009B5F24">
        <w:rPr>
          <w:rFonts w:eastAsiaTheme="minorEastAsia"/>
          <w:rtl/>
        </w:rPr>
        <w:t>2</w:t>
      </w:r>
      <w:r w:rsidRPr="00790D70">
        <w:rPr>
          <w:rFonts w:eastAsiaTheme="minorEastAsia"/>
          <w:rtl/>
        </w:rPr>
        <w:t xml:space="preserve"> و</w:t>
      </w:r>
      <w:r w:rsidRPr="009B5F24">
        <w:rPr>
          <w:rFonts w:eastAsiaTheme="minorEastAsia"/>
          <w:rtl/>
        </w:rPr>
        <w:t>16</w:t>
      </w:r>
      <w:r w:rsidRPr="00790D70">
        <w:rPr>
          <w:rFonts w:eastAsiaTheme="minorEastAsia"/>
          <w:rtl/>
        </w:rPr>
        <w:t>).</w:t>
      </w:r>
    </w:p>
    <w:p w14:paraId="6E4A8E5D" w14:textId="45EEB550" w:rsidR="00790D70" w:rsidRPr="009B5F24" w:rsidRDefault="00790D70" w:rsidP="007C3507">
      <w:pPr>
        <w:pStyle w:val="SingleTxtGA"/>
        <w:keepNext/>
        <w:rPr>
          <w:rFonts w:eastAsiaTheme="minorEastAsia"/>
          <w:b/>
          <w:bCs/>
          <w:lang w:val="ar-SA" w:eastAsia="zh-TW" w:bidi="en-GB"/>
        </w:rPr>
      </w:pPr>
      <w:r w:rsidRPr="009B5F24">
        <w:rPr>
          <w:rFonts w:eastAsiaTheme="minorEastAsia"/>
          <w:b/>
          <w:rtl/>
        </w:rPr>
        <w:lastRenderedPageBreak/>
        <w:t>22-</w:t>
      </w:r>
      <w:r w:rsidRPr="009B5F24">
        <w:rPr>
          <w:rFonts w:eastAsiaTheme="minorEastAsia"/>
          <w:b/>
          <w:rtl/>
        </w:rPr>
        <w:tab/>
      </w:r>
      <w:r w:rsidRPr="009B5F24">
        <w:rPr>
          <w:rFonts w:eastAsiaTheme="minorEastAsia"/>
          <w:b/>
          <w:bCs/>
          <w:rtl/>
        </w:rPr>
        <w:t>ينبغي للدولة الطرف القيام بما يلي:</w:t>
      </w:r>
      <w:r w:rsidRPr="009B5F24">
        <w:rPr>
          <w:rFonts w:eastAsiaTheme="minorEastAsia"/>
          <w:bCs/>
          <w:rtl/>
        </w:rPr>
        <w:t xml:space="preserve"> </w:t>
      </w:r>
    </w:p>
    <w:p w14:paraId="3D44708F" w14:textId="77777777" w:rsidR="00790D70" w:rsidRPr="009B5F24" w:rsidRDefault="00790D70" w:rsidP="00790D70">
      <w:pPr>
        <w:pStyle w:val="SingleTxtGA"/>
        <w:rPr>
          <w:rFonts w:eastAsiaTheme="minorEastAsia"/>
          <w:b/>
          <w:bCs/>
          <w:lang w:eastAsia="zh-TW" w:bidi="en-GB"/>
        </w:rPr>
      </w:pPr>
      <w:r w:rsidRPr="009B5F24">
        <w:rPr>
          <w:rFonts w:eastAsiaTheme="minorEastAsia"/>
          <w:b/>
          <w:rtl/>
        </w:rPr>
        <w:tab/>
        <w:t>(أ)</w:t>
      </w:r>
      <w:r w:rsidRPr="009B5F24">
        <w:rPr>
          <w:rFonts w:eastAsiaTheme="minorEastAsia"/>
          <w:bCs/>
          <w:rtl/>
        </w:rPr>
        <w:tab/>
      </w:r>
      <w:r w:rsidRPr="009B5F24">
        <w:rPr>
          <w:rFonts w:eastAsiaTheme="minorEastAsia"/>
          <w:b/>
          <w:bCs/>
          <w:rtl/>
        </w:rPr>
        <w:t>تخصيص ما يكفي من تمويل للإجراءات الرامية إلى منع الاتجار ومكافحته، ورصد تنفيذها وتقييم نتائجها؛</w:t>
      </w:r>
    </w:p>
    <w:p w14:paraId="059EF1A6" w14:textId="6F4B0183" w:rsidR="00790D70" w:rsidRPr="009B5F24" w:rsidRDefault="00790D70" w:rsidP="00790D70">
      <w:pPr>
        <w:pStyle w:val="SingleTxtGA"/>
        <w:rPr>
          <w:rFonts w:eastAsiaTheme="minorEastAsia"/>
          <w:b/>
          <w:bCs/>
          <w:lang w:eastAsia="zh-TW" w:bidi="en-GB"/>
        </w:rPr>
      </w:pPr>
      <w:r w:rsidRPr="009B5F24">
        <w:rPr>
          <w:rFonts w:eastAsiaTheme="minorEastAsia"/>
          <w:b/>
          <w:rtl/>
        </w:rPr>
        <w:tab/>
        <w:t>(ب)</w:t>
      </w:r>
      <w:r w:rsidRPr="009B5F24">
        <w:rPr>
          <w:rFonts w:eastAsiaTheme="minorEastAsia"/>
          <w:bCs/>
          <w:rtl/>
        </w:rPr>
        <w:tab/>
      </w:r>
      <w:r w:rsidRPr="009B5F24">
        <w:rPr>
          <w:rFonts w:eastAsiaTheme="minorEastAsia"/>
          <w:b/>
          <w:bCs/>
          <w:rtl/>
        </w:rPr>
        <w:t>تأكيد أن التغييرات التشريعية التي أدخلت مؤخر</w:t>
      </w:r>
      <w:r w:rsidR="00946B70" w:rsidRPr="009B5F24">
        <w:rPr>
          <w:rFonts w:eastAsiaTheme="minorEastAsia"/>
          <w:b/>
          <w:bCs/>
          <w:rtl/>
        </w:rPr>
        <w:t xml:space="preserve">اً </w:t>
      </w:r>
      <w:r w:rsidRPr="009B5F24">
        <w:rPr>
          <w:rFonts w:eastAsiaTheme="minorEastAsia"/>
          <w:b/>
          <w:bCs/>
          <w:rtl/>
        </w:rPr>
        <w:t>على قانون العقوبات العام تتضمن تعريف</w:t>
      </w:r>
      <w:r w:rsidR="00946B70" w:rsidRPr="009B5F24">
        <w:rPr>
          <w:rFonts w:eastAsiaTheme="minorEastAsia"/>
          <w:b/>
          <w:bCs/>
          <w:rtl/>
        </w:rPr>
        <w:t xml:space="preserve">اً </w:t>
      </w:r>
      <w:r w:rsidRPr="009B5F24">
        <w:rPr>
          <w:rFonts w:eastAsiaTheme="minorEastAsia"/>
          <w:b/>
          <w:bCs/>
          <w:rtl/>
        </w:rPr>
        <w:t>قانوني</w:t>
      </w:r>
      <w:r w:rsidR="00946B70" w:rsidRPr="009B5F24">
        <w:rPr>
          <w:rFonts w:eastAsiaTheme="minorEastAsia"/>
          <w:b/>
          <w:bCs/>
          <w:rtl/>
        </w:rPr>
        <w:t xml:space="preserve">اً </w:t>
      </w:r>
      <w:r w:rsidRPr="009B5F24">
        <w:rPr>
          <w:rFonts w:eastAsiaTheme="minorEastAsia"/>
          <w:b/>
          <w:bCs/>
          <w:rtl/>
        </w:rPr>
        <w:t>للاتجار بالبشر يشمل على النحو المناسب جميع أشكال الاستغلال، بما فيها الرق والممارسات الشبيهة بالرق والعبودية؛</w:t>
      </w:r>
    </w:p>
    <w:p w14:paraId="3DA91CA9" w14:textId="4AF4ACE0" w:rsidR="00790D70" w:rsidRPr="009B5F24" w:rsidRDefault="00790D70" w:rsidP="00790D70">
      <w:pPr>
        <w:pStyle w:val="SingleTxtGA"/>
        <w:rPr>
          <w:rFonts w:eastAsiaTheme="minorEastAsia"/>
          <w:b/>
          <w:bCs/>
          <w:lang w:eastAsia="zh-TW" w:bidi="en-GB"/>
        </w:rPr>
      </w:pPr>
      <w:r w:rsidRPr="009B5F24">
        <w:rPr>
          <w:rFonts w:eastAsiaTheme="minorEastAsia"/>
          <w:b/>
          <w:rtl/>
        </w:rPr>
        <w:tab/>
        <w:t>(ج)</w:t>
      </w:r>
      <w:r w:rsidRPr="009B5F24">
        <w:rPr>
          <w:rFonts w:eastAsiaTheme="minorEastAsia"/>
          <w:bCs/>
          <w:rtl/>
        </w:rPr>
        <w:tab/>
      </w:r>
      <w:r w:rsidRPr="009B5F24">
        <w:rPr>
          <w:rFonts w:eastAsiaTheme="minorEastAsia"/>
          <w:b/>
          <w:bCs/>
          <w:rtl/>
        </w:rPr>
        <w:t>الاستمرار في تدعيم معايير تقييم ضعف شخص تعرض للاتجار بالبشر، وإجراء تحقيق شامل في حالات الاتجار بالبشر بمختلف أشكاله، ومقاضاة الجناة المزعومين، ومعاقبتهم بالعقوبات المناسبة إن ثبتت إدانتهم، وتمكين الضحايا من الحصول على الحماية والجبر الفعالين، بما</w:t>
      </w:r>
      <w:r w:rsidR="00946B70" w:rsidRPr="009B5F24">
        <w:rPr>
          <w:rFonts w:eastAsiaTheme="minorEastAsia" w:hint="cs"/>
          <w:b/>
          <w:bCs/>
          <w:rtl/>
        </w:rPr>
        <w:t> </w:t>
      </w:r>
      <w:r w:rsidRPr="009B5F24">
        <w:rPr>
          <w:rFonts w:eastAsiaTheme="minorEastAsia"/>
          <w:b/>
          <w:bCs/>
          <w:rtl/>
        </w:rPr>
        <w:t>في ذلك التعويض العادل والمناسب، وإعادة التأهيل التام قدر الإمكان؛</w:t>
      </w:r>
      <w:r w:rsidRPr="009B5F24">
        <w:rPr>
          <w:rFonts w:eastAsiaTheme="minorEastAsia"/>
          <w:bCs/>
          <w:rtl/>
        </w:rPr>
        <w:t xml:space="preserve"> </w:t>
      </w:r>
    </w:p>
    <w:p w14:paraId="1BBD5172" w14:textId="04F6456E" w:rsidR="00790D70" w:rsidRPr="009B5F24" w:rsidRDefault="00790D70" w:rsidP="00790D70">
      <w:pPr>
        <w:pStyle w:val="SingleTxtGA"/>
        <w:rPr>
          <w:rFonts w:eastAsiaTheme="minorEastAsia"/>
          <w:b/>
          <w:bCs/>
          <w:lang w:val="ar-SA" w:eastAsia="zh-TW" w:bidi="en-GB"/>
        </w:rPr>
      </w:pPr>
      <w:r w:rsidRPr="009B5F24">
        <w:rPr>
          <w:rFonts w:eastAsiaTheme="minorEastAsia"/>
          <w:bCs/>
          <w:rtl/>
        </w:rPr>
        <w:tab/>
      </w:r>
      <w:r w:rsidRPr="009B5F24">
        <w:rPr>
          <w:rFonts w:eastAsiaTheme="minorEastAsia"/>
          <w:b/>
          <w:rtl/>
        </w:rPr>
        <w:t>(د)</w:t>
      </w:r>
      <w:r w:rsidRPr="009B5F24">
        <w:rPr>
          <w:rFonts w:eastAsiaTheme="minorEastAsia"/>
          <w:bCs/>
          <w:rtl/>
        </w:rPr>
        <w:tab/>
      </w:r>
      <w:r w:rsidRPr="009B5F24">
        <w:rPr>
          <w:rFonts w:eastAsiaTheme="minorEastAsia"/>
          <w:b/>
          <w:bCs/>
          <w:rtl/>
        </w:rPr>
        <w:t>الاستمرار في توفير التدريب المتخصص لموظفي إنفاذ القانون، وحرس الحدود، وموظفي الهجرة، والمدعين العامين، ومفتشي العمل، والمهنيين الطبيين، وغيرهم من الجهات الفاعلة المعنية، بشأن الكشف عن ضحايا الاتجار بالبشر وتحديد هوياتهم، مع التركيز بوجه خاص على من يعيشون في ظروف هشة؛</w:t>
      </w:r>
      <w:r w:rsidRPr="009B5F24">
        <w:rPr>
          <w:rFonts w:eastAsiaTheme="minorEastAsia"/>
          <w:bCs/>
          <w:rtl/>
        </w:rPr>
        <w:t xml:space="preserve"> </w:t>
      </w:r>
    </w:p>
    <w:p w14:paraId="48EA31EB" w14:textId="77777777" w:rsidR="00790D70" w:rsidRPr="009B5F24" w:rsidRDefault="00790D70" w:rsidP="00790D70">
      <w:pPr>
        <w:pStyle w:val="SingleTxtGA"/>
        <w:rPr>
          <w:rFonts w:eastAsiaTheme="minorEastAsia"/>
          <w:b/>
          <w:bCs/>
          <w:lang w:val="ar-SA" w:eastAsia="zh-TW" w:bidi="en-GB"/>
        </w:rPr>
      </w:pPr>
      <w:r w:rsidRPr="009B5F24">
        <w:rPr>
          <w:rFonts w:eastAsiaTheme="minorEastAsia"/>
          <w:b/>
          <w:rtl/>
        </w:rPr>
        <w:tab/>
        <w:t>(هـ)</w:t>
      </w:r>
      <w:r w:rsidRPr="009B5F24">
        <w:rPr>
          <w:rFonts w:eastAsiaTheme="minorEastAsia"/>
          <w:bCs/>
          <w:rtl/>
        </w:rPr>
        <w:tab/>
      </w:r>
      <w:r w:rsidRPr="009B5F24">
        <w:rPr>
          <w:rFonts w:eastAsiaTheme="minorEastAsia"/>
          <w:b/>
          <w:bCs/>
          <w:rtl/>
        </w:rPr>
        <w:t>مواصلة تنظيم حملات وقائية وطنية تكشف الطبيعة الإجرامية للاتجار بالبشر.</w:t>
      </w:r>
    </w:p>
    <w:p w14:paraId="5B89E45A" w14:textId="77777777" w:rsidR="00790D70" w:rsidRPr="009B5F24" w:rsidRDefault="00790D70" w:rsidP="00790D70">
      <w:pPr>
        <w:pStyle w:val="H23GA"/>
        <w:rPr>
          <w:lang w:eastAsia="zh-TW" w:bidi="en-GB"/>
        </w:rPr>
      </w:pPr>
      <w:r w:rsidRPr="009B5F24">
        <w:rPr>
          <w:rtl/>
        </w:rPr>
        <w:tab/>
      </w:r>
      <w:r w:rsidRPr="009B5F24">
        <w:rPr>
          <w:rtl/>
        </w:rPr>
        <w:tab/>
        <w:t>المؤسسة الوطنية لحقوق الإنسان</w:t>
      </w:r>
    </w:p>
    <w:p w14:paraId="540A44AF" w14:textId="330CF692" w:rsidR="00790D70" w:rsidRPr="00790D70" w:rsidRDefault="00790D70" w:rsidP="00790D70">
      <w:pPr>
        <w:pStyle w:val="SingleTxtGA"/>
        <w:rPr>
          <w:rFonts w:eastAsiaTheme="minorEastAsia"/>
          <w:lang w:eastAsia="zh-TW" w:bidi="en-GB"/>
        </w:rPr>
      </w:pPr>
      <w:r w:rsidRPr="009B5F24">
        <w:rPr>
          <w:rFonts w:eastAsiaTheme="minorEastAsia"/>
          <w:rtl/>
        </w:rPr>
        <w:t>23</w:t>
      </w:r>
      <w:r w:rsidRPr="00790D70">
        <w:rPr>
          <w:rFonts w:eastAsiaTheme="minorEastAsia"/>
          <w:rtl/>
        </w:rPr>
        <w:t>-</w:t>
      </w:r>
      <w:r w:rsidRPr="00790D70">
        <w:rPr>
          <w:rFonts w:eastAsiaTheme="minorEastAsia"/>
          <w:rtl/>
        </w:rPr>
        <w:tab/>
        <w:t>تأسف اللجنة لتأخر الدولة الطرف الطويل في امتثال التزامها الذي سبق أن أعربت عنه</w:t>
      </w:r>
      <w:r>
        <w:rPr>
          <w:rFonts w:eastAsiaTheme="minorEastAsia"/>
          <w:rtl/>
        </w:rPr>
        <w:t xml:space="preserve"> </w:t>
      </w:r>
      <w:r w:rsidRPr="00790D70">
        <w:rPr>
          <w:rFonts w:eastAsiaTheme="minorEastAsia"/>
          <w:rtl/>
        </w:rPr>
        <w:t xml:space="preserve">خلال الاستعراض الدوري الشامل لعام </w:t>
      </w:r>
      <w:r w:rsidRPr="009B5F24">
        <w:rPr>
          <w:rFonts w:eastAsiaTheme="minorEastAsia"/>
          <w:rtl/>
        </w:rPr>
        <w:t>2016</w:t>
      </w:r>
      <w:r w:rsidRPr="00491133">
        <w:rPr>
          <w:rStyle w:val="FootnoteReference"/>
          <w:rFonts w:eastAsiaTheme="minorEastAsia"/>
          <w:sz w:val="22"/>
          <w:rtl/>
        </w:rPr>
        <w:t>(</w:t>
      </w:r>
      <w:r w:rsidRPr="009B5F24">
        <w:rPr>
          <w:rStyle w:val="FootnoteReference"/>
          <w:rFonts w:eastAsiaTheme="minorEastAsia"/>
          <w:sz w:val="22"/>
          <w:lang w:val="en-US"/>
        </w:rPr>
        <w:footnoteReference w:id="15"/>
      </w:r>
      <w:r w:rsidRPr="00790D70">
        <w:rPr>
          <w:rStyle w:val="FootnoteReference"/>
          <w:rFonts w:eastAsiaTheme="minorEastAsia"/>
          <w:sz w:val="22"/>
          <w:rtl/>
        </w:rPr>
        <w:t>)</w:t>
      </w:r>
      <w:r w:rsidRPr="00790D70">
        <w:rPr>
          <w:rFonts w:eastAsiaTheme="minorEastAsia"/>
          <w:rtl/>
        </w:rPr>
        <w:t>، لكنها تحيط علم</w:t>
      </w:r>
      <w:r w:rsidR="00946B70">
        <w:rPr>
          <w:rFonts w:eastAsiaTheme="minorEastAsia"/>
          <w:rtl/>
        </w:rPr>
        <w:t xml:space="preserve">اً </w:t>
      </w:r>
      <w:r w:rsidRPr="00790D70">
        <w:rPr>
          <w:rFonts w:eastAsiaTheme="minorEastAsia"/>
          <w:rtl/>
        </w:rPr>
        <w:t xml:space="preserve">بالمعلومات التي قدمتها الدولة الطرف عن تأسيس فريق عامل في عام </w:t>
      </w:r>
      <w:r w:rsidRPr="009B5F24">
        <w:rPr>
          <w:rFonts w:eastAsiaTheme="minorEastAsia"/>
          <w:rtl/>
        </w:rPr>
        <w:t>2021</w:t>
      </w:r>
      <w:r w:rsidRPr="00790D70">
        <w:rPr>
          <w:rFonts w:eastAsiaTheme="minorEastAsia"/>
          <w:rtl/>
        </w:rPr>
        <w:t xml:space="preserve"> بهدف إنشاء مؤسسة وطنية مستقلة لحقوق الإنسان ووضع خطة لتقديم مشروع القانون لهذا الغرض في عام </w:t>
      </w:r>
      <w:r w:rsidRPr="009B5F24">
        <w:rPr>
          <w:rFonts w:eastAsiaTheme="minorEastAsia"/>
          <w:rtl/>
        </w:rPr>
        <w:t>2023</w:t>
      </w:r>
      <w:r w:rsidRPr="00790D70">
        <w:rPr>
          <w:rFonts w:eastAsiaTheme="minorEastAsia"/>
          <w:rtl/>
        </w:rPr>
        <w:t xml:space="preserve"> (المادة </w:t>
      </w:r>
      <w:r w:rsidRPr="009B5F24">
        <w:rPr>
          <w:rFonts w:eastAsiaTheme="minorEastAsia"/>
          <w:rtl/>
        </w:rPr>
        <w:t>2</w:t>
      </w:r>
      <w:r w:rsidRPr="00790D70">
        <w:rPr>
          <w:rFonts w:eastAsiaTheme="minorEastAsia"/>
          <w:rtl/>
        </w:rPr>
        <w:t xml:space="preserve">). </w:t>
      </w:r>
    </w:p>
    <w:p w14:paraId="28F9CE4F" w14:textId="7537979B" w:rsidR="00790D70" w:rsidRPr="009B5F24" w:rsidRDefault="00790D70" w:rsidP="00790D70">
      <w:pPr>
        <w:pStyle w:val="SingleTxtGA"/>
        <w:rPr>
          <w:rFonts w:eastAsiaTheme="minorEastAsia"/>
          <w:b/>
          <w:bCs/>
          <w:lang w:val="ar-SA" w:eastAsia="zh-TW" w:bidi="en-GB"/>
        </w:rPr>
      </w:pPr>
      <w:r w:rsidRPr="009B5F24">
        <w:rPr>
          <w:rFonts w:eastAsiaTheme="minorEastAsia"/>
          <w:b/>
          <w:rtl/>
        </w:rPr>
        <w:t>24-</w:t>
      </w:r>
      <w:r w:rsidRPr="009B5F24">
        <w:rPr>
          <w:rFonts w:eastAsiaTheme="minorEastAsia"/>
          <w:bCs/>
          <w:rtl/>
        </w:rPr>
        <w:tab/>
      </w:r>
      <w:r w:rsidRPr="009B5F24">
        <w:rPr>
          <w:rFonts w:eastAsiaTheme="minorEastAsia"/>
          <w:b/>
          <w:bCs/>
          <w:rtl/>
        </w:rPr>
        <w:t>تذكّر اللجنة بتوصيتها</w:t>
      </w:r>
      <w:r w:rsidRPr="009B5F24">
        <w:rPr>
          <w:rStyle w:val="FootnoteReference"/>
          <w:rFonts w:eastAsiaTheme="minorEastAsia"/>
          <w:b/>
          <w:sz w:val="22"/>
          <w:rtl/>
        </w:rPr>
        <w:t>(</w:t>
      </w:r>
      <w:r w:rsidRPr="00525A39">
        <w:rPr>
          <w:rStyle w:val="FootnoteReference"/>
          <w:rFonts w:eastAsiaTheme="minorEastAsia"/>
          <w:bCs/>
          <w:sz w:val="22"/>
          <w:lang w:val="en-US"/>
        </w:rPr>
        <w:footnoteReference w:id="16"/>
      </w:r>
      <w:r w:rsidRPr="009B5F24">
        <w:rPr>
          <w:rStyle w:val="FootnoteReference"/>
          <w:rFonts w:eastAsiaTheme="minorEastAsia"/>
          <w:b/>
          <w:sz w:val="22"/>
          <w:rtl/>
        </w:rPr>
        <w:t>)</w:t>
      </w:r>
      <w:r w:rsidRPr="009B5F24">
        <w:rPr>
          <w:rFonts w:eastAsiaTheme="minorEastAsia"/>
          <w:b/>
          <w:bCs/>
          <w:rtl/>
        </w:rPr>
        <w:t xml:space="preserve"> بأن تسرع الدولة الطرف جهودها الجارية بغية إنشاء مؤسسة وطنية لحقوق الإنسان تسند إليها ولاية واسعة النطاق لحماية حقوق الإنسان وتُزوَّد بالموارد البشرية والمالية الكافية، وفقاً للمبادئ المتعلقة بمركز المؤسسات الوطنية لتعزيز وحماية حقوق الإنسان (مبادئ باريس).</w:t>
      </w:r>
      <w:r w:rsidRPr="009B5F24">
        <w:rPr>
          <w:rFonts w:eastAsiaTheme="minorEastAsia"/>
          <w:bCs/>
          <w:rtl/>
        </w:rPr>
        <w:t xml:space="preserve"> </w:t>
      </w:r>
    </w:p>
    <w:p w14:paraId="126C7349" w14:textId="77777777" w:rsidR="00790D70" w:rsidRPr="009B5F24" w:rsidRDefault="00790D70" w:rsidP="00790D70">
      <w:pPr>
        <w:pStyle w:val="H23GA"/>
        <w:rPr>
          <w:lang w:val="ar-SA" w:eastAsia="zh-TW" w:bidi="en-GB"/>
        </w:rPr>
      </w:pPr>
      <w:r w:rsidRPr="009B5F24">
        <w:rPr>
          <w:rtl/>
        </w:rPr>
        <w:tab/>
      </w:r>
      <w:r w:rsidRPr="009B5F24">
        <w:rPr>
          <w:rtl/>
        </w:rPr>
        <w:tab/>
        <w:t>أمين المظالم البرلماني بوصفه الآلية الوقائية الوطنية</w:t>
      </w:r>
    </w:p>
    <w:p w14:paraId="658F6F0A" w14:textId="558B51D2" w:rsidR="00790D70" w:rsidRPr="005D04CF" w:rsidRDefault="00790D70" w:rsidP="00790D70">
      <w:pPr>
        <w:pStyle w:val="SingleTxtGA"/>
        <w:rPr>
          <w:rFonts w:eastAsiaTheme="minorEastAsia"/>
          <w:lang w:val="en-US" w:eastAsia="zh-TW" w:bidi="en-GB"/>
        </w:rPr>
      </w:pPr>
      <w:r w:rsidRPr="009B5F24">
        <w:rPr>
          <w:rFonts w:eastAsiaTheme="minorEastAsia"/>
          <w:rtl/>
        </w:rPr>
        <w:t>25</w:t>
      </w:r>
      <w:r w:rsidRPr="00790D70">
        <w:rPr>
          <w:rFonts w:eastAsiaTheme="minorEastAsia"/>
          <w:rtl/>
        </w:rPr>
        <w:t>-</w:t>
      </w:r>
      <w:r w:rsidRPr="00790D70">
        <w:rPr>
          <w:rFonts w:eastAsiaTheme="minorEastAsia"/>
          <w:rtl/>
        </w:rPr>
        <w:tab/>
        <w:t>يساور اللجنة القلق إزاء ما ورد في التقارير عن قلة عدد الموظفين العاملين مع أمين المظالم البرلماني</w:t>
      </w:r>
      <w:r>
        <w:rPr>
          <w:rFonts w:eastAsiaTheme="minorEastAsia"/>
          <w:rtl/>
        </w:rPr>
        <w:t xml:space="preserve">، </w:t>
      </w:r>
      <w:r w:rsidRPr="00790D70">
        <w:rPr>
          <w:rFonts w:eastAsiaTheme="minorEastAsia"/>
          <w:rtl/>
        </w:rPr>
        <w:t>الأمر الذي يحد من قدرته على أداء ولايته بوصفه الآلية الوقائية الوطنية على أكمل وجه، بما</w:t>
      </w:r>
      <w:r w:rsidR="00946B70">
        <w:rPr>
          <w:rFonts w:eastAsiaTheme="minorEastAsia" w:hint="cs"/>
          <w:rtl/>
        </w:rPr>
        <w:t> </w:t>
      </w:r>
      <w:r w:rsidRPr="00790D70">
        <w:rPr>
          <w:rFonts w:eastAsiaTheme="minorEastAsia"/>
          <w:rtl/>
        </w:rPr>
        <w:t>في ذلك الزيارات المتكررة وزيارات المتابعة بانتظام. وتعرب اللجنة عن تقديرها المعلومات المقدمة عن الخطوات التي خَطَتها الدولة الطرف لتنفيذ توصيات عديدة قدمها أمين المظالم البرلماني بوصفه الآلية الوقائية الوطنية عقب زيارات الرصد التي أجراها، وتتطلع إلى الحصول على مزيد من المعلومات عن تنفيذ جميع توصياتها. وإضافة إلى ولاية أمين المظالم البرلماني الوقائية، تحيط اللجنة علم</w:t>
      </w:r>
      <w:r w:rsidR="00946B70">
        <w:rPr>
          <w:rFonts w:eastAsiaTheme="minorEastAsia"/>
          <w:rtl/>
        </w:rPr>
        <w:t xml:space="preserve">اً </w:t>
      </w:r>
      <w:r w:rsidRPr="00790D70">
        <w:rPr>
          <w:rFonts w:eastAsiaTheme="minorEastAsia"/>
          <w:rtl/>
        </w:rPr>
        <w:t xml:space="preserve">باختصاصه </w:t>
      </w:r>
      <w:r w:rsidRPr="00790D70">
        <w:rPr>
          <w:rFonts w:eastAsiaTheme="minorEastAsia"/>
          <w:rtl/>
        </w:rPr>
        <w:lastRenderedPageBreak/>
        <w:t xml:space="preserve">بتلقي الشكاوى الفردية، لكنها تأسف للافتقار إلى مزيد من التفاصيل عن متابعة هذه الشكاوى، بما في ذلك نتائجها (المادتان </w:t>
      </w:r>
      <w:r w:rsidRPr="009B5F24">
        <w:rPr>
          <w:rFonts w:eastAsiaTheme="minorEastAsia"/>
          <w:rtl/>
        </w:rPr>
        <w:t>2</w:t>
      </w:r>
      <w:r w:rsidRPr="00790D70">
        <w:rPr>
          <w:rFonts w:eastAsiaTheme="minorEastAsia"/>
          <w:rtl/>
        </w:rPr>
        <w:t xml:space="preserve"> و</w:t>
      </w:r>
      <w:r w:rsidRPr="009B5F24">
        <w:rPr>
          <w:rFonts w:eastAsiaTheme="minorEastAsia"/>
          <w:rtl/>
        </w:rPr>
        <w:t>11</w:t>
      </w:r>
      <w:r w:rsidRPr="00790D70">
        <w:rPr>
          <w:rFonts w:eastAsiaTheme="minorEastAsia"/>
          <w:rtl/>
        </w:rPr>
        <w:t xml:space="preserve">). </w:t>
      </w:r>
    </w:p>
    <w:p w14:paraId="4AA3C353" w14:textId="27466677" w:rsidR="00790D70" w:rsidRPr="009B5F24" w:rsidRDefault="00790D70" w:rsidP="00790D70">
      <w:pPr>
        <w:pStyle w:val="SingleTxtGA"/>
        <w:rPr>
          <w:rFonts w:eastAsiaTheme="minorEastAsia"/>
          <w:b/>
          <w:bCs/>
          <w:lang w:eastAsia="zh-TW" w:bidi="en-GB"/>
        </w:rPr>
      </w:pPr>
      <w:r w:rsidRPr="009B5F24">
        <w:rPr>
          <w:rFonts w:eastAsiaTheme="minorEastAsia"/>
          <w:b/>
          <w:rtl/>
        </w:rPr>
        <w:t>26-</w:t>
      </w:r>
      <w:r w:rsidRPr="009B5F24">
        <w:rPr>
          <w:rFonts w:eastAsiaTheme="minorEastAsia"/>
          <w:b/>
          <w:rtl/>
        </w:rPr>
        <w:tab/>
      </w:r>
      <w:r w:rsidRPr="009B5F24">
        <w:rPr>
          <w:rFonts w:eastAsiaTheme="minorEastAsia"/>
          <w:b/>
          <w:bCs/>
          <w:rtl/>
        </w:rPr>
        <w:t>توصي اللجنة الدولة الطرف بمواصلة الجهود التي تبذلها حالي</w:t>
      </w:r>
      <w:r w:rsidR="00946B70" w:rsidRPr="009B5F24">
        <w:rPr>
          <w:rFonts w:eastAsiaTheme="minorEastAsia"/>
          <w:b/>
          <w:bCs/>
          <w:rtl/>
        </w:rPr>
        <w:t xml:space="preserve">اً </w:t>
      </w:r>
      <w:r w:rsidRPr="009B5F24">
        <w:rPr>
          <w:rFonts w:eastAsiaTheme="minorEastAsia"/>
          <w:b/>
          <w:bCs/>
          <w:rtl/>
        </w:rPr>
        <w:t xml:space="preserve">لمؤازرة أمين المظالم البرلماني، بما في ذلك </w:t>
      </w:r>
      <w:r w:rsidRPr="009B5F24">
        <w:rPr>
          <w:rFonts w:eastAsiaTheme="minorEastAsia"/>
          <w:b/>
          <w:bCs/>
          <w:rtl/>
          <w:lang w:val="de-CH"/>
        </w:rPr>
        <w:t xml:space="preserve">توفير </w:t>
      </w:r>
      <w:r w:rsidRPr="009B5F24">
        <w:rPr>
          <w:rFonts w:eastAsiaTheme="minorEastAsia"/>
          <w:b/>
          <w:bCs/>
          <w:rtl/>
        </w:rPr>
        <w:t>الموارد البشرية الكافية التي التمسها، لتمكينه من تنفيذ ولايته تنفيذ</w:t>
      </w:r>
      <w:r w:rsidR="00946B70" w:rsidRPr="009B5F24">
        <w:rPr>
          <w:rFonts w:eastAsiaTheme="minorEastAsia"/>
          <w:b/>
          <w:bCs/>
          <w:rtl/>
        </w:rPr>
        <w:t xml:space="preserve">اً </w:t>
      </w:r>
      <w:r w:rsidRPr="009B5F24">
        <w:rPr>
          <w:rFonts w:eastAsiaTheme="minorEastAsia"/>
          <w:b/>
          <w:bCs/>
          <w:rtl/>
        </w:rPr>
        <w:t>تام</w:t>
      </w:r>
      <w:r w:rsidR="00946B70" w:rsidRPr="009B5F24">
        <w:rPr>
          <w:rFonts w:eastAsiaTheme="minorEastAsia"/>
          <w:b/>
          <w:bCs/>
          <w:rtl/>
        </w:rPr>
        <w:t xml:space="preserve">اً </w:t>
      </w:r>
      <w:r w:rsidRPr="009B5F24">
        <w:rPr>
          <w:rFonts w:eastAsiaTheme="minorEastAsia"/>
          <w:b/>
          <w:bCs/>
          <w:rtl/>
        </w:rPr>
        <w:t>وفق</w:t>
      </w:r>
      <w:r w:rsidR="00946B70" w:rsidRPr="009B5F24">
        <w:rPr>
          <w:rFonts w:eastAsiaTheme="minorEastAsia"/>
          <w:b/>
          <w:bCs/>
          <w:rtl/>
        </w:rPr>
        <w:t xml:space="preserve">اً </w:t>
      </w:r>
      <w:r w:rsidRPr="009B5F24">
        <w:rPr>
          <w:rFonts w:eastAsiaTheme="minorEastAsia"/>
          <w:b/>
          <w:bCs/>
          <w:rtl/>
        </w:rPr>
        <w:t>للبروتوكول الاختياري للاتفاقية، ولا سيما كي يتسنى له متابعة زياراته أماكنَ سلب الحرية متابعة مناسبة.</w:t>
      </w:r>
      <w:r w:rsidRPr="009B5F24">
        <w:rPr>
          <w:rFonts w:eastAsiaTheme="minorEastAsia"/>
          <w:bCs/>
          <w:rtl/>
        </w:rPr>
        <w:t xml:space="preserve"> </w:t>
      </w:r>
      <w:r w:rsidRPr="009B5F24">
        <w:rPr>
          <w:rFonts w:eastAsiaTheme="minorEastAsia"/>
          <w:b/>
          <w:bCs/>
          <w:rtl/>
        </w:rPr>
        <w:t>وينبغي أيض</w:t>
      </w:r>
      <w:r w:rsidR="00946B70" w:rsidRPr="009B5F24">
        <w:rPr>
          <w:rFonts w:eastAsiaTheme="minorEastAsia"/>
          <w:b/>
          <w:bCs/>
          <w:rtl/>
        </w:rPr>
        <w:t xml:space="preserve">اً </w:t>
      </w:r>
      <w:r w:rsidRPr="009B5F24">
        <w:rPr>
          <w:rFonts w:eastAsiaTheme="minorEastAsia"/>
          <w:b/>
          <w:bCs/>
          <w:rtl/>
        </w:rPr>
        <w:t>أن تستمر الدولة الطرف في العمل على تنفيذ توصيات أمين المظالم البرلماني الناتجة عن زياراته بوصفه الآلية الوقائية الوطنية.</w:t>
      </w:r>
      <w:r w:rsidRPr="009B5F24">
        <w:rPr>
          <w:rFonts w:eastAsiaTheme="minorEastAsia"/>
          <w:bCs/>
          <w:rtl/>
        </w:rPr>
        <w:t xml:space="preserve"> </w:t>
      </w:r>
      <w:r w:rsidRPr="009B5F24">
        <w:rPr>
          <w:rFonts w:eastAsiaTheme="minorEastAsia"/>
          <w:b/>
          <w:bCs/>
          <w:rtl/>
        </w:rPr>
        <w:t>وإضافة إلى ذلك، ينبغي أن تعمل على معالجة الشكاوى الفردية التي يتلقاها أمين المظالم البرلماني وتحال إلى السلطات الوطنية معالجة مناسبة، وجبر أضرار الضحايا وتمكينهم من الحصول على تعويض، بما في ذلك إعادة التأهيل الطبي والنفسي الاجتماعي، والاحتفاظ بسجل لجميع الشكاوى الواردة واتخاذ إجراءات بشأنها، بما في ذلك نتائجها.</w:t>
      </w:r>
      <w:r w:rsidRPr="009B5F24">
        <w:rPr>
          <w:rFonts w:eastAsiaTheme="minorEastAsia"/>
          <w:bCs/>
          <w:rtl/>
        </w:rPr>
        <w:t xml:space="preserve"> </w:t>
      </w:r>
    </w:p>
    <w:p w14:paraId="07892830" w14:textId="77777777" w:rsidR="00790D70" w:rsidRPr="009B5F24" w:rsidRDefault="00790D70" w:rsidP="00790D70">
      <w:pPr>
        <w:pStyle w:val="H23GA"/>
        <w:rPr>
          <w:lang w:val="ar-SA" w:eastAsia="zh-TW" w:bidi="en-GB"/>
        </w:rPr>
      </w:pPr>
      <w:r w:rsidRPr="009B5F24">
        <w:rPr>
          <w:rtl/>
        </w:rPr>
        <w:tab/>
      </w:r>
      <w:r w:rsidRPr="009B5F24">
        <w:rPr>
          <w:rtl/>
        </w:rPr>
        <w:tab/>
        <w:t xml:space="preserve">مؤسسات الطب النفساني والاستشفاء غير الطوعي </w:t>
      </w:r>
    </w:p>
    <w:p w14:paraId="33D77588" w14:textId="5B7ACDB0" w:rsidR="00790D70" w:rsidRPr="00790D70" w:rsidRDefault="00790D70" w:rsidP="00790D70">
      <w:pPr>
        <w:pStyle w:val="SingleTxtGA"/>
        <w:rPr>
          <w:rFonts w:eastAsiaTheme="minorEastAsia"/>
          <w:lang w:eastAsia="zh-TW" w:bidi="en-GB"/>
        </w:rPr>
      </w:pPr>
      <w:r w:rsidRPr="009B5F24">
        <w:rPr>
          <w:rFonts w:eastAsiaTheme="minorEastAsia"/>
          <w:rtl/>
        </w:rPr>
        <w:t>27</w:t>
      </w:r>
      <w:r w:rsidRPr="00790D70">
        <w:rPr>
          <w:rFonts w:eastAsiaTheme="minorEastAsia"/>
          <w:rtl/>
        </w:rPr>
        <w:t>-</w:t>
      </w:r>
      <w:r w:rsidRPr="00790D70">
        <w:rPr>
          <w:rFonts w:eastAsiaTheme="minorEastAsia"/>
          <w:rtl/>
        </w:rPr>
        <w:tab/>
        <w:t>تحيط اللجنة علم</w:t>
      </w:r>
      <w:r w:rsidR="00946B70">
        <w:rPr>
          <w:rFonts w:eastAsiaTheme="minorEastAsia"/>
          <w:rtl/>
        </w:rPr>
        <w:t xml:space="preserve">اً </w:t>
      </w:r>
      <w:r w:rsidRPr="00790D70">
        <w:rPr>
          <w:rFonts w:eastAsiaTheme="minorEastAsia"/>
          <w:rtl/>
        </w:rPr>
        <w:t>بالتنقيح الجاري لقانون حقوق المرضى، حيث يوفر مشروع القانون الذي لم يبت فيه بعد إطار</w:t>
      </w:r>
      <w:r w:rsidR="00946B70">
        <w:rPr>
          <w:rFonts w:eastAsiaTheme="minorEastAsia"/>
          <w:rtl/>
        </w:rPr>
        <w:t xml:space="preserve">اً </w:t>
      </w:r>
      <w:r w:rsidRPr="00790D70">
        <w:rPr>
          <w:rFonts w:eastAsiaTheme="minorEastAsia"/>
          <w:rtl/>
        </w:rPr>
        <w:t>قانوني</w:t>
      </w:r>
      <w:r w:rsidR="00946B70">
        <w:rPr>
          <w:rFonts w:eastAsiaTheme="minorEastAsia"/>
          <w:rtl/>
        </w:rPr>
        <w:t xml:space="preserve">اً </w:t>
      </w:r>
      <w:r w:rsidRPr="00790D70">
        <w:rPr>
          <w:rFonts w:eastAsiaTheme="minorEastAsia"/>
          <w:rtl/>
        </w:rPr>
        <w:t>أوضح وضمانات قانونية كي تكون العناية والرعاية آمنتين، كما تحيط علم</w:t>
      </w:r>
      <w:r w:rsidR="00946B70">
        <w:rPr>
          <w:rFonts w:eastAsiaTheme="minorEastAsia"/>
          <w:rtl/>
        </w:rPr>
        <w:t xml:space="preserve">اً </w:t>
      </w:r>
      <w:r w:rsidRPr="00790D70">
        <w:rPr>
          <w:rFonts w:eastAsiaTheme="minorEastAsia"/>
          <w:rtl/>
        </w:rPr>
        <w:t>بالمراجعة المقررة لقانون الاختصاص القانوني، بيد أنها تأسف لأوجه القصور القائمة في الضمانات القانونية المتصلة بحالات الاستشفاء غير الطوعي التي لاحظتها اللجنة الأوروبية لمنع التعذيب والمعاملة أو العقوبة اللاإنسانية أو المهينة</w:t>
      </w:r>
      <w:r w:rsidRPr="00491133">
        <w:rPr>
          <w:rStyle w:val="FootnoteReference"/>
          <w:rFonts w:eastAsiaTheme="minorEastAsia"/>
          <w:sz w:val="22"/>
          <w:rtl/>
        </w:rPr>
        <w:t>(</w:t>
      </w:r>
      <w:r w:rsidRPr="009B5F24">
        <w:rPr>
          <w:rStyle w:val="FootnoteReference"/>
          <w:rFonts w:eastAsiaTheme="minorEastAsia"/>
          <w:sz w:val="22"/>
          <w:lang w:val="en-US"/>
        </w:rPr>
        <w:footnoteReference w:id="17"/>
      </w:r>
      <w:r w:rsidRPr="00790D70">
        <w:rPr>
          <w:rStyle w:val="FootnoteReference"/>
          <w:rFonts w:eastAsiaTheme="minorEastAsia"/>
          <w:sz w:val="22"/>
          <w:rtl/>
        </w:rPr>
        <w:t>)</w:t>
      </w:r>
      <w:r w:rsidRPr="00790D70">
        <w:rPr>
          <w:rFonts w:eastAsiaTheme="minorEastAsia"/>
          <w:rtl/>
        </w:rPr>
        <w:t xml:space="preserve">. وتشمل المسائل المثيرة للقلق ما يلي: لا يزال قانون حقوق المرضى ينص على الحرمان الإجباري من الأهلية القانونية في حالة تمديد الاستشفاء غير الطوعي إلى ما بعد </w:t>
      </w:r>
      <w:r w:rsidRPr="00012D7F">
        <w:rPr>
          <w:rFonts w:eastAsiaTheme="minorEastAsia"/>
          <w:spacing w:val="-4"/>
          <w:rtl/>
        </w:rPr>
        <w:t>الأسابيع الــ</w:t>
      </w:r>
      <w:r w:rsidR="00012D7F" w:rsidRPr="00491133">
        <w:rPr>
          <w:rFonts w:eastAsiaTheme="minorEastAsia" w:hint="cs"/>
          <w:spacing w:val="-4"/>
          <w:rtl/>
        </w:rPr>
        <w:t xml:space="preserve"> </w:t>
      </w:r>
      <w:r w:rsidRPr="009B5F24">
        <w:rPr>
          <w:rFonts w:eastAsiaTheme="minorEastAsia"/>
          <w:spacing w:val="-4"/>
          <w:rtl/>
        </w:rPr>
        <w:t>12</w:t>
      </w:r>
      <w:r w:rsidRPr="00012D7F">
        <w:rPr>
          <w:rFonts w:eastAsiaTheme="minorEastAsia"/>
          <w:spacing w:val="-4"/>
          <w:rtl/>
        </w:rPr>
        <w:t xml:space="preserve"> التي تأمر بها المحكمة في الأصل. ويفتقر الإيداع الأولي للمرضى المدنيين والمرضى الـمُودَعين بناء</w:t>
      </w:r>
      <w:r w:rsidRPr="00790D70">
        <w:rPr>
          <w:rFonts w:eastAsiaTheme="minorEastAsia"/>
          <w:rtl/>
        </w:rPr>
        <w:t xml:space="preserve"> على قرار قضائي واستمرار إدخالهم المشافي رغم</w:t>
      </w:r>
      <w:r w:rsidR="00946B70">
        <w:rPr>
          <w:rFonts w:eastAsiaTheme="minorEastAsia"/>
          <w:rtl/>
        </w:rPr>
        <w:t xml:space="preserve">اً </w:t>
      </w:r>
      <w:r w:rsidRPr="00790D70">
        <w:rPr>
          <w:rFonts w:eastAsiaTheme="minorEastAsia"/>
          <w:rtl/>
        </w:rPr>
        <w:t>عنهم إلى المعايير المناسبة للضرورة المطلقة. ولا</w:t>
      </w:r>
      <w:r w:rsidR="00012D7F">
        <w:rPr>
          <w:rFonts w:eastAsiaTheme="minorEastAsia" w:hint="cs"/>
          <w:rtl/>
        </w:rPr>
        <w:t> </w:t>
      </w:r>
      <w:r w:rsidRPr="00790D70">
        <w:rPr>
          <w:rFonts w:eastAsiaTheme="minorEastAsia"/>
          <w:rtl/>
        </w:rPr>
        <w:t>يُطلب إجراء مراجعة قضائية تلقائية، على فترات منتظمة، للحاجة إلى استمرار الاستشفاء غير الطوعي فترةً غير محددة (أو الإيداع الذي يتجاوز ستة أشهر). ويساور اللجنة القلق أيض</w:t>
      </w:r>
      <w:r w:rsidR="00946B70">
        <w:rPr>
          <w:rFonts w:eastAsiaTheme="minorEastAsia"/>
          <w:rtl/>
        </w:rPr>
        <w:t xml:space="preserve">اً </w:t>
      </w:r>
      <w:r w:rsidRPr="00790D70">
        <w:rPr>
          <w:rFonts w:eastAsiaTheme="minorEastAsia"/>
          <w:rtl/>
        </w:rPr>
        <w:t>بشأن التقارير التي تفيد</w:t>
      </w:r>
      <w:r w:rsidR="00012D7F">
        <w:rPr>
          <w:rFonts w:eastAsiaTheme="minorEastAsia" w:hint="cs"/>
          <w:rtl/>
        </w:rPr>
        <w:t xml:space="preserve"> </w:t>
      </w:r>
      <w:r w:rsidRPr="00790D70">
        <w:rPr>
          <w:rFonts w:eastAsiaTheme="minorEastAsia"/>
          <w:rtl/>
        </w:rPr>
        <w:t>بأن المرضى في بعض مؤسسات الطب النفساني لا يتمكنون من ممارسة التمارين الرياضية اليومية في</w:t>
      </w:r>
      <w:r w:rsidR="00012D7F">
        <w:rPr>
          <w:rFonts w:eastAsiaTheme="minorEastAsia" w:hint="cs"/>
          <w:rtl/>
        </w:rPr>
        <w:t> </w:t>
      </w:r>
      <w:r w:rsidRPr="00790D70">
        <w:rPr>
          <w:rFonts w:eastAsiaTheme="minorEastAsia"/>
          <w:rtl/>
        </w:rPr>
        <w:t>الهواء الطلق وأن الاستعانة بالشرطة للتعامل مع المرضى المكروبين</w:t>
      </w:r>
      <w:r>
        <w:rPr>
          <w:rFonts w:eastAsiaTheme="minorEastAsia"/>
          <w:rtl/>
        </w:rPr>
        <w:t xml:space="preserve"> </w:t>
      </w:r>
      <w:r w:rsidRPr="00790D70">
        <w:rPr>
          <w:rFonts w:eastAsiaTheme="minorEastAsia"/>
          <w:rtl/>
        </w:rPr>
        <w:t>غير منظمة تنظيم</w:t>
      </w:r>
      <w:r w:rsidR="00946B70">
        <w:rPr>
          <w:rFonts w:eastAsiaTheme="minorEastAsia"/>
          <w:rtl/>
        </w:rPr>
        <w:t xml:space="preserve">اً </w:t>
      </w:r>
      <w:r w:rsidRPr="00790D70">
        <w:rPr>
          <w:rFonts w:eastAsiaTheme="minorEastAsia"/>
          <w:rtl/>
        </w:rPr>
        <w:t>كافي</w:t>
      </w:r>
      <w:r w:rsidR="00946B70">
        <w:rPr>
          <w:rFonts w:eastAsiaTheme="minorEastAsia"/>
          <w:rtl/>
        </w:rPr>
        <w:t xml:space="preserve">اً </w:t>
      </w:r>
      <w:r w:rsidRPr="00790D70">
        <w:rPr>
          <w:rFonts w:eastAsiaTheme="minorEastAsia"/>
          <w:rtl/>
        </w:rPr>
        <w:t>(المواد</w:t>
      </w:r>
      <w:r w:rsidR="00012D7F">
        <w:rPr>
          <w:rFonts w:eastAsiaTheme="minorEastAsia" w:hint="cs"/>
          <w:rtl/>
        </w:rPr>
        <w:t> </w:t>
      </w:r>
      <w:r w:rsidRPr="009B5F24">
        <w:rPr>
          <w:rFonts w:eastAsiaTheme="minorEastAsia"/>
          <w:rtl/>
        </w:rPr>
        <w:t>2</w:t>
      </w:r>
      <w:r w:rsidRPr="00790D70">
        <w:rPr>
          <w:rFonts w:eastAsiaTheme="minorEastAsia"/>
          <w:rtl/>
        </w:rPr>
        <w:t xml:space="preserve"> و</w:t>
      </w:r>
      <w:r w:rsidRPr="009B5F24">
        <w:rPr>
          <w:rFonts w:eastAsiaTheme="minorEastAsia"/>
          <w:rtl/>
        </w:rPr>
        <w:t>11</w:t>
      </w:r>
      <w:r w:rsidRPr="00790D70">
        <w:rPr>
          <w:rFonts w:eastAsiaTheme="minorEastAsia"/>
          <w:rtl/>
        </w:rPr>
        <w:t xml:space="preserve"> و</w:t>
      </w:r>
      <w:r w:rsidRPr="009B5F24">
        <w:rPr>
          <w:rFonts w:eastAsiaTheme="minorEastAsia"/>
          <w:rtl/>
        </w:rPr>
        <w:t>16</w:t>
      </w:r>
      <w:r w:rsidRPr="00790D70">
        <w:rPr>
          <w:rFonts w:eastAsiaTheme="minorEastAsia"/>
          <w:rtl/>
        </w:rPr>
        <w:t xml:space="preserve">). </w:t>
      </w:r>
    </w:p>
    <w:p w14:paraId="6BC4AFCE" w14:textId="1FF7241A" w:rsidR="00790D70" w:rsidRPr="009B5F24" w:rsidRDefault="00790D70" w:rsidP="00790D70">
      <w:pPr>
        <w:pStyle w:val="SingleTxtGA"/>
        <w:rPr>
          <w:rFonts w:eastAsiaTheme="minorEastAsia"/>
          <w:b/>
          <w:bCs/>
          <w:lang w:val="ar-SA" w:eastAsia="zh-TW" w:bidi="en-GB"/>
        </w:rPr>
      </w:pPr>
      <w:r w:rsidRPr="009B5F24">
        <w:rPr>
          <w:rFonts w:eastAsiaTheme="minorEastAsia"/>
          <w:b/>
          <w:rtl/>
        </w:rPr>
        <w:t>28-</w:t>
      </w:r>
      <w:r w:rsidRPr="009B5F24">
        <w:rPr>
          <w:rFonts w:eastAsiaTheme="minorEastAsia"/>
          <w:b/>
          <w:rtl/>
        </w:rPr>
        <w:tab/>
      </w:r>
      <w:r w:rsidRPr="009B5F24">
        <w:rPr>
          <w:rFonts w:eastAsiaTheme="minorEastAsia"/>
          <w:b/>
          <w:bCs/>
          <w:rtl/>
        </w:rPr>
        <w:t>تحث اللجنة الدولة الطرف على القيام بما يلي:</w:t>
      </w:r>
      <w:r w:rsidRPr="009B5F24">
        <w:rPr>
          <w:rFonts w:eastAsiaTheme="minorEastAsia"/>
          <w:bCs/>
          <w:rtl/>
        </w:rPr>
        <w:t xml:space="preserve"> </w:t>
      </w:r>
    </w:p>
    <w:p w14:paraId="73996406" w14:textId="77777777" w:rsidR="00790D70" w:rsidRPr="009B5F24" w:rsidRDefault="00790D70" w:rsidP="00790D70">
      <w:pPr>
        <w:pStyle w:val="SingleTxtGA"/>
        <w:rPr>
          <w:rFonts w:eastAsiaTheme="minorEastAsia"/>
          <w:b/>
          <w:bCs/>
          <w:lang w:eastAsia="zh-TW" w:bidi="en-GB"/>
        </w:rPr>
      </w:pPr>
      <w:r w:rsidRPr="009B5F24">
        <w:rPr>
          <w:rFonts w:eastAsiaTheme="minorEastAsia"/>
          <w:b/>
          <w:rtl/>
        </w:rPr>
        <w:tab/>
        <w:t>(أ)</w:t>
      </w:r>
      <w:r w:rsidRPr="009B5F24">
        <w:rPr>
          <w:rFonts w:eastAsiaTheme="minorEastAsia"/>
          <w:bCs/>
          <w:rtl/>
        </w:rPr>
        <w:tab/>
      </w:r>
      <w:r w:rsidRPr="009B5F24">
        <w:rPr>
          <w:rFonts w:eastAsiaTheme="minorEastAsia"/>
          <w:b/>
          <w:bCs/>
          <w:rtl/>
        </w:rPr>
        <w:t>مواصلة إصلاحاتها التشريعية الجارية، وخاصة بذل مزيد من الجهود لتنقيح التشريعات التي تنظم الاستشفاء غير الطوعي، من الإيداع الأولي إلى استمراره، لكي تشمل معايير محددة وضمانات وآراء طبية إضافية لامتثال مبدأ الضرورة المطلقة عند سلب شخص ما حريته، وإخضاع أوامر هذا الإيداع للمراجعة القضائية في كل وقت وحين؛</w:t>
      </w:r>
    </w:p>
    <w:p w14:paraId="5E9F337D" w14:textId="18CE343F" w:rsidR="00790D70" w:rsidRPr="009B5F24" w:rsidRDefault="00790D70" w:rsidP="00790D70">
      <w:pPr>
        <w:pStyle w:val="SingleTxtGA"/>
        <w:rPr>
          <w:rFonts w:eastAsiaTheme="minorEastAsia"/>
          <w:b/>
          <w:bCs/>
          <w:lang w:eastAsia="zh-TW" w:bidi="en-GB"/>
        </w:rPr>
      </w:pPr>
      <w:r w:rsidRPr="009B5F24">
        <w:rPr>
          <w:rFonts w:eastAsiaTheme="minorEastAsia"/>
          <w:bCs/>
          <w:rtl/>
        </w:rPr>
        <w:tab/>
      </w:r>
      <w:r w:rsidRPr="009B5F24">
        <w:rPr>
          <w:rFonts w:eastAsiaTheme="minorEastAsia"/>
          <w:b/>
          <w:rtl/>
        </w:rPr>
        <w:t>(ب)</w:t>
      </w:r>
      <w:r w:rsidRPr="009B5F24">
        <w:rPr>
          <w:rFonts w:eastAsiaTheme="minorEastAsia"/>
          <w:bCs/>
          <w:rtl/>
        </w:rPr>
        <w:tab/>
      </w:r>
      <w:r w:rsidRPr="009B5F24">
        <w:rPr>
          <w:rFonts w:eastAsiaTheme="minorEastAsia"/>
          <w:b/>
          <w:bCs/>
          <w:rtl/>
        </w:rPr>
        <w:t xml:space="preserve">الشروع في خطتها لإصلاح مؤسسات الطب النفساني وزيادة جهودها </w:t>
      </w:r>
      <w:r w:rsidRPr="009B5F24">
        <w:rPr>
          <w:rFonts w:eastAsiaTheme="minorEastAsia"/>
          <w:b/>
          <w:bCs/>
          <w:rtl/>
          <w:lang w:val="de-CH"/>
        </w:rPr>
        <w:t>ل</w:t>
      </w:r>
      <w:r w:rsidRPr="009B5F24">
        <w:rPr>
          <w:rFonts w:eastAsiaTheme="minorEastAsia"/>
          <w:b/>
          <w:bCs/>
          <w:rtl/>
        </w:rPr>
        <w:t>توفير الأنشطة العلاجية والتأهيلية للمرضى ولتطوير الرعاية المجتمعية الطبية النفسانية؛</w:t>
      </w:r>
    </w:p>
    <w:p w14:paraId="1C871F40" w14:textId="77777777" w:rsidR="00790D70" w:rsidRPr="009B5F24" w:rsidRDefault="00790D70" w:rsidP="00790D70">
      <w:pPr>
        <w:pStyle w:val="SingleTxtGA"/>
        <w:rPr>
          <w:rFonts w:eastAsiaTheme="minorEastAsia"/>
          <w:b/>
          <w:bCs/>
          <w:lang w:eastAsia="zh-TW" w:bidi="en-GB"/>
        </w:rPr>
      </w:pPr>
      <w:r w:rsidRPr="009B5F24">
        <w:rPr>
          <w:rFonts w:eastAsiaTheme="minorEastAsia"/>
          <w:b/>
          <w:rtl/>
        </w:rPr>
        <w:tab/>
        <w:t>(ج)</w:t>
      </w:r>
      <w:r w:rsidRPr="009B5F24">
        <w:rPr>
          <w:rFonts w:eastAsiaTheme="minorEastAsia"/>
          <w:bCs/>
          <w:rtl/>
        </w:rPr>
        <w:tab/>
      </w:r>
      <w:r w:rsidRPr="009B5F24">
        <w:rPr>
          <w:rFonts w:eastAsiaTheme="minorEastAsia"/>
          <w:b/>
          <w:bCs/>
          <w:rtl/>
        </w:rPr>
        <w:t>الحد، بصرامة، من الاستعانة بالشرطة في التعاطي مع المرضى في مؤسسات الطب النفساني وضمان استمرار تدريب جميع الموظفين الطبيين وغير الطبيين بانتظام على تدابير الرعاية غير العنيفة وغير القسرية وأساليبها.</w:t>
      </w:r>
      <w:r w:rsidRPr="009B5F24">
        <w:rPr>
          <w:rFonts w:eastAsiaTheme="minorEastAsia"/>
          <w:bCs/>
          <w:rtl/>
        </w:rPr>
        <w:t xml:space="preserve"> </w:t>
      </w:r>
    </w:p>
    <w:p w14:paraId="06C68FC1" w14:textId="77777777" w:rsidR="00790D70" w:rsidRPr="009B5F24" w:rsidRDefault="00790D70" w:rsidP="00790D70">
      <w:pPr>
        <w:pStyle w:val="H23GA"/>
        <w:rPr>
          <w:lang w:val="ar-SA" w:eastAsia="zh-TW" w:bidi="en-GB"/>
        </w:rPr>
      </w:pPr>
      <w:r w:rsidRPr="009B5F24">
        <w:rPr>
          <w:rtl/>
        </w:rPr>
        <w:lastRenderedPageBreak/>
        <w:tab/>
      </w:r>
      <w:r w:rsidRPr="009B5F24">
        <w:rPr>
          <w:rtl/>
        </w:rPr>
        <w:tab/>
        <w:t xml:space="preserve">الإفراط في استخدام القوة ولجنة الإشراف على الشرطة </w:t>
      </w:r>
    </w:p>
    <w:p w14:paraId="5984A768" w14:textId="3C143D69" w:rsidR="00790D70" w:rsidRPr="00790D70" w:rsidRDefault="00790D70" w:rsidP="00790D70">
      <w:pPr>
        <w:pStyle w:val="SingleTxtGA"/>
        <w:rPr>
          <w:rFonts w:eastAsiaTheme="minorEastAsia"/>
          <w:lang w:val="ar-SA" w:eastAsia="zh-TW" w:bidi="en-GB"/>
        </w:rPr>
      </w:pPr>
      <w:r w:rsidRPr="009B5F24">
        <w:rPr>
          <w:rFonts w:eastAsiaTheme="minorEastAsia"/>
          <w:rtl/>
        </w:rPr>
        <w:t>29</w:t>
      </w:r>
      <w:r w:rsidRPr="00790D70">
        <w:rPr>
          <w:rFonts w:eastAsiaTheme="minorEastAsia"/>
          <w:rtl/>
        </w:rPr>
        <w:t>-</w:t>
      </w:r>
      <w:r w:rsidRPr="00790D70">
        <w:rPr>
          <w:rFonts w:eastAsiaTheme="minorEastAsia"/>
          <w:rtl/>
        </w:rPr>
        <w:tab/>
        <w:t>تحيط اللجنة علم</w:t>
      </w:r>
      <w:r w:rsidR="00946B70">
        <w:rPr>
          <w:rFonts w:eastAsiaTheme="minorEastAsia"/>
          <w:rtl/>
        </w:rPr>
        <w:t xml:space="preserve">اً </w:t>
      </w:r>
      <w:r w:rsidRPr="00790D70">
        <w:rPr>
          <w:rFonts w:eastAsiaTheme="minorEastAsia"/>
          <w:rtl/>
        </w:rPr>
        <w:t xml:space="preserve">بالمعلومات التي قدمتها الدولة الطرف ومفادها أن لجنة الإشراف على الشرطة عالجت </w:t>
      </w:r>
      <w:r w:rsidRPr="009B5F24">
        <w:rPr>
          <w:rFonts w:eastAsiaTheme="minorEastAsia"/>
          <w:rtl/>
        </w:rPr>
        <w:t>30</w:t>
      </w:r>
      <w:r w:rsidRPr="00790D70">
        <w:rPr>
          <w:rFonts w:eastAsiaTheme="minorEastAsia"/>
          <w:rtl/>
        </w:rPr>
        <w:t xml:space="preserve"> حالة من حالات سوء المعاملة المزعومة بين عامي </w:t>
      </w:r>
      <w:r w:rsidRPr="009B5F24">
        <w:rPr>
          <w:rFonts w:eastAsiaTheme="minorEastAsia"/>
          <w:rtl/>
        </w:rPr>
        <w:t>2017</w:t>
      </w:r>
      <w:r w:rsidRPr="00790D70">
        <w:rPr>
          <w:rFonts w:eastAsiaTheme="minorEastAsia"/>
          <w:rtl/>
        </w:rPr>
        <w:t xml:space="preserve"> و</w:t>
      </w:r>
      <w:r w:rsidRPr="009B5F24">
        <w:rPr>
          <w:rFonts w:eastAsiaTheme="minorEastAsia"/>
          <w:rtl/>
        </w:rPr>
        <w:t>2019</w:t>
      </w:r>
      <w:r w:rsidRPr="00790D70">
        <w:rPr>
          <w:rFonts w:eastAsiaTheme="minorEastAsia"/>
          <w:rtl/>
        </w:rPr>
        <w:t xml:space="preserve">. وتلاحظ أن معظم الادعاءات تتعلق بإفراط الشرطة في استخدام القوة أثناء الاعتقالات. ويساورها القلق إزاء قلة </w:t>
      </w:r>
      <w:r w:rsidRPr="00790D70">
        <w:rPr>
          <w:rFonts w:eastAsiaTheme="minorEastAsia"/>
          <w:spacing w:val="-4"/>
          <w:rtl/>
        </w:rPr>
        <w:t>الملاحقات القضائية. فمن بين الحالات الـ</w:t>
      </w:r>
      <w:r w:rsidRPr="00790D70">
        <w:rPr>
          <w:rFonts w:eastAsiaTheme="minorEastAsia" w:hint="cs"/>
          <w:spacing w:val="-4"/>
          <w:rtl/>
        </w:rPr>
        <w:t xml:space="preserve"> </w:t>
      </w:r>
      <w:r w:rsidRPr="009B5F24">
        <w:rPr>
          <w:rFonts w:eastAsiaTheme="minorEastAsia"/>
          <w:spacing w:val="-4"/>
          <w:rtl/>
        </w:rPr>
        <w:t>30</w:t>
      </w:r>
      <w:r w:rsidRPr="00790D70">
        <w:rPr>
          <w:rFonts w:eastAsiaTheme="minorEastAsia"/>
          <w:spacing w:val="-4"/>
          <w:rtl/>
        </w:rPr>
        <w:t xml:space="preserve"> المذكورة أعلاه، وُجهت اتهامات في </w:t>
      </w:r>
      <w:r w:rsidRPr="00491133">
        <w:rPr>
          <w:rFonts w:eastAsiaTheme="minorEastAsia"/>
          <w:spacing w:val="-4"/>
          <w:rtl/>
        </w:rPr>
        <w:t>قضيتين</w:t>
      </w:r>
      <w:r w:rsidRPr="00790D70">
        <w:rPr>
          <w:rFonts w:eastAsiaTheme="minorEastAsia"/>
          <w:spacing w:val="-4"/>
          <w:rtl/>
        </w:rPr>
        <w:t xml:space="preserve"> وأحيلت </w:t>
      </w:r>
      <w:r w:rsidRPr="009B5F24">
        <w:rPr>
          <w:rFonts w:eastAsiaTheme="minorEastAsia"/>
          <w:spacing w:val="-4"/>
          <w:rtl/>
        </w:rPr>
        <w:t>5</w:t>
      </w:r>
      <w:r w:rsidRPr="00790D70">
        <w:rPr>
          <w:rFonts w:eastAsiaTheme="minorEastAsia"/>
          <w:spacing w:val="-4"/>
          <w:rtl/>
        </w:rPr>
        <w:t xml:space="preserve"> قضايا</w:t>
      </w:r>
      <w:r w:rsidRPr="00790D70">
        <w:rPr>
          <w:rFonts w:eastAsiaTheme="minorEastAsia"/>
          <w:rtl/>
        </w:rPr>
        <w:t xml:space="preserve"> إلى مفوض الشرطة المختص للمتابعة الداخلية. وإضافة إلى ذلك، تأسف لأن الدولة الطرف لم تقدم معلومات عن الشكاوى المسجلة منذ عام </w:t>
      </w:r>
      <w:r w:rsidRPr="009B5F24">
        <w:rPr>
          <w:rFonts w:eastAsiaTheme="minorEastAsia"/>
          <w:rtl/>
        </w:rPr>
        <w:t>2019</w:t>
      </w:r>
      <w:r w:rsidRPr="00790D70">
        <w:rPr>
          <w:rFonts w:eastAsiaTheme="minorEastAsia"/>
          <w:rtl/>
        </w:rPr>
        <w:t xml:space="preserve">، وعن الحالات المحالة ونتائجها، وعن استحالة تصنيف </w:t>
      </w:r>
      <w:r w:rsidRPr="00790D70">
        <w:rPr>
          <w:rFonts w:eastAsiaTheme="minorEastAsia"/>
          <w:spacing w:val="-4"/>
          <w:rtl/>
        </w:rPr>
        <w:t xml:space="preserve">البيانات المتاحة حسب نوع الجريمة، بما في ذلك التعذيب، بسبب الثغرة التشريعية المحددة في الفقرتين </w:t>
      </w:r>
      <w:r w:rsidRPr="009B5F24">
        <w:rPr>
          <w:rFonts w:eastAsiaTheme="minorEastAsia"/>
          <w:spacing w:val="-4"/>
          <w:rtl/>
        </w:rPr>
        <w:t>9</w:t>
      </w:r>
      <w:r w:rsidRPr="00790D70">
        <w:rPr>
          <w:rFonts w:eastAsiaTheme="minorEastAsia"/>
          <w:spacing w:val="-4"/>
          <w:rtl/>
        </w:rPr>
        <w:t xml:space="preserve"> و</w:t>
      </w:r>
      <w:r w:rsidRPr="009B5F24">
        <w:rPr>
          <w:rFonts w:eastAsiaTheme="minorEastAsia"/>
          <w:spacing w:val="-4"/>
          <w:rtl/>
        </w:rPr>
        <w:t>10</w:t>
      </w:r>
      <w:r w:rsidRPr="00790D70">
        <w:rPr>
          <w:rFonts w:eastAsiaTheme="minorEastAsia"/>
          <w:rtl/>
        </w:rPr>
        <w:t xml:space="preserve"> أعلاه (المواد </w:t>
      </w:r>
      <w:r w:rsidRPr="009B5F24">
        <w:rPr>
          <w:rFonts w:eastAsiaTheme="minorEastAsia"/>
          <w:rtl/>
        </w:rPr>
        <w:t>2</w:t>
      </w:r>
      <w:r w:rsidRPr="00790D70">
        <w:rPr>
          <w:rFonts w:eastAsiaTheme="minorEastAsia"/>
          <w:rtl/>
        </w:rPr>
        <w:t xml:space="preserve"> و</w:t>
      </w:r>
      <w:r w:rsidRPr="009B5F24">
        <w:rPr>
          <w:rFonts w:eastAsiaTheme="minorEastAsia"/>
          <w:rtl/>
        </w:rPr>
        <w:t>12</w:t>
      </w:r>
      <w:r w:rsidRPr="00790D70">
        <w:rPr>
          <w:rFonts w:eastAsiaTheme="minorEastAsia"/>
          <w:rtl/>
        </w:rPr>
        <w:t xml:space="preserve"> و</w:t>
      </w:r>
      <w:r w:rsidRPr="009B5F24">
        <w:rPr>
          <w:rFonts w:eastAsiaTheme="minorEastAsia"/>
          <w:rtl/>
        </w:rPr>
        <w:t>13</w:t>
      </w:r>
      <w:r w:rsidRPr="00790D70">
        <w:rPr>
          <w:rFonts w:eastAsiaTheme="minorEastAsia"/>
          <w:rtl/>
        </w:rPr>
        <w:t xml:space="preserve"> و</w:t>
      </w:r>
      <w:r w:rsidRPr="009B5F24">
        <w:rPr>
          <w:rFonts w:eastAsiaTheme="minorEastAsia"/>
          <w:rtl/>
        </w:rPr>
        <w:t>16</w:t>
      </w:r>
      <w:r w:rsidRPr="00790D70">
        <w:rPr>
          <w:rFonts w:eastAsiaTheme="minorEastAsia"/>
          <w:rtl/>
        </w:rPr>
        <w:t>).</w:t>
      </w:r>
    </w:p>
    <w:p w14:paraId="3F8F50F6" w14:textId="511737FE" w:rsidR="00790D70" w:rsidRPr="009B5F24" w:rsidRDefault="00790D70" w:rsidP="00790D70">
      <w:pPr>
        <w:pStyle w:val="SingleTxtGA"/>
        <w:rPr>
          <w:rFonts w:eastAsiaTheme="minorEastAsia"/>
          <w:b/>
          <w:bCs/>
          <w:lang w:eastAsia="zh-TW" w:bidi="en-GB"/>
        </w:rPr>
      </w:pPr>
      <w:r w:rsidRPr="009B5F24">
        <w:rPr>
          <w:rFonts w:eastAsiaTheme="minorEastAsia"/>
          <w:b/>
          <w:rtl/>
        </w:rPr>
        <w:t>30-</w:t>
      </w:r>
      <w:r w:rsidRPr="009B5F24">
        <w:rPr>
          <w:rFonts w:eastAsiaTheme="minorEastAsia"/>
          <w:bCs/>
          <w:rtl/>
        </w:rPr>
        <w:tab/>
      </w:r>
      <w:r w:rsidRPr="009B5F24">
        <w:rPr>
          <w:rFonts w:eastAsiaTheme="minorEastAsia"/>
          <w:b/>
          <w:bCs/>
          <w:rtl/>
        </w:rPr>
        <w:t>ينبغي للدولة الطرف القيام بما يلي:</w:t>
      </w:r>
      <w:r w:rsidRPr="009B5F24">
        <w:rPr>
          <w:rFonts w:eastAsiaTheme="minorEastAsia"/>
          <w:bCs/>
          <w:rtl/>
        </w:rPr>
        <w:t xml:space="preserve"> </w:t>
      </w:r>
    </w:p>
    <w:p w14:paraId="7821C5B4" w14:textId="5DA10365" w:rsidR="00790D70" w:rsidRPr="009B5F24" w:rsidRDefault="00790D70" w:rsidP="00790D70">
      <w:pPr>
        <w:pStyle w:val="SingleTxtGA"/>
        <w:rPr>
          <w:rFonts w:eastAsiaTheme="minorEastAsia"/>
          <w:b/>
          <w:bCs/>
          <w:lang w:eastAsia="zh-TW" w:bidi="en-GB"/>
        </w:rPr>
      </w:pPr>
      <w:r w:rsidRPr="009B5F24">
        <w:rPr>
          <w:rFonts w:eastAsiaTheme="minorEastAsia"/>
          <w:bCs/>
          <w:rtl/>
        </w:rPr>
        <w:tab/>
      </w:r>
      <w:r w:rsidRPr="009B5F24">
        <w:rPr>
          <w:rFonts w:eastAsiaTheme="minorEastAsia"/>
          <w:b/>
          <w:rtl/>
        </w:rPr>
        <w:t>(أ)</w:t>
      </w:r>
      <w:r w:rsidRPr="009B5F24">
        <w:rPr>
          <w:rFonts w:eastAsiaTheme="minorEastAsia"/>
          <w:bCs/>
          <w:rtl/>
        </w:rPr>
        <w:tab/>
      </w:r>
      <w:r w:rsidRPr="009B5F24">
        <w:rPr>
          <w:rFonts w:eastAsiaTheme="minorEastAsia"/>
          <w:b/>
          <w:bCs/>
          <w:rtl/>
        </w:rPr>
        <w:t>التحقيق الفوري والشامل والنزيه في جميع الادعاءات التي تتحدث عن إفراط موظفي إنفاذ القانون في استخدام القوة، ومحاكمة الجناة المزعومين وفق الأصول، ومعاقبتهم إن ثبتت إدانتهم معاقبة تتناسب مع خطورة أفعالهم، وجبر ما أصاب الضحايا من أضرار جبر</w:t>
      </w:r>
      <w:r w:rsidR="00946B70" w:rsidRPr="009B5F24">
        <w:rPr>
          <w:rFonts w:eastAsiaTheme="minorEastAsia"/>
          <w:b/>
          <w:bCs/>
          <w:rtl/>
        </w:rPr>
        <w:t xml:space="preserve">اً </w:t>
      </w:r>
      <w:r w:rsidRPr="009B5F24">
        <w:rPr>
          <w:rFonts w:eastAsiaTheme="minorEastAsia"/>
          <w:b/>
          <w:bCs/>
          <w:rtl/>
        </w:rPr>
        <w:t>كافيا</w:t>
      </w:r>
      <w:r w:rsidR="00946B70" w:rsidRPr="009B5F24">
        <w:rPr>
          <w:rFonts w:eastAsiaTheme="minorEastAsia" w:hint="cs"/>
          <w:b/>
          <w:bCs/>
          <w:rtl/>
        </w:rPr>
        <w:t>ً</w:t>
      </w:r>
      <w:r w:rsidRPr="009B5F24">
        <w:rPr>
          <w:rFonts w:eastAsiaTheme="minorEastAsia"/>
          <w:b/>
          <w:bCs/>
          <w:rtl/>
        </w:rPr>
        <w:t>؛</w:t>
      </w:r>
    </w:p>
    <w:p w14:paraId="42AA9083" w14:textId="3AB24173" w:rsidR="00790D70" w:rsidRPr="009B5F24" w:rsidRDefault="00790D70" w:rsidP="00790D70">
      <w:pPr>
        <w:pStyle w:val="SingleTxtGA"/>
        <w:rPr>
          <w:rFonts w:eastAsiaTheme="minorEastAsia"/>
          <w:b/>
          <w:bCs/>
          <w:lang w:eastAsia="zh-TW" w:bidi="en-GB"/>
        </w:rPr>
      </w:pPr>
      <w:r w:rsidRPr="009B5F24">
        <w:rPr>
          <w:rFonts w:eastAsiaTheme="minorEastAsia"/>
          <w:b/>
          <w:rtl/>
        </w:rPr>
        <w:tab/>
        <w:t>(ب)</w:t>
      </w:r>
      <w:r w:rsidRPr="009B5F24">
        <w:rPr>
          <w:rFonts w:eastAsiaTheme="minorEastAsia"/>
          <w:bCs/>
          <w:rtl/>
        </w:rPr>
        <w:tab/>
      </w:r>
      <w:r w:rsidRPr="009B5F24">
        <w:rPr>
          <w:rFonts w:eastAsiaTheme="minorEastAsia"/>
          <w:b/>
          <w:bCs/>
          <w:rtl/>
        </w:rPr>
        <w:t>الحرص، في حالات ادعاء التعذيب أو سوء المعاملة، على توقيف المشتبه فيهم عن العمل فوراً وطوال مدة التحقيق، مع افتراض براءتهم، لا سيما إن كان استمرارهم في العمل قد</w:t>
      </w:r>
      <w:r w:rsidR="00946B70" w:rsidRPr="009B5F24">
        <w:rPr>
          <w:rFonts w:eastAsiaTheme="minorEastAsia" w:hint="cs"/>
          <w:b/>
          <w:bCs/>
          <w:rtl/>
        </w:rPr>
        <w:t> </w:t>
      </w:r>
      <w:r w:rsidRPr="009B5F24">
        <w:rPr>
          <w:rFonts w:eastAsiaTheme="minorEastAsia"/>
          <w:b/>
          <w:bCs/>
          <w:rtl/>
        </w:rPr>
        <w:t>يتسبب في تكرار الفعل المدعى ارتكابه أو الانتقام من المجني عليه المزعوم أو عرقلة التحقيق؛</w:t>
      </w:r>
    </w:p>
    <w:p w14:paraId="2476D0D3" w14:textId="77777777" w:rsidR="00790D70" w:rsidRPr="009B5F24" w:rsidRDefault="00790D70" w:rsidP="00790D70">
      <w:pPr>
        <w:pStyle w:val="SingleTxtGA"/>
        <w:rPr>
          <w:rFonts w:eastAsiaTheme="minorEastAsia"/>
          <w:b/>
          <w:bCs/>
          <w:lang w:eastAsia="zh-TW" w:bidi="en-GB"/>
        </w:rPr>
      </w:pPr>
      <w:r w:rsidRPr="009B5F24">
        <w:rPr>
          <w:rFonts w:eastAsiaTheme="minorEastAsia"/>
          <w:bCs/>
          <w:rtl/>
        </w:rPr>
        <w:tab/>
      </w:r>
      <w:r w:rsidRPr="009B5F24">
        <w:rPr>
          <w:rFonts w:eastAsiaTheme="minorEastAsia"/>
          <w:b/>
          <w:rtl/>
        </w:rPr>
        <w:t>(ج)</w:t>
      </w:r>
      <w:r w:rsidRPr="009B5F24">
        <w:rPr>
          <w:rFonts w:eastAsiaTheme="minorEastAsia"/>
          <w:bCs/>
          <w:rtl/>
        </w:rPr>
        <w:tab/>
      </w:r>
      <w:r w:rsidRPr="009B5F24">
        <w:rPr>
          <w:rFonts w:eastAsiaTheme="minorEastAsia"/>
          <w:b/>
          <w:bCs/>
          <w:rtl/>
        </w:rPr>
        <w:t>مواصلة جهودها لتوفير تدريب منتظم لجميع موظفي إنفاذ القانون بشأن استخدام القوة، وخاصة بشأن منع استعمال العنف أثناء الاعتقالات والحد منه، مع المراعاة الواجبة للمبادئ الأساسية بشأن استخدام القوة والأسلحة النارية من جانب الموظفين المكلفين بإنفاذ القوانين؛</w:t>
      </w:r>
    </w:p>
    <w:p w14:paraId="7D360351" w14:textId="41E549D9" w:rsidR="00790D70" w:rsidRPr="009B5F24" w:rsidRDefault="00790D70" w:rsidP="00790D70">
      <w:pPr>
        <w:pStyle w:val="SingleTxtGA"/>
        <w:rPr>
          <w:rFonts w:eastAsiaTheme="minorEastAsia"/>
          <w:b/>
          <w:bCs/>
          <w:lang w:eastAsia="zh-TW" w:bidi="en-GB"/>
        </w:rPr>
      </w:pPr>
      <w:r w:rsidRPr="009B5F24">
        <w:rPr>
          <w:rFonts w:eastAsiaTheme="minorEastAsia"/>
          <w:b/>
          <w:rtl/>
        </w:rPr>
        <w:tab/>
        <w:t>(د)</w:t>
      </w:r>
      <w:r w:rsidRPr="009B5F24">
        <w:rPr>
          <w:rFonts w:eastAsiaTheme="minorEastAsia"/>
          <w:bCs/>
          <w:rtl/>
        </w:rPr>
        <w:tab/>
      </w:r>
      <w:r w:rsidRPr="009B5F24">
        <w:rPr>
          <w:rFonts w:eastAsiaTheme="minorEastAsia"/>
          <w:b/>
          <w:bCs/>
          <w:rtl/>
        </w:rPr>
        <w:t>تجميع معلومات إحصائية مصنفة شاملة مرتبطة بجميع الشكاوى والتقارير الواردة عن الإفراط في استخدام القوة ونشرها، بما فيها معلومات عما إن كانت هذه الشكاوى قد أفضت إلى</w:t>
      </w:r>
      <w:r w:rsidRPr="009B5F24">
        <w:rPr>
          <w:rFonts w:eastAsiaTheme="minorEastAsia" w:hint="cs"/>
          <w:b/>
          <w:bCs/>
          <w:rtl/>
        </w:rPr>
        <w:t> </w:t>
      </w:r>
      <w:r w:rsidRPr="009B5F24">
        <w:rPr>
          <w:rFonts w:eastAsiaTheme="minorEastAsia"/>
          <w:b/>
          <w:bCs/>
          <w:rtl/>
        </w:rPr>
        <w:t>تحقيقات، وما هي السلطة التي تولت هذه التحقيقات إن كان الأمر كذلك، وما إن كانت التحقيقات قد أدت إلى فرض تدابير تأديبية أو إلى ملاحقات قضائية، وما إن كانت الأضرار التي لحقت بالضحايا</w:t>
      </w:r>
      <w:r w:rsidRPr="009B5F24">
        <w:rPr>
          <w:rFonts w:eastAsiaTheme="minorEastAsia" w:hint="cs"/>
          <w:b/>
          <w:bCs/>
          <w:rtl/>
        </w:rPr>
        <w:t> </w:t>
      </w:r>
      <w:r w:rsidRPr="009B5F24">
        <w:rPr>
          <w:rFonts w:eastAsiaTheme="minorEastAsia"/>
          <w:b/>
          <w:bCs/>
          <w:rtl/>
        </w:rPr>
        <w:t>قد جُبرت.</w:t>
      </w:r>
    </w:p>
    <w:p w14:paraId="1C2A445F" w14:textId="77777777" w:rsidR="00790D70" w:rsidRPr="009B5F24" w:rsidRDefault="00790D70" w:rsidP="00790D70">
      <w:pPr>
        <w:pStyle w:val="H23GA"/>
        <w:rPr>
          <w:lang w:eastAsia="zh-TW" w:bidi="en-GB"/>
        </w:rPr>
      </w:pPr>
      <w:r w:rsidRPr="009B5F24">
        <w:rPr>
          <w:rtl/>
        </w:rPr>
        <w:tab/>
      </w:r>
      <w:r w:rsidRPr="009B5F24">
        <w:rPr>
          <w:rtl/>
        </w:rPr>
        <w:tab/>
        <w:t xml:space="preserve">ضمانات عدم الإعادة القسرية </w:t>
      </w:r>
    </w:p>
    <w:p w14:paraId="1C8DB36D" w14:textId="198416FD" w:rsidR="00790D70" w:rsidRPr="009D35B3" w:rsidRDefault="00790D70" w:rsidP="00790D70">
      <w:pPr>
        <w:pStyle w:val="SingleTxtGA"/>
        <w:rPr>
          <w:rFonts w:eastAsiaTheme="minorEastAsia"/>
          <w:lang w:val="en-US" w:eastAsia="zh-TW" w:bidi="en-GB"/>
        </w:rPr>
      </w:pPr>
      <w:r w:rsidRPr="009B5F24">
        <w:rPr>
          <w:rFonts w:eastAsiaTheme="minorEastAsia"/>
          <w:rtl/>
        </w:rPr>
        <w:t>31</w:t>
      </w:r>
      <w:r w:rsidRPr="00790D70">
        <w:rPr>
          <w:rFonts w:eastAsiaTheme="minorEastAsia"/>
          <w:rtl/>
        </w:rPr>
        <w:t>-</w:t>
      </w:r>
      <w:r w:rsidRPr="00790D70">
        <w:rPr>
          <w:rFonts w:eastAsiaTheme="minorEastAsia"/>
          <w:rtl/>
        </w:rPr>
        <w:tab/>
        <w:t>تحيط اللجنة علم</w:t>
      </w:r>
      <w:r w:rsidR="00946B70">
        <w:rPr>
          <w:rFonts w:eastAsiaTheme="minorEastAsia"/>
          <w:rtl/>
        </w:rPr>
        <w:t xml:space="preserve">اً </w:t>
      </w:r>
      <w:r w:rsidRPr="00790D70">
        <w:rPr>
          <w:rFonts w:eastAsiaTheme="minorEastAsia"/>
          <w:rtl/>
        </w:rPr>
        <w:t xml:space="preserve">بالمراجعة الشاملة لقانون المواطنين الأجانب التي جرت في عام </w:t>
      </w:r>
      <w:r w:rsidRPr="009B5F24">
        <w:rPr>
          <w:rFonts w:eastAsiaTheme="minorEastAsia"/>
          <w:rtl/>
        </w:rPr>
        <w:t>2016</w:t>
      </w:r>
      <w:r w:rsidRPr="00790D70">
        <w:rPr>
          <w:rFonts w:eastAsiaTheme="minorEastAsia"/>
          <w:rtl/>
        </w:rPr>
        <w:t xml:space="preserve">، وإنشاء المجلس الإداري لطعون الهجرة واللجوء في عام </w:t>
      </w:r>
      <w:r w:rsidRPr="009B5F24">
        <w:rPr>
          <w:rFonts w:eastAsiaTheme="minorEastAsia"/>
          <w:rtl/>
        </w:rPr>
        <w:t>2015</w:t>
      </w:r>
      <w:r w:rsidRPr="00790D70">
        <w:rPr>
          <w:rFonts w:eastAsiaTheme="minorEastAsia"/>
          <w:rtl/>
        </w:rPr>
        <w:t xml:space="preserve"> الذي يعيد النظر في قرارات مديرية الهجرة. وتحيط علم</w:t>
      </w:r>
      <w:r w:rsidR="00946B70">
        <w:rPr>
          <w:rFonts w:eastAsiaTheme="minorEastAsia"/>
          <w:rtl/>
        </w:rPr>
        <w:t xml:space="preserve">اً </w:t>
      </w:r>
      <w:r w:rsidRPr="00790D70">
        <w:rPr>
          <w:rFonts w:eastAsiaTheme="minorEastAsia"/>
          <w:rtl/>
        </w:rPr>
        <w:t>أيض</w:t>
      </w:r>
      <w:r w:rsidR="00946B70">
        <w:rPr>
          <w:rFonts w:eastAsiaTheme="minorEastAsia"/>
          <w:rtl/>
        </w:rPr>
        <w:t xml:space="preserve">اً </w:t>
      </w:r>
      <w:r w:rsidRPr="00790D70">
        <w:rPr>
          <w:rFonts w:eastAsiaTheme="minorEastAsia"/>
          <w:rtl/>
        </w:rPr>
        <w:t xml:space="preserve">بزيادة معدل حالات الحماية الدولية في الدولة الطرف (في عام </w:t>
      </w:r>
      <w:r w:rsidRPr="009B5F24">
        <w:rPr>
          <w:rFonts w:eastAsiaTheme="minorEastAsia"/>
          <w:rtl/>
        </w:rPr>
        <w:t>2021</w:t>
      </w:r>
      <w:r w:rsidRPr="00790D70">
        <w:rPr>
          <w:rFonts w:eastAsiaTheme="minorEastAsia"/>
          <w:rtl/>
        </w:rPr>
        <w:t xml:space="preserve">، منحت الحماية </w:t>
      </w:r>
      <w:r w:rsidRPr="00012D7F">
        <w:rPr>
          <w:rFonts w:eastAsiaTheme="minorEastAsia"/>
          <w:spacing w:val="-4"/>
          <w:rtl/>
        </w:rPr>
        <w:t>ل</w:t>
      </w:r>
      <w:r w:rsidR="00012D7F" w:rsidRPr="00012D7F">
        <w:rPr>
          <w:rFonts w:eastAsiaTheme="minorEastAsia" w:hint="cs"/>
          <w:spacing w:val="-4"/>
          <w:rtl/>
        </w:rPr>
        <w:t>ـ</w:t>
      </w:r>
      <w:r w:rsidRPr="00012D7F">
        <w:rPr>
          <w:rFonts w:eastAsiaTheme="minorEastAsia"/>
          <w:spacing w:val="-4"/>
          <w:rtl/>
        </w:rPr>
        <w:t xml:space="preserve"> </w:t>
      </w:r>
      <w:r w:rsidRPr="009B5F24">
        <w:rPr>
          <w:rFonts w:eastAsiaTheme="minorEastAsia"/>
          <w:spacing w:val="-4"/>
          <w:rtl/>
        </w:rPr>
        <w:t>354</w:t>
      </w:r>
      <w:r w:rsidRPr="00012D7F">
        <w:rPr>
          <w:rFonts w:eastAsiaTheme="minorEastAsia"/>
          <w:spacing w:val="-4"/>
          <w:rtl/>
        </w:rPr>
        <w:t xml:space="preserve"> مقدّم طلب من أصل </w:t>
      </w:r>
      <w:r w:rsidRPr="009B5F24">
        <w:rPr>
          <w:rFonts w:eastAsiaTheme="minorEastAsia"/>
          <w:spacing w:val="-4"/>
          <w:rtl/>
        </w:rPr>
        <w:t>872</w:t>
      </w:r>
      <w:r w:rsidRPr="00012D7F">
        <w:rPr>
          <w:rFonts w:eastAsiaTheme="minorEastAsia"/>
          <w:spacing w:val="-4"/>
          <w:rtl/>
        </w:rPr>
        <w:t>)، بيد أنها تشعر بالقلق من التقارير التي تفيد بأن إجراء الطعون المعروض</w:t>
      </w:r>
      <w:r w:rsidRPr="00790D70">
        <w:rPr>
          <w:rFonts w:eastAsiaTheme="minorEastAsia"/>
          <w:rtl/>
        </w:rPr>
        <w:t xml:space="preserve"> على المجلس له عموم</w:t>
      </w:r>
      <w:r w:rsidR="00946B70">
        <w:rPr>
          <w:rFonts w:eastAsiaTheme="minorEastAsia"/>
          <w:rtl/>
        </w:rPr>
        <w:t xml:space="preserve">اً </w:t>
      </w:r>
      <w:r w:rsidRPr="00790D70">
        <w:rPr>
          <w:rFonts w:eastAsiaTheme="minorEastAsia"/>
          <w:rtl/>
        </w:rPr>
        <w:t>أثر إيقافي، باستثناء ما يتعلق بالطلبات المقدمة من بلدان</w:t>
      </w:r>
      <w:r>
        <w:rPr>
          <w:rFonts w:eastAsiaTheme="minorEastAsia"/>
          <w:rtl/>
        </w:rPr>
        <w:t xml:space="preserve"> </w:t>
      </w:r>
      <w:r w:rsidRPr="00790D70">
        <w:rPr>
          <w:rFonts w:eastAsiaTheme="minorEastAsia"/>
          <w:rtl/>
        </w:rPr>
        <w:t>أصلية " آمنة" التي تعتبر واضحة البطلان. وليس لإجراءات المحكمة اللاحقة أي أثر إيقافي تلقائي. ويحق للمجلس أن يقضي بهذا الوقف لأسباب "تعتبر مبرَّرة"، وهو ما يبدو أنه متروك لتقديره، ولا ينظر فيه إلا بناء على طلب مقدم الطلب في غضون مهلة زمنية قصيرة وبعد إجراء محدد. وإضافة إلى ذلك، تفيد التقارير بأن مشروع المقترح</w:t>
      </w:r>
      <w:r>
        <w:rPr>
          <w:rFonts w:eastAsiaTheme="minorEastAsia"/>
          <w:rtl/>
        </w:rPr>
        <w:t xml:space="preserve"> </w:t>
      </w:r>
      <w:r w:rsidRPr="00790D70">
        <w:rPr>
          <w:rFonts w:eastAsiaTheme="minorEastAsia"/>
          <w:rtl/>
        </w:rPr>
        <w:t>التشريعي المنتظر صدوره لتعديل قانون المواطنين الأجانب يبقي على مهلة قصيرة مدتها خمسة أيام للطعون المتعلقة بقضايا القادمين من بلدان</w:t>
      </w:r>
      <w:r>
        <w:rPr>
          <w:rFonts w:eastAsiaTheme="minorEastAsia"/>
          <w:rtl/>
        </w:rPr>
        <w:t xml:space="preserve"> </w:t>
      </w:r>
      <w:r w:rsidRPr="00790D70">
        <w:rPr>
          <w:rFonts w:eastAsiaTheme="minorEastAsia"/>
          <w:rtl/>
        </w:rPr>
        <w:t>أصلية " آمنة" التي تعتبر واضحة البطلان (المواد</w:t>
      </w:r>
      <w:r w:rsidR="00012D7F">
        <w:rPr>
          <w:rFonts w:eastAsiaTheme="minorEastAsia" w:hint="cs"/>
          <w:rtl/>
        </w:rPr>
        <w:t> </w:t>
      </w:r>
      <w:r w:rsidRPr="009B5F24">
        <w:rPr>
          <w:rFonts w:eastAsiaTheme="minorEastAsia"/>
          <w:rtl/>
        </w:rPr>
        <w:t>2</w:t>
      </w:r>
      <w:r w:rsidRPr="00790D70">
        <w:rPr>
          <w:rFonts w:eastAsiaTheme="minorEastAsia"/>
          <w:rtl/>
        </w:rPr>
        <w:t xml:space="preserve"> و</w:t>
      </w:r>
      <w:r w:rsidRPr="009B5F24">
        <w:rPr>
          <w:rFonts w:eastAsiaTheme="minorEastAsia"/>
          <w:rtl/>
        </w:rPr>
        <w:t>3</w:t>
      </w:r>
      <w:r w:rsidRPr="00790D70">
        <w:rPr>
          <w:rFonts w:eastAsiaTheme="minorEastAsia"/>
          <w:rtl/>
        </w:rPr>
        <w:t xml:space="preserve"> و</w:t>
      </w:r>
      <w:r w:rsidRPr="009B5F24">
        <w:rPr>
          <w:rFonts w:eastAsiaTheme="minorEastAsia"/>
          <w:rtl/>
        </w:rPr>
        <w:t>12</w:t>
      </w:r>
      <w:r w:rsidRPr="00790D70">
        <w:rPr>
          <w:rFonts w:eastAsiaTheme="minorEastAsia"/>
          <w:rtl/>
        </w:rPr>
        <w:t xml:space="preserve"> و</w:t>
      </w:r>
      <w:r w:rsidRPr="009B5F24">
        <w:rPr>
          <w:rFonts w:eastAsiaTheme="minorEastAsia"/>
          <w:rtl/>
        </w:rPr>
        <w:t>13</w:t>
      </w:r>
      <w:r w:rsidRPr="00790D70">
        <w:rPr>
          <w:rFonts w:eastAsiaTheme="minorEastAsia"/>
          <w:rtl/>
        </w:rPr>
        <w:t xml:space="preserve">). </w:t>
      </w:r>
    </w:p>
    <w:p w14:paraId="032917F2" w14:textId="77777777" w:rsidR="00790D70" w:rsidRPr="009B5F24" w:rsidRDefault="00790D70" w:rsidP="00790D70">
      <w:pPr>
        <w:pStyle w:val="SingleTxtGA"/>
        <w:rPr>
          <w:rFonts w:eastAsiaTheme="minorEastAsia"/>
          <w:b/>
          <w:bCs/>
          <w:lang w:val="ar-SA" w:eastAsia="zh-TW" w:bidi="en-GB"/>
        </w:rPr>
      </w:pPr>
      <w:r w:rsidRPr="009B5F24">
        <w:rPr>
          <w:rFonts w:eastAsiaTheme="minorEastAsia"/>
          <w:b/>
          <w:rtl/>
        </w:rPr>
        <w:lastRenderedPageBreak/>
        <w:t>32-</w:t>
      </w:r>
      <w:r w:rsidRPr="009B5F24">
        <w:rPr>
          <w:rFonts w:eastAsiaTheme="minorEastAsia"/>
          <w:bCs/>
          <w:rtl/>
        </w:rPr>
        <w:tab/>
      </w:r>
      <w:r w:rsidRPr="009B5F24">
        <w:rPr>
          <w:rFonts w:eastAsiaTheme="minorEastAsia"/>
          <w:b/>
          <w:bCs/>
          <w:rtl/>
        </w:rPr>
        <w:t>ينبغي للدولة الطرف القيام بما يلي:</w:t>
      </w:r>
    </w:p>
    <w:p w14:paraId="5A884CFE" w14:textId="51445911" w:rsidR="00790D70" w:rsidRPr="009B5F24" w:rsidRDefault="00790D70" w:rsidP="00790D70">
      <w:pPr>
        <w:pStyle w:val="SingleTxtGA"/>
        <w:rPr>
          <w:rFonts w:eastAsiaTheme="minorEastAsia"/>
          <w:b/>
          <w:bCs/>
          <w:lang w:val="ar-SA" w:eastAsia="zh-TW" w:bidi="en-GB"/>
        </w:rPr>
      </w:pPr>
      <w:r w:rsidRPr="009B5F24">
        <w:rPr>
          <w:rFonts w:eastAsiaTheme="minorEastAsia"/>
          <w:b/>
          <w:rtl/>
        </w:rPr>
        <w:tab/>
        <w:t>(أ)</w:t>
      </w:r>
      <w:r w:rsidRPr="009B5F24">
        <w:rPr>
          <w:rFonts w:eastAsiaTheme="minorEastAsia"/>
          <w:b/>
          <w:rtl/>
        </w:rPr>
        <w:tab/>
      </w:r>
      <w:r w:rsidRPr="009B5F24">
        <w:rPr>
          <w:rFonts w:eastAsiaTheme="minorEastAsia"/>
          <w:b/>
          <w:bCs/>
          <w:rtl/>
        </w:rPr>
        <w:t>ضمان تطبيق مبدأ عدم الإعادة القسرية المكرس في المادة 42 من قانون المواطنين الأجانب مع الاحترام التام لمبدأ عدم الإعادة القسرية المكرس في المادة 3 من الاتفاقية، وضمان أن تحترم أي تعديلات تشريعية مقبلة هذا المبدأ احترام</w:t>
      </w:r>
      <w:r w:rsidR="00946B70" w:rsidRPr="009B5F24">
        <w:rPr>
          <w:rFonts w:eastAsiaTheme="minorEastAsia"/>
          <w:b/>
          <w:bCs/>
          <w:rtl/>
        </w:rPr>
        <w:t xml:space="preserve">اً </w:t>
      </w:r>
      <w:r w:rsidRPr="009B5F24">
        <w:rPr>
          <w:rFonts w:eastAsiaTheme="minorEastAsia"/>
          <w:b/>
          <w:bCs/>
          <w:rtl/>
        </w:rPr>
        <w:t>تاما</w:t>
      </w:r>
      <w:r w:rsidR="00946B70" w:rsidRPr="009B5F24">
        <w:rPr>
          <w:rFonts w:eastAsiaTheme="minorEastAsia" w:hint="cs"/>
          <w:b/>
          <w:bCs/>
          <w:rtl/>
        </w:rPr>
        <w:t>ً</w:t>
      </w:r>
      <w:r w:rsidRPr="009B5F24">
        <w:rPr>
          <w:rFonts w:eastAsiaTheme="minorEastAsia"/>
          <w:b/>
          <w:bCs/>
          <w:rtl/>
        </w:rPr>
        <w:t>؛</w:t>
      </w:r>
      <w:r w:rsidRPr="009B5F24">
        <w:rPr>
          <w:rFonts w:eastAsiaTheme="minorEastAsia"/>
          <w:bCs/>
          <w:rtl/>
        </w:rPr>
        <w:t xml:space="preserve"> </w:t>
      </w:r>
    </w:p>
    <w:p w14:paraId="39FEA151" w14:textId="77777777" w:rsidR="00790D70" w:rsidRPr="009B5F24" w:rsidRDefault="00790D70" w:rsidP="00790D70">
      <w:pPr>
        <w:pStyle w:val="SingleTxtGA"/>
        <w:rPr>
          <w:rFonts w:eastAsiaTheme="minorEastAsia"/>
          <w:b/>
          <w:bCs/>
          <w:lang w:val="ar-SA" w:eastAsia="zh-TW" w:bidi="en-GB"/>
        </w:rPr>
      </w:pPr>
      <w:r w:rsidRPr="009B5F24">
        <w:rPr>
          <w:rFonts w:eastAsiaTheme="minorEastAsia"/>
          <w:b/>
          <w:rtl/>
        </w:rPr>
        <w:tab/>
        <w:t>(ب)</w:t>
      </w:r>
      <w:r w:rsidRPr="009B5F24">
        <w:rPr>
          <w:rFonts w:eastAsiaTheme="minorEastAsia"/>
          <w:bCs/>
          <w:rtl/>
        </w:rPr>
        <w:tab/>
      </w:r>
      <w:r w:rsidRPr="009B5F24">
        <w:rPr>
          <w:rFonts w:eastAsiaTheme="minorEastAsia"/>
          <w:b/>
          <w:bCs/>
          <w:rtl/>
        </w:rPr>
        <w:t>ضمان استفادة جميع المواطنين الأجانب المعرضين للإبعاد، بمن فيهم القادمون من بلدان أصلية "آمنة"، من إجراءات عادلة تشمل خاصة مقابلة مفصّلة وشاملة لتقييم خطر التعرض للتعذيب وسوء المعاملة في بلدانهم الأصلية في ضوء ظروفهم الشخصية؛</w:t>
      </w:r>
    </w:p>
    <w:p w14:paraId="787F6043" w14:textId="4D72EF84" w:rsidR="00790D70" w:rsidRPr="009B5F24" w:rsidRDefault="00790D70" w:rsidP="00790D70">
      <w:pPr>
        <w:pStyle w:val="SingleTxtGA"/>
        <w:rPr>
          <w:rFonts w:eastAsiaTheme="minorEastAsia"/>
          <w:b/>
          <w:bCs/>
          <w:lang w:eastAsia="zh-TW" w:bidi="en-GB"/>
        </w:rPr>
      </w:pPr>
      <w:r w:rsidRPr="009B5F24">
        <w:rPr>
          <w:rFonts w:eastAsiaTheme="minorEastAsia"/>
          <w:b/>
          <w:rtl/>
        </w:rPr>
        <w:tab/>
        <w:t>(ج)</w:t>
      </w:r>
      <w:r w:rsidRPr="009B5F24">
        <w:rPr>
          <w:rFonts w:eastAsiaTheme="minorEastAsia"/>
          <w:bCs/>
          <w:rtl/>
        </w:rPr>
        <w:tab/>
      </w:r>
      <w:r w:rsidRPr="009B5F24">
        <w:rPr>
          <w:rFonts w:eastAsiaTheme="minorEastAsia"/>
          <w:b/>
          <w:bCs/>
          <w:rtl/>
        </w:rPr>
        <w:t xml:space="preserve">ضمان أن يتمكن جميع المعرضين للإبعاد من التماس مراجعة قضائية </w:t>
      </w:r>
      <w:r w:rsidRPr="009B5F24">
        <w:rPr>
          <w:rFonts w:eastAsiaTheme="minorEastAsia"/>
          <w:b/>
          <w:bCs/>
          <w:rtl/>
          <w:lang w:val="de-CH"/>
        </w:rPr>
        <w:t>فردية</w:t>
      </w:r>
      <w:r w:rsidRPr="009B5F24">
        <w:rPr>
          <w:rFonts w:eastAsiaTheme="minorEastAsia"/>
          <w:b/>
          <w:bCs/>
          <w:rtl/>
        </w:rPr>
        <w:t xml:space="preserve"> لأمر الإبعاد وأن يكون لذلك أثر إيقافي؛</w:t>
      </w:r>
      <w:r w:rsidRPr="009B5F24">
        <w:rPr>
          <w:rFonts w:eastAsiaTheme="minorEastAsia"/>
          <w:bCs/>
          <w:rtl/>
        </w:rPr>
        <w:t xml:space="preserve"> </w:t>
      </w:r>
    </w:p>
    <w:p w14:paraId="499CE140" w14:textId="5627E8A2" w:rsidR="00790D70" w:rsidRPr="009B5F24" w:rsidRDefault="00790D70" w:rsidP="00790D70">
      <w:pPr>
        <w:pStyle w:val="SingleTxtGA"/>
        <w:rPr>
          <w:rFonts w:eastAsiaTheme="minorEastAsia"/>
          <w:b/>
          <w:bCs/>
          <w:lang w:eastAsia="zh-TW" w:bidi="en-GB"/>
        </w:rPr>
      </w:pPr>
      <w:r w:rsidRPr="009B5F24">
        <w:rPr>
          <w:rFonts w:eastAsiaTheme="minorEastAsia"/>
          <w:b/>
          <w:rtl/>
        </w:rPr>
        <w:tab/>
        <w:t>(د)</w:t>
      </w:r>
      <w:r w:rsidRPr="009B5F24">
        <w:rPr>
          <w:rFonts w:eastAsiaTheme="minorEastAsia"/>
          <w:bCs/>
          <w:rtl/>
        </w:rPr>
        <w:tab/>
      </w:r>
      <w:r w:rsidRPr="009B5F24">
        <w:rPr>
          <w:rFonts w:eastAsiaTheme="minorEastAsia"/>
          <w:b/>
          <w:bCs/>
          <w:rtl/>
        </w:rPr>
        <w:t xml:space="preserve">ضمان التحديد السريع والمناسب لهوية الأشخاص في أوضاع هشة، بمن فيهم الناجون من التعذيب وسوء المعاملة ومن العنف الجنسي </w:t>
      </w:r>
      <w:proofErr w:type="spellStart"/>
      <w:r w:rsidRPr="009B5F24">
        <w:rPr>
          <w:rFonts w:eastAsiaTheme="minorEastAsia"/>
          <w:b/>
          <w:bCs/>
          <w:rtl/>
        </w:rPr>
        <w:t>والجنساني</w:t>
      </w:r>
      <w:proofErr w:type="spellEnd"/>
      <w:r w:rsidRPr="009B5F24">
        <w:rPr>
          <w:rFonts w:eastAsiaTheme="minorEastAsia"/>
          <w:b/>
          <w:bCs/>
          <w:rtl/>
        </w:rPr>
        <w:t>، وتوفير فرص كافية لهم للحصول على الرعاية الصحية وخدمات الرعاية النفسية؛</w:t>
      </w:r>
    </w:p>
    <w:p w14:paraId="227A3848" w14:textId="77777777" w:rsidR="00790D70" w:rsidRPr="009B5F24" w:rsidRDefault="00790D70" w:rsidP="00790D70">
      <w:pPr>
        <w:pStyle w:val="SingleTxtGA"/>
        <w:rPr>
          <w:rFonts w:eastAsiaTheme="minorEastAsia"/>
          <w:b/>
          <w:bCs/>
          <w:lang w:eastAsia="zh-TW" w:bidi="en-GB"/>
        </w:rPr>
      </w:pPr>
      <w:r w:rsidRPr="009B5F24">
        <w:rPr>
          <w:rFonts w:eastAsiaTheme="minorEastAsia"/>
          <w:b/>
          <w:rtl/>
        </w:rPr>
        <w:tab/>
        <w:t>(هـ)</w:t>
      </w:r>
      <w:r w:rsidRPr="009B5F24">
        <w:rPr>
          <w:rFonts w:eastAsiaTheme="minorEastAsia"/>
          <w:bCs/>
          <w:rtl/>
        </w:rPr>
        <w:tab/>
      </w:r>
      <w:r w:rsidRPr="009B5F24">
        <w:rPr>
          <w:rFonts w:eastAsiaTheme="minorEastAsia"/>
          <w:b/>
          <w:bCs/>
          <w:rtl/>
        </w:rPr>
        <w:t>تقديم معلومات عن القضايا المرتبطة بعدم الإعادة القسرية لضحايا التعذيب المحتملين التي نظر فيها مجلس طعون الهجرة واللجوء منذ إنشائه، وعن عدد القضايا المقدمة له وتلك التي بت فيها ونتائجها، بما في ذلك عدد تلك التي انتهت بالإبعاد، وعن عدد تلك التي تكللت بالنجاح وأفضت إلى إلغاء أمر الإبعاد، وعن عدد الطعون ونتائجها.</w:t>
      </w:r>
    </w:p>
    <w:p w14:paraId="45CDE870" w14:textId="77777777" w:rsidR="00790D70" w:rsidRPr="009B5F24" w:rsidRDefault="00790D70" w:rsidP="00790D70">
      <w:pPr>
        <w:pStyle w:val="H23GA"/>
        <w:rPr>
          <w:lang w:eastAsia="zh-TW" w:bidi="en-GB"/>
        </w:rPr>
      </w:pPr>
      <w:r w:rsidRPr="009B5F24">
        <w:rPr>
          <w:rtl/>
        </w:rPr>
        <w:tab/>
      </w:r>
      <w:r w:rsidRPr="009B5F24">
        <w:rPr>
          <w:rtl/>
        </w:rPr>
        <w:tab/>
        <w:t>الأطفال ملتمسو اللجوء</w:t>
      </w:r>
    </w:p>
    <w:p w14:paraId="1A8B65F5" w14:textId="63E35D3A" w:rsidR="00790D70" w:rsidRPr="00790D70" w:rsidRDefault="00790D70" w:rsidP="00790D70">
      <w:pPr>
        <w:pStyle w:val="SingleTxtGA"/>
        <w:rPr>
          <w:rFonts w:eastAsiaTheme="minorEastAsia"/>
          <w:lang w:eastAsia="zh-TW" w:bidi="en-GB"/>
        </w:rPr>
      </w:pPr>
      <w:r w:rsidRPr="009B5F24">
        <w:rPr>
          <w:rFonts w:eastAsiaTheme="minorEastAsia"/>
          <w:rtl/>
        </w:rPr>
        <w:t>33</w:t>
      </w:r>
      <w:r w:rsidRPr="00790D70">
        <w:rPr>
          <w:rFonts w:eastAsiaTheme="minorEastAsia"/>
          <w:rtl/>
        </w:rPr>
        <w:t>-</w:t>
      </w:r>
      <w:r w:rsidRPr="00790D70">
        <w:rPr>
          <w:rFonts w:eastAsiaTheme="minorEastAsia"/>
          <w:rtl/>
        </w:rPr>
        <w:tab/>
        <w:t>تقر اللجنة بقلة عدد الأطفال ملتمسي اللجوء غير المصحوبين (</w:t>
      </w:r>
      <w:r w:rsidRPr="009B5F24">
        <w:rPr>
          <w:rFonts w:eastAsiaTheme="minorEastAsia"/>
          <w:rtl/>
        </w:rPr>
        <w:t>10</w:t>
      </w:r>
      <w:r w:rsidRPr="00790D70">
        <w:rPr>
          <w:rFonts w:eastAsiaTheme="minorEastAsia"/>
          <w:rtl/>
        </w:rPr>
        <w:t xml:space="preserve"> في عام </w:t>
      </w:r>
      <w:r w:rsidRPr="009B5F24">
        <w:rPr>
          <w:rFonts w:eastAsiaTheme="minorEastAsia"/>
          <w:rtl/>
        </w:rPr>
        <w:t>2022</w:t>
      </w:r>
      <w:r w:rsidRPr="00790D70">
        <w:rPr>
          <w:rFonts w:eastAsiaTheme="minorEastAsia"/>
          <w:rtl/>
        </w:rPr>
        <w:t xml:space="preserve"> و</w:t>
      </w:r>
      <w:r w:rsidRPr="009B5F24">
        <w:rPr>
          <w:rFonts w:eastAsiaTheme="minorEastAsia"/>
          <w:rtl/>
        </w:rPr>
        <w:t>16</w:t>
      </w:r>
      <w:r w:rsidRPr="00790D70">
        <w:rPr>
          <w:rFonts w:eastAsiaTheme="minorEastAsia"/>
          <w:rtl/>
        </w:rPr>
        <w:t xml:space="preserve"> في عام </w:t>
      </w:r>
      <w:r w:rsidRPr="009B5F24">
        <w:rPr>
          <w:rFonts w:eastAsiaTheme="minorEastAsia"/>
          <w:rtl/>
        </w:rPr>
        <w:t>2021</w:t>
      </w:r>
      <w:r w:rsidRPr="00790D70">
        <w:rPr>
          <w:rFonts w:eastAsiaTheme="minorEastAsia"/>
          <w:rtl/>
        </w:rPr>
        <w:t>)، غير أنها تشعر بالقلق بشأن المعلومات الواردة عن وضعهم في مرفق استقبال مخصوص (</w:t>
      </w:r>
      <w:proofErr w:type="spellStart"/>
      <w:r w:rsidRPr="00790D70">
        <w:rPr>
          <w:rFonts w:eastAsiaTheme="minorEastAsia"/>
        </w:rPr>
        <w:t>Baejarhraun</w:t>
      </w:r>
      <w:proofErr w:type="spellEnd"/>
      <w:r w:rsidRPr="00790D70">
        <w:rPr>
          <w:rFonts w:eastAsiaTheme="minorEastAsia"/>
          <w:rtl/>
        </w:rPr>
        <w:t>) تديره مديرية الهجرة حيث يستقبلون قبل إيداعهم أسرةً حاضنة أو مركزَ استقبال للبالغين. وتلاحظ اللجنة أن سلطات حماية الطفل مسؤولة عن رعايتهم في هذا المرفق، لكن التقارير تشير إلى أن هذا المرفق غير صالح للأطفال لأنه يفتقر إلى أماكن ملائمة لهم أو مناطق للاستجمام وإلى إجراءات سلامة واضحة، ولا يلبّي تمام</w:t>
      </w:r>
      <w:r w:rsidR="00946B70">
        <w:rPr>
          <w:rFonts w:eastAsiaTheme="minorEastAsia"/>
          <w:rtl/>
        </w:rPr>
        <w:t xml:space="preserve">اً </w:t>
      </w:r>
      <w:r w:rsidRPr="00790D70">
        <w:rPr>
          <w:rFonts w:eastAsiaTheme="minorEastAsia"/>
          <w:rtl/>
        </w:rPr>
        <w:t xml:space="preserve">احتياجات الأطفال (المادتان </w:t>
      </w:r>
      <w:r w:rsidRPr="009B5F24">
        <w:rPr>
          <w:rFonts w:eastAsiaTheme="minorEastAsia"/>
          <w:rtl/>
        </w:rPr>
        <w:t>11</w:t>
      </w:r>
      <w:r w:rsidRPr="00790D70">
        <w:rPr>
          <w:rFonts w:eastAsiaTheme="minorEastAsia"/>
          <w:rtl/>
        </w:rPr>
        <w:t xml:space="preserve"> و</w:t>
      </w:r>
      <w:r w:rsidRPr="009B5F24">
        <w:rPr>
          <w:rFonts w:eastAsiaTheme="minorEastAsia"/>
          <w:rtl/>
        </w:rPr>
        <w:t>16</w:t>
      </w:r>
      <w:r w:rsidRPr="00790D70">
        <w:rPr>
          <w:rFonts w:eastAsiaTheme="minorEastAsia"/>
          <w:rtl/>
        </w:rPr>
        <w:t>).</w:t>
      </w:r>
    </w:p>
    <w:p w14:paraId="4811B5A0" w14:textId="274A8AA8" w:rsidR="00790D70" w:rsidRPr="009B5F24" w:rsidRDefault="00790D70" w:rsidP="00790D70">
      <w:pPr>
        <w:pStyle w:val="SingleTxtGA"/>
        <w:rPr>
          <w:rFonts w:eastAsiaTheme="minorEastAsia"/>
          <w:b/>
          <w:bCs/>
          <w:lang w:eastAsia="zh-TW" w:bidi="en-GB"/>
        </w:rPr>
      </w:pPr>
      <w:r w:rsidRPr="009B5F24">
        <w:rPr>
          <w:rFonts w:eastAsiaTheme="minorEastAsia"/>
          <w:b/>
          <w:rtl/>
        </w:rPr>
        <w:t>34-</w:t>
      </w:r>
      <w:r w:rsidRPr="009B5F24">
        <w:rPr>
          <w:rFonts w:eastAsiaTheme="minorEastAsia"/>
          <w:bCs/>
          <w:rtl/>
        </w:rPr>
        <w:tab/>
      </w:r>
      <w:r w:rsidRPr="009B5F24">
        <w:rPr>
          <w:rFonts w:eastAsiaTheme="minorEastAsia"/>
          <w:b/>
          <w:bCs/>
          <w:rtl/>
        </w:rPr>
        <w:t>ينبغي أن تنتهج الدولة الطرف نهج</w:t>
      </w:r>
      <w:r w:rsidR="00946B70" w:rsidRPr="009B5F24">
        <w:rPr>
          <w:rFonts w:eastAsiaTheme="minorEastAsia"/>
          <w:b/>
          <w:bCs/>
          <w:rtl/>
        </w:rPr>
        <w:t xml:space="preserve">اً </w:t>
      </w:r>
      <w:r w:rsidRPr="009B5F24">
        <w:rPr>
          <w:rFonts w:eastAsiaTheme="minorEastAsia"/>
          <w:b/>
          <w:bCs/>
          <w:rtl/>
        </w:rPr>
        <w:t>شامل</w:t>
      </w:r>
      <w:r w:rsidR="00946B70" w:rsidRPr="009B5F24">
        <w:rPr>
          <w:rFonts w:eastAsiaTheme="minorEastAsia"/>
          <w:b/>
          <w:bCs/>
          <w:rtl/>
        </w:rPr>
        <w:t xml:space="preserve">اً </w:t>
      </w:r>
      <w:r w:rsidRPr="009B5F24">
        <w:rPr>
          <w:rFonts w:eastAsiaTheme="minorEastAsia"/>
          <w:b/>
          <w:bCs/>
          <w:rtl/>
        </w:rPr>
        <w:t>لاستقبال الأطفال ملتمسي اللجوء غير المصحوبين وأن توفر ترتيبات استقبال ورعاية ملائمة لهم، بما فيها أماكن إقامة آمنة ومناسبة تتكيف مع احتياجاتهم، وأن تكفل لهم الرعاية الصحية المناسبة والدعم التعليمي والنفسي الاجتماعي.</w:t>
      </w:r>
      <w:r w:rsidRPr="009B5F24">
        <w:rPr>
          <w:rFonts w:eastAsiaTheme="minorEastAsia"/>
          <w:bCs/>
          <w:rtl/>
        </w:rPr>
        <w:t xml:space="preserve"> </w:t>
      </w:r>
      <w:r w:rsidRPr="009B5F24">
        <w:rPr>
          <w:rFonts w:eastAsiaTheme="minorEastAsia"/>
          <w:b/>
          <w:bCs/>
          <w:rtl/>
        </w:rPr>
        <w:t>وينبغي أيض</w:t>
      </w:r>
      <w:r w:rsidR="00946B70" w:rsidRPr="009B5F24">
        <w:rPr>
          <w:rFonts w:eastAsiaTheme="minorEastAsia"/>
          <w:b/>
          <w:bCs/>
          <w:rtl/>
        </w:rPr>
        <w:t xml:space="preserve">اً </w:t>
      </w:r>
      <w:r w:rsidRPr="009B5F24">
        <w:rPr>
          <w:rFonts w:eastAsiaTheme="minorEastAsia"/>
          <w:b/>
          <w:bCs/>
          <w:rtl/>
        </w:rPr>
        <w:t>أن ترصد بانتظام ظروف الأطفال في مراكز الاستقبال واحتياجاتهم.</w:t>
      </w:r>
      <w:r w:rsidRPr="009B5F24">
        <w:rPr>
          <w:rFonts w:eastAsiaTheme="minorEastAsia"/>
          <w:bCs/>
          <w:rtl/>
        </w:rPr>
        <w:t xml:space="preserve"> </w:t>
      </w:r>
    </w:p>
    <w:p w14:paraId="6A719AA8" w14:textId="77777777" w:rsidR="00790D70" w:rsidRPr="009B5F24" w:rsidRDefault="00790D70" w:rsidP="00790D70">
      <w:pPr>
        <w:pStyle w:val="H23GA"/>
        <w:rPr>
          <w:lang w:eastAsia="zh-TW" w:bidi="en-GB"/>
        </w:rPr>
      </w:pPr>
      <w:r w:rsidRPr="009B5F24">
        <w:rPr>
          <w:rtl/>
        </w:rPr>
        <w:tab/>
      </w:r>
      <w:r w:rsidRPr="009B5F24">
        <w:rPr>
          <w:rtl/>
        </w:rPr>
        <w:tab/>
        <w:t>إجراءات المتابعة</w:t>
      </w:r>
    </w:p>
    <w:p w14:paraId="23470F93" w14:textId="2BAB1700" w:rsidR="00790D70" w:rsidRPr="00790D70" w:rsidRDefault="00790D70" w:rsidP="00790D70">
      <w:pPr>
        <w:pStyle w:val="SingleTxtGA"/>
        <w:rPr>
          <w:rFonts w:eastAsiaTheme="minorEastAsia"/>
          <w:lang w:val="ar-SA" w:eastAsia="zh-TW" w:bidi="en-GB"/>
        </w:rPr>
      </w:pPr>
      <w:r w:rsidRPr="009B5F24">
        <w:rPr>
          <w:rFonts w:eastAsiaTheme="minorEastAsia"/>
          <w:rtl/>
        </w:rPr>
        <w:t>35</w:t>
      </w:r>
      <w:r w:rsidRPr="00790D70">
        <w:rPr>
          <w:rFonts w:eastAsiaTheme="minorEastAsia"/>
          <w:rtl/>
        </w:rPr>
        <w:t>-</w:t>
      </w:r>
      <w:r w:rsidRPr="00790D70">
        <w:rPr>
          <w:rFonts w:eastAsiaTheme="minorEastAsia"/>
          <w:rtl/>
        </w:rPr>
        <w:tab/>
        <w:t xml:space="preserve">تطلب اللجنة إلى الدولة الطرف أن تقدم، بحلول </w:t>
      </w:r>
      <w:r w:rsidRPr="009B5F24">
        <w:rPr>
          <w:rFonts w:eastAsiaTheme="minorEastAsia"/>
          <w:rtl/>
        </w:rPr>
        <w:t>13</w:t>
      </w:r>
      <w:r w:rsidRPr="00790D70">
        <w:rPr>
          <w:rFonts w:eastAsiaTheme="minorEastAsia"/>
          <w:rtl/>
        </w:rPr>
        <w:t xml:space="preserve"> أيار/مايو </w:t>
      </w:r>
      <w:r w:rsidRPr="009B5F24">
        <w:rPr>
          <w:rFonts w:eastAsiaTheme="minorEastAsia"/>
          <w:rtl/>
        </w:rPr>
        <w:t>2023</w:t>
      </w:r>
      <w:r w:rsidRPr="00790D70">
        <w:rPr>
          <w:rFonts w:eastAsiaTheme="minorEastAsia"/>
          <w:rtl/>
        </w:rPr>
        <w:t>، معلومات عن متابعتها توصيات اللجنة بشأن الحبس الانفرادي في إطار الاحتجاز السابق للمحاكمة</w:t>
      </w:r>
      <w:r>
        <w:rPr>
          <w:rFonts w:eastAsiaTheme="minorEastAsia"/>
          <w:rtl/>
        </w:rPr>
        <w:t xml:space="preserve">، </w:t>
      </w:r>
      <w:r w:rsidRPr="00790D70">
        <w:rPr>
          <w:rFonts w:eastAsiaTheme="minorEastAsia"/>
          <w:rtl/>
        </w:rPr>
        <w:t xml:space="preserve">والعنف الجنسي </w:t>
      </w:r>
      <w:proofErr w:type="spellStart"/>
      <w:r w:rsidRPr="00790D70">
        <w:rPr>
          <w:rFonts w:eastAsiaTheme="minorEastAsia"/>
          <w:rtl/>
        </w:rPr>
        <w:t>والجنساني</w:t>
      </w:r>
      <w:proofErr w:type="spellEnd"/>
      <w:r w:rsidRPr="00790D70">
        <w:rPr>
          <w:rFonts w:eastAsiaTheme="minorEastAsia"/>
          <w:rtl/>
        </w:rPr>
        <w:t xml:space="preserve">، وضمانات عدم الإعادة القسرية، على النحو الوارد في الفقرات </w:t>
      </w:r>
      <w:r w:rsidRPr="009B5F24">
        <w:rPr>
          <w:rFonts w:eastAsiaTheme="minorEastAsia"/>
          <w:rtl/>
        </w:rPr>
        <w:t>14</w:t>
      </w:r>
      <w:r w:rsidRPr="00790D70">
        <w:rPr>
          <w:rFonts w:eastAsiaTheme="minorEastAsia"/>
          <w:rtl/>
        </w:rPr>
        <w:t>(ج) و</w:t>
      </w:r>
      <w:r w:rsidRPr="009B5F24">
        <w:rPr>
          <w:rFonts w:eastAsiaTheme="minorEastAsia"/>
          <w:rtl/>
        </w:rPr>
        <w:t>20</w:t>
      </w:r>
      <w:r w:rsidRPr="00790D70">
        <w:rPr>
          <w:rFonts w:eastAsiaTheme="minorEastAsia"/>
          <w:rtl/>
        </w:rPr>
        <w:t>(أ) و</w:t>
      </w:r>
      <w:r w:rsidRPr="009B5F24">
        <w:rPr>
          <w:rFonts w:eastAsiaTheme="minorEastAsia"/>
          <w:rtl/>
        </w:rPr>
        <w:t>32</w:t>
      </w:r>
      <w:r w:rsidRPr="00790D70">
        <w:rPr>
          <w:rFonts w:eastAsiaTheme="minorEastAsia"/>
          <w:rtl/>
        </w:rPr>
        <w:t>(أ) على التوالي من هذه الوثيقة.</w:t>
      </w:r>
    </w:p>
    <w:p w14:paraId="782D4D7F" w14:textId="77777777" w:rsidR="00790D70" w:rsidRPr="009B5F24" w:rsidRDefault="00790D70" w:rsidP="00790D70">
      <w:pPr>
        <w:pStyle w:val="H23GA"/>
        <w:rPr>
          <w:lang w:eastAsia="zh-TW" w:bidi="en-GB"/>
        </w:rPr>
      </w:pPr>
      <w:r w:rsidRPr="009B5F24">
        <w:rPr>
          <w:rtl/>
        </w:rPr>
        <w:lastRenderedPageBreak/>
        <w:tab/>
      </w:r>
      <w:r w:rsidRPr="009B5F24">
        <w:rPr>
          <w:rtl/>
        </w:rPr>
        <w:tab/>
        <w:t>مسائل أخرى</w:t>
      </w:r>
    </w:p>
    <w:p w14:paraId="7D02EBD5" w14:textId="77777777" w:rsidR="00790D70" w:rsidRPr="00790D70" w:rsidRDefault="00790D70" w:rsidP="00790D70">
      <w:pPr>
        <w:pStyle w:val="SingleTxtGA"/>
        <w:rPr>
          <w:rFonts w:eastAsiaTheme="minorEastAsia"/>
          <w:lang w:val="ar-SA" w:eastAsia="zh-TW" w:bidi="en-GB"/>
        </w:rPr>
      </w:pPr>
      <w:r w:rsidRPr="009B5F24">
        <w:rPr>
          <w:rFonts w:eastAsiaTheme="minorEastAsia"/>
          <w:rtl/>
        </w:rPr>
        <w:t>36</w:t>
      </w:r>
      <w:r w:rsidRPr="00790D70">
        <w:rPr>
          <w:rFonts w:eastAsiaTheme="minorEastAsia"/>
          <w:rtl/>
        </w:rPr>
        <w:t>-</w:t>
      </w:r>
      <w:r w:rsidRPr="00790D70">
        <w:rPr>
          <w:rFonts w:eastAsiaTheme="minorEastAsia"/>
          <w:rtl/>
        </w:rPr>
        <w:tab/>
        <w:t>تدعو اللجنة الدولة الطرف إلى النظر في التصديق على معاهدات الأمم المتحدة لحقوق الإنسان التي لم تنضم إليها بعد، ومنها بالأخص الاتفاقية الدولية لحماية جميع الأشخاص من الاختفاء القسري، والاتفاقية الدولية لحماية حقوق جميع العمال المهاجرين وأفراد أسرهم.</w:t>
      </w:r>
    </w:p>
    <w:p w14:paraId="741E3D64" w14:textId="48035D0B" w:rsidR="00790D70" w:rsidRPr="00790D70" w:rsidRDefault="00790D70" w:rsidP="00790D70">
      <w:pPr>
        <w:pStyle w:val="SingleTxtGA"/>
        <w:rPr>
          <w:rFonts w:eastAsiaTheme="minorEastAsia"/>
          <w:lang w:val="en-US" w:eastAsia="zh-TW"/>
        </w:rPr>
      </w:pPr>
      <w:r w:rsidRPr="009B5F24">
        <w:rPr>
          <w:rFonts w:eastAsiaTheme="minorEastAsia"/>
          <w:rtl/>
        </w:rPr>
        <w:t>37</w:t>
      </w:r>
      <w:r w:rsidRPr="00790D70">
        <w:rPr>
          <w:rFonts w:eastAsiaTheme="minorEastAsia"/>
          <w:rtl/>
        </w:rPr>
        <w:t>-</w:t>
      </w:r>
      <w:r w:rsidRPr="00790D70">
        <w:rPr>
          <w:rFonts w:eastAsiaTheme="minorEastAsia"/>
          <w:rtl/>
        </w:rPr>
        <w:tab/>
        <w:t>ويُطلب إلى الدولة الطرف أن تنشر على نطاق واسع التقرير المقدم إلى اللجنة وهذه الملاحظات الختامية، باللغات المناسبة، وذلك عن طريق المواقع الرسمية على الإنترنت ووسائط الإعلام والمنظمات غير الحكومية.</w:t>
      </w:r>
    </w:p>
    <w:p w14:paraId="47261EA3" w14:textId="42C5EC4E" w:rsidR="00790D70" w:rsidRDefault="00790D70" w:rsidP="00790D70">
      <w:pPr>
        <w:pStyle w:val="SingleTxtGA"/>
        <w:rPr>
          <w:rFonts w:eastAsiaTheme="minorEastAsia"/>
          <w:lang w:val="en-US" w:eastAsia="zh-TW" w:bidi="en-GB"/>
        </w:rPr>
      </w:pPr>
      <w:r w:rsidRPr="009B5F24">
        <w:rPr>
          <w:rFonts w:eastAsiaTheme="minorEastAsia"/>
          <w:rtl/>
        </w:rPr>
        <w:t>38</w:t>
      </w:r>
      <w:r w:rsidRPr="00790D70">
        <w:rPr>
          <w:rFonts w:eastAsiaTheme="minorEastAsia"/>
          <w:rtl/>
        </w:rPr>
        <w:t>-</w:t>
      </w:r>
      <w:r w:rsidRPr="00790D70">
        <w:rPr>
          <w:rFonts w:eastAsiaTheme="minorEastAsia"/>
          <w:rtl/>
        </w:rPr>
        <w:tab/>
        <w:t xml:space="preserve">وتطلب اللجنة إلى الدولة الطرف أن تقدم تقريرها الدوري المقبل، الذي سيكون تقريرها الخامس، بحلول </w:t>
      </w:r>
      <w:r w:rsidRPr="009B5F24">
        <w:rPr>
          <w:rFonts w:eastAsiaTheme="minorEastAsia"/>
          <w:rtl/>
        </w:rPr>
        <w:t>13</w:t>
      </w:r>
      <w:r w:rsidRPr="00790D70">
        <w:rPr>
          <w:rFonts w:eastAsiaTheme="minorEastAsia"/>
          <w:rtl/>
        </w:rPr>
        <w:t xml:space="preserve"> أيار/مايو </w:t>
      </w:r>
      <w:r w:rsidRPr="009B5F24">
        <w:rPr>
          <w:rFonts w:eastAsiaTheme="minorEastAsia"/>
          <w:rtl/>
        </w:rPr>
        <w:t>2026</w:t>
      </w:r>
      <w:r w:rsidRPr="00790D70">
        <w:rPr>
          <w:rFonts w:eastAsiaTheme="minorEastAsia"/>
          <w:rtl/>
        </w:rPr>
        <w:t xml:space="preserve">. ولهذا الغرض، وبالنظر إلى أن الدولة الطرف وافقت على تقديم تقاريرها إلى اللجنة عملاً بالإجراء المبسط لتقديم التقارير، فإن اللجنة ستحيل إليها، في الوقت المناسب، قائمة مسائل قبل تقديم تقريرها. وستشكل ردود الدولة الطرف على قائمة المسائل هذه تقريرها الدوري الخامس بموجب المادة </w:t>
      </w:r>
      <w:r w:rsidRPr="009B5F24">
        <w:rPr>
          <w:rFonts w:eastAsiaTheme="minorEastAsia"/>
          <w:rtl/>
        </w:rPr>
        <w:t>19</w:t>
      </w:r>
      <w:r w:rsidRPr="00790D70">
        <w:rPr>
          <w:rFonts w:eastAsiaTheme="minorEastAsia"/>
          <w:rtl/>
        </w:rPr>
        <w:t xml:space="preserve"> من الاتفاقية.</w:t>
      </w:r>
    </w:p>
    <w:p w14:paraId="0575BA97" w14:textId="1083DBEB" w:rsidR="00012D7F" w:rsidRPr="00012D7F" w:rsidRDefault="00012D7F" w:rsidP="00012D7F">
      <w:pPr>
        <w:pStyle w:val="SingleTxtGA"/>
        <w:jc w:val="center"/>
        <w:rPr>
          <w:u w:val="single"/>
          <w:rtl/>
          <w:lang w:eastAsia="zh-TW"/>
        </w:rPr>
      </w:pPr>
      <w:r>
        <w:rPr>
          <w:u w:val="single"/>
          <w:rtl/>
          <w:lang w:eastAsia="zh-TW"/>
        </w:rPr>
        <w:tab/>
      </w:r>
      <w:r>
        <w:rPr>
          <w:u w:val="single"/>
          <w:rtl/>
          <w:lang w:eastAsia="zh-TW"/>
        </w:rPr>
        <w:tab/>
      </w:r>
      <w:r>
        <w:rPr>
          <w:u w:val="single"/>
          <w:rtl/>
          <w:lang w:eastAsia="zh-TW"/>
        </w:rPr>
        <w:tab/>
      </w:r>
      <w:bookmarkEnd w:id="0"/>
    </w:p>
    <w:sectPr w:rsidR="00012D7F" w:rsidRPr="00012D7F" w:rsidSect="004F510D">
      <w:headerReference w:type="even" r:id="rId9"/>
      <w:headerReference w:type="default" r:id="rId10"/>
      <w:footerReference w:type="even" r:id="rId11"/>
      <w:footerReference w:type="default" r:id="rId12"/>
      <w:headerReference w:type="first" r:id="rId13"/>
      <w:footerReference w:type="first" r:id="rId14"/>
      <w:endnotePr>
        <w:numFmt w:val="decimal"/>
      </w:endnotePr>
      <w:pgSz w:w="11907" w:h="16840" w:code="9"/>
      <w:pgMar w:top="1361" w:right="1134" w:bottom="1134" w:left="1134" w:header="851" w:footer="567" w:gutter="0"/>
      <w:cols w:space="720"/>
      <w:titlePg/>
      <w:bidi/>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51A27B6B" w14:textId="77777777" w:rsidR="002A6E24" w:rsidRPr="002901D9" w:rsidRDefault="002A6E24" w:rsidP="00874514">
      <w:pPr>
        <w:spacing w:after="60" w:line="240" w:lineRule="auto"/>
        <w:ind w:left="57"/>
        <w:rPr>
          <w:i/>
          <w:iCs/>
        </w:rPr>
      </w:pPr>
      <w:r>
        <w:rPr>
          <w:rFonts w:hint="cs"/>
          <w:i/>
          <w:iCs/>
          <w:rtl/>
        </w:rPr>
        <w:t>الحواشي</w:t>
      </w:r>
    </w:p>
  </w:endnote>
  <w:endnote w:type="continuationSeparator" w:id="0">
    <w:p w14:paraId="14315B26" w14:textId="77777777" w:rsidR="002A6E24" w:rsidRDefault="002A6E24" w:rsidP="00656392">
      <w:pPr>
        <w:spacing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Simplified Arabic">
    <w:panose1 w:val="02020603050405020304"/>
    <w:charset w:val="00"/>
    <w:family w:val="roman"/>
    <w:pitch w:val="variable"/>
    <w:sig w:usb0="00002003" w:usb1="80000000" w:usb2="00000008" w:usb3="00000000" w:csb0="00000041" w:csb1="00000000"/>
  </w:font>
  <w:font w:name="Traditional Arabic">
    <w:panose1 w:val="02020603050405020304"/>
    <w:charset w:val="00"/>
    <w:family w:val="roman"/>
    <w:pitch w:val="variable"/>
    <w:sig w:usb0="00002003" w:usb1="80000000" w:usb2="00000008" w:usb3="00000000" w:csb0="00000041" w:csb1="00000000"/>
  </w:font>
  <w:font w:name="Calibri">
    <w:panose1 w:val="020F0502020204030204"/>
    <w:charset w:val="00"/>
    <w:family w:val="swiss"/>
    <w:pitch w:val="variable"/>
    <w:sig w:usb0="E4002EFF" w:usb1="C0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PMingLiU">
    <w:altName w:val="新細明體"/>
    <w:panose1 w:val="02020500000000000000"/>
    <w:charset w:val="88"/>
    <w:family w:val="roman"/>
    <w:pitch w:val="variable"/>
    <w:sig w:usb0="A00002FF" w:usb1="28CFFCFA" w:usb2="00000016" w:usb3="00000000" w:csb0="00100001" w:csb1="00000000"/>
  </w:font>
  <w:font w:name="Times New Roman Bold">
    <w:altName w:val="Times New Roman"/>
    <w:panose1 w:val="02020803070505020304"/>
    <w:charset w:val="00"/>
    <w:family w:val="roman"/>
    <w:notTrueType/>
    <w:pitch w:val="default"/>
  </w:font>
  <w:font w:name="DengXian">
    <w:altName w:val="等线"/>
    <w:panose1 w:val="02010600030101010101"/>
    <w:charset w:val="86"/>
    <w:family w:val="auto"/>
    <w:pitch w:val="variable"/>
    <w:sig w:usb0="A00002BF" w:usb1="38CF7CFA" w:usb2="00000016" w:usb3="00000000" w:csb0="0004000F" w:csb1="00000000"/>
  </w:font>
  <w:font w:name="SimSun">
    <w:altName w:val="宋体"/>
    <w:panose1 w:val="02010600030101010101"/>
    <w:charset w:val="86"/>
    <w:family w:val="auto"/>
    <w:pitch w:val="variable"/>
    <w:sig w:usb0="00000003" w:usb1="288F0000" w:usb2="00000016" w:usb3="00000000" w:csb0="00040001" w:csb1="00000000"/>
  </w:font>
  <w:font w:name="Cambria">
    <w:panose1 w:val="02040503050406030204"/>
    <w:charset w:val="00"/>
    <w:family w:val="roman"/>
    <w:pitch w:val="variable"/>
    <w:sig w:usb0="E00006FF" w:usb1="420024FF" w:usb2="02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7F11D36B" w14:textId="46E6B724" w:rsidR="00D00CAA" w:rsidRPr="00D00CAA" w:rsidRDefault="00D00CAA" w:rsidP="00D00CAA">
    <w:pPr>
      <w:pStyle w:val="Footer"/>
      <w:tabs>
        <w:tab w:val="right" w:pos="9638"/>
      </w:tabs>
      <w:rPr>
        <w:b/>
        <w:sz w:val="18"/>
        <w:lang w:val="en-US"/>
      </w:rPr>
    </w:pPr>
    <w:r>
      <w:rPr>
        <w:lang w:val="en-US"/>
      </w:rPr>
      <w:t>GE.22-08855</w:t>
    </w:r>
    <w:r>
      <w:rPr>
        <w:lang w:val="en-US"/>
      </w:rPr>
      <w:tab/>
    </w:r>
    <w:r w:rsidRPr="00D00CAA">
      <w:rPr>
        <w:b/>
        <w:sz w:val="18"/>
        <w:lang w:val="en-US"/>
      </w:rPr>
      <w:fldChar w:fldCharType="begin"/>
    </w:r>
    <w:r w:rsidRPr="00D00CAA">
      <w:rPr>
        <w:b/>
        <w:sz w:val="18"/>
        <w:lang w:val="en-US"/>
      </w:rPr>
      <w:instrText xml:space="preserve"> PAGE  \* MERGEFORMAT </w:instrText>
    </w:r>
    <w:r w:rsidRPr="00D00CAA">
      <w:rPr>
        <w:b/>
        <w:sz w:val="18"/>
        <w:lang w:val="en-US"/>
      </w:rPr>
      <w:fldChar w:fldCharType="separate"/>
    </w:r>
    <w:r w:rsidRPr="00D00CAA">
      <w:rPr>
        <w:b/>
        <w:noProof/>
        <w:sz w:val="18"/>
        <w:lang w:val="en-US"/>
      </w:rPr>
      <w:t>2</w:t>
    </w:r>
    <w:r w:rsidRPr="00D00CAA">
      <w:rPr>
        <w:b/>
        <w:sz w:val="18"/>
        <w:lang w:val="en-US"/>
      </w:rPr>
      <w:fldChar w:fldCharType="end"/>
    </w: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5DFE2572" w14:textId="446F1C92" w:rsidR="006959B0" w:rsidRPr="00D00CAA" w:rsidRDefault="00D00CAA" w:rsidP="00D00CAA">
    <w:pPr>
      <w:pStyle w:val="Footer"/>
      <w:tabs>
        <w:tab w:val="right" w:pos="9638"/>
      </w:tabs>
      <w:rPr>
        <w:lang w:val="en-US"/>
      </w:rPr>
    </w:pPr>
    <w:r>
      <w:rPr>
        <w:b/>
        <w:sz w:val="18"/>
        <w:lang w:val="en-US"/>
      </w:rPr>
      <w:fldChar w:fldCharType="begin"/>
    </w:r>
    <w:r>
      <w:rPr>
        <w:b/>
        <w:sz w:val="18"/>
        <w:lang w:val="en-US"/>
      </w:rPr>
      <w:instrText xml:space="preserve"> PAGE  \* MERGEFORMAT </w:instrText>
    </w:r>
    <w:r>
      <w:rPr>
        <w:b/>
        <w:sz w:val="18"/>
        <w:lang w:val="en-US"/>
      </w:rPr>
      <w:fldChar w:fldCharType="separate"/>
    </w:r>
    <w:r>
      <w:rPr>
        <w:b/>
        <w:noProof/>
        <w:sz w:val="18"/>
        <w:lang w:val="en-US"/>
      </w:rPr>
      <w:t>3</w:t>
    </w:r>
    <w:r>
      <w:rPr>
        <w:b/>
        <w:sz w:val="18"/>
        <w:lang w:val="en-US"/>
      </w:rPr>
      <w:fldChar w:fldCharType="end"/>
    </w:r>
    <w:r>
      <w:rPr>
        <w:b/>
        <w:sz w:val="18"/>
        <w:lang w:val="en-US"/>
      </w:rPr>
      <w:tab/>
    </w:r>
    <w:r>
      <w:rPr>
        <w:lang w:val="en-US"/>
      </w:rPr>
      <w:t>GE.22-08855</w:t>
    </w: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19F3CCA7" w14:textId="10F7E6EE" w:rsidR="00261289" w:rsidRPr="00D00CAA" w:rsidRDefault="00D00CAA" w:rsidP="00D00CAA">
    <w:pPr>
      <w:pStyle w:val="Footer"/>
      <w:spacing w:before="600"/>
      <w:ind w:left="567"/>
      <w:jc w:val="right"/>
      <w:rPr>
        <w:sz w:val="20"/>
        <w:lang w:val="en-US"/>
      </w:rPr>
    </w:pPr>
    <w:r>
      <w:rPr>
        <w:sz w:val="20"/>
        <w:lang w:val="en-US"/>
      </w:rPr>
      <w:t>GE.</w:t>
    </w:r>
    <w:r w:rsidR="00F62057">
      <w:rPr>
        <w:noProof/>
      </w:rPr>
      <w:drawing>
        <wp:anchor distT="0" distB="0" distL="114300" distR="114300" simplePos="0" relativeHeight="251658240" behindDoc="1" locked="1" layoutInCell="0" allowOverlap="1" wp14:anchorId="288E14AB" wp14:editId="093854E0">
          <wp:simplePos x="0" y="0"/>
          <wp:positionH relativeFrom="margin">
            <wp:posOffset>719455</wp:posOffset>
          </wp:positionH>
          <wp:positionV relativeFrom="margin">
            <wp:posOffset>9144000</wp:posOffset>
          </wp:positionV>
          <wp:extent cx="1162685" cy="325120"/>
          <wp:effectExtent l="0" t="0" r="0" b="0"/>
          <wp:wrapTight wrapText="bothSides">
            <wp:wrapPolygon edited="0">
              <wp:start x="0" y="0"/>
              <wp:lineTo x="0" y="20250"/>
              <wp:lineTo x="21234" y="20250"/>
              <wp:lineTo x="21234" y="0"/>
              <wp:lineTo x="0" y="0"/>
            </wp:wrapPolygon>
          </wp:wrapTight>
          <wp:docPr id="1" name="Picture 1" descr="يُرجى إعادة التدوير"/>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descr="الرجاء_إعادة_التدوير"/>
                  <pic:cNvPicPr>
                    <a:picLocks noChangeAspect="1" noChangeArrowheads="1"/>
                  </pic:cNvPicPr>
                </pic:nvPicPr>
                <pic:blipFill>
                  <a:blip r:embed="rId1">
                    <a:extLst>
                      <a:ext uri="{28A0092B-C50C-407E-A947-70E740481C1C}">
                        <a14:useLocalDpi xmlns:a14="http://schemas.microsoft.com/office/drawing/2010/main" val="0"/>
                      </a:ext>
                    </a:extLst>
                  </a:blip>
                  <a:srcRect t="4395" b="4395"/>
                  <a:stretch>
                    <a:fillRect/>
                  </a:stretch>
                </pic:blipFill>
                <pic:spPr bwMode="auto">
                  <a:xfrm>
                    <a:off x="0" y="0"/>
                    <a:ext cx="1162685" cy="325120"/>
                  </a:xfrm>
                  <a:prstGeom prst="rect">
                    <a:avLst/>
                  </a:prstGeom>
                  <a:noFill/>
                </pic:spPr>
              </pic:pic>
            </a:graphicData>
          </a:graphic>
          <wp14:sizeRelH relativeFrom="page">
            <wp14:pctWidth>0</wp14:pctWidth>
          </wp14:sizeRelH>
          <wp14:sizeRelV relativeFrom="page">
            <wp14:pctHeight>0</wp14:pctHeight>
          </wp14:sizeRelV>
        </wp:anchor>
      </w:drawing>
    </w:r>
    <w:r>
      <w:rPr>
        <w:sz w:val="20"/>
        <w:lang w:val="en-US"/>
      </w:rPr>
      <w:t>22-08855 (A)</w:t>
    </w:r>
    <w:r>
      <w:rPr>
        <w:noProof/>
        <w:sz w:val="20"/>
        <w:lang w:val="en-US"/>
      </w:rPr>
      <w:drawing>
        <wp:anchor distT="0" distB="0" distL="114300" distR="114300" simplePos="0" relativeHeight="251659264" behindDoc="0" locked="0" layoutInCell="1" allowOverlap="1" wp14:anchorId="5748EC8F" wp14:editId="51588CB7">
          <wp:simplePos x="0" y="0"/>
          <wp:positionH relativeFrom="margin">
            <wp:posOffset>0</wp:posOffset>
          </wp:positionH>
          <wp:positionV relativeFrom="margin">
            <wp:posOffset>8891905</wp:posOffset>
          </wp:positionV>
          <wp:extent cx="561975" cy="561975"/>
          <wp:effectExtent l="0" t="0" r="9525" b="9525"/>
          <wp:wrapNone/>
          <wp:docPr id="3" name="Picture 1" descr="امسح الرمز لتصفح الوثيقة أو تحميلها"/>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 name="Picture 1" descr="امسح الرمز لتصفح الوثيقة أو تحميلها"/>
                  <pic:cNvPicPr>
                    <a:picLocks noChangeAspect="1" noChangeArrowheads="1"/>
                  </pic:cNvPicPr>
                </pic:nvPicPr>
                <pic:blipFill>
                  <a:blip r:embed="rId2">
                    <a:extLst>
                      <a:ext uri="{28A0092B-C50C-407E-A947-70E740481C1C}">
                        <a14:useLocalDpi xmlns:a14="http://schemas.microsoft.com/office/drawing/2010/main" val="0"/>
                      </a:ext>
                    </a:extLst>
                  </a:blip>
                  <a:srcRect/>
                  <a:stretch>
                    <a:fillRect/>
                  </a:stretch>
                </pic:blipFill>
                <pic:spPr bwMode="auto">
                  <a:xfrm>
                    <a:off x="0" y="0"/>
                    <a:ext cx="561975" cy="561975"/>
                  </a:xfrm>
                  <a:prstGeom prst="rect">
                    <a:avLst/>
                  </a:prstGeom>
                  <a:noFill/>
                  <a:ln>
                    <a:noFill/>
                  </a:ln>
                </pic:spPr>
              </pic:pic>
            </a:graphicData>
          </a:graphic>
          <wp14:sizeRelH relativeFrom="page">
            <wp14:pctWidth>0</wp14:pctWidth>
          </wp14:sizeRelH>
          <wp14:sizeRelV relativeFrom="page">
            <wp14:pctHeight>0</wp14:pctHeight>
          </wp14:sizeRelV>
        </wp:anchor>
      </w:drawing>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4CC5901E" w14:textId="77777777" w:rsidR="002A6E24" w:rsidRPr="00C111C6" w:rsidRDefault="002A6E24" w:rsidP="00C111C6">
      <w:pPr>
        <w:pStyle w:val="Footer"/>
        <w:tabs>
          <w:tab w:val="left" w:pos="2154"/>
        </w:tabs>
        <w:bidi/>
        <w:spacing w:after="80"/>
        <w:ind w:left="680"/>
        <w:rPr>
          <w:rFonts w:cs="Times New Roman"/>
          <w:sz w:val="20"/>
          <w:szCs w:val="20"/>
          <w:u w:val="single"/>
        </w:rPr>
      </w:pPr>
      <w:r>
        <w:rPr>
          <w:rFonts w:cs="Times New Roman"/>
          <w:sz w:val="20"/>
          <w:szCs w:val="20"/>
          <w:u w:val="single"/>
          <w:rtl/>
        </w:rPr>
        <w:tab/>
      </w:r>
    </w:p>
  </w:footnote>
  <w:footnote w:type="continuationSeparator" w:id="0">
    <w:p w14:paraId="14DA7902" w14:textId="77777777" w:rsidR="002A6E24" w:rsidRDefault="002A6E24" w:rsidP="00656392">
      <w:pPr>
        <w:spacing w:line="240" w:lineRule="auto"/>
      </w:pPr>
      <w:r>
        <w:continuationSeparator/>
      </w:r>
    </w:p>
  </w:footnote>
  <w:footnote w:id="1">
    <w:p w14:paraId="6E69A190" w14:textId="6772B712" w:rsidR="00790D70" w:rsidRPr="005D04CF" w:rsidRDefault="00790D70" w:rsidP="00790D70">
      <w:pPr>
        <w:pStyle w:val="FootnoteText1"/>
        <w:rPr>
          <w:rFonts w:eastAsiaTheme="minorEastAsia"/>
          <w:rtl/>
        </w:rPr>
      </w:pPr>
      <w:r w:rsidRPr="005D04CF">
        <w:rPr>
          <w:rFonts w:eastAsiaTheme="minorEastAsia"/>
          <w:sz w:val="22"/>
          <w:szCs w:val="22"/>
          <w:rtl/>
        </w:rPr>
        <w:t>*</w:t>
      </w:r>
      <w:r w:rsidRPr="005D04CF">
        <w:rPr>
          <w:rFonts w:eastAsiaTheme="minorEastAsia"/>
          <w:sz w:val="22"/>
          <w:szCs w:val="22"/>
          <w:rtl/>
        </w:rPr>
        <w:tab/>
      </w:r>
      <w:r w:rsidRPr="005D04CF">
        <w:rPr>
          <w:rFonts w:eastAsiaTheme="minorEastAsia"/>
          <w:rtl/>
        </w:rPr>
        <w:t>اعتمدتها اللجنة في دورتها الثالثة والسبعين (19 نيسان/أبريل -</w:t>
      </w:r>
      <w:r w:rsidR="00C95A04" w:rsidRPr="005D04CF">
        <w:rPr>
          <w:rFonts w:eastAsiaTheme="minorEastAsia" w:hint="cs"/>
          <w:rtl/>
        </w:rPr>
        <w:t xml:space="preserve"> </w:t>
      </w:r>
      <w:r w:rsidRPr="005D04CF">
        <w:rPr>
          <w:rFonts w:eastAsiaTheme="minorEastAsia"/>
          <w:rtl/>
        </w:rPr>
        <w:t xml:space="preserve">13 أيار/مايو 2022). </w:t>
      </w:r>
    </w:p>
  </w:footnote>
  <w:footnote w:id="2">
    <w:p w14:paraId="70C7A9C9" w14:textId="15B17632" w:rsidR="00790D70" w:rsidRPr="005D04CF" w:rsidRDefault="00790D70" w:rsidP="00790D70">
      <w:pPr>
        <w:pStyle w:val="FootnoteText1"/>
        <w:textDirection w:val="tbRlV"/>
        <w:rPr>
          <w:rFonts w:eastAsiaTheme="minorEastAsia"/>
          <w:lang w:eastAsia="zh-TW" w:bidi="en-GB"/>
        </w:rPr>
      </w:pPr>
      <w:r w:rsidRPr="005D04CF">
        <w:rPr>
          <w:rFonts w:eastAsiaTheme="minorEastAsia"/>
          <w:rtl/>
        </w:rPr>
        <w:t>(</w:t>
      </w:r>
      <w:r w:rsidRPr="005D04CF">
        <w:rPr>
          <w:rStyle w:val="FootnoteReference"/>
          <w:rFonts w:eastAsiaTheme="minorEastAsia"/>
          <w:vertAlign w:val="baseline"/>
        </w:rPr>
        <w:footnoteRef/>
      </w:r>
      <w:r w:rsidRPr="005D04CF">
        <w:rPr>
          <w:rStyle w:val="FootnoteReference"/>
          <w:rFonts w:eastAsiaTheme="minorEastAsia"/>
          <w:vertAlign w:val="baseline"/>
          <w:rtl/>
        </w:rPr>
        <w:t>)</w:t>
      </w:r>
      <w:r w:rsidRPr="005D04CF">
        <w:rPr>
          <w:rFonts w:eastAsiaTheme="minorEastAsia"/>
        </w:rPr>
        <w:tab/>
      </w:r>
      <w:hyperlink r:id="rId1" w:history="1">
        <w:r w:rsidRPr="005D04CF">
          <w:rPr>
            <w:rStyle w:val="Hyperlink"/>
          </w:rPr>
          <w:t>CAT/C/ISL/4</w:t>
        </w:r>
      </w:hyperlink>
      <w:r w:rsidRPr="005D04CF">
        <w:rPr>
          <w:rFonts w:eastAsiaTheme="minorEastAsia"/>
          <w:rtl/>
        </w:rPr>
        <w:t xml:space="preserve">. </w:t>
      </w:r>
    </w:p>
  </w:footnote>
  <w:footnote w:id="3">
    <w:p w14:paraId="724D1EF1" w14:textId="54101449" w:rsidR="00790D70" w:rsidRPr="005D04CF" w:rsidRDefault="00790D70" w:rsidP="00790D70">
      <w:pPr>
        <w:pStyle w:val="FootnoteText1"/>
        <w:textDirection w:val="tbRlV"/>
        <w:rPr>
          <w:rFonts w:eastAsiaTheme="minorEastAsia"/>
          <w:lang w:val="ar-SA" w:eastAsia="zh-TW" w:bidi="en-GB"/>
        </w:rPr>
      </w:pPr>
      <w:r w:rsidRPr="005D04CF">
        <w:rPr>
          <w:rFonts w:eastAsiaTheme="minorEastAsia"/>
          <w:rtl/>
        </w:rPr>
        <w:t>(</w:t>
      </w:r>
      <w:r w:rsidRPr="005D04CF">
        <w:rPr>
          <w:rStyle w:val="FootnoteReference"/>
          <w:rFonts w:eastAsiaTheme="minorEastAsia"/>
          <w:vertAlign w:val="baseline"/>
        </w:rPr>
        <w:footnoteRef/>
      </w:r>
      <w:r w:rsidRPr="005D04CF">
        <w:rPr>
          <w:rStyle w:val="FootnoteReference"/>
          <w:rFonts w:eastAsiaTheme="minorEastAsia"/>
          <w:vertAlign w:val="baseline"/>
          <w:rtl/>
        </w:rPr>
        <w:t>)</w:t>
      </w:r>
      <w:r w:rsidRPr="005D04CF">
        <w:rPr>
          <w:rFonts w:eastAsiaTheme="minorEastAsia"/>
          <w:rtl/>
        </w:rPr>
        <w:tab/>
        <w:t xml:space="preserve">انظر </w:t>
      </w:r>
      <w:hyperlink r:id="rId2" w:history="1">
        <w:r w:rsidRPr="005D04CF">
          <w:rPr>
            <w:rStyle w:val="Hyperlink"/>
          </w:rPr>
          <w:t>CAT/C/SR.1879</w:t>
        </w:r>
      </w:hyperlink>
      <w:r w:rsidRPr="005D04CF">
        <w:rPr>
          <w:rFonts w:eastAsiaTheme="minorEastAsia"/>
          <w:rtl/>
        </w:rPr>
        <w:t xml:space="preserve"> و</w:t>
      </w:r>
      <w:hyperlink r:id="rId3" w:history="1">
        <w:r w:rsidRPr="005D04CF">
          <w:rPr>
            <w:rStyle w:val="Hyperlink"/>
          </w:rPr>
          <w:t>CAT/C/SR.1882</w:t>
        </w:r>
      </w:hyperlink>
      <w:r w:rsidRPr="005D04CF">
        <w:rPr>
          <w:rFonts w:eastAsiaTheme="minorEastAsia"/>
          <w:rtl/>
        </w:rPr>
        <w:t xml:space="preserve">. </w:t>
      </w:r>
    </w:p>
  </w:footnote>
  <w:footnote w:id="4">
    <w:p w14:paraId="199D7FCC" w14:textId="20DF3D8B" w:rsidR="00790D70" w:rsidRPr="005D04CF" w:rsidRDefault="00790D70" w:rsidP="00790D70">
      <w:pPr>
        <w:pStyle w:val="FootnoteText1"/>
        <w:textDirection w:val="tbRlV"/>
        <w:rPr>
          <w:rFonts w:eastAsiaTheme="minorEastAsia"/>
          <w:lang w:val="ar-SA" w:eastAsia="zh-TW" w:bidi="en-GB"/>
        </w:rPr>
      </w:pPr>
      <w:r w:rsidRPr="005D04CF">
        <w:rPr>
          <w:rFonts w:eastAsiaTheme="minorEastAsia"/>
          <w:rtl/>
        </w:rPr>
        <w:t>(</w:t>
      </w:r>
      <w:r w:rsidRPr="005D04CF">
        <w:rPr>
          <w:rStyle w:val="FootnoteReference"/>
          <w:rFonts w:eastAsiaTheme="minorEastAsia"/>
          <w:vertAlign w:val="baseline"/>
        </w:rPr>
        <w:footnoteRef/>
      </w:r>
      <w:r w:rsidRPr="005D04CF">
        <w:rPr>
          <w:rStyle w:val="FootnoteReference"/>
          <w:rFonts w:eastAsiaTheme="minorEastAsia"/>
          <w:vertAlign w:val="baseline"/>
          <w:rtl/>
        </w:rPr>
        <w:t>)</w:t>
      </w:r>
      <w:r w:rsidRPr="005D04CF">
        <w:rPr>
          <w:rFonts w:eastAsiaTheme="minorEastAsia"/>
          <w:rtl/>
        </w:rPr>
        <w:tab/>
      </w:r>
      <w:hyperlink r:id="rId4" w:history="1">
        <w:r w:rsidRPr="005D04CF">
          <w:rPr>
            <w:rStyle w:val="Hyperlink"/>
          </w:rPr>
          <w:t>CAT/C/ISL/CO/3</w:t>
        </w:r>
      </w:hyperlink>
      <w:r w:rsidRPr="005D04CF">
        <w:rPr>
          <w:rFonts w:eastAsiaTheme="minorEastAsia"/>
          <w:rtl/>
        </w:rPr>
        <w:t xml:space="preserve">، الفقرة 20. </w:t>
      </w:r>
    </w:p>
  </w:footnote>
  <w:footnote w:id="5">
    <w:p w14:paraId="564EB75F" w14:textId="2F48C042" w:rsidR="00790D70" w:rsidRPr="005D04CF" w:rsidRDefault="00790D70" w:rsidP="00790D70">
      <w:pPr>
        <w:pStyle w:val="FootnoteText1"/>
        <w:textDirection w:val="tbRlV"/>
        <w:rPr>
          <w:rFonts w:eastAsiaTheme="minorEastAsia"/>
          <w:lang w:val="ar-SA" w:eastAsia="zh-TW" w:bidi="en-GB"/>
        </w:rPr>
      </w:pPr>
      <w:r w:rsidRPr="005D04CF">
        <w:rPr>
          <w:rFonts w:eastAsiaTheme="minorEastAsia"/>
          <w:rtl/>
        </w:rPr>
        <w:t>(</w:t>
      </w:r>
      <w:r w:rsidRPr="005D04CF">
        <w:rPr>
          <w:rStyle w:val="FootnoteReference"/>
          <w:rFonts w:eastAsiaTheme="minorEastAsia"/>
          <w:vertAlign w:val="baseline"/>
        </w:rPr>
        <w:footnoteRef/>
      </w:r>
      <w:r w:rsidRPr="005D04CF">
        <w:rPr>
          <w:rStyle w:val="FootnoteReference"/>
          <w:rFonts w:eastAsiaTheme="minorEastAsia"/>
          <w:vertAlign w:val="baseline"/>
          <w:rtl/>
        </w:rPr>
        <w:t>)</w:t>
      </w:r>
      <w:r w:rsidRPr="005D04CF">
        <w:rPr>
          <w:rFonts w:eastAsiaTheme="minorEastAsia"/>
          <w:rtl/>
        </w:rPr>
        <w:tab/>
        <w:t xml:space="preserve">المرجع نفسه، الفقرات 9 و14–15. </w:t>
      </w:r>
    </w:p>
  </w:footnote>
  <w:footnote w:id="6">
    <w:p w14:paraId="7A677FC0" w14:textId="0E386F85" w:rsidR="00790D70" w:rsidRPr="005D04CF" w:rsidRDefault="00790D70" w:rsidP="00790D70">
      <w:pPr>
        <w:pStyle w:val="FootnoteText1"/>
        <w:textDirection w:val="tbRlV"/>
        <w:rPr>
          <w:rFonts w:eastAsiaTheme="minorEastAsia"/>
          <w:lang w:eastAsia="zh-TW" w:bidi="en-GB"/>
        </w:rPr>
      </w:pPr>
      <w:r w:rsidRPr="005D04CF">
        <w:rPr>
          <w:rFonts w:eastAsiaTheme="minorEastAsia"/>
          <w:rtl/>
        </w:rPr>
        <w:t>(</w:t>
      </w:r>
      <w:r w:rsidRPr="005D04CF">
        <w:rPr>
          <w:rStyle w:val="FootnoteReference"/>
          <w:rFonts w:eastAsiaTheme="minorEastAsia"/>
          <w:vertAlign w:val="baseline"/>
        </w:rPr>
        <w:footnoteRef/>
      </w:r>
      <w:r w:rsidRPr="005D04CF">
        <w:rPr>
          <w:rStyle w:val="FootnoteReference"/>
          <w:rFonts w:eastAsiaTheme="minorEastAsia"/>
          <w:vertAlign w:val="baseline"/>
          <w:rtl/>
        </w:rPr>
        <w:t>)</w:t>
      </w:r>
      <w:r w:rsidRPr="005D04CF">
        <w:rPr>
          <w:rFonts w:eastAsiaTheme="minorEastAsia"/>
          <w:rtl/>
        </w:rPr>
        <w:tab/>
      </w:r>
      <w:hyperlink r:id="rId5" w:history="1">
        <w:r w:rsidRPr="005D04CF">
          <w:rPr>
            <w:rStyle w:val="Hyperlink"/>
          </w:rPr>
          <w:t>CAT/C/ISL/CO/3/Add.1</w:t>
        </w:r>
      </w:hyperlink>
      <w:r w:rsidRPr="005D04CF">
        <w:rPr>
          <w:rFonts w:eastAsiaTheme="minorEastAsia"/>
          <w:rtl/>
        </w:rPr>
        <w:t xml:space="preserve">. </w:t>
      </w:r>
    </w:p>
  </w:footnote>
  <w:footnote w:id="7">
    <w:p w14:paraId="08DB0A50" w14:textId="59B84B95" w:rsidR="00790D70" w:rsidRPr="005D04CF" w:rsidRDefault="00790D70" w:rsidP="00790D70">
      <w:pPr>
        <w:pStyle w:val="FootnoteText1"/>
        <w:textDirection w:val="tbRlV"/>
        <w:rPr>
          <w:rFonts w:eastAsiaTheme="minorEastAsia"/>
          <w:lang w:eastAsia="zh-TW" w:bidi="en-GB"/>
        </w:rPr>
      </w:pPr>
      <w:r w:rsidRPr="005D04CF">
        <w:rPr>
          <w:rFonts w:eastAsiaTheme="minorEastAsia"/>
          <w:rtl/>
        </w:rPr>
        <w:t>(</w:t>
      </w:r>
      <w:r w:rsidRPr="005D04CF">
        <w:rPr>
          <w:rStyle w:val="FootnoteReference"/>
          <w:rFonts w:eastAsiaTheme="minorEastAsia"/>
          <w:vertAlign w:val="baseline"/>
        </w:rPr>
        <w:footnoteRef/>
      </w:r>
      <w:r w:rsidRPr="005D04CF">
        <w:rPr>
          <w:rStyle w:val="FootnoteReference"/>
          <w:rFonts w:eastAsiaTheme="minorEastAsia"/>
          <w:vertAlign w:val="baseline"/>
          <w:rtl/>
        </w:rPr>
        <w:t>)</w:t>
      </w:r>
      <w:r w:rsidRPr="005D04CF">
        <w:rPr>
          <w:rFonts w:eastAsiaTheme="minorEastAsia"/>
          <w:rtl/>
        </w:rPr>
        <w:tab/>
      </w:r>
      <w:hyperlink r:id="rId6" w:history="1">
        <w:r w:rsidRPr="005D04CF">
          <w:rPr>
            <w:rStyle w:val="Hyperlink"/>
          </w:rPr>
          <w:t>CAT/C/ISL/CO/3</w:t>
        </w:r>
      </w:hyperlink>
      <w:r w:rsidRPr="005D04CF">
        <w:rPr>
          <w:rFonts w:eastAsiaTheme="minorEastAsia"/>
          <w:rtl/>
        </w:rPr>
        <w:t xml:space="preserve">، الفقرة 5. </w:t>
      </w:r>
    </w:p>
  </w:footnote>
  <w:footnote w:id="8">
    <w:p w14:paraId="45A954C3" w14:textId="31B07654" w:rsidR="00790D70" w:rsidRPr="005D04CF" w:rsidRDefault="00790D70" w:rsidP="00790D70">
      <w:pPr>
        <w:pStyle w:val="FootnoteText1"/>
        <w:textDirection w:val="tbRlV"/>
        <w:rPr>
          <w:rFonts w:eastAsiaTheme="minorEastAsia"/>
          <w:lang w:eastAsia="zh-TW" w:bidi="en-GB"/>
        </w:rPr>
      </w:pPr>
      <w:r w:rsidRPr="005D04CF">
        <w:rPr>
          <w:rFonts w:eastAsiaTheme="minorEastAsia"/>
          <w:rtl/>
        </w:rPr>
        <w:t>(</w:t>
      </w:r>
      <w:r w:rsidRPr="005D04CF">
        <w:rPr>
          <w:rStyle w:val="FootnoteReference"/>
          <w:rFonts w:eastAsiaTheme="minorEastAsia"/>
          <w:vertAlign w:val="baseline"/>
        </w:rPr>
        <w:footnoteRef/>
      </w:r>
      <w:r w:rsidRPr="005D04CF">
        <w:rPr>
          <w:rStyle w:val="FootnoteReference"/>
          <w:rFonts w:eastAsiaTheme="minorEastAsia"/>
          <w:vertAlign w:val="baseline"/>
          <w:rtl/>
        </w:rPr>
        <w:t>)</w:t>
      </w:r>
      <w:r w:rsidRPr="005D04CF">
        <w:rPr>
          <w:rFonts w:eastAsiaTheme="minorEastAsia"/>
          <w:rtl/>
        </w:rPr>
        <w:tab/>
        <w:t xml:space="preserve">انظر الفقرة 9. </w:t>
      </w:r>
    </w:p>
  </w:footnote>
  <w:footnote w:id="9">
    <w:p w14:paraId="0B91BD7D" w14:textId="77777777" w:rsidR="00790D70" w:rsidRPr="005D04CF" w:rsidRDefault="00790D70" w:rsidP="00790D70">
      <w:pPr>
        <w:pStyle w:val="FootnoteText1"/>
        <w:textDirection w:val="tbRlV"/>
        <w:rPr>
          <w:rFonts w:eastAsiaTheme="minorEastAsia"/>
          <w:lang w:eastAsia="zh-TW" w:bidi="en-GB"/>
        </w:rPr>
      </w:pPr>
      <w:r w:rsidRPr="005D04CF">
        <w:rPr>
          <w:rFonts w:eastAsiaTheme="minorEastAsia"/>
          <w:rtl/>
        </w:rPr>
        <w:t>(</w:t>
      </w:r>
      <w:r w:rsidRPr="005D04CF">
        <w:rPr>
          <w:rStyle w:val="FootnoteReference"/>
          <w:rFonts w:eastAsiaTheme="minorEastAsia"/>
          <w:vertAlign w:val="baseline"/>
        </w:rPr>
        <w:footnoteRef/>
      </w:r>
      <w:r w:rsidRPr="005D04CF">
        <w:rPr>
          <w:rStyle w:val="FootnoteReference"/>
          <w:rFonts w:eastAsiaTheme="minorEastAsia"/>
          <w:vertAlign w:val="baseline"/>
          <w:rtl/>
        </w:rPr>
        <w:t>)</w:t>
      </w:r>
      <w:r w:rsidRPr="005D04CF">
        <w:rPr>
          <w:rFonts w:eastAsiaTheme="minorEastAsia"/>
          <w:rtl/>
        </w:rPr>
        <w:tab/>
        <w:t xml:space="preserve">بناء على ما أشارت إليه اللجنة الأوروبية لمنع التعذيب والمعاملة أو العقوبة اللاإنسانية أو المهينة في الفقرة 17 من التقرير عن زيارتها إلى آيسلندا في أيار/مايو 2019. </w:t>
      </w:r>
    </w:p>
  </w:footnote>
  <w:footnote w:id="10">
    <w:p w14:paraId="4B18111D" w14:textId="51038C60" w:rsidR="00790D70" w:rsidRPr="005D04CF" w:rsidRDefault="00790D70" w:rsidP="00790D70">
      <w:pPr>
        <w:pStyle w:val="FootnoteText1"/>
        <w:textDirection w:val="tbRlV"/>
        <w:rPr>
          <w:rFonts w:eastAsiaTheme="minorEastAsia"/>
          <w:lang w:val="ar-SA" w:eastAsia="zh-TW" w:bidi="en-GB"/>
        </w:rPr>
      </w:pPr>
      <w:r w:rsidRPr="005D04CF">
        <w:rPr>
          <w:rFonts w:eastAsiaTheme="minorEastAsia"/>
          <w:rtl/>
        </w:rPr>
        <w:t>(</w:t>
      </w:r>
      <w:r w:rsidRPr="005D04CF">
        <w:rPr>
          <w:rStyle w:val="FootnoteReference"/>
          <w:rFonts w:eastAsiaTheme="minorEastAsia"/>
          <w:vertAlign w:val="baseline"/>
        </w:rPr>
        <w:footnoteRef/>
      </w:r>
      <w:r w:rsidRPr="005D04CF">
        <w:rPr>
          <w:rStyle w:val="FootnoteReference"/>
          <w:rFonts w:eastAsiaTheme="minorEastAsia"/>
          <w:vertAlign w:val="baseline"/>
          <w:rtl/>
        </w:rPr>
        <w:t>)</w:t>
      </w:r>
      <w:r w:rsidRPr="005D04CF">
        <w:rPr>
          <w:rFonts w:eastAsiaTheme="minorEastAsia"/>
          <w:rtl/>
        </w:rPr>
        <w:tab/>
        <w:t xml:space="preserve">تقرير اللجنة الأوروبية لمنع التعذيب والمعاملة أو العقوبة اللاإنسانية أو المهينة عن زيارتها إلى آيسلندا في أيار/مايو 2019، الفقرة 23. </w:t>
      </w:r>
    </w:p>
  </w:footnote>
  <w:footnote w:id="11">
    <w:p w14:paraId="00D4B8CE" w14:textId="561451A0" w:rsidR="00790D70" w:rsidRPr="005D04CF" w:rsidRDefault="00790D70" w:rsidP="00790D70">
      <w:pPr>
        <w:pStyle w:val="FootnoteText1"/>
        <w:textDirection w:val="tbRlV"/>
        <w:rPr>
          <w:rFonts w:eastAsiaTheme="minorEastAsia"/>
          <w:lang w:eastAsia="zh-TW" w:bidi="en-GB"/>
        </w:rPr>
      </w:pPr>
      <w:r w:rsidRPr="005D04CF">
        <w:rPr>
          <w:rFonts w:eastAsiaTheme="minorEastAsia"/>
          <w:rtl/>
        </w:rPr>
        <w:t>(</w:t>
      </w:r>
      <w:r w:rsidRPr="005D04CF">
        <w:rPr>
          <w:rStyle w:val="FootnoteReference"/>
          <w:rFonts w:eastAsiaTheme="minorEastAsia"/>
          <w:vertAlign w:val="baseline"/>
        </w:rPr>
        <w:footnoteRef/>
      </w:r>
      <w:r w:rsidRPr="005D04CF">
        <w:rPr>
          <w:rStyle w:val="FootnoteReference"/>
          <w:rFonts w:eastAsiaTheme="minorEastAsia"/>
          <w:vertAlign w:val="baseline"/>
          <w:rtl/>
        </w:rPr>
        <w:t>)</w:t>
      </w:r>
      <w:r w:rsidRPr="005D04CF">
        <w:rPr>
          <w:rFonts w:eastAsiaTheme="minorEastAsia"/>
          <w:rtl/>
        </w:rPr>
        <w:tab/>
      </w:r>
      <w:hyperlink r:id="rId7" w:history="1">
        <w:r w:rsidRPr="005D04CF">
          <w:rPr>
            <w:rStyle w:val="Hyperlink"/>
          </w:rPr>
          <w:t>CERD/C/ISL/CO/21-23</w:t>
        </w:r>
      </w:hyperlink>
      <w:r w:rsidRPr="005D04CF">
        <w:rPr>
          <w:rFonts w:eastAsiaTheme="minorEastAsia"/>
          <w:rtl/>
        </w:rPr>
        <w:t xml:space="preserve">، الفقرتان 21 و22. </w:t>
      </w:r>
    </w:p>
  </w:footnote>
  <w:footnote w:id="12">
    <w:p w14:paraId="2C89810C" w14:textId="648C39D8" w:rsidR="00790D70" w:rsidRPr="005D04CF" w:rsidRDefault="00790D70" w:rsidP="00790D70">
      <w:pPr>
        <w:pStyle w:val="FootnoteText1"/>
        <w:textDirection w:val="tbRlV"/>
        <w:rPr>
          <w:rFonts w:eastAsiaTheme="minorEastAsia"/>
          <w:lang w:val="ar-SA" w:eastAsia="zh-TW" w:bidi="en-GB"/>
        </w:rPr>
      </w:pPr>
      <w:r w:rsidRPr="005D04CF">
        <w:rPr>
          <w:rFonts w:eastAsiaTheme="minorEastAsia"/>
          <w:rtl/>
        </w:rPr>
        <w:t>(</w:t>
      </w:r>
      <w:r w:rsidRPr="005D04CF">
        <w:rPr>
          <w:rStyle w:val="FootnoteReference"/>
          <w:rFonts w:eastAsiaTheme="minorEastAsia"/>
          <w:vertAlign w:val="baseline"/>
        </w:rPr>
        <w:footnoteRef/>
      </w:r>
      <w:r w:rsidRPr="005D04CF">
        <w:rPr>
          <w:rStyle w:val="FootnoteReference"/>
          <w:rFonts w:eastAsiaTheme="minorEastAsia"/>
          <w:vertAlign w:val="baseline"/>
          <w:rtl/>
        </w:rPr>
        <w:t>)</w:t>
      </w:r>
      <w:r w:rsidRPr="005D04CF">
        <w:rPr>
          <w:rFonts w:eastAsiaTheme="minorEastAsia"/>
        </w:rPr>
        <w:tab/>
      </w:r>
      <w:hyperlink r:id="rId8" w:history="1">
        <w:r w:rsidRPr="005D04CF">
          <w:rPr>
            <w:rStyle w:val="Hyperlink"/>
          </w:rPr>
          <w:t>CEDAW/C/ISL/CO/7-8</w:t>
        </w:r>
      </w:hyperlink>
      <w:r w:rsidRPr="005D04CF">
        <w:rPr>
          <w:rFonts w:eastAsiaTheme="minorEastAsia"/>
          <w:rtl/>
        </w:rPr>
        <w:t xml:space="preserve">، الفقرتان 19 و20. </w:t>
      </w:r>
    </w:p>
  </w:footnote>
  <w:footnote w:id="13">
    <w:p w14:paraId="04422E48" w14:textId="729401AF" w:rsidR="00790D70" w:rsidRPr="005D04CF" w:rsidRDefault="00790D70" w:rsidP="00790D70">
      <w:pPr>
        <w:pStyle w:val="FootnoteText1"/>
        <w:textDirection w:val="tbRlV"/>
        <w:rPr>
          <w:rFonts w:eastAsiaTheme="minorEastAsia"/>
          <w:lang w:val="ar-SA" w:eastAsia="zh-TW" w:bidi="en-GB"/>
        </w:rPr>
      </w:pPr>
      <w:r w:rsidRPr="005D04CF">
        <w:rPr>
          <w:rFonts w:eastAsiaTheme="minorEastAsia"/>
          <w:rtl/>
        </w:rPr>
        <w:t>(</w:t>
      </w:r>
      <w:r w:rsidRPr="005D04CF">
        <w:rPr>
          <w:rStyle w:val="FootnoteReference"/>
          <w:rFonts w:eastAsiaTheme="minorEastAsia"/>
          <w:vertAlign w:val="baseline"/>
        </w:rPr>
        <w:footnoteRef/>
      </w:r>
      <w:r w:rsidRPr="005D04CF">
        <w:rPr>
          <w:rStyle w:val="FootnoteReference"/>
          <w:rFonts w:eastAsiaTheme="minorEastAsia"/>
          <w:vertAlign w:val="baseline"/>
          <w:rtl/>
        </w:rPr>
        <w:t>)</w:t>
      </w:r>
      <w:r w:rsidRPr="005D04CF">
        <w:rPr>
          <w:rFonts w:eastAsiaTheme="minorEastAsia"/>
          <w:rtl/>
        </w:rPr>
        <w:tab/>
      </w:r>
      <w:hyperlink r:id="rId9" w:history="1">
        <w:r w:rsidRPr="005D04CF">
          <w:rPr>
            <w:rStyle w:val="Hyperlink"/>
          </w:rPr>
          <w:t>CERD/C/ISL/CO/21-23</w:t>
        </w:r>
      </w:hyperlink>
      <w:r w:rsidRPr="005D04CF">
        <w:rPr>
          <w:rFonts w:eastAsiaTheme="minorEastAsia"/>
          <w:rtl/>
        </w:rPr>
        <w:t xml:space="preserve">، الفقرتان 19 و20. </w:t>
      </w:r>
    </w:p>
  </w:footnote>
  <w:footnote w:id="14">
    <w:p w14:paraId="5DB19852" w14:textId="33119E32" w:rsidR="00790D70" w:rsidRPr="005D04CF" w:rsidRDefault="00790D70" w:rsidP="00790D70">
      <w:pPr>
        <w:pStyle w:val="FootnoteText1"/>
        <w:textDirection w:val="tbRlV"/>
        <w:rPr>
          <w:rFonts w:eastAsiaTheme="minorEastAsia"/>
          <w:lang w:val="ar-SA" w:eastAsia="zh-TW" w:bidi="en-GB"/>
        </w:rPr>
      </w:pPr>
      <w:r w:rsidRPr="005D04CF">
        <w:rPr>
          <w:rFonts w:eastAsiaTheme="minorEastAsia"/>
          <w:rtl/>
        </w:rPr>
        <w:t>(</w:t>
      </w:r>
      <w:r w:rsidRPr="005D04CF">
        <w:rPr>
          <w:rStyle w:val="FootnoteReference"/>
          <w:rFonts w:eastAsiaTheme="minorEastAsia"/>
          <w:vertAlign w:val="baseline"/>
        </w:rPr>
        <w:footnoteRef/>
      </w:r>
      <w:r w:rsidRPr="005D04CF">
        <w:rPr>
          <w:rStyle w:val="FootnoteReference"/>
          <w:rFonts w:eastAsiaTheme="minorEastAsia"/>
          <w:vertAlign w:val="baseline"/>
          <w:rtl/>
        </w:rPr>
        <w:t>)</w:t>
      </w:r>
      <w:r w:rsidRPr="005D04CF">
        <w:rPr>
          <w:rFonts w:eastAsiaTheme="minorEastAsia"/>
          <w:rtl/>
        </w:rPr>
        <w:tab/>
      </w:r>
      <w:hyperlink r:id="rId10" w:history="1">
        <w:r w:rsidRPr="005D04CF">
          <w:rPr>
            <w:rStyle w:val="Hyperlink"/>
          </w:rPr>
          <w:t>CERD/C/ISL/CO/21-23</w:t>
        </w:r>
      </w:hyperlink>
      <w:r w:rsidRPr="005D04CF">
        <w:rPr>
          <w:rFonts w:eastAsiaTheme="minorEastAsia"/>
          <w:rtl/>
        </w:rPr>
        <w:t xml:space="preserve">، الفقرتان 17 و18. </w:t>
      </w:r>
    </w:p>
  </w:footnote>
  <w:footnote w:id="15">
    <w:p w14:paraId="2E73FF8A" w14:textId="1AE234AF" w:rsidR="00790D70" w:rsidRPr="005D04CF" w:rsidRDefault="00790D70" w:rsidP="00790D70">
      <w:pPr>
        <w:pStyle w:val="FootnoteText1"/>
        <w:textDirection w:val="tbRlV"/>
        <w:rPr>
          <w:rFonts w:eastAsiaTheme="minorEastAsia" w:hint="cs"/>
          <w:lang w:eastAsia="zh-TW" w:bidi="en-GB"/>
        </w:rPr>
      </w:pPr>
      <w:r w:rsidRPr="005D04CF">
        <w:rPr>
          <w:rFonts w:eastAsiaTheme="minorEastAsia"/>
          <w:bCs/>
          <w:rtl/>
        </w:rPr>
        <w:t>(</w:t>
      </w:r>
      <w:r w:rsidRPr="005D04CF">
        <w:rPr>
          <w:rStyle w:val="FootnoteReference"/>
          <w:rFonts w:eastAsiaTheme="minorEastAsia"/>
          <w:vertAlign w:val="baseline"/>
        </w:rPr>
        <w:footnoteRef/>
      </w:r>
      <w:r w:rsidRPr="005D04CF">
        <w:rPr>
          <w:rStyle w:val="FootnoteReference"/>
          <w:rFonts w:eastAsiaTheme="minorEastAsia"/>
          <w:vertAlign w:val="baseline"/>
          <w:rtl/>
        </w:rPr>
        <w:t>)</w:t>
      </w:r>
      <w:r w:rsidRPr="005D04CF">
        <w:rPr>
          <w:rFonts w:eastAsiaTheme="minorEastAsia"/>
          <w:rtl/>
        </w:rPr>
        <w:tab/>
      </w:r>
      <w:hyperlink r:id="rId11" w:history="1">
        <w:r w:rsidRPr="005D04CF">
          <w:rPr>
            <w:rStyle w:val="Hyperlink"/>
          </w:rPr>
          <w:t>A/HRC/34/7</w:t>
        </w:r>
      </w:hyperlink>
      <w:r w:rsidRPr="005D04CF">
        <w:rPr>
          <w:rFonts w:eastAsiaTheme="minorEastAsia"/>
          <w:rtl/>
        </w:rPr>
        <w:t>، الفقرات من 115-26 حتى 115-40؛ و</w:t>
      </w:r>
      <w:hyperlink r:id="rId12" w:history="1">
        <w:r w:rsidRPr="005D04CF">
          <w:rPr>
            <w:rStyle w:val="Hyperlink"/>
          </w:rPr>
          <w:t>CERD/C/ISL/CO/21-23</w:t>
        </w:r>
      </w:hyperlink>
      <w:r w:rsidRPr="005D04CF">
        <w:rPr>
          <w:rFonts w:eastAsiaTheme="minorEastAsia"/>
          <w:rtl/>
        </w:rPr>
        <w:t xml:space="preserve">، الفقرتان </w:t>
      </w:r>
      <w:r w:rsidR="005D04CF" w:rsidRPr="005D04CF">
        <w:rPr>
          <w:rFonts w:eastAsiaTheme="minorEastAsia" w:hint="cs"/>
          <w:rtl/>
        </w:rPr>
        <w:t>11 و12.</w:t>
      </w:r>
    </w:p>
  </w:footnote>
  <w:footnote w:id="16">
    <w:p w14:paraId="70C010A3" w14:textId="77777777" w:rsidR="00790D70" w:rsidRPr="005D04CF" w:rsidRDefault="00790D70" w:rsidP="00790D70">
      <w:pPr>
        <w:pStyle w:val="FootnoteText1"/>
        <w:textDirection w:val="tbRlV"/>
        <w:rPr>
          <w:rFonts w:eastAsiaTheme="minorEastAsia"/>
          <w:lang w:eastAsia="zh-TW" w:bidi="en-GB"/>
        </w:rPr>
      </w:pPr>
      <w:r w:rsidRPr="005D04CF">
        <w:rPr>
          <w:rFonts w:eastAsiaTheme="minorEastAsia"/>
          <w:rtl/>
        </w:rPr>
        <w:t>(</w:t>
      </w:r>
      <w:r w:rsidRPr="005D04CF">
        <w:rPr>
          <w:rStyle w:val="FootnoteReference"/>
          <w:rFonts w:eastAsiaTheme="minorEastAsia"/>
          <w:vertAlign w:val="baseline"/>
        </w:rPr>
        <w:footnoteRef/>
      </w:r>
      <w:r w:rsidRPr="005D04CF">
        <w:rPr>
          <w:rStyle w:val="FootnoteReference"/>
          <w:rFonts w:eastAsiaTheme="minorEastAsia"/>
          <w:vertAlign w:val="baseline"/>
          <w:rtl/>
        </w:rPr>
        <w:t>)</w:t>
      </w:r>
      <w:r w:rsidRPr="005D04CF">
        <w:rPr>
          <w:rFonts w:eastAsiaTheme="minorEastAsia"/>
          <w:rtl/>
        </w:rPr>
        <w:tab/>
      </w:r>
      <w:hyperlink r:id="rId13" w:history="1">
        <w:r w:rsidRPr="005D04CF">
          <w:rPr>
            <w:rStyle w:val="Hyperlink"/>
          </w:rPr>
          <w:t>CAT/C/ISL/CO/3</w:t>
        </w:r>
      </w:hyperlink>
      <w:r w:rsidRPr="005D04CF">
        <w:rPr>
          <w:rFonts w:eastAsiaTheme="minorEastAsia"/>
          <w:rtl/>
        </w:rPr>
        <w:t xml:space="preserve">، الفقرة 6. </w:t>
      </w:r>
    </w:p>
  </w:footnote>
  <w:footnote w:id="17">
    <w:p w14:paraId="3AB38321" w14:textId="43DE206D" w:rsidR="00790D70" w:rsidRPr="00790D70" w:rsidRDefault="00790D70" w:rsidP="00012D7F">
      <w:pPr>
        <w:pStyle w:val="FootnoteText1"/>
        <w:textDirection w:val="tbRlV"/>
        <w:rPr>
          <w:rFonts w:eastAsiaTheme="minorEastAsia"/>
          <w:szCs w:val="20"/>
          <w:lang w:eastAsia="zh-TW" w:bidi="en-GB"/>
        </w:rPr>
      </w:pPr>
      <w:r w:rsidRPr="005D04CF">
        <w:rPr>
          <w:rStyle w:val="FootnoteReference"/>
          <w:rFonts w:eastAsiaTheme="minorEastAsia"/>
          <w:vertAlign w:val="baseline"/>
          <w:rtl/>
        </w:rPr>
        <w:t>(</w:t>
      </w:r>
      <w:r w:rsidRPr="005D04CF">
        <w:rPr>
          <w:rStyle w:val="FootnoteReference"/>
          <w:rFonts w:eastAsiaTheme="minorEastAsia"/>
          <w:vertAlign w:val="baseline"/>
        </w:rPr>
        <w:footnoteRef/>
      </w:r>
      <w:r w:rsidRPr="005D04CF">
        <w:rPr>
          <w:rStyle w:val="FootnoteReference"/>
          <w:rFonts w:eastAsiaTheme="minorEastAsia"/>
          <w:vertAlign w:val="baseline"/>
          <w:rtl/>
        </w:rPr>
        <w:t>)</w:t>
      </w:r>
      <w:r w:rsidR="00012D7F" w:rsidRPr="005D04CF">
        <w:rPr>
          <w:rStyle w:val="FootnoteReference"/>
          <w:rFonts w:eastAsiaTheme="minorEastAsia"/>
          <w:vertAlign w:val="baseline"/>
          <w:rtl/>
        </w:rPr>
        <w:tab/>
      </w:r>
      <w:r w:rsidRPr="005D04CF">
        <w:rPr>
          <w:rFonts w:eastAsiaTheme="minorEastAsia"/>
          <w:rtl/>
        </w:rPr>
        <w:t>تقرير اللجنة الأوروبية لمنع التعذيب والمعاملة أو العقوبة اللاإنسانية أو المهينة عن زيارتها إلى آيسلندا في أيار/مايو 2019، الفقرات من 62 حتى 68.</w:t>
      </w:r>
      <w:r w:rsidRPr="00790D70">
        <w:rPr>
          <w:rFonts w:eastAsiaTheme="minorEastAsia"/>
          <w:rtl/>
        </w:rPr>
        <w:t xml:space="preserve"> </w:t>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2C5C7E19" w14:textId="4CF07211" w:rsidR="00D00CAA" w:rsidRPr="00D00CAA" w:rsidRDefault="00D00CAA" w:rsidP="00D00CAA">
    <w:pPr>
      <w:pStyle w:val="Header"/>
      <w:jc w:val="left"/>
    </w:pPr>
    <w:r>
      <w:rPr>
        <w:rtl/>
      </w:rPr>
      <w:fldChar w:fldCharType="begin"/>
    </w:r>
    <w:r>
      <w:rPr>
        <w:rtl/>
      </w:rPr>
      <w:instrText xml:space="preserve"> </w:instrText>
    </w:r>
    <w:r>
      <w:instrText>TITLE</w:instrText>
    </w:r>
    <w:r>
      <w:rPr>
        <w:rtl/>
      </w:rPr>
      <w:instrText xml:space="preserve">  \* </w:instrText>
    </w:r>
    <w:r>
      <w:instrText>MERGEFORMAT</w:instrText>
    </w:r>
    <w:r>
      <w:rPr>
        <w:rtl/>
      </w:rPr>
      <w:instrText xml:space="preserve"> </w:instrText>
    </w:r>
    <w:r>
      <w:rPr>
        <w:rtl/>
      </w:rPr>
      <w:fldChar w:fldCharType="separate"/>
    </w:r>
    <w:r>
      <w:t>CAT/C/ISL/CO/4</w:t>
    </w:r>
    <w:r>
      <w:rPr>
        <w:rtl/>
      </w:rPr>
      <w:fldChar w:fldCharType="end"/>
    </w: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32814643" w14:textId="3DF494A4" w:rsidR="00D00CAA" w:rsidRPr="00D00CAA" w:rsidRDefault="00D00CAA" w:rsidP="00D00CAA">
    <w:pPr>
      <w:pStyle w:val="Header"/>
      <w:bidi w:val="0"/>
    </w:pPr>
    <w:r>
      <w:rPr>
        <w:rtl/>
      </w:rPr>
      <w:fldChar w:fldCharType="begin"/>
    </w:r>
    <w:r>
      <w:rPr>
        <w:rtl/>
      </w:rPr>
      <w:instrText xml:space="preserve"> </w:instrText>
    </w:r>
    <w:r>
      <w:instrText>TITLE</w:instrText>
    </w:r>
    <w:r>
      <w:rPr>
        <w:rtl/>
      </w:rPr>
      <w:instrText xml:space="preserve">  \* </w:instrText>
    </w:r>
    <w:r>
      <w:instrText>MERGEFORMAT</w:instrText>
    </w:r>
    <w:r>
      <w:rPr>
        <w:rtl/>
      </w:rPr>
      <w:instrText xml:space="preserve"> </w:instrText>
    </w:r>
    <w:r>
      <w:rPr>
        <w:rtl/>
      </w:rPr>
      <w:fldChar w:fldCharType="separate"/>
    </w:r>
    <w:r>
      <w:t>CAT/C/ISL/CO/4</w:t>
    </w:r>
    <w:r>
      <w:rPr>
        <w:rtl/>
      </w:rPr>
      <w:fldChar w:fldCharType="end"/>
    </w: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6FB9AA5E" w14:textId="77777777" w:rsidR="00143C39" w:rsidRDefault="00143C39" w:rsidP="00143C39">
    <w:pPr>
      <w:pStyle w:val="Header"/>
      <w:pBdr>
        <w:bottom w:val="none" w:sz="0" w:space="0" w:color="auto"/>
      </w:pBd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10C49F8"/>
    <w:multiLevelType w:val="hybridMultilevel"/>
    <w:tmpl w:val="FFD08D26"/>
    <w:lvl w:ilvl="0" w:tplc="2FB47626">
      <w:start w:val="1"/>
      <w:numFmt w:val="decimal"/>
      <w:lvlText w:val="%1."/>
      <w:lvlJc w:val="left"/>
      <w:pPr>
        <w:tabs>
          <w:tab w:val="num" w:pos="0"/>
        </w:tabs>
        <w:ind w:left="1134" w:firstLine="0"/>
      </w:pPr>
      <w:rPr>
        <w:rFonts w:ascii="Times New Roman" w:hAnsi="Times New Roman" w:hint="default"/>
        <w:b w:val="0"/>
        <w:i w:val="0"/>
        <w:sz w:val="20"/>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1" w15:restartNumberingAfterBreak="0">
    <w:nsid w:val="03F2036B"/>
    <w:multiLevelType w:val="hybridMultilevel"/>
    <w:tmpl w:val="B22E0BFA"/>
    <w:lvl w:ilvl="0" w:tplc="9008FA9E">
      <w:start w:val="1"/>
      <w:numFmt w:val="bullet"/>
      <w:lvlText w:val="•"/>
      <w:lvlJc w:val="left"/>
      <w:pPr>
        <w:tabs>
          <w:tab w:val="num" w:pos="1701"/>
        </w:tabs>
        <w:ind w:left="1701" w:hanging="170"/>
      </w:pPr>
      <w:rPr>
        <w:rFonts w:ascii="Times New Roman" w:hAnsi="Times New Roman" w:cs="Times New Roman" w:hint="default"/>
      </w:rPr>
    </w:lvl>
    <w:lvl w:ilvl="1" w:tplc="040C0003" w:tentative="1">
      <w:start w:val="1"/>
      <w:numFmt w:val="bullet"/>
      <w:lvlText w:val="o"/>
      <w:lvlJc w:val="left"/>
      <w:pPr>
        <w:tabs>
          <w:tab w:val="num" w:pos="1440"/>
        </w:tabs>
        <w:ind w:left="1440" w:hanging="360"/>
      </w:pPr>
      <w:rPr>
        <w:rFonts w:ascii="Courier New" w:hAnsi="Courier New" w:cs="Courier New" w:hint="default"/>
      </w:rPr>
    </w:lvl>
    <w:lvl w:ilvl="2" w:tplc="040C0005" w:tentative="1">
      <w:start w:val="1"/>
      <w:numFmt w:val="bullet"/>
      <w:lvlText w:val=""/>
      <w:lvlJc w:val="left"/>
      <w:pPr>
        <w:tabs>
          <w:tab w:val="num" w:pos="2160"/>
        </w:tabs>
        <w:ind w:left="2160" w:hanging="360"/>
      </w:pPr>
      <w:rPr>
        <w:rFonts w:ascii="Wingdings" w:hAnsi="Wingdings" w:hint="default"/>
      </w:rPr>
    </w:lvl>
    <w:lvl w:ilvl="3" w:tplc="040C0001" w:tentative="1">
      <w:start w:val="1"/>
      <w:numFmt w:val="bullet"/>
      <w:lvlText w:val=""/>
      <w:lvlJc w:val="left"/>
      <w:pPr>
        <w:tabs>
          <w:tab w:val="num" w:pos="2880"/>
        </w:tabs>
        <w:ind w:left="2880" w:hanging="360"/>
      </w:pPr>
      <w:rPr>
        <w:rFonts w:ascii="Symbol" w:hAnsi="Symbol" w:hint="default"/>
      </w:rPr>
    </w:lvl>
    <w:lvl w:ilvl="4" w:tplc="040C0003" w:tentative="1">
      <w:start w:val="1"/>
      <w:numFmt w:val="bullet"/>
      <w:lvlText w:val="o"/>
      <w:lvlJc w:val="left"/>
      <w:pPr>
        <w:tabs>
          <w:tab w:val="num" w:pos="3600"/>
        </w:tabs>
        <w:ind w:left="3600" w:hanging="360"/>
      </w:pPr>
      <w:rPr>
        <w:rFonts w:ascii="Courier New" w:hAnsi="Courier New" w:cs="Courier New" w:hint="default"/>
      </w:rPr>
    </w:lvl>
    <w:lvl w:ilvl="5" w:tplc="040C0005" w:tentative="1">
      <w:start w:val="1"/>
      <w:numFmt w:val="bullet"/>
      <w:lvlText w:val=""/>
      <w:lvlJc w:val="left"/>
      <w:pPr>
        <w:tabs>
          <w:tab w:val="num" w:pos="4320"/>
        </w:tabs>
        <w:ind w:left="4320" w:hanging="360"/>
      </w:pPr>
      <w:rPr>
        <w:rFonts w:ascii="Wingdings" w:hAnsi="Wingdings" w:hint="default"/>
      </w:rPr>
    </w:lvl>
    <w:lvl w:ilvl="6" w:tplc="040C0001" w:tentative="1">
      <w:start w:val="1"/>
      <w:numFmt w:val="bullet"/>
      <w:lvlText w:val=""/>
      <w:lvlJc w:val="left"/>
      <w:pPr>
        <w:tabs>
          <w:tab w:val="num" w:pos="5040"/>
        </w:tabs>
        <w:ind w:left="5040" w:hanging="360"/>
      </w:pPr>
      <w:rPr>
        <w:rFonts w:ascii="Symbol" w:hAnsi="Symbol" w:hint="default"/>
      </w:rPr>
    </w:lvl>
    <w:lvl w:ilvl="7" w:tplc="040C0003" w:tentative="1">
      <w:start w:val="1"/>
      <w:numFmt w:val="bullet"/>
      <w:lvlText w:val="o"/>
      <w:lvlJc w:val="left"/>
      <w:pPr>
        <w:tabs>
          <w:tab w:val="num" w:pos="5760"/>
        </w:tabs>
        <w:ind w:left="5760" w:hanging="360"/>
      </w:pPr>
      <w:rPr>
        <w:rFonts w:ascii="Courier New" w:hAnsi="Courier New" w:cs="Courier New" w:hint="default"/>
      </w:rPr>
    </w:lvl>
    <w:lvl w:ilvl="8" w:tplc="040C0005" w:tentative="1">
      <w:start w:val="1"/>
      <w:numFmt w:val="bullet"/>
      <w:lvlText w:val=""/>
      <w:lvlJc w:val="left"/>
      <w:pPr>
        <w:tabs>
          <w:tab w:val="num" w:pos="6480"/>
        </w:tabs>
        <w:ind w:left="6480" w:hanging="360"/>
      </w:pPr>
      <w:rPr>
        <w:rFonts w:ascii="Wingdings" w:hAnsi="Wingdings" w:hint="default"/>
      </w:rPr>
    </w:lvl>
  </w:abstractNum>
  <w:abstractNum w:abstractNumId="2" w15:restartNumberingAfterBreak="0">
    <w:nsid w:val="0B851AF4"/>
    <w:multiLevelType w:val="hybridMultilevel"/>
    <w:tmpl w:val="462EC7C6"/>
    <w:lvl w:ilvl="0" w:tplc="7A2C7C9E">
      <w:start w:val="1"/>
      <w:numFmt w:val="bullet"/>
      <w:pStyle w:val="Bullet1GA"/>
      <w:lvlText w:val=""/>
      <w:lvlJc w:val="left"/>
      <w:pPr>
        <w:tabs>
          <w:tab w:val="num" w:pos="2495"/>
        </w:tabs>
        <w:ind w:left="2495" w:hanging="545"/>
      </w:pPr>
      <w:rPr>
        <w:rFonts w:ascii="Symbol" w:hAnsi="Symbol" w:hint="default"/>
      </w:rPr>
    </w:lvl>
    <w:lvl w:ilvl="1" w:tplc="04090003" w:tentative="1">
      <w:start w:val="1"/>
      <w:numFmt w:val="bullet"/>
      <w:lvlText w:val="o"/>
      <w:lvlJc w:val="left"/>
      <w:pPr>
        <w:tabs>
          <w:tab w:val="num" w:pos="1440"/>
        </w:tabs>
        <w:ind w:left="1440" w:hanging="360"/>
      </w:pPr>
      <w:rPr>
        <w:rFonts w:ascii="Courier New" w:hAnsi="Courier New" w:cs="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cs="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cs="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3" w15:restartNumberingAfterBreak="0">
    <w:nsid w:val="0C107804"/>
    <w:multiLevelType w:val="hybridMultilevel"/>
    <w:tmpl w:val="EAAE9AA0"/>
    <w:lvl w:ilvl="0" w:tplc="D602C7FE">
      <w:start w:val="1"/>
      <w:numFmt w:val="bullet"/>
      <w:lvlText w:val=""/>
      <w:lvlJc w:val="left"/>
      <w:pPr>
        <w:ind w:left="1976" w:hanging="360"/>
      </w:pPr>
      <w:rPr>
        <w:rFonts w:ascii="Symbol" w:hAnsi="Symbol" w:cs="Symbol" w:hint="default"/>
        <w:sz w:val="14"/>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4" w15:restartNumberingAfterBreak="0">
    <w:nsid w:val="1A515502"/>
    <w:multiLevelType w:val="hybridMultilevel"/>
    <w:tmpl w:val="B66A8766"/>
    <w:lvl w:ilvl="0" w:tplc="A1667854">
      <w:start w:val="1"/>
      <w:numFmt w:val="arabicAlpha"/>
      <w:lvlText w:val="(%1)"/>
      <w:lvlJc w:val="left"/>
      <w:pPr>
        <w:ind w:left="2612" w:hanging="682"/>
      </w:pPr>
      <w:rPr>
        <w:rFonts w:hint="default"/>
      </w:rPr>
    </w:lvl>
    <w:lvl w:ilvl="1" w:tplc="04090019" w:tentative="1">
      <w:start w:val="1"/>
      <w:numFmt w:val="lowerLetter"/>
      <w:lvlText w:val="%2."/>
      <w:lvlJc w:val="left"/>
      <w:pPr>
        <w:ind w:left="3010" w:hanging="360"/>
      </w:pPr>
    </w:lvl>
    <w:lvl w:ilvl="2" w:tplc="0409001B" w:tentative="1">
      <w:start w:val="1"/>
      <w:numFmt w:val="lowerRoman"/>
      <w:lvlText w:val="%3."/>
      <w:lvlJc w:val="right"/>
      <w:pPr>
        <w:ind w:left="3730" w:hanging="180"/>
      </w:pPr>
    </w:lvl>
    <w:lvl w:ilvl="3" w:tplc="0409000F" w:tentative="1">
      <w:start w:val="1"/>
      <w:numFmt w:val="decimal"/>
      <w:lvlText w:val="%4."/>
      <w:lvlJc w:val="left"/>
      <w:pPr>
        <w:ind w:left="4450" w:hanging="360"/>
      </w:pPr>
    </w:lvl>
    <w:lvl w:ilvl="4" w:tplc="04090019" w:tentative="1">
      <w:start w:val="1"/>
      <w:numFmt w:val="lowerLetter"/>
      <w:lvlText w:val="%5."/>
      <w:lvlJc w:val="left"/>
      <w:pPr>
        <w:ind w:left="5170" w:hanging="360"/>
      </w:pPr>
    </w:lvl>
    <w:lvl w:ilvl="5" w:tplc="0409001B" w:tentative="1">
      <w:start w:val="1"/>
      <w:numFmt w:val="lowerRoman"/>
      <w:lvlText w:val="%6."/>
      <w:lvlJc w:val="right"/>
      <w:pPr>
        <w:ind w:left="5890" w:hanging="180"/>
      </w:pPr>
    </w:lvl>
    <w:lvl w:ilvl="6" w:tplc="0409000F" w:tentative="1">
      <w:start w:val="1"/>
      <w:numFmt w:val="decimal"/>
      <w:lvlText w:val="%7."/>
      <w:lvlJc w:val="left"/>
      <w:pPr>
        <w:ind w:left="6610" w:hanging="360"/>
      </w:pPr>
    </w:lvl>
    <w:lvl w:ilvl="7" w:tplc="04090019" w:tentative="1">
      <w:start w:val="1"/>
      <w:numFmt w:val="lowerLetter"/>
      <w:lvlText w:val="%8."/>
      <w:lvlJc w:val="left"/>
      <w:pPr>
        <w:ind w:left="7330" w:hanging="360"/>
      </w:pPr>
    </w:lvl>
    <w:lvl w:ilvl="8" w:tplc="0409001B" w:tentative="1">
      <w:start w:val="1"/>
      <w:numFmt w:val="lowerRoman"/>
      <w:lvlText w:val="%9."/>
      <w:lvlJc w:val="right"/>
      <w:pPr>
        <w:ind w:left="8050" w:hanging="180"/>
      </w:pPr>
    </w:lvl>
  </w:abstractNum>
  <w:abstractNum w:abstractNumId="5" w15:restartNumberingAfterBreak="0">
    <w:nsid w:val="25F272F0"/>
    <w:multiLevelType w:val="hybridMultilevel"/>
    <w:tmpl w:val="639E4496"/>
    <w:lvl w:ilvl="0" w:tplc="9AA29D80">
      <w:start w:val="1"/>
      <w:numFmt w:val="decimal"/>
      <w:pStyle w:val="Roman1GA"/>
      <w:lvlText w:val="'%1'"/>
      <w:lvlJc w:val="right"/>
      <w:pPr>
        <w:tabs>
          <w:tab w:val="num" w:pos="2310"/>
        </w:tabs>
        <w:ind w:left="2310" w:hanging="360"/>
      </w:pPr>
    </w:lvl>
    <w:lvl w:ilvl="1" w:tplc="04090003" w:tentative="1">
      <w:start w:val="1"/>
      <w:numFmt w:val="bullet"/>
      <w:lvlText w:val="o"/>
      <w:lvlJc w:val="left"/>
      <w:pPr>
        <w:tabs>
          <w:tab w:val="num" w:pos="3028"/>
        </w:tabs>
        <w:ind w:left="3028" w:hanging="360"/>
      </w:pPr>
      <w:rPr>
        <w:rFonts w:ascii="Courier New" w:hAnsi="Courier New" w:cs="Courier New" w:hint="default"/>
      </w:rPr>
    </w:lvl>
    <w:lvl w:ilvl="2" w:tplc="04090005" w:tentative="1">
      <w:start w:val="1"/>
      <w:numFmt w:val="bullet"/>
      <w:lvlText w:val=""/>
      <w:lvlJc w:val="left"/>
      <w:pPr>
        <w:tabs>
          <w:tab w:val="num" w:pos="3748"/>
        </w:tabs>
        <w:ind w:left="3748" w:hanging="360"/>
      </w:pPr>
      <w:rPr>
        <w:rFonts w:ascii="Wingdings" w:hAnsi="Wingdings" w:hint="default"/>
      </w:rPr>
    </w:lvl>
    <w:lvl w:ilvl="3" w:tplc="04090001" w:tentative="1">
      <w:start w:val="1"/>
      <w:numFmt w:val="bullet"/>
      <w:lvlText w:val=""/>
      <w:lvlJc w:val="left"/>
      <w:pPr>
        <w:tabs>
          <w:tab w:val="num" w:pos="4468"/>
        </w:tabs>
        <w:ind w:left="4468" w:hanging="360"/>
      </w:pPr>
      <w:rPr>
        <w:rFonts w:ascii="Symbol" w:hAnsi="Symbol" w:hint="default"/>
      </w:rPr>
    </w:lvl>
    <w:lvl w:ilvl="4" w:tplc="04090003" w:tentative="1">
      <w:start w:val="1"/>
      <w:numFmt w:val="bullet"/>
      <w:lvlText w:val="o"/>
      <w:lvlJc w:val="left"/>
      <w:pPr>
        <w:tabs>
          <w:tab w:val="num" w:pos="5188"/>
        </w:tabs>
        <w:ind w:left="5188" w:hanging="360"/>
      </w:pPr>
      <w:rPr>
        <w:rFonts w:ascii="Courier New" w:hAnsi="Courier New" w:cs="Courier New" w:hint="default"/>
      </w:rPr>
    </w:lvl>
    <w:lvl w:ilvl="5" w:tplc="04090005" w:tentative="1">
      <w:start w:val="1"/>
      <w:numFmt w:val="bullet"/>
      <w:lvlText w:val=""/>
      <w:lvlJc w:val="left"/>
      <w:pPr>
        <w:tabs>
          <w:tab w:val="num" w:pos="5908"/>
        </w:tabs>
        <w:ind w:left="5908" w:hanging="360"/>
      </w:pPr>
      <w:rPr>
        <w:rFonts w:ascii="Wingdings" w:hAnsi="Wingdings" w:hint="default"/>
      </w:rPr>
    </w:lvl>
    <w:lvl w:ilvl="6" w:tplc="04090001" w:tentative="1">
      <w:start w:val="1"/>
      <w:numFmt w:val="bullet"/>
      <w:lvlText w:val=""/>
      <w:lvlJc w:val="left"/>
      <w:pPr>
        <w:tabs>
          <w:tab w:val="num" w:pos="6628"/>
        </w:tabs>
        <w:ind w:left="6628" w:hanging="360"/>
      </w:pPr>
      <w:rPr>
        <w:rFonts w:ascii="Symbol" w:hAnsi="Symbol" w:hint="default"/>
      </w:rPr>
    </w:lvl>
    <w:lvl w:ilvl="7" w:tplc="04090003" w:tentative="1">
      <w:start w:val="1"/>
      <w:numFmt w:val="bullet"/>
      <w:lvlText w:val="o"/>
      <w:lvlJc w:val="left"/>
      <w:pPr>
        <w:tabs>
          <w:tab w:val="num" w:pos="7348"/>
        </w:tabs>
        <w:ind w:left="7348" w:hanging="360"/>
      </w:pPr>
      <w:rPr>
        <w:rFonts w:ascii="Courier New" w:hAnsi="Courier New" w:cs="Courier New" w:hint="default"/>
      </w:rPr>
    </w:lvl>
    <w:lvl w:ilvl="8" w:tplc="04090005" w:tentative="1">
      <w:start w:val="1"/>
      <w:numFmt w:val="bullet"/>
      <w:lvlText w:val=""/>
      <w:lvlJc w:val="left"/>
      <w:pPr>
        <w:tabs>
          <w:tab w:val="num" w:pos="8068"/>
        </w:tabs>
        <w:ind w:left="8068" w:hanging="360"/>
      </w:pPr>
      <w:rPr>
        <w:rFonts w:ascii="Wingdings" w:hAnsi="Wingdings" w:hint="default"/>
      </w:rPr>
    </w:lvl>
  </w:abstractNum>
  <w:abstractNum w:abstractNumId="6" w15:restartNumberingAfterBreak="0">
    <w:nsid w:val="2E7D2AC6"/>
    <w:multiLevelType w:val="hybridMultilevel"/>
    <w:tmpl w:val="3D12582C"/>
    <w:lvl w:ilvl="0" w:tplc="CB588E8E">
      <w:start w:val="1"/>
      <w:numFmt w:val="bullet"/>
      <w:lvlText w:val="o"/>
      <w:lvlJc w:val="left"/>
      <w:pPr>
        <w:ind w:left="720" w:hanging="360"/>
      </w:pPr>
      <w:rPr>
        <w:rFonts w:ascii="Courier New" w:hAnsi="Courier New" w:cs="Courier New" w:hint="default"/>
        <w:spacing w:val="-20"/>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7" w15:restartNumberingAfterBreak="0">
    <w:nsid w:val="2EB4774D"/>
    <w:multiLevelType w:val="hybridMultilevel"/>
    <w:tmpl w:val="06BA8590"/>
    <w:lvl w:ilvl="0" w:tplc="0809000F">
      <w:start w:val="1"/>
      <w:numFmt w:val="decimal"/>
      <w:lvlText w:val="%1."/>
      <w:lvlJc w:val="left"/>
      <w:pPr>
        <w:ind w:left="720" w:hanging="360"/>
      </w:pPr>
      <w:rPr>
        <w:rFonts w:hint="default"/>
      </w:rPr>
    </w:lvl>
    <w:lvl w:ilvl="1" w:tplc="100C0019" w:tentative="1">
      <w:start w:val="1"/>
      <w:numFmt w:val="lowerLetter"/>
      <w:lvlText w:val="%2."/>
      <w:lvlJc w:val="left"/>
      <w:pPr>
        <w:ind w:left="1440" w:hanging="360"/>
      </w:pPr>
    </w:lvl>
    <w:lvl w:ilvl="2" w:tplc="100C001B" w:tentative="1">
      <w:start w:val="1"/>
      <w:numFmt w:val="lowerRoman"/>
      <w:lvlText w:val="%3."/>
      <w:lvlJc w:val="right"/>
      <w:pPr>
        <w:ind w:left="2160" w:hanging="180"/>
      </w:pPr>
    </w:lvl>
    <w:lvl w:ilvl="3" w:tplc="100C000F" w:tentative="1">
      <w:start w:val="1"/>
      <w:numFmt w:val="decimal"/>
      <w:lvlText w:val="%4."/>
      <w:lvlJc w:val="left"/>
      <w:pPr>
        <w:ind w:left="2880" w:hanging="360"/>
      </w:pPr>
    </w:lvl>
    <w:lvl w:ilvl="4" w:tplc="100C0019" w:tentative="1">
      <w:start w:val="1"/>
      <w:numFmt w:val="lowerLetter"/>
      <w:lvlText w:val="%5."/>
      <w:lvlJc w:val="left"/>
      <w:pPr>
        <w:ind w:left="3600" w:hanging="360"/>
      </w:pPr>
    </w:lvl>
    <w:lvl w:ilvl="5" w:tplc="100C001B" w:tentative="1">
      <w:start w:val="1"/>
      <w:numFmt w:val="lowerRoman"/>
      <w:lvlText w:val="%6."/>
      <w:lvlJc w:val="right"/>
      <w:pPr>
        <w:ind w:left="4320" w:hanging="180"/>
      </w:pPr>
    </w:lvl>
    <w:lvl w:ilvl="6" w:tplc="100C000F" w:tentative="1">
      <w:start w:val="1"/>
      <w:numFmt w:val="decimal"/>
      <w:lvlText w:val="%7."/>
      <w:lvlJc w:val="left"/>
      <w:pPr>
        <w:ind w:left="5040" w:hanging="360"/>
      </w:pPr>
    </w:lvl>
    <w:lvl w:ilvl="7" w:tplc="100C0019" w:tentative="1">
      <w:start w:val="1"/>
      <w:numFmt w:val="lowerLetter"/>
      <w:lvlText w:val="%8."/>
      <w:lvlJc w:val="left"/>
      <w:pPr>
        <w:ind w:left="5760" w:hanging="360"/>
      </w:pPr>
    </w:lvl>
    <w:lvl w:ilvl="8" w:tplc="100C001B" w:tentative="1">
      <w:start w:val="1"/>
      <w:numFmt w:val="lowerRoman"/>
      <w:lvlText w:val="%9."/>
      <w:lvlJc w:val="right"/>
      <w:pPr>
        <w:ind w:left="6480" w:hanging="180"/>
      </w:pPr>
    </w:lvl>
  </w:abstractNum>
  <w:abstractNum w:abstractNumId="8" w15:restartNumberingAfterBreak="0">
    <w:nsid w:val="32A75D52"/>
    <w:multiLevelType w:val="hybridMultilevel"/>
    <w:tmpl w:val="B622CBCC"/>
    <w:lvl w:ilvl="0" w:tplc="EF10EA04">
      <w:start w:val="1"/>
      <w:numFmt w:val="decimal"/>
      <w:pStyle w:val="ParaNoGA"/>
      <w:lvlText w:val="%1-"/>
      <w:lvlJc w:val="left"/>
      <w:pPr>
        <w:tabs>
          <w:tab w:val="num" w:pos="1361"/>
        </w:tabs>
        <w:ind w:left="1247" w:firstLine="0"/>
      </w:pPr>
      <w:rPr>
        <w:rFonts w:cs="Simplified Arabic"/>
        <w:sz w:val="22"/>
        <w:szCs w:val="22"/>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9" w15:restartNumberingAfterBreak="0">
    <w:nsid w:val="3ACF4EB2"/>
    <w:multiLevelType w:val="hybridMultilevel"/>
    <w:tmpl w:val="BE9AB9A6"/>
    <w:lvl w:ilvl="0" w:tplc="78607ACC">
      <w:start w:val="1"/>
      <w:numFmt w:val="bullet"/>
      <w:lvlText w:val="•"/>
      <w:lvlJc w:val="left"/>
      <w:pPr>
        <w:tabs>
          <w:tab w:val="num" w:pos="2268"/>
        </w:tabs>
        <w:ind w:left="2268" w:hanging="170"/>
      </w:pPr>
      <w:rPr>
        <w:rFonts w:ascii="Times New Roman" w:hAnsi="Times New Roman" w:cs="Times New Roman" w:hint="default"/>
      </w:rPr>
    </w:lvl>
    <w:lvl w:ilvl="1" w:tplc="040C0003" w:tentative="1">
      <w:start w:val="1"/>
      <w:numFmt w:val="bullet"/>
      <w:lvlText w:val="o"/>
      <w:lvlJc w:val="left"/>
      <w:pPr>
        <w:tabs>
          <w:tab w:val="num" w:pos="3708"/>
        </w:tabs>
        <w:ind w:left="3708" w:hanging="360"/>
      </w:pPr>
      <w:rPr>
        <w:rFonts w:ascii="Courier New" w:hAnsi="Courier New" w:hint="default"/>
      </w:rPr>
    </w:lvl>
    <w:lvl w:ilvl="2" w:tplc="040C0005" w:tentative="1">
      <w:start w:val="1"/>
      <w:numFmt w:val="bullet"/>
      <w:lvlText w:val=""/>
      <w:lvlJc w:val="left"/>
      <w:pPr>
        <w:tabs>
          <w:tab w:val="num" w:pos="4428"/>
        </w:tabs>
        <w:ind w:left="4428" w:hanging="360"/>
      </w:pPr>
      <w:rPr>
        <w:rFonts w:ascii="Wingdings" w:hAnsi="Wingdings" w:hint="default"/>
      </w:rPr>
    </w:lvl>
    <w:lvl w:ilvl="3" w:tplc="040C0001" w:tentative="1">
      <w:start w:val="1"/>
      <w:numFmt w:val="bullet"/>
      <w:lvlText w:val=""/>
      <w:lvlJc w:val="left"/>
      <w:pPr>
        <w:tabs>
          <w:tab w:val="num" w:pos="5148"/>
        </w:tabs>
        <w:ind w:left="5148" w:hanging="360"/>
      </w:pPr>
      <w:rPr>
        <w:rFonts w:ascii="Symbol" w:hAnsi="Symbol" w:hint="default"/>
      </w:rPr>
    </w:lvl>
    <w:lvl w:ilvl="4" w:tplc="040C0003" w:tentative="1">
      <w:start w:val="1"/>
      <w:numFmt w:val="bullet"/>
      <w:lvlText w:val="o"/>
      <w:lvlJc w:val="left"/>
      <w:pPr>
        <w:tabs>
          <w:tab w:val="num" w:pos="5868"/>
        </w:tabs>
        <w:ind w:left="5868" w:hanging="360"/>
      </w:pPr>
      <w:rPr>
        <w:rFonts w:ascii="Courier New" w:hAnsi="Courier New" w:hint="default"/>
      </w:rPr>
    </w:lvl>
    <w:lvl w:ilvl="5" w:tplc="040C0005" w:tentative="1">
      <w:start w:val="1"/>
      <w:numFmt w:val="bullet"/>
      <w:lvlText w:val=""/>
      <w:lvlJc w:val="left"/>
      <w:pPr>
        <w:tabs>
          <w:tab w:val="num" w:pos="6588"/>
        </w:tabs>
        <w:ind w:left="6588" w:hanging="360"/>
      </w:pPr>
      <w:rPr>
        <w:rFonts w:ascii="Wingdings" w:hAnsi="Wingdings" w:hint="default"/>
      </w:rPr>
    </w:lvl>
    <w:lvl w:ilvl="6" w:tplc="040C0001" w:tentative="1">
      <w:start w:val="1"/>
      <w:numFmt w:val="bullet"/>
      <w:lvlText w:val=""/>
      <w:lvlJc w:val="left"/>
      <w:pPr>
        <w:tabs>
          <w:tab w:val="num" w:pos="7308"/>
        </w:tabs>
        <w:ind w:left="7308" w:hanging="360"/>
      </w:pPr>
      <w:rPr>
        <w:rFonts w:ascii="Symbol" w:hAnsi="Symbol" w:hint="default"/>
      </w:rPr>
    </w:lvl>
    <w:lvl w:ilvl="7" w:tplc="040C0003" w:tentative="1">
      <w:start w:val="1"/>
      <w:numFmt w:val="bullet"/>
      <w:lvlText w:val="o"/>
      <w:lvlJc w:val="left"/>
      <w:pPr>
        <w:tabs>
          <w:tab w:val="num" w:pos="8028"/>
        </w:tabs>
        <w:ind w:left="8028" w:hanging="360"/>
      </w:pPr>
      <w:rPr>
        <w:rFonts w:ascii="Courier New" w:hAnsi="Courier New" w:hint="default"/>
      </w:rPr>
    </w:lvl>
    <w:lvl w:ilvl="8" w:tplc="040C0005" w:tentative="1">
      <w:start w:val="1"/>
      <w:numFmt w:val="bullet"/>
      <w:lvlText w:val=""/>
      <w:lvlJc w:val="left"/>
      <w:pPr>
        <w:tabs>
          <w:tab w:val="num" w:pos="8748"/>
        </w:tabs>
        <w:ind w:left="8748" w:hanging="360"/>
      </w:pPr>
      <w:rPr>
        <w:rFonts w:ascii="Wingdings" w:hAnsi="Wingdings" w:hint="default"/>
      </w:rPr>
    </w:lvl>
  </w:abstractNum>
  <w:abstractNum w:abstractNumId="10" w15:restartNumberingAfterBreak="0">
    <w:nsid w:val="3ADF34DA"/>
    <w:multiLevelType w:val="hybridMultilevel"/>
    <w:tmpl w:val="21FC2716"/>
    <w:lvl w:ilvl="0" w:tplc="6E5892B2">
      <w:start w:val="1"/>
      <w:numFmt w:val="decimal"/>
      <w:lvlText w:val="%1."/>
      <w:lvlJc w:val="left"/>
      <w:pPr>
        <w:ind w:left="720" w:hanging="360"/>
      </w:pPr>
      <w:rPr>
        <w:rFonts w:cs="Times New Roman"/>
      </w:rPr>
    </w:lvl>
    <w:lvl w:ilvl="1" w:tplc="04090019">
      <w:start w:val="1"/>
      <w:numFmt w:val="lowerLetter"/>
      <w:lvlText w:val="%2."/>
      <w:lvlJc w:val="left"/>
      <w:pPr>
        <w:ind w:left="1440" w:hanging="360"/>
      </w:pPr>
    </w:lvl>
    <w:lvl w:ilvl="2" w:tplc="0409001B">
      <w:start w:val="1"/>
      <w:numFmt w:val="lowerRoman"/>
      <w:lvlText w:val="%3."/>
      <w:lvlJc w:val="right"/>
      <w:pPr>
        <w:ind w:left="2160" w:hanging="180"/>
      </w:pPr>
    </w:lvl>
    <w:lvl w:ilvl="3" w:tplc="0409000F">
      <w:start w:val="1"/>
      <w:numFmt w:val="decimal"/>
      <w:lvlText w:val="%4."/>
      <w:lvlJc w:val="left"/>
      <w:pPr>
        <w:ind w:left="2880" w:hanging="360"/>
      </w:pPr>
    </w:lvl>
    <w:lvl w:ilvl="4" w:tplc="04090019">
      <w:start w:val="1"/>
      <w:numFmt w:val="lowerLetter"/>
      <w:lvlText w:val="%5."/>
      <w:lvlJc w:val="left"/>
      <w:pPr>
        <w:ind w:left="3600" w:hanging="360"/>
      </w:pPr>
    </w:lvl>
    <w:lvl w:ilvl="5" w:tplc="0409001B">
      <w:start w:val="1"/>
      <w:numFmt w:val="lowerRoman"/>
      <w:lvlText w:val="%6."/>
      <w:lvlJc w:val="right"/>
      <w:pPr>
        <w:ind w:left="4320" w:hanging="180"/>
      </w:pPr>
    </w:lvl>
    <w:lvl w:ilvl="6" w:tplc="0409000F">
      <w:start w:val="1"/>
      <w:numFmt w:val="decimal"/>
      <w:lvlText w:val="%7."/>
      <w:lvlJc w:val="left"/>
      <w:pPr>
        <w:ind w:left="5040" w:hanging="360"/>
      </w:pPr>
    </w:lvl>
    <w:lvl w:ilvl="7" w:tplc="04090019">
      <w:start w:val="1"/>
      <w:numFmt w:val="lowerLetter"/>
      <w:lvlText w:val="%8."/>
      <w:lvlJc w:val="left"/>
      <w:pPr>
        <w:ind w:left="5760" w:hanging="360"/>
      </w:pPr>
    </w:lvl>
    <w:lvl w:ilvl="8" w:tplc="0409001B">
      <w:start w:val="1"/>
      <w:numFmt w:val="lowerRoman"/>
      <w:lvlText w:val="%9."/>
      <w:lvlJc w:val="right"/>
      <w:pPr>
        <w:ind w:left="6480" w:hanging="180"/>
      </w:pPr>
    </w:lvl>
  </w:abstractNum>
  <w:abstractNum w:abstractNumId="11" w15:restartNumberingAfterBreak="0">
    <w:nsid w:val="454B2370"/>
    <w:multiLevelType w:val="hybridMultilevel"/>
    <w:tmpl w:val="7720856A"/>
    <w:lvl w:ilvl="0" w:tplc="D090D7F2">
      <w:start w:val="1"/>
      <w:numFmt w:val="bullet"/>
      <w:pStyle w:val="Bullet2GA"/>
      <w:lvlText w:val=""/>
      <w:lvlJc w:val="left"/>
      <w:pPr>
        <w:tabs>
          <w:tab w:val="num" w:pos="3215"/>
        </w:tabs>
        <w:ind w:left="3215" w:hanging="360"/>
      </w:pPr>
      <w:rPr>
        <w:rFonts w:ascii="Symbol" w:hAnsi="Symbol" w:hint="default"/>
      </w:rPr>
    </w:lvl>
    <w:lvl w:ilvl="1" w:tplc="04090003" w:tentative="1">
      <w:start w:val="1"/>
      <w:numFmt w:val="bullet"/>
      <w:lvlText w:val="o"/>
      <w:lvlJc w:val="left"/>
      <w:pPr>
        <w:tabs>
          <w:tab w:val="num" w:pos="3935"/>
        </w:tabs>
        <w:ind w:left="3935" w:hanging="360"/>
      </w:pPr>
      <w:rPr>
        <w:rFonts w:ascii="Courier New" w:hAnsi="Courier New" w:cs="Courier New" w:hint="default"/>
      </w:rPr>
    </w:lvl>
    <w:lvl w:ilvl="2" w:tplc="04090005" w:tentative="1">
      <w:start w:val="1"/>
      <w:numFmt w:val="bullet"/>
      <w:lvlText w:val=""/>
      <w:lvlJc w:val="left"/>
      <w:pPr>
        <w:tabs>
          <w:tab w:val="num" w:pos="4655"/>
        </w:tabs>
        <w:ind w:left="4655" w:hanging="360"/>
      </w:pPr>
      <w:rPr>
        <w:rFonts w:ascii="Wingdings" w:hAnsi="Wingdings" w:hint="default"/>
      </w:rPr>
    </w:lvl>
    <w:lvl w:ilvl="3" w:tplc="04090001" w:tentative="1">
      <w:start w:val="1"/>
      <w:numFmt w:val="bullet"/>
      <w:lvlText w:val=""/>
      <w:lvlJc w:val="left"/>
      <w:pPr>
        <w:tabs>
          <w:tab w:val="num" w:pos="5375"/>
        </w:tabs>
        <w:ind w:left="5375" w:hanging="360"/>
      </w:pPr>
      <w:rPr>
        <w:rFonts w:ascii="Symbol" w:hAnsi="Symbol" w:hint="default"/>
      </w:rPr>
    </w:lvl>
    <w:lvl w:ilvl="4" w:tplc="04090003" w:tentative="1">
      <w:start w:val="1"/>
      <w:numFmt w:val="bullet"/>
      <w:lvlText w:val="o"/>
      <w:lvlJc w:val="left"/>
      <w:pPr>
        <w:tabs>
          <w:tab w:val="num" w:pos="6095"/>
        </w:tabs>
        <w:ind w:left="6095" w:hanging="360"/>
      </w:pPr>
      <w:rPr>
        <w:rFonts w:ascii="Courier New" w:hAnsi="Courier New" w:cs="Courier New" w:hint="default"/>
      </w:rPr>
    </w:lvl>
    <w:lvl w:ilvl="5" w:tplc="04090005" w:tentative="1">
      <w:start w:val="1"/>
      <w:numFmt w:val="bullet"/>
      <w:lvlText w:val=""/>
      <w:lvlJc w:val="left"/>
      <w:pPr>
        <w:tabs>
          <w:tab w:val="num" w:pos="6815"/>
        </w:tabs>
        <w:ind w:left="6815" w:hanging="360"/>
      </w:pPr>
      <w:rPr>
        <w:rFonts w:ascii="Wingdings" w:hAnsi="Wingdings" w:hint="default"/>
      </w:rPr>
    </w:lvl>
    <w:lvl w:ilvl="6" w:tplc="04090001" w:tentative="1">
      <w:start w:val="1"/>
      <w:numFmt w:val="bullet"/>
      <w:lvlText w:val=""/>
      <w:lvlJc w:val="left"/>
      <w:pPr>
        <w:tabs>
          <w:tab w:val="num" w:pos="7535"/>
        </w:tabs>
        <w:ind w:left="7535" w:hanging="360"/>
      </w:pPr>
      <w:rPr>
        <w:rFonts w:ascii="Symbol" w:hAnsi="Symbol" w:hint="default"/>
      </w:rPr>
    </w:lvl>
    <w:lvl w:ilvl="7" w:tplc="04090003" w:tentative="1">
      <w:start w:val="1"/>
      <w:numFmt w:val="bullet"/>
      <w:lvlText w:val="o"/>
      <w:lvlJc w:val="left"/>
      <w:pPr>
        <w:tabs>
          <w:tab w:val="num" w:pos="8255"/>
        </w:tabs>
        <w:ind w:left="8255" w:hanging="360"/>
      </w:pPr>
      <w:rPr>
        <w:rFonts w:ascii="Courier New" w:hAnsi="Courier New" w:cs="Courier New" w:hint="default"/>
      </w:rPr>
    </w:lvl>
    <w:lvl w:ilvl="8" w:tplc="04090005" w:tentative="1">
      <w:start w:val="1"/>
      <w:numFmt w:val="bullet"/>
      <w:lvlText w:val=""/>
      <w:lvlJc w:val="left"/>
      <w:pPr>
        <w:tabs>
          <w:tab w:val="num" w:pos="8975"/>
        </w:tabs>
        <w:ind w:left="8975" w:hanging="360"/>
      </w:pPr>
      <w:rPr>
        <w:rFonts w:ascii="Wingdings" w:hAnsi="Wingdings" w:hint="default"/>
      </w:rPr>
    </w:lvl>
  </w:abstractNum>
  <w:abstractNum w:abstractNumId="12" w15:restartNumberingAfterBreak="0">
    <w:nsid w:val="48F8044A"/>
    <w:multiLevelType w:val="hybridMultilevel"/>
    <w:tmpl w:val="973C8384"/>
    <w:lvl w:ilvl="0" w:tplc="F1944034">
      <w:start w:val="1"/>
      <w:numFmt w:val="decimal"/>
      <w:lvlText w:val="(%1)"/>
      <w:lvlJc w:val="right"/>
      <w:pPr>
        <w:ind w:left="720" w:hanging="360"/>
      </w:pPr>
      <w:rPr>
        <w:rFonts w:ascii="Traditional Arabic" w:hAnsi="Traditional Arabic" w:cs="Traditional Arabic"/>
        <w:sz w:val="26"/>
        <w:szCs w:val="26"/>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3" w15:restartNumberingAfterBreak="0">
    <w:nsid w:val="5DFB3625"/>
    <w:multiLevelType w:val="hybridMultilevel"/>
    <w:tmpl w:val="C4BCDC5E"/>
    <w:lvl w:ilvl="0" w:tplc="702CE228">
      <w:start w:val="1"/>
      <w:numFmt w:val="bullet"/>
      <w:lvlText w:val=""/>
      <w:lvlJc w:val="left"/>
      <w:pPr>
        <w:ind w:left="3283" w:hanging="360"/>
      </w:pPr>
      <w:rPr>
        <w:rFonts w:ascii="Symbol" w:hAnsi="Symbol" w:cs="Symbol" w:hint="default"/>
        <w:sz w:val="14"/>
      </w:rPr>
    </w:lvl>
    <w:lvl w:ilvl="1" w:tplc="04090003" w:tentative="1">
      <w:start w:val="1"/>
      <w:numFmt w:val="bullet"/>
      <w:lvlText w:val="o"/>
      <w:lvlJc w:val="left"/>
      <w:pPr>
        <w:ind w:left="4003" w:hanging="360"/>
      </w:pPr>
      <w:rPr>
        <w:rFonts w:ascii="Courier New" w:hAnsi="Courier New" w:cs="Courier New" w:hint="default"/>
      </w:rPr>
    </w:lvl>
    <w:lvl w:ilvl="2" w:tplc="04090005" w:tentative="1">
      <w:start w:val="1"/>
      <w:numFmt w:val="bullet"/>
      <w:lvlText w:val=""/>
      <w:lvlJc w:val="left"/>
      <w:pPr>
        <w:ind w:left="4723" w:hanging="360"/>
      </w:pPr>
      <w:rPr>
        <w:rFonts w:ascii="Wingdings" w:hAnsi="Wingdings" w:hint="default"/>
      </w:rPr>
    </w:lvl>
    <w:lvl w:ilvl="3" w:tplc="04090001" w:tentative="1">
      <w:start w:val="1"/>
      <w:numFmt w:val="bullet"/>
      <w:lvlText w:val=""/>
      <w:lvlJc w:val="left"/>
      <w:pPr>
        <w:ind w:left="5443" w:hanging="360"/>
      </w:pPr>
      <w:rPr>
        <w:rFonts w:ascii="Symbol" w:hAnsi="Symbol" w:hint="default"/>
      </w:rPr>
    </w:lvl>
    <w:lvl w:ilvl="4" w:tplc="04090003" w:tentative="1">
      <w:start w:val="1"/>
      <w:numFmt w:val="bullet"/>
      <w:lvlText w:val="o"/>
      <w:lvlJc w:val="left"/>
      <w:pPr>
        <w:ind w:left="6163" w:hanging="360"/>
      </w:pPr>
      <w:rPr>
        <w:rFonts w:ascii="Courier New" w:hAnsi="Courier New" w:cs="Courier New" w:hint="default"/>
      </w:rPr>
    </w:lvl>
    <w:lvl w:ilvl="5" w:tplc="04090005" w:tentative="1">
      <w:start w:val="1"/>
      <w:numFmt w:val="bullet"/>
      <w:lvlText w:val=""/>
      <w:lvlJc w:val="left"/>
      <w:pPr>
        <w:ind w:left="6883" w:hanging="360"/>
      </w:pPr>
      <w:rPr>
        <w:rFonts w:ascii="Wingdings" w:hAnsi="Wingdings" w:hint="default"/>
      </w:rPr>
    </w:lvl>
    <w:lvl w:ilvl="6" w:tplc="04090001" w:tentative="1">
      <w:start w:val="1"/>
      <w:numFmt w:val="bullet"/>
      <w:lvlText w:val=""/>
      <w:lvlJc w:val="left"/>
      <w:pPr>
        <w:ind w:left="7603" w:hanging="360"/>
      </w:pPr>
      <w:rPr>
        <w:rFonts w:ascii="Symbol" w:hAnsi="Symbol" w:hint="default"/>
      </w:rPr>
    </w:lvl>
    <w:lvl w:ilvl="7" w:tplc="04090003" w:tentative="1">
      <w:start w:val="1"/>
      <w:numFmt w:val="bullet"/>
      <w:lvlText w:val="o"/>
      <w:lvlJc w:val="left"/>
      <w:pPr>
        <w:ind w:left="8323" w:hanging="360"/>
      </w:pPr>
      <w:rPr>
        <w:rFonts w:ascii="Courier New" w:hAnsi="Courier New" w:cs="Courier New" w:hint="default"/>
      </w:rPr>
    </w:lvl>
    <w:lvl w:ilvl="8" w:tplc="04090005" w:tentative="1">
      <w:start w:val="1"/>
      <w:numFmt w:val="bullet"/>
      <w:lvlText w:val=""/>
      <w:lvlJc w:val="left"/>
      <w:pPr>
        <w:ind w:left="9043" w:hanging="360"/>
      </w:pPr>
      <w:rPr>
        <w:rFonts w:ascii="Wingdings" w:hAnsi="Wingdings" w:hint="default"/>
      </w:rPr>
    </w:lvl>
  </w:abstractNum>
  <w:abstractNum w:abstractNumId="14" w15:restartNumberingAfterBreak="0">
    <w:nsid w:val="68AD07B2"/>
    <w:multiLevelType w:val="hybridMultilevel"/>
    <w:tmpl w:val="6EDEC56E"/>
    <w:lvl w:ilvl="0" w:tplc="A61AB22A">
      <w:start w:val="1"/>
      <w:numFmt w:val="bullet"/>
      <w:lvlText w:val="•"/>
      <w:lvlJc w:val="left"/>
      <w:pPr>
        <w:tabs>
          <w:tab w:val="num" w:pos="1701"/>
        </w:tabs>
        <w:ind w:left="1701" w:hanging="170"/>
      </w:pPr>
      <w:rPr>
        <w:rFonts w:ascii="Times New Roman" w:hAnsi="Times New Roman" w:cs="Times New Roman" w:hint="default"/>
        <w:sz w:val="16"/>
        <w:szCs w:val="16"/>
      </w:rPr>
    </w:lvl>
    <w:lvl w:ilvl="1" w:tplc="040C0003" w:tentative="1">
      <w:start w:val="1"/>
      <w:numFmt w:val="bullet"/>
      <w:lvlText w:val="o"/>
      <w:lvlJc w:val="left"/>
      <w:pPr>
        <w:tabs>
          <w:tab w:val="num" w:pos="3141"/>
        </w:tabs>
        <w:ind w:left="3141" w:hanging="360"/>
      </w:pPr>
      <w:rPr>
        <w:rFonts w:ascii="Courier New" w:hAnsi="Courier New" w:hint="default"/>
      </w:rPr>
    </w:lvl>
    <w:lvl w:ilvl="2" w:tplc="040C0005" w:tentative="1">
      <w:start w:val="1"/>
      <w:numFmt w:val="bullet"/>
      <w:lvlText w:val=""/>
      <w:lvlJc w:val="left"/>
      <w:pPr>
        <w:tabs>
          <w:tab w:val="num" w:pos="3861"/>
        </w:tabs>
        <w:ind w:left="3861" w:hanging="360"/>
      </w:pPr>
      <w:rPr>
        <w:rFonts w:ascii="Wingdings" w:hAnsi="Wingdings" w:hint="default"/>
      </w:rPr>
    </w:lvl>
    <w:lvl w:ilvl="3" w:tplc="040C0001" w:tentative="1">
      <w:start w:val="1"/>
      <w:numFmt w:val="bullet"/>
      <w:lvlText w:val=""/>
      <w:lvlJc w:val="left"/>
      <w:pPr>
        <w:tabs>
          <w:tab w:val="num" w:pos="4581"/>
        </w:tabs>
        <w:ind w:left="4581" w:hanging="360"/>
      </w:pPr>
      <w:rPr>
        <w:rFonts w:ascii="Symbol" w:hAnsi="Symbol" w:hint="default"/>
      </w:rPr>
    </w:lvl>
    <w:lvl w:ilvl="4" w:tplc="040C0003" w:tentative="1">
      <w:start w:val="1"/>
      <w:numFmt w:val="bullet"/>
      <w:lvlText w:val="o"/>
      <w:lvlJc w:val="left"/>
      <w:pPr>
        <w:tabs>
          <w:tab w:val="num" w:pos="5301"/>
        </w:tabs>
        <w:ind w:left="5301" w:hanging="360"/>
      </w:pPr>
      <w:rPr>
        <w:rFonts w:ascii="Courier New" w:hAnsi="Courier New" w:hint="default"/>
      </w:rPr>
    </w:lvl>
    <w:lvl w:ilvl="5" w:tplc="040C0005" w:tentative="1">
      <w:start w:val="1"/>
      <w:numFmt w:val="bullet"/>
      <w:lvlText w:val=""/>
      <w:lvlJc w:val="left"/>
      <w:pPr>
        <w:tabs>
          <w:tab w:val="num" w:pos="6021"/>
        </w:tabs>
        <w:ind w:left="6021" w:hanging="360"/>
      </w:pPr>
      <w:rPr>
        <w:rFonts w:ascii="Wingdings" w:hAnsi="Wingdings" w:hint="default"/>
      </w:rPr>
    </w:lvl>
    <w:lvl w:ilvl="6" w:tplc="040C0001" w:tentative="1">
      <w:start w:val="1"/>
      <w:numFmt w:val="bullet"/>
      <w:lvlText w:val=""/>
      <w:lvlJc w:val="left"/>
      <w:pPr>
        <w:tabs>
          <w:tab w:val="num" w:pos="6741"/>
        </w:tabs>
        <w:ind w:left="6741" w:hanging="360"/>
      </w:pPr>
      <w:rPr>
        <w:rFonts w:ascii="Symbol" w:hAnsi="Symbol" w:hint="default"/>
      </w:rPr>
    </w:lvl>
    <w:lvl w:ilvl="7" w:tplc="040C0003" w:tentative="1">
      <w:start w:val="1"/>
      <w:numFmt w:val="bullet"/>
      <w:lvlText w:val="o"/>
      <w:lvlJc w:val="left"/>
      <w:pPr>
        <w:tabs>
          <w:tab w:val="num" w:pos="7461"/>
        </w:tabs>
        <w:ind w:left="7461" w:hanging="360"/>
      </w:pPr>
      <w:rPr>
        <w:rFonts w:ascii="Courier New" w:hAnsi="Courier New" w:hint="default"/>
      </w:rPr>
    </w:lvl>
    <w:lvl w:ilvl="8" w:tplc="040C0005" w:tentative="1">
      <w:start w:val="1"/>
      <w:numFmt w:val="bullet"/>
      <w:lvlText w:val=""/>
      <w:lvlJc w:val="left"/>
      <w:pPr>
        <w:tabs>
          <w:tab w:val="num" w:pos="8181"/>
        </w:tabs>
        <w:ind w:left="8181" w:hanging="360"/>
      </w:pPr>
      <w:rPr>
        <w:rFonts w:ascii="Wingdings" w:hAnsi="Wingdings" w:hint="default"/>
      </w:rPr>
    </w:lvl>
  </w:abstractNum>
  <w:abstractNum w:abstractNumId="15" w15:restartNumberingAfterBreak="0">
    <w:nsid w:val="6FCD5A59"/>
    <w:multiLevelType w:val="hybridMultilevel"/>
    <w:tmpl w:val="5D8E7F50"/>
    <w:lvl w:ilvl="0" w:tplc="F1944034">
      <w:start w:val="1"/>
      <w:numFmt w:val="decimal"/>
      <w:lvlRestart w:val="0"/>
      <w:lvlText w:val="(%1)"/>
      <w:lvlJc w:val="right"/>
      <w:pPr>
        <w:tabs>
          <w:tab w:val="num" w:pos="1292"/>
        </w:tabs>
        <w:ind w:left="1292" w:hanging="227"/>
      </w:pPr>
      <w:rPr>
        <w:rFonts w:ascii="Traditional Arabic" w:hAnsi="Traditional Arabic" w:cs="Traditional Arabic"/>
        <w:sz w:val="26"/>
        <w:szCs w:val="26"/>
      </w:rPr>
    </w:lvl>
    <w:lvl w:ilvl="1" w:tplc="04090019" w:tentative="1">
      <w:start w:val="1"/>
      <w:numFmt w:val="lowerLetter"/>
      <w:lvlText w:val="%2."/>
      <w:lvlJc w:val="left"/>
      <w:pPr>
        <w:ind w:left="1485" w:hanging="360"/>
      </w:pPr>
    </w:lvl>
    <w:lvl w:ilvl="2" w:tplc="0409001B" w:tentative="1">
      <w:start w:val="1"/>
      <w:numFmt w:val="lowerRoman"/>
      <w:lvlText w:val="%3."/>
      <w:lvlJc w:val="right"/>
      <w:pPr>
        <w:ind w:left="2205" w:hanging="180"/>
      </w:pPr>
    </w:lvl>
    <w:lvl w:ilvl="3" w:tplc="0409000F" w:tentative="1">
      <w:start w:val="1"/>
      <w:numFmt w:val="decimal"/>
      <w:lvlText w:val="%4."/>
      <w:lvlJc w:val="left"/>
      <w:pPr>
        <w:ind w:left="2925" w:hanging="360"/>
      </w:pPr>
    </w:lvl>
    <w:lvl w:ilvl="4" w:tplc="04090019" w:tentative="1">
      <w:start w:val="1"/>
      <w:numFmt w:val="lowerLetter"/>
      <w:lvlText w:val="%5."/>
      <w:lvlJc w:val="left"/>
      <w:pPr>
        <w:ind w:left="3645" w:hanging="360"/>
      </w:pPr>
    </w:lvl>
    <w:lvl w:ilvl="5" w:tplc="0409001B" w:tentative="1">
      <w:start w:val="1"/>
      <w:numFmt w:val="lowerRoman"/>
      <w:lvlText w:val="%6."/>
      <w:lvlJc w:val="right"/>
      <w:pPr>
        <w:ind w:left="4365" w:hanging="180"/>
      </w:pPr>
    </w:lvl>
    <w:lvl w:ilvl="6" w:tplc="0409000F" w:tentative="1">
      <w:start w:val="1"/>
      <w:numFmt w:val="decimal"/>
      <w:lvlText w:val="%7."/>
      <w:lvlJc w:val="left"/>
      <w:pPr>
        <w:ind w:left="5085" w:hanging="360"/>
      </w:pPr>
    </w:lvl>
    <w:lvl w:ilvl="7" w:tplc="04090019" w:tentative="1">
      <w:start w:val="1"/>
      <w:numFmt w:val="lowerLetter"/>
      <w:lvlText w:val="%8."/>
      <w:lvlJc w:val="left"/>
      <w:pPr>
        <w:ind w:left="5805" w:hanging="360"/>
      </w:pPr>
    </w:lvl>
    <w:lvl w:ilvl="8" w:tplc="0409001B" w:tentative="1">
      <w:start w:val="1"/>
      <w:numFmt w:val="lowerRoman"/>
      <w:lvlText w:val="%9."/>
      <w:lvlJc w:val="right"/>
      <w:pPr>
        <w:ind w:left="6525" w:hanging="180"/>
      </w:pPr>
    </w:lvl>
  </w:abstractNum>
  <w:abstractNum w:abstractNumId="16" w15:restartNumberingAfterBreak="0">
    <w:nsid w:val="702101EC"/>
    <w:multiLevelType w:val="hybridMultilevel"/>
    <w:tmpl w:val="D64CD08C"/>
    <w:lvl w:ilvl="0" w:tplc="CE7E406C">
      <w:start w:val="1"/>
      <w:numFmt w:val="bullet"/>
      <w:lvlText w:val=""/>
      <w:lvlJc w:val="left"/>
      <w:pPr>
        <w:ind w:left="720" w:hanging="360"/>
      </w:pPr>
      <w:rPr>
        <w:rFonts w:ascii="Symbol" w:hAnsi="Symbol" w:cs="Symbol" w:hint="default"/>
        <w:sz w:val="14"/>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7" w15:restartNumberingAfterBreak="0">
    <w:nsid w:val="7AE32A09"/>
    <w:multiLevelType w:val="hybridMultilevel"/>
    <w:tmpl w:val="B8DC87A6"/>
    <w:lvl w:ilvl="0" w:tplc="72A485D8">
      <w:start w:val="1"/>
      <w:numFmt w:val="decimal"/>
      <w:pStyle w:val="Roman2GA"/>
      <w:lvlText w:val="'%1'"/>
      <w:lvlJc w:val="right"/>
      <w:pPr>
        <w:tabs>
          <w:tab w:val="num" w:pos="2877"/>
        </w:tabs>
        <w:ind w:left="2877" w:hanging="360"/>
      </w:pPr>
    </w:lvl>
    <w:lvl w:ilvl="1" w:tplc="04090003" w:tentative="1">
      <w:start w:val="1"/>
      <w:numFmt w:val="bullet"/>
      <w:lvlText w:val="o"/>
      <w:lvlJc w:val="left"/>
      <w:pPr>
        <w:tabs>
          <w:tab w:val="num" w:pos="3595"/>
        </w:tabs>
        <w:ind w:left="3595" w:hanging="360"/>
      </w:pPr>
      <w:rPr>
        <w:rFonts w:ascii="Courier New" w:hAnsi="Courier New" w:cs="Courier New" w:hint="default"/>
      </w:rPr>
    </w:lvl>
    <w:lvl w:ilvl="2" w:tplc="04090005" w:tentative="1">
      <w:start w:val="1"/>
      <w:numFmt w:val="bullet"/>
      <w:lvlText w:val=""/>
      <w:lvlJc w:val="left"/>
      <w:pPr>
        <w:tabs>
          <w:tab w:val="num" w:pos="4315"/>
        </w:tabs>
        <w:ind w:left="4315" w:hanging="360"/>
      </w:pPr>
      <w:rPr>
        <w:rFonts w:ascii="Wingdings" w:hAnsi="Wingdings" w:hint="default"/>
      </w:rPr>
    </w:lvl>
    <w:lvl w:ilvl="3" w:tplc="04090001" w:tentative="1">
      <w:start w:val="1"/>
      <w:numFmt w:val="bullet"/>
      <w:lvlText w:val=""/>
      <w:lvlJc w:val="left"/>
      <w:pPr>
        <w:tabs>
          <w:tab w:val="num" w:pos="5035"/>
        </w:tabs>
        <w:ind w:left="5035" w:hanging="360"/>
      </w:pPr>
      <w:rPr>
        <w:rFonts w:ascii="Symbol" w:hAnsi="Symbol" w:hint="default"/>
      </w:rPr>
    </w:lvl>
    <w:lvl w:ilvl="4" w:tplc="04090003" w:tentative="1">
      <w:start w:val="1"/>
      <w:numFmt w:val="bullet"/>
      <w:lvlText w:val="o"/>
      <w:lvlJc w:val="left"/>
      <w:pPr>
        <w:tabs>
          <w:tab w:val="num" w:pos="5755"/>
        </w:tabs>
        <w:ind w:left="5755" w:hanging="360"/>
      </w:pPr>
      <w:rPr>
        <w:rFonts w:ascii="Courier New" w:hAnsi="Courier New" w:cs="Courier New" w:hint="default"/>
      </w:rPr>
    </w:lvl>
    <w:lvl w:ilvl="5" w:tplc="04090005" w:tentative="1">
      <w:start w:val="1"/>
      <w:numFmt w:val="bullet"/>
      <w:lvlText w:val=""/>
      <w:lvlJc w:val="left"/>
      <w:pPr>
        <w:tabs>
          <w:tab w:val="num" w:pos="6475"/>
        </w:tabs>
        <w:ind w:left="6475" w:hanging="360"/>
      </w:pPr>
      <w:rPr>
        <w:rFonts w:ascii="Wingdings" w:hAnsi="Wingdings" w:hint="default"/>
      </w:rPr>
    </w:lvl>
    <w:lvl w:ilvl="6" w:tplc="04090001" w:tentative="1">
      <w:start w:val="1"/>
      <w:numFmt w:val="bullet"/>
      <w:lvlText w:val=""/>
      <w:lvlJc w:val="left"/>
      <w:pPr>
        <w:tabs>
          <w:tab w:val="num" w:pos="7195"/>
        </w:tabs>
        <w:ind w:left="7195" w:hanging="360"/>
      </w:pPr>
      <w:rPr>
        <w:rFonts w:ascii="Symbol" w:hAnsi="Symbol" w:hint="default"/>
      </w:rPr>
    </w:lvl>
    <w:lvl w:ilvl="7" w:tplc="04090003" w:tentative="1">
      <w:start w:val="1"/>
      <w:numFmt w:val="bullet"/>
      <w:lvlText w:val="o"/>
      <w:lvlJc w:val="left"/>
      <w:pPr>
        <w:tabs>
          <w:tab w:val="num" w:pos="7915"/>
        </w:tabs>
        <w:ind w:left="7915" w:hanging="360"/>
      </w:pPr>
      <w:rPr>
        <w:rFonts w:ascii="Courier New" w:hAnsi="Courier New" w:cs="Courier New" w:hint="default"/>
      </w:rPr>
    </w:lvl>
    <w:lvl w:ilvl="8" w:tplc="04090005" w:tentative="1">
      <w:start w:val="1"/>
      <w:numFmt w:val="bullet"/>
      <w:lvlText w:val=""/>
      <w:lvlJc w:val="left"/>
      <w:pPr>
        <w:tabs>
          <w:tab w:val="num" w:pos="8635"/>
        </w:tabs>
        <w:ind w:left="8635" w:hanging="360"/>
      </w:pPr>
      <w:rPr>
        <w:rFonts w:ascii="Wingdings" w:hAnsi="Wingdings" w:hint="default"/>
      </w:rPr>
    </w:lvl>
  </w:abstractNum>
  <w:num w:numId="1">
    <w:abstractNumId w:val="15"/>
  </w:num>
  <w:num w:numId="2">
    <w:abstractNumId w:val="12"/>
  </w:num>
  <w:num w:numId="3">
    <w:abstractNumId w:val="2"/>
  </w:num>
  <w:num w:numId="4">
    <w:abstractNumId w:val="11"/>
  </w:num>
  <w:num w:numId="5">
    <w:abstractNumId w:val="8"/>
  </w:num>
  <w:num w:numId="6">
    <w:abstractNumId w:val="5"/>
  </w:num>
  <w:num w:numId="7">
    <w:abstractNumId w:val="17"/>
  </w:num>
  <w:num w:numId="8">
    <w:abstractNumId w:val="2"/>
  </w:num>
  <w:num w:numId="9">
    <w:abstractNumId w:val="11"/>
  </w:num>
  <w:num w:numId="10">
    <w:abstractNumId w:val="5"/>
  </w:num>
  <w:num w:numId="11">
    <w:abstractNumId w:val="17"/>
  </w:num>
  <w:num w:numId="12">
    <w:abstractNumId w:val="2"/>
  </w:num>
  <w:num w:numId="13">
    <w:abstractNumId w:val="11"/>
  </w:num>
  <w:num w:numId="14">
    <w:abstractNumId w:val="8"/>
  </w:num>
  <w:num w:numId="15">
    <w:abstractNumId w:val="5"/>
  </w:num>
  <w:num w:numId="16">
    <w:abstractNumId w:val="17"/>
  </w:num>
  <w:num w:numId="17">
    <w:abstractNumId w:val="4"/>
  </w:num>
  <w:num w:numId="18">
    <w:abstractNumId w:val="3"/>
  </w:num>
  <w:num w:numId="19">
    <w:abstractNumId w:val="16"/>
  </w:num>
  <w:num w:numId="20">
    <w:abstractNumId w:val="13"/>
  </w:num>
  <w:num w:numId="21">
    <w:abstractNumId w:val="1"/>
  </w:num>
  <w:num w:numId="22">
    <w:abstractNumId w:val="14"/>
  </w:num>
  <w:num w:numId="23">
    <w:abstractNumId w:val="0"/>
  </w:num>
  <w:num w:numId="24">
    <w:abstractNumId w:val="9"/>
  </w:num>
  <w:num w:numId="25">
    <w:abstractNumId w:val="14"/>
    <w:lvlOverride w:ilvl="0">
      <w:lvl w:ilvl="0" w:tplc="A61AB22A">
        <w:start w:val="1"/>
        <w:numFmt w:val="bullet"/>
        <w:lvlText w:val="•"/>
        <w:lvlJc w:val="left"/>
        <w:pPr>
          <w:tabs>
            <w:tab w:val="num" w:pos="1701"/>
          </w:tabs>
          <w:ind w:left="1701" w:hanging="170"/>
        </w:pPr>
        <w:rPr>
          <w:rFonts w:ascii="Times New Roman" w:hAnsi="Times New Roman" w:cs="Times New Roman" w:hint="default"/>
          <w:sz w:val="16"/>
          <w:szCs w:val="16"/>
        </w:rPr>
      </w:lvl>
    </w:lvlOverride>
  </w:num>
  <w:num w:numId="26">
    <w:abstractNumId w:val="1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7">
    <w:abstractNumId w:val="0"/>
    <w:lvlOverride w:ilvl="0">
      <w:lvl w:ilvl="0" w:tplc="2FB47626">
        <w:start w:val="1"/>
        <w:numFmt w:val="decimal"/>
        <w:lvlText w:val="%1-"/>
        <w:lvlJc w:val="left"/>
        <w:pPr>
          <w:tabs>
            <w:tab w:val="num" w:pos="0"/>
          </w:tabs>
          <w:ind w:left="1134" w:firstLine="0"/>
        </w:pPr>
        <w:rPr>
          <w:rFonts w:ascii="Times New Roman" w:hAnsi="Times New Roman" w:hint="default"/>
          <w:b w:val="0"/>
          <w:i w:val="0"/>
          <w:sz w:val="20"/>
        </w:rPr>
      </w:lvl>
    </w:lvlOverride>
    <w:lvlOverride w:ilvl="1">
      <w:lvl w:ilvl="1" w:tplc="04090019" w:tentative="1">
        <w:start w:val="1"/>
        <w:numFmt w:val="lowerLetter"/>
        <w:lvlText w:val="%2."/>
        <w:lvlJc w:val="left"/>
        <w:pPr>
          <w:ind w:left="1440" w:hanging="360"/>
        </w:pPr>
      </w:lvl>
    </w:lvlOverride>
    <w:lvlOverride w:ilvl="2">
      <w:lvl w:ilvl="2" w:tplc="0409001B" w:tentative="1">
        <w:start w:val="1"/>
        <w:numFmt w:val="lowerRoman"/>
        <w:lvlText w:val="%3."/>
        <w:lvlJc w:val="right"/>
        <w:pPr>
          <w:ind w:left="2160" w:hanging="180"/>
        </w:pPr>
      </w:lvl>
    </w:lvlOverride>
    <w:lvlOverride w:ilvl="3">
      <w:lvl w:ilvl="3" w:tplc="0409000F" w:tentative="1">
        <w:start w:val="1"/>
        <w:numFmt w:val="decimal"/>
        <w:lvlText w:val="%4."/>
        <w:lvlJc w:val="left"/>
        <w:pPr>
          <w:ind w:left="2880" w:hanging="360"/>
        </w:pPr>
      </w:lvl>
    </w:lvlOverride>
    <w:lvlOverride w:ilvl="4">
      <w:lvl w:ilvl="4" w:tplc="04090019" w:tentative="1">
        <w:start w:val="1"/>
        <w:numFmt w:val="lowerLetter"/>
        <w:lvlText w:val="%5."/>
        <w:lvlJc w:val="left"/>
        <w:pPr>
          <w:ind w:left="3600" w:hanging="360"/>
        </w:pPr>
      </w:lvl>
    </w:lvlOverride>
    <w:lvlOverride w:ilvl="5">
      <w:lvl w:ilvl="5" w:tplc="0409001B" w:tentative="1">
        <w:start w:val="1"/>
        <w:numFmt w:val="lowerRoman"/>
        <w:lvlText w:val="%6."/>
        <w:lvlJc w:val="right"/>
        <w:pPr>
          <w:ind w:left="4320" w:hanging="180"/>
        </w:pPr>
      </w:lvl>
    </w:lvlOverride>
    <w:lvlOverride w:ilvl="6">
      <w:lvl w:ilvl="6" w:tplc="0409000F" w:tentative="1">
        <w:start w:val="1"/>
        <w:numFmt w:val="decimal"/>
        <w:lvlText w:val="%7."/>
        <w:lvlJc w:val="left"/>
        <w:pPr>
          <w:ind w:left="5040" w:hanging="360"/>
        </w:pPr>
      </w:lvl>
    </w:lvlOverride>
    <w:lvlOverride w:ilvl="7">
      <w:lvl w:ilvl="7" w:tplc="04090019" w:tentative="1">
        <w:start w:val="1"/>
        <w:numFmt w:val="lowerLetter"/>
        <w:lvlText w:val="%8."/>
        <w:lvlJc w:val="left"/>
        <w:pPr>
          <w:ind w:left="5760" w:hanging="360"/>
        </w:pPr>
      </w:lvl>
    </w:lvlOverride>
    <w:lvlOverride w:ilvl="8">
      <w:lvl w:ilvl="8" w:tplc="0409001B" w:tentative="1">
        <w:start w:val="1"/>
        <w:numFmt w:val="lowerRoman"/>
        <w:lvlText w:val="%9."/>
        <w:lvlJc w:val="right"/>
        <w:pPr>
          <w:ind w:left="6480" w:hanging="180"/>
        </w:pPr>
      </w:lvl>
    </w:lvlOverride>
  </w:num>
  <w:num w:numId="28">
    <w:abstractNumId w:val="0"/>
    <w:lvlOverride w:ilvl="0">
      <w:startOverride w:val="153"/>
      <w:lvl w:ilvl="0" w:tplc="2FB47626">
        <w:start w:val="153"/>
        <w:numFmt w:val="decimal"/>
        <w:lvlText w:val="%1-"/>
        <w:lvlJc w:val="left"/>
        <w:pPr>
          <w:tabs>
            <w:tab w:val="num" w:pos="0"/>
          </w:tabs>
          <w:ind w:left="1134" w:firstLine="0"/>
        </w:pPr>
        <w:rPr>
          <w:rFonts w:ascii="Times New Roman" w:hAnsi="Times New Roman" w:hint="default"/>
          <w:b w:val="0"/>
          <w:i w:val="0"/>
          <w:sz w:val="20"/>
        </w:rPr>
      </w:lvl>
    </w:lvlOverride>
  </w:num>
  <w:num w:numId="29">
    <w:abstractNumId w:val="0"/>
    <w:lvlOverride w:ilvl="0">
      <w:startOverride w:val="151"/>
      <w:lvl w:ilvl="0" w:tplc="2FB47626">
        <w:start w:val="151"/>
        <w:numFmt w:val="decimal"/>
        <w:lvlText w:val="%1-"/>
        <w:lvlJc w:val="left"/>
        <w:pPr>
          <w:tabs>
            <w:tab w:val="num" w:pos="0"/>
          </w:tabs>
          <w:ind w:left="1134" w:firstLine="0"/>
        </w:pPr>
        <w:rPr>
          <w:rFonts w:ascii="Times New Roman" w:hAnsi="Times New Roman" w:hint="default"/>
          <w:b w:val="0"/>
          <w:i w:val="0"/>
          <w:sz w:val="20"/>
        </w:rPr>
      </w:lvl>
    </w:lvlOverride>
  </w:num>
  <w:num w:numId="30">
    <w:abstractNumId w:val="7"/>
  </w:num>
  <w:num w:numId="31">
    <w:abstractNumId w:val="6"/>
    <w:lvlOverride w:ilvl="0">
      <w:lvl w:ilvl="0" w:tplc="CB588E8E">
        <w:start w:val="1"/>
        <w:numFmt w:val="bullet"/>
        <w:lvlText w:val="o"/>
        <w:lvlJc w:val="left"/>
        <w:pPr>
          <w:ind w:left="720" w:hanging="360"/>
        </w:pPr>
        <w:rPr>
          <w:rFonts w:ascii="Courier New" w:hAnsi="Courier New" w:cs="Courier New" w:hint="default"/>
          <w:spacing w:val="-20"/>
        </w:rPr>
      </w:lvl>
    </w:lvlOverride>
  </w:num>
  <w:num w:numId="32">
    <w:abstractNumId w:val="6"/>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30"/>
  <w:proofState w:spelling="clean" w:grammar="clean"/>
  <w:defaultTabStop w:val="567"/>
  <w:evenAndOddHeaders/>
  <w:characterSpacingControl w:val="doNotCompress"/>
  <w:hdrShapeDefaults>
    <o:shapedefaults v:ext="edit" spidmax="2050"/>
  </w:hdrShapeDefaults>
  <w:footnotePr>
    <w:footnote w:id="-1"/>
    <w:footnote w:id="0"/>
  </w:footnotePr>
  <w:endnotePr>
    <w:numFmt w:val="decimal"/>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2A6E24"/>
    <w:rsid w:val="000076D5"/>
    <w:rsid w:val="00012D7F"/>
    <w:rsid w:val="00043663"/>
    <w:rsid w:val="000456F3"/>
    <w:rsid w:val="000505CF"/>
    <w:rsid w:val="000A2113"/>
    <w:rsid w:val="000D701C"/>
    <w:rsid w:val="000E11D4"/>
    <w:rsid w:val="000E2A71"/>
    <w:rsid w:val="000F71D2"/>
    <w:rsid w:val="00143C39"/>
    <w:rsid w:val="00160263"/>
    <w:rsid w:val="00166BD2"/>
    <w:rsid w:val="00167825"/>
    <w:rsid w:val="00170EB3"/>
    <w:rsid w:val="00181F96"/>
    <w:rsid w:val="001A1257"/>
    <w:rsid w:val="001A1371"/>
    <w:rsid w:val="001B346A"/>
    <w:rsid w:val="001D6F7B"/>
    <w:rsid w:val="001E1CAD"/>
    <w:rsid w:val="001E290D"/>
    <w:rsid w:val="001F7B9E"/>
    <w:rsid w:val="00210DD4"/>
    <w:rsid w:val="002144FA"/>
    <w:rsid w:val="0022373D"/>
    <w:rsid w:val="0023469A"/>
    <w:rsid w:val="00243C8A"/>
    <w:rsid w:val="00261289"/>
    <w:rsid w:val="00266034"/>
    <w:rsid w:val="0026755E"/>
    <w:rsid w:val="00267A0E"/>
    <w:rsid w:val="002901D9"/>
    <w:rsid w:val="002976C2"/>
    <w:rsid w:val="002A645F"/>
    <w:rsid w:val="002A6E24"/>
    <w:rsid w:val="00323EC8"/>
    <w:rsid w:val="003260FF"/>
    <w:rsid w:val="00343D95"/>
    <w:rsid w:val="00362E33"/>
    <w:rsid w:val="00374341"/>
    <w:rsid w:val="00384DA7"/>
    <w:rsid w:val="003D1062"/>
    <w:rsid w:val="00420D7B"/>
    <w:rsid w:val="00450B21"/>
    <w:rsid w:val="00453B63"/>
    <w:rsid w:val="00455780"/>
    <w:rsid w:val="00462F28"/>
    <w:rsid w:val="00472BE8"/>
    <w:rsid w:val="004811D5"/>
    <w:rsid w:val="00491133"/>
    <w:rsid w:val="004956DC"/>
    <w:rsid w:val="004B0A1C"/>
    <w:rsid w:val="004D2177"/>
    <w:rsid w:val="004D298E"/>
    <w:rsid w:val="004F510D"/>
    <w:rsid w:val="0052017A"/>
    <w:rsid w:val="00525A39"/>
    <w:rsid w:val="00531DEA"/>
    <w:rsid w:val="0054472E"/>
    <w:rsid w:val="005662A9"/>
    <w:rsid w:val="00575E9A"/>
    <w:rsid w:val="005827D4"/>
    <w:rsid w:val="00593BE6"/>
    <w:rsid w:val="00594B9C"/>
    <w:rsid w:val="0059622A"/>
    <w:rsid w:val="005A3015"/>
    <w:rsid w:val="005C5878"/>
    <w:rsid w:val="005C7CEA"/>
    <w:rsid w:val="005D04CF"/>
    <w:rsid w:val="005D3C0B"/>
    <w:rsid w:val="005E23DF"/>
    <w:rsid w:val="005E3A16"/>
    <w:rsid w:val="005E5217"/>
    <w:rsid w:val="005F0FA4"/>
    <w:rsid w:val="005F30EE"/>
    <w:rsid w:val="0060473A"/>
    <w:rsid w:val="00656392"/>
    <w:rsid w:val="006646E9"/>
    <w:rsid w:val="0068781D"/>
    <w:rsid w:val="006959B0"/>
    <w:rsid w:val="006B2A7F"/>
    <w:rsid w:val="006B3E27"/>
    <w:rsid w:val="006B6507"/>
    <w:rsid w:val="006C104C"/>
    <w:rsid w:val="006D05CB"/>
    <w:rsid w:val="00706DFD"/>
    <w:rsid w:val="00712059"/>
    <w:rsid w:val="007175B2"/>
    <w:rsid w:val="00733704"/>
    <w:rsid w:val="007363D2"/>
    <w:rsid w:val="0074737D"/>
    <w:rsid w:val="00761849"/>
    <w:rsid w:val="0078071A"/>
    <w:rsid w:val="00790D70"/>
    <w:rsid w:val="007A3847"/>
    <w:rsid w:val="007C3507"/>
    <w:rsid w:val="007D56C1"/>
    <w:rsid w:val="008017AC"/>
    <w:rsid w:val="00817373"/>
    <w:rsid w:val="00852A9A"/>
    <w:rsid w:val="00860491"/>
    <w:rsid w:val="00874514"/>
    <w:rsid w:val="00893A8A"/>
    <w:rsid w:val="00897AA1"/>
    <w:rsid w:val="008C0B37"/>
    <w:rsid w:val="008F49E1"/>
    <w:rsid w:val="0090370F"/>
    <w:rsid w:val="00906A57"/>
    <w:rsid w:val="009269D2"/>
    <w:rsid w:val="00942135"/>
    <w:rsid w:val="00946B70"/>
    <w:rsid w:val="009521B0"/>
    <w:rsid w:val="00972676"/>
    <w:rsid w:val="00981C12"/>
    <w:rsid w:val="009A7E9F"/>
    <w:rsid w:val="009B5F24"/>
    <w:rsid w:val="009D35B3"/>
    <w:rsid w:val="009E4397"/>
    <w:rsid w:val="009E5018"/>
    <w:rsid w:val="009F09F5"/>
    <w:rsid w:val="00A12B37"/>
    <w:rsid w:val="00A34EA8"/>
    <w:rsid w:val="00A44D86"/>
    <w:rsid w:val="00A67AF5"/>
    <w:rsid w:val="00A94CA3"/>
    <w:rsid w:val="00AB2C0B"/>
    <w:rsid w:val="00AB6758"/>
    <w:rsid w:val="00B07715"/>
    <w:rsid w:val="00B13763"/>
    <w:rsid w:val="00B456A0"/>
    <w:rsid w:val="00B477A4"/>
    <w:rsid w:val="00B54045"/>
    <w:rsid w:val="00B82677"/>
    <w:rsid w:val="00BA39D4"/>
    <w:rsid w:val="00BD0805"/>
    <w:rsid w:val="00C111C6"/>
    <w:rsid w:val="00C438D7"/>
    <w:rsid w:val="00C62476"/>
    <w:rsid w:val="00C64C7B"/>
    <w:rsid w:val="00C81B50"/>
    <w:rsid w:val="00C87F1F"/>
    <w:rsid w:val="00C95A04"/>
    <w:rsid w:val="00C96AFF"/>
    <w:rsid w:val="00CA2103"/>
    <w:rsid w:val="00CA35DF"/>
    <w:rsid w:val="00CD1801"/>
    <w:rsid w:val="00CF25FC"/>
    <w:rsid w:val="00D00CAA"/>
    <w:rsid w:val="00D10EF1"/>
    <w:rsid w:val="00D317F1"/>
    <w:rsid w:val="00D3653E"/>
    <w:rsid w:val="00D42810"/>
    <w:rsid w:val="00D914A7"/>
    <w:rsid w:val="00DB712F"/>
    <w:rsid w:val="00DC1D29"/>
    <w:rsid w:val="00DD13C3"/>
    <w:rsid w:val="00DD596E"/>
    <w:rsid w:val="00DD621E"/>
    <w:rsid w:val="00DF0575"/>
    <w:rsid w:val="00E2697F"/>
    <w:rsid w:val="00E64B72"/>
    <w:rsid w:val="00E70E04"/>
    <w:rsid w:val="00E76499"/>
    <w:rsid w:val="00EC05A7"/>
    <w:rsid w:val="00EC4B6B"/>
    <w:rsid w:val="00EE56C3"/>
    <w:rsid w:val="00EF1EE5"/>
    <w:rsid w:val="00F158EB"/>
    <w:rsid w:val="00F1695F"/>
    <w:rsid w:val="00F62057"/>
    <w:rsid w:val="00F763B4"/>
    <w:rsid w:val="00F81AF1"/>
    <w:rsid w:val="00F900C3"/>
    <w:rsid w:val="00FF2AB2"/>
    <w:rsid w:val="00FF324E"/>
    <w:rsid w:val="00FF6ECD"/>
  </w:rsids>
  <m:mathPr>
    <m:mathFont m:val="Cambria Math"/>
    <m:brkBin m:val="before"/>
    <m:brkBinSub m:val="--"/>
    <m:smallFrac m:val="0"/>
    <m:dispDef/>
    <m:lMargin m:val="0"/>
    <m:rMargin m:val="0"/>
    <m:defJc m:val="centerGroup"/>
    <m:wrapIndent m:val="1440"/>
    <m:intLim m:val="subSup"/>
    <m:naryLim m:val="undOvr"/>
  </m:mathPr>
  <w:themeFontLang w:val="en-US" w:eastAsia="zh-CN" w:bidi="ar-SA"/>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2050"/>
    <o:shapelayout v:ext="edit">
      <o:idmap v:ext="edit" data="2"/>
    </o:shapelayout>
  </w:shapeDefaults>
  <w:decimalSymbol w:val="."/>
  <w:listSeparator w:val=";"/>
  <w14:docId w14:val="736706C8"/>
  <w15:docId w15:val="{B0D5DD90-10A3-4DBF-AD34-55BC897BE065}"/>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Calibri" w:eastAsia="Times New Roman" w:hAnsi="Calibri" w:cs="Arial"/>
        <w:lang w:val="en-US" w:eastAsia="zh-TW" w:bidi="ar-SA"/>
      </w:rPr>
    </w:rPrDefault>
    <w:pPrDefault/>
  </w:docDefaults>
  <w:latentStyles w:defLockedState="0" w:defUIPriority="99" w:defSemiHidden="0" w:defUnhideWhenUsed="0" w:defQFormat="0" w:count="376">
    <w:lsdException w:name="Normal" w:uiPriority="0" w:qFormat="1"/>
    <w:lsdException w:name="heading 1" w:uiPriority="0" w:qFormat="1"/>
    <w:lsdException w:name="heading 2" w:semiHidden="1" w:uiPriority="9" w:unhideWhenUsed="1"/>
    <w:lsdException w:name="heading 3" w:semiHidden="1" w:uiPriority="9" w:unhideWhenUsed="1"/>
    <w:lsdException w:name="heading 4" w:semiHidden="1" w:uiPriority="9" w:unhideWhenUsed="1"/>
    <w:lsdException w:name="heading 5" w:semiHidden="1" w:uiPriority="9" w:unhideWhenUsed="1"/>
    <w:lsdException w:name="heading 6" w:semiHidden="1" w:uiPriority="9" w:unhideWhenUsed="1"/>
    <w:lsdException w:name="heading 7" w:semiHidden="1" w:uiPriority="9" w:unhideWhenUsed="1"/>
    <w:lsdException w:name="heading 8" w:semiHidden="1" w:uiPriority="9" w:unhideWhenUsed="1"/>
    <w:lsdException w:name="heading 9" w:semiHidden="1" w:uiPriority="9" w:unhideWhenUsed="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iPriority="0" w:unhideWhenUsed="1" w:qFormat="1"/>
    <w:lsdException w:name="annotation text" w:semiHidden="1" w:unhideWhenUsed="1"/>
    <w:lsdException w:name="header" w:semiHidden="1" w:unhideWhenUsed="1" w:qFormat="1"/>
    <w:lsdException w:name="footer" w:semiHidden="1" w:uiPriority="0" w:unhideWhenUsed="1" w:qFormat="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iPriority="0" w:unhideWhenUsed="1" w:qFormat="1"/>
    <w:lsdException w:name="annotation reference" w:semiHidden="1" w:unhideWhenUsed="1"/>
    <w:lsdException w:name="line number" w:semiHidden="1" w:uiPriority="0" w:unhideWhenUsed="1" w:qFormat="1"/>
    <w:lsdException w:name="page number" w:semiHidden="1" w:uiPriority="0" w:unhideWhenUsed="1" w:qFormat="1"/>
    <w:lsdException w:name="endnote reference" w:semiHidden="1" w:uiPriority="0" w:unhideWhenUsed="1" w:qFormat="1"/>
    <w:lsdException w:name="endnote text" w:semiHidden="1" w:unhideWhenUsed="1" w:qFormat="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lsdException w:name="Emphasis" w:uiPriority="20"/>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0"/>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lsdException w:name="Intense Quote" w:uiPriority="30"/>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lsdException w:name="Intense Emphasis" w:uiPriority="21"/>
    <w:lsdException w:name="Subtle Reference" w:uiPriority="31"/>
    <w:lsdException w:name="Intense Reference" w:uiPriority="32"/>
    <w:lsdException w:name="Book Title" w:uiPriority="33"/>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593BE6"/>
    <w:pPr>
      <w:bidi/>
      <w:spacing w:line="240" w:lineRule="atLeast"/>
      <w:jc w:val="lowKashida"/>
    </w:pPr>
    <w:rPr>
      <w:rFonts w:ascii="Times New Roman" w:eastAsia="PMingLiU" w:hAnsi="Times New Roman" w:cs="Simplified Arabic"/>
      <w:szCs w:val="22"/>
      <w:lang w:eastAsia="en-US"/>
    </w:rPr>
  </w:style>
  <w:style w:type="paragraph" w:styleId="Heading1">
    <w:name w:val="heading 1"/>
    <w:aliases w:val="Table_GA,Table_G"/>
    <w:basedOn w:val="SingleTxtGA"/>
    <w:next w:val="Normal"/>
    <w:link w:val="Heading1Char"/>
    <w:qFormat/>
    <w:rsid w:val="00593BE6"/>
    <w:pPr>
      <w:bidi w:val="0"/>
      <w:outlineLvl w:val="0"/>
    </w:pPr>
  </w:style>
  <w:style w:type="paragraph" w:styleId="Heading2">
    <w:name w:val="heading 2"/>
    <w:basedOn w:val="Normal"/>
    <w:next w:val="Normal"/>
    <w:link w:val="Heading2Char"/>
    <w:uiPriority w:val="9"/>
    <w:unhideWhenUsed/>
    <w:rsid w:val="00593BE6"/>
    <w:pPr>
      <w:keepNext/>
      <w:keepLines/>
      <w:spacing w:before="200"/>
      <w:outlineLvl w:val="1"/>
    </w:pPr>
    <w:rPr>
      <w:b/>
      <w:bCs/>
      <w:color w:val="4F81BD"/>
      <w:sz w:val="26"/>
      <w:szCs w:val="26"/>
    </w:rPr>
  </w:style>
  <w:style w:type="paragraph" w:styleId="Heading3">
    <w:name w:val="heading 3"/>
    <w:basedOn w:val="Normal"/>
    <w:next w:val="Normal"/>
    <w:link w:val="Heading3Char"/>
    <w:uiPriority w:val="9"/>
    <w:unhideWhenUsed/>
    <w:rsid w:val="00593BE6"/>
    <w:pPr>
      <w:keepNext/>
      <w:keepLines/>
      <w:spacing w:before="200"/>
      <w:outlineLvl w:val="2"/>
    </w:pPr>
    <w:rPr>
      <w:b/>
      <w:bCs/>
      <w:color w:val="4F81BD"/>
    </w:rPr>
  </w:style>
  <w:style w:type="paragraph" w:styleId="Heading4">
    <w:name w:val="heading 4"/>
    <w:basedOn w:val="Normal"/>
    <w:next w:val="Normal"/>
    <w:link w:val="Heading4Char"/>
    <w:uiPriority w:val="9"/>
    <w:unhideWhenUsed/>
    <w:rsid w:val="00593BE6"/>
    <w:pPr>
      <w:keepNext/>
      <w:keepLines/>
      <w:spacing w:before="200"/>
      <w:outlineLvl w:val="3"/>
    </w:pPr>
    <w:rPr>
      <w:b/>
      <w:bCs/>
      <w:i/>
      <w:iCs/>
      <w:color w:val="4F81BD"/>
    </w:rPr>
  </w:style>
  <w:style w:type="paragraph" w:styleId="Heading5">
    <w:name w:val="heading 5"/>
    <w:basedOn w:val="Normal"/>
    <w:next w:val="Normal"/>
    <w:link w:val="Heading5Char"/>
    <w:uiPriority w:val="9"/>
    <w:unhideWhenUsed/>
    <w:rsid w:val="00593BE6"/>
    <w:pPr>
      <w:keepNext/>
      <w:keepLines/>
      <w:spacing w:before="200"/>
      <w:outlineLvl w:val="4"/>
    </w:pPr>
    <w:rPr>
      <w:color w:val="243F60"/>
    </w:rPr>
  </w:style>
  <w:style w:type="paragraph" w:styleId="Heading6">
    <w:name w:val="heading 6"/>
    <w:basedOn w:val="Normal"/>
    <w:next w:val="Normal"/>
    <w:link w:val="Heading6Char"/>
    <w:uiPriority w:val="9"/>
    <w:unhideWhenUsed/>
    <w:rsid w:val="00593BE6"/>
    <w:pPr>
      <w:keepNext/>
      <w:keepLines/>
      <w:spacing w:before="200"/>
      <w:outlineLvl w:val="5"/>
    </w:pPr>
    <w:rPr>
      <w:i/>
      <w:iCs/>
      <w:color w:val="243F60"/>
    </w:rPr>
  </w:style>
  <w:style w:type="paragraph" w:styleId="Heading7">
    <w:name w:val="heading 7"/>
    <w:basedOn w:val="Normal"/>
    <w:next w:val="Normal"/>
    <w:link w:val="Heading7Char"/>
    <w:uiPriority w:val="9"/>
    <w:unhideWhenUsed/>
    <w:rsid w:val="00593BE6"/>
    <w:pPr>
      <w:keepNext/>
      <w:keepLines/>
      <w:spacing w:before="200"/>
      <w:outlineLvl w:val="6"/>
    </w:pPr>
    <w:rPr>
      <w:i/>
      <w:iCs/>
      <w:color w:val="404040"/>
    </w:rPr>
  </w:style>
  <w:style w:type="paragraph" w:styleId="Heading8">
    <w:name w:val="heading 8"/>
    <w:basedOn w:val="Normal"/>
    <w:next w:val="Normal"/>
    <w:link w:val="Heading8Char"/>
    <w:uiPriority w:val="9"/>
    <w:unhideWhenUsed/>
    <w:rsid w:val="00593BE6"/>
    <w:pPr>
      <w:keepNext/>
      <w:keepLines/>
      <w:spacing w:before="200"/>
      <w:outlineLvl w:val="7"/>
    </w:pPr>
    <w:rPr>
      <w:color w:val="404040"/>
      <w:szCs w:val="20"/>
    </w:rPr>
  </w:style>
  <w:style w:type="paragraph" w:styleId="Heading9">
    <w:name w:val="heading 9"/>
    <w:basedOn w:val="Normal"/>
    <w:next w:val="Normal"/>
    <w:link w:val="Heading9Char"/>
    <w:uiPriority w:val="9"/>
    <w:unhideWhenUsed/>
    <w:rsid w:val="00593BE6"/>
    <w:pPr>
      <w:keepNext/>
      <w:keepLines/>
      <w:spacing w:before="200"/>
      <w:outlineLvl w:val="8"/>
    </w:pPr>
    <w:rPr>
      <w:i/>
      <w:iCs/>
      <w:color w:val="40404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customStyle="1" w:styleId="HMGA">
    <w:name w:val="_ H __M_GA"/>
    <w:basedOn w:val="Normal"/>
    <w:next w:val="SingleTxtGA"/>
    <w:qFormat/>
    <w:rsid w:val="00593BE6"/>
    <w:pPr>
      <w:keepNext/>
      <w:keepLines/>
      <w:tabs>
        <w:tab w:val="right" w:pos="1021"/>
      </w:tabs>
      <w:suppressAutoHyphens/>
      <w:spacing w:before="360" w:after="240" w:line="480" w:lineRule="exact"/>
      <w:ind w:left="1247" w:right="1247" w:hanging="1247"/>
      <w:outlineLvl w:val="0"/>
    </w:pPr>
    <w:rPr>
      <w:b/>
      <w:bCs/>
      <w:sz w:val="36"/>
      <w:szCs w:val="36"/>
      <w:lang w:val="en-GB"/>
    </w:rPr>
  </w:style>
  <w:style w:type="paragraph" w:customStyle="1" w:styleId="HChGA">
    <w:name w:val="_ H _Ch_GA"/>
    <w:basedOn w:val="Normal"/>
    <w:next w:val="SingleTxtGA"/>
    <w:qFormat/>
    <w:rsid w:val="00593BE6"/>
    <w:pPr>
      <w:keepNext/>
      <w:keepLines/>
      <w:tabs>
        <w:tab w:val="right" w:pos="1021"/>
      </w:tabs>
      <w:suppressAutoHyphens/>
      <w:spacing w:before="360" w:after="240" w:line="440" w:lineRule="exact"/>
      <w:ind w:left="1247" w:right="1247" w:hanging="1247"/>
      <w:outlineLvl w:val="1"/>
    </w:pPr>
    <w:rPr>
      <w:b/>
      <w:bCs/>
      <w:sz w:val="30"/>
      <w:szCs w:val="30"/>
      <w:lang w:val="en-GB"/>
    </w:rPr>
  </w:style>
  <w:style w:type="paragraph" w:customStyle="1" w:styleId="H1GA">
    <w:name w:val="_ H_1_GA"/>
    <w:basedOn w:val="Normal"/>
    <w:next w:val="SingleTxtGA"/>
    <w:qFormat/>
    <w:rsid w:val="00593BE6"/>
    <w:pPr>
      <w:keepNext/>
      <w:keepLines/>
      <w:tabs>
        <w:tab w:val="right" w:pos="1021"/>
      </w:tabs>
      <w:suppressAutoHyphens/>
      <w:spacing w:before="240" w:after="240" w:line="400" w:lineRule="exact"/>
      <w:ind w:left="1247" w:right="1247" w:hanging="1247"/>
      <w:outlineLvl w:val="2"/>
    </w:pPr>
    <w:rPr>
      <w:b/>
      <w:bCs/>
      <w:sz w:val="26"/>
      <w:szCs w:val="26"/>
      <w:lang w:val="en-GB"/>
    </w:rPr>
  </w:style>
  <w:style w:type="paragraph" w:customStyle="1" w:styleId="H23GA">
    <w:name w:val="_ H_2/3_GA"/>
    <w:basedOn w:val="Normal"/>
    <w:next w:val="SingleTxtGA"/>
    <w:qFormat/>
    <w:rsid w:val="00593BE6"/>
    <w:pPr>
      <w:keepNext/>
      <w:keepLines/>
      <w:tabs>
        <w:tab w:val="right" w:pos="1021"/>
      </w:tabs>
      <w:suppressAutoHyphens/>
      <w:spacing w:before="240" w:after="120" w:line="380" w:lineRule="exact"/>
      <w:ind w:left="1247" w:right="1247" w:hanging="1247"/>
      <w:outlineLvl w:val="3"/>
    </w:pPr>
    <w:rPr>
      <w:b/>
      <w:bCs/>
      <w:sz w:val="22"/>
      <w:lang w:val="en-GB" w:eastAsia="ar-SA"/>
    </w:rPr>
  </w:style>
  <w:style w:type="paragraph" w:customStyle="1" w:styleId="H4GA">
    <w:name w:val="_ H_4_GA"/>
    <w:basedOn w:val="Normal"/>
    <w:next w:val="SingleTxtGA"/>
    <w:qFormat/>
    <w:rsid w:val="00593BE6"/>
    <w:pPr>
      <w:keepNext/>
      <w:keepLines/>
      <w:tabs>
        <w:tab w:val="right" w:pos="1021"/>
      </w:tabs>
      <w:suppressAutoHyphens/>
      <w:spacing w:before="240" w:after="120" w:line="380" w:lineRule="exact"/>
      <w:ind w:left="1247" w:right="1247" w:hanging="1247"/>
      <w:outlineLvl w:val="4"/>
    </w:pPr>
    <w:rPr>
      <w:i/>
      <w:iCs/>
      <w:sz w:val="22"/>
      <w:lang w:val="en-GB"/>
    </w:rPr>
  </w:style>
  <w:style w:type="paragraph" w:customStyle="1" w:styleId="H56GA">
    <w:name w:val="_ H_5/6_GA"/>
    <w:basedOn w:val="Normal"/>
    <w:next w:val="SingleTxtGA"/>
    <w:qFormat/>
    <w:rsid w:val="00593BE6"/>
    <w:pPr>
      <w:keepNext/>
      <w:keepLines/>
      <w:tabs>
        <w:tab w:val="right" w:pos="1021"/>
      </w:tabs>
      <w:suppressAutoHyphens/>
      <w:spacing w:before="240" w:after="120" w:line="380" w:lineRule="exact"/>
      <w:ind w:left="1247" w:right="1247" w:hanging="1247"/>
      <w:outlineLvl w:val="5"/>
    </w:pPr>
    <w:rPr>
      <w:sz w:val="22"/>
      <w:lang w:val="en-GB"/>
    </w:rPr>
  </w:style>
  <w:style w:type="paragraph" w:customStyle="1" w:styleId="SingleTxtGA">
    <w:name w:val="_ Single Txt_GA"/>
    <w:basedOn w:val="Normal"/>
    <w:link w:val="SingleTxtGAChar"/>
    <w:qFormat/>
    <w:rsid w:val="00593BE6"/>
    <w:pPr>
      <w:tabs>
        <w:tab w:val="left" w:pos="1928"/>
        <w:tab w:val="left" w:pos="2608"/>
        <w:tab w:val="left" w:pos="3289"/>
        <w:tab w:val="left" w:pos="3969"/>
        <w:tab w:val="left" w:pos="4649"/>
        <w:tab w:val="left" w:pos="5330"/>
      </w:tabs>
      <w:suppressAutoHyphens/>
      <w:spacing w:after="120" w:line="360" w:lineRule="exact"/>
      <w:ind w:left="1247" w:right="1247"/>
    </w:pPr>
    <w:rPr>
      <w:sz w:val="22"/>
      <w:lang w:val="en-GB"/>
    </w:rPr>
  </w:style>
  <w:style w:type="paragraph" w:customStyle="1" w:styleId="SLGA">
    <w:name w:val="__S_L_GA"/>
    <w:basedOn w:val="Normal"/>
    <w:next w:val="SingleTxtGA"/>
    <w:qFormat/>
    <w:rsid w:val="00593BE6"/>
    <w:pPr>
      <w:keepNext/>
      <w:keepLines/>
      <w:suppressAutoHyphens/>
      <w:spacing w:before="240" w:after="240" w:line="800" w:lineRule="exact"/>
      <w:ind w:left="1247" w:right="1247"/>
    </w:pPr>
    <w:rPr>
      <w:b/>
      <w:bCs/>
      <w:sz w:val="56"/>
      <w:szCs w:val="56"/>
      <w:lang w:val="en-GB"/>
    </w:rPr>
  </w:style>
  <w:style w:type="paragraph" w:customStyle="1" w:styleId="SMGA">
    <w:name w:val="__S_M_GA"/>
    <w:basedOn w:val="Normal"/>
    <w:next w:val="SingleTxtGA"/>
    <w:qFormat/>
    <w:rsid w:val="00593BE6"/>
    <w:pPr>
      <w:keepNext/>
      <w:keepLines/>
      <w:suppressAutoHyphens/>
      <w:spacing w:before="240" w:after="240" w:line="560" w:lineRule="exact"/>
      <w:ind w:left="1247" w:right="1247"/>
    </w:pPr>
    <w:rPr>
      <w:b/>
      <w:bCs/>
      <w:sz w:val="40"/>
      <w:szCs w:val="40"/>
      <w:lang w:val="en-GB"/>
    </w:rPr>
  </w:style>
  <w:style w:type="paragraph" w:customStyle="1" w:styleId="SSGA">
    <w:name w:val="__S_S_GA"/>
    <w:basedOn w:val="Normal"/>
    <w:next w:val="SingleTxtGA"/>
    <w:qFormat/>
    <w:rsid w:val="00593BE6"/>
    <w:pPr>
      <w:keepNext/>
      <w:keepLines/>
      <w:suppressAutoHyphens/>
      <w:spacing w:before="240" w:after="240" w:line="440" w:lineRule="exact"/>
      <w:ind w:left="1134" w:right="1134"/>
    </w:pPr>
    <w:rPr>
      <w:b/>
      <w:bCs/>
      <w:sz w:val="34"/>
      <w:szCs w:val="34"/>
      <w:lang w:val="en-GB"/>
    </w:rPr>
  </w:style>
  <w:style w:type="paragraph" w:customStyle="1" w:styleId="XLargeGA">
    <w:name w:val="__XLarge_GA"/>
    <w:basedOn w:val="Normal"/>
    <w:next w:val="SingleTxtGA"/>
    <w:qFormat/>
    <w:rsid w:val="00593BE6"/>
    <w:pPr>
      <w:keepNext/>
      <w:keepLines/>
      <w:tabs>
        <w:tab w:val="right" w:leader="dot" w:pos="360"/>
      </w:tabs>
      <w:suppressAutoHyphens/>
      <w:spacing w:before="240" w:after="240" w:line="580" w:lineRule="exact"/>
      <w:ind w:left="1247" w:right="1247"/>
    </w:pPr>
    <w:rPr>
      <w:b/>
      <w:bCs/>
      <w:sz w:val="40"/>
      <w:szCs w:val="40"/>
      <w:lang w:val="en-GB"/>
    </w:rPr>
  </w:style>
  <w:style w:type="paragraph" w:customStyle="1" w:styleId="Bullet1GA">
    <w:name w:val="_Bullet 1_GA"/>
    <w:basedOn w:val="NormalA"/>
    <w:qFormat/>
    <w:rsid w:val="00593BE6"/>
    <w:pPr>
      <w:numPr>
        <w:numId w:val="3"/>
      </w:numPr>
      <w:suppressAutoHyphens/>
      <w:spacing w:after="120" w:line="360" w:lineRule="exact"/>
      <w:ind w:right="1247"/>
    </w:pPr>
    <w:rPr>
      <w:sz w:val="22"/>
      <w:lang w:eastAsia="zh-TW"/>
    </w:rPr>
  </w:style>
  <w:style w:type="paragraph" w:customStyle="1" w:styleId="Bullet2GA">
    <w:name w:val="_Bullet 2_GA"/>
    <w:basedOn w:val="Normal"/>
    <w:qFormat/>
    <w:rsid w:val="00593BE6"/>
    <w:pPr>
      <w:numPr>
        <w:numId w:val="4"/>
      </w:numPr>
      <w:tabs>
        <w:tab w:val="clear" w:pos="3215"/>
        <w:tab w:val="left" w:pos="3062"/>
      </w:tabs>
      <w:suppressAutoHyphens/>
      <w:spacing w:after="120" w:line="360" w:lineRule="exact"/>
      <w:ind w:left="3062" w:right="1247" w:hanging="590"/>
    </w:pPr>
    <w:rPr>
      <w:sz w:val="22"/>
      <w:lang w:eastAsia="zh-TW"/>
    </w:rPr>
  </w:style>
  <w:style w:type="paragraph" w:customStyle="1" w:styleId="ParaNoGA">
    <w:name w:val="_ParaNo._GA"/>
    <w:basedOn w:val="SingleTxtGA"/>
    <w:qFormat/>
    <w:rsid w:val="00593BE6"/>
    <w:pPr>
      <w:numPr>
        <w:numId w:val="5"/>
      </w:numPr>
      <w:bidi w:val="0"/>
    </w:pPr>
    <w:rPr>
      <w:lang w:val="en-US"/>
    </w:rPr>
  </w:style>
  <w:style w:type="paragraph" w:customStyle="1" w:styleId="Roman1GA">
    <w:name w:val="_Roman 1_GA"/>
    <w:basedOn w:val="Bullet1GA"/>
    <w:qFormat/>
    <w:rsid w:val="00593BE6"/>
    <w:pPr>
      <w:numPr>
        <w:numId w:val="6"/>
      </w:numPr>
      <w:tabs>
        <w:tab w:val="clear" w:pos="2310"/>
        <w:tab w:val="left" w:pos="2486"/>
      </w:tabs>
      <w:ind w:left="2486" w:hanging="378"/>
    </w:pPr>
  </w:style>
  <w:style w:type="paragraph" w:customStyle="1" w:styleId="Roman2GA">
    <w:name w:val="_Roman 2_GA"/>
    <w:basedOn w:val="Bullet2GA"/>
    <w:qFormat/>
    <w:rsid w:val="00593BE6"/>
    <w:pPr>
      <w:numPr>
        <w:numId w:val="7"/>
      </w:numPr>
      <w:tabs>
        <w:tab w:val="clear" w:pos="2877"/>
        <w:tab w:val="clear" w:pos="3062"/>
        <w:tab w:val="left" w:pos="3060"/>
      </w:tabs>
      <w:ind w:left="3060" w:hanging="392"/>
    </w:pPr>
  </w:style>
  <w:style w:type="paragraph" w:styleId="EndnoteText">
    <w:name w:val="endnote text"/>
    <w:aliases w:val="2_ GA,2_G"/>
    <w:basedOn w:val="Normal"/>
    <w:link w:val="EndnoteTextChar"/>
    <w:uiPriority w:val="99"/>
    <w:qFormat/>
    <w:rsid w:val="00593BE6"/>
    <w:pPr>
      <w:widowControl w:val="0"/>
      <w:tabs>
        <w:tab w:val="right" w:pos="1020"/>
      </w:tabs>
      <w:suppressAutoHyphens/>
      <w:bidi w:val="0"/>
      <w:spacing w:line="220" w:lineRule="exact"/>
      <w:ind w:left="1134" w:right="1134" w:hanging="1134"/>
      <w:jc w:val="left"/>
    </w:pPr>
    <w:rPr>
      <w:sz w:val="18"/>
      <w:szCs w:val="20"/>
      <w:lang w:val="en-GB"/>
    </w:rPr>
  </w:style>
  <w:style w:type="character" w:customStyle="1" w:styleId="EndnoteTextChar">
    <w:name w:val="Endnote Text Char"/>
    <w:aliases w:val="2_ GA Char,2_G Char"/>
    <w:link w:val="EndnoteText"/>
    <w:uiPriority w:val="99"/>
    <w:rsid w:val="00593BE6"/>
    <w:rPr>
      <w:rFonts w:ascii="Times New Roman" w:eastAsia="PMingLiU" w:hAnsi="Times New Roman" w:cs="Simplified Arabic"/>
      <w:sz w:val="18"/>
      <w:lang w:val="en-GB" w:eastAsia="en-US"/>
    </w:rPr>
  </w:style>
  <w:style w:type="character" w:customStyle="1" w:styleId="EndtnoteReference">
    <w:name w:val="Endtnote Reference"/>
    <w:aliases w:val="1_GA"/>
    <w:qFormat/>
    <w:rsid w:val="00593BE6"/>
    <w:rPr>
      <w:rFonts w:ascii="Times New Roman Bold" w:hAnsi="Times New Roman Bold" w:cs="Traditional Arabic"/>
      <w:b/>
      <w:i w:val="0"/>
      <w:kern w:val="0"/>
      <w:sz w:val="18"/>
      <w:szCs w:val="18"/>
      <w:vertAlign w:val="superscript"/>
    </w:rPr>
  </w:style>
  <w:style w:type="paragraph" w:styleId="Footer">
    <w:name w:val="footer"/>
    <w:aliases w:val="3_GA,3_G"/>
    <w:basedOn w:val="Normal"/>
    <w:link w:val="FooterChar"/>
    <w:qFormat/>
    <w:rsid w:val="00593BE6"/>
    <w:pPr>
      <w:suppressAutoHyphens/>
      <w:bidi w:val="0"/>
      <w:spacing w:line="240" w:lineRule="auto"/>
    </w:pPr>
    <w:rPr>
      <w:sz w:val="16"/>
      <w:lang w:val="en-GB"/>
    </w:rPr>
  </w:style>
  <w:style w:type="character" w:customStyle="1" w:styleId="FooterChar">
    <w:name w:val="Footer Char"/>
    <w:aliases w:val="3_GA Char,3_G Char"/>
    <w:link w:val="Footer"/>
    <w:rsid w:val="00593BE6"/>
    <w:rPr>
      <w:rFonts w:ascii="Times New Roman" w:eastAsia="PMingLiU" w:hAnsi="Times New Roman" w:cs="Simplified Arabic"/>
      <w:sz w:val="16"/>
      <w:szCs w:val="22"/>
      <w:lang w:val="en-GB" w:eastAsia="en-US"/>
    </w:rPr>
  </w:style>
  <w:style w:type="paragraph" w:customStyle="1" w:styleId="FootnoteText1">
    <w:name w:val="Footnote Text1"/>
    <w:aliases w:val="5_GA"/>
    <w:basedOn w:val="Normal"/>
    <w:qFormat/>
    <w:rsid w:val="00593BE6"/>
    <w:pPr>
      <w:spacing w:after="60" w:line="280" w:lineRule="exact"/>
      <w:ind w:left="1247" w:right="1247" w:hanging="567"/>
    </w:pPr>
    <w:rPr>
      <w:sz w:val="18"/>
      <w:szCs w:val="18"/>
    </w:rPr>
  </w:style>
  <w:style w:type="paragraph" w:styleId="Header">
    <w:name w:val="header"/>
    <w:aliases w:val="6_GA,6_G"/>
    <w:basedOn w:val="Normal"/>
    <w:link w:val="HeaderChar"/>
    <w:uiPriority w:val="99"/>
    <w:qFormat/>
    <w:rsid w:val="00593BE6"/>
    <w:pPr>
      <w:pBdr>
        <w:bottom w:val="single" w:sz="4" w:space="4" w:color="auto"/>
      </w:pBdr>
      <w:suppressAutoHyphens/>
      <w:spacing w:line="240" w:lineRule="auto"/>
    </w:pPr>
    <w:rPr>
      <w:b/>
      <w:bCs/>
      <w:sz w:val="18"/>
      <w:szCs w:val="18"/>
    </w:rPr>
  </w:style>
  <w:style w:type="character" w:customStyle="1" w:styleId="HeaderChar">
    <w:name w:val="Header Char"/>
    <w:aliases w:val="6_GA Char,6_G Char"/>
    <w:link w:val="Header"/>
    <w:uiPriority w:val="99"/>
    <w:rsid w:val="00593BE6"/>
    <w:rPr>
      <w:rFonts w:ascii="Times New Roman" w:eastAsia="PMingLiU" w:hAnsi="Times New Roman" w:cs="Simplified Arabic"/>
      <w:b/>
      <w:bCs/>
      <w:sz w:val="18"/>
      <w:szCs w:val="18"/>
      <w:lang w:eastAsia="en-US"/>
    </w:rPr>
  </w:style>
  <w:style w:type="character" w:customStyle="1" w:styleId="Heading1Char">
    <w:name w:val="Heading 1 Char"/>
    <w:aliases w:val="Table_GA Char,Table_G Char"/>
    <w:link w:val="Heading1"/>
    <w:rsid w:val="00593BE6"/>
    <w:rPr>
      <w:rFonts w:ascii="Times New Roman" w:eastAsia="PMingLiU" w:hAnsi="Times New Roman" w:cs="Simplified Arabic"/>
      <w:sz w:val="22"/>
      <w:szCs w:val="22"/>
      <w:lang w:val="en-GB" w:eastAsia="en-US"/>
    </w:rPr>
  </w:style>
  <w:style w:type="character" w:styleId="PageNumber">
    <w:name w:val="page number"/>
    <w:aliases w:val="7_GA,7_G"/>
    <w:qFormat/>
    <w:rsid w:val="00593BE6"/>
    <w:rPr>
      <w:rFonts w:ascii="Times New Roman Bold" w:hAnsi="Times New Roman Bold"/>
      <w:b/>
      <w:i w:val="0"/>
      <w:sz w:val="18"/>
      <w:szCs w:val="18"/>
    </w:rPr>
  </w:style>
  <w:style w:type="paragraph" w:customStyle="1" w:styleId="XXLargeGA">
    <w:name w:val="XXLarge_GA"/>
    <w:basedOn w:val="Normal"/>
    <w:next w:val="SingleTxtGA"/>
    <w:qFormat/>
    <w:rsid w:val="00593BE6"/>
    <w:pPr>
      <w:suppressAutoHyphens/>
      <w:spacing w:line="820" w:lineRule="exact"/>
    </w:pPr>
    <w:rPr>
      <w:spacing w:val="-8"/>
      <w:w w:val="96"/>
      <w:sz w:val="57"/>
      <w:szCs w:val="86"/>
      <w:lang w:val="en-GB"/>
    </w:rPr>
  </w:style>
  <w:style w:type="character" w:customStyle="1" w:styleId="Heading2Char">
    <w:name w:val="Heading 2 Char"/>
    <w:link w:val="Heading2"/>
    <w:uiPriority w:val="9"/>
    <w:rsid w:val="00593BE6"/>
    <w:rPr>
      <w:rFonts w:ascii="Times New Roman" w:eastAsia="PMingLiU" w:hAnsi="Times New Roman" w:cs="Simplified Arabic"/>
      <w:b/>
      <w:bCs/>
      <w:color w:val="4F81BD"/>
      <w:sz w:val="26"/>
      <w:szCs w:val="26"/>
      <w:lang w:eastAsia="en-US"/>
    </w:rPr>
  </w:style>
  <w:style w:type="character" w:customStyle="1" w:styleId="Heading3Char">
    <w:name w:val="Heading 3 Char"/>
    <w:link w:val="Heading3"/>
    <w:uiPriority w:val="9"/>
    <w:rsid w:val="00593BE6"/>
    <w:rPr>
      <w:rFonts w:ascii="Times New Roman" w:eastAsia="PMingLiU" w:hAnsi="Times New Roman" w:cs="Simplified Arabic"/>
      <w:b/>
      <w:bCs/>
      <w:color w:val="4F81BD"/>
      <w:szCs w:val="22"/>
      <w:lang w:eastAsia="en-US"/>
    </w:rPr>
  </w:style>
  <w:style w:type="character" w:customStyle="1" w:styleId="Heading4Char">
    <w:name w:val="Heading 4 Char"/>
    <w:link w:val="Heading4"/>
    <w:uiPriority w:val="9"/>
    <w:rsid w:val="00593BE6"/>
    <w:rPr>
      <w:rFonts w:ascii="Times New Roman" w:eastAsia="PMingLiU" w:hAnsi="Times New Roman" w:cs="Simplified Arabic"/>
      <w:b/>
      <w:bCs/>
      <w:i/>
      <w:iCs/>
      <w:color w:val="4F81BD"/>
      <w:szCs w:val="22"/>
      <w:lang w:eastAsia="en-US"/>
    </w:rPr>
  </w:style>
  <w:style w:type="character" w:customStyle="1" w:styleId="Heading5Char">
    <w:name w:val="Heading 5 Char"/>
    <w:link w:val="Heading5"/>
    <w:uiPriority w:val="9"/>
    <w:rsid w:val="00593BE6"/>
    <w:rPr>
      <w:rFonts w:ascii="Times New Roman" w:eastAsia="PMingLiU" w:hAnsi="Times New Roman" w:cs="Simplified Arabic"/>
      <w:color w:val="243F60"/>
      <w:szCs w:val="22"/>
      <w:lang w:eastAsia="en-US"/>
    </w:rPr>
  </w:style>
  <w:style w:type="character" w:customStyle="1" w:styleId="Heading6Char">
    <w:name w:val="Heading 6 Char"/>
    <w:link w:val="Heading6"/>
    <w:uiPriority w:val="9"/>
    <w:rsid w:val="00593BE6"/>
    <w:rPr>
      <w:rFonts w:ascii="Times New Roman" w:eastAsia="PMingLiU" w:hAnsi="Times New Roman" w:cs="Simplified Arabic"/>
      <w:i/>
      <w:iCs/>
      <w:color w:val="243F60"/>
      <w:szCs w:val="22"/>
      <w:lang w:eastAsia="en-US"/>
    </w:rPr>
  </w:style>
  <w:style w:type="character" w:customStyle="1" w:styleId="Heading7Char">
    <w:name w:val="Heading 7 Char"/>
    <w:link w:val="Heading7"/>
    <w:uiPriority w:val="9"/>
    <w:rsid w:val="00593BE6"/>
    <w:rPr>
      <w:rFonts w:ascii="Times New Roman" w:eastAsia="PMingLiU" w:hAnsi="Times New Roman" w:cs="Simplified Arabic"/>
      <w:i/>
      <w:iCs/>
      <w:color w:val="404040"/>
      <w:szCs w:val="22"/>
      <w:lang w:eastAsia="en-US"/>
    </w:rPr>
  </w:style>
  <w:style w:type="character" w:customStyle="1" w:styleId="Heading8Char">
    <w:name w:val="Heading 8 Char"/>
    <w:link w:val="Heading8"/>
    <w:uiPriority w:val="9"/>
    <w:rsid w:val="00593BE6"/>
    <w:rPr>
      <w:rFonts w:ascii="Times New Roman" w:eastAsia="PMingLiU" w:hAnsi="Times New Roman" w:cs="Simplified Arabic"/>
      <w:color w:val="404040"/>
      <w:lang w:eastAsia="en-US"/>
    </w:rPr>
  </w:style>
  <w:style w:type="character" w:customStyle="1" w:styleId="Heading9Char">
    <w:name w:val="Heading 9 Char"/>
    <w:link w:val="Heading9"/>
    <w:uiPriority w:val="9"/>
    <w:rsid w:val="00593BE6"/>
    <w:rPr>
      <w:rFonts w:ascii="Times New Roman" w:eastAsia="PMingLiU" w:hAnsi="Times New Roman" w:cs="Simplified Arabic"/>
      <w:i/>
      <w:iCs/>
      <w:color w:val="404040"/>
      <w:lang w:eastAsia="en-US"/>
    </w:rPr>
  </w:style>
  <w:style w:type="paragraph" w:styleId="Title">
    <w:name w:val="Title"/>
    <w:basedOn w:val="Normal"/>
    <w:next w:val="Normal"/>
    <w:link w:val="TitleChar"/>
    <w:uiPriority w:val="10"/>
    <w:rsid w:val="00593BE6"/>
    <w:pPr>
      <w:pBdr>
        <w:bottom w:val="single" w:sz="8" w:space="4" w:color="4F81BD"/>
      </w:pBdr>
      <w:spacing w:after="300" w:line="240" w:lineRule="auto"/>
      <w:contextualSpacing/>
    </w:pPr>
    <w:rPr>
      <w:color w:val="17365D"/>
      <w:spacing w:val="5"/>
      <w:kern w:val="28"/>
      <w:sz w:val="52"/>
      <w:szCs w:val="52"/>
    </w:rPr>
  </w:style>
  <w:style w:type="character" w:customStyle="1" w:styleId="TitleChar">
    <w:name w:val="Title Char"/>
    <w:link w:val="Title"/>
    <w:uiPriority w:val="10"/>
    <w:rsid w:val="00593BE6"/>
    <w:rPr>
      <w:rFonts w:ascii="Times New Roman" w:eastAsia="PMingLiU" w:hAnsi="Times New Roman" w:cs="Simplified Arabic"/>
      <w:color w:val="17365D"/>
      <w:spacing w:val="5"/>
      <w:kern w:val="28"/>
      <w:sz w:val="52"/>
      <w:szCs w:val="52"/>
      <w:lang w:eastAsia="en-US"/>
    </w:rPr>
  </w:style>
  <w:style w:type="paragraph" w:styleId="Subtitle">
    <w:name w:val="Subtitle"/>
    <w:basedOn w:val="Normal"/>
    <w:next w:val="Normal"/>
    <w:link w:val="SubtitleChar"/>
    <w:uiPriority w:val="11"/>
    <w:rsid w:val="00593BE6"/>
    <w:pPr>
      <w:numPr>
        <w:ilvl w:val="1"/>
      </w:numPr>
    </w:pPr>
    <w:rPr>
      <w:i/>
      <w:iCs/>
      <w:color w:val="4F81BD"/>
      <w:spacing w:val="15"/>
      <w:sz w:val="24"/>
      <w:szCs w:val="24"/>
    </w:rPr>
  </w:style>
  <w:style w:type="character" w:customStyle="1" w:styleId="SubtitleChar">
    <w:name w:val="Subtitle Char"/>
    <w:link w:val="Subtitle"/>
    <w:uiPriority w:val="11"/>
    <w:rsid w:val="00593BE6"/>
    <w:rPr>
      <w:rFonts w:ascii="Times New Roman" w:eastAsia="PMingLiU" w:hAnsi="Times New Roman" w:cs="Simplified Arabic"/>
      <w:i/>
      <w:iCs/>
      <w:color w:val="4F81BD"/>
      <w:spacing w:val="15"/>
      <w:sz w:val="24"/>
      <w:szCs w:val="24"/>
      <w:lang w:eastAsia="en-US"/>
    </w:rPr>
  </w:style>
  <w:style w:type="character" w:styleId="Strong">
    <w:name w:val="Strong"/>
    <w:uiPriority w:val="22"/>
    <w:rsid w:val="00593BE6"/>
    <w:rPr>
      <w:b/>
      <w:bCs/>
    </w:rPr>
  </w:style>
  <w:style w:type="table" w:styleId="TableGrid">
    <w:name w:val="Table Grid"/>
    <w:basedOn w:val="TableNormal"/>
    <w:rsid w:val="00593BE6"/>
    <w:pPr>
      <w:bidi/>
      <w:jc w:val="lowKashida"/>
    </w:pPr>
    <w:rPr>
      <w:rFonts w:ascii="Times New Roman" w:eastAsia="PMingLiU" w:hAnsi="Times New Roman" w:cs="Times New Roman"/>
      <w:lang w:eastAsia="zh-C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Hyperlink">
    <w:name w:val="Hyperlink"/>
    <w:uiPriority w:val="99"/>
    <w:unhideWhenUsed/>
    <w:rsid w:val="00593BE6"/>
    <w:rPr>
      <w:color w:val="0000FF"/>
      <w:u w:val="none"/>
    </w:rPr>
  </w:style>
  <w:style w:type="paragraph" w:styleId="TOC1">
    <w:name w:val="toc 1"/>
    <w:basedOn w:val="Normal"/>
    <w:link w:val="TOC1Char"/>
    <w:autoRedefine/>
    <w:uiPriority w:val="39"/>
    <w:unhideWhenUsed/>
    <w:rsid w:val="00593BE6"/>
    <w:pPr>
      <w:tabs>
        <w:tab w:val="right" w:pos="1021"/>
        <w:tab w:val="left" w:pos="1077"/>
        <w:tab w:val="left" w:pos="1525"/>
        <w:tab w:val="left" w:leader="dot" w:pos="7467"/>
        <w:tab w:val="left" w:pos="7972"/>
        <w:tab w:val="right" w:pos="9639"/>
      </w:tabs>
      <w:suppressAutoHyphens/>
      <w:spacing w:before="120" w:line="340" w:lineRule="exact"/>
      <w:ind w:left="1525" w:right="2211" w:hanging="1525"/>
    </w:pPr>
    <w:rPr>
      <w:noProof/>
      <w:szCs w:val="20"/>
      <w:lang w:val="fr-CH" w:eastAsia="zh-TW" w:bidi="ar-EG"/>
    </w:rPr>
  </w:style>
  <w:style w:type="paragraph" w:styleId="TOC2">
    <w:name w:val="toc 2"/>
    <w:basedOn w:val="Normal"/>
    <w:link w:val="TOC2Char"/>
    <w:autoRedefine/>
    <w:uiPriority w:val="39"/>
    <w:unhideWhenUsed/>
    <w:rsid w:val="00593BE6"/>
    <w:pPr>
      <w:tabs>
        <w:tab w:val="left" w:pos="1843"/>
        <w:tab w:val="left" w:pos="2206"/>
        <w:tab w:val="left" w:leader="dot" w:pos="7467"/>
        <w:tab w:val="left" w:pos="7972"/>
        <w:tab w:val="right" w:pos="9639"/>
      </w:tabs>
      <w:suppressAutoHyphens/>
      <w:spacing w:line="340" w:lineRule="exact"/>
      <w:ind w:left="2205" w:right="2206" w:hanging="680"/>
    </w:pPr>
    <w:rPr>
      <w:noProof/>
      <w:szCs w:val="20"/>
      <w:lang w:val="fr-CH"/>
    </w:rPr>
  </w:style>
  <w:style w:type="paragraph" w:styleId="TOC3">
    <w:name w:val="toc 3"/>
    <w:basedOn w:val="TOC2"/>
    <w:next w:val="Normal"/>
    <w:link w:val="TOC3Char"/>
    <w:autoRedefine/>
    <w:uiPriority w:val="39"/>
    <w:unhideWhenUsed/>
    <w:rsid w:val="00593BE6"/>
    <w:pPr>
      <w:tabs>
        <w:tab w:val="clear" w:pos="1843"/>
        <w:tab w:val="clear" w:pos="2206"/>
        <w:tab w:val="left" w:pos="2325"/>
      </w:tabs>
      <w:suppressAutoHyphens w:val="0"/>
      <w:ind w:left="2886"/>
    </w:pPr>
    <w:rPr>
      <w:lang w:bidi="ar-EG"/>
    </w:rPr>
  </w:style>
  <w:style w:type="character" w:customStyle="1" w:styleId="PagesNumbers">
    <w:name w:val="Pages Numbers"/>
    <w:uiPriority w:val="1"/>
    <w:qFormat/>
    <w:rsid w:val="00593BE6"/>
    <w:rPr>
      <w:rFonts w:eastAsia="DengXian"/>
      <w:color w:val="auto"/>
      <w:sz w:val="20"/>
      <w:szCs w:val="20"/>
      <w:u w:val="none"/>
      <w:lang w:eastAsia="zh-CN" w:bidi="ar-EG"/>
    </w:rPr>
  </w:style>
  <w:style w:type="paragraph" w:styleId="TOC4">
    <w:name w:val="toc 4"/>
    <w:basedOn w:val="Normal"/>
    <w:link w:val="TOC4Char"/>
    <w:autoRedefine/>
    <w:uiPriority w:val="39"/>
    <w:unhideWhenUsed/>
    <w:rsid w:val="00593BE6"/>
    <w:pPr>
      <w:tabs>
        <w:tab w:val="right" w:pos="1021"/>
        <w:tab w:val="left" w:pos="1077"/>
        <w:tab w:val="left" w:pos="1525"/>
        <w:tab w:val="left" w:leader="dot" w:pos="9065"/>
        <w:tab w:val="right" w:pos="9639"/>
      </w:tabs>
      <w:suppressAutoHyphens/>
      <w:spacing w:before="120" w:line="340" w:lineRule="exact"/>
      <w:ind w:left="1525" w:right="567" w:hanging="1525"/>
    </w:pPr>
    <w:rPr>
      <w:noProof/>
      <w:szCs w:val="20"/>
      <w:lang w:val="en-GB"/>
    </w:rPr>
  </w:style>
  <w:style w:type="paragraph" w:styleId="TOC5">
    <w:name w:val="toc 5"/>
    <w:basedOn w:val="Normal"/>
    <w:link w:val="TOC5Char"/>
    <w:autoRedefine/>
    <w:uiPriority w:val="39"/>
    <w:unhideWhenUsed/>
    <w:rsid w:val="00593BE6"/>
    <w:pPr>
      <w:tabs>
        <w:tab w:val="left" w:pos="1843"/>
        <w:tab w:val="left" w:pos="2206"/>
        <w:tab w:val="left" w:leader="dot" w:pos="9065"/>
        <w:tab w:val="right" w:pos="9639"/>
      </w:tabs>
      <w:suppressAutoHyphens/>
      <w:spacing w:line="340" w:lineRule="exact"/>
      <w:ind w:left="2205" w:right="567" w:hanging="680"/>
    </w:pPr>
    <w:rPr>
      <w:noProof/>
      <w:szCs w:val="20"/>
      <w:lang w:val="en-GB"/>
    </w:rPr>
  </w:style>
  <w:style w:type="paragraph" w:styleId="TOC6">
    <w:name w:val="toc 6"/>
    <w:basedOn w:val="Normal"/>
    <w:link w:val="TOC6Char"/>
    <w:autoRedefine/>
    <w:uiPriority w:val="39"/>
    <w:unhideWhenUsed/>
    <w:rsid w:val="00593BE6"/>
    <w:pPr>
      <w:tabs>
        <w:tab w:val="left" w:pos="2325"/>
        <w:tab w:val="left" w:leader="dot" w:pos="9065"/>
        <w:tab w:val="right" w:pos="9639"/>
      </w:tabs>
      <w:suppressAutoHyphens/>
      <w:spacing w:line="340" w:lineRule="exact"/>
      <w:ind w:left="2886" w:right="567" w:hanging="680"/>
    </w:pPr>
    <w:rPr>
      <w:szCs w:val="20"/>
      <w:lang w:val="en-GB"/>
    </w:rPr>
  </w:style>
  <w:style w:type="table" w:customStyle="1" w:styleId="TABLEA">
    <w:name w:val="TABLE_A"/>
    <w:basedOn w:val="TableNormal"/>
    <w:uiPriority w:val="99"/>
    <w:rsid w:val="00593BE6"/>
    <w:pPr>
      <w:bidi/>
      <w:spacing w:before="80" w:after="80" w:line="320" w:lineRule="exact"/>
      <w:ind w:left="113" w:right="113"/>
      <w:jc w:val="lowKashida"/>
    </w:pPr>
    <w:rPr>
      <w:rFonts w:ascii="Times New Roman" w:eastAsiaTheme="minorEastAsia" w:hAnsi="Times New Roman" w:cs="Traditional Arabic"/>
      <w:sz w:val="18"/>
      <w:szCs w:val="28"/>
      <w:lang w:eastAsia="zh-CN"/>
    </w:rPr>
    <w:tblPr>
      <w:jc w:val="right"/>
    </w:tblPr>
    <w:trPr>
      <w:jc w:val="right"/>
    </w:trPr>
    <w:tcPr>
      <w:tcMar>
        <w:left w:w="0" w:type="dxa"/>
        <w:right w:w="0" w:type="dxa"/>
      </w:tcMar>
    </w:tcPr>
    <w:tblStylePr w:type="firstRow">
      <w:tblPr/>
      <w:tcPr>
        <w:tcBorders>
          <w:top w:val="single" w:sz="4" w:space="0" w:color="auto"/>
          <w:left w:val="nil"/>
          <w:bottom w:val="single" w:sz="12" w:space="0" w:color="auto"/>
          <w:right w:val="nil"/>
          <w:insideH w:val="nil"/>
          <w:insideV w:val="nil"/>
          <w:tl2br w:val="nil"/>
          <w:tr2bl w:val="nil"/>
        </w:tcBorders>
      </w:tcPr>
    </w:tblStylePr>
    <w:tblStylePr w:type="lastRow">
      <w:pPr>
        <w:wordWrap/>
        <w:spacing w:beforeLines="0" w:before="80" w:beforeAutospacing="0" w:afterLines="0" w:after="80" w:afterAutospacing="0" w:line="320" w:lineRule="exact"/>
        <w:ind w:leftChars="0" w:left="113" w:rightChars="0" w:right="113" w:firstLineChars="0" w:firstLine="0"/>
        <w:jc w:val="lowKashida"/>
      </w:pPr>
      <w:tblPr/>
      <w:tcPr>
        <w:tcBorders>
          <w:top w:val="nil"/>
          <w:left w:val="nil"/>
          <w:bottom w:val="single" w:sz="12" w:space="0" w:color="auto"/>
          <w:right w:val="nil"/>
          <w:insideH w:val="nil"/>
          <w:insideV w:val="nil"/>
          <w:tl2br w:val="nil"/>
          <w:tr2bl w:val="nil"/>
        </w:tcBorders>
      </w:tcPr>
    </w:tblStylePr>
  </w:style>
  <w:style w:type="character" w:customStyle="1" w:styleId="SingleTxtGAChar">
    <w:name w:val="_ Single Txt_GA Char"/>
    <w:basedOn w:val="DefaultParagraphFont"/>
    <w:link w:val="SingleTxtGA"/>
    <w:locked/>
    <w:rsid w:val="00593BE6"/>
    <w:rPr>
      <w:rFonts w:ascii="Times New Roman" w:eastAsia="PMingLiU" w:hAnsi="Times New Roman" w:cs="Simplified Arabic"/>
      <w:sz w:val="22"/>
      <w:szCs w:val="22"/>
      <w:lang w:val="en-GB" w:eastAsia="en-US"/>
    </w:rPr>
  </w:style>
  <w:style w:type="character" w:customStyle="1" w:styleId="TOC1Char">
    <w:name w:val="TOC 1 Char"/>
    <w:basedOn w:val="DefaultParagraphFont"/>
    <w:link w:val="TOC1"/>
    <w:uiPriority w:val="39"/>
    <w:rsid w:val="00593BE6"/>
    <w:rPr>
      <w:rFonts w:ascii="Times New Roman" w:eastAsia="PMingLiU" w:hAnsi="Times New Roman" w:cs="Simplified Arabic"/>
      <w:noProof/>
      <w:lang w:val="fr-CH" w:bidi="ar-EG"/>
    </w:rPr>
  </w:style>
  <w:style w:type="character" w:customStyle="1" w:styleId="TOC2Char">
    <w:name w:val="TOC 2 Char"/>
    <w:basedOn w:val="DefaultParagraphFont"/>
    <w:link w:val="TOC2"/>
    <w:uiPriority w:val="39"/>
    <w:rsid w:val="00593BE6"/>
    <w:rPr>
      <w:rFonts w:ascii="Times New Roman" w:eastAsia="PMingLiU" w:hAnsi="Times New Roman" w:cs="Simplified Arabic"/>
      <w:noProof/>
      <w:lang w:val="fr-CH" w:eastAsia="en-US"/>
    </w:rPr>
  </w:style>
  <w:style w:type="character" w:customStyle="1" w:styleId="TOC3Char">
    <w:name w:val="TOC 3 Char"/>
    <w:basedOn w:val="TOC2Char"/>
    <w:link w:val="TOC3"/>
    <w:uiPriority w:val="39"/>
    <w:rsid w:val="00593BE6"/>
    <w:rPr>
      <w:rFonts w:ascii="Times New Roman" w:eastAsia="PMingLiU" w:hAnsi="Times New Roman" w:cs="Simplified Arabic"/>
      <w:noProof/>
      <w:lang w:val="fr-CH" w:eastAsia="en-US" w:bidi="ar-EG"/>
    </w:rPr>
  </w:style>
  <w:style w:type="character" w:customStyle="1" w:styleId="TOC4Char">
    <w:name w:val="TOC 4 Char"/>
    <w:basedOn w:val="DefaultParagraphFont"/>
    <w:link w:val="TOC4"/>
    <w:uiPriority w:val="39"/>
    <w:rsid w:val="00593BE6"/>
    <w:rPr>
      <w:rFonts w:ascii="Times New Roman" w:eastAsia="PMingLiU" w:hAnsi="Times New Roman" w:cs="Simplified Arabic"/>
      <w:noProof/>
      <w:lang w:val="en-GB" w:eastAsia="en-US"/>
    </w:rPr>
  </w:style>
  <w:style w:type="character" w:customStyle="1" w:styleId="TOC5Char">
    <w:name w:val="TOC 5 Char"/>
    <w:basedOn w:val="DefaultParagraphFont"/>
    <w:link w:val="TOC5"/>
    <w:uiPriority w:val="39"/>
    <w:rsid w:val="00593BE6"/>
    <w:rPr>
      <w:rFonts w:ascii="Times New Roman" w:eastAsia="PMingLiU" w:hAnsi="Times New Roman" w:cs="Simplified Arabic"/>
      <w:noProof/>
      <w:lang w:val="en-GB" w:eastAsia="en-US"/>
    </w:rPr>
  </w:style>
  <w:style w:type="character" w:customStyle="1" w:styleId="TOC6Char">
    <w:name w:val="TOC 6 Char"/>
    <w:basedOn w:val="DefaultParagraphFont"/>
    <w:link w:val="TOC6"/>
    <w:uiPriority w:val="39"/>
    <w:rsid w:val="00593BE6"/>
    <w:rPr>
      <w:rFonts w:ascii="Times New Roman" w:eastAsia="PMingLiU" w:hAnsi="Times New Roman" w:cs="Simplified Arabic"/>
      <w:lang w:val="en-GB" w:eastAsia="en-US"/>
    </w:rPr>
  </w:style>
  <w:style w:type="paragraph" w:customStyle="1" w:styleId="NormalA">
    <w:name w:val="Normal_A"/>
    <w:basedOn w:val="Normal"/>
    <w:qFormat/>
    <w:rsid w:val="00593BE6"/>
  </w:style>
  <w:style w:type="paragraph" w:customStyle="1" w:styleId="FootnoteGA">
    <w:name w:val="_Footnote_GA"/>
    <w:basedOn w:val="Normal"/>
    <w:qFormat/>
    <w:rsid w:val="00593BE6"/>
    <w:pPr>
      <w:suppressAutoHyphens/>
      <w:spacing w:after="60" w:line="280" w:lineRule="exact"/>
      <w:ind w:left="1247" w:right="1247" w:hanging="567"/>
    </w:pPr>
    <w:rPr>
      <w:sz w:val="18"/>
      <w:szCs w:val="18"/>
      <w:lang w:val="es-ES_tradnl" w:eastAsia="zh-TW"/>
    </w:rPr>
  </w:style>
  <w:style w:type="paragraph" w:customStyle="1" w:styleId="ReportCHGA">
    <w:name w:val="Report_CH_GA"/>
    <w:basedOn w:val="HChGA"/>
    <w:qFormat/>
    <w:rsid w:val="00593BE6"/>
    <w:rPr>
      <w:sz w:val="44"/>
      <w:szCs w:val="44"/>
      <w:lang w:val="en-US" w:bidi="ar-DZ"/>
    </w:rPr>
  </w:style>
  <w:style w:type="paragraph" w:customStyle="1" w:styleId="FootnoteGA0">
    <w:name w:val="Footnote_GA"/>
    <w:basedOn w:val="Normal"/>
    <w:qFormat/>
    <w:rsid w:val="00593BE6"/>
    <w:pPr>
      <w:spacing w:after="60" w:line="280" w:lineRule="exact"/>
      <w:ind w:left="1247" w:right="1247" w:hanging="567"/>
    </w:pPr>
    <w:rPr>
      <w:sz w:val="18"/>
      <w:szCs w:val="18"/>
      <w:lang w:val="es-ES_tradnl" w:eastAsia="zh-TW"/>
    </w:rPr>
  </w:style>
  <w:style w:type="paragraph" w:customStyle="1" w:styleId="Small">
    <w:name w:val="Small"/>
    <w:basedOn w:val="Normal"/>
    <w:next w:val="Normal"/>
    <w:qFormat/>
    <w:rsid w:val="00593BE6"/>
    <w:pPr>
      <w:tabs>
        <w:tab w:val="right" w:leader="dot" w:pos="360"/>
      </w:tabs>
      <w:spacing w:line="310" w:lineRule="exact"/>
      <w:jc w:val="right"/>
    </w:pPr>
    <w:rPr>
      <w:spacing w:val="5"/>
      <w:w w:val="104"/>
      <w:kern w:val="14"/>
      <w:sz w:val="17"/>
      <w:szCs w:val="25"/>
    </w:rPr>
  </w:style>
  <w:style w:type="paragraph" w:customStyle="1" w:styleId="SmallX">
    <w:name w:val="SmallX"/>
    <w:basedOn w:val="Small"/>
    <w:next w:val="Normal"/>
    <w:qFormat/>
    <w:rsid w:val="00593BE6"/>
    <w:pPr>
      <w:spacing w:line="240" w:lineRule="exact"/>
    </w:pPr>
    <w:rPr>
      <w:spacing w:val="6"/>
      <w:w w:val="106"/>
      <w:sz w:val="14"/>
      <w:szCs w:val="21"/>
    </w:rPr>
  </w:style>
  <w:style w:type="paragraph" w:customStyle="1" w:styleId="Original">
    <w:name w:val="Original"/>
    <w:basedOn w:val="Normal"/>
    <w:next w:val="Normal"/>
    <w:qFormat/>
    <w:rsid w:val="00593BE6"/>
    <w:pPr>
      <w:tabs>
        <w:tab w:val="left" w:pos="662"/>
        <w:tab w:val="left" w:pos="1267"/>
        <w:tab w:val="left" w:pos="1987"/>
        <w:tab w:val="left" w:pos="2650"/>
      </w:tabs>
      <w:spacing w:line="240" w:lineRule="exact"/>
    </w:pPr>
    <w:rPr>
      <w:kern w:val="14"/>
      <w:szCs w:val="28"/>
    </w:rPr>
  </w:style>
  <w:style w:type="paragraph" w:customStyle="1" w:styleId="Sponsors">
    <w:name w:val="Sponsors"/>
    <w:basedOn w:val="Normal"/>
    <w:next w:val="Normal"/>
    <w:qFormat/>
    <w:rsid w:val="00593BE6"/>
    <w:pPr>
      <w:keepNext/>
      <w:keepLines/>
      <w:tabs>
        <w:tab w:val="right" w:pos="1022"/>
        <w:tab w:val="left" w:pos="1267"/>
        <w:tab w:val="left" w:pos="1930"/>
        <w:tab w:val="left" w:pos="2592"/>
        <w:tab w:val="left" w:pos="3254"/>
      </w:tabs>
      <w:suppressAutoHyphens/>
      <w:spacing w:after="120" w:line="360" w:lineRule="exact"/>
      <w:ind w:left="1267" w:right="1267" w:hanging="1267"/>
      <w:outlineLvl w:val="1"/>
    </w:pPr>
    <w:rPr>
      <w:b/>
      <w:bCs/>
      <w:spacing w:val="2"/>
      <w:kern w:val="14"/>
      <w:szCs w:val="28"/>
    </w:rPr>
  </w:style>
  <w:style w:type="paragraph" w:styleId="Revision">
    <w:name w:val="Revision"/>
    <w:hidden/>
    <w:uiPriority w:val="99"/>
    <w:semiHidden/>
    <w:rsid w:val="00593BE6"/>
    <w:rPr>
      <w:rFonts w:asciiTheme="minorHAnsi" w:eastAsiaTheme="minorEastAsia" w:hAnsiTheme="minorHAnsi" w:cstheme="minorBidi"/>
      <w:sz w:val="24"/>
      <w:szCs w:val="24"/>
      <w:lang w:val="fr-FR" w:eastAsia="fr-FR"/>
    </w:rPr>
  </w:style>
  <w:style w:type="paragraph" w:styleId="TOC7">
    <w:name w:val="toc 7"/>
    <w:basedOn w:val="Normal"/>
    <w:next w:val="Normal"/>
    <w:autoRedefine/>
    <w:uiPriority w:val="39"/>
    <w:unhideWhenUsed/>
    <w:rsid w:val="00C64C7B"/>
    <w:pPr>
      <w:spacing w:after="100" w:line="259" w:lineRule="auto"/>
      <w:ind w:left="1320"/>
      <w:jc w:val="left"/>
    </w:pPr>
    <w:rPr>
      <w:rFonts w:asciiTheme="minorHAnsi" w:eastAsiaTheme="minorEastAsia" w:hAnsiTheme="minorHAnsi" w:cstheme="minorBidi"/>
      <w:sz w:val="22"/>
      <w:lang w:eastAsia="zh-CN"/>
    </w:rPr>
  </w:style>
  <w:style w:type="paragraph" w:styleId="TOC8">
    <w:name w:val="toc 8"/>
    <w:basedOn w:val="Normal"/>
    <w:next w:val="Normal"/>
    <w:autoRedefine/>
    <w:uiPriority w:val="39"/>
    <w:unhideWhenUsed/>
    <w:rsid w:val="00C64C7B"/>
    <w:pPr>
      <w:spacing w:after="100" w:line="259" w:lineRule="auto"/>
      <w:ind w:left="1540"/>
      <w:jc w:val="left"/>
    </w:pPr>
    <w:rPr>
      <w:rFonts w:asciiTheme="minorHAnsi" w:eastAsiaTheme="minorEastAsia" w:hAnsiTheme="minorHAnsi" w:cstheme="minorBidi"/>
      <w:sz w:val="22"/>
      <w:lang w:eastAsia="zh-CN"/>
    </w:rPr>
  </w:style>
  <w:style w:type="paragraph" w:styleId="TOC9">
    <w:name w:val="toc 9"/>
    <w:basedOn w:val="Normal"/>
    <w:next w:val="Normal"/>
    <w:autoRedefine/>
    <w:uiPriority w:val="39"/>
    <w:unhideWhenUsed/>
    <w:rsid w:val="00C64C7B"/>
    <w:pPr>
      <w:spacing w:after="100" w:line="259" w:lineRule="auto"/>
      <w:ind w:left="1760"/>
      <w:jc w:val="left"/>
    </w:pPr>
    <w:rPr>
      <w:rFonts w:asciiTheme="minorHAnsi" w:eastAsiaTheme="minorEastAsia" w:hAnsiTheme="minorHAnsi" w:cstheme="minorBidi"/>
      <w:sz w:val="22"/>
      <w:lang w:eastAsia="zh-CN"/>
    </w:rPr>
  </w:style>
  <w:style w:type="paragraph" w:customStyle="1" w:styleId="STitleLGA">
    <w:name w:val="S_Title_L_GA"/>
    <w:basedOn w:val="SLGA"/>
    <w:qFormat/>
    <w:rsid w:val="00593BE6"/>
    <w:rPr>
      <w:lang w:val="en-US" w:eastAsia="zh-TW"/>
    </w:rPr>
  </w:style>
  <w:style w:type="paragraph" w:customStyle="1" w:styleId="STitleMGA">
    <w:name w:val="S_Title_M_GA"/>
    <w:basedOn w:val="SMGA"/>
    <w:qFormat/>
    <w:rsid w:val="00593BE6"/>
    <w:rPr>
      <w:lang w:eastAsia="zh-TW"/>
    </w:rPr>
  </w:style>
  <w:style w:type="paragraph" w:customStyle="1" w:styleId="STitleSGA">
    <w:name w:val="S_Title_S_GA"/>
    <w:basedOn w:val="SSGA"/>
    <w:qFormat/>
    <w:rsid w:val="00593BE6"/>
    <w:rPr>
      <w:lang w:eastAsia="zh-TW"/>
    </w:rPr>
  </w:style>
  <w:style w:type="paragraph" w:customStyle="1" w:styleId="HChG">
    <w:name w:val="_ H _Ch_G"/>
    <w:basedOn w:val="Normal"/>
    <w:next w:val="Normal"/>
    <w:rsid w:val="00790D70"/>
    <w:pPr>
      <w:keepNext/>
      <w:keepLines/>
      <w:tabs>
        <w:tab w:val="right" w:pos="851"/>
      </w:tabs>
      <w:suppressAutoHyphens/>
      <w:bidi w:val="0"/>
      <w:spacing w:before="360" w:after="240" w:line="300" w:lineRule="exact"/>
      <w:ind w:left="1134" w:right="1134" w:hanging="1134"/>
      <w:jc w:val="left"/>
      <w:outlineLvl w:val="1"/>
    </w:pPr>
    <w:rPr>
      <w:rFonts w:eastAsia="SimSun" w:hAnsiTheme="minorHAnsi" w:cs="Traditional Arabic" w:hint="cs"/>
      <w:b/>
      <w:sz w:val="28"/>
      <w:szCs w:val="30"/>
      <w:lang w:val="en-GB" w:eastAsia="zh-CN"/>
    </w:rPr>
  </w:style>
  <w:style w:type="paragraph" w:customStyle="1" w:styleId="H1G">
    <w:name w:val="_ H_1_G"/>
    <w:basedOn w:val="Normal"/>
    <w:next w:val="Normal"/>
    <w:rsid w:val="00790D70"/>
    <w:pPr>
      <w:keepNext/>
      <w:keepLines/>
      <w:tabs>
        <w:tab w:val="right" w:pos="851"/>
      </w:tabs>
      <w:suppressAutoHyphens/>
      <w:bidi w:val="0"/>
      <w:spacing w:before="360" w:after="240" w:line="270" w:lineRule="exact"/>
      <w:ind w:left="1134" w:right="1134" w:hanging="1134"/>
      <w:jc w:val="left"/>
      <w:outlineLvl w:val="2"/>
    </w:pPr>
    <w:rPr>
      <w:rFonts w:eastAsia="SimSun" w:hAnsiTheme="minorHAnsi" w:cs="Traditional Arabic" w:hint="cs"/>
      <w:b/>
      <w:sz w:val="24"/>
      <w:szCs w:val="30"/>
      <w:lang w:val="en-GB" w:eastAsia="zh-CN"/>
    </w:rPr>
  </w:style>
  <w:style w:type="paragraph" w:customStyle="1" w:styleId="H23G">
    <w:name w:val="_ H_2/3_G"/>
    <w:basedOn w:val="Normal"/>
    <w:next w:val="Normal"/>
    <w:rsid w:val="00790D70"/>
    <w:pPr>
      <w:keepNext/>
      <w:keepLines/>
      <w:tabs>
        <w:tab w:val="right" w:pos="851"/>
      </w:tabs>
      <w:suppressAutoHyphens/>
      <w:bidi w:val="0"/>
      <w:spacing w:before="240" w:after="120" w:line="240" w:lineRule="exact"/>
      <w:ind w:left="1134" w:right="1134" w:hanging="1134"/>
      <w:jc w:val="left"/>
      <w:outlineLvl w:val="3"/>
    </w:pPr>
    <w:rPr>
      <w:rFonts w:eastAsia="SimSun" w:hAnsiTheme="minorHAnsi" w:cs="Traditional Arabic" w:hint="cs"/>
      <w:b/>
      <w:szCs w:val="30"/>
      <w:lang w:val="en-GB" w:eastAsia="zh-CN"/>
    </w:rPr>
  </w:style>
  <w:style w:type="paragraph" w:customStyle="1" w:styleId="SingleTxtG">
    <w:name w:val="_ Single Txt_G"/>
    <w:basedOn w:val="Normal"/>
    <w:link w:val="SingleTxtGChar"/>
    <w:rsid w:val="00790D70"/>
    <w:pPr>
      <w:tabs>
        <w:tab w:val="left" w:pos="1701"/>
        <w:tab w:val="left" w:pos="2268"/>
      </w:tabs>
      <w:suppressAutoHyphens/>
      <w:bidi w:val="0"/>
      <w:spacing w:after="120"/>
      <w:ind w:left="1134" w:right="1134"/>
      <w:jc w:val="both"/>
    </w:pPr>
    <w:rPr>
      <w:rFonts w:eastAsia="SimSun" w:hAnsiTheme="minorHAnsi" w:cs="Traditional Arabic"/>
      <w:szCs w:val="30"/>
      <w:lang w:val="en-GB" w:eastAsia="zh-CN"/>
    </w:rPr>
  </w:style>
  <w:style w:type="paragraph" w:styleId="FootnoteText">
    <w:name w:val="footnote text"/>
    <w:aliases w:val="5_G,Footnote Text Char Char1,Footnote Text Char1 Char Char1,Footnote Text Char Char1 Char Char,Footnote Text Char1 Char Char1 Char Char,ft Char Char Char Char Char,Geneva 9 Char Char Char Char Char,Footnote Text Char Char,Char,Text"/>
    <w:basedOn w:val="Normal"/>
    <w:link w:val="FootnoteTextChar"/>
    <w:qFormat/>
    <w:rsid w:val="00790D70"/>
    <w:pPr>
      <w:tabs>
        <w:tab w:val="right" w:pos="1021"/>
      </w:tabs>
      <w:bidi w:val="0"/>
      <w:spacing w:line="220" w:lineRule="exact"/>
      <w:ind w:left="1134" w:right="1134" w:hanging="1134"/>
      <w:jc w:val="left"/>
    </w:pPr>
    <w:rPr>
      <w:rFonts w:eastAsia="SimSun" w:hAnsiTheme="minorHAnsi" w:cs="Traditional Arabic" w:hint="cs"/>
      <w:sz w:val="18"/>
      <w:szCs w:val="30"/>
      <w:lang w:val="en-GB" w:eastAsia="zh-CN"/>
    </w:rPr>
  </w:style>
  <w:style w:type="character" w:customStyle="1" w:styleId="FootnoteTextChar">
    <w:name w:val="Footnote Text Char"/>
    <w:aliases w:val="5_G Char,Footnote Text Char Char1 Char,Footnote Text Char1 Char Char1 Char,Footnote Text Char Char1 Char Char Char,Footnote Text Char1 Char Char1 Char Char Char,ft Char Char Char Char Char Char,Geneva 9 Char Char Char Char Char Char"/>
    <w:basedOn w:val="DefaultParagraphFont"/>
    <w:link w:val="FootnoteText"/>
    <w:rsid w:val="00790D70"/>
    <w:rPr>
      <w:rFonts w:ascii="Times New Roman" w:eastAsia="SimSun" w:hAnsiTheme="minorHAnsi" w:cs="Traditional Arabic"/>
      <w:sz w:val="18"/>
      <w:szCs w:val="30"/>
      <w:lang w:val="en-GB" w:eastAsia="zh-CN"/>
    </w:rPr>
  </w:style>
  <w:style w:type="character" w:styleId="FootnoteReference">
    <w:name w:val="footnote reference"/>
    <w:aliases w:val="4_G"/>
    <w:qFormat/>
    <w:rsid w:val="00790D70"/>
    <w:rPr>
      <w:rFonts w:ascii="Times New Roman" w:hAnsi="Times New Roman"/>
      <w:sz w:val="18"/>
      <w:vertAlign w:val="superscript"/>
    </w:rPr>
  </w:style>
  <w:style w:type="character" w:customStyle="1" w:styleId="SingleTxtGChar">
    <w:name w:val="_ Single Txt_G Char"/>
    <w:basedOn w:val="DefaultParagraphFont"/>
    <w:link w:val="SingleTxtG"/>
    <w:locked/>
    <w:rsid w:val="00790D70"/>
    <w:rPr>
      <w:rFonts w:ascii="Times New Roman" w:eastAsia="SimSun" w:hAnsiTheme="minorHAnsi" w:cs="Traditional Arabic"/>
      <w:szCs w:val="30"/>
      <w:lang w:val="en-GB" w:eastAsia="zh-CN"/>
    </w:rPr>
  </w:style>
  <w:style w:type="character" w:styleId="UnresolvedMention">
    <w:name w:val="Unresolved Mention"/>
    <w:basedOn w:val="DefaultParagraphFont"/>
    <w:uiPriority w:val="99"/>
    <w:semiHidden/>
    <w:unhideWhenUsed/>
    <w:rsid w:val="00790D70"/>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2106533834">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png"/><Relationship Id="rId13" Type="http://schemas.openxmlformats.org/officeDocument/2006/relationships/header" Target="header3.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footer" Target="footer2.xml"/><Relationship Id="rId2" Type="http://schemas.openxmlformats.org/officeDocument/2006/relationships/numbering" Target="numbering.xml"/><Relationship Id="rId16" Type="http://schemas.openxmlformats.org/officeDocument/2006/relationships/theme" Target="theme/theme1.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oter" Target="footer1.xml"/><Relationship Id="rId5" Type="http://schemas.openxmlformats.org/officeDocument/2006/relationships/webSettings" Target="webSettings.xml"/><Relationship Id="rId15" Type="http://schemas.openxmlformats.org/officeDocument/2006/relationships/fontTable" Target="fontTable.xml"/><Relationship Id="rId10" Type="http://schemas.openxmlformats.org/officeDocument/2006/relationships/header" Target="header2.xml"/><Relationship Id="rId4" Type="http://schemas.openxmlformats.org/officeDocument/2006/relationships/settings" Target="settings.xml"/><Relationship Id="rId9" Type="http://schemas.openxmlformats.org/officeDocument/2006/relationships/header" Target="header1.xml"/><Relationship Id="rId14" Type="http://schemas.openxmlformats.org/officeDocument/2006/relationships/footer" Target="footer3.xml"/></Relationships>
</file>

<file path=word/_rels/footer3.xml.rels><?xml version="1.0" encoding="UTF-8" standalone="yes"?>
<Relationships xmlns="http://schemas.openxmlformats.org/package/2006/relationships"><Relationship Id="rId2" Type="http://schemas.openxmlformats.org/officeDocument/2006/relationships/image" Target="media/image3.gif"/><Relationship Id="rId1" Type="http://schemas.openxmlformats.org/officeDocument/2006/relationships/image" Target="media/image2.png"/></Relationships>
</file>

<file path=word/_rels/footnotes.xml.rels><?xml version="1.0" encoding="UTF-8" standalone="yes"?>
<Relationships xmlns="http://schemas.openxmlformats.org/package/2006/relationships"><Relationship Id="rId8" Type="http://schemas.openxmlformats.org/officeDocument/2006/relationships/hyperlink" Target="https://undocs.org/ar/CEDAW/C/ISL/CO/7-8" TargetMode="External"/><Relationship Id="rId13" Type="http://schemas.openxmlformats.org/officeDocument/2006/relationships/hyperlink" Target="https://undocs.org/ar/CAT/C/ISL/CO/3" TargetMode="External"/><Relationship Id="rId3" Type="http://schemas.openxmlformats.org/officeDocument/2006/relationships/hyperlink" Target="https://undocs.org/ar/CAT/C/SR.1882" TargetMode="External"/><Relationship Id="rId7" Type="http://schemas.openxmlformats.org/officeDocument/2006/relationships/hyperlink" Target="https://undocs.org/ar/CERD/C/ISL/CO/21-23" TargetMode="External"/><Relationship Id="rId12" Type="http://schemas.openxmlformats.org/officeDocument/2006/relationships/hyperlink" Target="https://undocs.org/ar/CERD/C/ISL/CO/21-23" TargetMode="External"/><Relationship Id="rId2" Type="http://schemas.openxmlformats.org/officeDocument/2006/relationships/hyperlink" Target="https://undocs.org/ar/CAT/C/SR.1879" TargetMode="External"/><Relationship Id="rId1" Type="http://schemas.openxmlformats.org/officeDocument/2006/relationships/hyperlink" Target="https://undocs.org/ar/CAT/C/ISL/4" TargetMode="External"/><Relationship Id="rId6" Type="http://schemas.openxmlformats.org/officeDocument/2006/relationships/hyperlink" Target="https://undocs.org/ar/CAT/C/ISL/CO/3" TargetMode="External"/><Relationship Id="rId11" Type="http://schemas.openxmlformats.org/officeDocument/2006/relationships/hyperlink" Target="https://undocs.org/ar/A/HRC/34/7" TargetMode="External"/><Relationship Id="rId5" Type="http://schemas.openxmlformats.org/officeDocument/2006/relationships/hyperlink" Target="https://undocs.org/ar/CAT/C/ISL/CO/3/Add.1" TargetMode="External"/><Relationship Id="rId10" Type="http://schemas.openxmlformats.org/officeDocument/2006/relationships/hyperlink" Target="https://undocs.org/ar/CERD/C/ISL/CO/21-23" TargetMode="External"/><Relationship Id="rId4" Type="http://schemas.openxmlformats.org/officeDocument/2006/relationships/hyperlink" Target="https://undocs.org/ar/CAT/C/ISL/CO/3" TargetMode="External"/><Relationship Id="rId9" Type="http://schemas.openxmlformats.org/officeDocument/2006/relationships/hyperlink" Target="https://undocs.org/ar/CERD/C/ISL/CO/21-23"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34C734A9-C71D-4C53-9B5B-07590E8FEA2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12</Pages>
  <Words>4375</Words>
  <Characters>22270</Characters>
  <Application>Microsoft Office Word</Application>
  <DocSecurity>0</DocSecurity>
  <Lines>365</Lines>
  <Paragraphs>92</Paragraphs>
  <ScaleCrop>false</ScaleCrop>
  <HeadingPairs>
    <vt:vector size="2" baseType="variant">
      <vt:variant>
        <vt:lpstr>Title</vt:lpstr>
      </vt:variant>
      <vt:variant>
        <vt:i4>1</vt:i4>
      </vt:variant>
    </vt:vector>
  </HeadingPairs>
  <TitlesOfParts>
    <vt:vector size="1" baseType="lpstr">
      <vt:lpstr>CAT/C/ISL/CO/4</vt:lpstr>
    </vt:vector>
  </TitlesOfParts>
  <Company>DCM</Company>
  <LinksUpToDate>false</LinksUpToDate>
  <CharactersWithSpaces>26553</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CAT/C/ISL/CO/4</dc:title>
  <dc:subject>GE.2208855(A)</dc:subject>
  <dc:creator>Muntaha BUHNAM - Fatima Mouata</dc:creator>
  <cp:keywords>GE.(A)</cp:keywords>
  <dc:description>Distr.: General
6 June 2022
Arabic
Original: English</dc:description>
  <cp:lastModifiedBy>Jamal Alkahlout</cp:lastModifiedBy>
  <cp:revision>2</cp:revision>
  <cp:lastPrinted>2016-06-21T10:29:00Z</cp:lastPrinted>
  <dcterms:created xsi:type="dcterms:W3CDTF">2022-11-07T08:38:00Z</dcterms:created>
  <dcterms:modified xsi:type="dcterms:W3CDTF">2022-11-07T08:38:00Z</dcterms:modified>
  <cp:category>Final</cp:category>
</cp:coreProperties>
</file>