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42153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170603    170603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31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/C/62/CO/10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2 </w:t>
            </w:r>
            <w:r>
              <w:rPr>
                <w:sz w:val="22"/>
                <w:lang w:val="en-US"/>
              </w:rPr>
              <w:t>June</w:t>
            </w:r>
            <w:r>
              <w:rPr>
                <w:sz w:val="22"/>
              </w:rPr>
              <w:t xml:space="preserve">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rPr>
          <w:lang w:val="en-US"/>
        </w:rPr>
      </w:pPr>
      <w:r>
        <w:t xml:space="preserve">КОМИТЕТ ПО ЛИКВИДАЦИИ 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вторая сессия</w:t>
      </w:r>
    </w:p>
    <w:p w:rsidR="00000000" w:rsidRDefault="00000000">
      <w:r>
        <w:t>3-21 марта 2003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t xml:space="preserve">Заключительные замечания Комитета по ликвидации расовой </w:t>
      </w:r>
    </w:p>
    <w:p w:rsidR="00000000" w:rsidRDefault="00000000">
      <w:pPr>
        <w:jc w:val="center"/>
      </w:pPr>
      <w:r>
        <w:rPr>
          <w:b/>
          <w:bCs/>
        </w:rPr>
        <w:t>дискриминации*</w:t>
      </w:r>
    </w:p>
    <w:p w:rsidR="00000000" w:rsidRDefault="00000000">
      <w:pPr>
        <w:jc w:val="center"/>
        <w:rPr>
          <w:lang w:val="en-US"/>
        </w:rPr>
      </w:pPr>
    </w:p>
    <w:p w:rsidR="00000000" w:rsidRDefault="00000000">
      <w:pPr>
        <w:jc w:val="center"/>
      </w:pPr>
      <w:r>
        <w:rPr>
          <w:b/>
          <w:bCs/>
        </w:rPr>
        <w:t>Тунис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тринадцатый-семнадцатый периодические доклады Туниса, представленные в одном документе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/431/</w:t>
      </w:r>
      <w:r>
        <w:rPr>
          <w:lang w:val="en-US"/>
        </w:rPr>
        <w:t>Add</w:t>
      </w:r>
      <w:r>
        <w:t>.4), на своих 1560-м и 1561</w:t>
      </w:r>
      <w:r>
        <w:noBreakHyphen/>
        <w:t>м</w:t>
      </w:r>
      <w:r>
        <w:rPr>
          <w:lang w:val="en-US"/>
        </w:rPr>
        <w:t> </w:t>
      </w:r>
      <w:r>
        <w:t>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.1560 и 1561), состоявшихся 6 и 7 марта 2003 года.  На своем 1575-м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.1575), состоявшемся 18 марта 2003 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тринадцатый-семнадцатый периодические доклады, представленные в одном документе, а также дополнительную информацию, представленную делегацией государства-участника во время ее устного выступления, и</w:t>
      </w:r>
    </w:p>
    <w:p w:rsidR="00000000" w:rsidRDefault="00000000"/>
    <w:p w:rsidR="00000000" w:rsidRDefault="00000000">
      <w:r>
        <w:t>_________________</w:t>
      </w:r>
    </w:p>
    <w:p w:rsidR="00000000" w:rsidRDefault="00000000">
      <w:pPr>
        <w:spacing w:line="240" w:lineRule="auto"/>
      </w:pPr>
      <w:r>
        <w:rPr>
          <w:b/>
          <w:bCs/>
        </w:rPr>
        <w:t>*</w:t>
      </w:r>
      <w:r>
        <w:tab/>
        <w:t xml:space="preserve">Просьба иметь в виду, что вместо прежнего условного обозначения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 304/</w:t>
      </w:r>
      <w:proofErr w:type="spellStart"/>
      <w:r>
        <w:t>Add</w:t>
      </w:r>
      <w:proofErr w:type="spellEnd"/>
      <w:r>
        <w:t xml:space="preserve">… впредь будет использоваться 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/С/</w:t>
      </w:r>
      <w:r>
        <w:rPr>
          <w:lang w:val="en-US"/>
        </w:rPr>
        <w:t>Session No</w:t>
      </w:r>
      <w:r>
        <w:t xml:space="preserve">./ </w:t>
      </w:r>
      <w:r>
        <w:rPr>
          <w:lang w:val="en-US"/>
        </w:rPr>
        <w:t>CO</w:t>
      </w:r>
      <w:r>
        <w:t>/….</w:t>
      </w:r>
    </w:p>
    <w:p w:rsidR="00000000" w:rsidRDefault="00000000">
      <w:r>
        <w:br w:type="page"/>
        <w:t>выражает признательность за возможность продолжения диалога с государством-участником.</w:t>
      </w:r>
    </w:p>
    <w:p w:rsidR="00000000" w:rsidRDefault="00000000"/>
    <w:p w:rsidR="00000000" w:rsidRDefault="00000000">
      <w:r>
        <w:t>3.</w:t>
      </w:r>
      <w:r>
        <w:tab/>
        <w:t>Вместе с тем Комитет отмечает, что доклад, несмотря на замечания, уже высказывавшиеся в этой связи Комитетом, по</w:t>
      </w:r>
      <w:r>
        <w:noBreakHyphen/>
        <w:t>прежнему содержит в основном лишь информацию о законодательстве, принятом с целью введения в силу Конвенции, и в нем отсутствует достаточная информация о том, в какой степени отдельные лица пользуются защитой, предусматриваемой Конвенцией.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приветствует тот факт, что в соответствии со статьей 32 Конституции международные договоры, ратифицированные государством-участником, включая Международную конвенцию о ликвидации всех форм расовой дискриминации, имеют преимущественную силу над нормами внутреннего законодательства государства-участника, и на них можно непосредственно ссылаться в судах.</w:t>
      </w:r>
    </w:p>
    <w:p w:rsidR="00000000" w:rsidRDefault="00000000"/>
    <w:p w:rsidR="00000000" w:rsidRDefault="00000000">
      <w:r>
        <w:t>5.</w:t>
      </w:r>
      <w:r>
        <w:tab/>
        <w:t>Комитет дает высокую оценку усилиям государства-участника в области образования по правам человека, включая его деятельность по пропаганде принципов терпимости и уважения в соответствии со статьей 7 Конвенции, и приветствует создание национальной комиссии по образованию в области прав человека.</w:t>
      </w:r>
    </w:p>
    <w:p w:rsidR="00000000" w:rsidRDefault="00000000"/>
    <w:p w:rsidR="00000000" w:rsidRDefault="00000000">
      <w:r>
        <w:t>6.</w:t>
      </w:r>
      <w:r>
        <w:tab/>
        <w:t xml:space="preserve">Комитет приветствует меры, которые были приняты в экономической и социальной сферах и способствовали экономическому росту и значительному сокращению масштабов нищеты.  Комитет с интересом отмечает учреждение Фонда национальной солидарности в целях борьбы с нищетой и </w:t>
      </w:r>
      <w:proofErr w:type="spellStart"/>
      <w:r>
        <w:t>маргинализацией</w:t>
      </w:r>
      <w:proofErr w:type="spellEnd"/>
      <w:r>
        <w:t>, а также создание Национального банка солидарности и выражает удовлетворение по поводу достигнутых ими результатов.  Комитет также отмечает прогресс, достигнутый в деле обеспечения равенства между женщинами и мужчинами в тунисском обществе и в области соблюдения права на свободу вероисповедания, поскольку все это способствует ликвидации дискриминации по признаку этнического происхождения.  Комитет призывает государство-участник продолжать работу в этом направлении.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обеспокоенность, и рекомендации</w:t>
      </w:r>
    </w:p>
    <w:p w:rsidR="00000000" w:rsidRDefault="00000000">
      <w:pPr>
        <w:jc w:val="center"/>
      </w:pPr>
    </w:p>
    <w:p w:rsidR="00000000" w:rsidRDefault="00000000">
      <w:r>
        <w:t>7.</w:t>
      </w:r>
      <w:r>
        <w:tab/>
        <w:t xml:space="preserve">Комитет принимает к сведению мнение государства-участника относительно однородности его населения.  Однако, поскольку даже в самом докладе говорится о свободах и правах тех, кто не является арабами или мусульманами, и ввиду отсутствия статистических данных об этническом составе тунисского общества, Комитет рекомендует государству-участнику представлять в своих следующих докладах, как это предусмотрено в пункте 8 руководящих принципов, касающихся формы и содержания докладов, оценку демографического состава населения, и обращает внимание государства-участника на свою общую рекомендацию </w:t>
      </w:r>
      <w:r>
        <w:rPr>
          <w:lang w:val="en-US"/>
        </w:rPr>
        <w:t>VIII</w:t>
      </w:r>
      <w:r>
        <w:t>, касающуюся идентификации членов конкретных расовых и этнических групп.</w:t>
      </w:r>
    </w:p>
    <w:p w:rsidR="00000000" w:rsidRDefault="00000000"/>
    <w:p w:rsidR="00000000" w:rsidRDefault="00000000">
      <w:r>
        <w:t>8.</w:t>
      </w:r>
      <w:r>
        <w:tab/>
        <w:t xml:space="preserve">Комитет отмечает, что государство-участник не представило информацию о берберском населении (народе </w:t>
      </w:r>
      <w:proofErr w:type="spellStart"/>
      <w:r>
        <w:t>амазиг</w:t>
      </w:r>
      <w:proofErr w:type="spellEnd"/>
      <w:r>
        <w:t>) и мерах, принятых в целях защиты и популяризации его культуры и языка.  Ввиду отсутствия в докладе каких-либо ссылок на эту группу Комитет просит представить конкретную информацию о ее положении и рекомендует уделять более пристальное внимание берберам как особому компоненту населения Туниса.</w:t>
      </w:r>
    </w:p>
    <w:p w:rsidR="00000000" w:rsidRDefault="00000000"/>
    <w:p w:rsidR="00000000" w:rsidRDefault="00000000">
      <w:r>
        <w:t>9.</w:t>
      </w:r>
      <w:r>
        <w:tab/>
        <w:t>Комитет не согласен с утверждением государства-участника об отсутствии расовой дискриминации на его территории и рекомендует Тунису избегать такого рода обобщений в будущих докладах.  Отмечая, что новое уголовное законодательство предусматривает наказание за расовую дискриминацию и подстрекательство к расовой ненависти в развитие норм, согласно которым терроризм является уголовно наказуемым деянием, Комитет выражает озабоченность по поводу объединения вопросов расовой дискриминации и терроризма.  Комитет также по</w:t>
      </w:r>
      <w:r>
        <w:noBreakHyphen/>
        <w:t xml:space="preserve">прежнему озабочен тем, что законодательство государства-участника, как представляется, не в полной мере отвечает требованиям статьи 4 Конвенции.  Комитет рекомендует государству-участнику пересмотреть свое внутреннее законодательство в свете общей рекомендации </w:t>
      </w:r>
      <w:r>
        <w:rPr>
          <w:lang w:val="en-US"/>
        </w:rPr>
        <w:t>XV</w:t>
      </w:r>
      <w:r>
        <w:t xml:space="preserve"> об осуществлении статьи 4 Конвенции и принять отдельное законодательство относительно таких преступлений, как расовая дискриминация и пропаганда расовой ненависти.</w:t>
      </w:r>
    </w:p>
    <w:p w:rsidR="00000000" w:rsidRDefault="00000000"/>
    <w:p w:rsidR="00000000" w:rsidRDefault="00000000">
      <w:r>
        <w:t>10.</w:t>
      </w:r>
      <w:r>
        <w:tab/>
        <w:t>Кроме того, Комитет просит государство-участник включить в свой следующий периодический доклад статистическую информацию о числе дел, возбужденных в связи с расовой дискриминацией, и приговорах, вынесенных по этим делам, а также о том, в каких случаях были применены соответствующие положения существующего внутреннего законодательства.  Комитет напоминает государству-участнику о том, что само по себе отсутствие жалоб или исков со стороны жертв расовой дискриминации может свидетельствовать либо об отсутствии соответствующего конкретного законодательства, либо о неосведомленности населения относительно наличия средств правовой защиты, либо о недостаточной воле со стороны властей в плане осуществления преследований в судебном порядке.  Комитет просит государство-участник обеспечить, чтобы национальное законодательство содержало необходимые положения, и проинформировать общественность обо всех средствах правовой защиты для целей пресечения расовой дискриминации.</w:t>
      </w:r>
    </w:p>
    <w:p w:rsidR="00000000" w:rsidRDefault="00000000"/>
    <w:p w:rsidR="00000000" w:rsidRDefault="00000000">
      <w:r>
        <w:t>11.</w:t>
      </w:r>
      <w:r>
        <w:tab/>
        <w:t>Комитет отмечает, что в докладе и устных ответах была представлена недостаточная информация об эффективном функционировании в государстве-участнике органов и механизмов по правам человека, в частности Высшего комитета по правам человека и основным свободам и Административного посредника.  Принимая к сведению представленную делегацией информацию о дальнейшем укреплении института Административного посредника в результате принятия в феврале 2002 года соответствующего закона, Комитет тем не менее просит государство-участник включить в свой следующий периодический доклад дополнительную информацию о роли, обязанностях, функционировании и достижениях этих учреждений, а также о мерах по обеспечению их независимости.</w:t>
      </w:r>
    </w:p>
    <w:p w:rsidR="00000000" w:rsidRDefault="00000000"/>
    <w:p w:rsidR="00000000" w:rsidRDefault="00000000">
      <w:r>
        <w:t>12.</w:t>
      </w:r>
      <w:r>
        <w:tab/>
        <w:t>Принимая к сведению информацию о деятельности неправительственных организаций в Тунисе, Комитет также отмечает, что в докладе ничего не говорится об участии в его подготовке гражданского общества.  Комитет настоятельно рекомендует государству-участнику проводить в рамках подготовки докладов консультации с организациями гражданского общества, занимающимися вопросами борьбы с расовой дискриминацией.</w:t>
      </w:r>
    </w:p>
    <w:p w:rsidR="00000000" w:rsidRDefault="00000000"/>
    <w:p w:rsidR="00000000" w:rsidRDefault="00000000">
      <w:r>
        <w:t>13.</w:t>
      </w:r>
      <w:r>
        <w:tab/>
        <w:t>Комитет отмечает, что государство-участник не сделало предусмотренное в статье 14 Конвенции заявление, и настоятельно призывает его рассмотреть такую возможность.</w:t>
      </w:r>
    </w:p>
    <w:p w:rsidR="00000000" w:rsidRDefault="00000000"/>
    <w:p w:rsidR="00000000" w:rsidRDefault="00000000">
      <w:r>
        <w:t>14.</w:t>
      </w:r>
      <w:r>
        <w:tab/>
        <w:t>Комитет настоятельно рекомендует государству-участнику ратифицировать поправки к пункту 6 статьи 8  Конвенции, принятые 15 января 1992 года на четырнадцатом Совещании государств - участников Конвенции и утвержденные Генеральной Ассамблей в резолюции 47/111.  В этой связи Комитет ссылается на резолюцию 57/194 Генеральной Ассамблеи от 18 декабря 2002 года, в которой Ассамблея самым настоятельным образом призвала государства-участники ускорить их внутренние процедуры ратификации поправки к Конвенции и оперативно уведомить Генерального секретаря в письменной форме о своем согласии с поправкой.</w:t>
      </w:r>
    </w:p>
    <w:p w:rsidR="00000000" w:rsidRDefault="00000000"/>
    <w:p w:rsidR="00000000" w:rsidRDefault="00000000">
      <w:r>
        <w:t>15.</w:t>
      </w:r>
      <w:r>
        <w:tab/>
        <w:t xml:space="preserve">Комитет рекомендует государству-участнику принять во внимание соответствующие части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в рамках внутренней правовой системы, в частности в том, что касается статей 2-7 Конвенции, и включить в свой следующий периодический доклад информацию о планах действий и других мерах, принимаемых для осуществления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16.</w:t>
      </w:r>
      <w:r>
        <w:tab/>
        <w:t>Комитет рекомендует знакомить общественность с докладами государства-участника с момента их представления и аналогичным образом распространять замечания Комитета по этим докладам.</w:t>
      </w:r>
    </w:p>
    <w:p w:rsidR="00000000" w:rsidRDefault="00000000"/>
    <w:p w:rsidR="00000000" w:rsidRDefault="00000000">
      <w:r>
        <w:t>17.</w:t>
      </w:r>
      <w:r>
        <w:tab/>
        <w:t>Комитет рекомендует государству-участнику представить свой восемнадцатый периодический доклад вместе с девятнадцатым периодическим докладом, подлежащим представлению 4 января 2006 года, и осветить в нем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CERD/C/62/CO/10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CERD/C/62/CO/10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1327</Words>
  <Characters>7566</Characters>
  <Application>Microsoft Office Word</Application>
  <DocSecurity>4</DocSecurity>
  <Lines>63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Marina Imeninnikova</dc:creator>
  <cp:keywords/>
  <dc:description/>
  <cp:lastModifiedBy>Marina Imeninnikova</cp:lastModifiedBy>
  <cp:revision>3</cp:revision>
  <cp:lastPrinted>2003-06-17T09:09:00Z</cp:lastPrinted>
  <dcterms:created xsi:type="dcterms:W3CDTF">2003-06-17T09:09:00Z</dcterms:created>
  <dcterms:modified xsi:type="dcterms:W3CDTF">2003-06-17T09:09:00Z</dcterms:modified>
</cp:coreProperties>
</file>