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93765F7" w14:textId="77777777" w:rsidTr="005E08DF">
        <w:trPr>
          <w:cantSplit/>
          <w:trHeight w:hRule="exact" w:val="851"/>
        </w:trPr>
        <w:tc>
          <w:tcPr>
            <w:tcW w:w="1276" w:type="dxa"/>
            <w:tcBorders>
              <w:bottom w:val="single" w:sz="4" w:space="0" w:color="auto"/>
            </w:tcBorders>
            <w:vAlign w:val="bottom"/>
          </w:tcPr>
          <w:p w14:paraId="01B27A63" w14:textId="77777777" w:rsidR="00C9007B" w:rsidRDefault="00C9007B" w:rsidP="005E08DF">
            <w:pPr>
              <w:spacing w:after="80"/>
            </w:pPr>
          </w:p>
        </w:tc>
        <w:tc>
          <w:tcPr>
            <w:tcW w:w="2268" w:type="dxa"/>
            <w:tcBorders>
              <w:bottom w:val="single" w:sz="4" w:space="0" w:color="auto"/>
            </w:tcBorders>
            <w:vAlign w:val="bottom"/>
          </w:tcPr>
          <w:p w14:paraId="370DCA0F"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70D6DBB" w14:textId="77777777" w:rsidR="00C9007B" w:rsidRDefault="00271032" w:rsidP="00271032">
            <w:pPr>
              <w:suppressAutoHyphens w:val="0"/>
              <w:spacing w:after="20"/>
              <w:jc w:val="right"/>
            </w:pPr>
            <w:r w:rsidRPr="00271032">
              <w:rPr>
                <w:sz w:val="40"/>
              </w:rPr>
              <w:t>CRPD</w:t>
            </w:r>
            <w:r>
              <w:t>/C/34/2</w:t>
            </w:r>
          </w:p>
        </w:tc>
      </w:tr>
      <w:tr w:rsidR="00C9007B" w14:paraId="6C61FF81" w14:textId="77777777" w:rsidTr="005E08DF">
        <w:trPr>
          <w:cantSplit/>
          <w:trHeight w:hRule="exact" w:val="2835"/>
        </w:trPr>
        <w:tc>
          <w:tcPr>
            <w:tcW w:w="1276" w:type="dxa"/>
            <w:tcBorders>
              <w:top w:val="single" w:sz="4" w:space="0" w:color="auto"/>
              <w:bottom w:val="single" w:sz="12" w:space="0" w:color="auto"/>
            </w:tcBorders>
          </w:tcPr>
          <w:p w14:paraId="6D4F960F" w14:textId="77777777" w:rsidR="00C9007B" w:rsidRDefault="00C9007B" w:rsidP="005E08DF">
            <w:pPr>
              <w:spacing w:before="120"/>
              <w:jc w:val="center"/>
            </w:pPr>
            <w:r>
              <w:rPr>
                <w:noProof/>
                <w:lang w:val="fr-CH" w:eastAsia="fr-CH"/>
              </w:rPr>
              <w:drawing>
                <wp:inline distT="0" distB="0" distL="0" distR="0" wp14:anchorId="2BA902C6" wp14:editId="0DDC253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3CBBC8"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1FCA4B9"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4482878" w14:textId="3F29D16E" w:rsidR="00C9007B" w:rsidRDefault="00271032" w:rsidP="00271032">
            <w:pPr>
              <w:spacing w:before="240"/>
            </w:pPr>
            <w:r>
              <w:t xml:space="preserve">Distr.: </w:t>
            </w:r>
            <w:r w:rsidR="00A5557C">
              <w:t>General</w:t>
            </w:r>
          </w:p>
          <w:p w14:paraId="1F456694" w14:textId="2F9BC6DD" w:rsidR="00271032" w:rsidRDefault="00A00341" w:rsidP="00271032">
            <w:pPr>
              <w:suppressAutoHyphens w:val="0"/>
            </w:pPr>
            <w:r>
              <w:t>28</w:t>
            </w:r>
            <w:r w:rsidR="00271032">
              <w:t xml:space="preserve"> May 2026</w:t>
            </w:r>
          </w:p>
          <w:p w14:paraId="447CED38" w14:textId="77777777" w:rsidR="00271032" w:rsidRDefault="00271032" w:rsidP="00271032">
            <w:pPr>
              <w:suppressAutoHyphens w:val="0"/>
            </w:pPr>
          </w:p>
          <w:p w14:paraId="07A552B1" w14:textId="77777777" w:rsidR="00271032" w:rsidRDefault="00271032" w:rsidP="00271032">
            <w:pPr>
              <w:suppressAutoHyphens w:val="0"/>
            </w:pPr>
            <w:r>
              <w:t>Original: English</w:t>
            </w:r>
          </w:p>
        </w:tc>
      </w:tr>
    </w:tbl>
    <w:p w14:paraId="5545E8D0" w14:textId="77777777" w:rsidR="00271032" w:rsidRPr="00C00AF7" w:rsidRDefault="00271032" w:rsidP="00271032">
      <w:pPr>
        <w:spacing w:before="120"/>
        <w:rPr>
          <w:b/>
          <w:bCs/>
          <w:color w:val="000000" w:themeColor="text1"/>
          <w:sz w:val="24"/>
          <w:szCs w:val="24"/>
        </w:rPr>
      </w:pPr>
      <w:r w:rsidRPr="00C00AF7">
        <w:rPr>
          <w:b/>
          <w:bCs/>
          <w:color w:val="000000" w:themeColor="text1"/>
          <w:sz w:val="24"/>
          <w:szCs w:val="24"/>
        </w:rPr>
        <w:t>Committee on the Rights of Persons with Disabilities</w:t>
      </w:r>
    </w:p>
    <w:p w14:paraId="7601538B" w14:textId="77777777" w:rsidR="00271032" w:rsidRPr="00C00AF7" w:rsidRDefault="00271032" w:rsidP="00271032">
      <w:pPr>
        <w:pStyle w:val="HChG"/>
      </w:pPr>
      <w:r w:rsidRPr="00C00AF7">
        <w:tab/>
      </w:r>
      <w:r w:rsidRPr="00C00AF7">
        <w:tab/>
        <w:t>Report of the Committee on the Rights of Persons with Disabilities on its thirty-fourth session (9–2</w:t>
      </w:r>
      <w:r>
        <w:rPr>
          <w:rFonts w:hint="eastAsia"/>
        </w:rPr>
        <w:t>7</w:t>
      </w:r>
      <w:r w:rsidRPr="00C00AF7">
        <w:t xml:space="preserve"> March 2026)</w:t>
      </w:r>
    </w:p>
    <w:p w14:paraId="2BEEEF7D" w14:textId="77777777" w:rsidR="00271032" w:rsidRPr="00C00AF7" w:rsidRDefault="00271032" w:rsidP="00271032">
      <w:pPr>
        <w:pStyle w:val="HChG"/>
      </w:pPr>
      <w:r w:rsidRPr="00C00AF7">
        <w:tab/>
        <w:t>I.</w:t>
      </w:r>
      <w:r w:rsidRPr="00C00AF7">
        <w:tab/>
        <w:t>States Parties to the Convention and the Optional Protocol thereto</w:t>
      </w:r>
    </w:p>
    <w:p w14:paraId="086648C8" w14:textId="77777777" w:rsidR="00271032" w:rsidRPr="00C00AF7" w:rsidRDefault="00271032" w:rsidP="00271032">
      <w:pPr>
        <w:pStyle w:val="SingleTxtG"/>
        <w:tabs>
          <w:tab w:val="clear" w:pos="2268"/>
        </w:tabs>
      </w:pPr>
      <w:r w:rsidRPr="00C00AF7">
        <w:t>1.</w:t>
      </w:r>
      <w:r w:rsidRPr="00C00AF7">
        <w:tab/>
        <w:t>As at 2</w:t>
      </w:r>
      <w:r>
        <w:t>7</w:t>
      </w:r>
      <w:r w:rsidRPr="00C00AF7">
        <w:t xml:space="preserve"> March 2026, the date on which the thirty-fourth session closed, there were 193 States Parties to the Convention on the Rights of Persons with Disabilities and 108 States Parties to the Optional Protocol thereto. The lists of States Parties to these instruments are available on the website of the Office of Legal Affairs of the Secretariat.</w:t>
      </w:r>
    </w:p>
    <w:p w14:paraId="5702E73D" w14:textId="77777777" w:rsidR="00271032" w:rsidRPr="00C00AF7" w:rsidRDefault="00271032" w:rsidP="00271032">
      <w:pPr>
        <w:pStyle w:val="HChG"/>
      </w:pPr>
      <w:r w:rsidRPr="00C00AF7">
        <w:tab/>
        <w:t>II.</w:t>
      </w:r>
      <w:r w:rsidRPr="00C00AF7">
        <w:tab/>
        <w:t>Opening of the thirty-fourth session of the Committee</w:t>
      </w:r>
    </w:p>
    <w:p w14:paraId="256DED0C" w14:textId="11B92286" w:rsidR="00271032" w:rsidRPr="00C00AF7" w:rsidRDefault="00271032" w:rsidP="00271032">
      <w:pPr>
        <w:pStyle w:val="SingleTxtG"/>
        <w:tabs>
          <w:tab w:val="clear" w:pos="2268"/>
        </w:tabs>
        <w:rPr>
          <w:lang w:eastAsia="en-GB"/>
        </w:rPr>
      </w:pPr>
      <w:r w:rsidRPr="00C00AF7">
        <w:rPr>
          <w:lang w:eastAsia="en-GB"/>
        </w:rPr>
        <w:t>2.</w:t>
      </w:r>
      <w:r w:rsidRPr="00C00AF7">
        <w:rPr>
          <w:lang w:eastAsia="en-GB"/>
        </w:rPr>
        <w:tab/>
      </w:r>
      <w:r w:rsidRPr="00C00AF7">
        <w:rPr>
          <w:lang w:eastAsia="en-GB"/>
        </w:rPr>
        <w:tab/>
      </w:r>
      <w:r w:rsidRPr="00C00AF7">
        <w:t>The</w:t>
      </w:r>
      <w:r w:rsidRPr="00C00AF7">
        <w:rPr>
          <w:lang w:eastAsia="en-GB"/>
        </w:rPr>
        <w:t xml:space="preserve"> thirty-fourth session opened in a public meeting with welcoming remarks by the </w:t>
      </w:r>
      <w:r w:rsidRPr="00C00AF7">
        <w:t>representative</w:t>
      </w:r>
      <w:r w:rsidRPr="00C00AF7">
        <w:rPr>
          <w:lang w:eastAsia="en-GB"/>
        </w:rPr>
        <w:t xml:space="preserve"> of the Secretary-General, the Chief of the Human Rights Treaties Branch, Human Rights Council and Treaty Mechanisms Division, Office of the United Nations High Commissioner for Human Rights. The welcoming remarks are available on the Committee</w:t>
      </w:r>
      <w:r w:rsidR="00A10B98">
        <w:rPr>
          <w:lang w:eastAsia="en-GB"/>
        </w:rPr>
        <w:t>’</w:t>
      </w:r>
      <w:r w:rsidRPr="00C00AF7">
        <w:rPr>
          <w:lang w:eastAsia="en-GB"/>
        </w:rPr>
        <w:t>s website.</w:t>
      </w:r>
    </w:p>
    <w:p w14:paraId="052BAFB1" w14:textId="77777777" w:rsidR="00271032" w:rsidRPr="00C00AF7" w:rsidRDefault="00271032" w:rsidP="00271032">
      <w:pPr>
        <w:pStyle w:val="SingleTxtG"/>
        <w:tabs>
          <w:tab w:val="clear" w:pos="2268"/>
        </w:tabs>
        <w:rPr>
          <w:lang w:eastAsia="en-GB"/>
        </w:rPr>
      </w:pPr>
      <w:r w:rsidRPr="00C00AF7">
        <w:rPr>
          <w:lang w:eastAsia="en-GB"/>
        </w:rPr>
        <w:t>3.</w:t>
      </w:r>
      <w:r w:rsidRPr="00C00AF7">
        <w:rPr>
          <w:lang w:eastAsia="en-GB"/>
        </w:rPr>
        <w:tab/>
      </w:r>
      <w:r w:rsidRPr="00C00AF7">
        <w:rPr>
          <w:lang w:eastAsia="en-GB"/>
        </w:rPr>
        <w:tab/>
        <w:t>The Committee reviewed and adopted the provisional agenda</w:t>
      </w:r>
      <w:r w:rsidRPr="00271032">
        <w:rPr>
          <w:rStyle w:val="FootnoteReference"/>
        </w:rPr>
        <w:footnoteReference w:id="1"/>
      </w:r>
      <w:r w:rsidRPr="00C00AF7">
        <w:t xml:space="preserve"> </w:t>
      </w:r>
      <w:r w:rsidRPr="00C00AF7">
        <w:rPr>
          <w:lang w:eastAsia="en-GB"/>
        </w:rPr>
        <w:t>and programme of work for the thirty-fourth session.</w:t>
      </w:r>
    </w:p>
    <w:p w14:paraId="77FFD3F7" w14:textId="77777777" w:rsidR="00271032" w:rsidRPr="00C00AF7" w:rsidRDefault="00271032" w:rsidP="00271032">
      <w:pPr>
        <w:pStyle w:val="HChG"/>
      </w:pPr>
      <w:r w:rsidRPr="00C00AF7">
        <w:tab/>
        <w:t>III.</w:t>
      </w:r>
      <w:r w:rsidRPr="00C00AF7">
        <w:tab/>
        <w:t>Membership of the Committee</w:t>
      </w:r>
    </w:p>
    <w:p w14:paraId="2C73B38D" w14:textId="069B1D3D" w:rsidR="00271032" w:rsidRPr="00C00AF7" w:rsidRDefault="00271032" w:rsidP="00271032">
      <w:pPr>
        <w:pStyle w:val="SingleTxtG"/>
        <w:tabs>
          <w:tab w:val="clear" w:pos="2268"/>
        </w:tabs>
        <w:rPr>
          <w:lang w:eastAsia="en-GB"/>
        </w:rPr>
      </w:pPr>
      <w:r w:rsidRPr="00C00AF7">
        <w:rPr>
          <w:lang w:eastAsia="en-GB"/>
        </w:rPr>
        <w:t>4.</w:t>
      </w:r>
      <w:r w:rsidRPr="00C00AF7">
        <w:rPr>
          <w:lang w:eastAsia="en-GB"/>
        </w:rPr>
        <w:tab/>
      </w:r>
      <w:r w:rsidRPr="00C00AF7">
        <w:rPr>
          <w:lang w:eastAsia="en-GB"/>
        </w:rPr>
        <w:tab/>
        <w:t>The list of members of the Committee as at 2</w:t>
      </w:r>
      <w:r>
        <w:rPr>
          <w:lang w:eastAsia="en-GB"/>
        </w:rPr>
        <w:t>7</w:t>
      </w:r>
      <w:r w:rsidRPr="00C00AF7">
        <w:rPr>
          <w:lang w:eastAsia="en-GB"/>
        </w:rPr>
        <w:t xml:space="preserve"> March 2026, indicating the duration of their </w:t>
      </w:r>
      <w:r w:rsidRPr="00C00AF7">
        <w:t>terms</w:t>
      </w:r>
      <w:r w:rsidRPr="00C00AF7">
        <w:rPr>
          <w:lang w:eastAsia="en-GB"/>
        </w:rPr>
        <w:t xml:space="preserve"> of office, is available on the Committee</w:t>
      </w:r>
      <w:r w:rsidR="00A10B98">
        <w:rPr>
          <w:lang w:eastAsia="en-GB"/>
        </w:rPr>
        <w:t>’</w:t>
      </w:r>
      <w:r w:rsidRPr="00C00AF7">
        <w:rPr>
          <w:lang w:eastAsia="en-GB"/>
        </w:rPr>
        <w:t>s website.</w:t>
      </w:r>
    </w:p>
    <w:p w14:paraId="6DBBF5C5" w14:textId="77777777" w:rsidR="00271032" w:rsidRPr="00C00AF7" w:rsidRDefault="00271032" w:rsidP="00271032">
      <w:pPr>
        <w:pStyle w:val="HChG"/>
      </w:pPr>
      <w:r w:rsidRPr="00C00AF7">
        <w:tab/>
        <w:t>IV.</w:t>
      </w:r>
      <w:r w:rsidRPr="00C00AF7">
        <w:tab/>
        <w:t>Working methods</w:t>
      </w:r>
    </w:p>
    <w:p w14:paraId="5ED086B1" w14:textId="77777777" w:rsidR="00271032" w:rsidRPr="00C00AF7" w:rsidRDefault="00271032" w:rsidP="00271032">
      <w:pPr>
        <w:pStyle w:val="SingleTxtG"/>
        <w:tabs>
          <w:tab w:val="clear" w:pos="2268"/>
        </w:tabs>
      </w:pPr>
      <w:r w:rsidRPr="00C00AF7">
        <w:t>5.</w:t>
      </w:r>
      <w:r w:rsidRPr="00C00AF7">
        <w:tab/>
      </w:r>
      <w:r w:rsidRPr="00C00AF7">
        <w:tab/>
      </w:r>
      <w:r w:rsidRPr="00C00AF7">
        <w:rPr>
          <w:lang w:eastAsia="en-GB"/>
        </w:rPr>
        <w:t>The</w:t>
      </w:r>
      <w:r w:rsidRPr="00C00AF7">
        <w:t xml:space="preserve"> Committee discussed various issues related to its working methods and decided to continue updating and streamlining its working methods during the intersessional period. It also discussed matters related to the </w:t>
      </w:r>
      <w:bookmarkStart w:id="0" w:name="_Hlk177744293"/>
      <w:r w:rsidRPr="00C00AF7">
        <w:t xml:space="preserve">treaty body strengthening process. </w:t>
      </w:r>
      <w:bookmarkEnd w:id="0"/>
      <w:r>
        <w:t xml:space="preserve">It made </w:t>
      </w:r>
      <w:r w:rsidRPr="00C00AF7">
        <w:rPr>
          <w:lang w:eastAsia="en-GB"/>
        </w:rPr>
        <w:t xml:space="preserve">adjustments to the methodology of </w:t>
      </w:r>
      <w:r>
        <w:rPr>
          <w:lang w:eastAsia="en-GB"/>
        </w:rPr>
        <w:t xml:space="preserve">its </w:t>
      </w:r>
      <w:r w:rsidRPr="00C00AF7">
        <w:rPr>
          <w:lang w:eastAsia="en-GB"/>
        </w:rPr>
        <w:t>task forces</w:t>
      </w:r>
      <w:r>
        <w:rPr>
          <w:lang w:eastAsia="en-GB"/>
        </w:rPr>
        <w:t xml:space="preserve"> during dialogues</w:t>
      </w:r>
      <w:r w:rsidRPr="00C00AF7">
        <w:rPr>
          <w:lang w:eastAsia="en-GB"/>
        </w:rPr>
        <w:t>.</w:t>
      </w:r>
    </w:p>
    <w:p w14:paraId="00CC2586" w14:textId="77777777" w:rsidR="00271032" w:rsidRPr="00C00AF7" w:rsidRDefault="00271032" w:rsidP="00271032">
      <w:pPr>
        <w:pStyle w:val="HChG"/>
      </w:pPr>
      <w:r w:rsidRPr="00C00AF7">
        <w:tab/>
        <w:t>V.</w:t>
      </w:r>
      <w:r w:rsidRPr="00C00AF7">
        <w:tab/>
        <w:t>Activities related to general comments</w:t>
      </w:r>
    </w:p>
    <w:p w14:paraId="32C82467" w14:textId="77777777" w:rsidR="00271032" w:rsidRPr="00C00AF7" w:rsidRDefault="00271032" w:rsidP="00271032">
      <w:pPr>
        <w:pStyle w:val="SingleTxtG"/>
        <w:tabs>
          <w:tab w:val="clear" w:pos="2268"/>
        </w:tabs>
      </w:pPr>
      <w:r w:rsidRPr="00C00AF7">
        <w:t>6.</w:t>
      </w:r>
      <w:r w:rsidRPr="00C00AF7">
        <w:tab/>
      </w:r>
      <w:r w:rsidRPr="00C00AF7">
        <w:tab/>
        <w:t xml:space="preserve">The Committee continued, in private meetings, its work on drafting general comments on articles 11 and 29 of the Convention. As part of the activities that the Committee identified to contribute to the commemoration of the twentieth anniversary of the adoption of the </w:t>
      </w:r>
      <w:r w:rsidRPr="00C00AF7">
        <w:lastRenderedPageBreak/>
        <w:t xml:space="preserve">Convention, the Committee, with the support of its working groups, decided to continue to develop guidelines on identifying and addressing multiple and intersecting forms of discrimination against women and girls with disabilities, to complement its general comment No. 3 (2016) on women and girls with disabilities, and guidelines on identifying and addressing disability-based violence, to complement its general comment No. 5 (2017) on living independently and being included in the community and its guidelines on deinstitutionalization, including in emergencies. </w:t>
      </w:r>
    </w:p>
    <w:p w14:paraId="43294907" w14:textId="68D2ED52" w:rsidR="00271032" w:rsidRPr="00C00AF7" w:rsidRDefault="00271032" w:rsidP="00271032">
      <w:pPr>
        <w:pStyle w:val="SingleTxtG"/>
        <w:tabs>
          <w:tab w:val="clear" w:pos="2268"/>
        </w:tabs>
      </w:pPr>
      <w:r w:rsidRPr="00C00AF7">
        <w:t>7.</w:t>
      </w:r>
      <w:r w:rsidRPr="00C00AF7">
        <w:tab/>
        <w:t xml:space="preserve">The Committee took note of the position of </w:t>
      </w:r>
      <w:r>
        <w:t>its</w:t>
      </w:r>
      <w:r w:rsidRPr="00C00AF7">
        <w:t xml:space="preserve"> </w:t>
      </w:r>
      <w:r>
        <w:t>s</w:t>
      </w:r>
      <w:r w:rsidRPr="00C00AF7">
        <w:t xml:space="preserve">ecretariat that, given the current liquidity crisis, </w:t>
      </w:r>
      <w:r>
        <w:t>it</w:t>
      </w:r>
      <w:r w:rsidRPr="00C00AF7">
        <w:t xml:space="preserve"> </w:t>
      </w:r>
      <w:r>
        <w:t>would</w:t>
      </w:r>
      <w:r w:rsidRPr="00C00AF7">
        <w:t xml:space="preserve"> </w:t>
      </w:r>
      <w:r>
        <w:t xml:space="preserve">be </w:t>
      </w:r>
      <w:proofErr w:type="gramStart"/>
      <w:r>
        <w:t>in a position</w:t>
      </w:r>
      <w:proofErr w:type="gramEnd"/>
      <w:r>
        <w:t xml:space="preserve"> to</w:t>
      </w:r>
      <w:r w:rsidRPr="00C00AF7">
        <w:t xml:space="preserve"> support </w:t>
      </w:r>
      <w:r>
        <w:t>the Committee</w:t>
      </w:r>
      <w:r w:rsidR="00A10B98">
        <w:t>’</w:t>
      </w:r>
      <w:r>
        <w:t>s work on only</w:t>
      </w:r>
      <w:r w:rsidRPr="00C00AF7">
        <w:t xml:space="preserve"> one general comment at a time. The Committee decided to establish a working group to </w:t>
      </w:r>
      <w:r>
        <w:t>conduct</w:t>
      </w:r>
      <w:r w:rsidRPr="00C00AF7">
        <w:t xml:space="preserve"> preparatory work</w:t>
      </w:r>
      <w:r>
        <w:t xml:space="preserve"> in the current year</w:t>
      </w:r>
      <w:r w:rsidRPr="00C00AF7">
        <w:t xml:space="preserve"> </w:t>
      </w:r>
      <w:r>
        <w:t>for</w:t>
      </w:r>
      <w:r w:rsidRPr="00C00AF7">
        <w:t xml:space="preserve"> the drafting of a general comment on article 32 of the Convention, with the support of external partners and without the formal involvement of </w:t>
      </w:r>
      <w:r>
        <w:t>its</w:t>
      </w:r>
      <w:r w:rsidRPr="00C00AF7">
        <w:t xml:space="preserve"> </w:t>
      </w:r>
      <w:r>
        <w:t>s</w:t>
      </w:r>
      <w:r w:rsidRPr="00C00AF7">
        <w:t>ecretariat</w:t>
      </w:r>
      <w:r>
        <w:t>.</w:t>
      </w:r>
    </w:p>
    <w:p w14:paraId="21E36D12" w14:textId="77777777" w:rsidR="00271032" w:rsidRPr="00C00AF7" w:rsidRDefault="00271032" w:rsidP="00271032">
      <w:pPr>
        <w:pStyle w:val="HChG"/>
      </w:pPr>
      <w:r w:rsidRPr="00C00AF7">
        <w:tab/>
        <w:t>VI.</w:t>
      </w:r>
      <w:r w:rsidRPr="00C00AF7">
        <w:tab/>
        <w:t>Activities related to the Optional Protocol</w:t>
      </w:r>
    </w:p>
    <w:p w14:paraId="2CDC0D54" w14:textId="77777777" w:rsidR="00271032" w:rsidRPr="00C00AF7" w:rsidRDefault="00271032" w:rsidP="00271032">
      <w:pPr>
        <w:pStyle w:val="SingleTxtG"/>
        <w:tabs>
          <w:tab w:val="clear" w:pos="2268"/>
        </w:tabs>
        <w:rPr>
          <w:i/>
          <w:iCs/>
        </w:rPr>
      </w:pPr>
      <w:r w:rsidRPr="00C00AF7">
        <w:t>8.</w:t>
      </w:r>
      <w:r w:rsidRPr="00C00AF7">
        <w:tab/>
        <w:t xml:space="preserve">The Committee examined five communications submitted for its consideration under the Optional Protocol to the Convention. It found violations of the Convention in two of them: </w:t>
      </w:r>
      <w:proofErr w:type="spellStart"/>
      <w:r w:rsidRPr="00C00AF7">
        <w:rPr>
          <w:i/>
          <w:iCs/>
        </w:rPr>
        <w:t>Černáková</w:t>
      </w:r>
      <w:proofErr w:type="spellEnd"/>
      <w:r w:rsidRPr="00C00AF7">
        <w:rPr>
          <w:i/>
          <w:iCs/>
        </w:rPr>
        <w:t xml:space="preserve"> v. Slovakia</w:t>
      </w:r>
      <w:r w:rsidRPr="00C00AF7">
        <w:t>,</w:t>
      </w:r>
      <w:r w:rsidRPr="00271032">
        <w:rPr>
          <w:rStyle w:val="FootnoteReference"/>
        </w:rPr>
        <w:footnoteReference w:id="2"/>
      </w:r>
      <w:r w:rsidRPr="00C00AF7">
        <w:t xml:space="preserve"> concerning the failure to </w:t>
      </w:r>
      <w:r>
        <w:t>interview</w:t>
      </w:r>
      <w:r w:rsidRPr="00C00AF7">
        <w:t xml:space="preserve"> a woman with disabilities in the context of criminal investigations into her abuse in an institution, and </w:t>
      </w:r>
      <w:proofErr w:type="spellStart"/>
      <w:r w:rsidRPr="00C00AF7">
        <w:rPr>
          <w:i/>
          <w:iCs/>
        </w:rPr>
        <w:t>Ro</w:t>
      </w:r>
      <w:r w:rsidRPr="00E820E9">
        <w:rPr>
          <w:i/>
          <w:iCs/>
        </w:rPr>
        <w:t>ž</w:t>
      </w:r>
      <w:r w:rsidRPr="00C00AF7">
        <w:rPr>
          <w:i/>
          <w:iCs/>
        </w:rPr>
        <w:t>alovskis</w:t>
      </w:r>
      <w:proofErr w:type="spellEnd"/>
      <w:r w:rsidRPr="00C00AF7">
        <w:rPr>
          <w:i/>
          <w:iCs/>
        </w:rPr>
        <w:t xml:space="preserve"> v. Latvia</w:t>
      </w:r>
      <w:r w:rsidRPr="00C00AF7">
        <w:t>,</w:t>
      </w:r>
      <w:r w:rsidRPr="00271032">
        <w:rPr>
          <w:rStyle w:val="FootnoteReference"/>
        </w:rPr>
        <w:footnoteReference w:id="3"/>
      </w:r>
      <w:r w:rsidRPr="00C00AF7">
        <w:t xml:space="preserve"> concerning </w:t>
      </w:r>
      <w:r>
        <w:t>the</w:t>
      </w:r>
      <w:r w:rsidRPr="00C00AF7">
        <w:t xml:space="preserve"> termination of employment pending </w:t>
      </w:r>
      <w:r>
        <w:t>recognition of</w:t>
      </w:r>
      <w:r w:rsidRPr="00C00AF7">
        <w:t xml:space="preserve"> disability. The Committee found two communications inadmissible: </w:t>
      </w:r>
      <w:r w:rsidRPr="00C00AF7">
        <w:rPr>
          <w:i/>
          <w:iCs/>
        </w:rPr>
        <w:t>M.S. v. Germany</w:t>
      </w:r>
      <w:r w:rsidRPr="00C00AF7">
        <w:t>,</w:t>
      </w:r>
      <w:r w:rsidRPr="00271032">
        <w:rPr>
          <w:rStyle w:val="FootnoteReference"/>
        </w:rPr>
        <w:footnoteReference w:id="4"/>
      </w:r>
      <w:r w:rsidRPr="00C00AF7">
        <w:t xml:space="preserve"> concerning procedural accommodation </w:t>
      </w:r>
      <w:r>
        <w:t>during</w:t>
      </w:r>
      <w:r w:rsidRPr="00C00AF7">
        <w:t xml:space="preserve"> a court hearing for a person with autism, and </w:t>
      </w:r>
      <w:r w:rsidRPr="00C00AF7">
        <w:rPr>
          <w:i/>
          <w:iCs/>
        </w:rPr>
        <w:t>J.A. and M.M. v. Serbia</w:t>
      </w:r>
      <w:r w:rsidRPr="00C95A22">
        <w:t>,</w:t>
      </w:r>
      <w:r w:rsidRPr="00271032">
        <w:rPr>
          <w:rStyle w:val="FootnoteReference"/>
        </w:rPr>
        <w:footnoteReference w:id="5"/>
      </w:r>
      <w:r w:rsidRPr="00C95A22">
        <w:t xml:space="preserve"> </w:t>
      </w:r>
      <w:r w:rsidRPr="00C00AF7">
        <w:t>concerning the institutionali</w:t>
      </w:r>
      <w:r>
        <w:t>z</w:t>
      </w:r>
      <w:r w:rsidRPr="00C00AF7">
        <w:t xml:space="preserve">ation of two persons with disabilities. The Committee </w:t>
      </w:r>
      <w:r>
        <w:t xml:space="preserve">decided to </w:t>
      </w:r>
      <w:r w:rsidRPr="00C00AF7">
        <w:t xml:space="preserve">discontinue its consideration of </w:t>
      </w:r>
      <w:r w:rsidRPr="00C00AF7">
        <w:rPr>
          <w:i/>
          <w:iCs/>
        </w:rPr>
        <w:t>N.V.H</w:t>
      </w:r>
      <w:r>
        <w:rPr>
          <w:i/>
          <w:iCs/>
        </w:rPr>
        <w:t>.</w:t>
      </w:r>
      <w:r w:rsidRPr="00C00AF7">
        <w:rPr>
          <w:i/>
          <w:iCs/>
        </w:rPr>
        <w:t xml:space="preserve"> </w:t>
      </w:r>
      <w:r>
        <w:rPr>
          <w:i/>
          <w:iCs/>
        </w:rPr>
        <w:t>et al.</w:t>
      </w:r>
      <w:r w:rsidRPr="00C00AF7">
        <w:rPr>
          <w:i/>
          <w:iCs/>
        </w:rPr>
        <w:t xml:space="preserve"> v. Argentina</w:t>
      </w:r>
      <w:r w:rsidRPr="00C00AF7">
        <w:t>,</w:t>
      </w:r>
      <w:r w:rsidRPr="00271032">
        <w:rPr>
          <w:rStyle w:val="FootnoteReference"/>
        </w:rPr>
        <w:footnoteReference w:id="6"/>
      </w:r>
      <w:r w:rsidRPr="00C00AF7">
        <w:t xml:space="preserve"> concerning access to public transport for persons with disabilities.</w:t>
      </w:r>
    </w:p>
    <w:p w14:paraId="10F8156D" w14:textId="60EF763F" w:rsidR="00271032" w:rsidRPr="00C00AF7" w:rsidRDefault="00271032" w:rsidP="00271032">
      <w:pPr>
        <w:pStyle w:val="SingleTxtG"/>
        <w:tabs>
          <w:tab w:val="clear" w:pos="2268"/>
        </w:tabs>
      </w:pPr>
      <w:r w:rsidRPr="00C00AF7">
        <w:t>9.</w:t>
      </w:r>
      <w:r w:rsidRPr="00C00AF7">
        <w:tab/>
        <w:t>The Committee also adopted a follow-up progress report on individual communications. That report sets out information received by the Special Rapporteur for follow-up to Views between the thirty-second and thirty-fourth sessions pursuant to the Committee</w:t>
      </w:r>
      <w:r w:rsidR="00A10B98">
        <w:t>’</w:t>
      </w:r>
      <w:r w:rsidRPr="00C00AF7">
        <w:t>s rules of procedure, and the Committee</w:t>
      </w:r>
      <w:r w:rsidR="00A10B98">
        <w:t>’</w:t>
      </w:r>
      <w:r w:rsidRPr="00C00AF7">
        <w:t xml:space="preserve">s assessments and decisions concerning the follow-up. The Committee decided to discontinue the follow-up procedure </w:t>
      </w:r>
      <w:r>
        <w:t>with regard</w:t>
      </w:r>
      <w:r w:rsidRPr="00C00AF7">
        <w:t xml:space="preserve"> to </w:t>
      </w:r>
      <w:r w:rsidRPr="00C00AF7">
        <w:rPr>
          <w:i/>
          <w:iCs/>
        </w:rPr>
        <w:t>Al-</w:t>
      </w:r>
      <w:proofErr w:type="spellStart"/>
      <w:r w:rsidRPr="00C00AF7">
        <w:rPr>
          <w:i/>
          <w:iCs/>
        </w:rPr>
        <w:t>Hawali</w:t>
      </w:r>
      <w:proofErr w:type="spellEnd"/>
      <w:r w:rsidRPr="00C00AF7">
        <w:rPr>
          <w:i/>
          <w:iCs/>
        </w:rPr>
        <w:t xml:space="preserve"> v. Saudi Arabia</w:t>
      </w:r>
      <w:r w:rsidRPr="00C00AF7">
        <w:t xml:space="preserve"> and </w:t>
      </w:r>
      <w:r w:rsidRPr="00C00AF7">
        <w:rPr>
          <w:i/>
          <w:iCs/>
        </w:rPr>
        <w:t>Al-</w:t>
      </w:r>
      <w:proofErr w:type="spellStart"/>
      <w:r w:rsidRPr="00C00AF7">
        <w:rPr>
          <w:i/>
          <w:iCs/>
        </w:rPr>
        <w:t>Awdah</w:t>
      </w:r>
      <w:proofErr w:type="spellEnd"/>
      <w:r w:rsidRPr="00C00AF7">
        <w:rPr>
          <w:i/>
          <w:iCs/>
        </w:rPr>
        <w:t xml:space="preserve"> v. Saudi Arabia</w:t>
      </w:r>
      <w:r w:rsidRPr="00271032">
        <w:rPr>
          <w:rStyle w:val="FootnoteReference"/>
        </w:rPr>
        <w:footnoteReference w:id="7"/>
      </w:r>
      <w:r w:rsidRPr="00C00AF7">
        <w:t xml:space="preserve"> with an assessment of </w:t>
      </w:r>
      <w:r w:rsidR="00C609B8">
        <w:t>“</w:t>
      </w:r>
      <w:r w:rsidRPr="00C00AF7">
        <w:t>C</w:t>
      </w:r>
      <w:r w:rsidR="00C609B8">
        <w:t>”</w:t>
      </w:r>
      <w:r w:rsidRPr="00C00AF7">
        <w:t xml:space="preserve"> (non</w:t>
      </w:r>
      <w:r w:rsidR="00A00341">
        <w:noBreakHyphen/>
      </w:r>
      <w:r w:rsidRPr="00C00AF7">
        <w:t>compliance)</w:t>
      </w:r>
      <w:r>
        <w:t>,</w:t>
      </w:r>
      <w:r w:rsidRPr="00C00AF7">
        <w:t xml:space="preserve"> </w:t>
      </w:r>
      <w:r w:rsidRPr="00C00AF7">
        <w:rPr>
          <w:i/>
          <w:iCs/>
        </w:rPr>
        <w:t>E.O.J. et al. v. Sweden</w:t>
      </w:r>
      <w:r w:rsidRPr="00271032">
        <w:rPr>
          <w:rStyle w:val="FootnoteReference"/>
        </w:rPr>
        <w:footnoteReference w:id="8"/>
      </w:r>
      <w:r w:rsidRPr="00C00AF7">
        <w:t xml:space="preserve"> with </w:t>
      </w:r>
      <w:r>
        <w:t xml:space="preserve">an assessment of </w:t>
      </w:r>
      <w:r w:rsidR="00C609B8">
        <w:t>“</w:t>
      </w:r>
      <w:r w:rsidRPr="00C00AF7">
        <w:t>B</w:t>
      </w:r>
      <w:r w:rsidR="00C609B8">
        <w:t>”</w:t>
      </w:r>
      <w:r w:rsidRPr="00C00AF7">
        <w:t xml:space="preserve"> (partial compliance)</w:t>
      </w:r>
      <w:r>
        <w:t>,</w:t>
      </w:r>
      <w:r w:rsidRPr="00C00AF7">
        <w:t xml:space="preserve"> </w:t>
      </w:r>
      <w:r w:rsidRPr="00C00AF7">
        <w:rPr>
          <w:i/>
          <w:iCs/>
        </w:rPr>
        <w:t xml:space="preserve">Al-Sayed and </w:t>
      </w:r>
      <w:proofErr w:type="spellStart"/>
      <w:r w:rsidRPr="00C00AF7">
        <w:rPr>
          <w:i/>
          <w:iCs/>
        </w:rPr>
        <w:t>Mangisto</w:t>
      </w:r>
      <w:proofErr w:type="spellEnd"/>
      <w:r w:rsidRPr="00C00AF7">
        <w:rPr>
          <w:i/>
          <w:iCs/>
        </w:rPr>
        <w:t xml:space="preserve"> v. State of Palestine</w:t>
      </w:r>
      <w:r w:rsidRPr="00271032">
        <w:rPr>
          <w:rStyle w:val="FootnoteReference"/>
        </w:rPr>
        <w:footnoteReference w:id="9"/>
      </w:r>
      <w:r w:rsidRPr="00C00AF7">
        <w:t xml:space="preserve"> with </w:t>
      </w:r>
      <w:r>
        <w:t>an</w:t>
      </w:r>
      <w:r w:rsidR="00693568">
        <w:t xml:space="preserve"> </w:t>
      </w:r>
      <w:r>
        <w:t xml:space="preserve">assessment of </w:t>
      </w:r>
      <w:r w:rsidR="00C609B8">
        <w:t>“</w:t>
      </w:r>
      <w:r w:rsidRPr="00C00AF7">
        <w:t>C</w:t>
      </w:r>
      <w:r w:rsidR="00C609B8">
        <w:t>”</w:t>
      </w:r>
      <w:r w:rsidRPr="007D207E">
        <w:t xml:space="preserve"> </w:t>
      </w:r>
      <w:r w:rsidRPr="00C00AF7">
        <w:t>(non-compliance)</w:t>
      </w:r>
      <w:r>
        <w:t>,</w:t>
      </w:r>
      <w:r w:rsidRPr="00C00AF7">
        <w:t xml:space="preserve"> </w:t>
      </w:r>
      <w:r w:rsidRPr="00C00AF7">
        <w:rPr>
          <w:i/>
          <w:iCs/>
        </w:rPr>
        <w:t xml:space="preserve">Medina Vela v. Mexico </w:t>
      </w:r>
      <w:r w:rsidRPr="00C00AF7">
        <w:t>(</w:t>
      </w:r>
      <w:hyperlink r:id="rId9" w:history="1">
        <w:r w:rsidRPr="00736C81">
          <w:rPr>
            <w:rStyle w:val="Hyperlink"/>
          </w:rPr>
          <w:t>CRPD/C/22/D/32/2015</w:t>
        </w:r>
      </w:hyperlink>
      <w:r w:rsidRPr="00C00AF7">
        <w:t>)</w:t>
      </w:r>
      <w:r w:rsidRPr="00271032">
        <w:rPr>
          <w:rStyle w:val="FootnoteReference"/>
        </w:rPr>
        <w:footnoteReference w:id="10"/>
      </w:r>
      <w:r w:rsidRPr="00C00AF7">
        <w:t xml:space="preserve"> with </w:t>
      </w:r>
      <w:r>
        <w:t xml:space="preserve">an assessment of </w:t>
      </w:r>
      <w:r w:rsidR="00C609B8">
        <w:t>“</w:t>
      </w:r>
      <w:r w:rsidRPr="00C00AF7">
        <w:t>A</w:t>
      </w:r>
      <w:r w:rsidR="00C609B8">
        <w:t>”</w:t>
      </w:r>
      <w:r w:rsidRPr="00C00AF7">
        <w:t xml:space="preserve"> (compliance) </w:t>
      </w:r>
      <w:r>
        <w:t>for</w:t>
      </w:r>
      <w:r w:rsidRPr="00C00AF7">
        <w:t xml:space="preserve"> the individual </w:t>
      </w:r>
      <w:r>
        <w:t>measures,</w:t>
      </w:r>
      <w:r w:rsidRPr="00C00AF7">
        <w:t xml:space="preserve"> and </w:t>
      </w:r>
      <w:r w:rsidRPr="00C00AF7">
        <w:rPr>
          <w:i/>
          <w:iCs/>
        </w:rPr>
        <w:t>N.I. v. Sweden</w:t>
      </w:r>
      <w:r w:rsidRPr="00271032">
        <w:rPr>
          <w:rStyle w:val="FootnoteReference"/>
        </w:rPr>
        <w:footnoteReference w:id="11"/>
      </w:r>
      <w:r w:rsidRPr="00C00AF7">
        <w:t xml:space="preserve"> with </w:t>
      </w:r>
      <w:r>
        <w:t xml:space="preserve">an assessment of </w:t>
      </w:r>
      <w:r w:rsidR="00C609B8">
        <w:t>“</w:t>
      </w:r>
      <w:r w:rsidRPr="00C00AF7">
        <w:t>B</w:t>
      </w:r>
      <w:r w:rsidR="00C609B8">
        <w:t>”</w:t>
      </w:r>
      <w:r>
        <w:t xml:space="preserve"> (partial compliance)</w:t>
      </w:r>
      <w:r w:rsidRPr="00C00AF7">
        <w:t>. Further</w:t>
      </w:r>
      <w:r>
        <w:t>more</w:t>
      </w:r>
      <w:r w:rsidRPr="00C00AF7">
        <w:t xml:space="preserve">, the Committee amended its working methods </w:t>
      </w:r>
      <w:proofErr w:type="gramStart"/>
      <w:r>
        <w:t>with regard to</w:t>
      </w:r>
      <w:proofErr w:type="gramEnd"/>
      <w:r w:rsidRPr="00C00AF7">
        <w:t xml:space="preserve"> individual communications.</w:t>
      </w:r>
      <w:r w:rsidRPr="00271032">
        <w:rPr>
          <w:rStyle w:val="FootnoteReference"/>
        </w:rPr>
        <w:footnoteReference w:id="12"/>
      </w:r>
    </w:p>
    <w:p w14:paraId="185ABC22" w14:textId="77777777" w:rsidR="00271032" w:rsidRPr="00C00AF7" w:rsidRDefault="00271032" w:rsidP="00271032">
      <w:pPr>
        <w:pStyle w:val="SingleTxtG"/>
        <w:tabs>
          <w:tab w:val="clear" w:pos="2268"/>
        </w:tabs>
      </w:pPr>
      <w:r w:rsidRPr="00C00AF7">
        <w:t>10.</w:t>
      </w:r>
      <w:r w:rsidRPr="00C00AF7">
        <w:tab/>
      </w:r>
      <w:r w:rsidRPr="00C00AF7">
        <w:tab/>
        <w:t>The Committee considered matters related to inquiry proceedings pursuant to articles 6 and 7 of the Optional Protocol.</w:t>
      </w:r>
    </w:p>
    <w:p w14:paraId="6BF02D67" w14:textId="77777777" w:rsidR="00271032" w:rsidRPr="00C00AF7" w:rsidRDefault="00271032" w:rsidP="00271032">
      <w:pPr>
        <w:pStyle w:val="HChG"/>
      </w:pPr>
      <w:r w:rsidRPr="00C00AF7">
        <w:lastRenderedPageBreak/>
        <w:tab/>
        <w:t>VII.</w:t>
      </w:r>
      <w:r w:rsidRPr="00C00AF7">
        <w:tab/>
        <w:t>Future sessions</w:t>
      </w:r>
    </w:p>
    <w:p w14:paraId="780ACC70" w14:textId="77777777" w:rsidR="00271032" w:rsidRPr="00C00AF7" w:rsidRDefault="00271032" w:rsidP="00271032">
      <w:pPr>
        <w:pStyle w:val="SingleTxtG"/>
        <w:tabs>
          <w:tab w:val="clear" w:pos="2268"/>
        </w:tabs>
      </w:pPr>
      <w:bookmarkStart w:id="1" w:name="_Hlk113219885"/>
      <w:r w:rsidRPr="00C00AF7">
        <w:t>11.</w:t>
      </w:r>
      <w:r w:rsidRPr="00C00AF7">
        <w:tab/>
      </w:r>
      <w:r w:rsidRPr="00C00AF7">
        <w:tab/>
        <w:t xml:space="preserve">Subject to the availability of funding, </w:t>
      </w:r>
      <w:bookmarkStart w:id="2" w:name="_Hlk191282968"/>
      <w:r w:rsidRPr="00C00AF7">
        <w:t>the</w:t>
      </w:r>
      <w:r w:rsidRPr="00C00AF7">
        <w:rPr>
          <w:lang w:eastAsia="en-GB"/>
        </w:rPr>
        <w:t xml:space="preserve"> thirty-fifth session of the Committee is </w:t>
      </w:r>
      <w:r w:rsidRPr="00C00AF7">
        <w:t>provisionally</w:t>
      </w:r>
      <w:r w:rsidRPr="00C00AF7">
        <w:rPr>
          <w:lang w:eastAsia="en-GB"/>
        </w:rPr>
        <w:t xml:space="preserve"> scheduled to be held in Geneva from </w:t>
      </w:r>
      <w:bookmarkStart w:id="3" w:name="_Hlk175907166"/>
      <w:r w:rsidRPr="00C00AF7">
        <w:rPr>
          <w:lang w:eastAsia="en-GB"/>
        </w:rPr>
        <w:t>12 to 27 August 2026.</w:t>
      </w:r>
      <w:bookmarkEnd w:id="1"/>
      <w:bookmarkEnd w:id="2"/>
      <w:bookmarkEnd w:id="3"/>
      <w:r w:rsidRPr="00C00AF7">
        <w:rPr>
          <w:lang w:eastAsia="en-GB"/>
        </w:rPr>
        <w:t xml:space="preserve"> </w:t>
      </w:r>
    </w:p>
    <w:p w14:paraId="5151E6FD" w14:textId="1595FBF4" w:rsidR="00271032" w:rsidRPr="00C00AF7" w:rsidRDefault="00271032" w:rsidP="00271032">
      <w:pPr>
        <w:pStyle w:val="HChG"/>
      </w:pPr>
      <w:r w:rsidRPr="00C00AF7">
        <w:tab/>
        <w:t>VIII.</w:t>
      </w:r>
      <w:r w:rsidRPr="00C00AF7">
        <w:tab/>
        <w:t>Accessibility of the Committee</w:t>
      </w:r>
      <w:r w:rsidR="00A10B98">
        <w:t>’</w:t>
      </w:r>
      <w:r w:rsidRPr="00C00AF7">
        <w:t>s meetings</w:t>
      </w:r>
    </w:p>
    <w:p w14:paraId="4E174CF4" w14:textId="77777777" w:rsidR="00271032" w:rsidRPr="00C00AF7" w:rsidRDefault="00271032" w:rsidP="00271032">
      <w:pPr>
        <w:pStyle w:val="SingleTxtG"/>
        <w:tabs>
          <w:tab w:val="clear" w:pos="2268"/>
        </w:tabs>
        <w:rPr>
          <w:lang w:eastAsia="en-GB"/>
        </w:rPr>
      </w:pPr>
      <w:r w:rsidRPr="00C00AF7">
        <w:rPr>
          <w:lang w:eastAsia="en-GB"/>
        </w:rPr>
        <w:t>12.</w:t>
      </w:r>
      <w:r w:rsidRPr="00C00AF7">
        <w:rPr>
          <w:lang w:eastAsia="en-GB"/>
        </w:rPr>
        <w:tab/>
      </w:r>
      <w:r w:rsidRPr="00C00AF7">
        <w:rPr>
          <w:lang w:eastAsia="en-GB"/>
        </w:rPr>
        <w:tab/>
        <w:t>The thirty-fourth session of the Committee was held in Geneva, with Committee members and the delegations of one State Party participating in person</w:t>
      </w:r>
      <w:r>
        <w:rPr>
          <w:lang w:eastAsia="en-GB"/>
        </w:rPr>
        <w:t xml:space="preserve"> and</w:t>
      </w:r>
      <w:r w:rsidRPr="00C00AF7">
        <w:rPr>
          <w:lang w:eastAsia="en-GB"/>
        </w:rPr>
        <w:t xml:space="preserve"> the delegations of two State</w:t>
      </w:r>
      <w:r>
        <w:rPr>
          <w:lang w:eastAsia="en-GB"/>
        </w:rPr>
        <w:t>s</w:t>
      </w:r>
      <w:r w:rsidRPr="00C00AF7">
        <w:rPr>
          <w:lang w:eastAsia="en-GB"/>
        </w:rPr>
        <w:t xml:space="preserve"> Parties participating </w:t>
      </w:r>
      <w:r>
        <w:rPr>
          <w:lang w:eastAsia="en-GB"/>
        </w:rPr>
        <w:t xml:space="preserve">in meetings held </w:t>
      </w:r>
      <w:r w:rsidRPr="00C00AF7">
        <w:rPr>
          <w:lang w:eastAsia="en-GB"/>
        </w:rPr>
        <w:t xml:space="preserve">in </w:t>
      </w:r>
      <w:r>
        <w:rPr>
          <w:lang w:eastAsia="en-GB"/>
        </w:rPr>
        <w:t xml:space="preserve">a </w:t>
      </w:r>
      <w:r w:rsidRPr="00C00AF7">
        <w:rPr>
          <w:lang w:eastAsia="en-GB"/>
        </w:rPr>
        <w:t xml:space="preserve">hybrid format. The delegation of one State Party was </w:t>
      </w:r>
      <w:r>
        <w:rPr>
          <w:lang w:eastAsia="en-GB"/>
        </w:rPr>
        <w:t>un</w:t>
      </w:r>
      <w:r w:rsidRPr="00C00AF7">
        <w:rPr>
          <w:lang w:eastAsia="en-GB"/>
        </w:rPr>
        <w:t xml:space="preserve">able to </w:t>
      </w:r>
      <w:r>
        <w:rPr>
          <w:lang w:eastAsia="en-GB"/>
        </w:rPr>
        <w:t>participate</w:t>
      </w:r>
      <w:r w:rsidRPr="00C00AF7">
        <w:rPr>
          <w:lang w:eastAsia="en-GB"/>
        </w:rPr>
        <w:t xml:space="preserve"> </w:t>
      </w:r>
      <w:r>
        <w:t>owing</w:t>
      </w:r>
      <w:r w:rsidRPr="00C00AF7">
        <w:rPr>
          <w:lang w:eastAsia="en-GB"/>
        </w:rPr>
        <w:t xml:space="preserve"> to the situation in the Middle East. The </w:t>
      </w:r>
      <w:r>
        <w:rPr>
          <w:lang w:eastAsia="en-GB"/>
        </w:rPr>
        <w:t xml:space="preserve">Committee </w:t>
      </w:r>
      <w:r w:rsidRPr="00C00AF7">
        <w:rPr>
          <w:lang w:eastAsia="en-GB"/>
        </w:rPr>
        <w:t>review</w:t>
      </w:r>
      <w:r>
        <w:rPr>
          <w:lang w:eastAsia="en-GB"/>
        </w:rPr>
        <w:t>ed</w:t>
      </w:r>
      <w:r w:rsidRPr="00C00AF7">
        <w:rPr>
          <w:lang w:eastAsia="en-GB"/>
        </w:rPr>
        <w:t xml:space="preserve"> the implementation of the Convention in Liberia in the absence of a delegation</w:t>
      </w:r>
      <w:r>
        <w:rPr>
          <w:lang w:eastAsia="en-GB"/>
        </w:rPr>
        <w:t xml:space="preserve"> of the State Party</w:t>
      </w:r>
      <w:r w:rsidRPr="00C00AF7">
        <w:rPr>
          <w:lang w:eastAsia="en-GB"/>
        </w:rPr>
        <w:t xml:space="preserve">. Stakeholders including organizations of persons with disabilities, civil society organizations, specialized agencies and other United Nations bodies participated in person or sent pre-recorded video messages. International Sign interpretation and remote captioning were available. The provision of national sign language interpretation </w:t>
      </w:r>
      <w:r>
        <w:rPr>
          <w:lang w:eastAsia="en-GB"/>
        </w:rPr>
        <w:t>was still</w:t>
      </w:r>
      <w:r w:rsidRPr="00C00AF7">
        <w:rPr>
          <w:lang w:eastAsia="en-GB"/>
        </w:rPr>
        <w:t xml:space="preserve"> discontinued. Public meetings were webcast. No plain language or Easy Read versions of documents were available during the session. Reasonable accommodation, including in the organization of travel for Committee members with disabilities, continued to be provided, within existing resources. </w:t>
      </w:r>
    </w:p>
    <w:p w14:paraId="6EF00CB2" w14:textId="1115391C" w:rsidR="00271032" w:rsidRPr="00C00AF7" w:rsidRDefault="00271032" w:rsidP="00271032">
      <w:pPr>
        <w:pStyle w:val="SingleTxtG"/>
        <w:tabs>
          <w:tab w:val="clear" w:pos="2268"/>
        </w:tabs>
        <w:rPr>
          <w:lang w:eastAsia="en-GB"/>
        </w:rPr>
      </w:pPr>
      <w:r w:rsidRPr="00C00AF7">
        <w:rPr>
          <w:lang w:eastAsia="en-GB"/>
        </w:rPr>
        <w:t>13.</w:t>
      </w:r>
      <w:r w:rsidRPr="00C00AF7">
        <w:rPr>
          <w:lang w:eastAsia="en-GB"/>
        </w:rPr>
        <w:tab/>
        <w:t>While acknowledging that the Secretariat is facing a liquidity crisis and that cash</w:t>
      </w:r>
      <w:r w:rsidR="00A00341">
        <w:rPr>
          <w:lang w:eastAsia="en-GB"/>
        </w:rPr>
        <w:noBreakHyphen/>
      </w:r>
      <w:r w:rsidRPr="00C00AF7">
        <w:t>conservat</w:t>
      </w:r>
      <w:r>
        <w:t>ion</w:t>
      </w:r>
      <w:r w:rsidRPr="00C00AF7">
        <w:rPr>
          <w:lang w:eastAsia="en-GB"/>
        </w:rPr>
        <w:t xml:space="preserve"> measures have been adopted </w:t>
      </w:r>
      <w:r>
        <w:rPr>
          <w:lang w:eastAsia="en-GB"/>
        </w:rPr>
        <w:t>in response</w:t>
      </w:r>
      <w:r w:rsidRPr="00C00AF7">
        <w:rPr>
          <w:lang w:eastAsia="en-GB"/>
        </w:rPr>
        <w:t xml:space="preserve">, the Committee regrets that the </w:t>
      </w:r>
      <w:r>
        <w:rPr>
          <w:lang w:eastAsia="en-GB"/>
        </w:rPr>
        <w:t>Division</w:t>
      </w:r>
      <w:r w:rsidRPr="00C00AF7">
        <w:rPr>
          <w:lang w:eastAsia="en-GB"/>
        </w:rPr>
        <w:t xml:space="preserve"> of Conference Management decided</w:t>
      </w:r>
      <w:r w:rsidRPr="001F2AE9">
        <w:rPr>
          <w:lang w:eastAsia="en-GB"/>
        </w:rPr>
        <w:t xml:space="preserve"> </w:t>
      </w:r>
      <w:r w:rsidRPr="00C00AF7">
        <w:rPr>
          <w:lang w:eastAsia="en-GB"/>
        </w:rPr>
        <w:t xml:space="preserve">in January 2026 not to provide accessibility services – </w:t>
      </w:r>
      <w:r>
        <w:rPr>
          <w:lang w:eastAsia="en-GB"/>
        </w:rPr>
        <w:t>namely I</w:t>
      </w:r>
      <w:r w:rsidRPr="00C00AF7">
        <w:rPr>
          <w:lang w:eastAsia="en-GB"/>
        </w:rPr>
        <w:t xml:space="preserve">nternational </w:t>
      </w:r>
      <w:r>
        <w:rPr>
          <w:lang w:eastAsia="en-GB"/>
        </w:rPr>
        <w:t>S</w:t>
      </w:r>
      <w:r w:rsidRPr="00C00AF7">
        <w:rPr>
          <w:lang w:eastAsia="en-GB"/>
        </w:rPr>
        <w:t>ign interpretation, remote captioning and Braille</w:t>
      </w:r>
      <w:r>
        <w:rPr>
          <w:lang w:eastAsia="en-GB"/>
        </w:rPr>
        <w:t xml:space="preserve"> –</w:t>
      </w:r>
      <w:r w:rsidRPr="00C00AF7">
        <w:rPr>
          <w:lang w:eastAsia="en-GB"/>
        </w:rPr>
        <w:t xml:space="preserve"> to the Committee, </w:t>
      </w:r>
      <w:r>
        <w:rPr>
          <w:lang w:eastAsia="en-GB"/>
        </w:rPr>
        <w:t xml:space="preserve">a </w:t>
      </w:r>
      <w:r w:rsidRPr="00C00AF7">
        <w:rPr>
          <w:lang w:eastAsia="en-GB"/>
        </w:rPr>
        <w:t xml:space="preserve">decision which was </w:t>
      </w:r>
      <w:r>
        <w:rPr>
          <w:lang w:eastAsia="en-GB"/>
        </w:rPr>
        <w:t>then reversed in February 2026</w:t>
      </w:r>
      <w:r w:rsidRPr="00C00AF7">
        <w:rPr>
          <w:lang w:eastAsia="en-GB"/>
        </w:rPr>
        <w:t xml:space="preserve"> by the Under</w:t>
      </w:r>
      <w:r w:rsidR="00A00341">
        <w:rPr>
          <w:lang w:eastAsia="en-GB"/>
        </w:rPr>
        <w:noBreakHyphen/>
      </w:r>
      <w:r w:rsidRPr="00C00AF7">
        <w:rPr>
          <w:lang w:eastAsia="en-GB"/>
        </w:rPr>
        <w:t>Secretary</w:t>
      </w:r>
      <w:r w:rsidR="00A00341">
        <w:rPr>
          <w:lang w:eastAsia="en-GB"/>
        </w:rPr>
        <w:noBreakHyphen/>
      </w:r>
      <w:r w:rsidRPr="00C00AF7">
        <w:rPr>
          <w:lang w:eastAsia="en-GB"/>
        </w:rPr>
        <w:t xml:space="preserve">General for General Assembly and Conference Management. The Committee calls </w:t>
      </w:r>
      <w:r>
        <w:rPr>
          <w:lang w:eastAsia="en-GB"/>
        </w:rPr>
        <w:t xml:space="preserve">upon the </w:t>
      </w:r>
      <w:r w:rsidRPr="00C00AF7">
        <w:rPr>
          <w:lang w:eastAsia="en-GB"/>
        </w:rPr>
        <w:t xml:space="preserve">relevant departments of the United Nations to </w:t>
      </w:r>
      <w:r>
        <w:rPr>
          <w:lang w:eastAsia="en-GB"/>
        </w:rPr>
        <w:t>uphold</w:t>
      </w:r>
      <w:r w:rsidRPr="00C00AF7">
        <w:rPr>
          <w:lang w:eastAsia="en-GB"/>
        </w:rPr>
        <w:t xml:space="preserve"> their duties under article 34 of the Convention to provide support to the Committee. </w:t>
      </w:r>
    </w:p>
    <w:p w14:paraId="0A2403A0" w14:textId="77777777" w:rsidR="00271032" w:rsidRPr="00C00AF7" w:rsidRDefault="00271032" w:rsidP="00271032">
      <w:pPr>
        <w:pStyle w:val="SingleTxtG"/>
        <w:tabs>
          <w:tab w:val="clear" w:pos="2268"/>
        </w:tabs>
        <w:rPr>
          <w:lang w:eastAsia="en-GB"/>
        </w:rPr>
      </w:pPr>
      <w:r w:rsidRPr="00C00AF7">
        <w:rPr>
          <w:lang w:eastAsia="en-GB"/>
        </w:rPr>
        <w:t>14.</w:t>
      </w:r>
      <w:r w:rsidRPr="00C00AF7">
        <w:rPr>
          <w:lang w:eastAsia="en-GB"/>
        </w:rPr>
        <w:tab/>
        <w:t xml:space="preserve">The Committee regrets that the United Nations Office </w:t>
      </w:r>
      <w:r>
        <w:rPr>
          <w:lang w:eastAsia="en-GB"/>
        </w:rPr>
        <w:t>at</w:t>
      </w:r>
      <w:r w:rsidRPr="00C00AF7">
        <w:rPr>
          <w:lang w:eastAsia="en-GB"/>
        </w:rPr>
        <w:t xml:space="preserve"> Geneva continued to refuse </w:t>
      </w:r>
      <w:r>
        <w:rPr>
          <w:lang w:eastAsia="en-GB"/>
        </w:rPr>
        <w:t>to</w:t>
      </w:r>
      <w:r w:rsidRPr="00C00AF7">
        <w:rPr>
          <w:lang w:eastAsia="en-GB"/>
        </w:rPr>
        <w:t xml:space="preserve"> provi</w:t>
      </w:r>
      <w:r>
        <w:rPr>
          <w:lang w:eastAsia="en-GB"/>
        </w:rPr>
        <w:t>de</w:t>
      </w:r>
      <w:r w:rsidRPr="00C00AF7">
        <w:rPr>
          <w:lang w:eastAsia="en-GB"/>
        </w:rPr>
        <w:t xml:space="preserve"> national sign language interpretation during the meetings of the Committee, without </w:t>
      </w:r>
      <w:r w:rsidRPr="00C00AF7">
        <w:t>having</w:t>
      </w:r>
      <w:r w:rsidRPr="00C00AF7">
        <w:rPr>
          <w:lang w:eastAsia="en-GB"/>
        </w:rPr>
        <w:t xml:space="preserve"> closely consulted or actively involving the World Federation of the Deaf or the Committee. The Committee considers that this measure runs contrary to the commitments of the Office under the United Nations Disability Inclusive Strategy. The Committee also regrets the fact that </w:t>
      </w:r>
      <w:r>
        <w:rPr>
          <w:lang w:eastAsia="en-GB"/>
        </w:rPr>
        <w:t>the Office</w:t>
      </w:r>
      <w:r w:rsidRPr="00C00AF7">
        <w:rPr>
          <w:lang w:eastAsia="en-GB"/>
        </w:rPr>
        <w:t xml:space="preserve"> continue</w:t>
      </w:r>
      <w:r>
        <w:rPr>
          <w:lang w:eastAsia="en-GB"/>
        </w:rPr>
        <w:t>d</w:t>
      </w:r>
      <w:r w:rsidRPr="00C00AF7">
        <w:rPr>
          <w:lang w:eastAsia="en-GB"/>
        </w:rPr>
        <w:t xml:space="preserve"> </w:t>
      </w:r>
      <w:r>
        <w:rPr>
          <w:lang w:eastAsia="en-GB"/>
        </w:rPr>
        <w:t xml:space="preserve">to </w:t>
      </w:r>
      <w:r w:rsidRPr="00C00AF7">
        <w:rPr>
          <w:lang w:eastAsia="en-GB"/>
        </w:rPr>
        <w:t>impos</w:t>
      </w:r>
      <w:r>
        <w:rPr>
          <w:lang w:eastAsia="en-GB"/>
        </w:rPr>
        <w:t>e</w:t>
      </w:r>
      <w:r w:rsidRPr="00C00AF7">
        <w:rPr>
          <w:lang w:eastAsia="en-GB"/>
        </w:rPr>
        <w:t xml:space="preserve"> fees </w:t>
      </w:r>
      <w:r>
        <w:rPr>
          <w:lang w:eastAsia="en-GB"/>
        </w:rPr>
        <w:t>on</w:t>
      </w:r>
      <w:r w:rsidRPr="00C00AF7">
        <w:rPr>
          <w:lang w:eastAsia="en-GB"/>
        </w:rPr>
        <w:t xml:space="preserve"> </w:t>
      </w:r>
      <w:r>
        <w:rPr>
          <w:lang w:eastAsia="en-GB"/>
        </w:rPr>
        <w:t>p</w:t>
      </w:r>
      <w:r w:rsidRPr="00C00AF7">
        <w:rPr>
          <w:lang w:eastAsia="en-GB"/>
        </w:rPr>
        <w:t xml:space="preserve">ermanent </w:t>
      </w:r>
      <w:r>
        <w:rPr>
          <w:lang w:eastAsia="en-GB"/>
        </w:rPr>
        <w:t>m</w:t>
      </w:r>
      <w:r w:rsidRPr="00C00AF7">
        <w:rPr>
          <w:lang w:eastAsia="en-GB"/>
        </w:rPr>
        <w:t xml:space="preserve">issions </w:t>
      </w:r>
      <w:r>
        <w:rPr>
          <w:lang w:eastAsia="en-GB"/>
        </w:rPr>
        <w:t>that</w:t>
      </w:r>
      <w:r w:rsidRPr="00C00AF7">
        <w:rPr>
          <w:lang w:eastAsia="en-GB"/>
        </w:rPr>
        <w:t xml:space="preserve"> decide</w:t>
      </w:r>
      <w:r>
        <w:rPr>
          <w:lang w:eastAsia="en-GB"/>
        </w:rPr>
        <w:t>d</w:t>
      </w:r>
      <w:r w:rsidRPr="00C00AF7">
        <w:rPr>
          <w:lang w:eastAsia="en-GB"/>
        </w:rPr>
        <w:t xml:space="preserve"> to have national sign language interpreters connected online.</w:t>
      </w:r>
    </w:p>
    <w:p w14:paraId="22ABC773" w14:textId="77777777" w:rsidR="00271032" w:rsidRPr="00C00AF7" w:rsidRDefault="00271032" w:rsidP="00271032">
      <w:pPr>
        <w:pStyle w:val="SingleTxtG"/>
        <w:tabs>
          <w:tab w:val="clear" w:pos="2268"/>
        </w:tabs>
        <w:rPr>
          <w:lang w:eastAsia="en-GB"/>
        </w:rPr>
      </w:pPr>
      <w:r w:rsidRPr="00C00AF7">
        <w:rPr>
          <w:lang w:eastAsia="en-GB"/>
        </w:rPr>
        <w:t>15.</w:t>
      </w:r>
      <w:r w:rsidRPr="00C00AF7">
        <w:rPr>
          <w:lang w:eastAsia="en-GB"/>
        </w:rPr>
        <w:tab/>
      </w:r>
      <w:r w:rsidRPr="00C00AF7">
        <w:rPr>
          <w:lang w:eastAsia="en-GB"/>
        </w:rPr>
        <w:tab/>
        <w:t xml:space="preserve">The Committee regrets that a deaf member of the Committee </w:t>
      </w:r>
      <w:r>
        <w:rPr>
          <w:lang w:eastAsia="en-GB"/>
        </w:rPr>
        <w:t>was once again</w:t>
      </w:r>
      <w:r w:rsidRPr="00C00AF7">
        <w:rPr>
          <w:lang w:eastAsia="en-GB"/>
        </w:rPr>
        <w:t xml:space="preserve"> not properly supported by the Secretary-General, in infringement of his duties under the Convention and </w:t>
      </w:r>
      <w:r>
        <w:rPr>
          <w:lang w:eastAsia="en-GB"/>
        </w:rPr>
        <w:t xml:space="preserve">the </w:t>
      </w:r>
      <w:r w:rsidRPr="00C00AF7">
        <w:rPr>
          <w:lang w:eastAsia="en-GB"/>
        </w:rPr>
        <w:t xml:space="preserve">relevant General Assembly resolutions </w:t>
      </w:r>
      <w:proofErr w:type="gramStart"/>
      <w:r w:rsidRPr="00C00AF7">
        <w:rPr>
          <w:lang w:eastAsia="en-GB"/>
        </w:rPr>
        <w:t>with regard to</w:t>
      </w:r>
      <w:proofErr w:type="gramEnd"/>
      <w:r w:rsidRPr="00C00AF7">
        <w:rPr>
          <w:lang w:eastAsia="en-GB"/>
        </w:rPr>
        <w:t xml:space="preserve"> the provision of sign language interpretation.</w:t>
      </w:r>
      <w:r w:rsidRPr="00271032">
        <w:rPr>
          <w:rStyle w:val="FootnoteReference"/>
        </w:rPr>
        <w:footnoteReference w:id="13"/>
      </w:r>
      <w:r w:rsidRPr="00C00AF7">
        <w:rPr>
          <w:lang w:eastAsia="en-GB"/>
        </w:rPr>
        <w:t xml:space="preserve"> </w:t>
      </w:r>
    </w:p>
    <w:p w14:paraId="330F54B4" w14:textId="77777777" w:rsidR="00271032" w:rsidRPr="00C00AF7" w:rsidRDefault="00271032" w:rsidP="00271032">
      <w:pPr>
        <w:pStyle w:val="HChG"/>
      </w:pPr>
      <w:r w:rsidRPr="00C00AF7">
        <w:tab/>
        <w:t>IX.</w:t>
      </w:r>
      <w:r w:rsidRPr="00C00AF7">
        <w:tab/>
        <w:t>Cooperation with relevant bodies</w:t>
      </w:r>
    </w:p>
    <w:p w14:paraId="6E3153A1" w14:textId="77777777" w:rsidR="00271032" w:rsidRPr="00C00AF7" w:rsidRDefault="00271032" w:rsidP="00271032">
      <w:pPr>
        <w:pStyle w:val="H1G"/>
      </w:pPr>
      <w:r w:rsidRPr="00C00AF7">
        <w:tab/>
        <w:t>A.</w:t>
      </w:r>
      <w:r w:rsidRPr="00C00AF7">
        <w:tab/>
        <w:t>Cooperation with United Nations organs and specialized agencies</w:t>
      </w:r>
    </w:p>
    <w:p w14:paraId="75624A4F" w14:textId="61FAC826" w:rsidR="00271032" w:rsidRPr="00C00AF7" w:rsidRDefault="00271032" w:rsidP="00271032">
      <w:pPr>
        <w:pStyle w:val="SingleTxtG"/>
        <w:tabs>
          <w:tab w:val="clear" w:pos="2268"/>
        </w:tabs>
      </w:pPr>
      <w:r w:rsidRPr="00C00AF7">
        <w:t>16.</w:t>
      </w:r>
      <w:r w:rsidRPr="00C00AF7">
        <w:tab/>
      </w:r>
      <w:r w:rsidRPr="00C00AF7">
        <w:tab/>
      </w:r>
      <w:r w:rsidRPr="00C00AF7">
        <w:rPr>
          <w:lang w:eastAsia="en-GB"/>
        </w:rPr>
        <w:t xml:space="preserve">At the opening meeting of the session, the Committee heard statements by </w:t>
      </w:r>
      <w:r w:rsidRPr="00C00AF7">
        <w:t>the Head of the Division of Human</w:t>
      </w:r>
      <w:r>
        <w:t xml:space="preserve"> Rights,</w:t>
      </w:r>
      <w:r w:rsidRPr="00C00AF7">
        <w:t xml:space="preserve"> Disability Inclusion and Media of the Federal Ministry for Economic Cooperation and Development of Germany, </w:t>
      </w:r>
      <w:r>
        <w:t xml:space="preserve">a representative of </w:t>
      </w:r>
      <w:r w:rsidRPr="00C00AF7">
        <w:t xml:space="preserve">the World Intellectual Property Organization, </w:t>
      </w:r>
      <w:r>
        <w:t xml:space="preserve">a representative of </w:t>
      </w:r>
      <w:r w:rsidRPr="00C00AF7">
        <w:t xml:space="preserve">the United Nations </w:t>
      </w:r>
      <w:r>
        <w:t xml:space="preserve">Office for </w:t>
      </w:r>
      <w:r w:rsidRPr="00C00AF7">
        <w:t xml:space="preserve">Disaster Risk Reduction and </w:t>
      </w:r>
      <w:r>
        <w:t xml:space="preserve">a representative of </w:t>
      </w:r>
      <w:r w:rsidRPr="00C00AF7">
        <w:t xml:space="preserve">the European Union Agency </w:t>
      </w:r>
      <w:r>
        <w:t xml:space="preserve">for </w:t>
      </w:r>
      <w:r w:rsidRPr="00C00AF7">
        <w:t>Fundamental Rights</w:t>
      </w:r>
      <w:r>
        <w:t>.</w:t>
      </w:r>
      <w:r w:rsidRPr="00C00AF7">
        <w:t xml:space="preserve"> At the closing meeting, the Committee </w:t>
      </w:r>
      <w:r w:rsidRPr="00C00AF7">
        <w:rPr>
          <w:lang w:eastAsia="en-GB"/>
        </w:rPr>
        <w:t>heard statements by</w:t>
      </w:r>
      <w:r w:rsidRPr="00C00AF7">
        <w:t xml:space="preserve"> representatives of the </w:t>
      </w:r>
      <w:r w:rsidR="00736C81">
        <w:br/>
      </w:r>
      <w:r w:rsidR="00736C81">
        <w:br/>
      </w:r>
      <w:r w:rsidR="00736C81">
        <w:br/>
      </w:r>
      <w:r w:rsidR="00736C81">
        <w:br/>
      </w:r>
      <w:r w:rsidRPr="00C00AF7">
        <w:lastRenderedPageBreak/>
        <w:t>Inter</w:t>
      </w:r>
      <w:r w:rsidR="00A00341">
        <w:noBreakHyphen/>
      </w:r>
      <w:r w:rsidRPr="00C00AF7">
        <w:t xml:space="preserve">Parliamentary Union and the Committee of Victim Assistance </w:t>
      </w:r>
      <w:r>
        <w:t>under</w:t>
      </w:r>
      <w:r w:rsidRPr="00C00AF7">
        <w:t xml:space="preserve"> the </w:t>
      </w:r>
      <w:r w:rsidRPr="00891AE6">
        <w:t xml:space="preserve">Convention on the Prohibition of the Use, Stockpiling, Production and Transfer of </w:t>
      </w:r>
      <w:r w:rsidRPr="00C00AF7">
        <w:t>Anti-</w:t>
      </w:r>
      <w:r>
        <w:t>P</w:t>
      </w:r>
      <w:r w:rsidRPr="00C00AF7">
        <w:t>ersonnel Mine</w:t>
      </w:r>
      <w:r>
        <w:t>s</w:t>
      </w:r>
      <w:r w:rsidRPr="00C00AF7">
        <w:t xml:space="preserve"> </w:t>
      </w:r>
      <w:r w:rsidRPr="00891AE6">
        <w:t>and on Their Destruction</w:t>
      </w:r>
      <w:r w:rsidRPr="00C00AF7">
        <w:t xml:space="preserve">. </w:t>
      </w:r>
    </w:p>
    <w:p w14:paraId="56C9BE98" w14:textId="77777777" w:rsidR="00271032" w:rsidRPr="00C00AF7" w:rsidRDefault="00271032" w:rsidP="00271032">
      <w:pPr>
        <w:pStyle w:val="H1G"/>
      </w:pPr>
      <w:r w:rsidRPr="00C00AF7">
        <w:tab/>
        <w:t>B.</w:t>
      </w:r>
      <w:r w:rsidRPr="00C00AF7">
        <w:tab/>
        <w:t>Cooperation with non-governmental organizations and other bodies</w:t>
      </w:r>
    </w:p>
    <w:p w14:paraId="14A1BDD7" w14:textId="77777777" w:rsidR="00271032" w:rsidRPr="00C00AF7" w:rsidRDefault="00271032" w:rsidP="00271032">
      <w:pPr>
        <w:pStyle w:val="SingleTxtG"/>
        <w:tabs>
          <w:tab w:val="clear" w:pos="2268"/>
        </w:tabs>
      </w:pPr>
      <w:bookmarkStart w:id="4" w:name="_Hlk116468294"/>
      <w:r w:rsidRPr="00C00AF7">
        <w:t>17.</w:t>
      </w:r>
      <w:r w:rsidRPr="00C00AF7">
        <w:tab/>
      </w:r>
      <w:r w:rsidRPr="00C00AF7">
        <w:tab/>
        <w:t xml:space="preserve">At the opening meeting of the session, the Committee was addressed </w:t>
      </w:r>
      <w:bookmarkEnd w:id="4"/>
      <w:r w:rsidRPr="00C00AF7">
        <w:t xml:space="preserve">by representatives of the International Disability Alliance, the </w:t>
      </w:r>
      <w:proofErr w:type="spellStart"/>
      <w:r w:rsidRPr="00C00AF7">
        <w:t>Center</w:t>
      </w:r>
      <w:proofErr w:type="spellEnd"/>
      <w:r w:rsidRPr="00C00AF7">
        <w:t xml:space="preserve"> for the Human Rights of Users and Survivors of Psychiatry, ASPACE Badajoz, Peace Inclusion Piece, the Citizens Commission on Human Rights Europe and the Citizens Commission on Human Rights of Spain.</w:t>
      </w:r>
    </w:p>
    <w:p w14:paraId="1BFC94CF" w14:textId="77777777" w:rsidR="00271032" w:rsidRPr="00C00AF7" w:rsidRDefault="00271032" w:rsidP="00271032">
      <w:pPr>
        <w:pStyle w:val="SingleTxtG"/>
        <w:tabs>
          <w:tab w:val="clear" w:pos="2268"/>
        </w:tabs>
      </w:pPr>
      <w:r w:rsidRPr="00C00AF7">
        <w:t>18.</w:t>
      </w:r>
      <w:r w:rsidRPr="00C00AF7">
        <w:tab/>
      </w:r>
      <w:r w:rsidRPr="00C00AF7">
        <w:tab/>
      </w:r>
      <w:bookmarkStart w:id="5" w:name="_Hlk177744116"/>
      <w:r w:rsidRPr="00C00AF7">
        <w:t>At the closing meeting of the session, the Committee was addressed by</w:t>
      </w:r>
      <w:bookmarkEnd w:id="5"/>
      <w:r w:rsidRPr="00C00AF7">
        <w:t xml:space="preserve"> representative</w:t>
      </w:r>
      <w:r>
        <w:t>s</w:t>
      </w:r>
      <w:r w:rsidRPr="00C00AF7">
        <w:t xml:space="preserve"> of the International Disability Alliance and the World Federation of the Deaf.</w:t>
      </w:r>
    </w:p>
    <w:p w14:paraId="43E5896A" w14:textId="77777777" w:rsidR="00271032" w:rsidRPr="00C00AF7" w:rsidRDefault="00271032" w:rsidP="00271032">
      <w:pPr>
        <w:pStyle w:val="HChG"/>
      </w:pPr>
      <w:r w:rsidRPr="00C00AF7">
        <w:tab/>
        <w:t>X.</w:t>
      </w:r>
      <w:r w:rsidRPr="00C00AF7">
        <w:tab/>
        <w:t>Consideration of reports submitted in accordance with article 35 of the Convention</w:t>
      </w:r>
    </w:p>
    <w:p w14:paraId="57D57488" w14:textId="77777777" w:rsidR="00271032" w:rsidRPr="00C00AF7" w:rsidRDefault="00271032" w:rsidP="00271032">
      <w:pPr>
        <w:pStyle w:val="SingleTxtG"/>
        <w:tabs>
          <w:tab w:val="clear" w:pos="2268"/>
        </w:tabs>
      </w:pPr>
      <w:r w:rsidRPr="00C00AF7">
        <w:t>19.</w:t>
      </w:r>
      <w:r w:rsidRPr="00C00AF7">
        <w:tab/>
      </w:r>
      <w:r w:rsidRPr="00C00AF7">
        <w:tab/>
        <w:t>The Committee review</w:t>
      </w:r>
      <w:r>
        <w:t>ed</w:t>
      </w:r>
      <w:r w:rsidRPr="00C00AF7">
        <w:t xml:space="preserve"> the implementation of the Convention in five States Parties. The Committee considered the initial reports of Lesotho, Liberia, </w:t>
      </w:r>
      <w:r>
        <w:t xml:space="preserve">the </w:t>
      </w:r>
      <w:r w:rsidRPr="00C00AF7">
        <w:t>Marshall Islands, Pakistan and Samoa.</w:t>
      </w:r>
      <w:r w:rsidRPr="00271032">
        <w:rPr>
          <w:rStyle w:val="FootnoteReference"/>
        </w:rPr>
        <w:footnoteReference w:id="14"/>
      </w:r>
      <w:r w:rsidRPr="00C00AF7">
        <w:t xml:space="preserve"> It adopted concluding observations in relation to those reports.</w:t>
      </w:r>
      <w:r w:rsidRPr="00271032">
        <w:rPr>
          <w:rStyle w:val="FootnoteReference"/>
        </w:rPr>
        <w:footnoteReference w:id="15"/>
      </w:r>
      <w:r w:rsidRPr="00C00AF7">
        <w:t xml:space="preserve"> </w:t>
      </w:r>
      <w:bookmarkStart w:id="6" w:name="_Hlk116475971"/>
      <w:bookmarkStart w:id="7" w:name="_Hlk116475963"/>
      <w:r w:rsidRPr="00C00AF7">
        <w:t>A list of States Parties whose initial reports are more than five years overdue may be found in annex II to the present report.</w:t>
      </w:r>
      <w:bookmarkEnd w:id="6"/>
      <w:bookmarkEnd w:id="7"/>
    </w:p>
    <w:p w14:paraId="32E47B1F" w14:textId="77777777" w:rsidR="00271032" w:rsidRPr="00C00AF7" w:rsidRDefault="00271032" w:rsidP="00271032">
      <w:pPr>
        <w:pStyle w:val="HChG"/>
      </w:pPr>
      <w:r w:rsidRPr="00C00AF7">
        <w:tab/>
        <w:t>XI.</w:t>
      </w:r>
      <w:r w:rsidRPr="00C00AF7">
        <w:tab/>
        <w:t>Other decisions</w:t>
      </w:r>
    </w:p>
    <w:p w14:paraId="02541574" w14:textId="77777777" w:rsidR="00271032" w:rsidRPr="00C00AF7" w:rsidRDefault="00271032" w:rsidP="00271032">
      <w:pPr>
        <w:pStyle w:val="SingleTxtG"/>
        <w:tabs>
          <w:tab w:val="clear" w:pos="2268"/>
        </w:tabs>
        <w:rPr>
          <w:lang w:eastAsia="en-GB"/>
        </w:rPr>
      </w:pPr>
      <w:r w:rsidRPr="00C00AF7">
        <w:rPr>
          <w:lang w:eastAsia="en-GB"/>
        </w:rPr>
        <w:t>20.</w:t>
      </w:r>
      <w:r w:rsidRPr="00C00AF7">
        <w:rPr>
          <w:lang w:eastAsia="en-GB"/>
        </w:rPr>
        <w:tab/>
      </w:r>
      <w:r w:rsidRPr="00C00AF7">
        <w:rPr>
          <w:lang w:eastAsia="en-GB"/>
        </w:rPr>
        <w:tab/>
        <w:t xml:space="preserve">The </w:t>
      </w:r>
      <w:r w:rsidRPr="00C00AF7">
        <w:t>Committee</w:t>
      </w:r>
      <w:r w:rsidRPr="00C00AF7">
        <w:rPr>
          <w:lang w:eastAsia="en-GB"/>
        </w:rPr>
        <w:t xml:space="preserve"> adopted the present report on its thirty-fourth session.</w:t>
      </w:r>
    </w:p>
    <w:p w14:paraId="6EC7B7AA" w14:textId="77777777" w:rsidR="00271032" w:rsidRPr="00C00AF7" w:rsidRDefault="00271032" w:rsidP="00271032">
      <w:pPr>
        <w:pStyle w:val="SingleTxtG"/>
        <w:tabs>
          <w:tab w:val="clear" w:pos="2268"/>
        </w:tabs>
        <w:rPr>
          <w:lang w:eastAsia="en-GB"/>
        </w:rPr>
      </w:pPr>
      <w:r w:rsidRPr="00C00AF7">
        <w:rPr>
          <w:lang w:eastAsia="en-GB"/>
        </w:rPr>
        <w:t>21.</w:t>
      </w:r>
      <w:r w:rsidRPr="00C00AF7">
        <w:rPr>
          <w:lang w:eastAsia="en-GB"/>
        </w:rPr>
        <w:tab/>
      </w:r>
      <w:r w:rsidRPr="00C00AF7">
        <w:rPr>
          <w:lang w:eastAsia="en-GB"/>
        </w:rPr>
        <w:tab/>
        <w:t xml:space="preserve">The full list of the decisions adopted by the Committee is available in annex I to the present </w:t>
      </w:r>
      <w:r w:rsidRPr="00C00AF7">
        <w:t>report</w:t>
      </w:r>
      <w:r w:rsidRPr="00C00AF7">
        <w:rPr>
          <w:lang w:eastAsia="en-GB"/>
        </w:rPr>
        <w:t>.</w:t>
      </w:r>
    </w:p>
    <w:p w14:paraId="7EDDDB42" w14:textId="77777777" w:rsidR="00271032" w:rsidRPr="00C00AF7" w:rsidRDefault="00271032" w:rsidP="00271032">
      <w:pPr>
        <w:pStyle w:val="SingleTxtG"/>
        <w:rPr>
          <w:lang w:eastAsia="en-GB"/>
        </w:rPr>
      </w:pPr>
      <w:r w:rsidRPr="00C00AF7">
        <w:rPr>
          <w:lang w:eastAsia="en-GB"/>
        </w:rPr>
        <w:br w:type="page"/>
      </w:r>
    </w:p>
    <w:p w14:paraId="2031767A" w14:textId="35B614A4" w:rsidR="00271032" w:rsidRPr="00C00AF7" w:rsidRDefault="00143670" w:rsidP="00271032">
      <w:pPr>
        <w:pStyle w:val="HChG"/>
      </w:pPr>
      <w:r>
        <w:lastRenderedPageBreak/>
        <w:tab/>
      </w:r>
      <w:r w:rsidR="00271032" w:rsidRPr="00C00AF7">
        <w:t>Annex I</w:t>
      </w:r>
    </w:p>
    <w:p w14:paraId="249AF7C5" w14:textId="77777777" w:rsidR="00271032" w:rsidRPr="00C00AF7" w:rsidRDefault="00271032" w:rsidP="00271032">
      <w:pPr>
        <w:pStyle w:val="HChG"/>
      </w:pPr>
      <w:r w:rsidRPr="00C00AF7">
        <w:tab/>
      </w:r>
      <w:r w:rsidRPr="00C00AF7">
        <w:tab/>
        <w:t>Decisions adopted by the Committee at its thirty-fourth session</w:t>
      </w:r>
    </w:p>
    <w:p w14:paraId="6820050C" w14:textId="77777777" w:rsidR="00271032" w:rsidRPr="00C00AF7" w:rsidRDefault="00271032" w:rsidP="00271032">
      <w:pPr>
        <w:pStyle w:val="SingleTxtG"/>
        <w:tabs>
          <w:tab w:val="clear" w:pos="2268"/>
        </w:tabs>
      </w:pPr>
      <w:r w:rsidRPr="00C00AF7">
        <w:t>1.</w:t>
      </w:r>
      <w:r w:rsidRPr="00C00AF7">
        <w:tab/>
        <w:t xml:space="preserve">The Committee adopted concluding observations in relation to the initial reports of Lesotho, Liberia, </w:t>
      </w:r>
      <w:r>
        <w:t xml:space="preserve">the </w:t>
      </w:r>
      <w:r w:rsidRPr="00C00AF7">
        <w:t xml:space="preserve">Marshall Islands, Pakistan and Samoa. The Committee regrets that Guinea-Bissau did not respond to </w:t>
      </w:r>
      <w:r>
        <w:t>its</w:t>
      </w:r>
      <w:r w:rsidRPr="00C00AF7">
        <w:t xml:space="preserve"> invitations to participate in a constructive dialogue. It also regrets that Liberia did not send a delegation </w:t>
      </w:r>
      <w:r>
        <w:t>for</w:t>
      </w:r>
      <w:r w:rsidRPr="00C00AF7">
        <w:t xml:space="preserve"> the constructive dialogue, </w:t>
      </w:r>
      <w:r>
        <w:t>meaning that the Committee was</w:t>
      </w:r>
      <w:r w:rsidRPr="00C00AF7">
        <w:t xml:space="preserve"> obliged to review the implementation of the Convention in that State Party in </w:t>
      </w:r>
      <w:r>
        <w:t>its</w:t>
      </w:r>
      <w:r w:rsidRPr="00C00AF7">
        <w:t xml:space="preserve"> absence. </w:t>
      </w:r>
    </w:p>
    <w:p w14:paraId="2F6E9E50" w14:textId="77777777" w:rsidR="00271032" w:rsidRPr="00C00AF7" w:rsidRDefault="00271032" w:rsidP="00271032">
      <w:pPr>
        <w:pStyle w:val="SingleTxtG"/>
        <w:tabs>
          <w:tab w:val="clear" w:pos="2268"/>
        </w:tabs>
        <w:rPr>
          <w:lang w:eastAsia="en-GB"/>
        </w:rPr>
      </w:pPr>
      <w:r w:rsidRPr="00C00AF7">
        <w:rPr>
          <w:lang w:eastAsia="en-GB"/>
        </w:rPr>
        <w:t>2.</w:t>
      </w:r>
      <w:r w:rsidRPr="00C00AF7">
        <w:rPr>
          <w:lang w:eastAsia="en-GB"/>
        </w:rPr>
        <w:tab/>
      </w:r>
      <w:r w:rsidRPr="00C00AF7">
        <w:tab/>
      </w:r>
      <w:r w:rsidRPr="00C00AF7">
        <w:rPr>
          <w:lang w:eastAsia="en-GB"/>
        </w:rPr>
        <w:t xml:space="preserve">The Committee examined five individual communications submitted for its consideration </w:t>
      </w:r>
      <w:r w:rsidRPr="00C00AF7">
        <w:t>under</w:t>
      </w:r>
      <w:r w:rsidRPr="00C00AF7">
        <w:rPr>
          <w:lang w:eastAsia="en-GB"/>
        </w:rPr>
        <w:t xml:space="preserve"> the Optional Protocol to the Convention. It found violations</w:t>
      </w:r>
      <w:r>
        <w:rPr>
          <w:lang w:eastAsia="en-GB"/>
        </w:rPr>
        <w:t xml:space="preserve"> of the Convention</w:t>
      </w:r>
      <w:r w:rsidRPr="00C00AF7">
        <w:rPr>
          <w:lang w:eastAsia="en-GB"/>
        </w:rPr>
        <w:t xml:space="preserve"> in two of them, declared two inadmissible and </w:t>
      </w:r>
      <w:r>
        <w:rPr>
          <w:lang w:eastAsia="en-GB"/>
        </w:rPr>
        <w:t xml:space="preserve">decided to </w:t>
      </w:r>
      <w:r w:rsidRPr="00C00AF7">
        <w:rPr>
          <w:lang w:eastAsia="en-GB"/>
        </w:rPr>
        <w:t xml:space="preserve">discontinue </w:t>
      </w:r>
      <w:r>
        <w:rPr>
          <w:lang w:eastAsia="en-GB"/>
        </w:rPr>
        <w:t>the other</w:t>
      </w:r>
      <w:r w:rsidRPr="00C00AF7">
        <w:rPr>
          <w:lang w:eastAsia="en-GB"/>
        </w:rPr>
        <w:t xml:space="preserve">. A summary of the decisions </w:t>
      </w:r>
      <w:r w:rsidRPr="00C00AF7">
        <w:t>of</w:t>
      </w:r>
      <w:r w:rsidRPr="00C00AF7">
        <w:rPr>
          <w:lang w:eastAsia="en-GB"/>
        </w:rPr>
        <w:t xml:space="preserve"> the Committee may be found in annex III to the present report. The decisions will be transmitted to the </w:t>
      </w:r>
      <w:r w:rsidRPr="00C00AF7">
        <w:t>parties</w:t>
      </w:r>
      <w:r w:rsidRPr="00C00AF7">
        <w:rPr>
          <w:lang w:eastAsia="en-GB"/>
        </w:rPr>
        <w:t xml:space="preserve"> as soon as possible and will subsequently be made public. </w:t>
      </w:r>
    </w:p>
    <w:p w14:paraId="41BC2DB1" w14:textId="5DFF4781" w:rsidR="00271032" w:rsidRPr="00C00AF7" w:rsidRDefault="00271032" w:rsidP="00271032">
      <w:pPr>
        <w:pStyle w:val="SingleTxtG"/>
        <w:tabs>
          <w:tab w:val="clear" w:pos="2268"/>
        </w:tabs>
        <w:rPr>
          <w:lang w:eastAsia="en-GB"/>
        </w:rPr>
      </w:pPr>
      <w:r w:rsidRPr="00C00AF7">
        <w:rPr>
          <w:lang w:eastAsia="en-GB"/>
        </w:rPr>
        <w:t>3.</w:t>
      </w:r>
      <w:r w:rsidRPr="00C00AF7">
        <w:rPr>
          <w:lang w:eastAsia="en-GB"/>
        </w:rPr>
        <w:tab/>
      </w:r>
      <w:r w:rsidRPr="00C00AF7">
        <w:tab/>
      </w:r>
      <w:r w:rsidRPr="00C00AF7">
        <w:rPr>
          <w:lang w:eastAsia="en-GB"/>
        </w:rPr>
        <w:t>The Committee considered matters related to inquiries pursuant to the Optional Protocol.</w:t>
      </w:r>
      <w:r w:rsidR="00D90D90">
        <w:rPr>
          <w:lang w:eastAsia="en-GB"/>
        </w:rPr>
        <w:t xml:space="preserve"> </w:t>
      </w:r>
      <w:r w:rsidRPr="00C00AF7">
        <w:rPr>
          <w:lang w:eastAsia="en-GB"/>
        </w:rPr>
        <w:t xml:space="preserve">After </w:t>
      </w:r>
      <w:r>
        <w:rPr>
          <w:lang w:eastAsia="en-GB"/>
        </w:rPr>
        <w:t xml:space="preserve">the conclusion of </w:t>
      </w:r>
      <w:r w:rsidRPr="00C00AF7">
        <w:rPr>
          <w:lang w:eastAsia="en-GB"/>
        </w:rPr>
        <w:t xml:space="preserve">proceedings </w:t>
      </w:r>
      <w:r w:rsidRPr="00C00AF7">
        <w:t>under</w:t>
      </w:r>
      <w:r w:rsidRPr="00C00AF7">
        <w:rPr>
          <w:lang w:eastAsia="en-GB"/>
        </w:rPr>
        <w:t xml:space="preserve"> article 6 of the Optional Protocol regarding Mexico, </w:t>
      </w:r>
      <w:r>
        <w:rPr>
          <w:lang w:eastAsia="en-GB"/>
        </w:rPr>
        <w:t xml:space="preserve">an advance unedited version of </w:t>
      </w:r>
      <w:r w:rsidRPr="00C00AF7">
        <w:rPr>
          <w:lang w:eastAsia="en-GB"/>
        </w:rPr>
        <w:t>the inquiry report of the Committee</w:t>
      </w:r>
      <w:r>
        <w:rPr>
          <w:lang w:eastAsia="en-GB"/>
        </w:rPr>
        <w:t>,</w:t>
      </w:r>
      <w:r w:rsidRPr="00C00AF7">
        <w:rPr>
          <w:lang w:eastAsia="en-GB"/>
        </w:rPr>
        <w:t xml:space="preserve"> </w:t>
      </w:r>
      <w:r>
        <w:t>o</w:t>
      </w:r>
      <w:r w:rsidRPr="00C00AF7">
        <w:t>bservations</w:t>
      </w:r>
      <w:r w:rsidRPr="00C00AF7">
        <w:rPr>
          <w:lang w:eastAsia="en-GB"/>
        </w:rPr>
        <w:t xml:space="preserve"> </w:t>
      </w:r>
      <w:r>
        <w:rPr>
          <w:lang w:eastAsia="en-GB"/>
        </w:rPr>
        <w:t>by</w:t>
      </w:r>
      <w:r w:rsidRPr="00C00AF7">
        <w:rPr>
          <w:lang w:eastAsia="en-GB"/>
        </w:rPr>
        <w:t xml:space="preserve"> the State </w:t>
      </w:r>
      <w:r>
        <w:rPr>
          <w:lang w:eastAsia="en-GB"/>
        </w:rPr>
        <w:t>P</w:t>
      </w:r>
      <w:r w:rsidRPr="00C00AF7">
        <w:rPr>
          <w:lang w:eastAsia="en-GB"/>
        </w:rPr>
        <w:t>arty and additional information provided by the State Party were posted on the Committee</w:t>
      </w:r>
      <w:r w:rsidR="00A10B98">
        <w:rPr>
          <w:lang w:eastAsia="en-GB"/>
        </w:rPr>
        <w:t>’</w:t>
      </w:r>
      <w:r w:rsidRPr="00C00AF7">
        <w:rPr>
          <w:lang w:eastAsia="en-GB"/>
        </w:rPr>
        <w:t xml:space="preserve">s website. A statement on the matter was adopted and made public. </w:t>
      </w:r>
    </w:p>
    <w:p w14:paraId="6B31B5D7" w14:textId="77777777" w:rsidR="00271032" w:rsidRPr="00FE33FA" w:rsidRDefault="00271032" w:rsidP="00271032">
      <w:pPr>
        <w:pStyle w:val="SingleTxtG"/>
        <w:tabs>
          <w:tab w:val="clear" w:pos="2268"/>
        </w:tabs>
        <w:rPr>
          <w:lang w:eastAsia="en-GB"/>
        </w:rPr>
      </w:pPr>
      <w:r w:rsidRPr="00FE33FA">
        <w:rPr>
          <w:lang w:eastAsia="en-GB"/>
        </w:rPr>
        <w:t>4.</w:t>
      </w:r>
      <w:r w:rsidRPr="00FE33FA">
        <w:rPr>
          <w:lang w:eastAsia="en-GB"/>
        </w:rPr>
        <w:tab/>
      </w:r>
      <w:r w:rsidRPr="00C00AF7">
        <w:tab/>
      </w:r>
      <w:r w:rsidRPr="00FE33FA">
        <w:rPr>
          <w:lang w:eastAsia="en-GB"/>
        </w:rPr>
        <w:t>The Committee continued the process of drafting general comments No. 9 and No. 10, on article </w:t>
      </w:r>
      <w:r w:rsidRPr="00FE33FA">
        <w:t>11</w:t>
      </w:r>
      <w:r w:rsidRPr="00FE33FA">
        <w:rPr>
          <w:lang w:eastAsia="en-GB"/>
        </w:rPr>
        <w:t xml:space="preserve"> </w:t>
      </w:r>
      <w:r w:rsidRPr="00FE33FA">
        <w:t>of</w:t>
      </w:r>
      <w:r w:rsidRPr="00FE33FA">
        <w:rPr>
          <w:lang w:eastAsia="en-GB"/>
        </w:rPr>
        <w:t xml:space="preserve"> the Convention, and general comment No. 11, on article 29 of the Convention.</w:t>
      </w:r>
    </w:p>
    <w:p w14:paraId="6D19F170" w14:textId="77777777" w:rsidR="00271032" w:rsidRPr="00C00AF7" w:rsidRDefault="00271032" w:rsidP="00271032">
      <w:pPr>
        <w:pStyle w:val="SingleTxtG"/>
        <w:tabs>
          <w:tab w:val="clear" w:pos="2268"/>
        </w:tabs>
        <w:rPr>
          <w:lang w:eastAsia="en-GB"/>
        </w:rPr>
      </w:pPr>
      <w:r w:rsidRPr="00C00AF7">
        <w:rPr>
          <w:lang w:eastAsia="en-GB"/>
        </w:rPr>
        <w:t>5.</w:t>
      </w:r>
      <w:r w:rsidRPr="00C00AF7">
        <w:rPr>
          <w:lang w:eastAsia="en-GB"/>
        </w:rPr>
        <w:tab/>
      </w:r>
      <w:r w:rsidRPr="00C00AF7">
        <w:rPr>
          <w:lang w:eastAsia="en-GB"/>
        </w:rPr>
        <w:tab/>
        <w:t xml:space="preserve">The Committee took note of the position of the </w:t>
      </w:r>
      <w:r w:rsidRPr="008021F4">
        <w:rPr>
          <w:lang w:eastAsia="en-GB"/>
        </w:rPr>
        <w:t>Human Rights Treaties Branch</w:t>
      </w:r>
      <w:r w:rsidRPr="00C00AF7">
        <w:rPr>
          <w:lang w:eastAsia="en-GB"/>
        </w:rPr>
        <w:t xml:space="preserve"> of the </w:t>
      </w:r>
      <w:r w:rsidRPr="008021F4">
        <w:rPr>
          <w:lang w:eastAsia="en-GB"/>
        </w:rPr>
        <w:t xml:space="preserve">Office of </w:t>
      </w:r>
      <w:r w:rsidRPr="008021F4">
        <w:t>the</w:t>
      </w:r>
      <w:r w:rsidRPr="008021F4">
        <w:rPr>
          <w:lang w:eastAsia="en-GB"/>
        </w:rPr>
        <w:t xml:space="preserve"> United Nations High Commissioner for Human Rights (OHCHR)</w:t>
      </w:r>
      <w:r w:rsidRPr="00C00AF7">
        <w:rPr>
          <w:lang w:eastAsia="en-GB"/>
        </w:rPr>
        <w:t xml:space="preserve"> that due to the liquidity crisis affecting the regular </w:t>
      </w:r>
      <w:r w:rsidRPr="00C00AF7">
        <w:t>budget</w:t>
      </w:r>
      <w:r w:rsidRPr="00C00AF7">
        <w:rPr>
          <w:lang w:eastAsia="en-GB"/>
        </w:rPr>
        <w:t xml:space="preserve"> of the </w:t>
      </w:r>
      <w:r>
        <w:rPr>
          <w:lang w:eastAsia="en-GB"/>
        </w:rPr>
        <w:t>O</w:t>
      </w:r>
      <w:r w:rsidRPr="00C00AF7">
        <w:rPr>
          <w:lang w:eastAsia="en-GB"/>
        </w:rPr>
        <w:t xml:space="preserve">rganization, the </w:t>
      </w:r>
      <w:r>
        <w:rPr>
          <w:lang w:eastAsia="en-GB"/>
        </w:rPr>
        <w:t>s</w:t>
      </w:r>
      <w:r w:rsidRPr="00C00AF7">
        <w:rPr>
          <w:lang w:eastAsia="en-GB"/>
        </w:rPr>
        <w:t xml:space="preserve">ecretariat of the Committee </w:t>
      </w:r>
      <w:r>
        <w:rPr>
          <w:lang w:eastAsia="en-GB"/>
        </w:rPr>
        <w:t xml:space="preserve">would be </w:t>
      </w:r>
      <w:proofErr w:type="gramStart"/>
      <w:r>
        <w:rPr>
          <w:lang w:eastAsia="en-GB"/>
        </w:rPr>
        <w:t>in a position</w:t>
      </w:r>
      <w:proofErr w:type="gramEnd"/>
      <w:r>
        <w:rPr>
          <w:lang w:eastAsia="en-GB"/>
        </w:rPr>
        <w:t xml:space="preserve"> to</w:t>
      </w:r>
      <w:r w:rsidRPr="00C00AF7">
        <w:rPr>
          <w:lang w:eastAsia="en-GB"/>
        </w:rPr>
        <w:t xml:space="preserve"> support the preparation of only one general comment at a time. The Committee decided to establish a working group to carry out preparatory work </w:t>
      </w:r>
      <w:r>
        <w:rPr>
          <w:lang w:eastAsia="en-GB"/>
        </w:rPr>
        <w:t>in the current year</w:t>
      </w:r>
      <w:r w:rsidRPr="00C00AF7">
        <w:rPr>
          <w:lang w:eastAsia="en-GB"/>
        </w:rPr>
        <w:t xml:space="preserve"> </w:t>
      </w:r>
      <w:r>
        <w:rPr>
          <w:lang w:eastAsia="en-GB"/>
        </w:rPr>
        <w:t>for</w:t>
      </w:r>
      <w:r w:rsidRPr="00C00AF7">
        <w:rPr>
          <w:lang w:eastAsia="en-GB"/>
        </w:rPr>
        <w:t xml:space="preserve"> the drafting of a general comment on article 32 of the Convention</w:t>
      </w:r>
      <w:r>
        <w:rPr>
          <w:lang w:eastAsia="en-GB"/>
        </w:rPr>
        <w:t>,</w:t>
      </w:r>
      <w:r w:rsidRPr="00C00AF7">
        <w:rPr>
          <w:lang w:eastAsia="en-GB"/>
        </w:rPr>
        <w:t xml:space="preserve"> </w:t>
      </w:r>
      <w:r>
        <w:rPr>
          <w:lang w:eastAsia="en-GB"/>
        </w:rPr>
        <w:t xml:space="preserve">on </w:t>
      </w:r>
      <w:r w:rsidRPr="00C00AF7">
        <w:rPr>
          <w:lang w:eastAsia="en-GB"/>
        </w:rPr>
        <w:t xml:space="preserve">international cooperation, with the support of external partners. </w:t>
      </w:r>
    </w:p>
    <w:p w14:paraId="17504B1A" w14:textId="77777777" w:rsidR="00271032" w:rsidRPr="00C00AF7" w:rsidRDefault="00271032" w:rsidP="00271032">
      <w:pPr>
        <w:pStyle w:val="SingleTxtG"/>
        <w:tabs>
          <w:tab w:val="clear" w:pos="2268"/>
        </w:tabs>
      </w:pPr>
      <w:r w:rsidRPr="00C00AF7">
        <w:t>6.</w:t>
      </w:r>
      <w:r w:rsidRPr="00C00AF7">
        <w:tab/>
      </w:r>
      <w:r w:rsidRPr="00C00AF7">
        <w:tab/>
        <w:t xml:space="preserve">In the context of the </w:t>
      </w:r>
      <w:r>
        <w:t>twentieth</w:t>
      </w:r>
      <w:r w:rsidRPr="00C00AF7">
        <w:t xml:space="preserve"> anniversary of the adoption of the Convention, the Committee decided to continue, through its </w:t>
      </w:r>
      <w:r>
        <w:t>various</w:t>
      </w:r>
      <w:r w:rsidRPr="00C00AF7">
        <w:t xml:space="preserve"> working groups, the </w:t>
      </w:r>
      <w:r w:rsidRPr="00C00AF7">
        <w:rPr>
          <w:lang w:eastAsia="en-GB"/>
        </w:rPr>
        <w:t>preparation</w:t>
      </w:r>
      <w:r w:rsidRPr="00C00AF7">
        <w:t xml:space="preserve"> of guidelines on identifying and addressing multiple and intersecting forms of discrimination against women and girls with disabilities</w:t>
      </w:r>
      <w:r>
        <w:t>,</w:t>
      </w:r>
      <w:r w:rsidRPr="00C00AF7">
        <w:t xml:space="preserve"> </w:t>
      </w:r>
      <w:r>
        <w:t xml:space="preserve">to </w:t>
      </w:r>
      <w:r w:rsidRPr="00C00AF7">
        <w:t>complement</w:t>
      </w:r>
      <w:r>
        <w:t xml:space="preserve"> its</w:t>
      </w:r>
      <w:r w:rsidRPr="00C00AF7">
        <w:t xml:space="preserve"> general comment No. 3 (2016)</w:t>
      </w:r>
      <w:r>
        <w:t>,</w:t>
      </w:r>
      <w:r w:rsidRPr="00C00AF7">
        <w:t xml:space="preserve"> and guidelines on identifying and addressing disability-based violence</w:t>
      </w:r>
      <w:r>
        <w:t>,</w:t>
      </w:r>
      <w:r w:rsidRPr="00C00AF7">
        <w:t xml:space="preserve"> </w:t>
      </w:r>
      <w:r>
        <w:t xml:space="preserve">to </w:t>
      </w:r>
      <w:r w:rsidRPr="00C00AF7">
        <w:t xml:space="preserve">complement </w:t>
      </w:r>
      <w:r>
        <w:t xml:space="preserve">its </w:t>
      </w:r>
      <w:r w:rsidRPr="00C00AF7">
        <w:t>general comment No. 5 (2017) and the guidelines on deinstitutionalization, including in emergencies.</w:t>
      </w:r>
    </w:p>
    <w:p w14:paraId="7E5DF032" w14:textId="1297F82B" w:rsidR="00271032" w:rsidRPr="00C00AF7" w:rsidRDefault="00271032" w:rsidP="00271032">
      <w:pPr>
        <w:pStyle w:val="SingleTxtG"/>
        <w:tabs>
          <w:tab w:val="clear" w:pos="2268"/>
        </w:tabs>
      </w:pPr>
      <w:r w:rsidRPr="00C00AF7">
        <w:t>7.</w:t>
      </w:r>
      <w:r w:rsidRPr="00C00AF7">
        <w:tab/>
      </w:r>
      <w:r w:rsidRPr="00C00AF7">
        <w:tab/>
        <w:t xml:space="preserve">The </w:t>
      </w:r>
      <w:r w:rsidRPr="00C00AF7">
        <w:rPr>
          <w:lang w:eastAsia="en-GB"/>
        </w:rPr>
        <w:t>Committee</w:t>
      </w:r>
      <w:r w:rsidRPr="00C00AF7">
        <w:t xml:space="preserve"> adopted a statement </w:t>
      </w:r>
      <w:proofErr w:type="gramStart"/>
      <w:r w:rsidRPr="00C00AF7">
        <w:t>on the situation of</w:t>
      </w:r>
      <w:proofErr w:type="gramEnd"/>
      <w:r w:rsidRPr="00C00AF7">
        <w:t xml:space="preserve"> persons with disabilities affected by </w:t>
      </w:r>
      <w:r>
        <w:t xml:space="preserve">the </w:t>
      </w:r>
      <w:r w:rsidRPr="00C00AF7">
        <w:t>conflict in the Middle East, the Arab Gulf region and the Persian region</w:t>
      </w:r>
      <w:r>
        <w:t>.</w:t>
      </w:r>
      <w:r w:rsidRPr="00C00AF7">
        <w:t xml:space="preserve"> </w:t>
      </w:r>
      <w:r>
        <w:t>T</w:t>
      </w:r>
      <w:r w:rsidRPr="00C00AF7">
        <w:t>he statement was made pub</w:t>
      </w:r>
      <w:r>
        <w:t>l</w:t>
      </w:r>
      <w:r w:rsidRPr="00C00AF7">
        <w:t xml:space="preserve">ic </w:t>
      </w:r>
      <w:r w:rsidRPr="00331EAF">
        <w:t>on the Committee</w:t>
      </w:r>
      <w:r w:rsidR="00A10B98">
        <w:t>’</w:t>
      </w:r>
      <w:r w:rsidRPr="00331EAF">
        <w:t>s website</w:t>
      </w:r>
      <w:r w:rsidRPr="00C00AF7">
        <w:t>.</w:t>
      </w:r>
    </w:p>
    <w:p w14:paraId="74D4A080" w14:textId="77777777" w:rsidR="00271032" w:rsidRPr="00331EAF" w:rsidRDefault="00271032" w:rsidP="00271032">
      <w:pPr>
        <w:pStyle w:val="SingleTxtG"/>
        <w:tabs>
          <w:tab w:val="clear" w:pos="2268"/>
        </w:tabs>
        <w:rPr>
          <w:lang w:eastAsia="en-GB"/>
        </w:rPr>
      </w:pPr>
      <w:r w:rsidRPr="00331EAF">
        <w:rPr>
          <w:lang w:eastAsia="en-GB"/>
        </w:rPr>
        <w:t>8.</w:t>
      </w:r>
      <w:r w:rsidRPr="00331EAF">
        <w:rPr>
          <w:lang w:eastAsia="en-GB"/>
        </w:rPr>
        <w:tab/>
        <w:t xml:space="preserve">The Committee decided that, </w:t>
      </w:r>
      <w:r w:rsidRPr="00331EAF">
        <w:t>subject</w:t>
      </w:r>
      <w:r w:rsidRPr="00331EAF">
        <w:rPr>
          <w:lang w:eastAsia="en-GB"/>
        </w:rPr>
        <w:t xml:space="preserve"> to the availability of funding, its thirty-fifth session </w:t>
      </w:r>
      <w:r w:rsidRPr="00331EAF">
        <w:t>was provisionally scheduled to</w:t>
      </w:r>
      <w:r w:rsidRPr="00331EAF">
        <w:rPr>
          <w:lang w:eastAsia="en-GB"/>
        </w:rPr>
        <w:t xml:space="preserve"> be held in Geneva from 12 to 27 August 2026.</w:t>
      </w:r>
    </w:p>
    <w:p w14:paraId="1C1E55E6" w14:textId="77777777" w:rsidR="00271032" w:rsidRPr="00C00AF7" w:rsidRDefault="00271032" w:rsidP="00271032">
      <w:pPr>
        <w:pStyle w:val="SingleTxtG"/>
        <w:tabs>
          <w:tab w:val="clear" w:pos="2268"/>
        </w:tabs>
      </w:pPr>
      <w:r w:rsidRPr="00C00AF7">
        <w:t>9.</w:t>
      </w:r>
      <w:r w:rsidRPr="00C00AF7">
        <w:tab/>
      </w:r>
      <w:r w:rsidRPr="00C00AF7">
        <w:rPr>
          <w:lang w:eastAsia="en-GB"/>
        </w:rPr>
        <w:tab/>
        <w:t>The Committee adopted measures to improve its methodology related to constructive dialogue</w:t>
      </w:r>
      <w:r>
        <w:rPr>
          <w:lang w:eastAsia="en-GB"/>
        </w:rPr>
        <w:t>s</w:t>
      </w:r>
      <w:r w:rsidRPr="00C00AF7">
        <w:rPr>
          <w:lang w:eastAsia="en-GB"/>
        </w:rPr>
        <w:t xml:space="preserve">. </w:t>
      </w:r>
    </w:p>
    <w:p w14:paraId="52D214B9" w14:textId="77777777" w:rsidR="00271032" w:rsidRPr="00C00AF7" w:rsidRDefault="00271032" w:rsidP="00271032">
      <w:pPr>
        <w:pStyle w:val="SingleTxtG"/>
        <w:tabs>
          <w:tab w:val="clear" w:pos="2268"/>
        </w:tabs>
        <w:rPr>
          <w:lang w:eastAsia="en-GB"/>
        </w:rPr>
      </w:pPr>
      <w:r w:rsidRPr="00C00AF7">
        <w:rPr>
          <w:lang w:eastAsia="en-GB"/>
        </w:rPr>
        <w:t>10.</w:t>
      </w:r>
      <w:r w:rsidRPr="00C00AF7">
        <w:rPr>
          <w:lang w:eastAsia="en-GB"/>
        </w:rPr>
        <w:tab/>
      </w:r>
      <w:r w:rsidRPr="00C00AF7">
        <w:rPr>
          <w:lang w:eastAsia="en-GB"/>
        </w:rPr>
        <w:tab/>
      </w:r>
      <w:r w:rsidRPr="00C00AF7">
        <w:t>The</w:t>
      </w:r>
      <w:r w:rsidRPr="00C00AF7">
        <w:rPr>
          <w:lang w:eastAsia="en-GB"/>
        </w:rPr>
        <w:t xml:space="preserve"> Committee decided to organize panel discussions during </w:t>
      </w:r>
      <w:r>
        <w:rPr>
          <w:lang w:eastAsia="en-GB"/>
        </w:rPr>
        <w:t>its</w:t>
      </w:r>
      <w:r w:rsidRPr="00C00AF7">
        <w:rPr>
          <w:lang w:eastAsia="en-GB"/>
        </w:rPr>
        <w:t xml:space="preserve"> </w:t>
      </w:r>
      <w:r>
        <w:rPr>
          <w:lang w:eastAsia="en-GB"/>
        </w:rPr>
        <w:t>thirty-fifth</w:t>
      </w:r>
      <w:r w:rsidRPr="00C00AF7">
        <w:rPr>
          <w:lang w:eastAsia="en-GB"/>
        </w:rPr>
        <w:t xml:space="preserve"> session to celebrate </w:t>
      </w:r>
      <w:r w:rsidRPr="00C00AF7">
        <w:t>the</w:t>
      </w:r>
      <w:r w:rsidRPr="00C00AF7">
        <w:rPr>
          <w:lang w:eastAsia="en-GB"/>
        </w:rPr>
        <w:t xml:space="preserve"> </w:t>
      </w:r>
      <w:r>
        <w:rPr>
          <w:lang w:eastAsia="en-GB"/>
        </w:rPr>
        <w:t>twentieth</w:t>
      </w:r>
      <w:r w:rsidRPr="00C00AF7">
        <w:rPr>
          <w:lang w:eastAsia="en-GB"/>
        </w:rPr>
        <w:t xml:space="preserve"> anniversary of the adoption of the Convention. </w:t>
      </w:r>
    </w:p>
    <w:p w14:paraId="6071D193" w14:textId="77777777" w:rsidR="00271032" w:rsidRPr="00C00AF7" w:rsidRDefault="00271032" w:rsidP="00271032">
      <w:pPr>
        <w:pStyle w:val="SingleTxtG"/>
        <w:tabs>
          <w:tab w:val="clear" w:pos="2268"/>
        </w:tabs>
        <w:rPr>
          <w:lang w:eastAsia="en-GB"/>
        </w:rPr>
      </w:pPr>
      <w:r w:rsidRPr="00C00AF7">
        <w:rPr>
          <w:lang w:eastAsia="en-GB"/>
        </w:rPr>
        <w:t>11.</w:t>
      </w:r>
      <w:r w:rsidRPr="00C00AF7">
        <w:rPr>
          <w:lang w:eastAsia="en-GB"/>
        </w:rPr>
        <w:tab/>
      </w:r>
      <w:r w:rsidRPr="00C00AF7">
        <w:rPr>
          <w:lang w:eastAsia="en-GB"/>
        </w:rPr>
        <w:tab/>
        <w:t xml:space="preserve">The Committee welcomed the decision of the Under-Secretary-General for General Assembly and Conference Management to reverse a previous decision of the </w:t>
      </w:r>
      <w:r>
        <w:rPr>
          <w:lang w:eastAsia="en-GB"/>
        </w:rPr>
        <w:t>Division</w:t>
      </w:r>
      <w:r w:rsidRPr="00C00AF7">
        <w:rPr>
          <w:lang w:eastAsia="en-GB"/>
        </w:rPr>
        <w:t xml:space="preserve"> of </w:t>
      </w:r>
      <w:r w:rsidRPr="00C00AF7">
        <w:t>Conference</w:t>
      </w:r>
      <w:r w:rsidRPr="00C00AF7">
        <w:rPr>
          <w:lang w:eastAsia="en-GB"/>
        </w:rPr>
        <w:t xml:space="preserve"> Management at </w:t>
      </w:r>
      <w:r>
        <w:rPr>
          <w:lang w:eastAsia="en-GB"/>
        </w:rPr>
        <w:t>the United Nations Office at Geneva</w:t>
      </w:r>
      <w:r w:rsidRPr="00C00AF7">
        <w:rPr>
          <w:lang w:eastAsia="en-GB"/>
        </w:rPr>
        <w:t xml:space="preserve"> not to provide </w:t>
      </w:r>
      <w:r>
        <w:rPr>
          <w:lang w:eastAsia="en-GB"/>
        </w:rPr>
        <w:t>accessibility services – namely I</w:t>
      </w:r>
      <w:r w:rsidRPr="00C00AF7">
        <w:rPr>
          <w:lang w:eastAsia="en-GB"/>
        </w:rPr>
        <w:t xml:space="preserve">nternational </w:t>
      </w:r>
      <w:r>
        <w:rPr>
          <w:lang w:eastAsia="en-GB"/>
        </w:rPr>
        <w:t>S</w:t>
      </w:r>
      <w:r w:rsidRPr="00C00AF7">
        <w:rPr>
          <w:lang w:eastAsia="en-GB"/>
        </w:rPr>
        <w:t>ign interpretation</w:t>
      </w:r>
      <w:r>
        <w:rPr>
          <w:lang w:eastAsia="en-GB"/>
        </w:rPr>
        <w:t>,</w:t>
      </w:r>
      <w:r w:rsidRPr="00C00AF7">
        <w:rPr>
          <w:lang w:eastAsia="en-GB"/>
        </w:rPr>
        <w:t xml:space="preserve"> remote captioning</w:t>
      </w:r>
      <w:r>
        <w:rPr>
          <w:lang w:eastAsia="en-GB"/>
        </w:rPr>
        <w:t xml:space="preserve"> and Braille –</w:t>
      </w:r>
      <w:r w:rsidRPr="00C00AF7">
        <w:rPr>
          <w:lang w:eastAsia="en-GB"/>
        </w:rPr>
        <w:t xml:space="preserve"> to the Committee and the Human Rights Council. The Committee appreciated the advocacy and support provided by the </w:t>
      </w:r>
      <w:r w:rsidRPr="00293936">
        <w:rPr>
          <w:lang w:eastAsia="en-GB"/>
        </w:rPr>
        <w:t>United Nations High Commissioner for Human Rights</w:t>
      </w:r>
      <w:r w:rsidRPr="00C00AF7">
        <w:rPr>
          <w:lang w:eastAsia="en-GB"/>
        </w:rPr>
        <w:t xml:space="preserve">, Member </w:t>
      </w:r>
      <w:r w:rsidRPr="00C00AF7">
        <w:rPr>
          <w:lang w:eastAsia="en-GB"/>
        </w:rPr>
        <w:lastRenderedPageBreak/>
        <w:t xml:space="preserve">States, the </w:t>
      </w:r>
      <w:r>
        <w:rPr>
          <w:lang w:eastAsia="en-GB"/>
        </w:rPr>
        <w:t xml:space="preserve">Office of the </w:t>
      </w:r>
      <w:r w:rsidRPr="00C00AF7">
        <w:rPr>
          <w:lang w:eastAsia="en-GB"/>
        </w:rPr>
        <w:t>Presiden</w:t>
      </w:r>
      <w:r>
        <w:rPr>
          <w:lang w:eastAsia="en-GB"/>
        </w:rPr>
        <w:t>t</w:t>
      </w:r>
      <w:r w:rsidRPr="00C00AF7">
        <w:rPr>
          <w:lang w:eastAsia="en-GB"/>
        </w:rPr>
        <w:t xml:space="preserve"> of the Human Rights Council, the </w:t>
      </w:r>
      <w:r w:rsidRPr="00293936">
        <w:rPr>
          <w:lang w:eastAsia="en-GB"/>
        </w:rPr>
        <w:t>International Disability Alliance</w:t>
      </w:r>
      <w:r w:rsidRPr="00C00AF7">
        <w:rPr>
          <w:lang w:eastAsia="en-GB"/>
        </w:rPr>
        <w:t xml:space="preserve">, the </w:t>
      </w:r>
      <w:r w:rsidRPr="0038053F">
        <w:rPr>
          <w:lang w:eastAsia="en-GB"/>
        </w:rPr>
        <w:t>World Federation of the Deaf</w:t>
      </w:r>
      <w:r w:rsidRPr="00C00AF7">
        <w:rPr>
          <w:lang w:eastAsia="en-GB"/>
        </w:rPr>
        <w:t xml:space="preserve">, the Japan Disability Forum, Human Rights Watch and organizations of persons with disabilities to ensure </w:t>
      </w:r>
      <w:r>
        <w:rPr>
          <w:lang w:eastAsia="en-GB"/>
        </w:rPr>
        <w:t>that</w:t>
      </w:r>
      <w:r w:rsidRPr="00C00AF7">
        <w:rPr>
          <w:lang w:eastAsia="en-GB"/>
        </w:rPr>
        <w:t xml:space="preserve"> positive outcome. The Committee called upon the </w:t>
      </w:r>
      <w:r>
        <w:rPr>
          <w:lang w:eastAsia="en-GB"/>
        </w:rPr>
        <w:t>Division</w:t>
      </w:r>
      <w:r w:rsidRPr="00C00AF7">
        <w:rPr>
          <w:lang w:eastAsia="en-GB"/>
        </w:rPr>
        <w:t xml:space="preserve"> of Conference Management to continue </w:t>
      </w:r>
      <w:r>
        <w:rPr>
          <w:lang w:eastAsia="en-GB"/>
        </w:rPr>
        <w:t xml:space="preserve">to </w:t>
      </w:r>
      <w:r w:rsidRPr="00C00AF7">
        <w:rPr>
          <w:lang w:eastAsia="en-GB"/>
        </w:rPr>
        <w:t>ensur</w:t>
      </w:r>
      <w:r>
        <w:rPr>
          <w:lang w:eastAsia="en-GB"/>
        </w:rPr>
        <w:t>e</w:t>
      </w:r>
      <w:r w:rsidRPr="00C00AF7">
        <w:rPr>
          <w:lang w:eastAsia="en-GB"/>
        </w:rPr>
        <w:t xml:space="preserve"> the provision of accessibility services to the Committee and other human rights mechanism</w:t>
      </w:r>
      <w:r>
        <w:rPr>
          <w:lang w:eastAsia="en-GB"/>
        </w:rPr>
        <w:t>s</w:t>
      </w:r>
      <w:r w:rsidRPr="00C00AF7">
        <w:rPr>
          <w:lang w:eastAsia="en-GB"/>
        </w:rPr>
        <w:t xml:space="preserve">. </w:t>
      </w:r>
    </w:p>
    <w:p w14:paraId="0981E27A" w14:textId="7D9CBC7F" w:rsidR="00271032" w:rsidRPr="00C00AF7" w:rsidRDefault="00271032" w:rsidP="00271032">
      <w:pPr>
        <w:pStyle w:val="SingleTxtG"/>
        <w:tabs>
          <w:tab w:val="clear" w:pos="2268"/>
        </w:tabs>
        <w:rPr>
          <w:lang w:eastAsia="en-GB"/>
        </w:rPr>
      </w:pPr>
      <w:r w:rsidRPr="00C00AF7">
        <w:rPr>
          <w:lang w:eastAsia="en-GB"/>
        </w:rPr>
        <w:t>12.</w:t>
      </w:r>
      <w:r w:rsidRPr="00C00AF7">
        <w:rPr>
          <w:lang w:eastAsia="en-GB"/>
        </w:rPr>
        <w:tab/>
        <w:t>The Committee note</w:t>
      </w:r>
      <w:r>
        <w:rPr>
          <w:lang w:eastAsia="en-GB"/>
        </w:rPr>
        <w:t>d</w:t>
      </w:r>
      <w:r w:rsidRPr="00C00AF7">
        <w:rPr>
          <w:lang w:eastAsia="en-GB"/>
        </w:rPr>
        <w:t xml:space="preserve"> that cash</w:t>
      </w:r>
      <w:r>
        <w:rPr>
          <w:lang w:eastAsia="en-GB"/>
        </w:rPr>
        <w:t>-</w:t>
      </w:r>
      <w:r w:rsidRPr="00C00AF7">
        <w:rPr>
          <w:lang w:eastAsia="en-GB"/>
        </w:rPr>
        <w:t>conservation measures ha</w:t>
      </w:r>
      <w:r>
        <w:rPr>
          <w:lang w:eastAsia="en-GB"/>
        </w:rPr>
        <w:t>d</w:t>
      </w:r>
      <w:r w:rsidRPr="00C00AF7">
        <w:rPr>
          <w:lang w:eastAsia="en-GB"/>
        </w:rPr>
        <w:t xml:space="preserve"> been adopted by United</w:t>
      </w:r>
      <w:r w:rsidR="00D90D90">
        <w:rPr>
          <w:lang w:eastAsia="en-GB"/>
        </w:rPr>
        <w:t> </w:t>
      </w:r>
      <w:r w:rsidRPr="00C00AF7">
        <w:rPr>
          <w:lang w:eastAsia="en-GB"/>
        </w:rPr>
        <w:t>Nations departments, under the authority of the Secretary-General</w:t>
      </w:r>
      <w:r>
        <w:rPr>
          <w:lang w:eastAsia="en-GB"/>
        </w:rPr>
        <w:t>,</w:t>
      </w:r>
      <w:r w:rsidRPr="00C00AF7">
        <w:rPr>
          <w:lang w:eastAsia="en-GB"/>
        </w:rPr>
        <w:t xml:space="preserve"> </w:t>
      </w:r>
      <w:r>
        <w:rPr>
          <w:lang w:eastAsia="en-GB"/>
        </w:rPr>
        <w:t>in response to</w:t>
      </w:r>
      <w:r w:rsidRPr="00C00AF7">
        <w:rPr>
          <w:lang w:eastAsia="en-GB"/>
        </w:rPr>
        <w:t xml:space="preserve"> the liquidity crisis affecting the regular budget of the </w:t>
      </w:r>
      <w:r>
        <w:rPr>
          <w:lang w:eastAsia="en-GB"/>
        </w:rPr>
        <w:t>O</w:t>
      </w:r>
      <w:r w:rsidRPr="00C00AF7">
        <w:rPr>
          <w:lang w:eastAsia="en-GB"/>
        </w:rPr>
        <w:t xml:space="preserve">rganization. It </w:t>
      </w:r>
      <w:r w:rsidRPr="009B6C2D">
        <w:rPr>
          <w:lang w:eastAsia="en-GB"/>
        </w:rPr>
        <w:t>regretted</w:t>
      </w:r>
      <w:r w:rsidRPr="00C00AF7">
        <w:rPr>
          <w:lang w:eastAsia="en-GB"/>
        </w:rPr>
        <w:t xml:space="preserve"> that some of th</w:t>
      </w:r>
      <w:r>
        <w:rPr>
          <w:lang w:eastAsia="en-GB"/>
        </w:rPr>
        <w:t>o</w:t>
      </w:r>
      <w:r w:rsidRPr="00C00AF7">
        <w:rPr>
          <w:lang w:eastAsia="en-GB"/>
        </w:rPr>
        <w:t>se measures ha</w:t>
      </w:r>
      <w:r>
        <w:rPr>
          <w:lang w:eastAsia="en-GB"/>
        </w:rPr>
        <w:t>d</w:t>
      </w:r>
      <w:r w:rsidRPr="00C00AF7">
        <w:rPr>
          <w:lang w:eastAsia="en-GB"/>
        </w:rPr>
        <w:t xml:space="preserve"> a </w:t>
      </w:r>
      <w:r w:rsidRPr="00C00AF7">
        <w:t>disproportionate</w:t>
      </w:r>
      <w:r w:rsidRPr="00C00AF7">
        <w:rPr>
          <w:lang w:eastAsia="en-GB"/>
        </w:rPr>
        <w:t xml:space="preserve"> impact on persons with disabilities and affect</w:t>
      </w:r>
      <w:r>
        <w:rPr>
          <w:lang w:eastAsia="en-GB"/>
        </w:rPr>
        <w:t>ed</w:t>
      </w:r>
      <w:r w:rsidRPr="00C00AF7">
        <w:rPr>
          <w:lang w:eastAsia="en-GB"/>
        </w:rPr>
        <w:t xml:space="preserve"> the implementation of </w:t>
      </w:r>
      <w:r w:rsidRPr="00C00AF7">
        <w:t>accessibility</w:t>
      </w:r>
      <w:r w:rsidRPr="00C00AF7">
        <w:rPr>
          <w:lang w:eastAsia="en-GB"/>
        </w:rPr>
        <w:t xml:space="preserve"> standards under the United Nations Disability Inclusion Strategy. It also </w:t>
      </w:r>
      <w:r w:rsidRPr="000D568D">
        <w:rPr>
          <w:lang w:eastAsia="en-GB"/>
        </w:rPr>
        <w:t>regretted</w:t>
      </w:r>
      <w:r w:rsidRPr="00C00AF7">
        <w:rPr>
          <w:lang w:eastAsia="en-GB"/>
        </w:rPr>
        <w:t xml:space="preserve"> that the measures were adopted without sufficient consultation and participation of the Committee and </w:t>
      </w:r>
      <w:r>
        <w:rPr>
          <w:lang w:eastAsia="en-GB"/>
        </w:rPr>
        <w:t xml:space="preserve">of </w:t>
      </w:r>
      <w:r w:rsidRPr="00C00AF7">
        <w:rPr>
          <w:lang w:eastAsia="en-GB"/>
        </w:rPr>
        <w:t xml:space="preserve">persons with disabilities. The Committee requested departments and units operating at </w:t>
      </w:r>
      <w:r>
        <w:rPr>
          <w:lang w:eastAsia="en-GB"/>
        </w:rPr>
        <w:t xml:space="preserve">the </w:t>
      </w:r>
      <w:r w:rsidRPr="00C00AF7">
        <w:rPr>
          <w:lang w:eastAsia="en-GB"/>
        </w:rPr>
        <w:t>Palais des Nations</w:t>
      </w:r>
      <w:r>
        <w:rPr>
          <w:lang w:eastAsia="en-GB"/>
        </w:rPr>
        <w:t xml:space="preserve"> in Geneva</w:t>
      </w:r>
      <w:r w:rsidRPr="00C00AF7">
        <w:rPr>
          <w:lang w:eastAsia="en-GB"/>
        </w:rPr>
        <w:t xml:space="preserve"> to take into account the impact on accessibility when implementing any such measures and to ensure that </w:t>
      </w:r>
      <w:r>
        <w:rPr>
          <w:lang w:eastAsia="en-GB"/>
        </w:rPr>
        <w:t xml:space="preserve">the </w:t>
      </w:r>
      <w:r w:rsidRPr="00C00AF7">
        <w:rPr>
          <w:lang w:eastAsia="en-GB"/>
        </w:rPr>
        <w:t xml:space="preserve">necessary accessibility services are in place during the </w:t>
      </w:r>
      <w:r>
        <w:rPr>
          <w:lang w:eastAsia="en-GB"/>
        </w:rPr>
        <w:t>thirty-fifth</w:t>
      </w:r>
      <w:r w:rsidRPr="00C00AF7">
        <w:rPr>
          <w:lang w:eastAsia="en-GB"/>
        </w:rPr>
        <w:t xml:space="preserve"> session of the Committee.</w:t>
      </w:r>
    </w:p>
    <w:p w14:paraId="56DA0F47" w14:textId="77777777" w:rsidR="00271032" w:rsidRPr="00C00AF7" w:rsidRDefault="00271032" w:rsidP="00271032">
      <w:pPr>
        <w:pStyle w:val="SingleTxtG"/>
        <w:rPr>
          <w:lang w:eastAsia="en-GB"/>
        </w:rPr>
      </w:pPr>
      <w:r>
        <w:rPr>
          <w:lang w:eastAsia="en-GB"/>
        </w:rPr>
        <w:t>13.</w:t>
      </w:r>
      <w:r>
        <w:rPr>
          <w:lang w:eastAsia="en-GB"/>
        </w:rPr>
        <w:tab/>
      </w:r>
      <w:r w:rsidRPr="00C00AF7">
        <w:rPr>
          <w:lang w:eastAsia="en-GB"/>
        </w:rPr>
        <w:t xml:space="preserve">The Committee further expressed concern that holding the session in the Tempus </w:t>
      </w:r>
      <w:r>
        <w:rPr>
          <w:lang w:eastAsia="en-GB"/>
        </w:rPr>
        <w:t>conference room at the Palais des Nations</w:t>
      </w:r>
      <w:r w:rsidRPr="00C00AF7">
        <w:rPr>
          <w:lang w:eastAsia="en-GB"/>
        </w:rPr>
        <w:t xml:space="preserve"> </w:t>
      </w:r>
      <w:r>
        <w:rPr>
          <w:lang w:eastAsia="en-GB"/>
        </w:rPr>
        <w:t>could</w:t>
      </w:r>
      <w:r w:rsidRPr="00C00AF7">
        <w:rPr>
          <w:lang w:eastAsia="en-GB"/>
        </w:rPr>
        <w:t xml:space="preserve"> result in the </w:t>
      </w:r>
      <w:r w:rsidRPr="00C00AF7">
        <w:t>Committee</w:t>
      </w:r>
      <w:r w:rsidRPr="00C00AF7">
        <w:rPr>
          <w:lang w:eastAsia="en-GB"/>
        </w:rPr>
        <w:t xml:space="preserve"> being separated from the broader United Nations environment in Geneva. It also expressed concern that technical arrangements in Tempus ha</w:t>
      </w:r>
      <w:r>
        <w:rPr>
          <w:lang w:eastAsia="en-GB"/>
        </w:rPr>
        <w:t>d</w:t>
      </w:r>
      <w:r w:rsidRPr="00C00AF7">
        <w:rPr>
          <w:lang w:eastAsia="en-GB"/>
        </w:rPr>
        <w:t xml:space="preserve"> so far </w:t>
      </w:r>
      <w:r>
        <w:rPr>
          <w:lang w:eastAsia="en-GB"/>
        </w:rPr>
        <w:t>constituted</w:t>
      </w:r>
      <w:r w:rsidRPr="00C00AF7">
        <w:rPr>
          <w:lang w:eastAsia="en-GB"/>
        </w:rPr>
        <w:t xml:space="preserve"> a barrier to the full inclusion of the deaf member of the Committee </w:t>
      </w:r>
      <w:r>
        <w:rPr>
          <w:lang w:eastAsia="en-GB"/>
        </w:rPr>
        <w:t xml:space="preserve">and </w:t>
      </w:r>
      <w:r w:rsidRPr="00C00AF7">
        <w:rPr>
          <w:lang w:eastAsia="en-GB"/>
        </w:rPr>
        <w:t xml:space="preserve">to </w:t>
      </w:r>
      <w:r>
        <w:rPr>
          <w:lang w:eastAsia="en-GB"/>
        </w:rPr>
        <w:t xml:space="preserve">his full </w:t>
      </w:r>
      <w:r w:rsidRPr="00C00AF7">
        <w:rPr>
          <w:lang w:eastAsia="en-GB"/>
        </w:rPr>
        <w:t>participat</w:t>
      </w:r>
      <w:r>
        <w:rPr>
          <w:lang w:eastAsia="en-GB"/>
        </w:rPr>
        <w:t>ion</w:t>
      </w:r>
      <w:r w:rsidRPr="00C00AF7">
        <w:rPr>
          <w:lang w:eastAsia="en-GB"/>
        </w:rPr>
        <w:t xml:space="preserve"> in the work of the Committee. It encouraged continued efforts to ensure that all members </w:t>
      </w:r>
      <w:r>
        <w:rPr>
          <w:lang w:eastAsia="en-GB"/>
        </w:rPr>
        <w:t>could</w:t>
      </w:r>
      <w:r w:rsidRPr="00C00AF7">
        <w:rPr>
          <w:lang w:eastAsia="en-GB"/>
        </w:rPr>
        <w:t xml:space="preserve"> operate in an inclusive environment within the United Nations Office at Geneva.</w:t>
      </w:r>
    </w:p>
    <w:p w14:paraId="0688F009" w14:textId="77777777" w:rsidR="00271032" w:rsidRPr="00C00AF7" w:rsidRDefault="00271032" w:rsidP="00271032">
      <w:pPr>
        <w:pStyle w:val="SingleTxtG"/>
        <w:rPr>
          <w:lang w:eastAsia="en-GB"/>
        </w:rPr>
      </w:pPr>
      <w:r>
        <w:rPr>
          <w:lang w:eastAsia="en-GB"/>
        </w:rPr>
        <w:t>14.</w:t>
      </w:r>
      <w:r>
        <w:rPr>
          <w:lang w:eastAsia="en-GB"/>
        </w:rPr>
        <w:tab/>
      </w:r>
      <w:r w:rsidRPr="00C00AF7">
        <w:rPr>
          <w:lang w:eastAsia="en-GB"/>
        </w:rPr>
        <w:t>The Committee requested</w:t>
      </w:r>
      <w:r>
        <w:rPr>
          <w:lang w:eastAsia="en-GB"/>
        </w:rPr>
        <w:t>:</w:t>
      </w:r>
      <w:r w:rsidRPr="00C00AF7">
        <w:rPr>
          <w:lang w:eastAsia="en-GB"/>
        </w:rPr>
        <w:t xml:space="preserve"> </w:t>
      </w:r>
    </w:p>
    <w:p w14:paraId="4E6D498F" w14:textId="4E9AE3E0" w:rsidR="00271032" w:rsidRPr="0077775D" w:rsidRDefault="0077775D" w:rsidP="0077775D">
      <w:pPr>
        <w:pStyle w:val="SingleTxtG"/>
      </w:pPr>
      <w:r>
        <w:tab/>
      </w:r>
      <w:r w:rsidR="00271032" w:rsidRPr="0077775D">
        <w:t>(a)</w:t>
      </w:r>
      <w:r w:rsidR="00271032" w:rsidRPr="0077775D">
        <w:tab/>
        <w:t>The secretariat of the United Nations Disability Inclusion Strategy, the United</w:t>
      </w:r>
      <w:r w:rsidR="00D90D90">
        <w:t> </w:t>
      </w:r>
      <w:r w:rsidR="00271032" w:rsidRPr="0077775D">
        <w:t>Nations Office at Geneva and OHCHR to work in a coordinated manner to restore the provision of International Sign interpretation and national sign language interpretation and to ensure that Hiroshi Tamon, a Committee member who is deaf, receives the support necessary to discharge his functions effectively, in line with article 34 of the Convention and the relevant General Assembly resolutions; in particular, to ensure that sufficient interpretation capacity is available, including at least two interpreters proficient in American Sign Language, and that adequate resources for reasonable accommodation are secured;</w:t>
      </w:r>
    </w:p>
    <w:p w14:paraId="51ABC6F1" w14:textId="6A7CF6DC" w:rsidR="00271032" w:rsidRPr="0077775D" w:rsidRDefault="0077775D" w:rsidP="0077775D">
      <w:pPr>
        <w:pStyle w:val="SingleTxtG"/>
      </w:pPr>
      <w:r>
        <w:tab/>
      </w:r>
      <w:r w:rsidR="00271032" w:rsidRPr="0077775D">
        <w:t>(b)</w:t>
      </w:r>
      <w:r w:rsidR="00271032" w:rsidRPr="0077775D">
        <w:tab/>
        <w:t xml:space="preserve">The Division of Conference Management at the United Nations Office at Geneva to discontinue the imposition of fees on permanent missions that arranged for the provision of remote national sign language interpretation, which was discriminatory against deaf persons; </w:t>
      </w:r>
    </w:p>
    <w:p w14:paraId="45FBFD24" w14:textId="32561D92" w:rsidR="00271032" w:rsidRPr="0077775D" w:rsidRDefault="00271032" w:rsidP="0077775D">
      <w:pPr>
        <w:pStyle w:val="SingleTxtG"/>
      </w:pPr>
      <w:r w:rsidRPr="0077775D">
        <w:tab/>
        <w:t>(c)</w:t>
      </w:r>
      <w:r w:rsidRPr="0077775D">
        <w:tab/>
        <w:t>All the above-mentioned United Nations entities to ensure that the Committee operates in a fully accessible and inclusive manner and to avoid measures that may adversely affect the rights of persons with disabilities, given that accessibility is not an option, but a duty.</w:t>
      </w:r>
    </w:p>
    <w:p w14:paraId="6F2B3600" w14:textId="77777777" w:rsidR="00271032" w:rsidRPr="00C00AF7" w:rsidRDefault="00271032" w:rsidP="00271032">
      <w:pPr>
        <w:pStyle w:val="SingleTxtG"/>
        <w:tabs>
          <w:tab w:val="clear" w:pos="2268"/>
        </w:tabs>
      </w:pPr>
      <w:r>
        <w:t>15.</w:t>
      </w:r>
      <w:r>
        <w:tab/>
      </w:r>
      <w:r w:rsidRPr="00C00AF7">
        <w:t xml:space="preserve">The Committee emphasized that the measures </w:t>
      </w:r>
      <w:r>
        <w:t>requested above were</w:t>
      </w:r>
      <w:r w:rsidRPr="00C00AF7">
        <w:t xml:space="preserve"> essential to ensure the meaningful participation of deaf persons in the State</w:t>
      </w:r>
      <w:r>
        <w:t xml:space="preserve"> Parties</w:t>
      </w:r>
      <w:r w:rsidRPr="00C00AF7">
        <w:t xml:space="preserve"> under review, </w:t>
      </w:r>
      <w:r>
        <w:t>and of</w:t>
      </w:r>
      <w:r w:rsidRPr="00C00AF7">
        <w:t xml:space="preserve"> deaf persons worldwide following the constructive dialogue</w:t>
      </w:r>
      <w:r>
        <w:t>s.</w:t>
      </w:r>
    </w:p>
    <w:p w14:paraId="67C39BBA" w14:textId="77777777" w:rsidR="00271032" w:rsidRPr="0006672D" w:rsidRDefault="00271032" w:rsidP="00271032">
      <w:pPr>
        <w:pStyle w:val="SingleTxtG"/>
        <w:tabs>
          <w:tab w:val="clear" w:pos="2268"/>
        </w:tabs>
        <w:rPr>
          <w:lang w:eastAsia="en-GB"/>
        </w:rPr>
      </w:pPr>
      <w:r>
        <w:rPr>
          <w:lang w:eastAsia="en-GB"/>
        </w:rPr>
        <w:t>16.</w:t>
      </w:r>
      <w:r>
        <w:rPr>
          <w:lang w:eastAsia="en-GB"/>
        </w:rPr>
        <w:tab/>
      </w:r>
      <w:r w:rsidRPr="0006672D">
        <w:rPr>
          <w:lang w:eastAsia="en-GB"/>
        </w:rPr>
        <w:t xml:space="preserve">The Committee reiterated its willingness and availability to continue to engage with the United Nations Office at Geneva and OHCHR, with a view to improving the provision of accessible conference </w:t>
      </w:r>
      <w:r w:rsidRPr="0006672D">
        <w:t>services</w:t>
      </w:r>
      <w:r w:rsidRPr="0006672D">
        <w:rPr>
          <w:lang w:eastAsia="en-GB"/>
        </w:rPr>
        <w:t xml:space="preserve"> and reasonable accommodation to members of the Committee and participants with disabilities at its meetings.</w:t>
      </w:r>
    </w:p>
    <w:p w14:paraId="563A26FB" w14:textId="55DE1EDC" w:rsidR="00271032" w:rsidRPr="00C00AF7" w:rsidRDefault="00271032" w:rsidP="00271032">
      <w:pPr>
        <w:pStyle w:val="SingleTxtG"/>
        <w:tabs>
          <w:tab w:val="clear" w:pos="2268"/>
        </w:tabs>
      </w:pPr>
      <w:r>
        <w:t>17.</w:t>
      </w:r>
      <w:r>
        <w:tab/>
      </w:r>
      <w:r w:rsidRPr="00C00AF7">
        <w:t xml:space="preserve">The Committee welcomed the unanimous decision of the Parliamentary Assembly of the Council of Europe to reject the draft </w:t>
      </w:r>
      <w:r>
        <w:t>a</w:t>
      </w:r>
      <w:r w:rsidRPr="00C00AF7">
        <w:t xml:space="preserve">dditional </w:t>
      </w:r>
      <w:r>
        <w:t>p</w:t>
      </w:r>
      <w:r w:rsidRPr="00C00AF7">
        <w:t>rotocol to the Convention on Human Rights and Biomedicine, which, if adopted</w:t>
      </w:r>
      <w:r>
        <w:t>,</w:t>
      </w:r>
      <w:r w:rsidRPr="00C00AF7">
        <w:t xml:space="preserve"> would allow for the forced institutionalization and forced treatment of persons with disabilities. The Committee also welcome</w:t>
      </w:r>
      <w:r>
        <w:t>d</w:t>
      </w:r>
      <w:r w:rsidRPr="00C00AF7">
        <w:t xml:space="preserve"> </w:t>
      </w:r>
      <w:r>
        <w:t>the reiteration by</w:t>
      </w:r>
      <w:r w:rsidRPr="00C00AF7">
        <w:t xml:space="preserve"> </w:t>
      </w:r>
      <w:r w:rsidRPr="00D64D7E">
        <w:t>the Parliamentary Assembly</w:t>
      </w:r>
      <w:r w:rsidRPr="00C00AF7">
        <w:t xml:space="preserve"> that the Council of Europe must fully integrate the paradigm shift initiated by the </w:t>
      </w:r>
      <w:r>
        <w:t>Committee</w:t>
      </w:r>
      <w:r w:rsidRPr="00C00AF7">
        <w:t xml:space="preserve"> into its work. The Committee reiterate</w:t>
      </w:r>
      <w:r>
        <w:t>d</w:t>
      </w:r>
      <w:r w:rsidRPr="00C00AF7">
        <w:t xml:space="preserve"> its position </w:t>
      </w:r>
      <w:r w:rsidR="00736C81">
        <w:br/>
      </w:r>
      <w:r w:rsidR="00736C81">
        <w:br/>
      </w:r>
      <w:r w:rsidR="00736C81">
        <w:br/>
      </w:r>
      <w:r w:rsidRPr="00C00AF7">
        <w:lastRenderedPageBreak/>
        <w:t xml:space="preserve">that the draft </w:t>
      </w:r>
      <w:r>
        <w:t>a</w:t>
      </w:r>
      <w:r w:rsidRPr="00C00AF7">
        <w:t xml:space="preserve">dditional </w:t>
      </w:r>
      <w:r>
        <w:t>p</w:t>
      </w:r>
      <w:r w:rsidRPr="00C00AF7">
        <w:t>rotocol to the Convention on Human Rights and Biomedicine should be withdrawn</w:t>
      </w:r>
      <w:r>
        <w:t>,</w:t>
      </w:r>
      <w:r w:rsidRPr="00C00AF7">
        <w:t xml:space="preserve"> and call</w:t>
      </w:r>
      <w:r>
        <w:t>ed</w:t>
      </w:r>
      <w:r w:rsidRPr="00C00AF7">
        <w:t xml:space="preserve"> upon the Committee of Ministers of the Council of Europe to reject it. </w:t>
      </w:r>
    </w:p>
    <w:p w14:paraId="0FF6410E" w14:textId="77777777" w:rsidR="00271032" w:rsidRPr="00C00AF7" w:rsidRDefault="00271032" w:rsidP="00271032">
      <w:pPr>
        <w:pStyle w:val="SingleTxtG"/>
        <w:tabs>
          <w:tab w:val="clear" w:pos="2268"/>
        </w:tabs>
      </w:pPr>
      <w:r>
        <w:t>18.</w:t>
      </w:r>
      <w:r>
        <w:tab/>
      </w:r>
      <w:r w:rsidRPr="00C00AF7">
        <w:t xml:space="preserve">The Committee welcomed the preparatory work carried out by the </w:t>
      </w:r>
      <w:r>
        <w:t>o</w:t>
      </w:r>
      <w:r w:rsidRPr="00C00AF7">
        <w:t xml:space="preserve">pen-ended intergovernmental working group </w:t>
      </w:r>
      <w:r>
        <w:t>for the elaboration of</w:t>
      </w:r>
      <w:r w:rsidRPr="00C00AF7">
        <w:t xml:space="preserve"> a legally binding instrument on the promotion and protection of the human rights of older persons</w:t>
      </w:r>
      <w:r>
        <w:t xml:space="preserve">, </w:t>
      </w:r>
      <w:r w:rsidRPr="00C13D3B">
        <w:t>established by the Human Rights Council</w:t>
      </w:r>
      <w:r w:rsidRPr="00C00AF7">
        <w:t>. The Committee called upon the working group to ensure the broadest possible participation</w:t>
      </w:r>
      <w:r>
        <w:t xml:space="preserve"> of</w:t>
      </w:r>
      <w:r w:rsidRPr="00C00AF7">
        <w:t xml:space="preserve"> and interaction with civil society organizations, including organizations of persons with disabilities. The Committee also calls upon </w:t>
      </w:r>
      <w:r>
        <w:t>the</w:t>
      </w:r>
      <w:r w:rsidRPr="00C00AF7">
        <w:t xml:space="preserve"> </w:t>
      </w:r>
      <w:r w:rsidRPr="00C00AF7">
        <w:rPr>
          <w:lang w:eastAsia="en-GB"/>
        </w:rPr>
        <w:t>stakeholders</w:t>
      </w:r>
      <w:r>
        <w:rPr>
          <w:lang w:eastAsia="en-GB"/>
        </w:rPr>
        <w:t xml:space="preserve"> </w:t>
      </w:r>
      <w:r w:rsidRPr="00C00AF7">
        <w:t>concerned to ensure that the draft instrument recognize</w:t>
      </w:r>
      <w:r>
        <w:t>d</w:t>
      </w:r>
      <w:r w:rsidRPr="00C00AF7">
        <w:t xml:space="preserve"> the autonomy, will and preferences of older persons and their legal agency to exercise their rights. </w:t>
      </w:r>
    </w:p>
    <w:p w14:paraId="752A6FB4" w14:textId="1A8860CC" w:rsidR="00271032" w:rsidRPr="0076240E" w:rsidRDefault="00271032" w:rsidP="00271032">
      <w:pPr>
        <w:pStyle w:val="SingleTxtG"/>
        <w:tabs>
          <w:tab w:val="clear" w:pos="2268"/>
        </w:tabs>
      </w:pPr>
      <w:r>
        <w:t>19.</w:t>
      </w:r>
      <w:r>
        <w:tab/>
      </w:r>
      <w:r w:rsidRPr="0076240E">
        <w:t xml:space="preserve">The Committee noted that, with 193 States Parties, the Convention was the second most ratified </w:t>
      </w:r>
      <w:r w:rsidRPr="0076240E">
        <w:rPr>
          <w:lang w:eastAsia="en-GB"/>
        </w:rPr>
        <w:t>human</w:t>
      </w:r>
      <w:r w:rsidRPr="0076240E">
        <w:t xml:space="preserve"> rights treaty. However, it reiterated its concern that the high rate of ratification had not been matched with the allocation of sufficient meeting time and resources. The Committee therefore called upon Member States and all competent United Nations bodies to rectify the situation by increasing the meeting time and resources allocated to the Committee with a third session of at least three weeks</w:t>
      </w:r>
      <w:r w:rsidR="00A10B98">
        <w:t>’</w:t>
      </w:r>
      <w:r w:rsidRPr="0076240E">
        <w:t xml:space="preserve"> meeting time. </w:t>
      </w:r>
    </w:p>
    <w:p w14:paraId="780C4060" w14:textId="77777777" w:rsidR="00271032" w:rsidRPr="0076240E" w:rsidRDefault="00271032" w:rsidP="00271032">
      <w:pPr>
        <w:pStyle w:val="SingleTxtG"/>
        <w:tabs>
          <w:tab w:val="clear" w:pos="2268"/>
        </w:tabs>
      </w:pPr>
      <w:r w:rsidRPr="0076240E">
        <w:t>20.</w:t>
      </w:r>
      <w:r w:rsidRPr="0076240E">
        <w:tab/>
        <w:t xml:space="preserve">Remaining concerned about the increasing number of initial and periodic reports </w:t>
      </w:r>
      <w:r w:rsidRPr="0076240E">
        <w:rPr>
          <w:lang w:eastAsia="en-GB"/>
        </w:rPr>
        <w:t>pending</w:t>
      </w:r>
      <w:r w:rsidRPr="0076240E">
        <w:t xml:space="preserve"> its consideration, the Committee called upon Member States and the bodies concerned to grant the Committee sufficient meeting time and resources to address the backlog. </w:t>
      </w:r>
    </w:p>
    <w:p w14:paraId="090EA9F9" w14:textId="77777777" w:rsidR="00271032" w:rsidRPr="0076240E" w:rsidRDefault="00271032" w:rsidP="00271032">
      <w:pPr>
        <w:pStyle w:val="SingleTxtG"/>
        <w:tabs>
          <w:tab w:val="clear" w:pos="2268"/>
        </w:tabs>
      </w:pPr>
      <w:r w:rsidRPr="0076240E">
        <w:t>21.</w:t>
      </w:r>
      <w:r w:rsidRPr="0076240E">
        <w:tab/>
        <w:t xml:space="preserve">The Committee called upon States Parties with long overdue initial reports, as listed in </w:t>
      </w:r>
      <w:r w:rsidRPr="0076240E">
        <w:rPr>
          <w:lang w:eastAsia="en-GB"/>
        </w:rPr>
        <w:t>annex</w:t>
      </w:r>
      <w:r w:rsidRPr="0076240E">
        <w:t xml:space="preserve"> II to the present report, to submit their reports as expeditiously as possible. The Committee decided to engage actively, in coordination with the treaty body capacity-building programme of the OHCHR Human Rights Treaties Branch, with States Parties whose initial reports were more than 10 years overdue to build capacity for reporting, and to ensure the consideration of those reports in an expedited manner upon submission.</w:t>
      </w:r>
    </w:p>
    <w:p w14:paraId="129B7C1E" w14:textId="77777777" w:rsidR="00271032" w:rsidRPr="00D40F1F" w:rsidRDefault="00271032" w:rsidP="00271032">
      <w:pPr>
        <w:pStyle w:val="SingleTxtG"/>
        <w:tabs>
          <w:tab w:val="clear" w:pos="2268"/>
        </w:tabs>
      </w:pPr>
      <w:r w:rsidRPr="0076240E">
        <w:t>22.</w:t>
      </w:r>
      <w:r w:rsidRPr="0076240E">
        <w:tab/>
      </w:r>
      <w:r w:rsidRPr="0076240E">
        <w:rPr>
          <w:lang w:eastAsia="en-GB"/>
        </w:rPr>
        <w:t>The</w:t>
      </w:r>
      <w:r w:rsidRPr="0076240E">
        <w:t xml:space="preserve"> Committee adopted the report on its thirty-fourth session.</w:t>
      </w:r>
    </w:p>
    <w:p w14:paraId="24570F81" w14:textId="77777777" w:rsidR="00304A2B" w:rsidRDefault="00304A2B" w:rsidP="00A00341">
      <w:pPr>
        <w:pStyle w:val="SingleTxtG"/>
      </w:pPr>
      <w:r>
        <w:br w:type="page"/>
      </w:r>
    </w:p>
    <w:p w14:paraId="1A7E3441" w14:textId="3489C4FE" w:rsidR="00271032" w:rsidRPr="00C00AF7" w:rsidRDefault="00143670" w:rsidP="00271032">
      <w:pPr>
        <w:pStyle w:val="HChG"/>
        <w:spacing w:before="0"/>
      </w:pPr>
      <w:r>
        <w:lastRenderedPageBreak/>
        <w:tab/>
      </w:r>
      <w:r w:rsidR="00271032" w:rsidRPr="00C00AF7">
        <w:t>Annex II</w:t>
      </w:r>
    </w:p>
    <w:p w14:paraId="76A76126" w14:textId="77777777" w:rsidR="00271032" w:rsidRPr="00753371" w:rsidRDefault="00271032" w:rsidP="00C50937">
      <w:pPr>
        <w:pStyle w:val="HChG"/>
        <w:rPr>
          <w:lang w:val="en-US"/>
        </w:rPr>
      </w:pPr>
      <w:r w:rsidRPr="00C00AF7">
        <w:tab/>
      </w:r>
      <w:r w:rsidRPr="00C00AF7">
        <w:tab/>
        <w:t xml:space="preserve">States Parties whose initial reports are more than </w:t>
      </w:r>
      <w:r w:rsidRPr="00C50937">
        <w:t>five</w:t>
      </w:r>
      <w:r w:rsidRPr="00C00AF7">
        <w:t xml:space="preserve"> years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0"/>
        <w:gridCol w:w="3550"/>
      </w:tblGrid>
      <w:tr w:rsidR="00C50937" w:rsidRPr="00C50937" w14:paraId="2AE22D91" w14:textId="77777777" w:rsidTr="00C50937">
        <w:trPr>
          <w:tblHeader/>
        </w:trPr>
        <w:tc>
          <w:tcPr>
            <w:tcW w:w="3820" w:type="dxa"/>
            <w:tcBorders>
              <w:top w:val="single" w:sz="4" w:space="0" w:color="auto"/>
              <w:bottom w:val="single" w:sz="12" w:space="0" w:color="auto"/>
            </w:tcBorders>
            <w:shd w:val="clear" w:color="auto" w:fill="auto"/>
            <w:vAlign w:val="bottom"/>
          </w:tcPr>
          <w:p w14:paraId="0E46F036" w14:textId="77777777" w:rsidR="00271032" w:rsidRPr="00C50937" w:rsidRDefault="00271032" w:rsidP="00C50937">
            <w:pPr>
              <w:pStyle w:val="SingleTxtG"/>
              <w:tabs>
                <w:tab w:val="clear" w:pos="1701"/>
                <w:tab w:val="clear" w:pos="2268"/>
              </w:tabs>
              <w:suppressAutoHyphens w:val="0"/>
              <w:spacing w:before="80" w:after="80" w:line="200" w:lineRule="exact"/>
              <w:ind w:left="0" w:right="113"/>
              <w:jc w:val="left"/>
              <w:rPr>
                <w:i/>
                <w:sz w:val="16"/>
              </w:rPr>
            </w:pPr>
            <w:r w:rsidRPr="00C50937">
              <w:rPr>
                <w:i/>
                <w:sz w:val="16"/>
              </w:rPr>
              <w:t>State Party</w:t>
            </w:r>
          </w:p>
        </w:tc>
        <w:tc>
          <w:tcPr>
            <w:tcW w:w="3550" w:type="dxa"/>
            <w:tcBorders>
              <w:top w:val="single" w:sz="4" w:space="0" w:color="auto"/>
              <w:bottom w:val="single" w:sz="12" w:space="0" w:color="auto"/>
            </w:tcBorders>
            <w:shd w:val="clear" w:color="auto" w:fill="auto"/>
            <w:vAlign w:val="bottom"/>
          </w:tcPr>
          <w:p w14:paraId="5279EF67" w14:textId="77777777" w:rsidR="00271032" w:rsidRPr="00C50937" w:rsidRDefault="00271032" w:rsidP="00C50937">
            <w:pPr>
              <w:pStyle w:val="SingleTxtG"/>
              <w:tabs>
                <w:tab w:val="clear" w:pos="1701"/>
                <w:tab w:val="clear" w:pos="2268"/>
              </w:tabs>
              <w:suppressAutoHyphens w:val="0"/>
              <w:spacing w:before="80" w:after="80" w:line="200" w:lineRule="exact"/>
              <w:ind w:left="0" w:right="113"/>
              <w:jc w:val="left"/>
              <w:rPr>
                <w:i/>
                <w:sz w:val="16"/>
              </w:rPr>
            </w:pPr>
            <w:r w:rsidRPr="00C50937">
              <w:rPr>
                <w:i/>
                <w:sz w:val="16"/>
              </w:rPr>
              <w:t>Due date</w:t>
            </w:r>
          </w:p>
        </w:tc>
      </w:tr>
      <w:tr w:rsidR="00271032" w:rsidRPr="00C50937" w14:paraId="2EEDB7BB" w14:textId="77777777" w:rsidTr="00C50937">
        <w:tc>
          <w:tcPr>
            <w:tcW w:w="3820" w:type="dxa"/>
            <w:tcBorders>
              <w:top w:val="single" w:sz="12" w:space="0" w:color="auto"/>
            </w:tcBorders>
            <w:shd w:val="clear" w:color="auto" w:fill="auto"/>
          </w:tcPr>
          <w:p w14:paraId="41FAE3C6"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Guinea</w:t>
            </w:r>
          </w:p>
        </w:tc>
        <w:tc>
          <w:tcPr>
            <w:tcW w:w="3550" w:type="dxa"/>
            <w:tcBorders>
              <w:top w:val="single" w:sz="12" w:space="0" w:color="auto"/>
            </w:tcBorders>
            <w:shd w:val="clear" w:color="auto" w:fill="auto"/>
          </w:tcPr>
          <w:p w14:paraId="51010370"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8 March 2010</w:t>
            </w:r>
          </w:p>
        </w:tc>
      </w:tr>
      <w:tr w:rsidR="00271032" w:rsidRPr="00C50937" w14:paraId="68E0CE71" w14:textId="77777777" w:rsidTr="00C50937">
        <w:tc>
          <w:tcPr>
            <w:tcW w:w="3820" w:type="dxa"/>
            <w:shd w:val="clear" w:color="auto" w:fill="auto"/>
          </w:tcPr>
          <w:p w14:paraId="70AE44D1"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San Marino</w:t>
            </w:r>
          </w:p>
        </w:tc>
        <w:tc>
          <w:tcPr>
            <w:tcW w:w="3550" w:type="dxa"/>
            <w:shd w:val="clear" w:color="auto" w:fill="auto"/>
          </w:tcPr>
          <w:p w14:paraId="6892F57E"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22 March 2010</w:t>
            </w:r>
          </w:p>
        </w:tc>
      </w:tr>
      <w:tr w:rsidR="00271032" w:rsidRPr="00C50937" w14:paraId="584522EC" w14:textId="77777777" w:rsidTr="00C50937">
        <w:tc>
          <w:tcPr>
            <w:tcW w:w="3820" w:type="dxa"/>
            <w:shd w:val="clear" w:color="auto" w:fill="auto"/>
          </w:tcPr>
          <w:p w14:paraId="135CC5EE"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Yemen</w:t>
            </w:r>
          </w:p>
        </w:tc>
        <w:tc>
          <w:tcPr>
            <w:tcW w:w="3550" w:type="dxa"/>
            <w:shd w:val="clear" w:color="auto" w:fill="auto"/>
          </w:tcPr>
          <w:p w14:paraId="6921FF1E"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26 April 2011</w:t>
            </w:r>
          </w:p>
        </w:tc>
      </w:tr>
      <w:tr w:rsidR="00271032" w:rsidRPr="00C50937" w14:paraId="09E0A858" w14:textId="77777777" w:rsidTr="00C50937">
        <w:tc>
          <w:tcPr>
            <w:tcW w:w="3820" w:type="dxa"/>
            <w:shd w:val="clear" w:color="auto" w:fill="auto"/>
          </w:tcPr>
          <w:p w14:paraId="6F59AFB1"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Syrian Arab Republic</w:t>
            </w:r>
          </w:p>
        </w:tc>
        <w:tc>
          <w:tcPr>
            <w:tcW w:w="3550" w:type="dxa"/>
            <w:shd w:val="clear" w:color="auto" w:fill="auto"/>
          </w:tcPr>
          <w:p w14:paraId="5EB61215"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10 August 2011</w:t>
            </w:r>
          </w:p>
        </w:tc>
      </w:tr>
      <w:tr w:rsidR="00271032" w:rsidRPr="00C50937" w14:paraId="2FAEBE7C" w14:textId="77777777" w:rsidTr="00C50937">
        <w:tc>
          <w:tcPr>
            <w:tcW w:w="3820" w:type="dxa"/>
            <w:shd w:val="clear" w:color="auto" w:fill="auto"/>
          </w:tcPr>
          <w:p w14:paraId="0AA6DCFD"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United Republic of Tanzania</w:t>
            </w:r>
          </w:p>
        </w:tc>
        <w:tc>
          <w:tcPr>
            <w:tcW w:w="3550" w:type="dxa"/>
            <w:shd w:val="clear" w:color="auto" w:fill="auto"/>
          </w:tcPr>
          <w:p w14:paraId="3E787F0C"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10 December 2011</w:t>
            </w:r>
          </w:p>
        </w:tc>
      </w:tr>
      <w:tr w:rsidR="00271032" w:rsidRPr="00C50937" w14:paraId="332F349A" w14:textId="77777777" w:rsidTr="00C50937">
        <w:tc>
          <w:tcPr>
            <w:tcW w:w="3820" w:type="dxa"/>
            <w:shd w:val="clear" w:color="auto" w:fill="auto"/>
          </w:tcPr>
          <w:p w14:paraId="5DCE6DB1"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Malaysia</w:t>
            </w:r>
          </w:p>
        </w:tc>
        <w:tc>
          <w:tcPr>
            <w:tcW w:w="3550" w:type="dxa"/>
            <w:shd w:val="clear" w:color="auto" w:fill="auto"/>
          </w:tcPr>
          <w:p w14:paraId="5353068D"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19 August 2012</w:t>
            </w:r>
          </w:p>
        </w:tc>
      </w:tr>
      <w:tr w:rsidR="00271032" w:rsidRPr="00C50937" w14:paraId="4245C824" w14:textId="77777777" w:rsidTr="00C50937">
        <w:tc>
          <w:tcPr>
            <w:tcW w:w="3820" w:type="dxa"/>
            <w:shd w:val="clear" w:color="auto" w:fill="auto"/>
          </w:tcPr>
          <w:p w14:paraId="3501C892"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Saint Vincent and the Grenadines</w:t>
            </w:r>
          </w:p>
        </w:tc>
        <w:tc>
          <w:tcPr>
            <w:tcW w:w="3550" w:type="dxa"/>
            <w:shd w:val="clear" w:color="auto" w:fill="auto"/>
          </w:tcPr>
          <w:p w14:paraId="20784D9A"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29 November 2012</w:t>
            </w:r>
          </w:p>
        </w:tc>
      </w:tr>
      <w:tr w:rsidR="00271032" w:rsidRPr="00C50937" w14:paraId="1C96A299" w14:textId="77777777" w:rsidTr="00C50937">
        <w:tc>
          <w:tcPr>
            <w:tcW w:w="3820" w:type="dxa"/>
            <w:shd w:val="clear" w:color="auto" w:fill="auto"/>
          </w:tcPr>
          <w:p w14:paraId="0A1BD397"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Belize</w:t>
            </w:r>
          </w:p>
        </w:tc>
        <w:tc>
          <w:tcPr>
            <w:tcW w:w="3550" w:type="dxa"/>
            <w:shd w:val="clear" w:color="auto" w:fill="auto"/>
          </w:tcPr>
          <w:p w14:paraId="6890F868"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2 July 2013</w:t>
            </w:r>
          </w:p>
        </w:tc>
      </w:tr>
      <w:tr w:rsidR="00271032" w:rsidRPr="00C50937" w14:paraId="5E6FE2B3" w14:textId="77777777" w:rsidTr="00C50937">
        <w:tc>
          <w:tcPr>
            <w:tcW w:w="3820" w:type="dxa"/>
            <w:shd w:val="clear" w:color="auto" w:fill="auto"/>
          </w:tcPr>
          <w:p w14:paraId="59E881E0"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Nauru</w:t>
            </w:r>
          </w:p>
        </w:tc>
        <w:tc>
          <w:tcPr>
            <w:tcW w:w="3550" w:type="dxa"/>
            <w:shd w:val="clear" w:color="auto" w:fill="auto"/>
          </w:tcPr>
          <w:p w14:paraId="47CB545A"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27 July 2014</w:t>
            </w:r>
          </w:p>
        </w:tc>
      </w:tr>
      <w:tr w:rsidR="00271032" w:rsidRPr="00C50937" w14:paraId="0380AE62" w14:textId="77777777" w:rsidTr="00C50937">
        <w:tc>
          <w:tcPr>
            <w:tcW w:w="3820" w:type="dxa"/>
            <w:shd w:val="clear" w:color="auto" w:fill="auto"/>
          </w:tcPr>
          <w:p w14:paraId="0558DD59"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Eswatini</w:t>
            </w:r>
          </w:p>
        </w:tc>
        <w:tc>
          <w:tcPr>
            <w:tcW w:w="3550" w:type="dxa"/>
            <w:shd w:val="clear" w:color="auto" w:fill="auto"/>
          </w:tcPr>
          <w:p w14:paraId="3D305D86"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24 October 2014</w:t>
            </w:r>
          </w:p>
        </w:tc>
      </w:tr>
      <w:tr w:rsidR="00271032" w:rsidRPr="00C50937" w14:paraId="63518089" w14:textId="77777777" w:rsidTr="00C50937">
        <w:tc>
          <w:tcPr>
            <w:tcW w:w="3820" w:type="dxa"/>
            <w:shd w:val="clear" w:color="auto" w:fill="auto"/>
          </w:tcPr>
          <w:p w14:paraId="7AAE8AC3"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Dominica</w:t>
            </w:r>
          </w:p>
        </w:tc>
        <w:tc>
          <w:tcPr>
            <w:tcW w:w="3550" w:type="dxa"/>
            <w:shd w:val="clear" w:color="auto" w:fill="auto"/>
          </w:tcPr>
          <w:p w14:paraId="150E5EA4"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 November 2014</w:t>
            </w:r>
          </w:p>
        </w:tc>
      </w:tr>
      <w:tr w:rsidR="00271032" w:rsidRPr="00C50937" w14:paraId="4802C198" w14:textId="77777777" w:rsidTr="00C50937">
        <w:tc>
          <w:tcPr>
            <w:tcW w:w="3820" w:type="dxa"/>
            <w:shd w:val="clear" w:color="auto" w:fill="auto"/>
          </w:tcPr>
          <w:p w14:paraId="48BCE222"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Cambodia</w:t>
            </w:r>
          </w:p>
        </w:tc>
        <w:tc>
          <w:tcPr>
            <w:tcW w:w="3550" w:type="dxa"/>
            <w:shd w:val="clear" w:color="auto" w:fill="auto"/>
          </w:tcPr>
          <w:p w14:paraId="113C0E71"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20 January 2015</w:t>
            </w:r>
          </w:p>
        </w:tc>
      </w:tr>
      <w:tr w:rsidR="00271032" w:rsidRPr="00C50937" w14:paraId="58BB36C5" w14:textId="77777777" w:rsidTr="00C50937">
        <w:tc>
          <w:tcPr>
            <w:tcW w:w="3820" w:type="dxa"/>
            <w:shd w:val="clear" w:color="auto" w:fill="auto"/>
          </w:tcPr>
          <w:p w14:paraId="2CC9B511"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Barbados</w:t>
            </w:r>
          </w:p>
        </w:tc>
        <w:tc>
          <w:tcPr>
            <w:tcW w:w="3550" w:type="dxa"/>
            <w:shd w:val="clear" w:color="auto" w:fill="auto"/>
          </w:tcPr>
          <w:p w14:paraId="513426A4"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27 March 2015</w:t>
            </w:r>
          </w:p>
        </w:tc>
      </w:tr>
      <w:tr w:rsidR="00271032" w:rsidRPr="00C50937" w14:paraId="08F6901F" w14:textId="77777777" w:rsidTr="00C50937">
        <w:tc>
          <w:tcPr>
            <w:tcW w:w="3820" w:type="dxa"/>
            <w:shd w:val="clear" w:color="auto" w:fill="auto"/>
          </w:tcPr>
          <w:p w14:paraId="21311190"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Papua New Guinea</w:t>
            </w:r>
          </w:p>
        </w:tc>
        <w:tc>
          <w:tcPr>
            <w:tcW w:w="3550" w:type="dxa"/>
            <w:shd w:val="clear" w:color="auto" w:fill="auto"/>
          </w:tcPr>
          <w:p w14:paraId="727B8DA9"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26 October 2015</w:t>
            </w:r>
          </w:p>
        </w:tc>
      </w:tr>
      <w:tr w:rsidR="00271032" w:rsidRPr="00C50937" w14:paraId="2680100D" w14:textId="77777777" w:rsidTr="00C50937">
        <w:tc>
          <w:tcPr>
            <w:tcW w:w="3820" w:type="dxa"/>
            <w:shd w:val="clear" w:color="auto" w:fill="auto"/>
          </w:tcPr>
          <w:p w14:paraId="7603B553" w14:textId="7A8633C2"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Côte d</w:t>
            </w:r>
            <w:r w:rsidR="00A10B98" w:rsidRPr="00C50937">
              <w:t>’</w:t>
            </w:r>
            <w:r w:rsidRPr="00C50937">
              <w:t>Ivoire</w:t>
            </w:r>
          </w:p>
        </w:tc>
        <w:tc>
          <w:tcPr>
            <w:tcW w:w="3550" w:type="dxa"/>
            <w:shd w:val="clear" w:color="auto" w:fill="auto"/>
          </w:tcPr>
          <w:p w14:paraId="0750169C"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10 February 2016</w:t>
            </w:r>
          </w:p>
        </w:tc>
      </w:tr>
      <w:tr w:rsidR="00271032" w:rsidRPr="00C50937" w14:paraId="05D480AB" w14:textId="77777777" w:rsidTr="00C50937">
        <w:tc>
          <w:tcPr>
            <w:tcW w:w="3820" w:type="dxa"/>
            <w:shd w:val="clear" w:color="auto" w:fill="auto"/>
          </w:tcPr>
          <w:p w14:paraId="19F4911A"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Grenada</w:t>
            </w:r>
          </w:p>
        </w:tc>
        <w:tc>
          <w:tcPr>
            <w:tcW w:w="3550" w:type="dxa"/>
            <w:shd w:val="clear" w:color="auto" w:fill="auto"/>
          </w:tcPr>
          <w:p w14:paraId="566F45C5"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17 September 2016</w:t>
            </w:r>
          </w:p>
        </w:tc>
      </w:tr>
      <w:tr w:rsidR="00271032" w:rsidRPr="00C50937" w14:paraId="3C8CA9A2" w14:textId="77777777" w:rsidTr="00C50937">
        <w:tc>
          <w:tcPr>
            <w:tcW w:w="3820" w:type="dxa"/>
            <w:shd w:val="clear" w:color="auto" w:fill="auto"/>
          </w:tcPr>
          <w:p w14:paraId="4458DB64"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Congo</w:t>
            </w:r>
          </w:p>
        </w:tc>
        <w:tc>
          <w:tcPr>
            <w:tcW w:w="3550" w:type="dxa"/>
            <w:shd w:val="clear" w:color="auto" w:fill="auto"/>
          </w:tcPr>
          <w:p w14:paraId="1FE558CE"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2 October 2016</w:t>
            </w:r>
          </w:p>
        </w:tc>
      </w:tr>
      <w:tr w:rsidR="00271032" w:rsidRPr="00C50937" w14:paraId="738563FE" w14:textId="77777777" w:rsidTr="00C50937">
        <w:tc>
          <w:tcPr>
            <w:tcW w:w="3820" w:type="dxa"/>
            <w:shd w:val="clear" w:color="auto" w:fill="auto"/>
          </w:tcPr>
          <w:p w14:paraId="7B547AAC"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Guyana</w:t>
            </w:r>
          </w:p>
        </w:tc>
        <w:tc>
          <w:tcPr>
            <w:tcW w:w="3550" w:type="dxa"/>
            <w:shd w:val="clear" w:color="auto" w:fill="auto"/>
          </w:tcPr>
          <w:p w14:paraId="72F31BFB"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10 October 2016</w:t>
            </w:r>
          </w:p>
        </w:tc>
      </w:tr>
      <w:tr w:rsidR="00271032" w:rsidRPr="00C50937" w14:paraId="4AF4E496" w14:textId="77777777" w:rsidTr="00C50937">
        <w:trPr>
          <w:trHeight w:val="461"/>
        </w:trPr>
        <w:tc>
          <w:tcPr>
            <w:tcW w:w="3820" w:type="dxa"/>
            <w:shd w:val="clear" w:color="auto" w:fill="auto"/>
          </w:tcPr>
          <w:p w14:paraId="5F59F232"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Madagascar</w:t>
            </w:r>
          </w:p>
        </w:tc>
        <w:tc>
          <w:tcPr>
            <w:tcW w:w="3550" w:type="dxa"/>
            <w:shd w:val="clear" w:color="auto" w:fill="auto"/>
          </w:tcPr>
          <w:p w14:paraId="18AD49CC"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12 July 2017</w:t>
            </w:r>
          </w:p>
        </w:tc>
      </w:tr>
      <w:tr w:rsidR="00271032" w:rsidRPr="00C50937" w14:paraId="054D16E5" w14:textId="77777777" w:rsidTr="00C50937">
        <w:tc>
          <w:tcPr>
            <w:tcW w:w="3820" w:type="dxa"/>
            <w:shd w:val="clear" w:color="auto" w:fill="auto"/>
          </w:tcPr>
          <w:p w14:paraId="2FF2214A"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Gambia</w:t>
            </w:r>
          </w:p>
        </w:tc>
        <w:tc>
          <w:tcPr>
            <w:tcW w:w="3550" w:type="dxa"/>
            <w:shd w:val="clear" w:color="auto" w:fill="auto"/>
          </w:tcPr>
          <w:p w14:paraId="76F3E2B4"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6 August 2017</w:t>
            </w:r>
          </w:p>
        </w:tc>
      </w:tr>
      <w:tr w:rsidR="00271032" w:rsidRPr="00C50937" w14:paraId="6DA99087" w14:textId="77777777" w:rsidTr="00C50937">
        <w:tc>
          <w:tcPr>
            <w:tcW w:w="3820" w:type="dxa"/>
            <w:shd w:val="clear" w:color="auto" w:fill="auto"/>
          </w:tcPr>
          <w:p w14:paraId="7973FA46"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Bahamas (The)</w:t>
            </w:r>
          </w:p>
        </w:tc>
        <w:tc>
          <w:tcPr>
            <w:tcW w:w="3550" w:type="dxa"/>
            <w:shd w:val="clear" w:color="auto" w:fill="auto"/>
          </w:tcPr>
          <w:p w14:paraId="71553A46"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28 October 2017</w:t>
            </w:r>
          </w:p>
        </w:tc>
      </w:tr>
      <w:tr w:rsidR="00271032" w:rsidRPr="00C50937" w14:paraId="0316A5F6" w14:textId="77777777" w:rsidTr="00C50937">
        <w:tc>
          <w:tcPr>
            <w:tcW w:w="3820" w:type="dxa"/>
            <w:shd w:val="clear" w:color="auto" w:fill="auto"/>
          </w:tcPr>
          <w:p w14:paraId="1D1A8A0D"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 xml:space="preserve">Sao Tome and Principe </w:t>
            </w:r>
          </w:p>
        </w:tc>
        <w:tc>
          <w:tcPr>
            <w:tcW w:w="3550" w:type="dxa"/>
            <w:shd w:val="clear" w:color="auto" w:fill="auto"/>
          </w:tcPr>
          <w:p w14:paraId="1E2EC3B5"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5 December 2017</w:t>
            </w:r>
          </w:p>
        </w:tc>
      </w:tr>
      <w:tr w:rsidR="00271032" w:rsidRPr="00C50937" w14:paraId="713FE232" w14:textId="77777777" w:rsidTr="00C50937">
        <w:tc>
          <w:tcPr>
            <w:tcW w:w="3820" w:type="dxa"/>
            <w:shd w:val="clear" w:color="auto" w:fill="auto"/>
          </w:tcPr>
          <w:p w14:paraId="16E9927B"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Antigua and Barbuda</w:t>
            </w:r>
          </w:p>
        </w:tc>
        <w:tc>
          <w:tcPr>
            <w:tcW w:w="3550" w:type="dxa"/>
            <w:shd w:val="clear" w:color="auto" w:fill="auto"/>
          </w:tcPr>
          <w:p w14:paraId="19A5306F"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7 February 2018</w:t>
            </w:r>
          </w:p>
        </w:tc>
      </w:tr>
      <w:tr w:rsidR="00271032" w:rsidRPr="00C50937" w14:paraId="64E8DD52" w14:textId="77777777" w:rsidTr="00C50937">
        <w:tc>
          <w:tcPr>
            <w:tcW w:w="3820" w:type="dxa"/>
            <w:shd w:val="clear" w:color="auto" w:fill="auto"/>
          </w:tcPr>
          <w:p w14:paraId="3AD58A21"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Brunei Darussalam</w:t>
            </w:r>
          </w:p>
        </w:tc>
        <w:tc>
          <w:tcPr>
            <w:tcW w:w="3550" w:type="dxa"/>
            <w:shd w:val="clear" w:color="auto" w:fill="auto"/>
          </w:tcPr>
          <w:p w14:paraId="2D20F878"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11 May 2018</w:t>
            </w:r>
          </w:p>
        </w:tc>
      </w:tr>
      <w:tr w:rsidR="00271032" w:rsidRPr="00C50937" w14:paraId="699E3B2C" w14:textId="77777777" w:rsidTr="00C50937">
        <w:tc>
          <w:tcPr>
            <w:tcW w:w="3820" w:type="dxa"/>
            <w:shd w:val="clear" w:color="auto" w:fill="auto"/>
          </w:tcPr>
          <w:p w14:paraId="547F88CD"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Comoros</w:t>
            </w:r>
          </w:p>
        </w:tc>
        <w:tc>
          <w:tcPr>
            <w:tcW w:w="3550" w:type="dxa"/>
            <w:shd w:val="clear" w:color="auto" w:fill="auto"/>
          </w:tcPr>
          <w:p w14:paraId="3BAFFD89"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16 July 2018</w:t>
            </w:r>
          </w:p>
        </w:tc>
      </w:tr>
      <w:tr w:rsidR="00271032" w:rsidRPr="00C50937" w14:paraId="37BA06F4" w14:textId="77777777" w:rsidTr="00C50937">
        <w:tc>
          <w:tcPr>
            <w:tcW w:w="3820" w:type="dxa"/>
            <w:shd w:val="clear" w:color="auto" w:fill="auto"/>
          </w:tcPr>
          <w:p w14:paraId="7650EEFB"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Central African Republic</w:t>
            </w:r>
          </w:p>
        </w:tc>
        <w:tc>
          <w:tcPr>
            <w:tcW w:w="3550" w:type="dxa"/>
            <w:shd w:val="clear" w:color="auto" w:fill="auto"/>
          </w:tcPr>
          <w:p w14:paraId="19ED17E2"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11 November 2018</w:t>
            </w:r>
          </w:p>
        </w:tc>
      </w:tr>
      <w:tr w:rsidR="00271032" w:rsidRPr="00C50937" w14:paraId="248CC1F1" w14:textId="77777777" w:rsidTr="00C50937">
        <w:tc>
          <w:tcPr>
            <w:tcW w:w="3820" w:type="dxa"/>
            <w:shd w:val="clear" w:color="auto" w:fill="auto"/>
          </w:tcPr>
          <w:p w14:paraId="76A98DE9"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Suriname</w:t>
            </w:r>
          </w:p>
        </w:tc>
        <w:tc>
          <w:tcPr>
            <w:tcW w:w="3550" w:type="dxa"/>
            <w:shd w:val="clear" w:color="auto" w:fill="auto"/>
          </w:tcPr>
          <w:p w14:paraId="61B62A97"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29 April 2019</w:t>
            </w:r>
          </w:p>
        </w:tc>
      </w:tr>
      <w:tr w:rsidR="00271032" w:rsidRPr="00C50937" w14:paraId="45EBE945" w14:textId="77777777" w:rsidTr="00C50937">
        <w:tc>
          <w:tcPr>
            <w:tcW w:w="3820" w:type="dxa"/>
            <w:shd w:val="clear" w:color="auto" w:fill="auto"/>
          </w:tcPr>
          <w:p w14:paraId="46F90148"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Fiji</w:t>
            </w:r>
          </w:p>
        </w:tc>
        <w:tc>
          <w:tcPr>
            <w:tcW w:w="3550" w:type="dxa"/>
            <w:shd w:val="clear" w:color="auto" w:fill="auto"/>
          </w:tcPr>
          <w:p w14:paraId="59B312FA"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7 July 2019</w:t>
            </w:r>
          </w:p>
        </w:tc>
      </w:tr>
      <w:tr w:rsidR="00271032" w:rsidRPr="00C50937" w14:paraId="1F08A071" w14:textId="77777777" w:rsidTr="00C50937">
        <w:tc>
          <w:tcPr>
            <w:tcW w:w="3820" w:type="dxa"/>
            <w:shd w:val="clear" w:color="auto" w:fill="auto"/>
          </w:tcPr>
          <w:p w14:paraId="0660DDDA"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Libya</w:t>
            </w:r>
          </w:p>
        </w:tc>
        <w:tc>
          <w:tcPr>
            <w:tcW w:w="3550" w:type="dxa"/>
            <w:shd w:val="clear" w:color="auto" w:fill="auto"/>
          </w:tcPr>
          <w:p w14:paraId="4D2BA93E"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13 March 2020</w:t>
            </w:r>
          </w:p>
        </w:tc>
      </w:tr>
      <w:tr w:rsidR="00271032" w:rsidRPr="00C50937" w14:paraId="282010DF" w14:textId="77777777" w:rsidTr="00C50937">
        <w:tc>
          <w:tcPr>
            <w:tcW w:w="3820" w:type="dxa"/>
            <w:shd w:val="clear" w:color="auto" w:fill="auto"/>
          </w:tcPr>
          <w:p w14:paraId="28FFDEA0"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Somalia</w:t>
            </w:r>
          </w:p>
        </w:tc>
        <w:tc>
          <w:tcPr>
            <w:tcW w:w="3550" w:type="dxa"/>
            <w:shd w:val="clear" w:color="auto" w:fill="auto"/>
          </w:tcPr>
          <w:p w14:paraId="7B0C7637"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6 September 2021</w:t>
            </w:r>
          </w:p>
        </w:tc>
      </w:tr>
      <w:tr w:rsidR="00C50937" w:rsidRPr="00C50937" w14:paraId="318C320D" w14:textId="77777777" w:rsidTr="00C50937">
        <w:tc>
          <w:tcPr>
            <w:tcW w:w="3820" w:type="dxa"/>
            <w:shd w:val="clear" w:color="auto" w:fill="auto"/>
          </w:tcPr>
          <w:p w14:paraId="7133FC46"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Saint Kitts and Nevis</w:t>
            </w:r>
          </w:p>
        </w:tc>
        <w:tc>
          <w:tcPr>
            <w:tcW w:w="3550" w:type="dxa"/>
            <w:shd w:val="clear" w:color="auto" w:fill="auto"/>
          </w:tcPr>
          <w:p w14:paraId="7261EB49" w14:textId="77777777" w:rsidR="00271032" w:rsidRPr="00C50937" w:rsidRDefault="00271032" w:rsidP="00C50937">
            <w:pPr>
              <w:pStyle w:val="SingleTxtG"/>
              <w:tabs>
                <w:tab w:val="clear" w:pos="1701"/>
                <w:tab w:val="clear" w:pos="2268"/>
              </w:tabs>
              <w:suppressAutoHyphens w:val="0"/>
              <w:spacing w:before="40" w:line="220" w:lineRule="exact"/>
              <w:ind w:left="0" w:right="113"/>
              <w:jc w:val="left"/>
            </w:pPr>
            <w:r w:rsidRPr="00C50937">
              <w:t>17 November 2021</w:t>
            </w:r>
          </w:p>
        </w:tc>
      </w:tr>
    </w:tbl>
    <w:p w14:paraId="6A68F12A" w14:textId="77777777" w:rsidR="00271032" w:rsidRPr="00C00AF7" w:rsidRDefault="00271032" w:rsidP="00271032">
      <w:pPr>
        <w:pStyle w:val="SingleTxtG"/>
        <w:sectPr w:rsidR="00271032" w:rsidRPr="00C00AF7" w:rsidSect="00304A2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pPr>
    </w:p>
    <w:p w14:paraId="56F8CD4B" w14:textId="23C4469E" w:rsidR="00271032" w:rsidRPr="00C00AF7" w:rsidRDefault="00143670" w:rsidP="00271032">
      <w:pPr>
        <w:pStyle w:val="HChG"/>
        <w:spacing w:before="0"/>
      </w:pPr>
      <w:r>
        <w:lastRenderedPageBreak/>
        <w:tab/>
      </w:r>
      <w:r w:rsidR="00271032" w:rsidRPr="00C00AF7">
        <w:t>Annex III</w:t>
      </w:r>
    </w:p>
    <w:p w14:paraId="21E8ABD0" w14:textId="77777777" w:rsidR="00271032" w:rsidRPr="00730C6A" w:rsidRDefault="00271032" w:rsidP="00271032">
      <w:pPr>
        <w:pStyle w:val="HChG"/>
      </w:pPr>
      <w:r w:rsidRPr="00C00AF7">
        <w:tab/>
      </w:r>
      <w:r w:rsidRPr="00C00AF7">
        <w:tab/>
        <w:t xml:space="preserve">Summary of decisions adopted by the Committee regarding </w:t>
      </w:r>
      <w:r w:rsidRPr="00730C6A">
        <w:t>individual communications</w:t>
      </w:r>
    </w:p>
    <w:p w14:paraId="7613FDCF" w14:textId="77777777" w:rsidR="00271032" w:rsidRPr="00DB1DCA" w:rsidRDefault="00271032" w:rsidP="00271032">
      <w:pPr>
        <w:pStyle w:val="H23G"/>
        <w:rPr>
          <w:b w:val="0"/>
          <w:i/>
          <w:iCs/>
        </w:rPr>
      </w:pPr>
      <w:r w:rsidRPr="00730C6A">
        <w:rPr>
          <w:i/>
          <w:iCs/>
        </w:rPr>
        <w:tab/>
      </w:r>
      <w:r w:rsidRPr="00DB1DCA">
        <w:rPr>
          <w:i/>
          <w:iCs/>
        </w:rPr>
        <w:tab/>
        <w:t>M.S</w:t>
      </w:r>
      <w:r w:rsidRPr="00730C6A">
        <w:rPr>
          <w:i/>
          <w:iCs/>
        </w:rPr>
        <w:t>.</w:t>
      </w:r>
      <w:r w:rsidRPr="00DB1DCA">
        <w:rPr>
          <w:i/>
          <w:iCs/>
        </w:rPr>
        <w:t xml:space="preserve"> v. Germany</w:t>
      </w:r>
    </w:p>
    <w:p w14:paraId="77FCF7B1" w14:textId="2F07FCFF" w:rsidR="00271032" w:rsidRPr="00C00AF7" w:rsidRDefault="00271032" w:rsidP="00271032">
      <w:pPr>
        <w:pStyle w:val="SingleTxtG"/>
        <w:tabs>
          <w:tab w:val="clear" w:pos="2268"/>
        </w:tabs>
      </w:pPr>
      <w:r w:rsidRPr="00C00AF7">
        <w:t>1.</w:t>
      </w:r>
      <w:r w:rsidRPr="00C00AF7">
        <w:tab/>
      </w:r>
      <w:r w:rsidRPr="00730C6A">
        <w:t xml:space="preserve">The Committee considered the communication in the case of </w:t>
      </w:r>
      <w:r w:rsidRPr="00730C6A">
        <w:rPr>
          <w:i/>
          <w:iCs/>
        </w:rPr>
        <w:t>M.S. v. Germany</w:t>
      </w:r>
      <w:r w:rsidRPr="00730C6A">
        <w:t>.</w:t>
      </w:r>
      <w:r w:rsidRPr="00271032">
        <w:rPr>
          <w:rStyle w:val="FootnoteReference"/>
        </w:rPr>
        <w:footnoteReference w:id="16"/>
      </w:r>
      <w:r w:rsidRPr="00730C6A">
        <w:t xml:space="preserve"> The author, M.S., was a national of Germany and had autism. In 2006, he had applied for</w:t>
      </w:r>
      <w:r w:rsidRPr="00C00AF7">
        <w:t xml:space="preserve"> recognition of a </w:t>
      </w:r>
      <w:r w:rsidR="00C609B8">
        <w:t>“</w:t>
      </w:r>
      <w:r w:rsidRPr="00C00AF7">
        <w:t>higher degree of disability</w:t>
      </w:r>
      <w:r w:rsidR="00C609B8">
        <w:t>”</w:t>
      </w:r>
      <w:r w:rsidRPr="00C00AF7">
        <w:t xml:space="preserve"> and for certain disability card codes, which would </w:t>
      </w:r>
      <w:r>
        <w:t xml:space="preserve">have </w:t>
      </w:r>
      <w:r w:rsidRPr="00C00AF7">
        <w:t>entitle</w:t>
      </w:r>
      <w:r>
        <w:t>d</w:t>
      </w:r>
      <w:r w:rsidRPr="00C00AF7">
        <w:t xml:space="preserve"> him to travel-related benefits</w:t>
      </w:r>
      <w:r>
        <w:t>,</w:t>
      </w:r>
      <w:r w:rsidRPr="00C00AF7">
        <w:t xml:space="preserve"> including being accompanied by another person free of charge on public transportation. On 1 February 2007, the Office of Family and Social Affairs in Chemnitz </w:t>
      </w:r>
      <w:r>
        <w:t xml:space="preserve">had </w:t>
      </w:r>
      <w:r w:rsidRPr="00C00AF7">
        <w:t>recogni</w:t>
      </w:r>
      <w:r>
        <w:t>z</w:t>
      </w:r>
      <w:r w:rsidRPr="00C00AF7">
        <w:t>ed that the author ha</w:t>
      </w:r>
      <w:r>
        <w:t>d</w:t>
      </w:r>
      <w:r w:rsidRPr="00C00AF7">
        <w:t xml:space="preserve"> a disability but rejected his application. On an unspecified date, following judicial proceedings, Saxony Regional Social Court </w:t>
      </w:r>
      <w:r>
        <w:t>had agreed to organize</w:t>
      </w:r>
      <w:r w:rsidRPr="00C00AF7">
        <w:t xml:space="preserve"> an </w:t>
      </w:r>
      <w:r>
        <w:t>examination</w:t>
      </w:r>
      <w:r w:rsidRPr="00C00AF7">
        <w:t xml:space="preserve"> of the author, </w:t>
      </w:r>
      <w:r>
        <w:t xml:space="preserve">the report on </w:t>
      </w:r>
      <w:r w:rsidRPr="00C00AF7">
        <w:t xml:space="preserve">which </w:t>
      </w:r>
      <w:r>
        <w:t>stated</w:t>
      </w:r>
      <w:r w:rsidRPr="00C00AF7">
        <w:t xml:space="preserve"> that the author had an autism spectrum disorder and that his ability to participate in society, including in public meetings, was severely impacted. On 17 May 2017, the author </w:t>
      </w:r>
      <w:r>
        <w:t xml:space="preserve">had </w:t>
      </w:r>
      <w:r w:rsidRPr="00C00AF7">
        <w:t>requested that the oral proceedings be made accessible by conducting them remotely</w:t>
      </w:r>
      <w:r>
        <w:t>,</w:t>
      </w:r>
      <w:r w:rsidRPr="00C00AF7">
        <w:t xml:space="preserve"> in writing</w:t>
      </w:r>
      <w:r>
        <w:t>,</w:t>
      </w:r>
      <w:r w:rsidRPr="00C00AF7">
        <w:t xml:space="preserve"> </w:t>
      </w:r>
      <w:r>
        <w:t>over</w:t>
      </w:r>
      <w:r w:rsidRPr="00C00AF7">
        <w:t xml:space="preserve"> the </w:t>
      </w:r>
      <w:r>
        <w:t>I</w:t>
      </w:r>
      <w:r w:rsidRPr="00C00AF7">
        <w:t>nternet over a period of several weeks</w:t>
      </w:r>
      <w:r>
        <w:t>,</w:t>
      </w:r>
      <w:r w:rsidRPr="00C00AF7">
        <w:t xml:space="preserve"> in a manner </w:t>
      </w:r>
      <w:proofErr w:type="gramStart"/>
      <w:r w:rsidRPr="00C00AF7">
        <w:t>similar to</w:t>
      </w:r>
      <w:proofErr w:type="gramEnd"/>
      <w:r w:rsidRPr="00C00AF7">
        <w:t xml:space="preserve"> an online forum. </w:t>
      </w:r>
      <w:r>
        <w:t>In</w:t>
      </w:r>
      <w:r w:rsidRPr="00C00AF7">
        <w:t xml:space="preserve"> letters of 24 and 31 May 2017, the Court </w:t>
      </w:r>
      <w:r>
        <w:t>had explained</w:t>
      </w:r>
      <w:r w:rsidRPr="00C00AF7">
        <w:t xml:space="preserve"> to the author that he could send or appear </w:t>
      </w:r>
      <w:r>
        <w:t>in the company of</w:t>
      </w:r>
      <w:r w:rsidRPr="00C00AF7">
        <w:t xml:space="preserve"> a representative</w:t>
      </w:r>
      <w:r>
        <w:t>,</w:t>
      </w:r>
      <w:r w:rsidRPr="00C00AF7">
        <w:t xml:space="preserve"> that the case could be decided without oral proceedings or that he could participate </w:t>
      </w:r>
      <w:r>
        <w:t>by</w:t>
      </w:r>
      <w:r w:rsidRPr="00C00AF7">
        <w:t xml:space="preserve"> video </w:t>
      </w:r>
      <w:r>
        <w:t>link</w:t>
      </w:r>
      <w:r w:rsidRPr="00C00AF7">
        <w:t xml:space="preserve">. The Court </w:t>
      </w:r>
      <w:r>
        <w:t xml:space="preserve">had </w:t>
      </w:r>
      <w:r w:rsidRPr="00C00AF7">
        <w:t>also</w:t>
      </w:r>
      <w:r>
        <w:t xml:space="preserve"> noted that it had</w:t>
      </w:r>
      <w:r w:rsidRPr="00C00AF7">
        <w:t xml:space="preserve"> provided him with detailed</w:t>
      </w:r>
      <w:r>
        <w:t>,</w:t>
      </w:r>
      <w:r w:rsidRPr="00C00AF7">
        <w:t xml:space="preserve"> advance written information and modified the courtroom to accommodate him, </w:t>
      </w:r>
      <w:r>
        <w:t>but</w:t>
      </w:r>
      <w:r w:rsidRPr="00C00AF7">
        <w:t xml:space="preserve"> that communication by online chat would be contrary to the principles applicable to court hearings, including those of oral presentation, immediacy, open justice, the rule of law and open democracy. However, the author </w:t>
      </w:r>
      <w:r>
        <w:t xml:space="preserve">had </w:t>
      </w:r>
      <w:r w:rsidRPr="00C00AF7">
        <w:t xml:space="preserve">considered that said adjustments </w:t>
      </w:r>
      <w:r>
        <w:t>would</w:t>
      </w:r>
      <w:r w:rsidRPr="00C00AF7">
        <w:t xml:space="preserve"> not render the hearing accessible to him</w:t>
      </w:r>
      <w:r>
        <w:t>,</w:t>
      </w:r>
      <w:r w:rsidRPr="00C00AF7">
        <w:t xml:space="preserve"> and </w:t>
      </w:r>
      <w:r>
        <w:t>had</w:t>
      </w:r>
      <w:r w:rsidRPr="00C00AF7">
        <w:t xml:space="preserve"> not attend</w:t>
      </w:r>
      <w:r>
        <w:t>ed</w:t>
      </w:r>
      <w:r w:rsidRPr="00C00AF7">
        <w:t xml:space="preserve"> the hearing. The Court </w:t>
      </w:r>
      <w:r>
        <w:t xml:space="preserve">had </w:t>
      </w:r>
      <w:r w:rsidRPr="00C00AF7">
        <w:t xml:space="preserve">consequently conducted the hearing without </w:t>
      </w:r>
      <w:r>
        <w:t>the author</w:t>
      </w:r>
      <w:r w:rsidRPr="00C00AF7">
        <w:t xml:space="preserve"> and ordered the defendant to recogni</w:t>
      </w:r>
      <w:r>
        <w:t>z</w:t>
      </w:r>
      <w:r w:rsidRPr="00C00AF7">
        <w:t xml:space="preserve">e that </w:t>
      </w:r>
      <w:r>
        <w:t>the degree of</w:t>
      </w:r>
      <w:r w:rsidRPr="00C00AF7">
        <w:t xml:space="preserve"> disability</w:t>
      </w:r>
      <w:r>
        <w:t xml:space="preserve"> of the author was 70 per cent</w:t>
      </w:r>
      <w:r w:rsidRPr="00C00AF7">
        <w:t>. On 21</w:t>
      </w:r>
      <w:r w:rsidR="006C3AB5">
        <w:t> </w:t>
      </w:r>
      <w:r w:rsidRPr="00C00AF7">
        <w:t xml:space="preserve">December 2017, the Federal Social Court </w:t>
      </w:r>
      <w:r>
        <w:t xml:space="preserve">had </w:t>
      </w:r>
      <w:r w:rsidRPr="00C00AF7">
        <w:t>found that article 13 of the Convention</w:t>
      </w:r>
      <w:r>
        <w:t xml:space="preserve"> and domestic law</w:t>
      </w:r>
      <w:r w:rsidRPr="00C00AF7">
        <w:t xml:space="preserve"> did not establish a right to an oral hearing in the form of an online chat. It </w:t>
      </w:r>
      <w:r>
        <w:t xml:space="preserve">had </w:t>
      </w:r>
      <w:r w:rsidRPr="00C00AF7">
        <w:t xml:space="preserve">also rejected his request to be appointed legal counsel. </w:t>
      </w:r>
      <w:r>
        <w:t>O</w:t>
      </w:r>
      <w:r w:rsidRPr="00C00AF7">
        <w:t>n 27 November 2018</w:t>
      </w:r>
      <w:r>
        <w:t>, t</w:t>
      </w:r>
      <w:r w:rsidRPr="00C00AF7">
        <w:t xml:space="preserve">he Federal Constitutional Court </w:t>
      </w:r>
      <w:r>
        <w:t xml:space="preserve">had </w:t>
      </w:r>
      <w:r w:rsidRPr="00C00AF7">
        <w:t>rejected his appeal.</w:t>
      </w:r>
    </w:p>
    <w:p w14:paraId="3EB72721" w14:textId="0A165C74" w:rsidR="00271032" w:rsidRPr="00C00AF7" w:rsidRDefault="00271032" w:rsidP="00271032">
      <w:pPr>
        <w:pStyle w:val="SingleTxtG"/>
        <w:tabs>
          <w:tab w:val="clear" w:pos="2268"/>
        </w:tabs>
        <w:rPr>
          <w:rFonts w:eastAsia="Times New Roman"/>
        </w:rPr>
      </w:pPr>
      <w:r w:rsidRPr="00C00AF7">
        <w:rPr>
          <w:rFonts w:eastAsia="Times New Roman"/>
        </w:rPr>
        <w:t>2.</w:t>
      </w:r>
      <w:r w:rsidRPr="00C00AF7">
        <w:rPr>
          <w:rFonts w:eastAsia="Times New Roman"/>
        </w:rPr>
        <w:tab/>
        <w:t>The State Party submitted that the communication was inadmissible as manifestly ill</w:t>
      </w:r>
      <w:r w:rsidR="00A00341">
        <w:rPr>
          <w:rFonts w:eastAsia="Times New Roman"/>
        </w:rPr>
        <w:noBreakHyphen/>
      </w:r>
      <w:r w:rsidRPr="00C00AF7">
        <w:rPr>
          <w:rFonts w:eastAsia="Times New Roman"/>
        </w:rPr>
        <w:t>founded.</w:t>
      </w:r>
    </w:p>
    <w:p w14:paraId="1364F123" w14:textId="77777777" w:rsidR="00271032" w:rsidRPr="00730C6A" w:rsidRDefault="00271032" w:rsidP="00271032">
      <w:pPr>
        <w:pStyle w:val="SingleTxtG"/>
        <w:tabs>
          <w:tab w:val="clear" w:pos="2268"/>
        </w:tabs>
      </w:pPr>
      <w:r w:rsidRPr="00730C6A">
        <w:t>3.</w:t>
      </w:r>
      <w:r w:rsidRPr="00730C6A">
        <w:tab/>
      </w:r>
      <w:r w:rsidRPr="00C00AF7">
        <w:t xml:space="preserve">The Committee considered that the author had not substantiated that it was arbitrary for the courts to hold that the specific accommodation sought by him was incompatible with the requirements invoked by </w:t>
      </w:r>
      <w:r>
        <w:t>Saxony</w:t>
      </w:r>
      <w:r w:rsidRPr="00C00AF7">
        <w:t xml:space="preserve"> Regional Social Court, including transparency, immediacy and efficient use of human resources and time, in the interest</w:t>
      </w:r>
      <w:r>
        <w:t>s</w:t>
      </w:r>
      <w:r w:rsidRPr="00C00AF7">
        <w:t xml:space="preserve"> of ensuring the proper administration of justice. The Committee therefore found that the communication was inadmissible </w:t>
      </w:r>
      <w:r w:rsidRPr="00730C6A">
        <w:t>under article 2 (e) of the Optional Protocol.</w:t>
      </w:r>
    </w:p>
    <w:p w14:paraId="22837E85" w14:textId="77777777" w:rsidR="00271032" w:rsidRPr="00730C6A" w:rsidRDefault="00271032" w:rsidP="00271032">
      <w:pPr>
        <w:pStyle w:val="H23G"/>
        <w:rPr>
          <w:i/>
          <w:iCs/>
        </w:rPr>
      </w:pPr>
      <w:r w:rsidRPr="00730C6A">
        <w:tab/>
      </w:r>
      <w:r w:rsidRPr="00730C6A">
        <w:tab/>
      </w:r>
      <w:proofErr w:type="spellStart"/>
      <w:r w:rsidRPr="00730C6A">
        <w:rPr>
          <w:i/>
          <w:iCs/>
        </w:rPr>
        <w:t>Černáková</w:t>
      </w:r>
      <w:proofErr w:type="spellEnd"/>
      <w:r w:rsidRPr="00730C6A">
        <w:rPr>
          <w:i/>
          <w:iCs/>
        </w:rPr>
        <w:t xml:space="preserve"> v. Slovakia</w:t>
      </w:r>
    </w:p>
    <w:p w14:paraId="29996DA3" w14:textId="3C804A56" w:rsidR="00271032" w:rsidRPr="00C00AF7" w:rsidRDefault="00271032" w:rsidP="00271032">
      <w:pPr>
        <w:pStyle w:val="SingleTxtG"/>
        <w:tabs>
          <w:tab w:val="clear" w:pos="2268"/>
        </w:tabs>
      </w:pPr>
      <w:r w:rsidRPr="00C00AF7">
        <w:t>4.</w:t>
      </w:r>
      <w:r w:rsidRPr="00C00AF7">
        <w:tab/>
      </w:r>
      <w:r w:rsidRPr="00730C6A">
        <w:t xml:space="preserve">The Committee considered the communication in the case of </w:t>
      </w:r>
      <w:proofErr w:type="spellStart"/>
      <w:r w:rsidRPr="00730C6A">
        <w:rPr>
          <w:i/>
          <w:iCs/>
        </w:rPr>
        <w:t>Černáková</w:t>
      </w:r>
      <w:proofErr w:type="spellEnd"/>
      <w:r w:rsidRPr="00730C6A">
        <w:rPr>
          <w:i/>
          <w:iCs/>
        </w:rPr>
        <w:t xml:space="preserve"> v. Slovakia</w:t>
      </w:r>
      <w:r w:rsidRPr="00730C6A">
        <w:t>.</w:t>
      </w:r>
      <w:r w:rsidRPr="00271032">
        <w:rPr>
          <w:rStyle w:val="FootnoteReference"/>
        </w:rPr>
        <w:footnoteReference w:id="17"/>
      </w:r>
      <w:r w:rsidRPr="00730C6A">
        <w:t xml:space="preserve"> The author</w:t>
      </w:r>
      <w:r>
        <w:t xml:space="preserve"> was </w:t>
      </w:r>
      <w:r w:rsidRPr="00F55940">
        <w:t xml:space="preserve">Lívia </w:t>
      </w:r>
      <w:proofErr w:type="spellStart"/>
      <w:r w:rsidRPr="00F55940">
        <w:t>Černáková</w:t>
      </w:r>
      <w:proofErr w:type="spellEnd"/>
      <w:r>
        <w:t>, and she</w:t>
      </w:r>
      <w:r w:rsidRPr="00730C6A">
        <w:t xml:space="preserve"> submitted the communication on behalf of her daughter, </w:t>
      </w:r>
      <w:r w:rsidRPr="00A55CCE">
        <w:t>Lucia</w:t>
      </w:r>
      <w:r w:rsidRPr="00730C6A">
        <w:t xml:space="preserve"> </w:t>
      </w:r>
      <w:proofErr w:type="spellStart"/>
      <w:r w:rsidRPr="00730C6A">
        <w:t>Černáková</w:t>
      </w:r>
      <w:proofErr w:type="spellEnd"/>
      <w:r w:rsidRPr="00730C6A">
        <w:t>, who had an intellectual disability</w:t>
      </w:r>
      <w:r w:rsidRPr="00C00AF7">
        <w:t xml:space="preserve"> and an autism spectrum disorder. From 2 August 2010 until 31 May 2013, </w:t>
      </w:r>
      <w:r w:rsidRPr="00C00AF7">
        <w:rPr>
          <w:rFonts w:eastAsia="DengXian"/>
        </w:rPr>
        <w:t xml:space="preserve">Ms. </w:t>
      </w:r>
      <w:proofErr w:type="spellStart"/>
      <w:r w:rsidRPr="00C00AF7">
        <w:t>Černáková</w:t>
      </w:r>
      <w:proofErr w:type="spellEnd"/>
      <w:r w:rsidRPr="00C00AF7">
        <w:t xml:space="preserve"> </w:t>
      </w:r>
      <w:r>
        <w:t>had been</w:t>
      </w:r>
      <w:r w:rsidRPr="00C00AF7">
        <w:t xml:space="preserve"> institutionali</w:t>
      </w:r>
      <w:r>
        <w:t>z</w:t>
      </w:r>
      <w:r w:rsidRPr="00C00AF7">
        <w:t xml:space="preserve">ed in the </w:t>
      </w:r>
      <w:proofErr w:type="spellStart"/>
      <w:r w:rsidRPr="00C00AF7">
        <w:t>Harlekýn</w:t>
      </w:r>
      <w:proofErr w:type="spellEnd"/>
      <w:r w:rsidRPr="00C00AF7">
        <w:t xml:space="preserve"> Social Care Home in </w:t>
      </w:r>
      <w:proofErr w:type="spellStart"/>
      <w:r w:rsidRPr="00C00AF7">
        <w:t>Topoľčany</w:t>
      </w:r>
      <w:proofErr w:type="spellEnd"/>
      <w:r>
        <w:t>.</w:t>
      </w:r>
      <w:r w:rsidRPr="00C00AF7">
        <w:t xml:space="preserve"> </w:t>
      </w:r>
      <w:r>
        <w:t>During that period,</w:t>
      </w:r>
      <w:r w:rsidRPr="00C00AF7">
        <w:t xml:space="preserve"> she</w:t>
      </w:r>
      <w:r w:rsidRPr="00C00AF7">
        <w:rPr>
          <w:rFonts w:eastAsia="DengXian"/>
        </w:rPr>
        <w:t xml:space="preserve"> </w:t>
      </w:r>
      <w:r>
        <w:t>had been</w:t>
      </w:r>
      <w:r w:rsidRPr="00C00AF7">
        <w:t xml:space="preserve"> beaten by employees of the institution, who </w:t>
      </w:r>
      <w:r>
        <w:t xml:space="preserve">had </w:t>
      </w:r>
      <w:r w:rsidRPr="00C00AF7">
        <w:t xml:space="preserve">instructed other residents to beat her as well. She </w:t>
      </w:r>
      <w:r>
        <w:t>had been</w:t>
      </w:r>
      <w:r w:rsidRPr="00C00AF7">
        <w:t xml:space="preserve"> tied up at least six times in what she </w:t>
      </w:r>
      <w:r>
        <w:t xml:space="preserve">had </w:t>
      </w:r>
      <w:r w:rsidRPr="00C00AF7">
        <w:t xml:space="preserve">described to the author as a straitjacket. Once, her legs </w:t>
      </w:r>
      <w:r>
        <w:t>had been</w:t>
      </w:r>
      <w:r w:rsidRPr="00C00AF7">
        <w:t xml:space="preserve"> tied up with a diaper. When anxious, </w:t>
      </w:r>
      <w:r w:rsidRPr="00C00AF7">
        <w:rPr>
          <w:rFonts w:eastAsia="DengXian"/>
        </w:rPr>
        <w:t xml:space="preserve">Ms. </w:t>
      </w:r>
      <w:proofErr w:type="spellStart"/>
      <w:r w:rsidRPr="00C00AF7">
        <w:t>Černáková</w:t>
      </w:r>
      <w:proofErr w:type="spellEnd"/>
      <w:r w:rsidRPr="00C00AF7">
        <w:t xml:space="preserve"> would scream, and the staff would respond by restraining her and tying her up until she stop</w:t>
      </w:r>
      <w:r>
        <w:t>ped</w:t>
      </w:r>
      <w:r w:rsidRPr="00C00AF7">
        <w:t xml:space="preserve">. </w:t>
      </w:r>
      <w:r>
        <w:t>S</w:t>
      </w:r>
      <w:r w:rsidRPr="00C00AF7">
        <w:t xml:space="preserve">he </w:t>
      </w:r>
      <w:r>
        <w:t>had been</w:t>
      </w:r>
      <w:r w:rsidRPr="00C00AF7">
        <w:t xml:space="preserve"> locked in an isolation room </w:t>
      </w:r>
      <w:r>
        <w:t>every</w:t>
      </w:r>
      <w:r w:rsidRPr="00C00AF7">
        <w:t xml:space="preserve"> night </w:t>
      </w:r>
      <w:r>
        <w:t xml:space="preserve">for </w:t>
      </w:r>
      <w:r w:rsidRPr="00C00AF7">
        <w:t xml:space="preserve">six weeks to prevent her from calling the nurses. In 2011 and 2013, the author </w:t>
      </w:r>
      <w:r>
        <w:t xml:space="preserve">had </w:t>
      </w:r>
      <w:r w:rsidRPr="00C00AF7">
        <w:t xml:space="preserve">complained about </w:t>
      </w:r>
      <w:r w:rsidRPr="00C00AF7">
        <w:rPr>
          <w:rFonts w:eastAsia="DengXian"/>
        </w:rPr>
        <w:t>Ms. </w:t>
      </w:r>
      <w:proofErr w:type="spellStart"/>
      <w:r w:rsidRPr="00C00AF7">
        <w:t>Černáková</w:t>
      </w:r>
      <w:r w:rsidR="00A10B98">
        <w:t>’</w:t>
      </w:r>
      <w:r w:rsidRPr="00C00AF7">
        <w:t>s</w:t>
      </w:r>
      <w:proofErr w:type="spellEnd"/>
      <w:r w:rsidRPr="00C00AF7">
        <w:t xml:space="preserve"> ill-treatment to Nitra </w:t>
      </w:r>
      <w:r w:rsidRPr="00C00AF7">
        <w:lastRenderedPageBreak/>
        <w:t xml:space="preserve">Regional Authority, which </w:t>
      </w:r>
      <w:r>
        <w:t xml:space="preserve">had </w:t>
      </w:r>
      <w:r w:rsidRPr="00C00AF7">
        <w:t xml:space="preserve">dismissed </w:t>
      </w:r>
      <w:r>
        <w:t>the complaints</w:t>
      </w:r>
      <w:r w:rsidRPr="00C00AF7">
        <w:t xml:space="preserve">. On 9 February 2015, the author </w:t>
      </w:r>
      <w:r>
        <w:t xml:space="preserve">had </w:t>
      </w:r>
      <w:r w:rsidRPr="00C00AF7">
        <w:t xml:space="preserve">filed a criminal complaint of abuse with </w:t>
      </w:r>
      <w:proofErr w:type="spellStart"/>
      <w:r w:rsidRPr="00C00AF7">
        <w:t>Topoľčany</w:t>
      </w:r>
      <w:proofErr w:type="spellEnd"/>
      <w:r w:rsidRPr="00C00AF7">
        <w:t xml:space="preserve"> Police Department. On 20 March 2015, </w:t>
      </w:r>
      <w:proofErr w:type="spellStart"/>
      <w:r w:rsidRPr="00C00AF7">
        <w:t>Topoľčany</w:t>
      </w:r>
      <w:proofErr w:type="spellEnd"/>
      <w:r w:rsidRPr="00C00AF7">
        <w:t xml:space="preserve"> Police Department </w:t>
      </w:r>
      <w:r>
        <w:t xml:space="preserve">had </w:t>
      </w:r>
      <w:r w:rsidRPr="00C00AF7">
        <w:t xml:space="preserve">dismissed the complaint in the absence of grounds to open an investigation. The preliminary investigator </w:t>
      </w:r>
      <w:r>
        <w:t>had interviewed</w:t>
      </w:r>
      <w:r w:rsidRPr="00C00AF7">
        <w:t xml:space="preserve"> the director of </w:t>
      </w:r>
      <w:proofErr w:type="spellStart"/>
      <w:r w:rsidRPr="00C00AF7">
        <w:t>Harlekýn</w:t>
      </w:r>
      <w:proofErr w:type="spellEnd"/>
      <w:r w:rsidRPr="00C00AF7">
        <w:t xml:space="preserve"> Social Care Home, but not Ms. </w:t>
      </w:r>
      <w:proofErr w:type="spellStart"/>
      <w:r w:rsidRPr="00C00AF7">
        <w:t>Černáková</w:t>
      </w:r>
      <w:proofErr w:type="spellEnd"/>
      <w:r w:rsidRPr="00C00AF7">
        <w:t xml:space="preserve">. </w:t>
      </w:r>
      <w:r>
        <w:t>The</w:t>
      </w:r>
      <w:r w:rsidRPr="00C00AF7">
        <w:t xml:space="preserve"> decision</w:t>
      </w:r>
      <w:r w:rsidRPr="00045069">
        <w:t xml:space="preserve"> </w:t>
      </w:r>
      <w:r>
        <w:t xml:space="preserve">of </w:t>
      </w:r>
      <w:proofErr w:type="spellStart"/>
      <w:r w:rsidRPr="00045069">
        <w:t>Topoľčany</w:t>
      </w:r>
      <w:proofErr w:type="spellEnd"/>
      <w:r w:rsidRPr="00045069">
        <w:t xml:space="preserve"> Police Department</w:t>
      </w:r>
      <w:r w:rsidRPr="00C00AF7">
        <w:t xml:space="preserve"> </w:t>
      </w:r>
      <w:r>
        <w:t>had been</w:t>
      </w:r>
      <w:r w:rsidRPr="00C00AF7">
        <w:t xml:space="preserve"> upheld by the </w:t>
      </w:r>
      <w:proofErr w:type="spellStart"/>
      <w:r w:rsidRPr="00C00AF7">
        <w:t>Topoľčany</w:t>
      </w:r>
      <w:proofErr w:type="spellEnd"/>
      <w:r w:rsidRPr="00C00AF7">
        <w:t xml:space="preserve"> District Prosecutor on 22 April 2015</w:t>
      </w:r>
      <w:r>
        <w:t>.</w:t>
      </w:r>
      <w:r w:rsidRPr="00C00AF7">
        <w:t xml:space="preserve"> </w:t>
      </w:r>
      <w:r>
        <w:t>O</w:t>
      </w:r>
      <w:r w:rsidRPr="00C00AF7">
        <w:t>n 17</w:t>
      </w:r>
      <w:r w:rsidR="00A00341">
        <w:t> </w:t>
      </w:r>
      <w:r w:rsidRPr="00C00AF7">
        <w:t>July 2015</w:t>
      </w:r>
      <w:r>
        <w:t>,</w:t>
      </w:r>
      <w:r w:rsidRPr="00C00AF7">
        <w:t xml:space="preserve"> the Regional Prosecutor </w:t>
      </w:r>
      <w:r>
        <w:t xml:space="preserve">had </w:t>
      </w:r>
      <w:r w:rsidRPr="00641882">
        <w:t>upheld the decision by the District Prosecutor not to open an investigation into the crime of abuse</w:t>
      </w:r>
      <w:r w:rsidRPr="00C00AF7">
        <w:t xml:space="preserve"> </w:t>
      </w:r>
      <w:r>
        <w:t>but</w:t>
      </w:r>
      <w:r w:rsidRPr="00C00AF7">
        <w:t xml:space="preserve"> ordered </w:t>
      </w:r>
      <w:r>
        <w:t xml:space="preserve">that </w:t>
      </w:r>
      <w:r w:rsidRPr="00C00AF7">
        <w:t>an investigation</w:t>
      </w:r>
      <w:r>
        <w:t xml:space="preserve"> be opened</w:t>
      </w:r>
      <w:r w:rsidRPr="00C00AF7">
        <w:t xml:space="preserve"> into the crime of restricting</w:t>
      </w:r>
      <w:r w:rsidRPr="00C00AF7">
        <w:rPr>
          <w:rFonts w:eastAsia="DengXian"/>
        </w:rPr>
        <w:t xml:space="preserve"> Ms. </w:t>
      </w:r>
      <w:proofErr w:type="spellStart"/>
      <w:r w:rsidRPr="00C00AF7">
        <w:t>Černáková</w:t>
      </w:r>
      <w:r w:rsidR="00A10B98">
        <w:t>’</w:t>
      </w:r>
      <w:r w:rsidRPr="00C00AF7">
        <w:t>s</w:t>
      </w:r>
      <w:proofErr w:type="spellEnd"/>
      <w:r w:rsidRPr="00C00AF7">
        <w:t xml:space="preserve"> personal liberty. During </w:t>
      </w:r>
      <w:r>
        <w:t>the new</w:t>
      </w:r>
      <w:r w:rsidRPr="00C00AF7">
        <w:t xml:space="preserve"> investigation, staff</w:t>
      </w:r>
      <w:r>
        <w:t xml:space="preserve"> members</w:t>
      </w:r>
      <w:r w:rsidRPr="00C00AF7">
        <w:t xml:space="preserve"> </w:t>
      </w:r>
      <w:r>
        <w:t>of</w:t>
      </w:r>
      <w:r w:rsidRPr="00C00AF7">
        <w:t xml:space="preserve"> </w:t>
      </w:r>
      <w:proofErr w:type="spellStart"/>
      <w:r w:rsidRPr="00C00AF7">
        <w:t>Harlekýn</w:t>
      </w:r>
      <w:proofErr w:type="spellEnd"/>
      <w:r w:rsidRPr="00C00AF7">
        <w:t xml:space="preserve"> Social Care Home </w:t>
      </w:r>
      <w:r>
        <w:t xml:space="preserve">had </w:t>
      </w:r>
      <w:r w:rsidRPr="00C00AF7">
        <w:t xml:space="preserve">denied that she had been restrained or locked in an isolation room. Ms. </w:t>
      </w:r>
      <w:proofErr w:type="spellStart"/>
      <w:r w:rsidRPr="00C00AF7">
        <w:t>Černáková</w:t>
      </w:r>
      <w:proofErr w:type="spellEnd"/>
      <w:r w:rsidRPr="00C00AF7">
        <w:t xml:space="preserve"> herself </w:t>
      </w:r>
      <w:r>
        <w:t>had</w:t>
      </w:r>
      <w:r w:rsidRPr="00C00AF7">
        <w:t xml:space="preserve"> not </w:t>
      </w:r>
      <w:r>
        <w:t>been interviewed</w:t>
      </w:r>
      <w:r w:rsidRPr="00C00AF7">
        <w:t>. A psychological expert</w:t>
      </w:r>
      <w:r>
        <w:t>, in an expert</w:t>
      </w:r>
      <w:r w:rsidRPr="00C00AF7">
        <w:t xml:space="preserve"> opinion</w:t>
      </w:r>
      <w:r>
        <w:t xml:space="preserve"> requested by the investigator of </w:t>
      </w:r>
      <w:proofErr w:type="spellStart"/>
      <w:r w:rsidRPr="00F55940">
        <w:t>Topoľčany</w:t>
      </w:r>
      <w:proofErr w:type="spellEnd"/>
      <w:r w:rsidRPr="00F55940">
        <w:t xml:space="preserve"> Police Force District</w:t>
      </w:r>
      <w:r>
        <w:t>,</w:t>
      </w:r>
      <w:r w:rsidRPr="00C00AF7">
        <w:t xml:space="preserve"> </w:t>
      </w:r>
      <w:r>
        <w:t xml:space="preserve">had </w:t>
      </w:r>
      <w:r w:rsidRPr="00C00AF7">
        <w:t xml:space="preserve">concluded that she had </w:t>
      </w:r>
      <w:r w:rsidR="00C609B8">
        <w:t>“</w:t>
      </w:r>
      <w:r w:rsidRPr="00C00AF7">
        <w:t xml:space="preserve">no </w:t>
      </w:r>
      <w:r w:rsidRPr="00F55940">
        <w:t xml:space="preserve">general [or] specific </w:t>
      </w:r>
      <w:r w:rsidRPr="00C00AF7">
        <w:t>credibility</w:t>
      </w:r>
      <w:r w:rsidR="00C609B8">
        <w:t>”</w:t>
      </w:r>
      <w:r w:rsidRPr="00C00AF7">
        <w:t>. On 26</w:t>
      </w:r>
      <w:r w:rsidR="00A00341">
        <w:t> </w:t>
      </w:r>
      <w:r w:rsidRPr="00C00AF7">
        <w:t xml:space="preserve">January 2017, the investigator </w:t>
      </w:r>
      <w:r>
        <w:t xml:space="preserve">had </w:t>
      </w:r>
      <w:r w:rsidRPr="00C00AF7">
        <w:t xml:space="preserve">discontinued the investigation. On 14 March 2017, </w:t>
      </w:r>
      <w:proofErr w:type="spellStart"/>
      <w:r w:rsidRPr="00C00AF7">
        <w:t>Topoľčany</w:t>
      </w:r>
      <w:proofErr w:type="spellEnd"/>
      <w:r w:rsidRPr="00C00AF7">
        <w:t xml:space="preserve"> District Prosecutor</w:t>
      </w:r>
      <w:r w:rsidR="00A10B98">
        <w:t>’</w:t>
      </w:r>
      <w:r w:rsidRPr="00C00AF7">
        <w:t xml:space="preserve">s Office </w:t>
      </w:r>
      <w:r>
        <w:t xml:space="preserve">had </w:t>
      </w:r>
      <w:r w:rsidRPr="00C00AF7">
        <w:t xml:space="preserve">confirmed </w:t>
      </w:r>
      <w:r>
        <w:t>that</w:t>
      </w:r>
      <w:r w:rsidRPr="00C00AF7">
        <w:t xml:space="preserve"> decision. On 15 June 2017, the Constitutional Court </w:t>
      </w:r>
      <w:r>
        <w:t xml:space="preserve">had </w:t>
      </w:r>
      <w:r w:rsidRPr="00C00AF7">
        <w:t>dismissed the author</w:t>
      </w:r>
      <w:r w:rsidR="00A10B98">
        <w:t>’</w:t>
      </w:r>
      <w:r w:rsidRPr="00C00AF7">
        <w:t>s constitutional complaint.</w:t>
      </w:r>
    </w:p>
    <w:p w14:paraId="7E0FDE54" w14:textId="77777777" w:rsidR="00271032" w:rsidRPr="00C00AF7" w:rsidRDefault="00271032" w:rsidP="00271032">
      <w:pPr>
        <w:pStyle w:val="SingleTxtG"/>
        <w:tabs>
          <w:tab w:val="clear" w:pos="2268"/>
        </w:tabs>
      </w:pPr>
      <w:r w:rsidRPr="00C00AF7">
        <w:t>5.</w:t>
      </w:r>
      <w:r w:rsidRPr="00C00AF7">
        <w:tab/>
        <w:t xml:space="preserve">The State Party considered that the communication was inadmissible as insufficiently substantiated. </w:t>
      </w:r>
      <w:r>
        <w:t>The State Party observed that the author had filed</w:t>
      </w:r>
      <w:r w:rsidRPr="00C00AF7">
        <w:t xml:space="preserve"> </w:t>
      </w:r>
      <w:r>
        <w:t>a</w:t>
      </w:r>
      <w:r w:rsidRPr="00C00AF7">
        <w:t xml:space="preserve"> communication </w:t>
      </w:r>
      <w:r>
        <w:t>with</w:t>
      </w:r>
      <w:r w:rsidRPr="00C00AF7">
        <w:t xml:space="preserve"> the Committee against Torture</w:t>
      </w:r>
      <w:r>
        <w:t xml:space="preserve"> on behalf of </w:t>
      </w:r>
      <w:r w:rsidRPr="00C00AF7">
        <w:t xml:space="preserve">Ms. </w:t>
      </w:r>
      <w:proofErr w:type="spellStart"/>
      <w:r w:rsidRPr="00C00AF7">
        <w:t>Černáková</w:t>
      </w:r>
      <w:proofErr w:type="spellEnd"/>
      <w:r>
        <w:t>,</w:t>
      </w:r>
      <w:r w:rsidRPr="00C00AF7">
        <w:t xml:space="preserve"> </w:t>
      </w:r>
      <w:r>
        <w:t xml:space="preserve">but that, since the facts of that case </w:t>
      </w:r>
      <w:r w:rsidRPr="00C00AF7">
        <w:t xml:space="preserve">were different from those of the present communication, the State Party did not </w:t>
      </w:r>
      <w:r>
        <w:t>object to</w:t>
      </w:r>
      <w:r w:rsidRPr="00C00AF7">
        <w:t xml:space="preserve"> the admissibility of the communication on </w:t>
      </w:r>
      <w:r>
        <w:t>those</w:t>
      </w:r>
      <w:r w:rsidRPr="00C00AF7">
        <w:t xml:space="preserve"> ground</w:t>
      </w:r>
      <w:r>
        <w:t>s</w:t>
      </w:r>
      <w:r w:rsidRPr="00C00AF7">
        <w:t>.</w:t>
      </w:r>
    </w:p>
    <w:p w14:paraId="41D12DBC" w14:textId="66F1129E" w:rsidR="00271032" w:rsidRPr="00C00AF7" w:rsidRDefault="00271032" w:rsidP="00271032">
      <w:pPr>
        <w:pStyle w:val="SingleTxtG"/>
        <w:tabs>
          <w:tab w:val="clear" w:pos="2268"/>
        </w:tabs>
      </w:pPr>
      <w:r w:rsidRPr="00C00AF7">
        <w:t>6.</w:t>
      </w:r>
      <w:r w:rsidRPr="00C00AF7">
        <w:tab/>
        <w:t xml:space="preserve">The Committee considered that, by not </w:t>
      </w:r>
      <w:r>
        <w:t>interviewing</w:t>
      </w:r>
      <w:r w:rsidRPr="00C00AF7">
        <w:t xml:space="preserve"> Ms. </w:t>
      </w:r>
      <w:proofErr w:type="spellStart"/>
      <w:r w:rsidRPr="00C00AF7">
        <w:t>Černáková</w:t>
      </w:r>
      <w:proofErr w:type="spellEnd"/>
      <w:r w:rsidRPr="00C00AF7">
        <w:t xml:space="preserve"> and not providing any procedural accommodation to her, the State Party</w:t>
      </w:r>
      <w:r w:rsidR="00A10B98">
        <w:t>’</w:t>
      </w:r>
      <w:r w:rsidRPr="00C00AF7">
        <w:t xml:space="preserve">s authorities </w:t>
      </w:r>
      <w:r>
        <w:t xml:space="preserve">had </w:t>
      </w:r>
      <w:r w:rsidRPr="00C00AF7">
        <w:t xml:space="preserve">prevented her from participating in the investigation of the ill-treatment of which she </w:t>
      </w:r>
      <w:r>
        <w:t>had been</w:t>
      </w:r>
      <w:r w:rsidRPr="00C00AF7">
        <w:t xml:space="preserve"> the alleged victim and thus </w:t>
      </w:r>
      <w:r>
        <w:t>had</w:t>
      </w:r>
      <w:r w:rsidRPr="00C00AF7">
        <w:t xml:space="preserve"> not ensure</w:t>
      </w:r>
      <w:r>
        <w:t>d</w:t>
      </w:r>
      <w:r w:rsidRPr="00C00AF7">
        <w:t xml:space="preserve"> her effective access to justice on an equal basis with others, in violation of her rights under article 13 of the Convention. It also considered </w:t>
      </w:r>
      <w:r>
        <w:t xml:space="preserve">that </w:t>
      </w:r>
      <w:r w:rsidRPr="00C00AF7">
        <w:t>there was n</w:t>
      </w:r>
      <w:r w:rsidRPr="00C00AF7">
        <w:rPr>
          <w:rFonts w:eastAsia="Times New Roman"/>
        </w:rPr>
        <w:t xml:space="preserve">o indication that the investigations </w:t>
      </w:r>
      <w:r>
        <w:t>had been</w:t>
      </w:r>
      <w:r w:rsidRPr="00C00AF7">
        <w:t xml:space="preserve"> effective and impartial, as no witnesses </w:t>
      </w:r>
      <w:r>
        <w:t>had been</w:t>
      </w:r>
      <w:r w:rsidRPr="00C00AF7">
        <w:t xml:space="preserve"> called other than the staff of </w:t>
      </w:r>
      <w:proofErr w:type="spellStart"/>
      <w:r w:rsidRPr="00C00AF7">
        <w:t>Harlekýn</w:t>
      </w:r>
      <w:proofErr w:type="spellEnd"/>
      <w:r w:rsidRPr="00C00AF7">
        <w:t xml:space="preserve"> Social Care Home and no criminal proceedings </w:t>
      </w:r>
      <w:r>
        <w:t>had been</w:t>
      </w:r>
      <w:r w:rsidRPr="00C00AF7">
        <w:t xml:space="preserve"> initiated</w:t>
      </w:r>
      <w:r>
        <w:t>,</w:t>
      </w:r>
      <w:r w:rsidRPr="00C00AF7">
        <w:t xml:space="preserve"> despite the identification of </w:t>
      </w:r>
      <w:r>
        <w:t xml:space="preserve">the </w:t>
      </w:r>
      <w:r w:rsidRPr="00C00AF7">
        <w:t xml:space="preserve">staff allegedly responsible, in violation of Ms. </w:t>
      </w:r>
      <w:proofErr w:type="spellStart"/>
      <w:r w:rsidRPr="00C00AF7">
        <w:t>Černáková</w:t>
      </w:r>
      <w:r w:rsidR="00A10B98">
        <w:t>’</w:t>
      </w:r>
      <w:r>
        <w:t>s</w:t>
      </w:r>
      <w:proofErr w:type="spellEnd"/>
      <w:r>
        <w:t xml:space="preserve"> rights under </w:t>
      </w:r>
      <w:r w:rsidRPr="00C00AF7">
        <w:t>articles 15</w:t>
      </w:r>
      <w:r>
        <w:t xml:space="preserve"> </w:t>
      </w:r>
      <w:r w:rsidRPr="00C00AF7">
        <w:t>(2) and 16</w:t>
      </w:r>
      <w:r>
        <w:t xml:space="preserve"> </w:t>
      </w:r>
      <w:r w:rsidRPr="00C00AF7">
        <w:t xml:space="preserve">(5) of the Convention. It further noted that Ms. </w:t>
      </w:r>
      <w:proofErr w:type="spellStart"/>
      <w:r w:rsidRPr="00C00AF7">
        <w:t>Černáková</w:t>
      </w:r>
      <w:proofErr w:type="spellEnd"/>
      <w:r w:rsidRPr="00C00AF7">
        <w:t xml:space="preserve"> </w:t>
      </w:r>
      <w:r>
        <w:t>had</w:t>
      </w:r>
      <w:r w:rsidRPr="00C00AF7">
        <w:t xml:space="preserve"> not </w:t>
      </w:r>
      <w:r>
        <w:t>been interviewed</w:t>
      </w:r>
      <w:r w:rsidRPr="00C00AF7">
        <w:t xml:space="preserve"> and that her rights to participate in the investigation and to access to justice </w:t>
      </w:r>
      <w:r>
        <w:t>had</w:t>
      </w:r>
      <w:r w:rsidRPr="00C00AF7">
        <w:t xml:space="preserve"> thus</w:t>
      </w:r>
      <w:r>
        <w:t xml:space="preserve"> been</w:t>
      </w:r>
      <w:r w:rsidRPr="00C00AF7">
        <w:t xml:space="preserve"> impaired on the sole ground</w:t>
      </w:r>
      <w:r>
        <w:t>s</w:t>
      </w:r>
      <w:r w:rsidRPr="00C00AF7">
        <w:t xml:space="preserve"> of an assessment of her disability that had</w:t>
      </w:r>
      <w:r>
        <w:t xml:space="preserve"> had</w:t>
      </w:r>
      <w:r w:rsidRPr="00C00AF7">
        <w:t xml:space="preserve"> no regard to her requirements for procedural accommodation, in </w:t>
      </w:r>
      <w:r>
        <w:t>violation</w:t>
      </w:r>
      <w:r w:rsidRPr="00C00AF7">
        <w:t xml:space="preserve"> of her right</w:t>
      </w:r>
      <w:r>
        <w:t>s</w:t>
      </w:r>
      <w:r w:rsidRPr="00C00AF7">
        <w:t xml:space="preserve"> under article 5 of the Convention. The Committee requested the State Party to promptly, impartially and effectively investigate the allegations of ill-treatment of Ms. </w:t>
      </w:r>
      <w:proofErr w:type="spellStart"/>
      <w:r w:rsidRPr="00C00AF7">
        <w:t>Černáková</w:t>
      </w:r>
      <w:proofErr w:type="spellEnd"/>
      <w:r w:rsidRPr="00C00AF7">
        <w:t xml:space="preserve">, including by </w:t>
      </w:r>
      <w:r>
        <w:t>interviewing</w:t>
      </w:r>
      <w:r w:rsidRPr="00C00AF7">
        <w:t xml:space="preserve"> her and providing her with procedural accommodation</w:t>
      </w:r>
      <w:r>
        <w:t>,</w:t>
      </w:r>
      <w:r w:rsidRPr="00C00AF7">
        <w:t xml:space="preserve"> and to provide her with an effective remedy. The Committee also required the State Party to take measures to prevent similar violations in the future.</w:t>
      </w:r>
    </w:p>
    <w:p w14:paraId="10D44A75" w14:textId="77777777" w:rsidR="00271032" w:rsidRPr="0037605E" w:rsidRDefault="00271032" w:rsidP="00271032">
      <w:pPr>
        <w:pStyle w:val="H23G"/>
        <w:rPr>
          <w:i/>
          <w:iCs/>
        </w:rPr>
      </w:pPr>
      <w:r w:rsidRPr="00C00AF7">
        <w:tab/>
      </w:r>
      <w:r w:rsidRPr="00C00AF7">
        <w:tab/>
      </w:r>
      <w:proofErr w:type="spellStart"/>
      <w:r w:rsidRPr="0037605E">
        <w:rPr>
          <w:i/>
          <w:iCs/>
        </w:rPr>
        <w:t>Rožalovskis</w:t>
      </w:r>
      <w:proofErr w:type="spellEnd"/>
      <w:r w:rsidRPr="0037605E">
        <w:rPr>
          <w:i/>
          <w:iCs/>
        </w:rPr>
        <w:t xml:space="preserve"> v. Latvia</w:t>
      </w:r>
    </w:p>
    <w:p w14:paraId="3B393715" w14:textId="1F0750A5" w:rsidR="00271032" w:rsidRPr="00C00AF7" w:rsidRDefault="00271032" w:rsidP="00271032">
      <w:pPr>
        <w:pStyle w:val="SingleTxtG"/>
        <w:tabs>
          <w:tab w:val="clear" w:pos="2268"/>
        </w:tabs>
      </w:pPr>
      <w:r w:rsidRPr="00C00AF7">
        <w:t>7.</w:t>
      </w:r>
      <w:r w:rsidRPr="00C00AF7">
        <w:tab/>
      </w:r>
      <w:r w:rsidRPr="0037605E">
        <w:t xml:space="preserve">The Committee considered the communication in the case of </w:t>
      </w:r>
      <w:proofErr w:type="spellStart"/>
      <w:r w:rsidRPr="0037605E">
        <w:rPr>
          <w:i/>
          <w:iCs/>
        </w:rPr>
        <w:t>Rožalovskis</w:t>
      </w:r>
      <w:proofErr w:type="spellEnd"/>
      <w:r w:rsidRPr="0037605E">
        <w:rPr>
          <w:i/>
          <w:iCs/>
        </w:rPr>
        <w:t xml:space="preserve"> v. Latvia</w:t>
      </w:r>
      <w:r w:rsidRPr="0037605E">
        <w:t>.</w:t>
      </w:r>
      <w:r w:rsidRPr="00271032">
        <w:rPr>
          <w:rStyle w:val="FootnoteReference"/>
        </w:rPr>
        <w:footnoteReference w:id="18"/>
      </w:r>
      <w:r w:rsidRPr="00C00AF7">
        <w:t xml:space="preserve"> The author</w:t>
      </w:r>
      <w:r>
        <w:t xml:space="preserve">, </w:t>
      </w:r>
      <w:r w:rsidRPr="00F56741">
        <w:t xml:space="preserve">Igors </w:t>
      </w:r>
      <w:proofErr w:type="spellStart"/>
      <w:r w:rsidRPr="00F56741">
        <w:t>Rožalovskis</w:t>
      </w:r>
      <w:proofErr w:type="spellEnd"/>
      <w:r w:rsidRPr="00F56741">
        <w:t>,</w:t>
      </w:r>
      <w:r>
        <w:t xml:space="preserve"> was a national of Latvia. He had</w:t>
      </w:r>
      <w:r w:rsidRPr="00C00AF7">
        <w:t xml:space="preserve"> started working at </w:t>
      </w:r>
      <w:proofErr w:type="spellStart"/>
      <w:r w:rsidRPr="00C00AF7">
        <w:t>Rīgas</w:t>
      </w:r>
      <w:proofErr w:type="spellEnd"/>
      <w:r w:rsidRPr="00C00AF7">
        <w:t xml:space="preserve"> </w:t>
      </w:r>
      <w:proofErr w:type="spellStart"/>
      <w:r w:rsidRPr="00C00AF7">
        <w:t>Ūdens</w:t>
      </w:r>
      <w:proofErr w:type="spellEnd"/>
      <w:r w:rsidRPr="00C00AF7">
        <w:t xml:space="preserve"> </w:t>
      </w:r>
      <w:r>
        <w:t>Limited</w:t>
      </w:r>
      <w:r w:rsidRPr="00C00AF7">
        <w:t xml:space="preserve">, a municipal water supply company, in 1992. On 29 December 2014, he </w:t>
      </w:r>
      <w:r>
        <w:t xml:space="preserve">had </w:t>
      </w:r>
      <w:r w:rsidRPr="00C00AF7">
        <w:t xml:space="preserve">stopped his work due to </w:t>
      </w:r>
      <w:r w:rsidR="00C609B8">
        <w:t>“</w:t>
      </w:r>
      <w:r w:rsidRPr="00C00AF7">
        <w:t>temporary incapacity</w:t>
      </w:r>
      <w:r w:rsidR="00C609B8">
        <w:t>”</w:t>
      </w:r>
      <w:r w:rsidRPr="00C00AF7">
        <w:t xml:space="preserve"> to continue his functions. On 19 June 2015, the author </w:t>
      </w:r>
      <w:r>
        <w:t xml:space="preserve">had </w:t>
      </w:r>
      <w:r w:rsidRPr="00C00AF7">
        <w:t xml:space="preserve">applied for recognition of his disability. On 2 July 2015, </w:t>
      </w:r>
      <w:proofErr w:type="spellStart"/>
      <w:r w:rsidRPr="00C00AF7">
        <w:t>Rīgas</w:t>
      </w:r>
      <w:proofErr w:type="spellEnd"/>
      <w:r w:rsidRPr="00C00AF7">
        <w:t xml:space="preserve"> </w:t>
      </w:r>
      <w:proofErr w:type="spellStart"/>
      <w:r w:rsidRPr="00C00AF7">
        <w:t>Ūdens</w:t>
      </w:r>
      <w:proofErr w:type="spellEnd"/>
      <w:r w:rsidRPr="00C00AF7">
        <w:t xml:space="preserve">. </w:t>
      </w:r>
      <w:r>
        <w:t xml:space="preserve">had </w:t>
      </w:r>
      <w:r w:rsidRPr="00C00AF7">
        <w:t xml:space="preserve">issued a notice of termination of the employment contract based on clause 11 of paragraph 1 of </w:t>
      </w:r>
      <w:r>
        <w:t>s</w:t>
      </w:r>
      <w:r w:rsidRPr="00C00AF7">
        <w:t>ection 101 of the Labour Law, which allow</w:t>
      </w:r>
      <w:r>
        <w:t>ed</w:t>
      </w:r>
      <w:r w:rsidRPr="00C00AF7">
        <w:t xml:space="preserve"> for </w:t>
      </w:r>
      <w:r>
        <w:t xml:space="preserve">such </w:t>
      </w:r>
      <w:r w:rsidRPr="00C00AF7">
        <w:t xml:space="preserve">termination </w:t>
      </w:r>
      <w:r>
        <w:t>if</w:t>
      </w:r>
      <w:r w:rsidRPr="00C00AF7">
        <w:t xml:space="preserve"> </w:t>
      </w:r>
      <w:r>
        <w:t>the</w:t>
      </w:r>
      <w:r w:rsidRPr="00C00AF7">
        <w:t xml:space="preserve"> employee ha</w:t>
      </w:r>
      <w:r>
        <w:t>d</w:t>
      </w:r>
      <w:r w:rsidRPr="00C00AF7">
        <w:t xml:space="preserve"> not been working</w:t>
      </w:r>
      <w:r w:rsidRPr="00E32C93">
        <w:t xml:space="preserve"> due to temporary incapacity</w:t>
      </w:r>
      <w:r w:rsidRPr="00C00AF7">
        <w:t xml:space="preserve"> for more than six months. On 26 June 2015, the </w:t>
      </w:r>
      <w:r>
        <w:t xml:space="preserve">State </w:t>
      </w:r>
      <w:r w:rsidRPr="00C00AF7">
        <w:t xml:space="preserve">Labour Inspectorate </w:t>
      </w:r>
      <w:r>
        <w:t xml:space="preserve">had </w:t>
      </w:r>
      <w:r w:rsidRPr="00C00AF7">
        <w:t>inspected the author</w:t>
      </w:r>
      <w:r w:rsidR="00A10B98">
        <w:t>’</w:t>
      </w:r>
      <w:r w:rsidRPr="00C00AF7">
        <w:t xml:space="preserve">s workplace in the context of the investigation into his occupational health, with </w:t>
      </w:r>
      <w:r>
        <w:t xml:space="preserve">the </w:t>
      </w:r>
      <w:r w:rsidRPr="00C00AF7">
        <w:t xml:space="preserve">participation of representatives of </w:t>
      </w:r>
      <w:proofErr w:type="spellStart"/>
      <w:r w:rsidRPr="00C00AF7">
        <w:t>Rīgas</w:t>
      </w:r>
      <w:proofErr w:type="spellEnd"/>
      <w:r w:rsidRPr="00C00AF7">
        <w:t xml:space="preserve"> </w:t>
      </w:r>
      <w:proofErr w:type="spellStart"/>
      <w:r w:rsidRPr="00C00AF7">
        <w:t>Ūdens</w:t>
      </w:r>
      <w:proofErr w:type="spellEnd"/>
      <w:r w:rsidRPr="00C00AF7">
        <w:t>. On 20 July 2015, the </w:t>
      </w:r>
      <w:r>
        <w:t xml:space="preserve">State </w:t>
      </w:r>
      <w:r w:rsidRPr="00C00AF7">
        <w:t>Medical</w:t>
      </w:r>
      <w:r>
        <w:t xml:space="preserve"> </w:t>
      </w:r>
      <w:r w:rsidRPr="00C00AF7">
        <w:t>Commission</w:t>
      </w:r>
      <w:r>
        <w:t xml:space="preserve"> </w:t>
      </w:r>
      <w:r w:rsidRPr="00C00AF7">
        <w:t>for the Assessment of</w:t>
      </w:r>
      <w:r>
        <w:t xml:space="preserve"> </w:t>
      </w:r>
      <w:r w:rsidRPr="00C00AF7">
        <w:t>Health</w:t>
      </w:r>
      <w:r>
        <w:t xml:space="preserve"> </w:t>
      </w:r>
      <w:r w:rsidRPr="00C00AF7">
        <w:t>Condition and</w:t>
      </w:r>
      <w:r>
        <w:t xml:space="preserve"> </w:t>
      </w:r>
      <w:r w:rsidRPr="00C00AF7">
        <w:t xml:space="preserve">Work Ability </w:t>
      </w:r>
      <w:r>
        <w:t xml:space="preserve">had issued an </w:t>
      </w:r>
      <w:r w:rsidRPr="00C00AF7">
        <w:t>assess</w:t>
      </w:r>
      <w:r>
        <w:t>ment in which it recognized</w:t>
      </w:r>
      <w:r w:rsidRPr="00C00AF7">
        <w:t xml:space="preserve"> that</w:t>
      </w:r>
      <w:r>
        <w:t>, as at 19</w:t>
      </w:r>
      <w:r w:rsidR="00A00341">
        <w:t> </w:t>
      </w:r>
      <w:r>
        <w:t>June 2015,</w:t>
      </w:r>
      <w:r w:rsidRPr="00C00AF7">
        <w:t xml:space="preserve"> the author had a Group III disability caused by </w:t>
      </w:r>
      <w:r w:rsidR="00C609B8">
        <w:t>“</w:t>
      </w:r>
      <w:r w:rsidRPr="00C00AF7">
        <w:t>illness</w:t>
      </w:r>
      <w:r w:rsidR="00C609B8">
        <w:t>”</w:t>
      </w:r>
      <w:r w:rsidRPr="00C00AF7">
        <w:t>. On 26 August 2015, the Occupational Disease Medical Commission</w:t>
      </w:r>
      <w:r>
        <w:t>,</w:t>
      </w:r>
      <w:r w:rsidRPr="00C00AF7">
        <w:t xml:space="preserve"> of the </w:t>
      </w:r>
      <w:r>
        <w:t xml:space="preserve">Centre for </w:t>
      </w:r>
      <w:r w:rsidRPr="00C00AF7">
        <w:t xml:space="preserve">Occupational and Radiological Medicine of Pauls </w:t>
      </w:r>
      <w:proofErr w:type="spellStart"/>
      <w:r w:rsidRPr="00C00AF7">
        <w:t>Stradi</w:t>
      </w:r>
      <w:r w:rsidRPr="007A77ED">
        <w:t>ņš</w:t>
      </w:r>
      <w:proofErr w:type="spellEnd"/>
      <w:r w:rsidRPr="00C00AF7">
        <w:t xml:space="preserve"> Clinical University Hospital</w:t>
      </w:r>
      <w:r>
        <w:t>,</w:t>
      </w:r>
      <w:r w:rsidRPr="00C00AF7">
        <w:t xml:space="preserve"> </w:t>
      </w:r>
      <w:r>
        <w:t xml:space="preserve">had </w:t>
      </w:r>
      <w:r w:rsidRPr="00C00AF7">
        <w:t xml:space="preserve">ascertained that </w:t>
      </w:r>
      <w:r w:rsidRPr="00C00AF7">
        <w:lastRenderedPageBreak/>
        <w:t xml:space="preserve">the author had an occupational disease. On 27 July 2015, the author </w:t>
      </w:r>
      <w:r>
        <w:t xml:space="preserve">had </w:t>
      </w:r>
      <w:r w:rsidRPr="00C00AF7">
        <w:t xml:space="preserve">filed a claim with Riga City Vidzeme District Court against </w:t>
      </w:r>
      <w:proofErr w:type="spellStart"/>
      <w:r w:rsidRPr="00C00AF7">
        <w:t>Rīgas</w:t>
      </w:r>
      <w:proofErr w:type="spellEnd"/>
      <w:r w:rsidRPr="00C00AF7">
        <w:t xml:space="preserve"> </w:t>
      </w:r>
      <w:proofErr w:type="spellStart"/>
      <w:r w:rsidRPr="00C00AF7">
        <w:t>Ūdens</w:t>
      </w:r>
      <w:proofErr w:type="spellEnd"/>
      <w:r w:rsidRPr="00C00AF7">
        <w:t xml:space="preserve">, requesting annulment of the termination of his employment and his reinstatement. On 21 September 2015, Riga City Vidzeme District Court </w:t>
      </w:r>
      <w:r>
        <w:t xml:space="preserve">had </w:t>
      </w:r>
      <w:r w:rsidRPr="00C00AF7">
        <w:t>rejected the author</w:t>
      </w:r>
      <w:r w:rsidR="00A10B98">
        <w:t>’</w:t>
      </w:r>
      <w:r w:rsidRPr="00C00AF7">
        <w:t>s claim on the ground</w:t>
      </w:r>
      <w:r>
        <w:t>s</w:t>
      </w:r>
      <w:r w:rsidRPr="00C00AF7">
        <w:t xml:space="preserve"> that he had been diagnosed with an occupational disease after the termination of his employment. On 25</w:t>
      </w:r>
      <w:r w:rsidR="006C3AB5">
        <w:t> </w:t>
      </w:r>
      <w:r w:rsidRPr="00C00AF7">
        <w:t xml:space="preserve">January 2016, Riga Regional Court </w:t>
      </w:r>
      <w:r>
        <w:t xml:space="preserve">had </w:t>
      </w:r>
      <w:r w:rsidRPr="00C00AF7">
        <w:t xml:space="preserve">upheld his appeal, noting that the employer had been aware of the pending investigation into an occupational disease as a possible cause for his incapacity to work. On 4 July 2017, the Supreme Court </w:t>
      </w:r>
      <w:r>
        <w:t xml:space="preserve">had </w:t>
      </w:r>
      <w:r w:rsidRPr="00C00AF7">
        <w:t xml:space="preserve">annulled the judgment of Riga Regional Court and remanded the case for retrial. On 11 August 2017, Riga Regional Court </w:t>
      </w:r>
      <w:r>
        <w:t xml:space="preserve">had </w:t>
      </w:r>
      <w:r w:rsidRPr="00C00AF7">
        <w:t>rejected the author</w:t>
      </w:r>
      <w:r w:rsidR="00A10B98">
        <w:t>’</w:t>
      </w:r>
      <w:r w:rsidRPr="00C00AF7">
        <w:t xml:space="preserve">s complaint against </w:t>
      </w:r>
      <w:proofErr w:type="spellStart"/>
      <w:r w:rsidRPr="00C00AF7">
        <w:t>Rīgas</w:t>
      </w:r>
      <w:proofErr w:type="spellEnd"/>
      <w:r w:rsidRPr="00C00AF7">
        <w:t xml:space="preserve"> </w:t>
      </w:r>
      <w:proofErr w:type="spellStart"/>
      <w:r w:rsidRPr="00C00AF7">
        <w:t>Ūdens</w:t>
      </w:r>
      <w:proofErr w:type="spellEnd"/>
      <w:r w:rsidRPr="00C00AF7">
        <w:t xml:space="preserve"> in its entirety. On 17</w:t>
      </w:r>
      <w:r w:rsidR="006C3AB5">
        <w:t> </w:t>
      </w:r>
      <w:r w:rsidRPr="00C00AF7">
        <w:t xml:space="preserve">November 2017, the Supreme Court </w:t>
      </w:r>
      <w:r>
        <w:t xml:space="preserve">had </w:t>
      </w:r>
      <w:r w:rsidRPr="00C00AF7">
        <w:t>dismissed the author</w:t>
      </w:r>
      <w:r w:rsidR="00A10B98">
        <w:t>’</w:t>
      </w:r>
      <w:r w:rsidRPr="00C00AF7">
        <w:t>s cassation appeal. On 26</w:t>
      </w:r>
      <w:r w:rsidR="006C3AB5">
        <w:t> </w:t>
      </w:r>
      <w:r w:rsidRPr="00C00AF7">
        <w:t>February 201</w:t>
      </w:r>
      <w:r>
        <w:t>8</w:t>
      </w:r>
      <w:r w:rsidRPr="00C00AF7">
        <w:t xml:space="preserve">, the Constitutional Court </w:t>
      </w:r>
      <w:r>
        <w:t xml:space="preserve">had </w:t>
      </w:r>
      <w:r w:rsidRPr="00C00AF7">
        <w:t>dismissed the author</w:t>
      </w:r>
      <w:r w:rsidR="00A10B98">
        <w:t>’</w:t>
      </w:r>
      <w:r w:rsidRPr="00C00AF7">
        <w:t xml:space="preserve">s constitutional complaint. </w:t>
      </w:r>
    </w:p>
    <w:p w14:paraId="1D02EC89" w14:textId="77777777" w:rsidR="00271032" w:rsidRPr="00C00AF7" w:rsidRDefault="00271032" w:rsidP="00271032">
      <w:pPr>
        <w:pStyle w:val="SingleTxtG"/>
        <w:tabs>
          <w:tab w:val="clear" w:pos="2268"/>
        </w:tabs>
      </w:pPr>
      <w:r w:rsidRPr="00C00AF7">
        <w:t>8.</w:t>
      </w:r>
      <w:r w:rsidRPr="00C00AF7">
        <w:tab/>
        <w:t xml:space="preserve">The State Party submitted that the communication was inadmissible as incompatible with the provisions of the Convention and manifestly ill-founded, arguing that it </w:t>
      </w:r>
      <w:r>
        <w:t>had</w:t>
      </w:r>
      <w:r w:rsidRPr="00C00AF7">
        <w:t xml:space="preserve"> not discriminate</w:t>
      </w:r>
      <w:r>
        <w:t>d</w:t>
      </w:r>
      <w:r w:rsidRPr="00C00AF7">
        <w:t xml:space="preserve"> against the author and that at the time of the issuance of the </w:t>
      </w:r>
      <w:r>
        <w:t xml:space="preserve">notice of </w:t>
      </w:r>
      <w:r w:rsidRPr="00C00AF7">
        <w:t xml:space="preserve">termination of his employment, neither the author nor his employer </w:t>
      </w:r>
      <w:r>
        <w:t xml:space="preserve">had </w:t>
      </w:r>
      <w:r w:rsidRPr="00C00AF7">
        <w:t>had any information</w:t>
      </w:r>
      <w:r>
        <w:t xml:space="preserve"> to indicate</w:t>
      </w:r>
      <w:r w:rsidRPr="00C00AF7">
        <w:t xml:space="preserve"> that he would later acquire disability status.</w:t>
      </w:r>
    </w:p>
    <w:p w14:paraId="1438F753" w14:textId="683C351E" w:rsidR="00271032" w:rsidRPr="00C00AF7" w:rsidRDefault="00271032" w:rsidP="00271032">
      <w:pPr>
        <w:pStyle w:val="SingleTxtG"/>
        <w:tabs>
          <w:tab w:val="clear" w:pos="2268"/>
        </w:tabs>
      </w:pPr>
      <w:r w:rsidRPr="00C00AF7">
        <w:t>9.</w:t>
      </w:r>
      <w:r w:rsidRPr="00C00AF7">
        <w:tab/>
        <w:t xml:space="preserve">The Committee noted that formal recognition of disability </w:t>
      </w:r>
      <w:r>
        <w:t>was</w:t>
      </w:r>
      <w:r w:rsidRPr="00C00AF7">
        <w:t xml:space="preserve"> evidentiary rather than constitutive and that, in the present case, </w:t>
      </w:r>
      <w:proofErr w:type="spellStart"/>
      <w:r w:rsidRPr="00C00AF7">
        <w:t>Rīgas</w:t>
      </w:r>
      <w:proofErr w:type="spellEnd"/>
      <w:r w:rsidRPr="00C00AF7">
        <w:t xml:space="preserve"> </w:t>
      </w:r>
      <w:proofErr w:type="spellStart"/>
      <w:r w:rsidRPr="00C00AF7">
        <w:t>Ūdens</w:t>
      </w:r>
      <w:proofErr w:type="spellEnd"/>
      <w:r w:rsidRPr="00C00AF7">
        <w:t xml:space="preserve"> was aware that </w:t>
      </w:r>
      <w:r>
        <w:t>the author</w:t>
      </w:r>
      <w:r w:rsidRPr="00C00AF7">
        <w:t xml:space="preserve"> had commenced the procedure </w:t>
      </w:r>
      <w:r>
        <w:t>for</w:t>
      </w:r>
      <w:r w:rsidRPr="00C00AF7">
        <w:t xml:space="preserve"> formal </w:t>
      </w:r>
      <w:r>
        <w:t>recognition of</w:t>
      </w:r>
      <w:r w:rsidRPr="00C00AF7">
        <w:t xml:space="preserve"> his disability when it </w:t>
      </w:r>
      <w:r>
        <w:t xml:space="preserve">had </w:t>
      </w:r>
      <w:r w:rsidRPr="00C00AF7">
        <w:t>dismissed him. The Committee considered it arbitrary for the State Party</w:t>
      </w:r>
      <w:r w:rsidR="00A10B98">
        <w:t>’</w:t>
      </w:r>
      <w:r w:rsidRPr="00C00AF7">
        <w:t>s courts to have rejected his challenge on the ground</w:t>
      </w:r>
      <w:r>
        <w:t>s</w:t>
      </w:r>
      <w:r w:rsidRPr="00C00AF7">
        <w:t xml:space="preserve"> that his disability had not been formally recogni</w:t>
      </w:r>
      <w:r>
        <w:t>z</w:t>
      </w:r>
      <w:r w:rsidRPr="00C00AF7">
        <w:t>ed while another of the State Party</w:t>
      </w:r>
      <w:r w:rsidR="00A10B98">
        <w:t>’</w:t>
      </w:r>
      <w:r w:rsidRPr="00C00AF7">
        <w:t xml:space="preserve">s institutions was </w:t>
      </w:r>
      <w:r>
        <w:t xml:space="preserve">simultaneously </w:t>
      </w:r>
      <w:r w:rsidRPr="00C00AF7">
        <w:t>considering the author</w:t>
      </w:r>
      <w:r w:rsidR="00A10B98">
        <w:t>’</w:t>
      </w:r>
      <w:r w:rsidRPr="00C00AF7">
        <w:t>s application for such recognition. The Committee considered that the courts</w:t>
      </w:r>
      <w:r w:rsidR="00A10B98">
        <w:t>’</w:t>
      </w:r>
      <w:r w:rsidRPr="00C00AF7">
        <w:t xml:space="preserve"> reliance on the absence of formal recognition to uphold his dismissal </w:t>
      </w:r>
      <w:r>
        <w:t xml:space="preserve">had </w:t>
      </w:r>
      <w:r w:rsidRPr="00C00AF7">
        <w:t xml:space="preserve">amounted to discrimination </w:t>
      </w:r>
      <w:proofErr w:type="gramStart"/>
      <w:r w:rsidRPr="00C00AF7">
        <w:t>on the basis of</w:t>
      </w:r>
      <w:proofErr w:type="gramEnd"/>
      <w:r w:rsidRPr="00C00AF7">
        <w:t xml:space="preserve"> disability, in violation of his rights under articles 5 and 27</w:t>
      </w:r>
      <w:r>
        <w:t xml:space="preserve"> </w:t>
      </w:r>
      <w:r w:rsidRPr="00C00AF7">
        <w:t>(1)</w:t>
      </w:r>
      <w:r>
        <w:t xml:space="preserve"> </w:t>
      </w:r>
      <w:r w:rsidRPr="00C00AF7">
        <w:t xml:space="preserve">(a) of the Convention. The Committee requested the State Party to provide the author with an effective remedy, including effective reparation, adequate monetary compensation for the violations of his rights under the Convention and all </w:t>
      </w:r>
      <w:r>
        <w:t>the</w:t>
      </w:r>
      <w:r w:rsidRPr="00C00AF7">
        <w:t xml:space="preserve"> support</w:t>
      </w:r>
      <w:r>
        <w:t xml:space="preserve"> that he required</w:t>
      </w:r>
      <w:r w:rsidRPr="00C00AF7">
        <w:t xml:space="preserve"> to re-enter the labour market and find another job if </w:t>
      </w:r>
      <w:r>
        <w:t>he so</w:t>
      </w:r>
      <w:r w:rsidRPr="00C00AF7">
        <w:t xml:space="preserve"> wish</w:t>
      </w:r>
      <w:r>
        <w:t>ed</w:t>
      </w:r>
      <w:r w:rsidRPr="00C00AF7">
        <w:t xml:space="preserve">. It also requested the State Party to take measures to prevent similar violations in the future, including by ensuring that the provisions of the Labour Law concerning termination of employment </w:t>
      </w:r>
      <w:r>
        <w:t>were</w:t>
      </w:r>
      <w:r w:rsidRPr="00C00AF7">
        <w:t xml:space="preserve"> fully compliant with the Convention and by taking measures to raise awareness of the right of persons with disabilities to work on an equal basis with others.</w:t>
      </w:r>
    </w:p>
    <w:p w14:paraId="6874DD6D" w14:textId="77777777" w:rsidR="00271032" w:rsidRPr="0017214E" w:rsidRDefault="00271032" w:rsidP="00271032">
      <w:pPr>
        <w:pStyle w:val="H23G"/>
        <w:rPr>
          <w:i/>
          <w:iCs/>
        </w:rPr>
      </w:pPr>
      <w:r w:rsidRPr="00C00AF7">
        <w:tab/>
      </w:r>
      <w:r w:rsidRPr="00C00AF7">
        <w:rPr>
          <w:i/>
          <w:iCs/>
        </w:rPr>
        <w:tab/>
      </w:r>
      <w:r w:rsidRPr="0017214E">
        <w:rPr>
          <w:i/>
          <w:iCs/>
        </w:rPr>
        <w:t>J.A. and M.M. v. Serbia</w:t>
      </w:r>
    </w:p>
    <w:p w14:paraId="665F9A3A" w14:textId="5587DE13" w:rsidR="00271032" w:rsidRPr="00C00AF7" w:rsidRDefault="00271032" w:rsidP="00271032">
      <w:pPr>
        <w:pStyle w:val="SingleTxtG"/>
        <w:tabs>
          <w:tab w:val="clear" w:pos="2268"/>
        </w:tabs>
      </w:pPr>
      <w:r w:rsidRPr="00C00AF7">
        <w:t>10.</w:t>
      </w:r>
      <w:r w:rsidRPr="00C00AF7">
        <w:tab/>
      </w:r>
      <w:r w:rsidRPr="0017214E">
        <w:t xml:space="preserve">The Committee considered the communication in the case of </w:t>
      </w:r>
      <w:r w:rsidRPr="0017214E">
        <w:rPr>
          <w:i/>
          <w:iCs/>
        </w:rPr>
        <w:t>J.A. and M.M. v. Serbia</w:t>
      </w:r>
      <w:r w:rsidRPr="0017214E">
        <w:t>.</w:t>
      </w:r>
      <w:r w:rsidRPr="00271032">
        <w:rPr>
          <w:rStyle w:val="FootnoteReference"/>
        </w:rPr>
        <w:footnoteReference w:id="19"/>
      </w:r>
      <w:r w:rsidRPr="00C00AF7">
        <w:t xml:space="preserve"> </w:t>
      </w:r>
      <w:r>
        <w:t>T</w:t>
      </w:r>
      <w:r w:rsidRPr="00C00AF7">
        <w:t>he authors of the communication</w:t>
      </w:r>
      <w:r>
        <w:t xml:space="preserve"> were the non-governmental organizations</w:t>
      </w:r>
      <w:r w:rsidRPr="004419AF">
        <w:t xml:space="preserve"> Mental Disability Rights Initiative Serbia </w:t>
      </w:r>
      <w:r>
        <w:t>and</w:t>
      </w:r>
      <w:r w:rsidRPr="00C00AF7">
        <w:t xml:space="preserve"> Disability Rights International,</w:t>
      </w:r>
      <w:r w:rsidRPr="00DD55E5">
        <w:t xml:space="preserve"> </w:t>
      </w:r>
      <w:r>
        <w:t>and they</w:t>
      </w:r>
      <w:r w:rsidRPr="00730C6A">
        <w:t xml:space="preserve"> submitted the communication on behalf of </w:t>
      </w:r>
      <w:r>
        <w:t>J.A. and M.M.</w:t>
      </w:r>
      <w:r w:rsidRPr="00C00AF7">
        <w:t xml:space="preserve"> </w:t>
      </w:r>
      <w:r w:rsidRPr="00166602">
        <w:t>On 1 November 2019</w:t>
      </w:r>
      <w:r>
        <w:t xml:space="preserve">, Disability Rights International had </w:t>
      </w:r>
      <w:r w:rsidRPr="00C00AF7">
        <w:t>c</w:t>
      </w:r>
      <w:r w:rsidRPr="00C00AF7">
        <w:rPr>
          <w:rFonts w:eastAsia="Times New Roman"/>
        </w:rPr>
        <w:t xml:space="preserve">onducted a one-hour visit to </w:t>
      </w:r>
      <w:r w:rsidRPr="00C00AF7">
        <w:t xml:space="preserve">Duško Radović Home for persons with disabilities in </w:t>
      </w:r>
      <w:proofErr w:type="spellStart"/>
      <w:r w:rsidRPr="00C00AF7">
        <w:t>Niš</w:t>
      </w:r>
      <w:proofErr w:type="spellEnd"/>
      <w:r>
        <w:t>, Serbia</w:t>
      </w:r>
      <w:r w:rsidRPr="00C00AF7">
        <w:t xml:space="preserve">, which housed </w:t>
      </w:r>
      <w:r>
        <w:t>12</w:t>
      </w:r>
      <w:r w:rsidRPr="00C00AF7">
        <w:t xml:space="preserve"> children and adults with disabilities at the time</w:t>
      </w:r>
      <w:r>
        <w:t>,</w:t>
      </w:r>
      <w:r w:rsidRPr="00C00AF7">
        <w:t xml:space="preserve"> and </w:t>
      </w:r>
      <w:r>
        <w:t xml:space="preserve">had </w:t>
      </w:r>
      <w:r w:rsidRPr="00C00AF7">
        <w:t xml:space="preserve">found instances of </w:t>
      </w:r>
      <w:r>
        <w:t>the</w:t>
      </w:r>
      <w:r w:rsidRPr="00C00AF7">
        <w:t xml:space="preserve"> </w:t>
      </w:r>
      <w:r w:rsidR="00C609B8">
        <w:t>“</w:t>
      </w:r>
      <w:r w:rsidRPr="00C00AF7">
        <w:t>severe neglect</w:t>
      </w:r>
      <w:r w:rsidR="00C609B8">
        <w:t>”</w:t>
      </w:r>
      <w:r w:rsidRPr="00C00AF7">
        <w:t xml:space="preserve"> of residents, including J.A. and M.M. </w:t>
      </w:r>
      <w:r>
        <w:t xml:space="preserve">The authors noted that </w:t>
      </w:r>
      <w:r w:rsidRPr="00C00AF7">
        <w:t xml:space="preserve">J.A. spent most of his days curled up in a cage-like crib. Staff </w:t>
      </w:r>
      <w:r>
        <w:t xml:space="preserve">had </w:t>
      </w:r>
      <w:r w:rsidRPr="00C00AF7">
        <w:t xml:space="preserve">indicated that J.A. had a spine injury and that they did not move him. J.A. had been diagnosed with unspecified epilepsy, </w:t>
      </w:r>
      <w:r w:rsidR="00C609B8">
        <w:t>“</w:t>
      </w:r>
      <w:r w:rsidRPr="00C00AF7">
        <w:t>severe mental retardation</w:t>
      </w:r>
      <w:r w:rsidR="00C609B8">
        <w:t>”</w:t>
      </w:r>
      <w:r w:rsidRPr="00C00AF7">
        <w:t xml:space="preserve"> and spastic quadriplegic cerebral palsy</w:t>
      </w:r>
      <w:r>
        <w:t>;</w:t>
      </w:r>
      <w:r w:rsidRPr="00C00AF7">
        <w:t xml:space="preserve"> he required a communication device, </w:t>
      </w:r>
      <w:r>
        <w:t xml:space="preserve">and he </w:t>
      </w:r>
      <w:r w:rsidRPr="00C00AF7">
        <w:t>did not move, eat independently</w:t>
      </w:r>
      <w:r>
        <w:t>,</w:t>
      </w:r>
      <w:r w:rsidRPr="00C00AF7">
        <w:t xml:space="preserve"> respond to calls or tactile stimulation, establish eye contact </w:t>
      </w:r>
      <w:r>
        <w:t>or</w:t>
      </w:r>
      <w:r w:rsidRPr="00C00AF7">
        <w:t xml:space="preserve"> control his sphincters. </w:t>
      </w:r>
      <w:r>
        <w:t>The authors noted that s</w:t>
      </w:r>
      <w:r w:rsidRPr="00C00AF7">
        <w:t xml:space="preserve">taff at the Duško Radović Home </w:t>
      </w:r>
      <w:r>
        <w:t xml:space="preserve">had </w:t>
      </w:r>
      <w:r w:rsidRPr="00C00AF7">
        <w:t>told the</w:t>
      </w:r>
      <w:r>
        <w:t>m</w:t>
      </w:r>
      <w:r w:rsidRPr="00C00AF7">
        <w:t xml:space="preserve"> that M.M. </w:t>
      </w:r>
      <w:r>
        <w:t xml:space="preserve">had </w:t>
      </w:r>
      <w:r w:rsidRPr="00C00AF7">
        <w:t xml:space="preserve">cried and screamed continuously </w:t>
      </w:r>
      <w:r>
        <w:t>since</w:t>
      </w:r>
      <w:r w:rsidRPr="00C00AF7">
        <w:t xml:space="preserve"> his arrival. They </w:t>
      </w:r>
      <w:r>
        <w:t xml:space="preserve">had </w:t>
      </w:r>
      <w:r w:rsidRPr="00C00AF7">
        <w:t>eventually reali</w:t>
      </w:r>
      <w:r>
        <w:t>z</w:t>
      </w:r>
      <w:r w:rsidRPr="00C00AF7">
        <w:t xml:space="preserve">ed </w:t>
      </w:r>
      <w:r>
        <w:t xml:space="preserve">that </w:t>
      </w:r>
      <w:r w:rsidRPr="00C00AF7">
        <w:t xml:space="preserve">he </w:t>
      </w:r>
      <w:r>
        <w:t>had been</w:t>
      </w:r>
      <w:r w:rsidRPr="00C00AF7">
        <w:t xml:space="preserve"> in pain </w:t>
      </w:r>
      <w:r>
        <w:t>from</w:t>
      </w:r>
      <w:r w:rsidRPr="00C00AF7">
        <w:t xml:space="preserve"> a severe gum infection and </w:t>
      </w:r>
      <w:r>
        <w:t>had taken</w:t>
      </w:r>
      <w:r w:rsidRPr="00C00AF7">
        <w:t xml:space="preserve"> him to a dentist, who </w:t>
      </w:r>
      <w:r>
        <w:t xml:space="preserve">had </w:t>
      </w:r>
      <w:r w:rsidRPr="00C00AF7">
        <w:t xml:space="preserve">removed all his teeth. M.M. had been diagnosed with </w:t>
      </w:r>
      <w:r w:rsidR="00C609B8">
        <w:t>“</w:t>
      </w:r>
      <w:r w:rsidRPr="00C00AF7">
        <w:t>profound mental retardation</w:t>
      </w:r>
      <w:r w:rsidR="00C609B8">
        <w:t>”</w:t>
      </w:r>
      <w:r w:rsidRPr="00C00AF7">
        <w:t xml:space="preserve">, Down syndrome and epilepsy, required a communication device and did not respond to tactile stimulation, control his sphincters, walk, establish contact with other children or orient himself in time or space. </w:t>
      </w:r>
      <w:r>
        <w:t>O</w:t>
      </w:r>
      <w:r w:rsidRPr="00C00AF7">
        <w:t xml:space="preserve">n </w:t>
      </w:r>
      <w:r w:rsidRPr="00C00AF7">
        <w:lastRenderedPageBreak/>
        <w:t>15 November 2021</w:t>
      </w:r>
      <w:r>
        <w:t xml:space="preserve">, </w:t>
      </w:r>
      <w:r w:rsidRPr="00C00AF7">
        <w:t>M.M. had passed away</w:t>
      </w:r>
      <w:r>
        <w:t xml:space="preserve">. </w:t>
      </w:r>
      <w:r w:rsidRPr="00C00AF7">
        <w:t xml:space="preserve">The authors argued that the </w:t>
      </w:r>
      <w:r>
        <w:t>treatment</w:t>
      </w:r>
      <w:r w:rsidRPr="00C00AF7">
        <w:t xml:space="preserve"> of J.A. and M.M. at the Duško Radović Home amounted to institutionali</w:t>
      </w:r>
      <w:r>
        <w:t>z</w:t>
      </w:r>
      <w:r w:rsidRPr="00C00AF7">
        <w:t>ation, indefinite segregation and discrimination, among other violations.</w:t>
      </w:r>
      <w:r>
        <w:t xml:space="preserve"> </w:t>
      </w:r>
    </w:p>
    <w:p w14:paraId="7CAC9808" w14:textId="77777777" w:rsidR="00271032" w:rsidRPr="00C00AF7" w:rsidRDefault="00271032" w:rsidP="00271032">
      <w:pPr>
        <w:pStyle w:val="SingleTxtG"/>
        <w:tabs>
          <w:tab w:val="clear" w:pos="2268"/>
        </w:tabs>
      </w:pPr>
      <w:r w:rsidRPr="00C00AF7">
        <w:t>11.</w:t>
      </w:r>
      <w:r w:rsidRPr="00C00AF7">
        <w:tab/>
        <w:t xml:space="preserve">The State Party </w:t>
      </w:r>
      <w:r>
        <w:t>argued</w:t>
      </w:r>
      <w:r w:rsidRPr="00C00AF7">
        <w:t xml:space="preserve"> that the authors had not provided any proof or substantiation of their claim of neglect of persons with disabilities in group homes. The State Party described the various forms of daily care and support provided to J.A. to meet his basic requirements. While, according to the State Party, the guardianship of the </w:t>
      </w:r>
      <w:proofErr w:type="spellStart"/>
      <w:r w:rsidRPr="00C00AF7">
        <w:t>Aleksinac</w:t>
      </w:r>
      <w:proofErr w:type="spellEnd"/>
      <w:r w:rsidRPr="00C00AF7">
        <w:t xml:space="preserve"> Centre for Social Work over J.A. ensured the protection of his rights and interests, family members and third parties retained the possibility of claiming a violation of his rights.</w:t>
      </w:r>
    </w:p>
    <w:p w14:paraId="04515981" w14:textId="13AF47E1" w:rsidR="00271032" w:rsidRPr="007C151C" w:rsidRDefault="00271032" w:rsidP="00271032">
      <w:pPr>
        <w:pStyle w:val="SingleTxtG"/>
        <w:tabs>
          <w:tab w:val="clear" w:pos="2268"/>
        </w:tabs>
      </w:pPr>
      <w:r w:rsidRPr="007C151C">
        <w:t>12.</w:t>
      </w:r>
      <w:r w:rsidRPr="007C151C">
        <w:tab/>
      </w:r>
      <w:r w:rsidRPr="00C00AF7">
        <w:t>In the absence of any information to the contrary, the Committee considered that M.M.</w:t>
      </w:r>
      <w:r w:rsidR="00A10B98">
        <w:t>’</w:t>
      </w:r>
      <w:r w:rsidRPr="00C00AF7">
        <w:t xml:space="preserve">s death had rendered the </w:t>
      </w:r>
      <w:r>
        <w:t xml:space="preserve">part of the </w:t>
      </w:r>
      <w:r w:rsidRPr="00C00AF7">
        <w:t xml:space="preserve">communication </w:t>
      </w:r>
      <w:r>
        <w:t xml:space="preserve">submitted on his behalf as </w:t>
      </w:r>
      <w:r w:rsidRPr="00C00AF7">
        <w:t xml:space="preserve">devoid of purpose. </w:t>
      </w:r>
      <w:proofErr w:type="gramStart"/>
      <w:r>
        <w:t>With regard to</w:t>
      </w:r>
      <w:proofErr w:type="gramEnd"/>
      <w:r>
        <w:t xml:space="preserve"> the part of</w:t>
      </w:r>
      <w:r w:rsidRPr="00C00AF7">
        <w:t xml:space="preserve"> the communication submitted on behalf of J.A., the Committee noted that the authors had done so without his consent. It noted that the authors had visit</w:t>
      </w:r>
      <w:r>
        <w:t>ed</w:t>
      </w:r>
      <w:r w:rsidRPr="00C00AF7">
        <w:t xml:space="preserve"> the Duško Radović Home</w:t>
      </w:r>
      <w:r>
        <w:t xml:space="preserve"> and </w:t>
      </w:r>
      <w:r w:rsidRPr="00C00AF7">
        <w:t>documented J.A.</w:t>
      </w:r>
      <w:r w:rsidR="00A10B98">
        <w:t>’</w:t>
      </w:r>
      <w:r w:rsidRPr="00C00AF7">
        <w:t>s situation, filed two further requests to be allowed to visit the Duško Radović Home</w:t>
      </w:r>
      <w:r>
        <w:t>, which the latter had refused,</w:t>
      </w:r>
      <w:r w:rsidRPr="00C00AF7">
        <w:t xml:space="preserve"> and requested the contact details of </w:t>
      </w:r>
      <w:r>
        <w:t>J.A.</w:t>
      </w:r>
      <w:r w:rsidR="00A10B98">
        <w:t>’</w:t>
      </w:r>
      <w:r>
        <w:t>s</w:t>
      </w:r>
      <w:r w:rsidRPr="00C00AF7">
        <w:t xml:space="preserve"> mother</w:t>
      </w:r>
      <w:r>
        <w:t>,</w:t>
      </w:r>
      <w:r w:rsidRPr="00BC7342">
        <w:t xml:space="preserve"> which the </w:t>
      </w:r>
      <w:proofErr w:type="spellStart"/>
      <w:r w:rsidRPr="00BC7342">
        <w:t>Aleksinac</w:t>
      </w:r>
      <w:proofErr w:type="spellEnd"/>
      <w:r w:rsidRPr="00BC7342">
        <w:t xml:space="preserve"> Centre for Social Work </w:t>
      </w:r>
      <w:r>
        <w:t>ha</w:t>
      </w:r>
      <w:r w:rsidRPr="00BC7342">
        <w:t>d not provide</w:t>
      </w:r>
      <w:r>
        <w:t>d</w:t>
      </w:r>
      <w:r w:rsidRPr="00C00AF7">
        <w:t>. The Committee therefore considered that they had undertaken significant efforts to establish further contact with J.A., who remained under State guardianship. The Committee further considered that J.A.</w:t>
      </w:r>
      <w:r w:rsidR="00A10B98">
        <w:t>’</w:t>
      </w:r>
      <w:r w:rsidRPr="00C00AF7">
        <w:t>s placement in the Home, the latter</w:t>
      </w:r>
      <w:r w:rsidR="00A10B98">
        <w:t>’</w:t>
      </w:r>
      <w:r w:rsidRPr="00C00AF7">
        <w:t>s refusal to allow for subsequent visits</w:t>
      </w:r>
      <w:r>
        <w:t xml:space="preserve"> by the authors</w:t>
      </w:r>
      <w:r w:rsidRPr="00C00AF7">
        <w:t xml:space="preserve"> and the refusal by the </w:t>
      </w:r>
      <w:proofErr w:type="spellStart"/>
      <w:r w:rsidRPr="00C00AF7">
        <w:t>Aleksinac</w:t>
      </w:r>
      <w:proofErr w:type="spellEnd"/>
      <w:r w:rsidRPr="00C00AF7">
        <w:t xml:space="preserve"> Centre for Social Work to provide the authors with the contact details of </w:t>
      </w:r>
      <w:r>
        <w:t>J.A.s</w:t>
      </w:r>
      <w:r w:rsidRPr="00C00AF7">
        <w:t xml:space="preserve"> mother had isolated him and </w:t>
      </w:r>
      <w:r>
        <w:t xml:space="preserve">had </w:t>
      </w:r>
      <w:r w:rsidRPr="00C00AF7">
        <w:t>obstructed any possibilit</w:t>
      </w:r>
      <w:r>
        <w:t>y</w:t>
      </w:r>
      <w:r w:rsidRPr="00C00AF7">
        <w:t xml:space="preserve"> for him to communicate his consent</w:t>
      </w:r>
      <w:r>
        <w:t>, or absence thereof,</w:t>
      </w:r>
      <w:r w:rsidRPr="00C00AF7">
        <w:t xml:space="preserve"> to the submission of the communication. The Committee also </w:t>
      </w:r>
      <w:r>
        <w:t xml:space="preserve">took into </w:t>
      </w:r>
      <w:r w:rsidRPr="00C00AF7">
        <w:t>consider</w:t>
      </w:r>
      <w:r>
        <w:t>ation</w:t>
      </w:r>
      <w:r w:rsidRPr="00C00AF7">
        <w:t xml:space="preserve"> that the authors advanced the rights of J.A. as a person with disabilities. The Committee therefore considered that the</w:t>
      </w:r>
      <w:r>
        <w:t xml:space="preserve"> authors</w:t>
      </w:r>
      <w:r w:rsidRPr="00C00AF7">
        <w:t xml:space="preserve"> had adequately justified </w:t>
      </w:r>
      <w:r>
        <w:t>that they had a</w:t>
      </w:r>
      <w:r w:rsidRPr="00C00AF7">
        <w:t xml:space="preserve"> legitimate interest in acting on behalf of J.A. and that they could not reasonably obtain access to him. The Committee thus concluded that the authors had justified that they </w:t>
      </w:r>
      <w:r>
        <w:t xml:space="preserve">were </w:t>
      </w:r>
      <w:r w:rsidRPr="00C00AF7">
        <w:t>act</w:t>
      </w:r>
      <w:r>
        <w:t>ing</w:t>
      </w:r>
      <w:r w:rsidRPr="00C00AF7">
        <w:t xml:space="preserve"> on behalf of J.A. without his consent. However, the Committee noted that the authors had not made any attempts to engage domestic remedies, and that they had not contested the State Party</w:t>
      </w:r>
      <w:r w:rsidR="00A10B98">
        <w:t>’</w:t>
      </w:r>
      <w:r w:rsidRPr="00C00AF7">
        <w:t xml:space="preserve">s observation that third parties </w:t>
      </w:r>
      <w:r>
        <w:t>could</w:t>
      </w:r>
      <w:r w:rsidRPr="00C00AF7">
        <w:t xml:space="preserve"> file a claim of a violation of </w:t>
      </w:r>
      <w:r>
        <w:t>J.A.</w:t>
      </w:r>
      <w:r w:rsidR="00A10B98">
        <w:t>’</w:t>
      </w:r>
      <w:r>
        <w:t>s</w:t>
      </w:r>
      <w:r w:rsidRPr="00C00AF7">
        <w:t xml:space="preserve"> rights domestically. The Committee thus considered that the authors had not justified the </w:t>
      </w:r>
      <w:r>
        <w:t xml:space="preserve">failure to </w:t>
      </w:r>
      <w:r w:rsidRPr="00C00AF7">
        <w:t>exhaust domestic remedies</w:t>
      </w:r>
      <w:r>
        <w:t>,</w:t>
      </w:r>
      <w:r w:rsidRPr="00C00AF7">
        <w:t xml:space="preserve"> and </w:t>
      </w:r>
      <w:r>
        <w:t xml:space="preserve">therefore </w:t>
      </w:r>
      <w:r w:rsidRPr="00C00AF7">
        <w:t xml:space="preserve">declared the communication </w:t>
      </w:r>
      <w:r w:rsidRPr="007C151C">
        <w:t>inadmissible under article 2</w:t>
      </w:r>
      <w:r w:rsidR="00A00341">
        <w:t> </w:t>
      </w:r>
      <w:r w:rsidRPr="007C151C">
        <w:t>(d) of the Optional Protocol.</w:t>
      </w:r>
    </w:p>
    <w:p w14:paraId="3FE3613C" w14:textId="77777777" w:rsidR="00271032" w:rsidRPr="007C151C" w:rsidRDefault="00271032" w:rsidP="00271032">
      <w:pPr>
        <w:pStyle w:val="H23G"/>
        <w:rPr>
          <w:rFonts w:eastAsia="Times New Roman"/>
          <w:i/>
          <w:iCs/>
        </w:rPr>
      </w:pPr>
      <w:r w:rsidRPr="007C151C">
        <w:tab/>
      </w:r>
      <w:r w:rsidRPr="007C151C">
        <w:tab/>
      </w:r>
      <w:r w:rsidRPr="007C151C">
        <w:rPr>
          <w:i/>
          <w:iCs/>
        </w:rPr>
        <w:t>N.V.H. et al. v. Argentina</w:t>
      </w:r>
    </w:p>
    <w:p w14:paraId="11161D8E" w14:textId="29CEEA9F" w:rsidR="00271032" w:rsidRPr="007C151C" w:rsidRDefault="00271032" w:rsidP="00271032">
      <w:pPr>
        <w:pStyle w:val="SingleTxtG"/>
        <w:tabs>
          <w:tab w:val="clear" w:pos="2268"/>
        </w:tabs>
        <w:rPr>
          <w:rFonts w:eastAsia="Times New Roman"/>
        </w:rPr>
      </w:pPr>
      <w:r w:rsidRPr="007C151C">
        <w:rPr>
          <w:rFonts w:eastAsia="Times New Roman"/>
        </w:rPr>
        <w:t>13.</w:t>
      </w:r>
      <w:r w:rsidRPr="007C151C">
        <w:rPr>
          <w:rFonts w:eastAsia="Times New Roman"/>
        </w:rPr>
        <w:tab/>
      </w:r>
      <w:r w:rsidRPr="007C151C">
        <w:t xml:space="preserve">The Committee decided to discontinue its consideration of the communication in the case of </w:t>
      </w:r>
      <w:r w:rsidRPr="007C151C">
        <w:rPr>
          <w:i/>
          <w:iCs/>
        </w:rPr>
        <w:t>N.V.H. et al. v. Argentina</w:t>
      </w:r>
      <w:r w:rsidRPr="007C151C">
        <w:t>.</w:t>
      </w:r>
      <w:r w:rsidRPr="00271032">
        <w:rPr>
          <w:rStyle w:val="FootnoteReference"/>
        </w:rPr>
        <w:footnoteReference w:id="20"/>
      </w:r>
      <w:r w:rsidRPr="007C151C">
        <w:rPr>
          <w:rFonts w:eastAsia="DengXian"/>
          <w:color w:val="000000"/>
          <w14:ligatures w14:val="standardContextual"/>
        </w:rPr>
        <w:t xml:space="preserve"> </w:t>
      </w:r>
      <w:r w:rsidRPr="007C151C">
        <w:t>The Committee considered that the secretariat had lost contact with the authors, as they had not provided comments on the State Party</w:t>
      </w:r>
      <w:r w:rsidR="00A10B98">
        <w:t>’</w:t>
      </w:r>
      <w:r w:rsidRPr="007C151C">
        <w:t>s observations, despite a reminder.</w:t>
      </w:r>
    </w:p>
    <w:p w14:paraId="18789380" w14:textId="77777777" w:rsidR="00271032" w:rsidRPr="00C00AF7" w:rsidRDefault="00271032" w:rsidP="00271032">
      <w:pPr>
        <w:spacing w:before="240"/>
        <w:jc w:val="center"/>
        <w:rPr>
          <w:u w:val="single"/>
        </w:rPr>
      </w:pPr>
      <w:r w:rsidRPr="00C00AF7">
        <w:rPr>
          <w:u w:val="single"/>
        </w:rPr>
        <w:tab/>
      </w:r>
      <w:r w:rsidRPr="00C00AF7">
        <w:rPr>
          <w:u w:val="single"/>
        </w:rPr>
        <w:tab/>
      </w:r>
      <w:r w:rsidRPr="00C00AF7">
        <w:rPr>
          <w:u w:val="single"/>
        </w:rPr>
        <w:tab/>
      </w:r>
    </w:p>
    <w:sectPr w:rsidR="00271032" w:rsidRPr="00C00AF7" w:rsidSect="00DF1F12">
      <w:headerReference w:type="even" r:id="rId15"/>
      <w:headerReference w:type="default" r:id="rId16"/>
      <w:footerReference w:type="even" r:id="rId17"/>
      <w:footerReference w:type="default" r:id="rId18"/>
      <w:footerReference w:type="first" r:id="rId19"/>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AA6EF" w14:textId="77777777" w:rsidR="003A3B28" w:rsidRPr="00317DC1" w:rsidRDefault="003A3B28" w:rsidP="00317DC1">
      <w:pPr>
        <w:pStyle w:val="Footer"/>
      </w:pPr>
    </w:p>
  </w:endnote>
  <w:endnote w:type="continuationSeparator" w:id="0">
    <w:p w14:paraId="20896486" w14:textId="77777777" w:rsidR="003A3B28" w:rsidRPr="00317DC1" w:rsidRDefault="003A3B2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2FC12" w14:textId="77777777" w:rsidR="00304A2B" w:rsidRDefault="00304A2B" w:rsidP="00304A2B">
    <w:pPr>
      <w:pStyle w:val="Footer"/>
      <w:tabs>
        <w:tab w:val="right" w:pos="9638"/>
      </w:tabs>
    </w:pPr>
    <w:r w:rsidRPr="00271032">
      <w:rPr>
        <w:b/>
        <w:bCs/>
        <w:sz w:val="18"/>
      </w:rPr>
      <w:fldChar w:fldCharType="begin"/>
    </w:r>
    <w:r w:rsidRPr="00271032">
      <w:rPr>
        <w:b/>
        <w:bCs/>
        <w:sz w:val="18"/>
      </w:rPr>
      <w:instrText xml:space="preserve"> PAGE  \* MERGEFORMAT </w:instrText>
    </w:r>
    <w:r w:rsidRPr="00271032">
      <w:rPr>
        <w:b/>
        <w:bCs/>
        <w:sz w:val="18"/>
      </w:rPr>
      <w:fldChar w:fldCharType="separate"/>
    </w:r>
    <w:r>
      <w:rPr>
        <w:b/>
        <w:bCs/>
        <w:sz w:val="18"/>
      </w:rPr>
      <w:t>12</w:t>
    </w:r>
    <w:r w:rsidRPr="00271032">
      <w:rPr>
        <w:b/>
        <w:bCs/>
        <w:sz w:val="18"/>
      </w:rPr>
      <w:fldChar w:fldCharType="end"/>
    </w:r>
    <w:r>
      <w:tab/>
      <w:t>GE.26-06589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DD77A" w14:textId="77777777" w:rsidR="00304A2B" w:rsidRDefault="00304A2B" w:rsidP="00304A2B">
    <w:pPr>
      <w:pStyle w:val="Footer"/>
      <w:tabs>
        <w:tab w:val="right" w:pos="9638"/>
      </w:tabs>
    </w:pPr>
    <w:r>
      <w:t>GE.26-06589</w:t>
    </w:r>
    <w:r>
      <w:tab/>
    </w:r>
    <w:r w:rsidRPr="00271032">
      <w:rPr>
        <w:b/>
        <w:bCs/>
        <w:sz w:val="18"/>
      </w:rPr>
      <w:fldChar w:fldCharType="begin"/>
    </w:r>
    <w:r w:rsidRPr="00271032">
      <w:rPr>
        <w:b/>
        <w:bCs/>
        <w:sz w:val="18"/>
      </w:rPr>
      <w:instrText xml:space="preserve"> PAGE  \* MERGEFORMAT </w:instrText>
    </w:r>
    <w:r w:rsidRPr="00271032">
      <w:rPr>
        <w:b/>
        <w:bCs/>
        <w:sz w:val="18"/>
      </w:rPr>
      <w:fldChar w:fldCharType="separate"/>
    </w:r>
    <w:r>
      <w:rPr>
        <w:b/>
        <w:bCs/>
        <w:sz w:val="18"/>
      </w:rPr>
      <w:t>11</w:t>
    </w:r>
    <w:r w:rsidRPr="002710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7C725" w14:textId="77777777" w:rsidR="00DF1F12" w:rsidRDefault="00DF1F12" w:rsidP="00DF1F12">
    <w:pPr>
      <w:pStyle w:val="Footer"/>
      <w:rPr>
        <w:sz w:val="20"/>
      </w:rPr>
    </w:pPr>
    <w:r w:rsidRPr="0027112F">
      <w:rPr>
        <w:noProof/>
        <w:lang w:val="en-US"/>
      </w:rPr>
      <w:drawing>
        <wp:anchor distT="0" distB="0" distL="114300" distR="114300" simplePos="0" relativeHeight="251659264" behindDoc="0" locked="1" layoutInCell="1" allowOverlap="1" wp14:anchorId="62359F7C" wp14:editId="3E343E06">
          <wp:simplePos x="0" y="0"/>
          <wp:positionH relativeFrom="column">
            <wp:posOffset>4558030</wp:posOffset>
          </wp:positionH>
          <wp:positionV relativeFrom="page">
            <wp:posOffset>10128250</wp:posOffset>
          </wp:positionV>
          <wp:extent cx="932400" cy="230400"/>
          <wp:effectExtent l="0" t="0" r="1270" b="0"/>
          <wp:wrapNone/>
          <wp:docPr id="342688007"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0FA4E4" w14:textId="17F514E7" w:rsidR="00DF1F12" w:rsidRPr="00271032" w:rsidRDefault="00DF1F12" w:rsidP="00DF1F12">
    <w:pPr>
      <w:pStyle w:val="Footer"/>
      <w:rPr>
        <w:sz w:val="20"/>
      </w:rPr>
    </w:pPr>
    <w:r>
      <w:rPr>
        <w:sz w:val="20"/>
      </w:rPr>
      <w:t>GE.26-06589  (E)</w:t>
    </w:r>
    <w:r>
      <w:rPr>
        <w:noProof/>
        <w:sz w:val="20"/>
      </w:rPr>
      <w:drawing>
        <wp:anchor distT="0" distB="0" distL="114300" distR="114300" simplePos="0" relativeHeight="251660288" behindDoc="0" locked="0" layoutInCell="1" allowOverlap="1" wp14:anchorId="753C4E2F" wp14:editId="2C8F4DF5">
          <wp:simplePos x="0" y="0"/>
          <wp:positionH relativeFrom="margin">
            <wp:posOffset>5583555</wp:posOffset>
          </wp:positionH>
          <wp:positionV relativeFrom="margin">
            <wp:posOffset>8981440</wp:posOffset>
          </wp:positionV>
          <wp:extent cx="571500" cy="571500"/>
          <wp:effectExtent l="0" t="0" r="0" b="0"/>
          <wp:wrapNone/>
          <wp:docPr id="1035785044"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793199" name="Picture 1" descr="A qr code on a white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270526    </w:t>
    </w:r>
    <w:r w:rsidR="00D90D90">
      <w:rPr>
        <w:sz w:val="20"/>
      </w:rPr>
      <w:t>27</w:t>
    </w:r>
    <w:r>
      <w:rPr>
        <w:sz w:val="20"/>
      </w:rPr>
      <w:t>0526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A4DC1" w14:textId="77777777" w:rsidR="00271032" w:rsidRDefault="00271032" w:rsidP="00271032">
    <w:pPr>
      <w:pStyle w:val="Footer"/>
      <w:tabs>
        <w:tab w:val="right" w:pos="9638"/>
      </w:tabs>
    </w:pPr>
    <w:r w:rsidRPr="00271032">
      <w:rPr>
        <w:b/>
        <w:bCs/>
        <w:sz w:val="18"/>
      </w:rPr>
      <w:fldChar w:fldCharType="begin"/>
    </w:r>
    <w:r w:rsidRPr="00271032">
      <w:rPr>
        <w:b/>
        <w:bCs/>
        <w:sz w:val="18"/>
      </w:rPr>
      <w:instrText xml:space="preserve"> PAGE  \* MERGEFORMAT </w:instrText>
    </w:r>
    <w:r w:rsidRPr="00271032">
      <w:rPr>
        <w:b/>
        <w:bCs/>
        <w:sz w:val="18"/>
      </w:rPr>
      <w:fldChar w:fldCharType="separate"/>
    </w:r>
    <w:r w:rsidRPr="00271032">
      <w:rPr>
        <w:b/>
        <w:bCs/>
        <w:noProof/>
        <w:sz w:val="18"/>
      </w:rPr>
      <w:t>2</w:t>
    </w:r>
    <w:r w:rsidRPr="00271032">
      <w:rPr>
        <w:b/>
        <w:bCs/>
        <w:sz w:val="18"/>
      </w:rPr>
      <w:fldChar w:fldCharType="end"/>
    </w:r>
    <w:r>
      <w:tab/>
      <w:t>GE.26-06589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D23EB" w14:textId="77777777" w:rsidR="00271032" w:rsidRDefault="00271032" w:rsidP="00271032">
    <w:pPr>
      <w:pStyle w:val="Footer"/>
      <w:tabs>
        <w:tab w:val="right" w:pos="9638"/>
      </w:tabs>
    </w:pPr>
    <w:r>
      <w:t>GE.26-06589</w:t>
    </w:r>
    <w:r>
      <w:tab/>
    </w:r>
    <w:r w:rsidRPr="00271032">
      <w:rPr>
        <w:b/>
        <w:bCs/>
        <w:sz w:val="18"/>
      </w:rPr>
      <w:fldChar w:fldCharType="begin"/>
    </w:r>
    <w:r w:rsidRPr="00271032">
      <w:rPr>
        <w:b/>
        <w:bCs/>
        <w:sz w:val="18"/>
      </w:rPr>
      <w:instrText xml:space="preserve"> PAGE  \* MERGEFORMAT </w:instrText>
    </w:r>
    <w:r w:rsidRPr="00271032">
      <w:rPr>
        <w:b/>
        <w:bCs/>
        <w:sz w:val="18"/>
      </w:rPr>
      <w:fldChar w:fldCharType="separate"/>
    </w:r>
    <w:r w:rsidRPr="00271032">
      <w:rPr>
        <w:b/>
        <w:bCs/>
        <w:noProof/>
        <w:sz w:val="18"/>
      </w:rPr>
      <w:t>3</w:t>
    </w:r>
    <w:r w:rsidRPr="00271032">
      <w:rPr>
        <w:b/>
        <w:bC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5FA73" w14:textId="25A691F7" w:rsidR="00271032" w:rsidRPr="00DF1F12" w:rsidRDefault="00271032" w:rsidP="00DF1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C9EB9" w14:textId="77777777" w:rsidR="003A3B28" w:rsidRPr="00317DC1" w:rsidRDefault="003A3B28" w:rsidP="00317DC1">
      <w:pPr>
        <w:tabs>
          <w:tab w:val="right" w:pos="2155"/>
        </w:tabs>
        <w:spacing w:after="80" w:line="240" w:lineRule="auto"/>
        <w:ind w:left="680"/>
      </w:pPr>
      <w:r>
        <w:rPr>
          <w:u w:val="single"/>
        </w:rPr>
        <w:tab/>
      </w:r>
    </w:p>
  </w:footnote>
  <w:footnote w:type="continuationSeparator" w:id="0">
    <w:p w14:paraId="0F35DD11" w14:textId="77777777" w:rsidR="003A3B28" w:rsidRPr="00317DC1" w:rsidRDefault="003A3B28" w:rsidP="00317DC1">
      <w:pPr>
        <w:tabs>
          <w:tab w:val="right" w:pos="2155"/>
        </w:tabs>
        <w:spacing w:after="80" w:line="240" w:lineRule="auto"/>
        <w:ind w:left="680"/>
      </w:pPr>
      <w:r>
        <w:rPr>
          <w:u w:val="single"/>
        </w:rPr>
        <w:tab/>
      </w:r>
    </w:p>
  </w:footnote>
  <w:footnote w:id="1">
    <w:p w14:paraId="1A8D42EA" w14:textId="3CF2E16E" w:rsidR="00271032" w:rsidRPr="00CB7BBD" w:rsidRDefault="00271032" w:rsidP="00CB7BBD">
      <w:pPr>
        <w:pStyle w:val="FootnoteText"/>
      </w:pPr>
      <w:r w:rsidRPr="00CB7BBD">
        <w:tab/>
      </w:r>
      <w:r w:rsidRPr="009B49E2">
        <w:rPr>
          <w:rStyle w:val="FootnoteReference"/>
        </w:rPr>
        <w:footnoteRef/>
      </w:r>
      <w:r w:rsidRPr="00CB7BBD">
        <w:tab/>
      </w:r>
      <w:hyperlink r:id="rId1" w:history="1">
        <w:r w:rsidRPr="00736C81">
          <w:rPr>
            <w:rStyle w:val="Hyperlink"/>
          </w:rPr>
          <w:t>CRPD/C/34/1</w:t>
        </w:r>
      </w:hyperlink>
      <w:r w:rsidRPr="00CB7BBD">
        <w:t>.</w:t>
      </w:r>
    </w:p>
  </w:footnote>
  <w:footnote w:id="2">
    <w:p w14:paraId="384CD9AF" w14:textId="56E33A13" w:rsidR="00271032" w:rsidRPr="00CB7BBD" w:rsidRDefault="00CB7BBD" w:rsidP="00CB7BBD">
      <w:pPr>
        <w:pStyle w:val="FootnoteText"/>
      </w:pPr>
      <w:r>
        <w:tab/>
      </w:r>
      <w:r w:rsidR="00271032" w:rsidRPr="009B49E2">
        <w:rPr>
          <w:rStyle w:val="FootnoteReference"/>
        </w:rPr>
        <w:footnoteRef/>
      </w:r>
      <w:r>
        <w:tab/>
      </w:r>
      <w:hyperlink r:id="rId2" w:history="1">
        <w:r w:rsidR="00271032" w:rsidRPr="00736C81">
          <w:rPr>
            <w:rStyle w:val="Hyperlink"/>
          </w:rPr>
          <w:t>CRPD/C/34/D/78/2020</w:t>
        </w:r>
      </w:hyperlink>
      <w:r w:rsidR="00271032" w:rsidRPr="00CB7BBD">
        <w:t>.</w:t>
      </w:r>
    </w:p>
  </w:footnote>
  <w:footnote w:id="3">
    <w:p w14:paraId="7747DDC5" w14:textId="46AFC13F" w:rsidR="00271032" w:rsidRPr="00CB7BBD" w:rsidRDefault="00CB7BBD" w:rsidP="00CB7BBD">
      <w:pPr>
        <w:pStyle w:val="FootnoteText"/>
      </w:pPr>
      <w:r>
        <w:tab/>
      </w:r>
      <w:r w:rsidR="00271032" w:rsidRPr="009B49E2">
        <w:rPr>
          <w:rStyle w:val="FootnoteReference"/>
        </w:rPr>
        <w:footnoteRef/>
      </w:r>
      <w:r>
        <w:tab/>
      </w:r>
      <w:hyperlink r:id="rId3" w:history="1">
        <w:r w:rsidR="00271032" w:rsidRPr="00736C81">
          <w:rPr>
            <w:rStyle w:val="Hyperlink"/>
          </w:rPr>
          <w:t>CRPD/C/34/D/95/2022</w:t>
        </w:r>
      </w:hyperlink>
      <w:r w:rsidR="00271032" w:rsidRPr="00CB7BBD">
        <w:t>.</w:t>
      </w:r>
    </w:p>
  </w:footnote>
  <w:footnote w:id="4">
    <w:p w14:paraId="1B13CE8C" w14:textId="16F7D6D7" w:rsidR="00271032" w:rsidRPr="00CB7BBD" w:rsidRDefault="00CB7BBD" w:rsidP="00CB7BBD">
      <w:pPr>
        <w:pStyle w:val="FootnoteText"/>
      </w:pPr>
      <w:r>
        <w:tab/>
      </w:r>
      <w:r w:rsidR="00271032" w:rsidRPr="009B49E2">
        <w:rPr>
          <w:rStyle w:val="FootnoteReference"/>
        </w:rPr>
        <w:footnoteRef/>
      </w:r>
      <w:r>
        <w:tab/>
      </w:r>
      <w:hyperlink r:id="rId4" w:history="1">
        <w:r w:rsidR="00271032" w:rsidRPr="00736C81">
          <w:rPr>
            <w:rStyle w:val="Hyperlink"/>
          </w:rPr>
          <w:t>CRPD/C/34/D/65/2019</w:t>
        </w:r>
      </w:hyperlink>
      <w:r w:rsidR="00271032" w:rsidRPr="00CB7BBD">
        <w:t>.</w:t>
      </w:r>
    </w:p>
  </w:footnote>
  <w:footnote w:id="5">
    <w:p w14:paraId="61E78DA0" w14:textId="49854254" w:rsidR="00271032" w:rsidRPr="00CB7BBD" w:rsidRDefault="00CB7BBD" w:rsidP="00CB7BBD">
      <w:pPr>
        <w:pStyle w:val="FootnoteText"/>
      </w:pPr>
      <w:r>
        <w:tab/>
      </w:r>
      <w:r w:rsidR="00271032" w:rsidRPr="009B49E2">
        <w:rPr>
          <w:rStyle w:val="FootnoteReference"/>
        </w:rPr>
        <w:footnoteRef/>
      </w:r>
      <w:r>
        <w:tab/>
      </w:r>
      <w:hyperlink r:id="rId5" w:history="1">
        <w:r w:rsidR="00271032" w:rsidRPr="00736C81">
          <w:rPr>
            <w:rStyle w:val="Hyperlink"/>
          </w:rPr>
          <w:t>CRPD/C/34/D/103/2022</w:t>
        </w:r>
      </w:hyperlink>
      <w:r w:rsidR="00271032" w:rsidRPr="00CB7BBD">
        <w:t>.</w:t>
      </w:r>
    </w:p>
  </w:footnote>
  <w:footnote w:id="6">
    <w:p w14:paraId="0B3118E2" w14:textId="26D11504" w:rsidR="00271032" w:rsidRPr="00CB7BBD" w:rsidRDefault="00CB7BBD" w:rsidP="00CB7BBD">
      <w:pPr>
        <w:pStyle w:val="FootnoteText"/>
      </w:pPr>
      <w:r>
        <w:tab/>
      </w:r>
      <w:r w:rsidR="00271032" w:rsidRPr="009B49E2">
        <w:rPr>
          <w:rStyle w:val="FootnoteReference"/>
        </w:rPr>
        <w:footnoteRef/>
      </w:r>
      <w:r>
        <w:tab/>
      </w:r>
      <w:hyperlink r:id="rId6" w:history="1">
        <w:r w:rsidR="00271032" w:rsidRPr="00736C81">
          <w:rPr>
            <w:rStyle w:val="Hyperlink"/>
          </w:rPr>
          <w:t>CRPD/C/34/D/99/2022</w:t>
        </w:r>
      </w:hyperlink>
      <w:r w:rsidR="00271032" w:rsidRPr="00CB7BBD">
        <w:t>.</w:t>
      </w:r>
    </w:p>
  </w:footnote>
  <w:footnote w:id="7">
    <w:p w14:paraId="75943CD6" w14:textId="0C41F966" w:rsidR="00271032" w:rsidRPr="00CB7BBD" w:rsidRDefault="00271032" w:rsidP="00CB7BBD">
      <w:pPr>
        <w:pStyle w:val="FootnoteText"/>
      </w:pPr>
      <w:r w:rsidRPr="00CB7BBD">
        <w:tab/>
      </w:r>
      <w:r w:rsidRPr="009B49E2">
        <w:rPr>
          <w:rStyle w:val="FootnoteReference"/>
        </w:rPr>
        <w:footnoteRef/>
      </w:r>
      <w:r w:rsidRPr="00CB7BBD">
        <w:tab/>
      </w:r>
      <w:hyperlink r:id="rId7" w:history="1">
        <w:r w:rsidRPr="00736C81">
          <w:rPr>
            <w:rStyle w:val="Hyperlink"/>
          </w:rPr>
          <w:t>CRPD/C/30/D/84/2020</w:t>
        </w:r>
      </w:hyperlink>
      <w:r w:rsidRPr="00CB7BBD">
        <w:t xml:space="preserve"> and </w:t>
      </w:r>
      <w:hyperlink r:id="rId8" w:history="1">
        <w:r w:rsidRPr="00736C81">
          <w:rPr>
            <w:rStyle w:val="Hyperlink"/>
          </w:rPr>
          <w:t>CRPD/C/32/D/87/2021</w:t>
        </w:r>
      </w:hyperlink>
      <w:r w:rsidRPr="00CB7BBD">
        <w:t>.</w:t>
      </w:r>
    </w:p>
  </w:footnote>
  <w:footnote w:id="8">
    <w:p w14:paraId="52EEDA6C" w14:textId="4CDA4856" w:rsidR="00271032" w:rsidRPr="00CB7BBD" w:rsidRDefault="00271032" w:rsidP="00CB7BBD">
      <w:pPr>
        <w:pStyle w:val="FootnoteText"/>
      </w:pPr>
      <w:r w:rsidRPr="00CB7BBD">
        <w:tab/>
      </w:r>
      <w:r w:rsidRPr="009B49E2">
        <w:rPr>
          <w:rStyle w:val="FootnoteReference"/>
        </w:rPr>
        <w:footnoteRef/>
      </w:r>
      <w:r w:rsidRPr="00CB7BBD">
        <w:tab/>
      </w:r>
      <w:hyperlink r:id="rId9" w:history="1">
        <w:r w:rsidRPr="00736C81">
          <w:rPr>
            <w:rStyle w:val="Hyperlink"/>
          </w:rPr>
          <w:t>CRPD/C/31/D/104/2023</w:t>
        </w:r>
      </w:hyperlink>
      <w:r w:rsidRPr="00CB7BBD">
        <w:t>.</w:t>
      </w:r>
    </w:p>
  </w:footnote>
  <w:footnote w:id="9">
    <w:p w14:paraId="303E44AA" w14:textId="18D77FC0" w:rsidR="00271032" w:rsidRPr="00CB7BBD" w:rsidRDefault="00271032" w:rsidP="00CB7BBD">
      <w:pPr>
        <w:pStyle w:val="FootnoteText"/>
      </w:pPr>
      <w:r w:rsidRPr="00CB7BBD">
        <w:tab/>
      </w:r>
      <w:r w:rsidRPr="009B49E2">
        <w:rPr>
          <w:rStyle w:val="FootnoteReference"/>
        </w:rPr>
        <w:footnoteRef/>
      </w:r>
      <w:r w:rsidRPr="00CB7BBD">
        <w:tab/>
      </w:r>
      <w:hyperlink r:id="rId10" w:history="1">
        <w:r w:rsidRPr="00736C81">
          <w:rPr>
            <w:rStyle w:val="Hyperlink"/>
          </w:rPr>
          <w:t>CRPD/C/28/D/67/2019-CRPD/C/28/D/68/2019</w:t>
        </w:r>
      </w:hyperlink>
      <w:r w:rsidRPr="00CB7BBD">
        <w:t>.</w:t>
      </w:r>
    </w:p>
  </w:footnote>
  <w:footnote w:id="10">
    <w:p w14:paraId="5FDD0905" w14:textId="64E5FDAF" w:rsidR="00271032" w:rsidRPr="00CB7BBD" w:rsidRDefault="00271032" w:rsidP="00CB7BBD">
      <w:pPr>
        <w:pStyle w:val="FootnoteText"/>
      </w:pPr>
      <w:r w:rsidRPr="00CB7BBD">
        <w:tab/>
      </w:r>
      <w:r w:rsidRPr="009B49E2">
        <w:rPr>
          <w:rStyle w:val="FootnoteReference"/>
        </w:rPr>
        <w:footnoteRef/>
      </w:r>
      <w:r w:rsidRPr="00CB7BBD">
        <w:tab/>
      </w:r>
      <w:hyperlink r:id="rId11" w:history="1">
        <w:r w:rsidRPr="00736C81">
          <w:rPr>
            <w:rStyle w:val="Hyperlink"/>
          </w:rPr>
          <w:t>CRPD/C/22/D/32/2015</w:t>
        </w:r>
      </w:hyperlink>
      <w:r w:rsidRPr="00CB7BBD">
        <w:t>.</w:t>
      </w:r>
    </w:p>
  </w:footnote>
  <w:footnote w:id="11">
    <w:p w14:paraId="3DAFE7CC" w14:textId="74BAE60D" w:rsidR="00271032" w:rsidRPr="00CB7BBD" w:rsidRDefault="00271032" w:rsidP="00CB7BBD">
      <w:pPr>
        <w:pStyle w:val="FootnoteText"/>
      </w:pPr>
      <w:r w:rsidRPr="00CB7BBD">
        <w:tab/>
      </w:r>
      <w:r w:rsidRPr="009B49E2">
        <w:rPr>
          <w:rStyle w:val="FootnoteReference"/>
        </w:rPr>
        <w:footnoteRef/>
      </w:r>
      <w:r w:rsidRPr="00CB7BBD">
        <w:tab/>
      </w:r>
      <w:hyperlink r:id="rId12" w:history="1">
        <w:r w:rsidRPr="00736C81">
          <w:rPr>
            <w:rStyle w:val="Hyperlink"/>
          </w:rPr>
          <w:t>CRPD/C/32/D/64/2019</w:t>
        </w:r>
      </w:hyperlink>
      <w:r w:rsidRPr="00CB7BBD">
        <w:t>.</w:t>
      </w:r>
    </w:p>
  </w:footnote>
  <w:footnote w:id="12">
    <w:p w14:paraId="205C54ED" w14:textId="12F07A9B" w:rsidR="00271032" w:rsidRPr="00CB7BBD" w:rsidRDefault="00CB7BBD" w:rsidP="00CB7BBD">
      <w:pPr>
        <w:pStyle w:val="FootnoteText"/>
      </w:pPr>
      <w:r>
        <w:tab/>
      </w:r>
      <w:r w:rsidR="00271032" w:rsidRPr="009B49E2">
        <w:rPr>
          <w:rStyle w:val="FootnoteReference"/>
        </w:rPr>
        <w:footnoteRef/>
      </w:r>
      <w:r>
        <w:tab/>
      </w:r>
      <w:hyperlink r:id="rId13" w:history="1">
        <w:r w:rsidR="00271032" w:rsidRPr="00736C81">
          <w:rPr>
            <w:rStyle w:val="Hyperlink"/>
          </w:rPr>
          <w:t>CRPD/C/5/4/Rev.1</w:t>
        </w:r>
      </w:hyperlink>
      <w:r w:rsidR="00271032" w:rsidRPr="00CB7BBD">
        <w:t>.</w:t>
      </w:r>
    </w:p>
  </w:footnote>
  <w:footnote w:id="13">
    <w:p w14:paraId="1132DD72" w14:textId="77777777" w:rsidR="00271032" w:rsidRPr="00CB7BBD" w:rsidRDefault="00271032" w:rsidP="00CB7BBD">
      <w:pPr>
        <w:pStyle w:val="FootnoteText"/>
      </w:pPr>
      <w:r w:rsidRPr="00CB7BBD">
        <w:tab/>
      </w:r>
      <w:r w:rsidRPr="009B49E2">
        <w:rPr>
          <w:rStyle w:val="FootnoteReference"/>
        </w:rPr>
        <w:footnoteRef/>
      </w:r>
      <w:r w:rsidRPr="00CB7BBD">
        <w:tab/>
        <w:t>General Assembly resolutions 68/268 and 80/197.</w:t>
      </w:r>
    </w:p>
  </w:footnote>
  <w:footnote w:id="14">
    <w:p w14:paraId="67660D9E" w14:textId="341C195A" w:rsidR="00271032" w:rsidRPr="00CB7BBD" w:rsidRDefault="00271032" w:rsidP="00CB7BBD">
      <w:pPr>
        <w:pStyle w:val="FootnoteText"/>
      </w:pPr>
      <w:r w:rsidRPr="00CB7BBD">
        <w:tab/>
      </w:r>
      <w:r w:rsidRPr="009B49E2">
        <w:rPr>
          <w:rStyle w:val="FootnoteReference"/>
        </w:rPr>
        <w:footnoteRef/>
      </w:r>
      <w:r w:rsidRPr="00CB7BBD">
        <w:tab/>
      </w:r>
      <w:hyperlink r:id="rId14" w:history="1">
        <w:r w:rsidRPr="00736C81">
          <w:rPr>
            <w:rStyle w:val="Hyperlink"/>
          </w:rPr>
          <w:t>CRPD/C/LSO/1</w:t>
        </w:r>
      </w:hyperlink>
      <w:r w:rsidRPr="00CB7BBD">
        <w:t xml:space="preserve">, </w:t>
      </w:r>
      <w:hyperlink r:id="rId15" w:history="1">
        <w:r w:rsidRPr="00736C81">
          <w:rPr>
            <w:rStyle w:val="Hyperlink"/>
          </w:rPr>
          <w:t>CRPD/C/LBR/1</w:t>
        </w:r>
      </w:hyperlink>
      <w:r w:rsidRPr="00CB7BBD">
        <w:t xml:space="preserve">, </w:t>
      </w:r>
      <w:hyperlink r:id="rId16" w:history="1">
        <w:r w:rsidRPr="00736C81">
          <w:rPr>
            <w:rStyle w:val="Hyperlink"/>
          </w:rPr>
          <w:t>CRPD/C/MHL/1</w:t>
        </w:r>
      </w:hyperlink>
      <w:r w:rsidRPr="00CB7BBD">
        <w:t xml:space="preserve">, </w:t>
      </w:r>
      <w:hyperlink r:id="rId17" w:history="1">
        <w:r w:rsidRPr="00736C81">
          <w:rPr>
            <w:rStyle w:val="Hyperlink"/>
          </w:rPr>
          <w:t>CRPD/C/PAK/1</w:t>
        </w:r>
      </w:hyperlink>
      <w:r w:rsidRPr="00CB7BBD">
        <w:t xml:space="preserve"> and </w:t>
      </w:r>
      <w:hyperlink r:id="rId18" w:history="1">
        <w:r w:rsidRPr="00736C81">
          <w:rPr>
            <w:rStyle w:val="Hyperlink"/>
          </w:rPr>
          <w:t>CRPD/C/WSM/1</w:t>
        </w:r>
      </w:hyperlink>
      <w:r w:rsidRPr="00CB7BBD">
        <w:t>.</w:t>
      </w:r>
    </w:p>
  </w:footnote>
  <w:footnote w:id="15">
    <w:p w14:paraId="512550DF" w14:textId="5CCDFCE6" w:rsidR="00271032" w:rsidRPr="00CB7BBD" w:rsidRDefault="00271032" w:rsidP="00CB7BBD">
      <w:pPr>
        <w:pStyle w:val="FootnoteText"/>
      </w:pPr>
      <w:r w:rsidRPr="00CB7BBD">
        <w:tab/>
      </w:r>
      <w:r w:rsidRPr="009B49E2">
        <w:rPr>
          <w:rStyle w:val="FootnoteReference"/>
        </w:rPr>
        <w:footnoteRef/>
      </w:r>
      <w:r w:rsidRPr="00CB7BBD">
        <w:tab/>
      </w:r>
      <w:hyperlink r:id="rId19" w:history="1">
        <w:r w:rsidRPr="00736C81">
          <w:rPr>
            <w:rStyle w:val="Hyperlink"/>
          </w:rPr>
          <w:t>CRPD/C/LSO/CO/1</w:t>
        </w:r>
      </w:hyperlink>
      <w:r w:rsidRPr="00CB7BBD">
        <w:t xml:space="preserve">, </w:t>
      </w:r>
      <w:hyperlink r:id="rId20" w:history="1">
        <w:r w:rsidRPr="00736C81">
          <w:rPr>
            <w:rStyle w:val="Hyperlink"/>
          </w:rPr>
          <w:t>CRPD/C/LBR/CO/1</w:t>
        </w:r>
      </w:hyperlink>
      <w:r w:rsidRPr="00CB7BBD">
        <w:t xml:space="preserve">, </w:t>
      </w:r>
      <w:hyperlink r:id="rId21" w:history="1">
        <w:r w:rsidRPr="00736C81">
          <w:rPr>
            <w:rStyle w:val="Hyperlink"/>
          </w:rPr>
          <w:t>CRPD/C/MHL/CO/1</w:t>
        </w:r>
      </w:hyperlink>
      <w:r w:rsidRPr="00CB7BBD">
        <w:t xml:space="preserve">, </w:t>
      </w:r>
      <w:hyperlink r:id="rId22" w:history="1">
        <w:r w:rsidRPr="00736C81">
          <w:rPr>
            <w:rStyle w:val="Hyperlink"/>
          </w:rPr>
          <w:t>CRPD/C/PAK/CO/1</w:t>
        </w:r>
      </w:hyperlink>
      <w:r w:rsidRPr="00CB7BBD">
        <w:t xml:space="preserve"> and </w:t>
      </w:r>
      <w:hyperlink r:id="rId23" w:history="1">
        <w:r w:rsidRPr="00736C81">
          <w:rPr>
            <w:rStyle w:val="Hyperlink"/>
          </w:rPr>
          <w:t>CRPD/C/WSM/CO/1</w:t>
        </w:r>
      </w:hyperlink>
      <w:r w:rsidRPr="00CB7BBD">
        <w:t>.</w:t>
      </w:r>
    </w:p>
  </w:footnote>
  <w:footnote w:id="16">
    <w:p w14:paraId="1F9C5920" w14:textId="052CEB6F" w:rsidR="00271032" w:rsidRPr="00CB7BBD" w:rsidRDefault="00271032" w:rsidP="00CB7BBD">
      <w:pPr>
        <w:pStyle w:val="FootnoteText"/>
      </w:pPr>
      <w:r w:rsidRPr="00CB7BBD">
        <w:tab/>
      </w:r>
      <w:r w:rsidRPr="009B49E2">
        <w:rPr>
          <w:rStyle w:val="FootnoteReference"/>
        </w:rPr>
        <w:footnoteRef/>
      </w:r>
      <w:r w:rsidRPr="00CB7BBD">
        <w:tab/>
      </w:r>
      <w:hyperlink r:id="rId24" w:history="1">
        <w:r w:rsidRPr="00736C81">
          <w:rPr>
            <w:rStyle w:val="Hyperlink"/>
          </w:rPr>
          <w:t>CRPD/C/34/D/65/2019</w:t>
        </w:r>
      </w:hyperlink>
      <w:r w:rsidRPr="00CB7BBD">
        <w:t>.</w:t>
      </w:r>
    </w:p>
  </w:footnote>
  <w:footnote w:id="17">
    <w:p w14:paraId="4C13D97F" w14:textId="1C31EBFA" w:rsidR="00271032" w:rsidRPr="00CB7BBD" w:rsidRDefault="00271032" w:rsidP="00CB7BBD">
      <w:pPr>
        <w:pStyle w:val="FootnoteText"/>
      </w:pPr>
      <w:r w:rsidRPr="00CB7BBD">
        <w:tab/>
      </w:r>
      <w:r w:rsidRPr="009B49E2">
        <w:rPr>
          <w:rStyle w:val="FootnoteReference"/>
        </w:rPr>
        <w:footnoteRef/>
      </w:r>
      <w:r w:rsidRPr="00CB7BBD">
        <w:tab/>
      </w:r>
      <w:hyperlink r:id="rId25" w:history="1">
        <w:r w:rsidRPr="00736C81">
          <w:rPr>
            <w:rStyle w:val="Hyperlink"/>
          </w:rPr>
          <w:t>CRPD/C/34/D/78/2020</w:t>
        </w:r>
      </w:hyperlink>
      <w:r w:rsidRPr="00CB7BBD">
        <w:t>.</w:t>
      </w:r>
    </w:p>
  </w:footnote>
  <w:footnote w:id="18">
    <w:p w14:paraId="308BB1CF" w14:textId="6FC93C12" w:rsidR="00271032" w:rsidRPr="00CB7BBD" w:rsidRDefault="00271032" w:rsidP="00CB7BBD">
      <w:pPr>
        <w:pStyle w:val="FootnoteText"/>
      </w:pPr>
      <w:r w:rsidRPr="00CB7BBD">
        <w:tab/>
      </w:r>
      <w:r w:rsidRPr="009B49E2">
        <w:rPr>
          <w:rStyle w:val="FootnoteReference"/>
        </w:rPr>
        <w:footnoteRef/>
      </w:r>
      <w:r w:rsidRPr="00CB7BBD">
        <w:tab/>
      </w:r>
      <w:hyperlink r:id="rId26" w:history="1">
        <w:r w:rsidRPr="00736C81">
          <w:rPr>
            <w:rStyle w:val="Hyperlink"/>
          </w:rPr>
          <w:t>CRPD/C/34/D/95/2022</w:t>
        </w:r>
      </w:hyperlink>
      <w:r w:rsidRPr="00CB7BBD">
        <w:t>.</w:t>
      </w:r>
    </w:p>
  </w:footnote>
  <w:footnote w:id="19">
    <w:p w14:paraId="7A310F6A" w14:textId="23B3E68B" w:rsidR="00271032" w:rsidRPr="00CB7BBD" w:rsidRDefault="00271032" w:rsidP="00CB7BBD">
      <w:pPr>
        <w:pStyle w:val="FootnoteText"/>
      </w:pPr>
      <w:r w:rsidRPr="00CB7BBD">
        <w:tab/>
      </w:r>
      <w:r w:rsidRPr="009B49E2">
        <w:rPr>
          <w:rStyle w:val="FootnoteReference"/>
        </w:rPr>
        <w:footnoteRef/>
      </w:r>
      <w:r w:rsidRPr="00CB7BBD">
        <w:tab/>
      </w:r>
      <w:hyperlink r:id="rId27" w:history="1">
        <w:r w:rsidRPr="00736C81">
          <w:rPr>
            <w:rStyle w:val="Hyperlink"/>
          </w:rPr>
          <w:t>CRPD/C/34/D/103/2022</w:t>
        </w:r>
      </w:hyperlink>
      <w:r w:rsidRPr="00CB7BBD">
        <w:t>.</w:t>
      </w:r>
    </w:p>
  </w:footnote>
  <w:footnote w:id="20">
    <w:p w14:paraId="47293EB5" w14:textId="6108EDB9" w:rsidR="00271032" w:rsidRPr="00CB7BBD" w:rsidRDefault="00271032" w:rsidP="00CB7BBD">
      <w:pPr>
        <w:pStyle w:val="FootnoteText"/>
      </w:pPr>
      <w:r w:rsidRPr="00CB7BBD">
        <w:tab/>
      </w:r>
      <w:r w:rsidRPr="009B49E2">
        <w:rPr>
          <w:rStyle w:val="FootnoteReference"/>
        </w:rPr>
        <w:footnoteRef/>
      </w:r>
      <w:r w:rsidR="00E934B6">
        <w:tab/>
      </w:r>
      <w:hyperlink r:id="rId28" w:history="1">
        <w:r w:rsidRPr="00736C81">
          <w:rPr>
            <w:rStyle w:val="Hyperlink"/>
          </w:rPr>
          <w:t>CRPD/C/34/D/99/2022</w:t>
        </w:r>
      </w:hyperlink>
      <w:r w:rsidRPr="00CB7BB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7807F" w14:textId="77777777" w:rsidR="00271032" w:rsidRPr="00C00AF7" w:rsidRDefault="00271032" w:rsidP="00D47F06">
    <w:pPr>
      <w:pStyle w:val="Header"/>
    </w:pPr>
    <w:r w:rsidRPr="00C00AF7">
      <w:t>CRPD/C/34/2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FE9E8" w14:textId="77777777" w:rsidR="00271032" w:rsidRPr="00C00AF7" w:rsidRDefault="00271032" w:rsidP="00D47F06">
    <w:pPr>
      <w:pStyle w:val="Header"/>
      <w:jc w:val="right"/>
    </w:pPr>
    <w:r w:rsidRPr="00C00AF7">
      <w:t>CRPD/C/34/2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DC761" w14:textId="77777777" w:rsidR="00271032" w:rsidRDefault="00271032" w:rsidP="00271032">
    <w:pPr>
      <w:pStyle w:val="Header"/>
    </w:pPr>
    <w:r>
      <w:t>CRPD/C/34/2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D792D" w14:textId="77777777" w:rsidR="00271032" w:rsidRDefault="00271032" w:rsidP="00271032">
    <w:pPr>
      <w:pStyle w:val="Header"/>
      <w:jc w:val="right"/>
    </w:pPr>
    <w:r>
      <w:t>CRPD/C/34/2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895ECF"/>
    <w:multiLevelType w:val="hybridMultilevel"/>
    <w:tmpl w:val="44DC0BB6"/>
    <w:lvl w:ilvl="0" w:tplc="BF8C13AC">
      <w:start w:val="1"/>
      <w:numFmt w:val="decimal"/>
      <w:lvlText w:val="%1."/>
      <w:lvlJc w:val="left"/>
      <w:pPr>
        <w:ind w:left="1854" w:hanging="360"/>
      </w:pPr>
      <w:rPr>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6057497"/>
    <w:multiLevelType w:val="hybridMultilevel"/>
    <w:tmpl w:val="1F8CB7B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C8C40EE"/>
    <w:multiLevelType w:val="hybridMultilevel"/>
    <w:tmpl w:val="8410F61A"/>
    <w:lvl w:ilvl="0" w:tplc="2000000F">
      <w:start w:val="1"/>
      <w:numFmt w:val="decimal"/>
      <w:lvlText w:val="%1."/>
      <w:lvlJc w:val="left"/>
      <w:pPr>
        <w:ind w:left="1854" w:hanging="360"/>
      </w:pPr>
    </w:lvl>
    <w:lvl w:ilvl="1" w:tplc="2000000F">
      <w:start w:val="1"/>
      <w:numFmt w:val="decimal"/>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FE348A9"/>
    <w:multiLevelType w:val="hybridMultilevel"/>
    <w:tmpl w:val="3CB2C626"/>
    <w:lvl w:ilvl="0" w:tplc="4F5E375E">
      <w:start w:val="1"/>
      <w:numFmt w:val="lowerLetter"/>
      <w:lvlText w:val="(%1)"/>
      <w:lvlJc w:val="left"/>
      <w:pPr>
        <w:ind w:left="1854" w:hanging="360"/>
      </w:pPr>
      <w:rPr>
        <w:rFonts w:hint="default"/>
      </w:rPr>
    </w:lvl>
    <w:lvl w:ilvl="1" w:tplc="2CE6BCFA">
      <w:start w:val="1"/>
      <w:numFmt w:val="decimal"/>
      <w:lvlText w:val="%2."/>
      <w:lvlJc w:val="left"/>
      <w:pPr>
        <w:ind w:left="2784" w:hanging="570"/>
      </w:pPr>
      <w:rPr>
        <w:rFonts w:hint="default"/>
      </w:r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470753C"/>
    <w:multiLevelType w:val="hybridMultilevel"/>
    <w:tmpl w:val="B6B857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5"/>
  </w:num>
  <w:num w:numId="2" w16cid:durableId="2144956900">
    <w:abstractNumId w:val="4"/>
  </w:num>
  <w:num w:numId="3" w16cid:durableId="402065366">
    <w:abstractNumId w:val="0"/>
  </w:num>
  <w:num w:numId="4" w16cid:durableId="603223200">
    <w:abstractNumId w:val="7"/>
  </w:num>
  <w:num w:numId="5" w16cid:durableId="1816096697">
    <w:abstractNumId w:val="9"/>
  </w:num>
  <w:num w:numId="6" w16cid:durableId="877936325">
    <w:abstractNumId w:val="11"/>
  </w:num>
  <w:num w:numId="7" w16cid:durableId="1492134880">
    <w:abstractNumId w:val="2"/>
  </w:num>
  <w:num w:numId="8" w16cid:durableId="913586096">
    <w:abstractNumId w:val="1"/>
  </w:num>
  <w:num w:numId="9" w16cid:durableId="422842095">
    <w:abstractNumId w:val="3"/>
  </w:num>
  <w:num w:numId="10" w16cid:durableId="1510830143">
    <w:abstractNumId w:val="8"/>
  </w:num>
  <w:num w:numId="11" w16cid:durableId="1680307703">
    <w:abstractNumId w:val="6"/>
  </w:num>
  <w:num w:numId="12" w16cid:durableId="17717305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B28"/>
    <w:rsid w:val="00046E92"/>
    <w:rsid w:val="0009223D"/>
    <w:rsid w:val="000C291C"/>
    <w:rsid w:val="000D4C0F"/>
    <w:rsid w:val="00143670"/>
    <w:rsid w:val="00247E2C"/>
    <w:rsid w:val="00271032"/>
    <w:rsid w:val="002D6C53"/>
    <w:rsid w:val="002E2853"/>
    <w:rsid w:val="002F238A"/>
    <w:rsid w:val="002F2FF5"/>
    <w:rsid w:val="002F5595"/>
    <w:rsid w:val="002F61FC"/>
    <w:rsid w:val="00304A2B"/>
    <w:rsid w:val="00317DC1"/>
    <w:rsid w:val="00334F6A"/>
    <w:rsid w:val="00337D58"/>
    <w:rsid w:val="00342AC8"/>
    <w:rsid w:val="00376705"/>
    <w:rsid w:val="003A3B28"/>
    <w:rsid w:val="003A444F"/>
    <w:rsid w:val="003B4550"/>
    <w:rsid w:val="004132B4"/>
    <w:rsid w:val="00461253"/>
    <w:rsid w:val="004A1DC4"/>
    <w:rsid w:val="00502AC4"/>
    <w:rsid w:val="005042C2"/>
    <w:rsid w:val="005E08DF"/>
    <w:rsid w:val="005E6E38"/>
    <w:rsid w:val="005F2E0B"/>
    <w:rsid w:val="00671529"/>
    <w:rsid w:val="00693568"/>
    <w:rsid w:val="006B6980"/>
    <w:rsid w:val="006C3AB5"/>
    <w:rsid w:val="006E4390"/>
    <w:rsid w:val="007268F9"/>
    <w:rsid w:val="00736C81"/>
    <w:rsid w:val="00753371"/>
    <w:rsid w:val="0077775D"/>
    <w:rsid w:val="007C52B0"/>
    <w:rsid w:val="00816928"/>
    <w:rsid w:val="00844584"/>
    <w:rsid w:val="0086105F"/>
    <w:rsid w:val="00870626"/>
    <w:rsid w:val="008A577F"/>
    <w:rsid w:val="009411B4"/>
    <w:rsid w:val="00945422"/>
    <w:rsid w:val="009B49E2"/>
    <w:rsid w:val="009C7535"/>
    <w:rsid w:val="009D0139"/>
    <w:rsid w:val="009F5CDC"/>
    <w:rsid w:val="00A00341"/>
    <w:rsid w:val="00A10B98"/>
    <w:rsid w:val="00A166E4"/>
    <w:rsid w:val="00A5557C"/>
    <w:rsid w:val="00A665AD"/>
    <w:rsid w:val="00A775CF"/>
    <w:rsid w:val="00AE046C"/>
    <w:rsid w:val="00B06045"/>
    <w:rsid w:val="00B275CB"/>
    <w:rsid w:val="00B5471C"/>
    <w:rsid w:val="00B652DF"/>
    <w:rsid w:val="00BC6875"/>
    <w:rsid w:val="00BE04BA"/>
    <w:rsid w:val="00C27B9D"/>
    <w:rsid w:val="00C35A27"/>
    <w:rsid w:val="00C50937"/>
    <w:rsid w:val="00C609B8"/>
    <w:rsid w:val="00C9007B"/>
    <w:rsid w:val="00CB7BBD"/>
    <w:rsid w:val="00CC3AB5"/>
    <w:rsid w:val="00D45D29"/>
    <w:rsid w:val="00D47BCF"/>
    <w:rsid w:val="00D90D90"/>
    <w:rsid w:val="00DF1F12"/>
    <w:rsid w:val="00E02C2B"/>
    <w:rsid w:val="00E934B6"/>
    <w:rsid w:val="00ED6C48"/>
    <w:rsid w:val="00F652D1"/>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A6548"/>
  <w15:docId w15:val="{8649E3D1-B063-4C7E-8DD3-1998D9A17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271032"/>
    <w:pPr>
      <w:spacing w:after="0" w:line="240" w:lineRule="auto"/>
      <w:ind w:left="357" w:hanging="357"/>
    </w:pPr>
    <w:rPr>
      <w:rFonts w:ascii="Arial" w:eastAsia="Arial" w:hAnsi="Arial" w:cs="Arial"/>
      <w:lang w:eastAsia="en-GB"/>
    </w:rPr>
  </w:style>
  <w:style w:type="character" w:styleId="Hyperlink">
    <w:name w:val="Hyperlink"/>
    <w:basedOn w:val="DefaultParagraphFont"/>
    <w:uiPriority w:val="99"/>
    <w:unhideWhenUsed/>
    <w:rsid w:val="00271032"/>
    <w:rPr>
      <w:color w:val="0000FF"/>
    </w:rPr>
  </w:style>
  <w:style w:type="character" w:styleId="FollowedHyperlink">
    <w:name w:val="FollowedHyperlink"/>
    <w:basedOn w:val="DefaultParagraphFont"/>
    <w:uiPriority w:val="99"/>
    <w:semiHidden/>
    <w:unhideWhenUsed/>
    <w:rsid w:val="00271032"/>
    <w:rPr>
      <w:color w:val="0000FF"/>
      <w:u w:val="single"/>
    </w:rPr>
  </w:style>
  <w:style w:type="character" w:styleId="UnresolvedMention">
    <w:name w:val="Unresolved Mention"/>
    <w:basedOn w:val="DefaultParagraphFont"/>
    <w:uiPriority w:val="99"/>
    <w:semiHidden/>
    <w:unhideWhenUsed/>
    <w:rsid w:val="00271032"/>
    <w:rPr>
      <w:color w:val="605E5C"/>
      <w:shd w:val="clear" w:color="auto" w:fill="E1DFDD"/>
    </w:rPr>
  </w:style>
  <w:style w:type="character" w:styleId="CommentReference">
    <w:name w:val="annotation reference"/>
    <w:basedOn w:val="DefaultParagraphFont"/>
    <w:uiPriority w:val="99"/>
    <w:semiHidden/>
    <w:unhideWhenUsed/>
    <w:rsid w:val="00271032"/>
    <w:rPr>
      <w:sz w:val="16"/>
      <w:szCs w:val="16"/>
    </w:rPr>
  </w:style>
  <w:style w:type="paragraph" w:styleId="CommentText">
    <w:name w:val="annotation text"/>
    <w:basedOn w:val="Normal"/>
    <w:link w:val="CommentTextChar"/>
    <w:uiPriority w:val="99"/>
    <w:semiHidden/>
    <w:unhideWhenUsed/>
    <w:rsid w:val="00271032"/>
    <w:pPr>
      <w:spacing w:line="240" w:lineRule="auto"/>
    </w:pPr>
  </w:style>
  <w:style w:type="character" w:customStyle="1" w:styleId="CommentTextChar">
    <w:name w:val="Comment Text Char"/>
    <w:basedOn w:val="DefaultParagraphFont"/>
    <w:link w:val="CommentText"/>
    <w:uiPriority w:val="99"/>
    <w:semiHidden/>
    <w:rsid w:val="00271032"/>
    <w:rPr>
      <w:rFonts w:ascii="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271032"/>
    <w:rPr>
      <w:b/>
      <w:bCs/>
    </w:rPr>
  </w:style>
  <w:style w:type="character" w:customStyle="1" w:styleId="CommentSubjectChar">
    <w:name w:val="Comment Subject Char"/>
    <w:basedOn w:val="CommentTextChar"/>
    <w:link w:val="CommentSubject"/>
    <w:uiPriority w:val="99"/>
    <w:semiHidden/>
    <w:rsid w:val="00271032"/>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docs.un.org/en/CRPD/C/22/D/32/201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32/D/87/2021" TargetMode="External"/><Relationship Id="rId13" Type="http://schemas.openxmlformats.org/officeDocument/2006/relationships/hyperlink" Target="https://docs.un.org/en/CRPD/C/5/4/Rev.1" TargetMode="External"/><Relationship Id="rId18" Type="http://schemas.openxmlformats.org/officeDocument/2006/relationships/hyperlink" Target="https://docs.un.org/en/CRPD/C/WSM/1" TargetMode="External"/><Relationship Id="rId26" Type="http://schemas.openxmlformats.org/officeDocument/2006/relationships/hyperlink" Target="https://docs.un.org/en/CRPD/C/34/D/95/2022" TargetMode="External"/><Relationship Id="rId3" Type="http://schemas.openxmlformats.org/officeDocument/2006/relationships/hyperlink" Target="https://docs.un.org/en/CRPD/C/34/D/95/2022" TargetMode="External"/><Relationship Id="rId21" Type="http://schemas.openxmlformats.org/officeDocument/2006/relationships/hyperlink" Target="https://docs.un.org/en/CRPD/C/MHL/CO/1" TargetMode="External"/><Relationship Id="rId7" Type="http://schemas.openxmlformats.org/officeDocument/2006/relationships/hyperlink" Target="https://docs.un.org/en/CRPD/C/30/D/84/2020" TargetMode="External"/><Relationship Id="rId12" Type="http://schemas.openxmlformats.org/officeDocument/2006/relationships/hyperlink" Target="https://docs.un.org/en/CRPD/C/32/D/64/2019" TargetMode="External"/><Relationship Id="rId17" Type="http://schemas.openxmlformats.org/officeDocument/2006/relationships/hyperlink" Target="https://docs.un.org/en/CRPD/C/PAK/1" TargetMode="External"/><Relationship Id="rId25" Type="http://schemas.openxmlformats.org/officeDocument/2006/relationships/hyperlink" Target="https://docs.un.org/en/CRPD/C/34/D/78/2020" TargetMode="External"/><Relationship Id="rId2" Type="http://schemas.openxmlformats.org/officeDocument/2006/relationships/hyperlink" Target="https://docs.un.org/en/CRPD/C/34/D/78/2020" TargetMode="External"/><Relationship Id="rId16" Type="http://schemas.openxmlformats.org/officeDocument/2006/relationships/hyperlink" Target="https://docs.un.org/en/CRPD/C/MHL/1" TargetMode="External"/><Relationship Id="rId20" Type="http://schemas.openxmlformats.org/officeDocument/2006/relationships/hyperlink" Target="https://docs.un.org/en/CRPD/C/LBR/CO/1" TargetMode="External"/><Relationship Id="rId1" Type="http://schemas.openxmlformats.org/officeDocument/2006/relationships/hyperlink" Target="https://docs.un.org/en/CRPD/C/34/1" TargetMode="External"/><Relationship Id="rId6" Type="http://schemas.openxmlformats.org/officeDocument/2006/relationships/hyperlink" Target="https://docs.un.org/en/CRPD/C/34/D/99/2022" TargetMode="External"/><Relationship Id="rId11" Type="http://schemas.openxmlformats.org/officeDocument/2006/relationships/hyperlink" Target="https://docs.un.org/en/CRPD/C/22/D/32/2015" TargetMode="External"/><Relationship Id="rId24" Type="http://schemas.openxmlformats.org/officeDocument/2006/relationships/hyperlink" Target="https://docs.un.org/en/CRPD/C/34/D/65/2019" TargetMode="External"/><Relationship Id="rId5" Type="http://schemas.openxmlformats.org/officeDocument/2006/relationships/hyperlink" Target="https://docs.un.org/en/CRPD/C/34/D/103/2022" TargetMode="External"/><Relationship Id="rId15" Type="http://schemas.openxmlformats.org/officeDocument/2006/relationships/hyperlink" Target="https://docs.un.org/en/CRPD/C/LBR/1" TargetMode="External"/><Relationship Id="rId23" Type="http://schemas.openxmlformats.org/officeDocument/2006/relationships/hyperlink" Target="https://docs.un.org/en/CRPD/C/WSM/CO/1" TargetMode="External"/><Relationship Id="rId28" Type="http://schemas.openxmlformats.org/officeDocument/2006/relationships/hyperlink" Target="https://docs.un.org/en/CRPD/C/34/D/99/2022" TargetMode="External"/><Relationship Id="rId10" Type="http://schemas.openxmlformats.org/officeDocument/2006/relationships/hyperlink" Target="https://docs.un.org/en/CRPD/C/28/D/67/2019" TargetMode="External"/><Relationship Id="rId19" Type="http://schemas.openxmlformats.org/officeDocument/2006/relationships/hyperlink" Target="https://docs.un.org/en/CRPD/C/LSO/CO/1" TargetMode="External"/><Relationship Id="rId4" Type="http://schemas.openxmlformats.org/officeDocument/2006/relationships/hyperlink" Target="https://docs.un.org/en/CRPD/C/34/D/65/2019" TargetMode="External"/><Relationship Id="rId9" Type="http://schemas.openxmlformats.org/officeDocument/2006/relationships/hyperlink" Target="https://docs.un.org/en/CRPD/C/31/D/104/2023" TargetMode="External"/><Relationship Id="rId14" Type="http://schemas.openxmlformats.org/officeDocument/2006/relationships/hyperlink" Target="https://docs.un.org/en/CRPD/C/LSO/1" TargetMode="External"/><Relationship Id="rId22" Type="http://schemas.openxmlformats.org/officeDocument/2006/relationships/hyperlink" Target="https://docs.un.org/en/CRPD/C/PAK/CO/1" TargetMode="External"/><Relationship Id="rId27" Type="http://schemas.openxmlformats.org/officeDocument/2006/relationships/hyperlink" Target="https://docs.un.org/en/CRPD/C/34/D/103/20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12</Pages>
  <Words>5871</Words>
  <Characters>32093</Characters>
  <Application>Microsoft Office Word</Application>
  <DocSecurity>0</DocSecurity>
  <Lines>548</Lines>
  <Paragraphs>155</Paragraphs>
  <ScaleCrop>false</ScaleCrop>
  <HeadingPairs>
    <vt:vector size="2" baseType="variant">
      <vt:variant>
        <vt:lpstr>Title</vt:lpstr>
      </vt:variant>
      <vt:variant>
        <vt:i4>1</vt:i4>
      </vt:variant>
    </vt:vector>
  </HeadingPairs>
  <TitlesOfParts>
    <vt:vector size="1" baseType="lpstr">
      <vt:lpstr>CRPD/C/34/2</vt:lpstr>
    </vt:vector>
  </TitlesOfParts>
  <Company>DCM</Company>
  <LinksUpToDate>false</LinksUpToDate>
  <CharactersWithSpaces>37904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CRPD/C/34/2</dc:title>
  <dc:subject>2606589</dc:subject>
  <dc:creator>pae</dc:creator>
  <cp:keywords/>
  <dc:description>final</dc:description>
  <cp:lastModifiedBy>Don Canete Martin</cp:lastModifiedBy>
  <cp:revision>2</cp:revision>
  <dcterms:created xsi:type="dcterms:W3CDTF">2026-05-27T15:25:00Z</dcterms:created>
  <dcterms:modified xsi:type="dcterms:W3CDTF">2026-05-27T15:25:00Z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