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000000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/>
              <w:jc w:val="right"/>
              <w:rPr>
                <w:lang w:val="en-US"/>
              </w:rPr>
            </w:pPr>
            <w:proofErr w:type="spellStart"/>
            <w:r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SR.2754</w:t>
            </w:r>
            <w:proofErr w:type="spellEnd"/>
            <w:r>
              <w:fldChar w:fldCharType="end"/>
            </w:r>
          </w:p>
        </w:tc>
      </w:tr>
      <w:tr w:rsidR="00000000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fldSimple w:instr=" FILLIN  &quot;Введите дату документа&quot; \* MERGEFORMAT ">
              <w:r>
                <w:rPr>
                  <w:lang w:val="en-US"/>
                </w:rPr>
                <w:t>9 November 2010</w:t>
              </w:r>
            </w:fldSimple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000000" w:rsidRDefault="00000000">
      <w:pPr>
        <w:rPr>
          <w:b/>
        </w:rPr>
      </w:pPr>
      <w:r>
        <w:rPr>
          <w:b/>
        </w:rPr>
        <w:t>Сотая сессия</w:t>
      </w:r>
    </w:p>
    <w:p w:rsidR="00000000" w:rsidRDefault="00000000">
      <w:pPr>
        <w:spacing w:before="120"/>
        <w:rPr>
          <w:b/>
        </w:rPr>
      </w:pPr>
      <w:r>
        <w:rPr>
          <w:b/>
        </w:rPr>
        <w:t>Краткий отчет о 2754-м заседании,</w:t>
      </w:r>
    </w:p>
    <w:p w:rsidR="00000000" w:rsidRDefault="00000000">
      <w:pPr>
        <w:spacing w:line="240" w:lineRule="exact"/>
      </w:pPr>
      <w:r>
        <w:t>состоявшемся во Дворце Вильсона, Женева,</w:t>
      </w:r>
      <w:r>
        <w:br/>
        <w:t>в понедельник, 18 октября 2010 года, в 15 ч. 00 м.</w:t>
      </w:r>
    </w:p>
    <w:p w:rsidR="00000000" w:rsidRDefault="00000000">
      <w:pPr>
        <w:spacing w:before="120" w:line="240" w:lineRule="exact"/>
      </w:pPr>
      <w:r>
        <w:rPr>
          <w:i/>
        </w:rPr>
        <w:t>Председатель:</w:t>
      </w:r>
      <w:r>
        <w:tab/>
        <w:t>г-н Ивасава</w:t>
      </w:r>
    </w:p>
    <w:p w:rsidR="00000000" w:rsidRDefault="00000000">
      <w:pPr>
        <w:spacing w:before="360" w:after="240" w:line="240" w:lineRule="exact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000000" w:rsidRDefault="00000000">
      <w:pPr>
        <w:pStyle w:val="SingleTxtGR"/>
      </w:pPr>
      <w:r>
        <w:t>Рассмотрение докладов, представленных государствами-участниками в соо</w:t>
      </w:r>
      <w:r>
        <w:t>т</w:t>
      </w:r>
      <w:r>
        <w:t xml:space="preserve">ветствии со статьей 40 Пакта </w:t>
      </w:r>
      <w:r>
        <w:rPr>
          <w:i/>
        </w:rPr>
        <w:t>(продолжение)</w:t>
      </w:r>
    </w:p>
    <w:p w:rsidR="00000000" w:rsidRDefault="00000000">
      <w:pPr>
        <w:pStyle w:val="SingleTxtGR"/>
      </w:pPr>
      <w:r>
        <w:tab/>
      </w:r>
      <w:r>
        <w:rPr>
          <w:i/>
        </w:rPr>
        <w:t>Пятый периодический доклад Венгрии</w:t>
      </w:r>
    </w:p>
    <w:p w:rsidR="00000000" w:rsidRDefault="00000000">
      <w:pPr>
        <w:pStyle w:val="H4GR"/>
      </w:pPr>
      <w:r>
        <w:br w:type="page"/>
      </w:r>
      <w:r>
        <w:tab/>
      </w:r>
      <w:r>
        <w:tab/>
        <w:t>Заседание открывается в 15 ч. 05 м.</w:t>
      </w:r>
    </w:p>
    <w:p w:rsidR="00000000" w:rsidRDefault="00000000">
      <w:pPr>
        <w:pStyle w:val="SingleTxtGR"/>
        <w:rPr>
          <w:szCs w:val="24"/>
        </w:rPr>
      </w:pPr>
      <w:r>
        <w:rPr>
          <w:rStyle w:val="H23GR"/>
        </w:rPr>
        <w:t xml:space="preserve">Рассмотрение докладов, представленных государствами-участниками </w:t>
      </w:r>
      <w:r>
        <w:rPr>
          <w:rStyle w:val="H23GR"/>
        </w:rPr>
        <w:br/>
        <w:t>в с</w:t>
      </w:r>
      <w:r>
        <w:rPr>
          <w:rStyle w:val="H23GR"/>
        </w:rPr>
        <w:t>о</w:t>
      </w:r>
      <w:r>
        <w:rPr>
          <w:rStyle w:val="H23GR"/>
        </w:rPr>
        <w:t>ответствии со статьей 40 Пакта</w:t>
      </w:r>
      <w:r>
        <w:t xml:space="preserve"> (</w:t>
      </w:r>
      <w:r>
        <w:rPr>
          <w:i/>
        </w:rPr>
        <w:t>продолжение</w:t>
      </w:r>
      <w:r>
        <w:t>) (CCPR/C/HUN/5; CCPR/C/HUN/Q/5/CRP.2; CCPR/C/HUN/Q/5/Add.1)</w:t>
      </w:r>
    </w:p>
    <w:p w:rsidR="00000000" w:rsidRDefault="00000000">
      <w:pPr>
        <w:pStyle w:val="H4GR"/>
      </w:pPr>
      <w:r>
        <w:tab/>
      </w:r>
      <w:r>
        <w:tab/>
        <w:t>Пятый периодический доклад Венгрии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</w:r>
      <w:r>
        <w:rPr>
          <w:i/>
          <w:szCs w:val="24"/>
        </w:rPr>
        <w:t>По приглашению Председателя члены делегации Венгрии занимают ме</w:t>
      </w:r>
      <w:r>
        <w:rPr>
          <w:i/>
          <w:szCs w:val="24"/>
        </w:rPr>
        <w:t>с</w:t>
      </w:r>
      <w:r>
        <w:rPr>
          <w:i/>
          <w:szCs w:val="24"/>
        </w:rPr>
        <w:t>та за столом Комитета.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</w:r>
      <w:r>
        <w:rPr>
          <w:b/>
        </w:rPr>
        <w:t>Г-н Секей</w:t>
      </w:r>
      <w:r>
        <w:t xml:space="preserve"> (Венгрия), представляя пятый периодический доклад своей страны, говорит, что правительство Венгрии в настоящее время занимается л</w:t>
      </w:r>
      <w:r>
        <w:t>и</w:t>
      </w:r>
      <w:r>
        <w:t>квидацией последствий крупнейшей в истории страны экологической катастр</w:t>
      </w:r>
      <w:r>
        <w:t>о</w:t>
      </w:r>
      <w:r>
        <w:t>фы, которая произошла из-за утечки токсичных отходов из хранилища на ал</w:t>
      </w:r>
      <w:r>
        <w:t>ю</w:t>
      </w:r>
      <w:r>
        <w:t>миниевом заводе.</w:t>
      </w:r>
    </w:p>
    <w:p w:rsidR="00000000" w:rsidRDefault="00000000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В течение восьми лет, прошедших с момента, когда Венгрия в последний раз выступала перед Комитетом, в стране у власти находилось правительство социалистов. Это означает, что доклад охватывает в основном тот период, к</w:t>
      </w:r>
      <w:r>
        <w:rPr>
          <w:szCs w:val="24"/>
        </w:rPr>
        <w:t>о</w:t>
      </w:r>
      <w:r>
        <w:rPr>
          <w:szCs w:val="24"/>
        </w:rPr>
        <w:t xml:space="preserve">гда в стране было другое руководство. В результате последних выборов 2010 года более двух третей мест в парламенте получил новый политический альянс </w:t>
      </w:r>
      <w:r>
        <w:rPr>
          <w:szCs w:val="24"/>
        </w:rPr>
        <w:br/>
        <w:t>двух партий (</w:t>
      </w:r>
      <w:r>
        <w:t xml:space="preserve">ФИДЕС − Венгерский гражданский союз </w:t>
      </w:r>
      <w:r>
        <w:rPr>
          <w:szCs w:val="24"/>
        </w:rPr>
        <w:t xml:space="preserve">и ХДНП − </w:t>
      </w:r>
      <w:r>
        <w:t>Христианско-демократическая народная партия</w:t>
      </w:r>
      <w:r>
        <w:rPr>
          <w:szCs w:val="24"/>
        </w:rPr>
        <w:t>). В соответствии с Конституцией Венгрии, такое парламен</w:t>
      </w:r>
      <w:r>
        <w:rPr>
          <w:szCs w:val="24"/>
        </w:rPr>
        <w:t>т</w:t>
      </w:r>
      <w:r>
        <w:rPr>
          <w:szCs w:val="24"/>
        </w:rPr>
        <w:t>ское большинство обладает полномочиями вносить поправки в любые законы и даже в саму Конституцию. Недавно с целью укрепления мех</w:t>
      </w:r>
      <w:r>
        <w:rPr>
          <w:szCs w:val="24"/>
        </w:rPr>
        <w:t>а</w:t>
      </w:r>
      <w:r>
        <w:rPr>
          <w:szCs w:val="24"/>
        </w:rPr>
        <w:t>низмов защиты прав человека Венгрия начала процесс подготовки новой Ко</w:t>
      </w:r>
      <w:r>
        <w:rPr>
          <w:szCs w:val="24"/>
        </w:rPr>
        <w:t>н</w:t>
      </w:r>
      <w:r>
        <w:rPr>
          <w:szCs w:val="24"/>
        </w:rPr>
        <w:t>ституции.</w:t>
      </w:r>
    </w:p>
    <w:p w:rsidR="00000000" w:rsidRDefault="00000000">
      <w:pPr>
        <w:pStyle w:val="SingleTxtGR"/>
      </w:pPr>
      <w:r>
        <w:rPr>
          <w:szCs w:val="24"/>
        </w:rPr>
        <w:t>4.</w:t>
      </w:r>
      <w:r>
        <w:rPr>
          <w:szCs w:val="24"/>
        </w:rPr>
        <w:tab/>
        <w:t>К недавним мерам, предпринятым правительством в рамках борьбы с дискриминацией и расизмом, относятся завершение уголовных расследований ряда убийств представителей общины рома в 2008 и 2009 годах, а также око</w:t>
      </w:r>
      <w:r>
        <w:rPr>
          <w:szCs w:val="24"/>
        </w:rPr>
        <w:t>н</w:t>
      </w:r>
      <w:r>
        <w:rPr>
          <w:szCs w:val="24"/>
        </w:rPr>
        <w:t>чательный роспуск крайне правой организации "Magyar Gárda" или "Венге</w:t>
      </w:r>
      <w:r>
        <w:rPr>
          <w:szCs w:val="24"/>
        </w:rPr>
        <w:t>р</w:t>
      </w:r>
      <w:r>
        <w:rPr>
          <w:szCs w:val="24"/>
        </w:rPr>
        <w:t xml:space="preserve">ская стража". В соответствии с уголовным правом, любое лицо, которое </w:t>
      </w:r>
      <w:r>
        <w:t>учас</w:t>
      </w:r>
      <w:r>
        <w:t>т</w:t>
      </w:r>
      <w:r>
        <w:t>вует в подстрекательстве к ненависти против какой-либо национальной, этн</w:t>
      </w:r>
      <w:r>
        <w:t>и</w:t>
      </w:r>
      <w:r>
        <w:t>ческой, расовой, религиозной или иной группы, наказывается тюремным з</w:t>
      </w:r>
      <w:r>
        <w:t>а</w:t>
      </w:r>
      <w:r>
        <w:t>ключением на срок до трех лет. Министерство государственного управления и юстиции отвечает за разработку политики в области социальной интеграции рома, а также по координации осуществления программы правительства по с</w:t>
      </w:r>
      <w:r>
        <w:t>о</w:t>
      </w:r>
      <w:r>
        <w:t>действию социальной интеграции. С этой целью к указанному Министерству был прикреплено Бюро младшего министра по вопросам социальной интегр</w:t>
      </w:r>
      <w:r>
        <w:t>а</w:t>
      </w:r>
      <w:r>
        <w:t>ции. Кроме того, для обеспечения координации деятельности различных мин</w:t>
      </w:r>
      <w:r>
        <w:t>и</w:t>
      </w:r>
      <w:r>
        <w:t>стерств по решению проблем рома, а также для оказания содействия в этой о</w:t>
      </w:r>
      <w:r>
        <w:t>б</w:t>
      </w:r>
      <w:r>
        <w:t>ласти, в августе 2010 года был учрежден межведомственный комитет по соц</w:t>
      </w:r>
      <w:r>
        <w:t>и</w:t>
      </w:r>
      <w:r>
        <w:t>альной инт</w:t>
      </w:r>
      <w:r>
        <w:t>е</w:t>
      </w:r>
      <w:r>
        <w:t>грации и делам рома.</w:t>
      </w:r>
    </w:p>
    <w:p w:rsidR="00000000" w:rsidRDefault="00000000">
      <w:pPr>
        <w:pStyle w:val="SingleTxtGR"/>
      </w:pPr>
      <w:r>
        <w:t>5.</w:t>
      </w:r>
      <w:r>
        <w:tab/>
        <w:t>В период после представления своего предыдущего доклада Венгрия ст</w:t>
      </w:r>
      <w:r>
        <w:t>а</w:t>
      </w:r>
      <w:r>
        <w:t>ла членом Европейского союза (ЕС) и, соответственно, приняла действенные рамочные основы политики в области прав человека. В первой половине 2011 года Венгрия в соответствии с принципом ротации будет выполнять фун</w:t>
      </w:r>
      <w:r>
        <w:t>к</w:t>
      </w:r>
      <w:r>
        <w:t>ции Председателя Совета ЕС. Ожидается, что ключевыми приоритетными н</w:t>
      </w:r>
      <w:r>
        <w:t>а</w:t>
      </w:r>
      <w:r>
        <w:t>правлениями деятельности нового Председателя станут сохранение разнообр</w:t>
      </w:r>
      <w:r>
        <w:t>а</w:t>
      </w:r>
      <w:r>
        <w:t>зия общего культурного наследия Европы и интеграция с</w:t>
      </w:r>
      <w:r>
        <w:t>о</w:t>
      </w:r>
      <w:r>
        <w:t>обществ рома.</w:t>
      </w:r>
    </w:p>
    <w:p w:rsidR="00000000" w:rsidRDefault="00000000">
      <w:pPr>
        <w:pStyle w:val="SingleTxtGR"/>
      </w:pPr>
      <w:r>
        <w:t>6.</w:t>
      </w:r>
      <w:r>
        <w:tab/>
        <w:t xml:space="preserve">Важными задачами для нового правительства являются обеспечение </w:t>
      </w:r>
      <w:r>
        <w:br/>
        <w:t>предоставления равных возможностей в сфере образования и искоренение ди</w:t>
      </w:r>
      <w:r>
        <w:t>с</w:t>
      </w:r>
      <w:r>
        <w:t xml:space="preserve">криминации. Соответственно, оно планирует разработать новые программы </w:t>
      </w:r>
      <w:r>
        <w:br/>
        <w:t>по усовершенствованию методов преподавания, расширению сети детских с</w:t>
      </w:r>
      <w:r>
        <w:t>а</w:t>
      </w:r>
      <w:r>
        <w:t>дов и улучшению доступа к качественному образованию.</w:t>
      </w:r>
    </w:p>
    <w:p w:rsidR="00000000" w:rsidRDefault="00000000">
      <w:pPr>
        <w:pStyle w:val="SingleTxtGR"/>
      </w:pPr>
      <w:r>
        <w:t>7.</w:t>
      </w:r>
      <w:r>
        <w:tab/>
        <w:t>С момента своего избрания членом Совета по правам человека в 2009 г</w:t>
      </w:r>
      <w:r>
        <w:t>о</w:t>
      </w:r>
      <w:r>
        <w:t>ду Венгрия стала активным участником сессий Совета, в частности, она являе</w:t>
      </w:r>
      <w:r>
        <w:t>т</w:t>
      </w:r>
      <w:r>
        <w:t>ся основным автором двух важных резолюций в области прав человека. Одна из них касается сотрудничества с механизмами и органами Организации Объед</w:t>
      </w:r>
      <w:r>
        <w:t>и</w:t>
      </w:r>
      <w:r>
        <w:t>ненных Наций, а другая − независимости адвокатов и с</w:t>
      </w:r>
      <w:r>
        <w:t>у</w:t>
      </w:r>
      <w:r>
        <w:t>дей.</w:t>
      </w:r>
    </w:p>
    <w:p w:rsidR="00000000" w:rsidRDefault="00000000">
      <w:pPr>
        <w:pStyle w:val="SingleTxtGR"/>
      </w:pPr>
      <w:r>
        <w:t>8.</w:t>
      </w:r>
      <w:r>
        <w:tab/>
        <w:t>В связи с универсальным периодическим обзором по Венгрии, провед</w:t>
      </w:r>
      <w:r>
        <w:t>е</w:t>
      </w:r>
      <w:r>
        <w:t>ние которого намечено на май 2011 года, правительство начало подготовку н</w:t>
      </w:r>
      <w:r>
        <w:t>а</w:t>
      </w:r>
      <w:r>
        <w:t>ционального доклада Венгрии. Как ожид</w:t>
      </w:r>
      <w:r>
        <w:t>а</w:t>
      </w:r>
      <w:r>
        <w:t>ется, основными темами обсуждений в ходе обзора станут мигр</w:t>
      </w:r>
      <w:r>
        <w:t>а</w:t>
      </w:r>
      <w:r>
        <w:t>ция, гражданские и политические права, а также права ребенка.</w:t>
      </w:r>
    </w:p>
    <w:p w:rsidR="00000000" w:rsidRDefault="00000000">
      <w:pPr>
        <w:pStyle w:val="SingleTxtGR"/>
      </w:pPr>
      <w:r>
        <w:t>9.</w:t>
      </w:r>
      <w:r>
        <w:tab/>
        <w:t>В 2008 году Венгрия начала проведение серии ежегодных конференций в рамках Будапештского форума по правам человека, в котором принимают уч</w:t>
      </w:r>
      <w:r>
        <w:t>а</w:t>
      </w:r>
      <w:r>
        <w:t>стие эксперты Организации Объединенных Наций, дипломаты, правозащитные активисты и представители НПО с тем, чтобы обсуждать, какие темы будут в</w:t>
      </w:r>
      <w:r>
        <w:t>ы</w:t>
      </w:r>
      <w:r>
        <w:t>несены на рассмотрение в контексте УПО. Кроме того они обсудят вопросы предупреждения геноцида, проблемы доступа к воде и проблемы, связанные с правами ребенка. В этой связи, его правительство начало работу по созданию международного центра по предупреждению геноцида и массовых зверств, с тем чтобы внести вклад в поощрение прав человека и основных свобод на ме</w:t>
      </w:r>
      <w:r>
        <w:t>ж</w:t>
      </w:r>
      <w:r>
        <w:t>дународном уровне. По завершении двухлетней подготовител</w:t>
      </w:r>
      <w:r>
        <w:t>ь</w:t>
      </w:r>
      <w:r>
        <w:t>ной работы центр будет официально открыт во время проведения третьего Будапештского форума по правам человека, а также в рамках ведущегося диалога Венгрии с Комитетом по правам человека.</w:t>
      </w:r>
    </w:p>
    <w:p w:rsidR="00000000" w:rsidRDefault="00000000">
      <w:pPr>
        <w:pStyle w:val="SingleTxtGR"/>
      </w:pPr>
      <w:r>
        <w:t>10.</w:t>
      </w:r>
      <w:r>
        <w:tab/>
      </w:r>
      <w:r>
        <w:rPr>
          <w:b/>
        </w:rPr>
        <w:t>Председатель</w:t>
      </w:r>
      <w:r>
        <w:t xml:space="preserve"> отмечая, что письменные ответы были представлены тол</w:t>
      </w:r>
      <w:r>
        <w:t>ь</w:t>
      </w:r>
      <w:r>
        <w:t>ко на английском языке, просит делегацию кратко изложить свои ответы на в</w:t>
      </w:r>
      <w:r>
        <w:t>о</w:t>
      </w:r>
      <w:r>
        <w:t>просы 1−18 из перечня вопросов для тех членов Комитета, которые не испол</w:t>
      </w:r>
      <w:r>
        <w:t>ь</w:t>
      </w:r>
      <w:r>
        <w:t>зуют английский язык. Кроме того, делегации следует представить ответы на вопросы, на которые правительство еще не ответило.</w:t>
      </w:r>
    </w:p>
    <w:p w:rsidR="00000000" w:rsidRDefault="00000000">
      <w:pPr>
        <w:pStyle w:val="SingleTxtGR"/>
      </w:pPr>
      <w:r>
        <w:t>11.</w:t>
      </w:r>
      <w:r>
        <w:tab/>
      </w:r>
      <w:r>
        <w:rPr>
          <w:b/>
        </w:rPr>
        <w:t>Г-н Чухань</w:t>
      </w:r>
      <w:r>
        <w:t xml:space="preserve"> (Венгрия), отвечая на вопрос 1 из перечня вопр</w:t>
      </w:r>
      <w:r>
        <w:t>о</w:t>
      </w:r>
      <w:r>
        <w:t>сов, говорит, что в соответствии с Конституцией парламент избирает парламентских упо</w:t>
      </w:r>
      <w:r>
        <w:t>л</w:t>
      </w:r>
      <w:r>
        <w:t>номоченных или омбудсменов, в компетенцию которых входит защита гражда</w:t>
      </w:r>
      <w:r>
        <w:t>н</w:t>
      </w:r>
      <w:r>
        <w:t>ских прав и прав национальных и этнических меньшинств. Помимо этого, в Конституции предусмотрено избрание специальных парламентских уполном</w:t>
      </w:r>
      <w:r>
        <w:t>о</w:t>
      </w:r>
      <w:r>
        <w:t>ченных по вопросам защиты данных и правам будущих поколений, причем п</w:t>
      </w:r>
      <w:r>
        <w:t>о</w:t>
      </w:r>
      <w:r>
        <w:t>следние отвечают также и за вопросы защиты окружающей среды. Все вместе парламентские уполномоченные могут рассматриваться в качестве цельного национального правозащитного органа, при условии, что в их функции входит обеспечение соответствия требованиям Парижских принципов. Например, па</w:t>
      </w:r>
      <w:r>
        <w:t>р</w:t>
      </w:r>
      <w:r>
        <w:t>ламентские уполномоченные по гражданским правам обладают полномочиями проводить расследования, входить на территорию охватываемых расследован</w:t>
      </w:r>
      <w:r>
        <w:t>и</w:t>
      </w:r>
      <w:r>
        <w:t>ем учреждений и органов власти, а также получать доступ к документам таких органов. Если уполномоченный приходит к заключению, что имело место н</w:t>
      </w:r>
      <w:r>
        <w:t>а</w:t>
      </w:r>
      <w:r>
        <w:t>рушение основного права, то он или она рекомендует соответствующее реш</w:t>
      </w:r>
      <w:r>
        <w:t>е</w:t>
      </w:r>
      <w:r>
        <w:t>ние проблемы непосредственно органу власти или его надзорному органу.</w:t>
      </w:r>
    </w:p>
    <w:p w:rsidR="00000000" w:rsidRDefault="00000000">
      <w:pPr>
        <w:pStyle w:val="SingleTxtGR"/>
      </w:pPr>
      <w:r>
        <w:t>12.</w:t>
      </w:r>
      <w:r>
        <w:tab/>
        <w:t>Кроме того, уполномоченный имеет право возбуждать дела в Констит</w:t>
      </w:r>
      <w:r>
        <w:t>у</w:t>
      </w:r>
      <w:r>
        <w:t>ционном суде. На основе инициативы уполномоченного Суд обладает полном</w:t>
      </w:r>
      <w:r>
        <w:t>о</w:t>
      </w:r>
      <w:r>
        <w:t>чиями обеспечивать соответствие внутреннего законодательства Конституц</w:t>
      </w:r>
      <w:r>
        <w:t>и</w:t>
      </w:r>
      <w:r>
        <w:t>и и международным договорам, ратифицированным Венгрией. Когда считается, что нарушение основного права происходит из-за отсутствия необходимого закон</w:t>
      </w:r>
      <w:r>
        <w:t>о</w:t>
      </w:r>
      <w:r>
        <w:t>дательства, уполномоченный может предложить компетентному законодател</w:t>
      </w:r>
      <w:r>
        <w:t>ь</w:t>
      </w:r>
      <w:r>
        <w:t>ному органу расширить сферу применения соответствующего закона, постано</w:t>
      </w:r>
      <w:r>
        <w:t>в</w:t>
      </w:r>
      <w:r>
        <w:t>ления или указа, внести в него изменения или отменить его действие. От упо</w:t>
      </w:r>
      <w:r>
        <w:t>л</w:t>
      </w:r>
      <w:r>
        <w:t>номоченного требуется представлять парламенту ежегодный доклад о своей деятельности, включая дела, по которым его рекомендации были отклонены с</w:t>
      </w:r>
      <w:r>
        <w:t>о</w:t>
      </w:r>
      <w:r>
        <w:t>ответствующими властями. Если уполномоченный считает, что нарушение прав человека было особенно серьезным или затронуло большую группу лиц, то он или она может обратиться к парламенту с просьбой о постановке этого вопроса на повестку дня для обсуждения в парл</w:t>
      </w:r>
      <w:r>
        <w:t>а</w:t>
      </w:r>
      <w:r>
        <w:t>менте.</w:t>
      </w:r>
    </w:p>
    <w:p w:rsidR="00000000" w:rsidRDefault="00000000">
      <w:pPr>
        <w:pStyle w:val="SingleTxtGR"/>
      </w:pPr>
      <w:r>
        <w:t>13.</w:t>
      </w:r>
      <w:r>
        <w:tab/>
        <w:t>Бюджет парламентских уполномоченных является отдельной статьей г</w:t>
      </w:r>
      <w:r>
        <w:t>о</w:t>
      </w:r>
      <w:r>
        <w:t>сударственного бюджета; в 2010 году он составил приблизительно 5 870 000 евро. Размер бюджета несколько снизился по сравнению с уровнем 2008 года, что может быть объяснено последствиями глобального ф</w:t>
      </w:r>
      <w:r>
        <w:t>и</w:t>
      </w:r>
      <w:r>
        <w:t>нансового кризиса.</w:t>
      </w:r>
    </w:p>
    <w:p w:rsidR="00000000" w:rsidRDefault="00000000">
      <w:pPr>
        <w:pStyle w:val="SingleTxtGR"/>
      </w:pPr>
      <w:r>
        <w:t>14.</w:t>
      </w:r>
      <w:r>
        <w:tab/>
        <w:t>В ответ на вопрос 2 перечня вопросов он говорит, что Венгрия в насто</w:t>
      </w:r>
      <w:r>
        <w:t>я</w:t>
      </w:r>
      <w:r>
        <w:t>щее время не рассматривает возможность пересмотра сферы применения Зак</w:t>
      </w:r>
      <w:r>
        <w:t>о</w:t>
      </w:r>
      <w:r>
        <w:t>на о равном обращении, поскольку, по мнению пр</w:t>
      </w:r>
      <w:r>
        <w:t>а</w:t>
      </w:r>
      <w:r>
        <w:t>вительства, она достаточно широка. Кроме того, он охватывает действия и бездействие всех государстве</w:t>
      </w:r>
      <w:r>
        <w:t>н</w:t>
      </w:r>
      <w:r>
        <w:t>ных субъектов, связанных с рассматриваемой сферой деятельности, и прим</w:t>
      </w:r>
      <w:r>
        <w:t>е</w:t>
      </w:r>
      <w:r>
        <w:t>ним к ряду частных субъектов. К тем, кто обязан соблюдать принцип равного обращения, относятся лица, предлагающие контракты или направляющие пр</w:t>
      </w:r>
      <w:r>
        <w:t>и</w:t>
      </w:r>
      <w:r>
        <w:t>глашение на участие в конкурсах; предоставляющие услуги или продающие т</w:t>
      </w:r>
      <w:r>
        <w:t>о</w:t>
      </w:r>
      <w:r>
        <w:t>вары в общественных местах; лица, занимающиеся индивидуальной трудовой деятельностью, юридические лица и организации без юридического статуса, получающие государственные су</w:t>
      </w:r>
      <w:r>
        <w:t>б</w:t>
      </w:r>
      <w:r>
        <w:t>сидии; а также работодатели.</w:t>
      </w:r>
    </w:p>
    <w:p w:rsidR="00000000" w:rsidRDefault="00000000">
      <w:pPr>
        <w:pStyle w:val="SingleTxtGR"/>
      </w:pPr>
      <w:r>
        <w:t>15.</w:t>
      </w:r>
      <w:r>
        <w:tab/>
        <w:t>Объем работы Управления по вопросам равного обращения в последние годы постоянно возрастал: с 491 дела в 2005 году до более 1 000 дел в 2008 и 2009 годах. Количество выявленных фактов нарушения законод</w:t>
      </w:r>
      <w:r>
        <w:t>а</w:t>
      </w:r>
      <w:r>
        <w:t>тельства также значительно выросло: с 9 в 2005 году до 48 в 2009 году.</w:t>
      </w:r>
    </w:p>
    <w:p w:rsidR="00000000" w:rsidRDefault="00000000">
      <w:pPr>
        <w:pStyle w:val="SingleTxtGR"/>
      </w:pPr>
      <w:r>
        <w:t>16.</w:t>
      </w:r>
      <w:r>
        <w:tab/>
        <w:t>Число сотрудников Управления находится ниже требуемого для должного выполнения его мандата, учитывая возросшее количество получаемых жалоб. В июне 2010 года в Управлении работало 20 сотрудников, девять из которых я</w:t>
      </w:r>
      <w:r>
        <w:t>в</w:t>
      </w:r>
      <w:r>
        <w:t>лялись сотрудниками по правовым вопросам, ответственными за проведение расследований. Бюджет Управления на 2010 год составил около 750 000 евро.</w:t>
      </w:r>
    </w:p>
    <w:p w:rsidR="00000000" w:rsidRDefault="00000000">
      <w:pPr>
        <w:pStyle w:val="SingleTxtGR"/>
      </w:pPr>
      <w:r>
        <w:t>17.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Элек</w:t>
      </w:r>
      <w:proofErr w:type="spellEnd"/>
      <w:r>
        <w:t xml:space="preserve"> (Венгрия), отвечая на вопрос 3, говорит, что в Уголовном к</w:t>
      </w:r>
      <w:r>
        <w:t>о</w:t>
      </w:r>
      <w:r>
        <w:t>дексе отсутствует конкретное определение преступлений, совершаемых на по</w:t>
      </w:r>
      <w:r>
        <w:t>ч</w:t>
      </w:r>
      <w:r>
        <w:t>ве ненависти, но вместе с тем в нем содержатся положения, касающиеся н</w:t>
      </w:r>
      <w:r>
        <w:t>е</w:t>
      </w:r>
      <w:r>
        <w:t>скольких самостоятельных преступных деяний, связанных с такими преступл</w:t>
      </w:r>
      <w:r>
        <w:t>е</w:t>
      </w:r>
      <w:r>
        <w:t>ниями, в том числе геноцид, насилие против члена общины и апартеид. В 2010 году парламент принял поправку к Уголовному кодексу, в соответствии с которой публичное отрицание холокоста считается уголовно наказуемым де</w:t>
      </w:r>
      <w:r>
        <w:t>я</w:t>
      </w:r>
      <w:r>
        <w:t>нием.</w:t>
      </w:r>
    </w:p>
    <w:p w:rsidR="00000000" w:rsidRDefault="00000000">
      <w:pPr>
        <w:pStyle w:val="SingleTxtGR"/>
      </w:pPr>
      <w:r>
        <w:t>18.</w:t>
      </w:r>
      <w:r>
        <w:tab/>
        <w:t>В 2009 году Высший апелляционный суд Будапешта постановил распу</w:t>
      </w:r>
      <w:r>
        <w:t>с</w:t>
      </w:r>
      <w:r>
        <w:t>тить правую организацию "</w:t>
      </w:r>
      <w:r>
        <w:rPr>
          <w:lang w:val="fr-CA"/>
        </w:rPr>
        <w:t>Magyar</w:t>
      </w:r>
      <w:r>
        <w:t xml:space="preserve"> </w:t>
      </w:r>
      <w:r>
        <w:rPr>
          <w:lang w:val="fr-CA"/>
        </w:rPr>
        <w:t>G</w:t>
      </w:r>
      <w:proofErr w:type="spellStart"/>
      <w:r>
        <w:t>á</w:t>
      </w:r>
      <w:r>
        <w:rPr>
          <w:lang w:val="fr-CA"/>
        </w:rPr>
        <w:t>rda</w:t>
      </w:r>
      <w:proofErr w:type="spellEnd"/>
      <w:r>
        <w:t>" или "Венгерская стража", которая сразу же сменила свое название на "Новую венге</w:t>
      </w:r>
      <w:r>
        <w:t>р</w:t>
      </w:r>
      <w:r>
        <w:t>скую стражу". Правительство незамедлительно на это отреагировало и ввело в действие новый закон, в соо</w:t>
      </w:r>
      <w:r>
        <w:t>т</w:t>
      </w:r>
      <w:r>
        <w:t>ветствии с которым лица, участвующие в деятельности какой-либо запреще</w:t>
      </w:r>
      <w:r>
        <w:t>н</w:t>
      </w:r>
      <w:r>
        <w:rPr>
          <w:spacing w:val="2"/>
        </w:rPr>
        <w:t>ной гражданской организации, преследуются по закону. Если вина лиц доказ</w:t>
      </w:r>
      <w:r>
        <w:rPr>
          <w:spacing w:val="2"/>
        </w:rPr>
        <w:t>а</w:t>
      </w:r>
      <w:r>
        <w:t>на, то такие лица наказываются тюремным заключением или штрафом. Кроме того, парламент ужесточил наказание за нарушение свободы ассоци</w:t>
      </w:r>
      <w:r>
        <w:t>а</w:t>
      </w:r>
      <w:r>
        <w:t>ции.</w:t>
      </w:r>
    </w:p>
    <w:p w:rsidR="00000000" w:rsidRDefault="00000000">
      <w:pPr>
        <w:pStyle w:val="SingleTxtGR"/>
      </w:pPr>
      <w:r>
        <w:t>19.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Лигети</w:t>
      </w:r>
      <w:proofErr w:type="spellEnd"/>
      <w:r>
        <w:t xml:space="preserve"> (Венгрия) добавляет, что ежегодно в полицию и другие пр</w:t>
      </w:r>
      <w:r>
        <w:t>а</w:t>
      </w:r>
      <w:r>
        <w:t>воохранительные органы поступает около 24 сообщений о преступлениях на почве ненависти и других случаях н</w:t>
      </w:r>
      <w:r>
        <w:t>а</w:t>
      </w:r>
      <w:r>
        <w:t>силия на почве ненависти экстремистского характера. Тем не менее, поскольку Конституционный суд придает большое значение свободе выражения мнений, расследование проводилось лишь в о</w:t>
      </w:r>
      <w:r>
        <w:t>т</w:t>
      </w:r>
      <w:r>
        <w:t>ношении некоторых жалоб; за последние 15 лет по обвинению в разжигании ненависти было заведено только одно судебное дело. Вместе с тем, полиция и другие правоохранительные органы серьезно борются с преступлениями на почве ненависти, и в связи с этим Национальное бюро расследований учредило специальные целевые группы по борьбе с экстремизмом. Принимая во вним</w:t>
      </w:r>
      <w:r>
        <w:t>а</w:t>
      </w:r>
      <w:r>
        <w:t>ние регулярное восстановление организации "</w:t>
      </w:r>
      <w:r>
        <w:rPr>
          <w:lang w:val="fr-CA"/>
        </w:rPr>
        <w:t>Magyar</w:t>
      </w:r>
      <w:r>
        <w:t xml:space="preserve"> </w:t>
      </w:r>
      <w:r>
        <w:rPr>
          <w:lang w:val="fr-CA"/>
        </w:rPr>
        <w:t>G</w:t>
      </w:r>
      <w:proofErr w:type="spellStart"/>
      <w:r>
        <w:t>á</w:t>
      </w:r>
      <w:r>
        <w:rPr>
          <w:lang w:val="fr-CA"/>
        </w:rPr>
        <w:t>rda</w:t>
      </w:r>
      <w:proofErr w:type="spellEnd"/>
      <w:r>
        <w:t>", полиции было п</w:t>
      </w:r>
      <w:r>
        <w:t>о</w:t>
      </w:r>
      <w:r>
        <w:t>ручено в первую очередь приложить усилия по противодействию таким гру</w:t>
      </w:r>
      <w:r>
        <w:t>п</w:t>
      </w:r>
      <w:r>
        <w:t>пам.</w:t>
      </w:r>
    </w:p>
    <w:p w:rsidR="00000000" w:rsidRDefault="00000000">
      <w:pPr>
        <w:pStyle w:val="SingleTxtGR"/>
      </w:pPr>
      <w:r>
        <w:t>20.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Ижак</w:t>
      </w:r>
      <w:proofErr w:type="spellEnd"/>
      <w:r>
        <w:t xml:space="preserve"> (Венгрия), отвечая на вопрос 4, говорит, что ее страна имеет давнюю традицию рассмотрения вопросов прав рома и возглавляет усилия по разработке стратегий по работе с общинами рома в Центральной и Восточной Европе. Венгрия сыграла важную роль в рамках Десятил</w:t>
      </w:r>
      <w:r>
        <w:t>е</w:t>
      </w:r>
      <w:r>
        <w:t xml:space="preserve">тия интеграции рома и содействовала интеграции рома в период своего председательства в </w:t>
      </w:r>
      <w:proofErr w:type="spellStart"/>
      <w:r>
        <w:t>Виш</w:t>
      </w:r>
      <w:r>
        <w:t>е</w:t>
      </w:r>
      <w:r>
        <w:t>градской</w:t>
      </w:r>
      <w:proofErr w:type="spellEnd"/>
      <w:r>
        <w:t xml:space="preserve"> группе. В 2011 году Венгрия поставит на повестку дня ЕС общеевр</w:t>
      </w:r>
      <w:r>
        <w:t>о</w:t>
      </w:r>
      <w:r>
        <w:t>пейскую стратегию об интеграции рома. Вм</w:t>
      </w:r>
      <w:r>
        <w:t>е</w:t>
      </w:r>
      <w:r>
        <w:t>сте с тем, правительство ее страны признает, что представители общины рома продолжают сталкиваться с трудн</w:t>
      </w:r>
      <w:r>
        <w:t>о</w:t>
      </w:r>
      <w:r>
        <w:t>стями во многих областях, в том числе в сфере жилья и образования, и обесп</w:t>
      </w:r>
      <w:r>
        <w:t>е</w:t>
      </w:r>
      <w:r>
        <w:t>чивает осуществление мер по их решению. Правительство понимает, что при установлении численности населения рома и проведении оценок осуществля</w:t>
      </w:r>
      <w:r>
        <w:t>е</w:t>
      </w:r>
      <w:r>
        <w:t>мых им проектов оно столкнулось с опред</w:t>
      </w:r>
      <w:r>
        <w:t>е</w:t>
      </w:r>
      <w:r>
        <w:t>ленными проблемами. В период 1996−2006 годов на проекты по интеграции рома было потрачено около 120 млрд. форинтов.</w:t>
      </w:r>
    </w:p>
    <w:p w:rsidR="00000000" w:rsidRDefault="00000000">
      <w:pPr>
        <w:pStyle w:val="SingleTxtGR"/>
      </w:pPr>
      <w:r>
        <w:t>21.</w:t>
      </w:r>
      <w:r>
        <w:tab/>
        <w:t>В ответ на вопрос 5 она отмечает, что правительство ее страны предпоч</w:t>
      </w:r>
      <w:r>
        <w:t>и</w:t>
      </w:r>
      <w:r>
        <w:t>тает не вмешиваться в деятельность средств массовой информации с целью с</w:t>
      </w:r>
      <w:r>
        <w:t>о</w:t>
      </w:r>
      <w:r>
        <w:t>блюдения свободы СМИ и свободы слова. Тем не менее в последнее время в этой области наблюдаются положительные изменения, в частности, было з</w:t>
      </w:r>
      <w:r>
        <w:t>а</w:t>
      </w:r>
      <w:r>
        <w:t>крыто несколько ток-шоу, в эфире которых создавалось негативное представл</w:t>
      </w:r>
      <w:r>
        <w:t>е</w:t>
      </w:r>
      <w:r>
        <w:t>ние о меньшинстве р</w:t>
      </w:r>
      <w:r>
        <w:t>о</w:t>
      </w:r>
      <w:r>
        <w:t>ма. Кроме того, Национальное общественное телевидение Венгрии осуществляет программу подготовки по проблемам рома. Многие из прошедших обучение по этой программе были приняты на радио и тел</w:t>
      </w:r>
      <w:r>
        <w:t>е</w:t>
      </w:r>
      <w:r>
        <w:t>видение и в настоящее время освещают проблемы рома в популярных передачах. В д</w:t>
      </w:r>
      <w:r>
        <w:t>о</w:t>
      </w:r>
      <w:r>
        <w:t>полнение к этому в Комитете по вопросам государственной службы Совета по средствам массовой информации одно м</w:t>
      </w:r>
      <w:r>
        <w:t>е</w:t>
      </w:r>
      <w:r>
        <w:t>сто предназначено для представителя национального меньшинства, что позволит представителям меньшинства ок</w:t>
      </w:r>
      <w:r>
        <w:t>а</w:t>
      </w:r>
      <w:r>
        <w:t>зывать влияние на СМИ.</w:t>
      </w:r>
    </w:p>
    <w:p w:rsidR="00000000" w:rsidRDefault="00000000">
      <w:pPr>
        <w:pStyle w:val="SingleTxtGR"/>
      </w:pPr>
      <w:r>
        <w:t>22.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Лигети</w:t>
      </w:r>
      <w:proofErr w:type="spellEnd"/>
      <w:r>
        <w:t xml:space="preserve"> (Венгрия), переходя к вопросу 6, говорит, что правительство всегда придавало большое значение предоставлению услуг и программам инт</w:t>
      </w:r>
      <w:r>
        <w:t>е</w:t>
      </w:r>
      <w:r>
        <w:t>грации для беженцев и других получателей международной защиты. В рамках новейших поправок в законодательство, касающееся политики в отношении иностранцев и миграции, предусмотрены положения об улучшении доступа к средствам прав</w:t>
      </w:r>
      <w:r>
        <w:t>о</w:t>
      </w:r>
      <w:r>
        <w:t>вой защиты для получателей международной защиты, в том числе увеличение количества судов, в компетенцию которых входит рассмотр</w:t>
      </w:r>
      <w:r>
        <w:t>е</w:t>
      </w:r>
      <w:r>
        <w:t>ние дел беженцев и иностранцев, с одного до шести.</w:t>
      </w:r>
    </w:p>
    <w:p w:rsidR="00000000" w:rsidRDefault="00000000">
      <w:pPr>
        <w:pStyle w:val="SingleTxtGR"/>
      </w:pPr>
      <w:r>
        <w:t>23.</w:t>
      </w:r>
      <w:r>
        <w:tab/>
      </w:r>
      <w:r>
        <w:rPr>
          <w:b/>
        </w:rPr>
        <w:t>Г-жа Макар</w:t>
      </w:r>
      <w:r>
        <w:t xml:space="preserve"> (Венгрия) в ответ на вопрос 7 говорит, что в 2010 году пр</w:t>
      </w:r>
      <w:r>
        <w:t>а</w:t>
      </w:r>
      <w:r>
        <w:t xml:space="preserve">вительством ее страны была принята Национальная стратегия поощрения </w:t>
      </w:r>
      <w:proofErr w:type="spellStart"/>
      <w:r>
        <w:t>ге</w:t>
      </w:r>
      <w:r>
        <w:t>н</w:t>
      </w:r>
      <w:r>
        <w:t>дерного</w:t>
      </w:r>
      <w:proofErr w:type="spellEnd"/>
      <w:r>
        <w:t xml:space="preserve"> равенства, долгосрочные первостепенные задачи которой изложены в пункте 58 пятого периодического доклада. После отклонения в 2007 году зак</w:t>
      </w:r>
      <w:r>
        <w:t>о</w:t>
      </w:r>
      <w:r>
        <w:t>нопроекта об установлении системы квот с целью увеличения числа женщин в парламенте правительство предприняло шаги по повышению уровня информ</w:t>
      </w:r>
      <w:r>
        <w:t>и</w:t>
      </w:r>
      <w:r>
        <w:t>рованности населения о системе квот и необходимости увеличения числа же</w:t>
      </w:r>
      <w:r>
        <w:t>н</w:t>
      </w:r>
      <w:r>
        <w:t>щин-политиков.</w:t>
      </w:r>
    </w:p>
    <w:p w:rsidR="00000000" w:rsidRDefault="00000000">
      <w:pPr>
        <w:pStyle w:val="SingleTxtGR"/>
      </w:pPr>
      <w:r>
        <w:t>24.</w:t>
      </w:r>
      <w:r>
        <w:tab/>
        <w:t>Отвечая на вопрос 8, она говорит, что, несмотря на то что насилие в с</w:t>
      </w:r>
      <w:r>
        <w:t>е</w:t>
      </w:r>
      <w:r>
        <w:t>мье не считается отдельным преступным деянием, в Уголовном кодексе насч</w:t>
      </w:r>
      <w:r>
        <w:t>и</w:t>
      </w:r>
      <w:r>
        <w:t>тывается почти 30 преступлений, которые связаны с таким видом насилия. Для женщин, ставших жертвами насилия, работает горячая телефонная линия, по которой они могут связаться с национальной сетью управления кризисными с</w:t>
      </w:r>
      <w:r>
        <w:t>и</w:t>
      </w:r>
      <w:r>
        <w:t>туациями, объединяющей 11 приютов. Жертвы могут проживать в таких пр</w:t>
      </w:r>
      <w:r>
        <w:t>и</w:t>
      </w:r>
      <w:r>
        <w:t>ютах 30 дней, а в случае необходимости этот период может быть увеличен до 60 дней. Женщинам, находящимся в этих приютах, предоставляется разли</w:t>
      </w:r>
      <w:r>
        <w:t>ч</w:t>
      </w:r>
      <w:r>
        <w:t>ного рода поддержка, после чего они могут жить в квартирах в течение сл</w:t>
      </w:r>
      <w:r>
        <w:t>е</w:t>
      </w:r>
      <w:r>
        <w:t>дующих пяти лет в ра</w:t>
      </w:r>
      <w:r>
        <w:t>м</w:t>
      </w:r>
      <w:r>
        <w:t>ках так называемой "программы частичного выхода".</w:t>
      </w:r>
    </w:p>
    <w:p w:rsidR="00000000" w:rsidRDefault="00000000">
      <w:pPr>
        <w:pStyle w:val="SingleTxtGR"/>
      </w:pPr>
      <w:r>
        <w:t>25.</w:t>
      </w:r>
      <w:r>
        <w:tab/>
        <w:t>В ответ на вопрос 9 она говорит, что Законом о здравоохранении пред</w:t>
      </w:r>
      <w:r>
        <w:t>у</w:t>
      </w:r>
      <w:r>
        <w:t>сматривается проведение срочных операций по стерилизации при осознанном согласии женщины. Об одном случае срочной стерилизации, проведенной при отсутствии такого согласия, была представлена официальная информация. В связи с этим правительство выплатило жертве надлежащую компенсацию и приняло все необходимые меры, чтобы не допустить повторения подобной с</w:t>
      </w:r>
      <w:r>
        <w:t>и</w:t>
      </w:r>
      <w:r>
        <w:t>туации.</w:t>
      </w:r>
    </w:p>
    <w:p w:rsidR="00000000" w:rsidRDefault="00000000">
      <w:pPr>
        <w:pStyle w:val="SingleTxtGR"/>
      </w:pPr>
      <w:r>
        <w:t>26.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Элек</w:t>
      </w:r>
      <w:proofErr w:type="spellEnd"/>
      <w:r>
        <w:t xml:space="preserve"> (Венгрия), отвечая на вопрос 10, говорит, что в Уголовном к</w:t>
      </w:r>
      <w:r>
        <w:t>о</w:t>
      </w:r>
      <w:r>
        <w:t>дексе содержится подробное определение преступления терроризма, которое включает финансовый терроризм и подготовку или угрозу совершения террор</w:t>
      </w:r>
      <w:r>
        <w:t>и</w:t>
      </w:r>
      <w:r>
        <w:t>стического акта.  Наказанием, предусмотренным за это преступление, является лишение свободы на срок от 10 до 20 лет или пожизненное заключение.</w:t>
      </w:r>
    </w:p>
    <w:p w:rsidR="00000000" w:rsidRDefault="00000000">
      <w:pPr>
        <w:pStyle w:val="SingleTxtGR"/>
      </w:pPr>
      <w:r>
        <w:t>27.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Лигети</w:t>
      </w:r>
      <w:proofErr w:type="spellEnd"/>
      <w:r>
        <w:t xml:space="preserve"> (Венгрия) отмечает, что, хотя на территории Венгрии не пр</w:t>
      </w:r>
      <w:r>
        <w:t>о</w:t>
      </w:r>
      <w:r>
        <w:t>исходило широкома</w:t>
      </w:r>
      <w:r>
        <w:t>с</w:t>
      </w:r>
      <w:r>
        <w:t>штабных террористических актов, полиция рассматривает проведение антитеррористических мер в качестве первоочередной задачи. Пе</w:t>
      </w:r>
      <w:r>
        <w:t>р</w:t>
      </w:r>
      <w:r>
        <w:t>вая венгерская террористическая организация была раскрыта в прошлом году; ее члены были заключены под стражу и в настоящее время ожидают суда. При новом прав</w:t>
      </w:r>
      <w:r>
        <w:t>и</w:t>
      </w:r>
      <w:r>
        <w:t>тельстве в системе полиции было создано подразделение по борьбе с терроризмом, в работе которого применяются как обычная полицейская пра</w:t>
      </w:r>
      <w:r>
        <w:t>к</w:t>
      </w:r>
      <w:r>
        <w:t>тика, так и скрытые методы.</w:t>
      </w:r>
    </w:p>
    <w:p w:rsidR="00000000" w:rsidRDefault="00000000">
      <w:pPr>
        <w:pStyle w:val="SingleTxtGR"/>
      </w:pPr>
      <w:r>
        <w:t>28.</w:t>
      </w:r>
      <w:r>
        <w:tab/>
        <w:t>В ответ на вопрос 11 он говорит, что в Уголовный кодекс включены пр</w:t>
      </w:r>
      <w:r>
        <w:t>е</w:t>
      </w:r>
      <w:r>
        <w:t>ступления жестокого о</w:t>
      </w:r>
      <w:r>
        <w:t>б</w:t>
      </w:r>
      <w:r>
        <w:t>ращения со стороны сотрудников правоохранительных органов в местах содержания под стражей или где-либо еще, в связи с этим в отношении нескольких сотрудников были возбуждены дела и назначены нак</w:t>
      </w:r>
      <w:r>
        <w:t>а</w:t>
      </w:r>
      <w:r>
        <w:t>зания. Видеозапись допросов подозреваемых не является обязательной. Дела, в которых сотрудники полиции являются виновными в жестоком обращении, ра</w:t>
      </w:r>
      <w:r>
        <w:t>с</w:t>
      </w:r>
      <w:r>
        <w:t>сматриваются прокурором, а не полицией.</w:t>
      </w:r>
    </w:p>
    <w:p w:rsidR="00000000" w:rsidRDefault="00000000">
      <w:pPr>
        <w:pStyle w:val="SingleTxtGR"/>
      </w:pPr>
      <w:r>
        <w:t>29.</w:t>
      </w:r>
      <w:r>
        <w:tab/>
        <w:t>В ответ на вопрос 13 он говорит, что в связи с отсутствием официальной статистики по населению рома не представляется возможным перечислить ш</w:t>
      </w:r>
      <w:r>
        <w:t>а</w:t>
      </w:r>
      <w:r>
        <w:t xml:space="preserve">ги, которые были предприняты по сокращению количества случаев жестокого обращения с представителями меньшинства рома со стороны сотрудников </w:t>
      </w:r>
      <w:r>
        <w:br/>
        <w:t xml:space="preserve">полиции. Тем не менее был осуществлен ряд мер по борьбе с предвзятым </w:t>
      </w:r>
      <w:r>
        <w:br/>
        <w:t>отношением к представителям рома со стороны сотрудников полиции и других правоохранительных органов, в том числе работн</w:t>
      </w:r>
      <w:r>
        <w:t>и</w:t>
      </w:r>
      <w:r>
        <w:t>ков тюрем.</w:t>
      </w:r>
    </w:p>
    <w:p w:rsidR="00000000" w:rsidRDefault="00000000">
      <w:pPr>
        <w:pStyle w:val="SingleTxtGR"/>
      </w:pPr>
      <w:r>
        <w:t>30.</w:t>
      </w:r>
      <w:r>
        <w:tab/>
        <w:t>Касаясь вопроса 14, он отмечает, что кратковременное содержание под стражей на период до 10 часов является законным. В это время устанавливае</w:t>
      </w:r>
      <w:r>
        <w:t>т</w:t>
      </w:r>
      <w:r>
        <w:t>ся, требуется ли начать уголовное или административное производство. Если лица, заключенные под стражу, до этого уже кратковременно содержались под стражей, то продолжительность кратковременного содержания под стражей в</w:t>
      </w:r>
      <w:r>
        <w:t>ы</w:t>
      </w:r>
      <w:r>
        <w:t>читается из макс</w:t>
      </w:r>
      <w:r>
        <w:t>и</w:t>
      </w:r>
      <w:r>
        <w:t>мального срока содержания под стражей, составляющего 72 часа.</w:t>
      </w:r>
    </w:p>
    <w:p w:rsidR="00000000" w:rsidRDefault="00000000">
      <w:pPr>
        <w:pStyle w:val="SingleTxtGR"/>
      </w:pPr>
      <w:r>
        <w:t>31.</w:t>
      </w:r>
      <w:r>
        <w:tab/>
        <w:t>В ответ на вопрос 15 он говорит, что лицам, содержащимся под стражей, гарантируется соблюд</w:t>
      </w:r>
      <w:r>
        <w:t>е</w:t>
      </w:r>
      <w:r>
        <w:t>ние прав задержанных, содержащихся в Уголовно-процессуальном кодексе, в том числе право связ</w:t>
      </w:r>
      <w:r>
        <w:t>ы</w:t>
      </w:r>
      <w:r>
        <w:t>ваться со своими адвокатами. Общение происходит в помещении, не оснащенном записывающими устройс</w:t>
      </w:r>
      <w:r>
        <w:t>т</w:t>
      </w:r>
      <w:r>
        <w:t>вами, если только нет оснований подозревать, что адвокат и подозреваемый планируют совершить преступление или воспрепятствовать определению вида ответственности подозреваемого. Заключенные имеют право вступать в контакт с родственниками и другими лицами, находящимися за пределами тюрьмы. С</w:t>
      </w:r>
      <w:r>
        <w:t>о</w:t>
      </w:r>
      <w:r>
        <w:t>трудники тюрьмы должны регистрировать личные данные каждого посетителя тюрьмы, что требует с его стороны письменного согласия в соответствии с з</w:t>
      </w:r>
      <w:r>
        <w:t>а</w:t>
      </w:r>
      <w:r>
        <w:t>конодательством об использовании личных данных. Предусмотрены специал</w:t>
      </w:r>
      <w:r>
        <w:t>ь</w:t>
      </w:r>
      <w:r>
        <w:t>ные механизмы предоставления задержанным лицам возможности подавать ж</w:t>
      </w:r>
      <w:r>
        <w:t>а</w:t>
      </w:r>
      <w:r>
        <w:t>лобы о нарушениях их прав.</w:t>
      </w:r>
    </w:p>
    <w:p w:rsidR="00000000" w:rsidRDefault="00000000">
      <w:pPr>
        <w:pStyle w:val="SingleTxtGR"/>
      </w:pPr>
      <w:r>
        <w:t>32.</w:t>
      </w:r>
      <w:r>
        <w:tab/>
        <w:t>Отвечая на вопрос 16, он говорит, что иностранцы, незаконно въехавшие в Венгрию или проживающие в ней, задерживаются до их возвращения, выдв</w:t>
      </w:r>
      <w:r>
        <w:t>о</w:t>
      </w:r>
      <w:r>
        <w:t>рения или осуществления крайней меры − высылки. Такое задержание подл</w:t>
      </w:r>
      <w:r>
        <w:t>е</w:t>
      </w:r>
      <w:r>
        <w:t>жит судебному контролю со стороны шести судов, действующих в масштабах страны.</w:t>
      </w:r>
    </w:p>
    <w:p w:rsidR="00000000" w:rsidRDefault="00000000">
      <w:pPr>
        <w:pStyle w:val="SingleTxtGR"/>
      </w:pPr>
      <w:r>
        <w:t>33.</w:t>
      </w:r>
      <w:r>
        <w:tab/>
        <w:t>В ответ на вопрос 17 он говорит, что открытие двух новых пенитенциа</w:t>
      </w:r>
      <w:r>
        <w:t>р</w:t>
      </w:r>
      <w:r>
        <w:t>ных учреждений привело к уменьшению переполненности тюрем со 140% до менее 120%. Согласно планам, в октябре 2010 года начнут функционировать еще две тюрьмы.</w:t>
      </w:r>
    </w:p>
    <w:p w:rsidR="00000000" w:rsidRDefault="00000000">
      <w:pPr>
        <w:pStyle w:val="SingleTxtGR"/>
      </w:pPr>
      <w:r>
        <w:t>34.</w:t>
      </w:r>
      <w:r>
        <w:tab/>
        <w:t>По вопросу 18 он говорит, что преступники, которые признаны душевн</w:t>
      </w:r>
      <w:r>
        <w:t>о</w:t>
      </w:r>
      <w:r>
        <w:t>больными, содержатся в закрытых психиатрических учреждениях, которые я</w:t>
      </w:r>
      <w:r>
        <w:t>в</w:t>
      </w:r>
      <w:r>
        <w:t>ляются пенитенциарными, но функционируют в рамках правового режима у</w:t>
      </w:r>
      <w:r>
        <w:t>ч</w:t>
      </w:r>
      <w:r>
        <w:t>реждений здравоохранения.</w:t>
      </w:r>
    </w:p>
    <w:p w:rsidR="00000000" w:rsidRDefault="00000000">
      <w:pPr>
        <w:pStyle w:val="SingleTxtGR"/>
      </w:pPr>
      <w:r>
        <w:t>35.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О'Флаэрти</w:t>
      </w:r>
      <w:proofErr w:type="spellEnd"/>
      <w:r>
        <w:t xml:space="preserve"> выражает сочувствие народу и правительству Венгрии в связи с недавней катастрофой, происшедшей в результате химикатов, которая привела к серьезным последствиям для прав человека. К сожалению, прав</w:t>
      </w:r>
      <w:r>
        <w:t>и</w:t>
      </w:r>
      <w:r>
        <w:t>тельство Венгрии представило развернутые ответы лишь на некоторые в</w:t>
      </w:r>
      <w:r>
        <w:t>о</w:t>
      </w:r>
      <w:r>
        <w:t>просы Комитета, остальные вопросы остались либо без ответа, либо ответы на них были недостаточно полными. Нехватка требуемой информации со стороны г</w:t>
      </w:r>
      <w:r>
        <w:t>о</w:t>
      </w:r>
      <w:r>
        <w:t>сударства-участника затрудняет процесс подготовки Комитета к диалогу с его делегацией.</w:t>
      </w:r>
    </w:p>
    <w:p w:rsidR="00000000" w:rsidRDefault="00000000">
      <w:pPr>
        <w:pStyle w:val="SingleTxtGR"/>
      </w:pPr>
      <w:r>
        <w:t>36.</w:t>
      </w:r>
      <w:r>
        <w:tab/>
        <w:t xml:space="preserve">Возвращаясь к вопросу 1 из перечня вопросов, он говорит, что Комитет хотел бы получить дезагрегированные статистические данные о бюджетных </w:t>
      </w:r>
      <w:r>
        <w:br/>
        <w:t>ассигнованиях, выделяемых на национальные структуры в области прав чел</w:t>
      </w:r>
      <w:r>
        <w:t>о</w:t>
      </w:r>
      <w:r>
        <w:t xml:space="preserve">века. В особенности, он хотел бы получить информацию о том, каким образом </w:t>
      </w:r>
      <w:r>
        <w:br/>
        <w:t xml:space="preserve">и какие бюджетные средства выделяются Парламентскому уполномоченному </w:t>
      </w:r>
      <w:r>
        <w:br/>
        <w:t>по вопросам гражданских прав и Парламентскому уполномоченному по вопр</w:t>
      </w:r>
      <w:r>
        <w:t>о</w:t>
      </w:r>
      <w:r>
        <w:t>сам прав национальных и этнических меньшинств. Он спрашивает, как эти уполн</w:t>
      </w:r>
      <w:r>
        <w:t>о</w:t>
      </w:r>
      <w:r>
        <w:t>моченные координируют между собой рассмотрение вопросов существа. Он интересуется, верно ли то, что Парламентский уполномоченный по вопр</w:t>
      </w:r>
      <w:r>
        <w:t>о</w:t>
      </w:r>
      <w:r>
        <w:t>сам гражданских прав не будет рассматривать проблемы рома, поскольку за них отвечает Парламентский уполномоченный по вопросам прав национальных и этнических меньшинств. Делегация заявила, что венгерские учреждения в о</w:t>
      </w:r>
      <w:r>
        <w:t>б</w:t>
      </w:r>
      <w:r>
        <w:t xml:space="preserve">ласти прав человека действуют в соответствии с Парижскими принципами. </w:t>
      </w:r>
      <w:r>
        <w:rPr>
          <w:lang w:val="en-US"/>
        </w:rPr>
        <w:br/>
      </w:r>
      <w:r>
        <w:t>В связи с этим он хотел бы знать причину, по которой Венгрия не отправила з</w:t>
      </w:r>
      <w:r>
        <w:t>а</w:t>
      </w:r>
      <w:r>
        <w:t>явку на аккредитацию своих учреждений в рамках системы Организации Объ</w:t>
      </w:r>
      <w:r>
        <w:t>е</w:t>
      </w:r>
      <w:r>
        <w:t>диненных Наций. Он задается вопросом, как можно считать, что они соответс</w:t>
      </w:r>
      <w:r>
        <w:t>т</w:t>
      </w:r>
      <w:r>
        <w:t>вуют Парижским принципам, если отсутствует обеспечение надзора за выпо</w:t>
      </w:r>
      <w:r>
        <w:t>л</w:t>
      </w:r>
      <w:r>
        <w:t>нением экономических, социальных и культурных прав. Рассматривает ли гос</w:t>
      </w:r>
      <w:r>
        <w:t>у</w:t>
      </w:r>
      <w:r>
        <w:t>дарство-участник возможность создания единого всеобъемлющего национал</w:t>
      </w:r>
      <w:r>
        <w:t>ь</w:t>
      </w:r>
      <w:r>
        <w:t>ного учреждения в области прав человека? Он приветствует назначение Упо</w:t>
      </w:r>
      <w:r>
        <w:t>л</w:t>
      </w:r>
      <w:r>
        <w:t>номоченного по вопросам будущих поколений, что является дальновидной ин</w:t>
      </w:r>
      <w:r>
        <w:t>и</w:t>
      </w:r>
      <w:r>
        <w:t>циат</w:t>
      </w:r>
      <w:r>
        <w:t>и</w:t>
      </w:r>
      <w:r>
        <w:t>вой.</w:t>
      </w:r>
    </w:p>
    <w:p w:rsidR="00000000" w:rsidRDefault="00000000">
      <w:pPr>
        <w:pStyle w:val="SingleTxtGR"/>
      </w:pPr>
      <w:r>
        <w:t>37.</w:t>
      </w:r>
      <w:r>
        <w:tab/>
        <w:t xml:space="preserve">Государство-участник не представило ответы на вопросы 3 </w:t>
      </w:r>
      <w:r>
        <w:rPr>
          <w:lang w:val="fr-CA"/>
        </w:rPr>
        <w:t>a</w:t>
      </w:r>
      <w:r>
        <w:t xml:space="preserve">), </w:t>
      </w:r>
      <w:r>
        <w:rPr>
          <w:lang w:val="fr-CA"/>
        </w:rPr>
        <w:t>c</w:t>
      </w:r>
      <w:r>
        <w:t xml:space="preserve">) и </w:t>
      </w:r>
      <w:r>
        <w:rPr>
          <w:lang w:val="fr-CA"/>
        </w:rPr>
        <w:t>d</w:t>
      </w:r>
      <w:r>
        <w:t>) из перечня вопросов. Он хочет знать, каким образом правительство выполняет свои обязательства в соответствии с Пактом и Международной конвенцией о ликвидации всех форм расовой дискриминации, если оно считает, что получ</w:t>
      </w:r>
      <w:r>
        <w:t>е</w:t>
      </w:r>
      <w:r>
        <w:t>ние статистических данных в разбивке по расе и этнической принадлежности является нарушением права на неприкосновенность личной жизни. В течение последних двух лет Комитет получил из неправительственных источников и</w:t>
      </w:r>
      <w:r>
        <w:t>н</w:t>
      </w:r>
      <w:r>
        <w:t>формацию о 48 случаях нападения на представителей общины рома. Он интер</w:t>
      </w:r>
      <w:r>
        <w:t>е</w:t>
      </w:r>
      <w:r>
        <w:t>суется, какие меры были приняты по решению этой проблемы, и выражает с</w:t>
      </w:r>
      <w:r>
        <w:t>о</w:t>
      </w:r>
      <w:r>
        <w:t>жаление в связи с тем, что Комитет получает информацию о нападениях от НПО, а не от самого государства-участника. Государство-участник проинфо</w:t>
      </w:r>
      <w:r>
        <w:t>р</w:t>
      </w:r>
      <w:r>
        <w:t>мировало Комитет о невозможности провести сбор данных о расследованиях, судебных преследованиях и определении мер наказания в отношении актов н</w:t>
      </w:r>
      <w:r>
        <w:t>а</w:t>
      </w:r>
      <w:r>
        <w:t>силия в отношении представителей рома в связи с тем, что Генеральная прок</w:t>
      </w:r>
      <w:r>
        <w:t>у</w:t>
      </w:r>
      <w:r>
        <w:t>ратура будет не в состоянии справиться с таким объемом работы. Несмотря на то, что Комитет признает необходимость устанавливать приоритетность пр</w:t>
      </w:r>
      <w:r>
        <w:t>о</w:t>
      </w:r>
      <w:r>
        <w:t>блем, которые решаются государственной службой, он отмечает, что насилие в о</w:t>
      </w:r>
      <w:r>
        <w:t>т</w:t>
      </w:r>
      <w:r>
        <w:t>ношении рома является крайне серьезным вопросом. Он просит представить дополнительную информ</w:t>
      </w:r>
      <w:r>
        <w:t>а</w:t>
      </w:r>
      <w:r>
        <w:t>цию о политике в области интеграции рома, которая, как он надеется, обеспечивает соблюдение прав рома в соответствии со стат</w:t>
      </w:r>
      <w:r>
        <w:t>ь</w:t>
      </w:r>
      <w:r>
        <w:t>ей 27 Пакта. Он интересуется, насколько серьезно правительство Венгрии ра</w:t>
      </w:r>
      <w:r>
        <w:t>с</w:t>
      </w:r>
      <w:r>
        <w:t>сматривает возможность использовать недавний опыт Македонии и включить конкретные ссылки на права рома в текст пересмотренной Конституции.</w:t>
      </w:r>
    </w:p>
    <w:p w:rsidR="00000000" w:rsidRDefault="00000000">
      <w:pPr>
        <w:pStyle w:val="SingleTxtGR"/>
      </w:pPr>
      <w:r>
        <w:t>38.</w:t>
      </w:r>
      <w:r>
        <w:tab/>
        <w:t>Обращаясь к вопросу 4 из перечня вопросов, который также касается п</w:t>
      </w:r>
      <w:r>
        <w:t>о</w:t>
      </w:r>
      <w:r>
        <w:t>ложения рома, он говорит, что в письменных ответах государства-участника с</w:t>
      </w:r>
      <w:r>
        <w:t>о</w:t>
      </w:r>
      <w:r>
        <w:t>держатся данные  лишь о деятельности общего х</w:t>
      </w:r>
      <w:r>
        <w:t>а</w:t>
      </w:r>
      <w:r>
        <w:t>рактера, направленной на преодоление социального отчуждения в ограниченном количестве сфер жи</w:t>
      </w:r>
      <w:r>
        <w:t>з</w:t>
      </w:r>
      <w:r>
        <w:t>ни: городское строительство, школы, спорт и досуг. Комитет хочет знать, какие м</w:t>
      </w:r>
      <w:r>
        <w:t>е</w:t>
      </w:r>
      <w:r>
        <w:t>ры принимаются в таких областях, как занятость, здравоохранение, социальная поддержка и обеспечение жильем. Он обращает внимание на данные о занят</w:t>
      </w:r>
      <w:r>
        <w:t>о</w:t>
      </w:r>
      <w:r>
        <w:t>сти, полученные Европейской комиссией по борьбе против расизма и нетерп</w:t>
      </w:r>
      <w:r>
        <w:t>и</w:t>
      </w:r>
      <w:r>
        <w:t>мости, а также на доклад независимого эксперта Организации Объединенных Наций по в</w:t>
      </w:r>
      <w:r>
        <w:t>о</w:t>
      </w:r>
      <w:r>
        <w:t>просам меньшинств.</w:t>
      </w:r>
    </w:p>
    <w:p w:rsidR="00000000" w:rsidRDefault="00000000">
      <w:pPr>
        <w:pStyle w:val="SingleTxtGR"/>
      </w:pPr>
      <w:r>
        <w:t>39.</w:t>
      </w:r>
      <w:r>
        <w:tab/>
        <w:t>Что касается вопроса Комитета о борьбе с негативным изображением меньшинства рома в средс</w:t>
      </w:r>
      <w:r>
        <w:t>т</w:t>
      </w:r>
      <w:r>
        <w:t xml:space="preserve">вах массовой информации, то заявление делегации о том, что государство-участник не стремится налагать ограничения на СМИ </w:t>
      </w:r>
      <w:r>
        <w:br/>
        <w:t xml:space="preserve">с целью защиты права на выражение мнений, вызывает обеспокоенность, </w:t>
      </w:r>
      <w:r>
        <w:br/>
        <w:t>поскольку в рамках права на выражение мнений должна оставаться возмо</w:t>
      </w:r>
      <w:r>
        <w:t>ж</w:t>
      </w:r>
      <w:r>
        <w:t>ность защиты меньшинств. Комитет приветствует предложение о том, чтобы в СМИ работали представители рома.</w:t>
      </w:r>
    </w:p>
    <w:p w:rsidR="00000000" w:rsidRDefault="00000000">
      <w:pPr>
        <w:pStyle w:val="SingleTxtGR"/>
      </w:pPr>
      <w:r>
        <w:t>40.</w:t>
      </w:r>
      <w:r>
        <w:tab/>
        <w:t>Письменного ответа на вопрос 9, касающийся принудительной стерил</w:t>
      </w:r>
      <w:r>
        <w:t>и</w:t>
      </w:r>
      <w:r>
        <w:t>зации, получено не было, тем не менее Комитет высоко оценивает заверения делегации в том, что ситуация в этой области была исправлена, а также с удо</w:t>
      </w:r>
      <w:r>
        <w:t>в</w:t>
      </w:r>
      <w:r>
        <w:t>летворением отмечает, что Комитет по ликвидации дискриминации в отнош</w:t>
      </w:r>
      <w:r>
        <w:t>е</w:t>
      </w:r>
      <w:r>
        <w:t>нии женщин (</w:t>
      </w:r>
      <w:proofErr w:type="spellStart"/>
      <w:r>
        <w:t>КЛДЖ</w:t>
      </w:r>
      <w:proofErr w:type="spellEnd"/>
      <w:r>
        <w:t xml:space="preserve">) удовлетворен результатом рассмотрения дела </w:t>
      </w:r>
      <w:r>
        <w:rPr>
          <w:i/>
        </w:rPr>
        <w:t>А.</w:t>
      </w:r>
      <w:r>
        <w:rPr>
          <w:i/>
          <w:lang w:val="en-US"/>
        </w:rPr>
        <w:t> </w:t>
      </w:r>
      <w:r>
        <w:rPr>
          <w:i/>
        </w:rPr>
        <w:t>В. пр</w:t>
      </w:r>
      <w:r>
        <w:rPr>
          <w:i/>
        </w:rPr>
        <w:t>о</w:t>
      </w:r>
      <w:r>
        <w:rPr>
          <w:i/>
        </w:rPr>
        <w:t>тив Венгрии</w:t>
      </w:r>
      <w:r>
        <w:t>. В данном случае Комитет предложил Венгрии рассмотреть во</w:t>
      </w:r>
      <w:r>
        <w:t>з</w:t>
      </w:r>
      <w:r>
        <w:t>можность внесения поправки в Закон об охране здоровья населения, в соотве</w:t>
      </w:r>
      <w:r>
        <w:t>т</w:t>
      </w:r>
      <w:r>
        <w:t>ствии с которым в соответствующих обстоятельствах врач имеет право пров</w:t>
      </w:r>
      <w:r>
        <w:t>о</w:t>
      </w:r>
      <w:r>
        <w:t>дить стерилизацию без осуществления принятой процедуры информирования пациента. Он спрашивает, последовало ли государство-участник этому предл</w:t>
      </w:r>
      <w:r>
        <w:t>о</w:t>
      </w:r>
      <w:r>
        <w:t xml:space="preserve">жению. </w:t>
      </w:r>
      <w:proofErr w:type="spellStart"/>
      <w:r>
        <w:t>КЛДЖ</w:t>
      </w:r>
      <w:proofErr w:type="spellEnd"/>
      <w:r>
        <w:t xml:space="preserve"> также рекомендовал правительству осуществлять контроль над государственными и частными клиниками, проводящими стерилизацию, с тем чтобы обеспечить получение от пациента его полностью информированного с</w:t>
      </w:r>
      <w:r>
        <w:t>о</w:t>
      </w:r>
      <w:r>
        <w:t>гласия до проведения процедуры стерилизации, а также применения надлеж</w:t>
      </w:r>
      <w:r>
        <w:t>а</w:t>
      </w:r>
      <w:r>
        <w:t>щих санкций в случае нарушений. Он спрашивает, существует ли такая система контроля, а также каким образом санкции, если таковые предусмотрены, пр</w:t>
      </w:r>
      <w:r>
        <w:t>и</w:t>
      </w:r>
      <w:r>
        <w:t>меняются и регулируются.</w:t>
      </w:r>
    </w:p>
    <w:p w:rsidR="00000000" w:rsidRDefault="00000000">
      <w:pPr>
        <w:pStyle w:val="SingleTxtGR"/>
      </w:pPr>
      <w:r>
        <w:t>41.</w:t>
      </w:r>
      <w:r>
        <w:tab/>
        <w:t>Обращаясь к вопросу 13, касающемуся насилия со стороны полиции в отношении представителей рома и обеспечения подготовки по вопросам прав человека для сотрудников правоохранительных орг</w:t>
      </w:r>
      <w:r>
        <w:t>а</w:t>
      </w:r>
      <w:r>
        <w:t>нов, он говорит, что в письменном ответе отсутствует конкретная информация. В связи с этим он пр</w:t>
      </w:r>
      <w:r>
        <w:t>о</w:t>
      </w:r>
      <w:r>
        <w:t>сит представить более подробную информацию о подготовке сотрудников пр</w:t>
      </w:r>
      <w:r>
        <w:t>а</w:t>
      </w:r>
      <w:r>
        <w:t>воохранительных органов, в частности по мерам, направленным на искорен</w:t>
      </w:r>
      <w:r>
        <w:t>е</w:t>
      </w:r>
      <w:r>
        <w:t>ние предвзятого отношения к меньшинствам и поощрение их прав.</w:t>
      </w:r>
    </w:p>
    <w:p w:rsidR="00000000" w:rsidRDefault="00000000">
      <w:pPr>
        <w:pStyle w:val="SingleTxtGR"/>
      </w:pPr>
      <w:r>
        <w:t>42.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Келлер</w:t>
      </w:r>
      <w:proofErr w:type="spellEnd"/>
      <w:r>
        <w:t xml:space="preserve"> говорит, что объем работы Управления по вопросам равного обращения за после</w:t>
      </w:r>
      <w:r>
        <w:t>д</w:t>
      </w:r>
      <w:r>
        <w:t>ние годы увеличился более чем в два раза, и поэтому спрашивает, возросло ли соответствующим образом число сотрудников Упра</w:t>
      </w:r>
      <w:r>
        <w:t>в</w:t>
      </w:r>
      <w:r>
        <w:t>ления. Она спрашивает, намеревается ли государство-участник увеличить бю</w:t>
      </w:r>
      <w:r>
        <w:t>д</w:t>
      </w:r>
      <w:r>
        <w:t>жет Управления, с тем чтобы быть готовым к дальнейшему увеличению объема работы. Комитет был проинформирован о том, что 15 сентября 2010 года пе</w:t>
      </w:r>
      <w:r>
        <w:t>р</w:t>
      </w:r>
      <w:r>
        <w:t>вый глава Управления был отправлен в отставку, вскоре после формирования нового правительства в соответствии с правом Премьер-министра назначать и отправлять в отставку лиц, занимающих этот пост, в любое время без объясн</w:t>
      </w:r>
      <w:r>
        <w:t>е</w:t>
      </w:r>
      <w:r>
        <w:t>ния на то пр</w:t>
      </w:r>
      <w:r>
        <w:t>и</w:t>
      </w:r>
      <w:r>
        <w:t>чин. Она спрашивает, каким образом государство-участник будет пересматривать механизм правового регулирования таких полномочий с целью обеспечения гарантии независимости Управления.</w:t>
      </w:r>
    </w:p>
    <w:p w:rsidR="00000000" w:rsidRDefault="00000000">
      <w:pPr>
        <w:pStyle w:val="SingleTxtGR"/>
      </w:pPr>
      <w:r>
        <w:t>43.</w:t>
      </w:r>
      <w:r>
        <w:tab/>
        <w:t>Кроме того, Комитет был проинформирован о том, что в октябре 2009 года Министерство соц</w:t>
      </w:r>
      <w:r>
        <w:t>и</w:t>
      </w:r>
      <w:r>
        <w:t>альных дел и труда было наделено полномочиями отменять решения Управления по вопросам равного обращения. Она хочет знать, намерено ли государство-участник принять меры для обеспечения того, чтобы представители исполнительной власти не имели права изменять решения данного Управления. Она спрашивает, предпринимаются ли какие-либо шаги для повышения уровня информированности о Законе о равном обращении, а также интересуется возможностями для получения компенсаций, которые в нем предусмотрены для населения в целом и для групп меньшинств в частности.</w:t>
      </w:r>
    </w:p>
    <w:p w:rsidR="00000000" w:rsidRDefault="00000000">
      <w:pPr>
        <w:pStyle w:val="SingleTxtGR"/>
      </w:pPr>
      <w:r>
        <w:t>44.</w:t>
      </w:r>
      <w:r>
        <w:tab/>
      </w:r>
      <w:r>
        <w:rPr>
          <w:spacing w:val="2"/>
        </w:rPr>
        <w:t>Касаясь вопроса 6, она говорит, что государство-участник не представило информации о стратегии в области интеграции для беженцев. Она просит пре</w:t>
      </w:r>
      <w:r>
        <w:rPr>
          <w:spacing w:val="2"/>
        </w:rPr>
        <w:t>д</w:t>
      </w:r>
      <w:r>
        <w:rPr>
          <w:spacing w:val="2"/>
        </w:rPr>
        <w:t xml:space="preserve">ставить подробную информацию о составе и полномочиях органа, </w:t>
      </w:r>
      <w:r>
        <w:rPr>
          <w:spacing w:val="0"/>
        </w:rPr>
        <w:t>ответственн</w:t>
      </w:r>
      <w:r>
        <w:rPr>
          <w:spacing w:val="0"/>
        </w:rPr>
        <w:t>о</w:t>
      </w:r>
      <w:r>
        <w:rPr>
          <w:spacing w:val="0"/>
        </w:rPr>
        <w:t xml:space="preserve">го </w:t>
      </w:r>
      <w:r>
        <w:t>за углубление интеграции, который был создан Министерством правосудия и охраны общественного порядка.</w:t>
      </w:r>
    </w:p>
    <w:p w:rsidR="00000000" w:rsidRDefault="00000000">
      <w:pPr>
        <w:pStyle w:val="SingleTxtGR"/>
      </w:pPr>
      <w:r>
        <w:t>45.</w:t>
      </w:r>
      <w:r>
        <w:tab/>
        <w:t xml:space="preserve">В отношении проблемы </w:t>
      </w:r>
      <w:proofErr w:type="spellStart"/>
      <w:r>
        <w:t>гендерного</w:t>
      </w:r>
      <w:proofErr w:type="spellEnd"/>
      <w:r>
        <w:t xml:space="preserve"> неравенства (вопрос 7) она говорит, что ситуация в этой о</w:t>
      </w:r>
      <w:r>
        <w:t>б</w:t>
      </w:r>
      <w:r>
        <w:t xml:space="preserve">ласти в Венгрии хуже, чем в таких странах, как Албания, Боливия, </w:t>
      </w:r>
      <w:proofErr w:type="spellStart"/>
      <w:r>
        <w:t>Бруней-Даруссалам</w:t>
      </w:r>
      <w:proofErr w:type="spellEnd"/>
      <w:r>
        <w:t xml:space="preserve"> и Гамбия. Комитет будет признателен за получ</w:t>
      </w:r>
      <w:r>
        <w:t>е</w:t>
      </w:r>
      <w:r>
        <w:t>ние информации о предпринятых или планируемых действиях, направленных на борьбу с дискриминацией в отношении женщин, в частности принадлеж</w:t>
      </w:r>
      <w:r>
        <w:t>а</w:t>
      </w:r>
      <w:r>
        <w:t>щих к общине рома.</w:t>
      </w:r>
    </w:p>
    <w:p w:rsidR="00000000" w:rsidRDefault="00000000">
      <w:pPr>
        <w:pStyle w:val="SingleTxtGR"/>
      </w:pPr>
      <w:r>
        <w:t>46.</w:t>
      </w:r>
      <w:r>
        <w:tab/>
        <w:t>В Уголовном кодексе Венгрии отсутствуют конкретные определения н</w:t>
      </w:r>
      <w:r>
        <w:t>а</w:t>
      </w:r>
      <w:r>
        <w:t>силия в семье и изнасилования жены мужем, что значительно затрудняет сбор данных о случаях насилия в семье. Тем не менее такая информация должна предоставляться Комитету с тем, чтобы он мог дать верную оценку ситуации в этой области в государстве-участнике. В связи с этим она интересуется данн</w:t>
      </w:r>
      <w:r>
        <w:t>ы</w:t>
      </w:r>
      <w:r>
        <w:t>ми о количестве случаев, сообщенных в отчетный период, возбужденных дел, а также вынесенных обвинительных приговоров. Она хочет получить информ</w:t>
      </w:r>
      <w:r>
        <w:t>а</w:t>
      </w:r>
      <w:r>
        <w:t>цию о компетенции и полномочиях недавно учрежденного антитеррористич</w:t>
      </w:r>
      <w:r>
        <w:t>е</w:t>
      </w:r>
      <w:r>
        <w:t>ского о</w:t>
      </w:r>
      <w:r>
        <w:t>т</w:t>
      </w:r>
      <w:r>
        <w:t xml:space="preserve">дела, а также о том, сотрудничает ли он с секретными службами. </w:t>
      </w:r>
      <w:r>
        <w:br/>
        <w:t>В статьях 16 и 17 Уголовного кодекса содержится определение попытки сове</w:t>
      </w:r>
      <w:r>
        <w:t>р</w:t>
      </w:r>
      <w:r>
        <w:t>шения преступления, и эти положения применимы к терроризму. Поскольку н</w:t>
      </w:r>
      <w:r>
        <w:t>а</w:t>
      </w:r>
      <w:r>
        <w:t>казание за попытку совершить террористический акт предусмотрено более строгое наказание, чем за подготовку совершения террористического акта, она и</w:t>
      </w:r>
      <w:r>
        <w:t>н</w:t>
      </w:r>
      <w:r>
        <w:t>тересуется юридическими определениями понятий "попытка" и "подготовка".</w:t>
      </w:r>
    </w:p>
    <w:p w:rsidR="00000000" w:rsidRDefault="00000000">
      <w:pPr>
        <w:pStyle w:val="SingleTxtGR"/>
      </w:pPr>
      <w:r>
        <w:t>47.</w:t>
      </w:r>
      <w:r>
        <w:tab/>
        <w:t>В отношении вопроса 18 из перечня вопросов, она просит представить дополнительную информацию о действующем процессе судебного контроля в отношении лиц, которые были направлены на прохождение обязательного вр</w:t>
      </w:r>
      <w:r>
        <w:t>е</w:t>
      </w:r>
      <w:r>
        <w:t>менного курса психиатрического лечения.</w:t>
      </w:r>
    </w:p>
    <w:p w:rsidR="00000000" w:rsidRDefault="00000000">
      <w:pPr>
        <w:pStyle w:val="SingleTxtGR"/>
      </w:pPr>
      <w:r>
        <w:t>48.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Сальвиоли</w:t>
      </w:r>
      <w:proofErr w:type="spellEnd"/>
      <w:r>
        <w:t xml:space="preserve"> отмечает, что государство-участник не ратифицировало крайне важный Факульт</w:t>
      </w:r>
      <w:r>
        <w:t>а</w:t>
      </w:r>
      <w:r>
        <w:t>тивный протокол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казания. Комитет против пыток вынес государству-участнику рекомендации в отношении мер по предупреждению и наказанию пыток, поскольку должным образом расследуются лишь некоторые случаи применения пыток или жесток</w:t>
      </w:r>
      <w:r>
        <w:t>о</w:t>
      </w:r>
      <w:r>
        <w:t>го обращения и обвинительных приговоров выносится мало. Государство-участник подчеркнуло, что в отношении виновных в жестоком обращении и применении пыток выносились судебные решения, проводились судебные ра</w:t>
      </w:r>
      <w:r>
        <w:t>з</w:t>
      </w:r>
      <w:r>
        <w:t>бирательства и выносились приговоры. Тем не менее данные официальной ст</w:t>
      </w:r>
      <w:r>
        <w:t>а</w:t>
      </w:r>
      <w:r>
        <w:t>тистики, представленной Генеральной прокур</w:t>
      </w:r>
      <w:r>
        <w:t>а</w:t>
      </w:r>
      <w:r>
        <w:t>турой, указывают на дисбаланс: меры принимаются в отношении более чем 90% случаев насилия в отношении сотрудников полиции и государственных должностных лиц, в то время как пр</w:t>
      </w:r>
      <w:r>
        <w:t>и</w:t>
      </w:r>
      <w:r>
        <w:t>нятие мер в связи с сообщениями о жестоком обращении со стороны самих с</w:t>
      </w:r>
      <w:r>
        <w:t>о</w:t>
      </w:r>
      <w:r>
        <w:t>трудников полиции и государственных должностных лиц является маловероя</w:t>
      </w:r>
      <w:r>
        <w:t>т</w:t>
      </w:r>
      <w:r>
        <w:t>ным. В ходе протестов, которые прошли в Будапеште в 2006 году, из 200 ж</w:t>
      </w:r>
      <w:r>
        <w:t>а</w:t>
      </w:r>
      <w:r>
        <w:t>лоб против сотрудников полиции дела были заведены по 164, ожидается, что по 24 из них будут приняты последующие меры, и лишь по двум из них были в</w:t>
      </w:r>
      <w:r>
        <w:t>ы</w:t>
      </w:r>
      <w:r>
        <w:t>несены приговоры. Он спрашивает, каким образом государство-участник гара</w:t>
      </w:r>
      <w:r>
        <w:t>н</w:t>
      </w:r>
      <w:r>
        <w:t>тирует участие не тюремных, а независимых врачей в рассмотрении жалоб, к</w:t>
      </w:r>
      <w:r>
        <w:t>а</w:t>
      </w:r>
      <w:r>
        <w:t>сающихся жестокого обращения в пенитенциарных учреждениях.</w:t>
      </w:r>
    </w:p>
    <w:p w:rsidR="00000000" w:rsidRDefault="00000000">
      <w:pPr>
        <w:pStyle w:val="SingleTxtGR"/>
      </w:pPr>
      <w:r>
        <w:t>49.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Телин</w:t>
      </w:r>
      <w:proofErr w:type="spellEnd"/>
      <w:r>
        <w:t xml:space="preserve"> говорит, что, став государством − участником ЕС, Венгрия усовершенствовала свою правозащитную сеть. Тем не менее, несмотря на это, Комитет был проинформирован о том, что Будапешт считается антисемитской столицей Европы. Ответ на вопрос 14 из перечня вопросов предоставлен не был. Остается неясной правовая база для кратковременного ареста, и он будет признателен получить по этому пункту разъяснения. Он хочет знать, когда б</w:t>
      </w:r>
      <w:r>
        <w:t>у</w:t>
      </w:r>
      <w:r>
        <w:t>дут приняты меры по созданию надлежащей правовой основы для кратковр</w:t>
      </w:r>
      <w:r>
        <w:t>е</w:t>
      </w:r>
      <w:r>
        <w:t>менного содержания под стражей. В отношении досудебного содержания под стражей Комитет был проинформирован о том, что в настоящее время под стражей находится 4 578 человек и что это число растет. Он спрашивает, какие усилия предпринимаются для сокращения средней продолжительности дос</w:t>
      </w:r>
      <w:r>
        <w:t>у</w:t>
      </w:r>
      <w:r>
        <w:t>дебного содержания под стражей, которая может быть увеличена до трех лет. Он интересуется, какие используются альтернативы досудебного содержания под стражей, а также тем, из любого ли срока тюремного заключения вычитае</w:t>
      </w:r>
      <w:r>
        <w:t>т</w:t>
      </w:r>
      <w:r>
        <w:t>ся период досудебного содержания под стражей, или этот вопрос решается с</w:t>
      </w:r>
      <w:r>
        <w:t>у</w:t>
      </w:r>
      <w:r>
        <w:t>дьей по своему усмотрению. Он спрашивает, предусмотрена ли какая-либо ко</w:t>
      </w:r>
      <w:r>
        <w:t>м</w:t>
      </w:r>
      <w:r>
        <w:t>пенсация для лиц, которые содержались под стражей в предварительном закл</w:t>
      </w:r>
      <w:r>
        <w:t>ю</w:t>
      </w:r>
      <w:r>
        <w:t>чении дольше, чем продолжительность срока их окончательного приговора.</w:t>
      </w:r>
    </w:p>
    <w:p w:rsidR="00000000" w:rsidRDefault="00000000">
      <w:pPr>
        <w:pStyle w:val="SingleTxtGR"/>
      </w:pPr>
      <w:r>
        <w:t>50.</w:t>
      </w:r>
      <w:r>
        <w:tab/>
        <w:t>Касательно вопроса 15, он говорит, что Комитет был проинформирован НПО о том, что адвокаты, прикрепленные к подозреваемым на ранних этапах судебного расследования, действуют в тесном сговоре с полицией. Насколько он понимает, на самом деле они прикрепляются не судом, а полицией, при во</w:t>
      </w:r>
      <w:r>
        <w:t>з</w:t>
      </w:r>
      <w:r>
        <w:t>можной поддержке прокурора. Когда проводился обзор четвертого периодич</w:t>
      </w:r>
      <w:r>
        <w:t>е</w:t>
      </w:r>
      <w:r>
        <w:t xml:space="preserve">ского доклада государства-участника, Коллегия адвокатов Венгрии высказала аналогичные оговорки в отношении системы государственных защитников. </w:t>
      </w:r>
      <w:r>
        <w:br/>
        <w:t>С</w:t>
      </w:r>
      <w:r>
        <w:t>а</w:t>
      </w:r>
      <w:r>
        <w:t>ми защитники, как представляется, неохотно соглашаются на такие задания, поскольку в этом случае они воспринимаются в качестве выступающих в инт</w:t>
      </w:r>
      <w:r>
        <w:t>е</w:t>
      </w:r>
      <w:r>
        <w:t>ресах государства. Он спрашивает, улучшилось ли качество работы защитников. В письменном ответе на вопрос 15 упоминаются как официальный, так и обяз</w:t>
      </w:r>
      <w:r>
        <w:t>а</w:t>
      </w:r>
      <w:r>
        <w:t>тельный защитник. Различие этих двух понятий ост</w:t>
      </w:r>
      <w:r>
        <w:t>а</w:t>
      </w:r>
      <w:r>
        <w:t>ется неясным.</w:t>
      </w:r>
    </w:p>
    <w:p w:rsidR="00000000" w:rsidRDefault="00000000">
      <w:pPr>
        <w:pStyle w:val="SingleTxtGR"/>
      </w:pPr>
      <w:r>
        <w:t>51.</w:t>
      </w:r>
      <w:r>
        <w:tab/>
        <w:t>В отношении вопроса 17 государство-участник утверждает, что были улучшены условия содерж</w:t>
      </w:r>
      <w:r>
        <w:t>а</w:t>
      </w:r>
      <w:r>
        <w:t xml:space="preserve">ния под стражей для иностранцев, которые были взяты под стражу при въезде в страну. Венгерский хельсинкский комитет с этим не согласен. Г-н </w:t>
      </w:r>
      <w:proofErr w:type="spellStart"/>
      <w:r>
        <w:t>Телин</w:t>
      </w:r>
      <w:proofErr w:type="spellEnd"/>
      <w:r>
        <w:t xml:space="preserve"> требует представить дополнительную информацию о праве таких лиц на медицинское обслуживание и удовлетворение основных п</w:t>
      </w:r>
      <w:r>
        <w:t>о</w:t>
      </w:r>
      <w:r>
        <w:t>требностей.</w:t>
      </w:r>
    </w:p>
    <w:p w:rsidR="00000000" w:rsidRDefault="00000000">
      <w:pPr>
        <w:pStyle w:val="SingleTxtGR"/>
      </w:pPr>
      <w:r>
        <w:t>52.</w:t>
      </w:r>
      <w:r>
        <w:tab/>
        <w:t>Комитет хотел бы услышать информацию о долгосрочных планах прав</w:t>
      </w:r>
      <w:r>
        <w:t>и</w:t>
      </w:r>
      <w:r>
        <w:t>тельства в отношении решения проблемы переполненности тюрем. Несмотря на то, что показатель переполненности тюрем снизился со 135% до 120%, он еще слишком высок. Необходимо осуществление более активных мер по вн</w:t>
      </w:r>
      <w:r>
        <w:t>е</w:t>
      </w:r>
      <w:r>
        <w:t>дрению альтернатив тюремному заключению, таких как электронный контроль и расширенная схема условно-досрочного освобождения. В этом контексте н</w:t>
      </w:r>
      <w:r>
        <w:t>а</w:t>
      </w:r>
      <w:r>
        <w:t>казание обязательным пожизненным заключением без права условно-досрочного освобождения, а также принцип обязательного сурового наказания после треть</w:t>
      </w:r>
      <w:r>
        <w:t>е</w:t>
      </w:r>
      <w:r>
        <w:t>го правонарушения приводят к обратному результату.</w:t>
      </w:r>
    </w:p>
    <w:p w:rsidR="00000000" w:rsidRDefault="00000000">
      <w:pPr>
        <w:pStyle w:val="SingleTxtGR"/>
      </w:pPr>
      <w:r>
        <w:t>53.</w:t>
      </w:r>
      <w:r>
        <w:tab/>
      </w:r>
      <w:r>
        <w:rPr>
          <w:b/>
        </w:rPr>
        <w:t>Г-н Бузид</w:t>
      </w:r>
      <w:r>
        <w:t>, комментируя ответ государства-участника на вопрос 16, п</w:t>
      </w:r>
      <w:r>
        <w:t>о</w:t>
      </w:r>
      <w:r>
        <w:t>ложительно оценил меры по усовершенствованию положений, касающихся з</w:t>
      </w:r>
      <w:r>
        <w:t>а</w:t>
      </w:r>
      <w:r>
        <w:t>щиты просителей убежища, лиц без гражданства и беженцев. Например, Вен</w:t>
      </w:r>
      <w:r>
        <w:t>г</w:t>
      </w:r>
      <w:r>
        <w:t xml:space="preserve">рия присоединилась к Конвенции 1961 года о сокращении </w:t>
      </w:r>
      <w:proofErr w:type="spellStart"/>
      <w:r>
        <w:t>безгражданства</w:t>
      </w:r>
      <w:proofErr w:type="spellEnd"/>
      <w:r>
        <w:t xml:space="preserve"> и предоставляет места проживания для детей просителей убежища.</w:t>
      </w:r>
    </w:p>
    <w:p w:rsidR="00000000" w:rsidRDefault="00000000">
      <w:pPr>
        <w:pStyle w:val="SingleTxtGR"/>
      </w:pPr>
      <w:r>
        <w:t>54.</w:t>
      </w:r>
      <w:r>
        <w:tab/>
        <w:t>Тем не менее Венгерский хельсинкский комитет и другие НПО подчер</w:t>
      </w:r>
      <w:r>
        <w:t>к</w:t>
      </w:r>
      <w:r>
        <w:t>нули необходимость осуществления более действенных мер. Особый режим с</w:t>
      </w:r>
      <w:r>
        <w:t>о</w:t>
      </w:r>
      <w:r>
        <w:t>держания под стражей для просителей убежища является скорее правилом, чем исключением, условия содержания при этом являются очень суровыми. Девять тюрем, которые были закрыты в 2004 и 2005 годах в связи с неудовлетвор</w:t>
      </w:r>
      <w:r>
        <w:t>и</w:t>
      </w:r>
      <w:r>
        <w:t>тельными условиями содержания, в июне 2010 года были вновь открыты, при этом ремонт в них проведен не был. Санитарные условия в некоторых тюрьмах были очень плохими. Заключенные весь день заперты в своих камерах, которые им разрешено покидать только для того, чтобы принять душ. Не предоставляе</w:t>
      </w:r>
      <w:r>
        <w:t>т</w:t>
      </w:r>
      <w:r>
        <w:t>ся никакой психологической помощи. Охрана тюрем и сотрудники полиции, р</w:t>
      </w:r>
      <w:r>
        <w:t>а</w:t>
      </w:r>
      <w:r>
        <w:t>ботающие с иностранными заключенными, получали недостаточную специал</w:t>
      </w:r>
      <w:r>
        <w:t>ь</w:t>
      </w:r>
      <w:r>
        <w:t>ную подготовку или не получали ее вообще. В результате этого пр</w:t>
      </w:r>
      <w:r>
        <w:t>о</w:t>
      </w:r>
      <w:r>
        <w:t>исходит все больше случаев поджогов и физического насилия в наиболее переполненных центрах с</w:t>
      </w:r>
      <w:r>
        <w:t>о</w:t>
      </w:r>
      <w:r>
        <w:t>держания под стражей.</w:t>
      </w:r>
    </w:p>
    <w:p w:rsidR="00000000" w:rsidRDefault="00000000">
      <w:pPr>
        <w:pStyle w:val="SingleTxtGR"/>
      </w:pPr>
      <w:r>
        <w:t>55.</w:t>
      </w:r>
      <w:r>
        <w:tab/>
        <w:t>Согласно сообщениям, Управление по делам иммиграции и гражданства продолжает держать просителей убежища под стражей дольше максимально у</w:t>
      </w:r>
      <w:r>
        <w:t>с</w:t>
      </w:r>
      <w:r>
        <w:t>тановленного срока для проведения предварительной оценки, составляющего 15 дней. Генеральный прокурор призвал прекратить подобную практику, но прокуратура, по всей видимости, проигнорировала это требование.</w:t>
      </w:r>
    </w:p>
    <w:p w:rsidR="00000000" w:rsidRDefault="00000000">
      <w:pPr>
        <w:pStyle w:val="SingleTxtGR"/>
      </w:pPr>
      <w:r>
        <w:t>56.</w:t>
      </w:r>
      <w:r>
        <w:tab/>
        <w:t>Иностранцы, которых полиция подозревает в незаконном въезде на те</w:t>
      </w:r>
      <w:r>
        <w:t>р</w:t>
      </w:r>
      <w:r>
        <w:t>риторию страны, неме</w:t>
      </w:r>
      <w:r>
        <w:t>д</w:t>
      </w:r>
      <w:r>
        <w:t>ленно заключаются под стражу, даже если они являются просителями убежища. Исключение составляют семьи с несовершеннолетними детьми или несопровождаемые несовершеннолетние; однако беременные же</w:t>
      </w:r>
      <w:r>
        <w:t>н</w:t>
      </w:r>
      <w:r>
        <w:t>щины и супружеские пары заключаются под стражу. Кроме того, отсутствуют действенные гарантии от выдворения, в особенности на венгерско-украинской границе, где просителям убежища, особенно из Сомали и Афганистана, автом</w:t>
      </w:r>
      <w:r>
        <w:t>а</w:t>
      </w:r>
      <w:r>
        <w:t>тически отказывается во въезде.</w:t>
      </w:r>
    </w:p>
    <w:p w:rsidR="00000000" w:rsidRDefault="00000000">
      <w:pPr>
        <w:pStyle w:val="SingleTxtGR"/>
      </w:pPr>
      <w:r>
        <w:t>57.</w:t>
      </w:r>
      <w:r>
        <w:tab/>
        <w:t>Несмотря на то, что возможность судебного контроля содержания прос</w:t>
      </w:r>
      <w:r>
        <w:t>и</w:t>
      </w:r>
      <w:r>
        <w:t>телей убежища под стражей на бумаге предусмотрена, он является лишь фо</w:t>
      </w:r>
      <w:r>
        <w:t>р</w:t>
      </w:r>
      <w:r>
        <w:t>мальной процедурой. Мотивировка принятых решений проста, а факты и св</w:t>
      </w:r>
      <w:r>
        <w:t>я</w:t>
      </w:r>
      <w:r>
        <w:t>занные с ними риски оцениваются неадекватно.</w:t>
      </w:r>
    </w:p>
    <w:p w:rsidR="00000000" w:rsidRDefault="00000000">
      <w:pPr>
        <w:pStyle w:val="SingleTxtGR"/>
      </w:pPr>
      <w:r>
        <w:t>58.</w:t>
      </w:r>
      <w:r>
        <w:tab/>
        <w:t>Он спрашивает, какие шаги правительство намерено предпринять для решения этих проблем.</w:t>
      </w:r>
    </w:p>
    <w:p w:rsidR="00000000" w:rsidRDefault="00000000">
      <w:pPr>
        <w:pStyle w:val="SingleTxtGR"/>
      </w:pPr>
      <w:r>
        <w:t>59.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Ривас</w:t>
      </w:r>
      <w:proofErr w:type="spellEnd"/>
      <w:r>
        <w:rPr>
          <w:b/>
        </w:rPr>
        <w:t xml:space="preserve"> Посада</w:t>
      </w:r>
      <w:r>
        <w:t xml:space="preserve"> отмечает, что государство-участник ссылалось на п</w:t>
      </w:r>
      <w:r>
        <w:t>о</w:t>
      </w:r>
      <w:r>
        <w:t>ложение об отрицании холокоста в Уголовном кодексе Венгрии в ответах на в</w:t>
      </w:r>
      <w:r>
        <w:t>о</w:t>
      </w:r>
      <w:r>
        <w:t>прос 3, касающийся насилия на расовой почве, и вопрос 20, касающийся разж</w:t>
      </w:r>
      <w:r>
        <w:t>и</w:t>
      </w:r>
      <w:r>
        <w:t>гания расовой ненависти. В то время как отрицание исторических фактов впо</w:t>
      </w:r>
      <w:r>
        <w:t>л</w:t>
      </w:r>
      <w:r>
        <w:t>не может быть мотивировано расовой ненавистью, не следует считать, что оно означает ее разжигание или влечет за собой насилие на расовой почве. Ряд г</w:t>
      </w:r>
      <w:r>
        <w:t>о</w:t>
      </w:r>
      <w:r>
        <w:t>сударств-участников стал вводить в обращение такое понятие как "возможное противоправное поведение", хотя такое поведение часто подпадает под понятие свободы выражения мнений. Он интересуется точным определением данного преступления и спрашивает, были ли начаты судебные разбирательства в связи с какими-либо случаями о</w:t>
      </w:r>
      <w:r>
        <w:t>т</w:t>
      </w:r>
      <w:r>
        <w:t>рицания холокоста.</w:t>
      </w:r>
    </w:p>
    <w:p w:rsidR="00000000" w:rsidRDefault="00000000">
      <w:pPr>
        <w:pStyle w:val="SingleTxtGR"/>
      </w:pPr>
      <w:r>
        <w:t>60.</w:t>
      </w:r>
      <w:r>
        <w:tab/>
      </w:r>
      <w:r>
        <w:rPr>
          <w:b/>
        </w:rPr>
        <w:t xml:space="preserve">Сэр Найджел </w:t>
      </w:r>
      <w:proofErr w:type="spellStart"/>
      <w:r>
        <w:rPr>
          <w:b/>
        </w:rPr>
        <w:t>Родли</w:t>
      </w:r>
      <w:proofErr w:type="spellEnd"/>
      <w:r>
        <w:t xml:space="preserve"> отмечает, что, согласно ответу государства-участника на вопрос 3, в раздел </w:t>
      </w:r>
      <w:r>
        <w:rPr>
          <w:lang w:val="en-US"/>
        </w:rPr>
        <w:t>C</w:t>
      </w:r>
      <w:r>
        <w:t xml:space="preserve"> статьи 269 Уголовного кодекса, касающейся публичного отрицания холокоста, необходимо внести поправки, с тем чтобы включить в нее отрицание актов геноцида, совершенных коммунистическим режимом. Он спрашивает, какие акты геноцида в такой поправке будут охват</w:t>
      </w:r>
      <w:r>
        <w:t>ы</w:t>
      </w:r>
      <w:r>
        <w:t>ваться.</w:t>
      </w:r>
    </w:p>
    <w:p w:rsidR="00000000" w:rsidRDefault="00000000">
      <w:pPr>
        <w:pStyle w:val="SingleTxtGR"/>
      </w:pPr>
      <w:r>
        <w:t>61.</w:t>
      </w:r>
      <w:r>
        <w:tab/>
        <w:t>Комитет Совета Европы по предупреждению пыток недавно опубликовал доклад по итогам пос</w:t>
      </w:r>
      <w:r>
        <w:t>е</w:t>
      </w:r>
      <w:r>
        <w:t>щения Венгрии в 2009 году. В нем отмечается, что лица, подозреваемые в совершении уголовных преступлений, могут находиться под стражей в полицейском участке до 72 часов. Рассмотрело ли госуда</w:t>
      </w:r>
      <w:r>
        <w:t>р</w:t>
      </w:r>
      <w:r>
        <w:t>ство-участник возможность пересмотра предельных сроков содержания под стражей в полицейском уч</w:t>
      </w:r>
      <w:r>
        <w:t>а</w:t>
      </w:r>
      <w:r>
        <w:t>стке?</w:t>
      </w:r>
    </w:p>
    <w:p w:rsidR="00000000" w:rsidRDefault="00000000">
      <w:pPr>
        <w:pStyle w:val="SingleTxtGR"/>
      </w:pPr>
      <w:r>
        <w:t>62.</w:t>
      </w:r>
      <w:r>
        <w:tab/>
        <w:t>Комитет также с удивлением узнал, что некоторые заключенные соде</w:t>
      </w:r>
      <w:r>
        <w:t>р</w:t>
      </w:r>
      <w:r>
        <w:t>жались под стражей в пол</w:t>
      </w:r>
      <w:r>
        <w:t>и</w:t>
      </w:r>
      <w:r>
        <w:t xml:space="preserve">цейских учреждениях после того, как они предстали перед судьей. В связи с этим он приветствует то, что недавно судьи прекратили давать санкции на содержание под стражей в полицейском изоляторе </w:t>
      </w:r>
      <w:proofErr w:type="spellStart"/>
      <w:r>
        <w:t>М</w:t>
      </w:r>
      <w:r>
        <w:t>и</w:t>
      </w:r>
      <w:r>
        <w:t>школьц</w:t>
      </w:r>
      <w:proofErr w:type="spellEnd"/>
      <w:r>
        <w:t xml:space="preserve"> лиц, находящихся в предварительном заключении. Согласно сообщению Ком</w:t>
      </w:r>
      <w:r>
        <w:t>и</w:t>
      </w:r>
      <w:r>
        <w:t>тета, лица, совершившие судебно наказуемые проступки, могут задерживаться в полицейских участках на срок до 10 дней. Планируется ли прекратить осущ</w:t>
      </w:r>
      <w:r>
        <w:t>е</w:t>
      </w:r>
      <w:r>
        <w:t>ствление этой практики?</w:t>
      </w:r>
    </w:p>
    <w:p w:rsidR="00000000" w:rsidRDefault="00000000">
      <w:pPr>
        <w:pStyle w:val="SingleTxtGR"/>
      </w:pPr>
      <w:r>
        <w:t>63.</w:t>
      </w:r>
      <w:r>
        <w:tab/>
        <w:t>В настоящее время государство-участник разрешает осуществлять виде</w:t>
      </w:r>
      <w:r>
        <w:t>о</w:t>
      </w:r>
      <w:r>
        <w:t>запись допросов подозреваемых, если последние готовы ее оплатить. Тем не менее подозреваемые принадлежат к нижнему социально-экономическом слою, в наибольшей степени подверженные опасности стать жертвами злоупотребл</w:t>
      </w:r>
      <w:r>
        <w:t>е</w:t>
      </w:r>
      <w:r>
        <w:t>ний, возможно, будут не в состоянии оплатить такие расходы. Он отмечает, что если государство возьмет на себя полную ответственность за видеозапись, то это будет выгодно самим следователям, поскольку их невозможно будет безо</w:t>
      </w:r>
      <w:r>
        <w:t>с</w:t>
      </w:r>
      <w:r>
        <w:t>новательно обвинить в применении насильственных методов.</w:t>
      </w:r>
    </w:p>
    <w:p w:rsidR="00000000" w:rsidRDefault="00000000">
      <w:pPr>
        <w:pStyle w:val="SingleTxtGR"/>
      </w:pPr>
      <w:r>
        <w:t>64.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Шане</w:t>
      </w:r>
      <w:proofErr w:type="spellEnd"/>
      <w:r>
        <w:t xml:space="preserve"> говорит, что она соглашается с г-ном </w:t>
      </w:r>
      <w:proofErr w:type="spellStart"/>
      <w:r>
        <w:t>О'Флаэрти</w:t>
      </w:r>
      <w:proofErr w:type="spellEnd"/>
      <w:r>
        <w:t xml:space="preserve"> в том, что письменные ответы были неполными и что Парламентский уполномоченный не отвечает требованию о независимости, предусмотренному в Парижских при</w:t>
      </w:r>
      <w:r>
        <w:t>н</w:t>
      </w:r>
      <w:r>
        <w:t>ципах.</w:t>
      </w:r>
    </w:p>
    <w:p w:rsidR="00000000" w:rsidRDefault="00000000">
      <w:pPr>
        <w:pStyle w:val="SingleTxtGR"/>
      </w:pPr>
      <w:r>
        <w:t>65.</w:t>
      </w:r>
      <w:r>
        <w:tab/>
        <w:t>Она спрашивает, информируются ли лица, содержащиеся в заключении в полиции, об их праве хранить молчание во время ареста. Она также хочет знать, различается ли период задержания в полиции в зависимости от типа предположительно совершенного правонарушения, а также имеют ли подозр</w:t>
      </w:r>
      <w:r>
        <w:t>е</w:t>
      </w:r>
      <w:r>
        <w:t>ваемые доступ к адвокатам до того, как они предстанут перед судом.</w:t>
      </w:r>
    </w:p>
    <w:p w:rsidR="00000000" w:rsidRDefault="00000000">
      <w:pPr>
        <w:pStyle w:val="SingleTxtGR"/>
      </w:pPr>
      <w:r>
        <w:t>66.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Бхагвати</w:t>
      </w:r>
      <w:proofErr w:type="spellEnd"/>
      <w:r>
        <w:t xml:space="preserve"> интересуется, какие существуют правовые рамки, обесп</w:t>
      </w:r>
      <w:r>
        <w:t>е</w:t>
      </w:r>
      <w:r>
        <w:t>чивающие независимость судебных органов; каким образом гарантируется срок пребывания судьи в должности и какая существует процедура для смещения с</w:t>
      </w:r>
      <w:r>
        <w:t>у</w:t>
      </w:r>
      <w:r>
        <w:t>дьи с должности.</w:t>
      </w:r>
    </w:p>
    <w:p w:rsidR="00000000" w:rsidRDefault="00000000">
      <w:pPr>
        <w:pStyle w:val="SingleTxtGR"/>
      </w:pPr>
      <w:r>
        <w:t>67.</w:t>
      </w:r>
      <w:r>
        <w:tab/>
        <w:t>Он спрашивает, сколько времени проходит между арестом и судом лица, а также существует ли какой-либо устав или исполнительное положение, каса</w:t>
      </w:r>
      <w:r>
        <w:t>ю</w:t>
      </w:r>
      <w:r>
        <w:t>щееся доступа к правовой помощи или консул</w:t>
      </w:r>
      <w:r>
        <w:t>ь</w:t>
      </w:r>
      <w:r>
        <w:t>тации в ходе суда?</w:t>
      </w:r>
    </w:p>
    <w:p w:rsidR="00000000" w:rsidRDefault="00000000">
      <w:pPr>
        <w:pStyle w:val="SingleTxtGR"/>
      </w:pPr>
      <w:r>
        <w:t>68.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Секей</w:t>
      </w:r>
      <w:proofErr w:type="spellEnd"/>
      <w:r>
        <w:t xml:space="preserve"> (Венгрия) говорит, что критика Комитета в отношении пис</w:t>
      </w:r>
      <w:r>
        <w:t>ь</w:t>
      </w:r>
      <w:r>
        <w:t>менных ответов, составленных предыдущим правительством, обоснована. Он надеется, что новое правительство приложит все возможные усилия для того, чтобы представить недостающую информацию.</w:t>
      </w:r>
    </w:p>
    <w:p w:rsidR="00000000" w:rsidRDefault="00000000">
      <w:pPr>
        <w:pStyle w:val="SingleTxtGR"/>
      </w:pPr>
      <w:r>
        <w:t>69.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Ижак</w:t>
      </w:r>
      <w:proofErr w:type="spellEnd"/>
      <w:r>
        <w:t xml:space="preserve"> (Венгрия) говорит, что Венгрия стремится обеспечить инт</w:t>
      </w:r>
      <w:r>
        <w:t>е</w:t>
      </w:r>
      <w:r>
        <w:t>грацию рома в общество, а не их ассимиляцию. В некоторых сферах, таких как культура и политика в области борьбы с дискриминацией, крайне важно уст</w:t>
      </w:r>
      <w:r>
        <w:t>а</w:t>
      </w:r>
      <w:r>
        <w:t>новить, кто принадлежит к общине рома. Если какая-либо программа ориент</w:t>
      </w:r>
      <w:r>
        <w:t>и</w:t>
      </w:r>
      <w:r>
        <w:t>рована на защиту интересов рома, то необходимы четкие данные по этническим аспектам. Новое правительство уже начало обсуждать этот вопрос с омбудсм</w:t>
      </w:r>
      <w:r>
        <w:t>е</w:t>
      </w:r>
      <w:r>
        <w:t>нами, отвечающими за сбор данных и проблемы меньшинств. Помимо этого, студентам, стремящимся принять участие в программах по предоставлению представителям рома стипендий, следует заявить о своей принадлежности к рома.</w:t>
      </w:r>
    </w:p>
    <w:p w:rsidR="00000000" w:rsidRDefault="00000000">
      <w:pPr>
        <w:pStyle w:val="SingleTxtGR"/>
      </w:pPr>
      <w:r>
        <w:t>70.</w:t>
      </w:r>
      <w:r>
        <w:tab/>
        <w:t>Под руководством Государственного фонда в поддержку венгерских ц</w:t>
      </w:r>
      <w:r>
        <w:t>ы</w:t>
      </w:r>
      <w:r>
        <w:t>ган действует Культурный фонд рома, кроме того, преподавателям предлагается пройти курс обучения на языке рома. Представители рома являются целевой группой не в связи с их этнической принадлежностью, а вследствие социал</w:t>
      </w:r>
      <w:r>
        <w:t>ь</w:t>
      </w:r>
      <w:r>
        <w:t>ных или экономических особенностей их проживания. Был осуществлен целый ряд проектов в поддержку находящихся в социально неблагоприятном полож</w:t>
      </w:r>
      <w:r>
        <w:t>е</w:t>
      </w:r>
      <w:r>
        <w:t xml:space="preserve">нии общин рома, например, предоставление </w:t>
      </w:r>
      <w:proofErr w:type="spellStart"/>
      <w:r>
        <w:t>десегрегированного</w:t>
      </w:r>
      <w:proofErr w:type="spellEnd"/>
      <w:r>
        <w:t xml:space="preserve"> жилья. Около 400 семей рома стали жить в единой среде с остальным населением. Помимо этого, предоставляются средства для оказания поддержки малым и средним предприятиям р</w:t>
      </w:r>
      <w:r>
        <w:t>о</w:t>
      </w:r>
      <w:r>
        <w:t>ма, а в рамках государственных программ в области занятости представителям рома оказывается помощь в поиске работы. Если программы финансирования для лиц, находящихся в неблагоприятном положении, будут ориентированы на слишком широкий круг населения, то появится риск того, что доступ к этим средствам смогут получить лица, у которых есть влиятел</w:t>
      </w:r>
      <w:r>
        <w:t>ь</w:t>
      </w:r>
      <w:r>
        <w:t>ные друзья, а не община рома. В связи с этим требуется более точная система контроля и оценки.</w:t>
      </w:r>
    </w:p>
    <w:p w:rsidR="00000000" w:rsidRDefault="00000000">
      <w:pPr>
        <w:pStyle w:val="SingleTxtGR"/>
      </w:pPr>
      <w:r>
        <w:t>71.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Секей</w:t>
      </w:r>
      <w:proofErr w:type="spellEnd"/>
      <w:r>
        <w:t xml:space="preserve"> (Венгрия) говорит, что статья, опубликованная в журн</w:t>
      </w:r>
      <w:r>
        <w:t>а</w:t>
      </w:r>
      <w:r>
        <w:t xml:space="preserve">ле "Шпигель", о которой упоминал г-н </w:t>
      </w:r>
      <w:proofErr w:type="spellStart"/>
      <w:r>
        <w:t>Телин</w:t>
      </w:r>
      <w:proofErr w:type="spellEnd"/>
      <w:r>
        <w:t>, является очень предвзятой. Пр</w:t>
      </w:r>
      <w:r>
        <w:t>и</w:t>
      </w:r>
      <w:r>
        <w:t>чиной ее публикации послужило политическое разочарование некоторых и</w:t>
      </w:r>
      <w:r>
        <w:t>н</w:t>
      </w:r>
      <w:r>
        <w:t>теллектуальных сторонников бывшего социалистического правительства, кот</w:t>
      </w:r>
      <w:r>
        <w:t>о</w:t>
      </w:r>
      <w:r>
        <w:t>рые опасаются, что новое правительство, представляющее в парламенте бол</w:t>
      </w:r>
      <w:r>
        <w:t>ь</w:t>
      </w:r>
      <w:r>
        <w:t>шинство и имеющее две трети мест, сможет подорвать демократические ста</w:t>
      </w:r>
      <w:r>
        <w:t>н</w:t>
      </w:r>
      <w:r>
        <w:t>дарты. Лицо, у которого журнал брал интервью, не предоставило никаких док</w:t>
      </w:r>
      <w:r>
        <w:t>а</w:t>
      </w:r>
      <w:r>
        <w:t>зательств, а делать выводы на основе мнения лишь одного комментатора без изучения фактов непрофессионально.</w:t>
      </w:r>
    </w:p>
    <w:p w:rsidR="00000000" w:rsidRDefault="00000000">
      <w:pPr>
        <w:pStyle w:val="SingleTxtGR"/>
      </w:pPr>
      <w:r>
        <w:t>72.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Лигети</w:t>
      </w:r>
      <w:proofErr w:type="spellEnd"/>
      <w:r>
        <w:t xml:space="preserve"> (Венгрия) говорит, что в Законе о полиции устанавливается юридическая основа в отношении кратковременных арестов, но она не такая жесткая, как в отношении задержания лиц, подозреваемых в совершении уг</w:t>
      </w:r>
      <w:r>
        <w:t>о</w:t>
      </w:r>
      <w:r>
        <w:t>ловных преступлений. К кратковременным арестам иногда прибегают с целью установить личность подозреваемого, первоначальный срок задержания котор</w:t>
      </w:r>
      <w:r>
        <w:t>о</w:t>
      </w:r>
      <w:r>
        <w:t>го составляет четыре часа, при этом в случае необходимости предусмотрена возможность дополнительно добавить еще два периода по четыре часа.</w:t>
      </w:r>
    </w:p>
    <w:p w:rsidR="00000000" w:rsidRDefault="00000000">
      <w:pPr>
        <w:pStyle w:val="SingleTxtGR"/>
      </w:pPr>
      <w:r>
        <w:t>73.</w:t>
      </w:r>
      <w:r>
        <w:tab/>
        <w:t>Общее число содержащихся под стражей подозреваемых возросло, но он в настоящий момент не может представить какие-либо статистические данные. Такой рост затрудняет соблюдение требования о справедливом судебном разб</w:t>
      </w:r>
      <w:r>
        <w:t>и</w:t>
      </w:r>
      <w:r>
        <w:t>рательстве в разумный период времени.</w:t>
      </w:r>
    </w:p>
    <w:p w:rsidR="00000000" w:rsidRDefault="00000000">
      <w:pPr>
        <w:pStyle w:val="SingleTxtGR"/>
      </w:pPr>
      <w:r>
        <w:t>74.</w:t>
      </w:r>
      <w:r>
        <w:tab/>
        <w:t>Время содержания в предварительном заключении всегда вычитается из срока предусмотренного наказания. У него нет данных о каких-либо случаях, когда бы срок досудебного заключения превышал срок всего наказания, но он уверен, что в таких случаях будет предоставляться компенсация в какой-либо форме.</w:t>
      </w:r>
    </w:p>
    <w:p w:rsidR="00000000" w:rsidRDefault="00000000">
      <w:pPr>
        <w:pStyle w:val="SingleTxtGR"/>
      </w:pPr>
      <w:r>
        <w:t>75.</w:t>
      </w:r>
      <w:r>
        <w:tab/>
        <w:t xml:space="preserve">Назначение защиты </w:t>
      </w:r>
      <w:r>
        <w:rPr>
          <w:lang w:val="fr-CA"/>
        </w:rPr>
        <w:t>ex</w:t>
      </w:r>
      <w:r>
        <w:t xml:space="preserve"> </w:t>
      </w:r>
      <w:proofErr w:type="spellStart"/>
      <w:r>
        <w:rPr>
          <w:lang w:val="fr-CA"/>
        </w:rPr>
        <w:t>officio</w:t>
      </w:r>
      <w:proofErr w:type="spellEnd"/>
      <w:r>
        <w:t xml:space="preserve"> является трудным вопросом для любой правовой системы. В данном контексте термины "обязательный" и "официал</w:t>
      </w:r>
      <w:r>
        <w:t>ь</w:t>
      </w:r>
      <w:r>
        <w:t>ный" являются синонимами. Он уверяет Комитет о том, что нет никаких мат</w:t>
      </w:r>
      <w:r>
        <w:t>е</w:t>
      </w:r>
      <w:r>
        <w:t>риальных фактов или правовых оснований, подтверждающих обвинения в н</w:t>
      </w:r>
      <w:r>
        <w:t>е</w:t>
      </w:r>
      <w:r>
        <w:t>объективности защитников, если они назначаются полицейскими или следс</w:t>
      </w:r>
      <w:r>
        <w:t>т</w:t>
      </w:r>
      <w:r>
        <w:t>венными органами. Любая жалоба в отношении качества услуг, предоставля</w:t>
      </w:r>
      <w:r>
        <w:t>е</w:t>
      </w:r>
      <w:r>
        <w:t>мых официальным защитником, будет рассматриваться Коллегией адвокатов.</w:t>
      </w:r>
    </w:p>
    <w:p w:rsidR="00000000" w:rsidRDefault="00000000">
      <w:pPr>
        <w:pStyle w:val="SingleTxtGR"/>
      </w:pPr>
      <w:r>
        <w:br w:type="page"/>
        <w:t>76.</w:t>
      </w:r>
      <w:r>
        <w:tab/>
        <w:t>В больших городах тюрьмы переполнены, но в других частях страны н</w:t>
      </w:r>
      <w:r>
        <w:t>а</w:t>
      </w:r>
      <w:r>
        <w:t>блюдается противоположная ситуация. Более того, в городских тюрьмах соде</w:t>
      </w:r>
      <w:r>
        <w:t>р</w:t>
      </w:r>
      <w:r>
        <w:t>жатся как осужденные, так и подследственные, в особенности в связи с необх</w:t>
      </w:r>
      <w:r>
        <w:t>о</w:t>
      </w:r>
      <w:r>
        <w:t>димостью размещать последних в учреждениях, которые расположены близко к органам, проводящим судебные разбирательства.</w:t>
      </w:r>
    </w:p>
    <w:p w:rsidR="00000000" w:rsidRDefault="00000000">
      <w:pPr>
        <w:pStyle w:val="SingleTxtGR"/>
      </w:pPr>
      <w:r>
        <w:t>77.</w:t>
      </w:r>
      <w:r>
        <w:tab/>
        <w:t>Существование наказания в виде обязательного пожизненного заключ</w:t>
      </w:r>
      <w:r>
        <w:t>е</w:t>
      </w:r>
      <w:r>
        <w:t>ния без права условно-досрочного освобождения, а также принципа обязател</w:t>
      </w:r>
      <w:r>
        <w:t>ь</w:t>
      </w:r>
      <w:r>
        <w:t>ного сурового наказания после третьего нарушения не повлияло на число з</w:t>
      </w:r>
      <w:r>
        <w:t>а</w:t>
      </w:r>
      <w:r>
        <w:t>ключенных. Принцип обязательного сурового наказания после третьего прав</w:t>
      </w:r>
      <w:r>
        <w:t>о</w:t>
      </w:r>
      <w:r>
        <w:t>нарушения был принят недавно и затронет лишь небольшую долю правонар</w:t>
      </w:r>
      <w:r>
        <w:t>у</w:t>
      </w:r>
      <w:r>
        <w:t>шителей.</w:t>
      </w:r>
    </w:p>
    <w:p w:rsidR="00000000" w:rsidRDefault="00000000">
      <w:pPr>
        <w:pStyle w:val="SingleTxtGR"/>
      </w:pPr>
      <w:r>
        <w:t>78.</w:t>
      </w:r>
      <w:r>
        <w:tab/>
        <w:t>В отношении не связанных с лишением свободы мер наказания он отм</w:t>
      </w:r>
      <w:r>
        <w:t>е</w:t>
      </w:r>
      <w:r>
        <w:t>чает, что каждый год за правонарушения осуждаются от 120 000 до 130 000 ч</w:t>
      </w:r>
      <w:r>
        <w:t>е</w:t>
      </w:r>
      <w:r>
        <w:t>ловек, но к наказанию в виде лишения свободы приговариваются только от 10 000 до 12 000 человек. Таким образом, доля наказаний в виде лишения св</w:t>
      </w:r>
      <w:r>
        <w:t>о</w:t>
      </w:r>
      <w:r>
        <w:t>боды составляет менее 10%.</w:t>
      </w:r>
    </w:p>
    <w:p w:rsidR="00000000" w:rsidRDefault="00000000">
      <w:pPr>
        <w:pStyle w:val="SingleTxtGR"/>
      </w:pPr>
      <w:r>
        <w:rPr>
          <w:i/>
        </w:rPr>
        <w:t>Заседание закрывается в 18 ч. 00 м.</w:t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lang w:val="en-US"/>
      </w:rPr>
      <w:tab/>
      <w:t>GE.10-45851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  <w:rPr>
        <w:lang w:val="en-US"/>
      </w:rPr>
    </w:pPr>
    <w:r>
      <w:rPr>
        <w:lang w:val="en-US"/>
      </w:rPr>
      <w:t>GE.10-45851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tabs>
        <w:tab w:val="right" w:pos="1021"/>
      </w:tabs>
      <w:suppressAutoHyphens/>
      <w:spacing w:before="120" w:after="120" w:line="220" w:lineRule="exact"/>
      <w:ind w:left="1134" w:right="-81" w:hanging="1120"/>
      <w:rPr>
        <w:spacing w:val="0"/>
        <w:w w:val="100"/>
        <w:kern w:val="0"/>
        <w:sz w:val="18"/>
      </w:rPr>
    </w:pPr>
    <w:r>
      <w:rPr>
        <w:spacing w:val="0"/>
        <w:w w:val="100"/>
        <w:kern w:val="0"/>
        <w:sz w:val="18"/>
      </w:rPr>
      <w:t>_______________________________________________________________________________</w:t>
    </w:r>
    <w:r>
      <w:rPr>
        <w:spacing w:val="0"/>
        <w:w w:val="100"/>
        <w:kern w:val="0"/>
        <w:sz w:val="18"/>
        <w:lang w:val="en-US"/>
      </w:rPr>
      <w:t>___</w:t>
    </w:r>
    <w:r>
      <w:rPr>
        <w:spacing w:val="0"/>
        <w:w w:val="100"/>
        <w:kern w:val="0"/>
        <w:sz w:val="18"/>
      </w:rPr>
      <w:t>________________________</w:t>
    </w:r>
  </w:p>
  <w:p w:rsidR="00000000" w:rsidRDefault="0000000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>
      <w:rPr>
        <w:spacing w:val="0"/>
        <w:w w:val="100"/>
        <w:kern w:val="0"/>
        <w:sz w:val="18"/>
      </w:rPr>
      <w:t>В настоящий отчет могут вноситься поправки.</w:t>
    </w:r>
  </w:p>
  <w:p w:rsidR="00000000" w:rsidRDefault="00000000">
    <w:pPr>
      <w:tabs>
        <w:tab w:val="right" w:pos="1021"/>
      </w:tabs>
      <w:suppressAutoHyphens/>
      <w:spacing w:before="120" w:after="120" w:line="220" w:lineRule="exact"/>
      <w:ind w:left="1134" w:right="1134"/>
      <w:rPr>
        <w:spacing w:val="0"/>
        <w:w w:val="100"/>
        <w:kern w:val="0"/>
        <w:sz w:val="18"/>
      </w:rPr>
    </w:pPr>
    <w:r>
      <w:rPr>
        <w:spacing w:val="0"/>
        <w:w w:val="100"/>
        <w:kern w:val="0"/>
        <w:sz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  <w:spacing w:val="0"/>
        <w:w w:val="100"/>
        <w:kern w:val="0"/>
        <w:sz w:val="18"/>
      </w:rPr>
      <w:t>в течение одной недели с момента выпуска настоящего документа</w:t>
    </w:r>
    <w:r>
      <w:rPr>
        <w:spacing w:val="0"/>
        <w:w w:val="100"/>
        <w:kern w:val="0"/>
        <w:sz w:val="18"/>
      </w:rPr>
      <w:t xml:space="preserve"> в Группу редакционного контроля, комната Е.4108, Дворец Наций, Женева.</w:t>
    </w:r>
  </w:p>
  <w:p w:rsidR="00000000" w:rsidRDefault="00000000">
    <w:pPr>
      <w:tabs>
        <w:tab w:val="right" w:pos="1021"/>
      </w:tabs>
      <w:suppressAutoHyphens/>
      <w:spacing w:before="120" w:line="220" w:lineRule="exact"/>
      <w:ind w:left="1134" w:right="1134"/>
      <w:rPr>
        <w:spacing w:val="0"/>
        <w:w w:val="100"/>
        <w:kern w:val="0"/>
        <w:sz w:val="18"/>
        <w:szCs w:val="18"/>
      </w:rPr>
    </w:pPr>
    <w:r>
      <w:rPr>
        <w:spacing w:val="0"/>
        <w:w w:val="100"/>
        <w:kern w:val="0"/>
        <w:sz w:val="18"/>
        <w:szCs w:val="18"/>
      </w:rPr>
      <w:t xml:space="preserve">Любые </w:t>
    </w:r>
    <w:r>
      <w:rPr>
        <w:spacing w:val="0"/>
        <w:w w:val="100"/>
        <w:kern w:val="0"/>
        <w:sz w:val="18"/>
      </w:rPr>
      <w:t>поправки</w:t>
    </w:r>
    <w:r>
      <w:rPr>
        <w:spacing w:val="0"/>
        <w:w w:val="100"/>
        <w:kern w:val="0"/>
        <w:sz w:val="18"/>
        <w:szCs w:val="18"/>
      </w:rPr>
      <w:t xml:space="preserve">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000000" w:rsidRDefault="00000000">
    <w:pPr>
      <w:pStyle w:val="Footer"/>
      <w:rPr>
        <w:sz w:val="2"/>
        <w:szCs w:val="2"/>
        <w:lang w:val="ru-RU"/>
      </w:rPr>
    </w:pPr>
  </w:p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GE.10-45851  (R)  091110  091110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>CCPR/C/SR.2754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  <w:rPr>
        <w:lang w:val="en-US"/>
      </w:rPr>
    </w:pPr>
    <w:r>
      <w:rPr>
        <w:lang w:val="en-US"/>
      </w:rPr>
      <w:tab/>
      <w:t>CCPR/C/SR.2754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basedOn w:val="DefaultParagraphFont"/>
    <w:link w:val="H23GR0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basedOn w:val="DefaultParagraphFont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basedOn w:val="DefaultParagraphFont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basedOn w:val="DefaultParagraphFont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Pr>
      <w:i/>
      <w:iCs/>
    </w:rPr>
  </w:style>
  <w:style w:type="character" w:styleId="HTMLTypewriter">
    <w:name w:val="HTML Typewriter"/>
    <w:basedOn w:val="DefaultParagraphFont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basedOn w:val="DefaultParagraphFont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basedOn w:val="DefaultParagraphFont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15</Pages>
  <Words>6828</Words>
  <Characters>38925</Characters>
  <Application>Microsoft Office Outlook</Application>
  <DocSecurity>4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1045851</vt:lpstr>
    </vt:vector>
  </TitlesOfParts>
  <Company>CSD</Company>
  <LinksUpToDate>false</LinksUpToDate>
  <CharactersWithSpaces>45662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1045851</dc:title>
  <dc:subject>ЧЕРЕПАХИН</dc:subject>
  <dc:creator>Людмила ЦЕПЕЛЕВА</dc:creator>
  <cp:keywords/>
  <dc:description/>
  <cp:lastModifiedBy>Людмила ЦЕПЕЛЕВА</cp:lastModifiedBy>
  <cp:revision>2</cp:revision>
  <cp:lastPrinted>1601-01-01T00:00:00Z</cp:lastPrinted>
  <dcterms:created xsi:type="dcterms:W3CDTF">2010-11-09T15:23:00Z</dcterms:created>
  <dcterms:modified xsi:type="dcterms:W3CDTF">2010-11-09T15:23:00Z</dcterms:modified>
</cp:coreProperties>
</file>