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pPr>
    </w:p>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rPr>
          <w:b/>
          <w:sz w:val="24"/>
        </w:rPr>
      </w:pPr>
      <w:r>
        <w:rPr>
          <w:b/>
          <w:sz w:val="24"/>
        </w:rPr>
        <w:t xml:space="preserve">Committee on the Elimination of </w:t>
      </w:r>
      <w:r>
        <w:rPr>
          <w:b/>
          <w:sz w:val="24"/>
        </w:rPr>
        <w:br/>
        <w:t>Discrimination against Women</w:t>
      </w:r>
    </w:p>
    <w:p w:rsidR="00000000" w:rsidRDefault="00000000">
      <w:pPr>
        <w:pStyle w:val="12R"/>
      </w:pPr>
    </w:p>
    <w:p w:rsidR="00000000" w:rsidRDefault="00000000">
      <w:pPr>
        <w:pStyle w:val="12R"/>
      </w:pPr>
    </w:p>
    <w:p w:rsidR="00000000" w:rsidRDefault="00000000">
      <w:pPr>
        <w:pStyle w:val="HCh0"/>
      </w:pPr>
      <w:r>
        <w:t>Consideration of reports submitted by States parties under article 18 of the Convention on the Elimination of All Forms of Discrimination against Women</w:t>
      </w:r>
    </w:p>
    <w:p w:rsidR="00000000" w:rsidRDefault="00000000">
      <w:pPr>
        <w:pStyle w:val="12R"/>
      </w:pPr>
    </w:p>
    <w:p w:rsidR="00000000" w:rsidRDefault="00000000">
      <w:pPr>
        <w:pStyle w:val="12R"/>
      </w:pPr>
    </w:p>
    <w:p w:rsidR="00000000" w:rsidRDefault="00000000">
      <w:pPr>
        <w:pStyle w:val="H10"/>
      </w:pPr>
      <w:r>
        <w:t>Initial reports of States parties</w:t>
      </w:r>
    </w:p>
    <w:p w:rsidR="00000000" w:rsidRDefault="00000000">
      <w:pPr>
        <w:pStyle w:val="12R"/>
      </w:pPr>
    </w:p>
    <w:p w:rsidR="00000000" w:rsidRDefault="00000000">
      <w:pPr>
        <w:pStyle w:val="SingleTxt"/>
      </w:pPr>
      <w:r>
        <w:rPr>
          <w:b/>
          <w:spacing w:val="-2"/>
          <w:sz w:val="28"/>
        </w:rPr>
        <w:t>Kazakhstan</w:t>
      </w:r>
      <w:r>
        <w:t>*</w:t>
      </w:r>
    </w:p>
    <w:p w:rsidR="00000000" w:rsidRDefault="00000000">
      <w:pPr>
        <w:pStyle w:val="hch1"/>
        <w:tabs>
          <w:tab w:val="clear" w:pos="360"/>
          <w:tab w:val="clear" w:pos="475"/>
          <w:tab w:val="clear" w:pos="965"/>
          <w:tab w:val="clear" w:pos="1440"/>
          <w:tab w:val="clear" w:pos="1915"/>
          <w:tab w:val="left" w:pos="1267"/>
        </w:tabs>
        <w:ind w:left="1267" w:hanging="1267"/>
        <w:rPr>
          <w:sz w:val="24"/>
        </w:rPr>
      </w:pPr>
    </w:p>
    <w:p w:rsidR="00000000" w:rsidRDefault="00000000">
      <w:pPr>
        <w:pStyle w:val="HCh"/>
        <w:keepLines w:val="0"/>
        <w:spacing w:line="240" w:lineRule="exact"/>
        <w:rPr>
          <w:spacing w:val="4"/>
        </w:rPr>
      </w:pPr>
      <w:r>
        <w:rPr>
          <w:spacing w:val="4"/>
        </w:rPr>
        <w:t>Contents</w:t>
      </w:r>
    </w:p>
    <w:p w:rsidR="00000000" w:rsidRDefault="00000000"/>
    <w:tbl>
      <w:tblPr>
        <w:tblW w:w="0" w:type="auto"/>
        <w:tblInd w:w="-7" w:type="dxa"/>
        <w:tblLayout w:type="fixed"/>
        <w:tblLook w:val="0000" w:firstRow="0" w:lastRow="0" w:firstColumn="0" w:lastColumn="0" w:noHBand="0" w:noVBand="0"/>
      </w:tblPr>
      <w:tblGrid>
        <w:gridCol w:w="9234"/>
        <w:gridCol w:w="648"/>
      </w:tblGrid>
      <w:tr w:rsidR="00000000">
        <w:tblPrEx>
          <w:tblCellMar>
            <w:top w:w="0" w:type="dxa"/>
            <w:bottom w:w="0" w:type="dxa"/>
          </w:tblCellMar>
        </w:tblPrEx>
        <w:tc>
          <w:tcPr>
            <w:tcW w:w="9234" w:type="dxa"/>
            <w:vAlign w:val="bottom"/>
          </w:tcPr>
          <w:p w:rsidR="00000000" w:rsidRDefault="00000000">
            <w:pPr>
              <w:pStyle w:val="CommentText"/>
              <w:tabs>
                <w:tab w:val="right" w:pos="1080"/>
                <w:tab w:val="left" w:pos="1296"/>
                <w:tab w:val="left" w:pos="1728"/>
                <w:tab w:val="left" w:pos="2160"/>
                <w:tab w:val="right" w:pos="8381"/>
              </w:tabs>
              <w:rPr>
                <w:i/>
                <w:sz w:val="14"/>
              </w:rPr>
            </w:pPr>
          </w:p>
        </w:tc>
        <w:tc>
          <w:tcPr>
            <w:tcW w:w="648" w:type="dxa"/>
            <w:vAlign w:val="bottom"/>
          </w:tcPr>
          <w:p w:rsidR="00000000" w:rsidRDefault="00000000">
            <w:pPr>
              <w:pStyle w:val="Heading5"/>
              <w:tabs>
                <w:tab w:val="right" w:pos="1080"/>
                <w:tab w:val="left" w:pos="1296"/>
                <w:tab w:val="left" w:pos="1728"/>
                <w:tab w:val="left" w:pos="2160"/>
                <w:tab w:val="right" w:pos="8381"/>
              </w:tabs>
            </w:pPr>
            <w:r>
              <w:t>Page</w:t>
            </w:r>
          </w:p>
        </w:tc>
      </w:tr>
      <w:tr w:rsidR="00000000">
        <w:tblPrEx>
          <w:tblCellMar>
            <w:top w:w="0" w:type="dxa"/>
            <w:bottom w:w="0" w:type="dxa"/>
          </w:tblCellMar>
        </w:tblPrEx>
        <w:trPr>
          <w:trHeight w:val="288"/>
        </w:trPr>
        <w:tc>
          <w:tcPr>
            <w:tcW w:w="9234" w:type="dxa"/>
            <w:vAlign w:val="bottom"/>
          </w:tcPr>
          <w:p w:rsidR="00000000" w:rsidRDefault="00000000">
            <w:pPr>
              <w:pStyle w:val="H56"/>
              <w:keepNext w:val="0"/>
              <w:keepLines w:val="0"/>
              <w:tabs>
                <w:tab w:val="clear" w:pos="360"/>
                <w:tab w:val="right" w:pos="1080"/>
                <w:tab w:val="left" w:pos="1296"/>
                <w:tab w:val="left" w:pos="2160"/>
                <w:tab w:val="right" w:leader="dot" w:pos="8991"/>
              </w:tabs>
              <w:ind w:left="1296" w:hanging="1296"/>
              <w:outlineLvl w:val="9"/>
            </w:pPr>
            <w:r>
              <w:tab/>
            </w:r>
            <w:r>
              <w:tab/>
              <w:t>Preface</w:t>
            </w:r>
            <w:r>
              <w:tab/>
            </w:r>
            <w:r>
              <w:rPr>
                <w:spacing w:val="60"/>
              </w:rPr>
              <w:tab/>
            </w:r>
          </w:p>
        </w:tc>
        <w:tc>
          <w:tcPr>
            <w:tcW w:w="648" w:type="dxa"/>
            <w:vAlign w:val="bottom"/>
          </w:tcPr>
          <w:p w:rsidR="00000000" w:rsidRDefault="00000000">
            <w:pPr>
              <w:tabs>
                <w:tab w:val="right" w:pos="1080"/>
                <w:tab w:val="left" w:pos="1296"/>
                <w:tab w:val="left" w:pos="1728"/>
                <w:tab w:val="left" w:pos="2160"/>
                <w:tab w:val="right" w:leader="dot" w:pos="8381"/>
              </w:tabs>
              <w:jc w:val="right"/>
            </w:pPr>
            <w:r>
              <w:t>3</w:t>
            </w:r>
          </w:p>
        </w:tc>
      </w:tr>
      <w:tr w:rsidR="00000000">
        <w:tblPrEx>
          <w:tblCellMar>
            <w:top w:w="0" w:type="dxa"/>
            <w:bottom w:w="0" w:type="dxa"/>
          </w:tblCellMar>
        </w:tblPrEx>
        <w:trPr>
          <w:trHeight w:val="288"/>
        </w:trPr>
        <w:tc>
          <w:tcPr>
            <w:tcW w:w="9234" w:type="dxa"/>
            <w:vAlign w:val="bottom"/>
          </w:tcPr>
          <w:p w:rsidR="00000000" w:rsidRDefault="00000000">
            <w:pPr>
              <w:pStyle w:val="H56"/>
              <w:keepNext w:val="0"/>
              <w:keepLines w:val="0"/>
              <w:tabs>
                <w:tab w:val="clear" w:pos="360"/>
                <w:tab w:val="right" w:pos="1080"/>
                <w:tab w:val="left" w:pos="1296"/>
                <w:tab w:val="left" w:pos="1728"/>
                <w:tab w:val="left" w:pos="2160"/>
                <w:tab w:val="right" w:leader="dot" w:pos="9018"/>
              </w:tabs>
              <w:ind w:left="1296" w:hanging="1296"/>
              <w:outlineLvl w:val="9"/>
            </w:pPr>
            <w:r>
              <w:tab/>
            </w:r>
            <w:r>
              <w:tab/>
              <w:t>General information: the country and its people</w:t>
            </w:r>
            <w:r>
              <w:rPr>
                <w:spacing w:val="60"/>
              </w:rPr>
              <w:tab/>
            </w:r>
          </w:p>
        </w:tc>
        <w:tc>
          <w:tcPr>
            <w:tcW w:w="648" w:type="dxa"/>
            <w:vAlign w:val="bottom"/>
          </w:tcPr>
          <w:p w:rsidR="00000000" w:rsidRDefault="00000000">
            <w:pPr>
              <w:tabs>
                <w:tab w:val="right" w:pos="1080"/>
                <w:tab w:val="left" w:pos="1296"/>
                <w:tab w:val="left" w:pos="1728"/>
                <w:tab w:val="left" w:pos="2160"/>
                <w:tab w:val="right" w:leader="dot" w:pos="8381"/>
                <w:tab w:val="right" w:leader="dot" w:pos="9018"/>
              </w:tabs>
              <w:jc w:val="right"/>
            </w:pPr>
            <w:r>
              <w:t>3</w:t>
            </w:r>
          </w:p>
        </w:tc>
      </w:tr>
      <w:tr w:rsidR="00000000">
        <w:tblPrEx>
          <w:tblCellMar>
            <w:top w:w="0" w:type="dxa"/>
            <w:bottom w:w="0" w:type="dxa"/>
          </w:tblCellMar>
        </w:tblPrEx>
        <w:trPr>
          <w:trHeight w:val="288"/>
        </w:trPr>
        <w:tc>
          <w:tcPr>
            <w:tcW w:w="9234" w:type="dxa"/>
            <w:vAlign w:val="bottom"/>
          </w:tcPr>
          <w:p w:rsidR="00000000" w:rsidRDefault="00000000">
            <w:pPr>
              <w:pStyle w:val="H56"/>
              <w:keepNext w:val="0"/>
              <w:keepLines w:val="0"/>
              <w:tabs>
                <w:tab w:val="clear" w:pos="360"/>
                <w:tab w:val="right" w:pos="1080"/>
                <w:tab w:val="left" w:pos="1296"/>
                <w:tab w:val="left" w:pos="1728"/>
                <w:tab w:val="left" w:pos="2160"/>
                <w:tab w:val="right" w:leader="dot" w:pos="9018"/>
              </w:tabs>
              <w:ind w:left="1296" w:hanging="1296"/>
              <w:outlineLvl w:val="9"/>
            </w:pPr>
            <w:r>
              <w:tab/>
            </w:r>
            <w:r>
              <w:tab/>
              <w:t>Political and legal systems</w:t>
            </w:r>
            <w:r>
              <w:rPr>
                <w:spacing w:val="60"/>
              </w:rPr>
              <w:tab/>
            </w:r>
          </w:p>
        </w:tc>
        <w:tc>
          <w:tcPr>
            <w:tcW w:w="648" w:type="dxa"/>
            <w:vAlign w:val="bottom"/>
          </w:tcPr>
          <w:p w:rsidR="00000000" w:rsidRDefault="00000000">
            <w:pPr>
              <w:tabs>
                <w:tab w:val="right" w:pos="1080"/>
                <w:tab w:val="left" w:pos="1296"/>
                <w:tab w:val="left" w:pos="1728"/>
                <w:tab w:val="left" w:pos="2160"/>
                <w:tab w:val="right" w:leader="dot" w:pos="8381"/>
                <w:tab w:val="right" w:leader="dot" w:pos="9018"/>
              </w:tabs>
              <w:jc w:val="right"/>
            </w:pPr>
            <w:r>
              <w:t>13</w:t>
            </w:r>
          </w:p>
        </w:tc>
      </w:tr>
      <w:tr w:rsidR="00000000">
        <w:tblPrEx>
          <w:tblCellMar>
            <w:top w:w="0" w:type="dxa"/>
            <w:bottom w:w="0" w:type="dxa"/>
          </w:tblCellMar>
        </w:tblPrEx>
        <w:trPr>
          <w:trHeight w:val="288"/>
        </w:trPr>
        <w:tc>
          <w:tcPr>
            <w:tcW w:w="9234" w:type="dxa"/>
            <w:vAlign w:val="bottom"/>
          </w:tcPr>
          <w:p w:rsidR="00000000" w:rsidRDefault="00000000">
            <w:pPr>
              <w:pStyle w:val="H56"/>
              <w:keepNext w:val="0"/>
              <w:keepLines w:val="0"/>
              <w:tabs>
                <w:tab w:val="clear" w:pos="360"/>
                <w:tab w:val="right" w:pos="1080"/>
                <w:tab w:val="left" w:pos="1296"/>
                <w:tab w:val="left" w:pos="2160"/>
                <w:tab w:val="right" w:leader="dot" w:pos="9018"/>
              </w:tabs>
              <w:ind w:left="1296" w:hanging="1296"/>
              <w:outlineLvl w:val="9"/>
            </w:pPr>
            <w:r>
              <w:tab/>
            </w:r>
            <w:r>
              <w:tab/>
              <w:t>Economy</w:t>
            </w:r>
            <w:r>
              <w:tab/>
            </w:r>
            <w:r>
              <w:rPr>
                <w:spacing w:val="60"/>
              </w:rPr>
              <w:tab/>
            </w:r>
          </w:p>
        </w:tc>
        <w:tc>
          <w:tcPr>
            <w:tcW w:w="648" w:type="dxa"/>
            <w:vAlign w:val="bottom"/>
          </w:tcPr>
          <w:p w:rsidR="00000000" w:rsidRDefault="00000000">
            <w:pPr>
              <w:tabs>
                <w:tab w:val="right" w:pos="1080"/>
                <w:tab w:val="left" w:pos="1296"/>
                <w:tab w:val="left" w:pos="1728"/>
                <w:tab w:val="left" w:pos="2160"/>
                <w:tab w:val="right" w:leader="dot" w:pos="8381"/>
                <w:tab w:val="right" w:leader="dot" w:pos="9018"/>
              </w:tabs>
              <w:jc w:val="right"/>
            </w:pPr>
            <w:r>
              <w:t>18</w:t>
            </w:r>
          </w:p>
        </w:tc>
      </w:tr>
      <w:tr w:rsidR="00000000">
        <w:tblPrEx>
          <w:tblCellMar>
            <w:top w:w="0" w:type="dxa"/>
            <w:bottom w:w="0" w:type="dxa"/>
          </w:tblCellMar>
        </w:tblPrEx>
        <w:trPr>
          <w:trHeight w:val="288"/>
        </w:trPr>
        <w:tc>
          <w:tcPr>
            <w:tcW w:w="9234" w:type="dxa"/>
            <w:vAlign w:val="bottom"/>
          </w:tcPr>
          <w:p w:rsidR="00000000" w:rsidRDefault="00000000">
            <w:pPr>
              <w:pStyle w:val="H56"/>
              <w:keepNext w:val="0"/>
              <w:keepLines w:val="0"/>
              <w:tabs>
                <w:tab w:val="clear" w:pos="360"/>
                <w:tab w:val="right" w:pos="1080"/>
                <w:tab w:val="left" w:pos="1296"/>
                <w:tab w:val="left" w:pos="2160"/>
                <w:tab w:val="right" w:leader="dot" w:pos="9018"/>
              </w:tabs>
              <w:ind w:left="1296" w:hanging="1296"/>
              <w:outlineLvl w:val="9"/>
            </w:pPr>
            <w:r>
              <w:tab/>
            </w:r>
            <w:r>
              <w:tab/>
              <w:t>Part I</w:t>
            </w:r>
            <w:r>
              <w:tab/>
            </w:r>
            <w:r>
              <w:rPr>
                <w:spacing w:val="60"/>
              </w:rPr>
              <w:tab/>
            </w:r>
          </w:p>
        </w:tc>
        <w:tc>
          <w:tcPr>
            <w:tcW w:w="648" w:type="dxa"/>
            <w:vAlign w:val="bottom"/>
          </w:tcPr>
          <w:p w:rsidR="00000000" w:rsidRDefault="00000000">
            <w:pPr>
              <w:tabs>
                <w:tab w:val="right" w:pos="1080"/>
                <w:tab w:val="left" w:pos="1296"/>
                <w:tab w:val="left" w:pos="1728"/>
                <w:tab w:val="left" w:pos="2160"/>
                <w:tab w:val="right" w:leader="dot" w:pos="8381"/>
                <w:tab w:val="right" w:leader="dot" w:pos="9018"/>
              </w:tabs>
              <w:jc w:val="right"/>
            </w:pPr>
            <w:r>
              <w:t>23</w:t>
            </w:r>
          </w:p>
        </w:tc>
      </w:tr>
      <w:tr w:rsidR="00000000">
        <w:tblPrEx>
          <w:tblCellMar>
            <w:top w:w="0" w:type="dxa"/>
            <w:bottom w:w="0" w:type="dxa"/>
          </w:tblCellMar>
        </w:tblPrEx>
        <w:trPr>
          <w:trHeight w:val="288"/>
        </w:trPr>
        <w:tc>
          <w:tcPr>
            <w:tcW w:w="9234" w:type="dxa"/>
            <w:vAlign w:val="bottom"/>
          </w:tcPr>
          <w:p w:rsidR="00000000" w:rsidRDefault="00000000">
            <w:pPr>
              <w:pStyle w:val="H56"/>
              <w:keepNext w:val="0"/>
              <w:keepLines w:val="0"/>
              <w:tabs>
                <w:tab w:val="clear" w:pos="360"/>
                <w:tab w:val="right" w:pos="1080"/>
                <w:tab w:val="left" w:pos="1296"/>
                <w:tab w:val="left" w:pos="1728"/>
                <w:tab w:val="left" w:pos="2160"/>
                <w:tab w:val="right" w:leader="dot" w:pos="9018"/>
              </w:tabs>
              <w:ind w:left="1296" w:hanging="1296"/>
              <w:outlineLvl w:val="9"/>
            </w:pPr>
            <w:r>
              <w:tab/>
            </w:r>
            <w:r>
              <w:tab/>
            </w:r>
            <w:r>
              <w:tab/>
              <w:t>Article 1</w:t>
            </w:r>
            <w:r>
              <w:rPr>
                <w:spacing w:val="60"/>
              </w:rPr>
              <w:tab/>
            </w:r>
          </w:p>
        </w:tc>
        <w:tc>
          <w:tcPr>
            <w:tcW w:w="648" w:type="dxa"/>
            <w:vAlign w:val="bottom"/>
          </w:tcPr>
          <w:p w:rsidR="00000000" w:rsidRDefault="00000000">
            <w:pPr>
              <w:tabs>
                <w:tab w:val="right" w:pos="1080"/>
                <w:tab w:val="left" w:pos="1296"/>
                <w:tab w:val="left" w:pos="1728"/>
                <w:tab w:val="left" w:pos="2160"/>
                <w:tab w:val="right" w:leader="dot" w:pos="8381"/>
                <w:tab w:val="right" w:leader="dot" w:pos="9018"/>
              </w:tabs>
              <w:jc w:val="right"/>
            </w:pPr>
            <w:r>
              <w:t>23</w:t>
            </w:r>
          </w:p>
        </w:tc>
      </w:tr>
      <w:tr w:rsidR="00000000">
        <w:tblPrEx>
          <w:tblCellMar>
            <w:top w:w="0" w:type="dxa"/>
            <w:bottom w:w="0" w:type="dxa"/>
          </w:tblCellMar>
        </w:tblPrEx>
        <w:trPr>
          <w:trHeight w:val="288"/>
        </w:trPr>
        <w:tc>
          <w:tcPr>
            <w:tcW w:w="9234" w:type="dxa"/>
            <w:vAlign w:val="bottom"/>
          </w:tcPr>
          <w:p w:rsidR="00000000" w:rsidRDefault="00000000">
            <w:pPr>
              <w:pStyle w:val="H56"/>
              <w:keepNext w:val="0"/>
              <w:keepLines w:val="0"/>
              <w:tabs>
                <w:tab w:val="clear" w:pos="360"/>
                <w:tab w:val="right" w:pos="1080"/>
                <w:tab w:val="left" w:pos="1296"/>
                <w:tab w:val="left" w:pos="1728"/>
                <w:tab w:val="left" w:pos="2160"/>
                <w:tab w:val="right" w:leader="dot" w:pos="9018"/>
              </w:tabs>
              <w:ind w:left="1296" w:hanging="1296"/>
              <w:outlineLvl w:val="9"/>
            </w:pPr>
            <w:r>
              <w:tab/>
            </w:r>
            <w:r>
              <w:tab/>
            </w:r>
            <w:r>
              <w:tab/>
              <w:t>Article 2</w:t>
            </w:r>
            <w:r>
              <w:rPr>
                <w:spacing w:val="60"/>
              </w:rPr>
              <w:tab/>
            </w:r>
          </w:p>
        </w:tc>
        <w:tc>
          <w:tcPr>
            <w:tcW w:w="648" w:type="dxa"/>
            <w:vAlign w:val="bottom"/>
          </w:tcPr>
          <w:p w:rsidR="00000000" w:rsidRDefault="00000000">
            <w:pPr>
              <w:tabs>
                <w:tab w:val="left" w:pos="312"/>
                <w:tab w:val="right" w:pos="531"/>
                <w:tab w:val="right" w:pos="1080"/>
                <w:tab w:val="left" w:pos="1296"/>
                <w:tab w:val="left" w:pos="1728"/>
                <w:tab w:val="left" w:pos="2160"/>
                <w:tab w:val="right" w:leader="dot" w:pos="8381"/>
                <w:tab w:val="right" w:leader="dot" w:pos="9018"/>
              </w:tabs>
              <w:jc w:val="right"/>
            </w:pPr>
            <w:r>
              <w:t>23</w:t>
            </w:r>
          </w:p>
        </w:tc>
      </w:tr>
      <w:tr w:rsidR="00000000">
        <w:tblPrEx>
          <w:tblCellMar>
            <w:top w:w="0" w:type="dxa"/>
            <w:bottom w:w="0" w:type="dxa"/>
          </w:tblCellMar>
        </w:tblPrEx>
        <w:trPr>
          <w:trHeight w:val="288"/>
        </w:trPr>
        <w:tc>
          <w:tcPr>
            <w:tcW w:w="9234" w:type="dxa"/>
            <w:vAlign w:val="bottom"/>
          </w:tcPr>
          <w:p w:rsidR="00000000" w:rsidRDefault="00000000">
            <w:pPr>
              <w:pStyle w:val="H56"/>
              <w:keepNext w:val="0"/>
              <w:keepLines w:val="0"/>
              <w:tabs>
                <w:tab w:val="clear" w:pos="360"/>
                <w:tab w:val="right" w:pos="1080"/>
                <w:tab w:val="left" w:pos="1296"/>
                <w:tab w:val="left" w:pos="1728"/>
                <w:tab w:val="left" w:pos="2160"/>
                <w:tab w:val="right" w:leader="dot" w:pos="9018"/>
              </w:tabs>
              <w:ind w:left="1728" w:hanging="1728"/>
              <w:outlineLvl w:val="9"/>
            </w:pPr>
            <w:r>
              <w:tab/>
            </w:r>
            <w:r>
              <w:tab/>
            </w:r>
            <w:r>
              <w:tab/>
              <w:t>Article 3</w:t>
            </w:r>
            <w:r>
              <w:rPr>
                <w:spacing w:val="60"/>
              </w:rPr>
              <w:tab/>
            </w:r>
          </w:p>
        </w:tc>
        <w:tc>
          <w:tcPr>
            <w:tcW w:w="648" w:type="dxa"/>
            <w:vAlign w:val="bottom"/>
          </w:tcPr>
          <w:p w:rsidR="00000000" w:rsidRDefault="00000000">
            <w:pPr>
              <w:tabs>
                <w:tab w:val="right" w:pos="1080"/>
                <w:tab w:val="left" w:pos="1296"/>
                <w:tab w:val="left" w:pos="1728"/>
                <w:tab w:val="left" w:pos="2160"/>
                <w:tab w:val="right" w:leader="dot" w:pos="8381"/>
                <w:tab w:val="right" w:leader="dot" w:pos="9018"/>
              </w:tabs>
              <w:jc w:val="right"/>
            </w:pPr>
            <w:r>
              <w:t>27</w:t>
            </w:r>
          </w:p>
        </w:tc>
      </w:tr>
      <w:tr w:rsidR="00000000">
        <w:tblPrEx>
          <w:tblCellMar>
            <w:top w:w="0" w:type="dxa"/>
            <w:bottom w:w="0" w:type="dxa"/>
          </w:tblCellMar>
        </w:tblPrEx>
        <w:trPr>
          <w:trHeight w:val="288"/>
        </w:trPr>
        <w:tc>
          <w:tcPr>
            <w:tcW w:w="9234" w:type="dxa"/>
            <w:vAlign w:val="bottom"/>
          </w:tcPr>
          <w:p w:rsidR="00000000" w:rsidRDefault="00000000">
            <w:pPr>
              <w:pStyle w:val="H56"/>
              <w:keepNext w:val="0"/>
              <w:keepLines w:val="0"/>
              <w:tabs>
                <w:tab w:val="clear" w:pos="360"/>
                <w:tab w:val="right" w:pos="1080"/>
                <w:tab w:val="left" w:pos="1296"/>
                <w:tab w:val="left" w:pos="1728"/>
                <w:tab w:val="left" w:pos="2160"/>
                <w:tab w:val="right" w:leader="dot" w:pos="9018"/>
              </w:tabs>
              <w:ind w:left="1296" w:hanging="1296"/>
              <w:outlineLvl w:val="9"/>
            </w:pPr>
            <w:r>
              <w:tab/>
            </w:r>
            <w:r>
              <w:tab/>
            </w:r>
            <w:r>
              <w:tab/>
              <w:t>Article 4</w:t>
            </w:r>
            <w:r>
              <w:rPr>
                <w:spacing w:val="60"/>
              </w:rPr>
              <w:tab/>
            </w:r>
          </w:p>
        </w:tc>
        <w:tc>
          <w:tcPr>
            <w:tcW w:w="648" w:type="dxa"/>
            <w:vAlign w:val="bottom"/>
          </w:tcPr>
          <w:p w:rsidR="00000000" w:rsidRDefault="00000000">
            <w:pPr>
              <w:tabs>
                <w:tab w:val="right" w:pos="1080"/>
                <w:tab w:val="left" w:pos="1296"/>
                <w:tab w:val="left" w:pos="1728"/>
                <w:tab w:val="left" w:pos="2160"/>
                <w:tab w:val="right" w:leader="dot" w:pos="8381"/>
                <w:tab w:val="right" w:leader="dot" w:pos="9018"/>
              </w:tabs>
              <w:jc w:val="right"/>
            </w:pPr>
            <w:r>
              <w:t>29</w:t>
            </w:r>
          </w:p>
        </w:tc>
      </w:tr>
      <w:tr w:rsidR="00000000">
        <w:tblPrEx>
          <w:tblCellMar>
            <w:top w:w="0" w:type="dxa"/>
            <w:bottom w:w="0" w:type="dxa"/>
          </w:tblCellMar>
        </w:tblPrEx>
        <w:trPr>
          <w:trHeight w:val="288"/>
        </w:trPr>
        <w:tc>
          <w:tcPr>
            <w:tcW w:w="9234" w:type="dxa"/>
            <w:vAlign w:val="bottom"/>
          </w:tcPr>
          <w:p w:rsidR="00000000" w:rsidRDefault="00000000">
            <w:pPr>
              <w:pStyle w:val="H56"/>
              <w:keepNext w:val="0"/>
              <w:keepLines w:val="0"/>
              <w:tabs>
                <w:tab w:val="clear" w:pos="360"/>
                <w:tab w:val="right" w:pos="1080"/>
                <w:tab w:val="left" w:pos="1296"/>
                <w:tab w:val="left" w:pos="1728"/>
                <w:tab w:val="left" w:pos="2160"/>
                <w:tab w:val="right" w:leader="dot" w:pos="9018"/>
              </w:tabs>
              <w:ind w:left="1296" w:hanging="1296"/>
              <w:outlineLvl w:val="9"/>
            </w:pPr>
            <w:r>
              <w:tab/>
            </w:r>
            <w:r>
              <w:tab/>
            </w:r>
            <w:r>
              <w:tab/>
              <w:t>Article 5</w:t>
            </w:r>
            <w:r>
              <w:rPr>
                <w:spacing w:val="60"/>
              </w:rPr>
              <w:tab/>
            </w:r>
          </w:p>
        </w:tc>
        <w:tc>
          <w:tcPr>
            <w:tcW w:w="648" w:type="dxa"/>
            <w:vAlign w:val="bottom"/>
          </w:tcPr>
          <w:p w:rsidR="00000000" w:rsidRDefault="00000000">
            <w:pPr>
              <w:tabs>
                <w:tab w:val="right" w:pos="1080"/>
                <w:tab w:val="left" w:pos="1296"/>
                <w:tab w:val="left" w:pos="1728"/>
                <w:tab w:val="left" w:pos="2160"/>
                <w:tab w:val="right" w:leader="dot" w:pos="8381"/>
                <w:tab w:val="right" w:leader="dot" w:pos="9018"/>
              </w:tabs>
              <w:jc w:val="right"/>
            </w:pPr>
            <w:r>
              <w:t>37</w:t>
            </w:r>
          </w:p>
        </w:tc>
      </w:tr>
      <w:tr w:rsidR="00000000">
        <w:tblPrEx>
          <w:tblCellMar>
            <w:top w:w="0" w:type="dxa"/>
            <w:bottom w:w="0" w:type="dxa"/>
          </w:tblCellMar>
        </w:tblPrEx>
        <w:trPr>
          <w:trHeight w:val="288"/>
        </w:trPr>
        <w:tc>
          <w:tcPr>
            <w:tcW w:w="9234" w:type="dxa"/>
            <w:vAlign w:val="bottom"/>
          </w:tcPr>
          <w:p w:rsidR="00000000" w:rsidRDefault="00000000">
            <w:pPr>
              <w:pStyle w:val="H56"/>
              <w:keepNext w:val="0"/>
              <w:keepLines w:val="0"/>
              <w:tabs>
                <w:tab w:val="clear" w:pos="360"/>
                <w:tab w:val="right" w:pos="1080"/>
                <w:tab w:val="left" w:pos="1296"/>
                <w:tab w:val="left" w:pos="1728"/>
                <w:tab w:val="left" w:pos="2160"/>
                <w:tab w:val="right" w:leader="dot" w:pos="9018"/>
              </w:tabs>
              <w:ind w:left="1728" w:hanging="1728"/>
              <w:outlineLvl w:val="9"/>
            </w:pPr>
            <w:r>
              <w:tab/>
            </w:r>
            <w:r>
              <w:tab/>
            </w:r>
            <w:r>
              <w:tab/>
              <w:t>Article 6</w:t>
            </w:r>
            <w:r>
              <w:rPr>
                <w:spacing w:val="60"/>
              </w:rPr>
              <w:tab/>
            </w:r>
          </w:p>
        </w:tc>
        <w:tc>
          <w:tcPr>
            <w:tcW w:w="648" w:type="dxa"/>
            <w:vAlign w:val="bottom"/>
          </w:tcPr>
          <w:p w:rsidR="00000000" w:rsidRDefault="00000000">
            <w:pPr>
              <w:tabs>
                <w:tab w:val="right" w:pos="1080"/>
                <w:tab w:val="left" w:pos="1296"/>
                <w:tab w:val="left" w:pos="1728"/>
                <w:tab w:val="left" w:pos="2160"/>
                <w:tab w:val="right" w:leader="dot" w:pos="8381"/>
                <w:tab w:val="right" w:leader="dot" w:pos="9018"/>
              </w:tabs>
              <w:jc w:val="right"/>
            </w:pPr>
            <w:r>
              <w:t>38</w:t>
            </w:r>
          </w:p>
        </w:tc>
      </w:tr>
      <w:tr w:rsidR="00000000">
        <w:tblPrEx>
          <w:tblCellMar>
            <w:top w:w="0" w:type="dxa"/>
            <w:bottom w:w="0" w:type="dxa"/>
          </w:tblCellMar>
        </w:tblPrEx>
        <w:trPr>
          <w:trHeight w:val="288"/>
        </w:trPr>
        <w:tc>
          <w:tcPr>
            <w:tcW w:w="9234" w:type="dxa"/>
            <w:vAlign w:val="bottom"/>
          </w:tcPr>
          <w:p w:rsidR="00000000" w:rsidRDefault="00000000">
            <w:pPr>
              <w:pStyle w:val="H56"/>
              <w:keepNext w:val="0"/>
              <w:keepLines w:val="0"/>
              <w:tabs>
                <w:tab w:val="clear" w:pos="360"/>
                <w:tab w:val="right" w:pos="1080"/>
                <w:tab w:val="left" w:pos="1296"/>
                <w:tab w:val="left" w:pos="1728"/>
                <w:tab w:val="left" w:pos="2160"/>
                <w:tab w:val="right" w:leader="dot" w:pos="9018"/>
              </w:tabs>
              <w:ind w:left="1728" w:hanging="1728"/>
              <w:outlineLvl w:val="9"/>
            </w:pPr>
            <w:r>
              <w:tab/>
            </w:r>
            <w:r>
              <w:tab/>
              <w:t>Part II</w:t>
            </w:r>
            <w:r>
              <w:rPr>
                <w:spacing w:val="60"/>
              </w:rPr>
              <w:tab/>
            </w:r>
            <w:r>
              <w:rPr>
                <w:spacing w:val="60"/>
              </w:rPr>
              <w:tab/>
            </w:r>
          </w:p>
        </w:tc>
        <w:tc>
          <w:tcPr>
            <w:tcW w:w="648" w:type="dxa"/>
            <w:vAlign w:val="bottom"/>
          </w:tcPr>
          <w:p w:rsidR="00000000" w:rsidRDefault="00000000">
            <w:pPr>
              <w:tabs>
                <w:tab w:val="right" w:pos="1080"/>
                <w:tab w:val="left" w:pos="1296"/>
                <w:tab w:val="left" w:pos="1728"/>
                <w:tab w:val="left" w:pos="2160"/>
                <w:tab w:val="right" w:leader="dot" w:pos="8381"/>
                <w:tab w:val="right" w:leader="dot" w:pos="9018"/>
              </w:tabs>
              <w:jc w:val="right"/>
            </w:pPr>
            <w:r>
              <w:t>39</w:t>
            </w:r>
          </w:p>
        </w:tc>
      </w:tr>
      <w:tr w:rsidR="00000000">
        <w:tblPrEx>
          <w:tblCellMar>
            <w:top w:w="0" w:type="dxa"/>
            <w:bottom w:w="0" w:type="dxa"/>
          </w:tblCellMar>
        </w:tblPrEx>
        <w:trPr>
          <w:trHeight w:val="288"/>
        </w:trPr>
        <w:tc>
          <w:tcPr>
            <w:tcW w:w="9234" w:type="dxa"/>
            <w:vAlign w:val="bottom"/>
          </w:tcPr>
          <w:p w:rsidR="00000000" w:rsidRDefault="00000000">
            <w:pPr>
              <w:pStyle w:val="H56"/>
              <w:keepNext w:val="0"/>
              <w:keepLines w:val="0"/>
              <w:tabs>
                <w:tab w:val="clear" w:pos="360"/>
                <w:tab w:val="right" w:pos="1080"/>
                <w:tab w:val="left" w:pos="1296"/>
                <w:tab w:val="left" w:pos="1728"/>
                <w:tab w:val="left" w:pos="2160"/>
                <w:tab w:val="right" w:leader="dot" w:pos="9018"/>
              </w:tabs>
              <w:ind w:left="1296" w:hanging="1296"/>
              <w:outlineLvl w:val="9"/>
            </w:pPr>
            <w:r>
              <w:tab/>
            </w:r>
            <w:r>
              <w:tab/>
            </w:r>
            <w:r>
              <w:tab/>
              <w:t>Article 7</w:t>
            </w:r>
            <w:r>
              <w:rPr>
                <w:spacing w:val="60"/>
              </w:rPr>
              <w:tab/>
            </w:r>
          </w:p>
        </w:tc>
        <w:tc>
          <w:tcPr>
            <w:tcW w:w="648" w:type="dxa"/>
            <w:vAlign w:val="bottom"/>
          </w:tcPr>
          <w:p w:rsidR="00000000" w:rsidRDefault="00000000">
            <w:pPr>
              <w:tabs>
                <w:tab w:val="right" w:pos="1080"/>
                <w:tab w:val="left" w:pos="1296"/>
                <w:tab w:val="left" w:pos="1728"/>
                <w:tab w:val="left" w:pos="2160"/>
                <w:tab w:val="right" w:leader="dot" w:pos="8381"/>
                <w:tab w:val="right" w:leader="dot" w:pos="9018"/>
              </w:tabs>
              <w:jc w:val="right"/>
            </w:pPr>
            <w:r>
              <w:t>39</w:t>
            </w:r>
          </w:p>
        </w:tc>
      </w:tr>
      <w:tr w:rsidR="00000000">
        <w:tblPrEx>
          <w:tblCellMar>
            <w:top w:w="0" w:type="dxa"/>
            <w:bottom w:w="0" w:type="dxa"/>
          </w:tblCellMar>
        </w:tblPrEx>
        <w:trPr>
          <w:trHeight w:val="288"/>
        </w:trPr>
        <w:tc>
          <w:tcPr>
            <w:tcW w:w="9234" w:type="dxa"/>
            <w:vAlign w:val="bottom"/>
          </w:tcPr>
          <w:p w:rsidR="00000000" w:rsidRDefault="00000000">
            <w:pPr>
              <w:pStyle w:val="H56"/>
              <w:keepNext w:val="0"/>
              <w:keepLines w:val="0"/>
              <w:tabs>
                <w:tab w:val="clear" w:pos="360"/>
                <w:tab w:val="right" w:pos="1080"/>
                <w:tab w:val="left" w:pos="1296"/>
                <w:tab w:val="left" w:pos="1728"/>
                <w:tab w:val="left" w:pos="2160"/>
                <w:tab w:val="right" w:leader="dot" w:pos="9018"/>
              </w:tabs>
              <w:ind w:left="1296" w:hanging="1296"/>
              <w:outlineLvl w:val="9"/>
            </w:pPr>
            <w:r>
              <w:tab/>
            </w:r>
            <w:r>
              <w:tab/>
            </w:r>
            <w:r>
              <w:tab/>
              <w:t>Article 8</w:t>
            </w:r>
            <w:r>
              <w:rPr>
                <w:spacing w:val="60"/>
              </w:rPr>
              <w:tab/>
            </w:r>
          </w:p>
        </w:tc>
        <w:tc>
          <w:tcPr>
            <w:tcW w:w="648" w:type="dxa"/>
            <w:vAlign w:val="bottom"/>
          </w:tcPr>
          <w:p w:rsidR="00000000" w:rsidRDefault="00000000">
            <w:pPr>
              <w:tabs>
                <w:tab w:val="right" w:pos="1080"/>
                <w:tab w:val="left" w:pos="1296"/>
                <w:tab w:val="left" w:pos="1728"/>
                <w:tab w:val="left" w:pos="2160"/>
                <w:tab w:val="right" w:leader="dot" w:pos="8381"/>
                <w:tab w:val="right" w:leader="dot" w:pos="9018"/>
              </w:tabs>
              <w:jc w:val="right"/>
            </w:pPr>
            <w:r>
              <w:t>42</w:t>
            </w:r>
          </w:p>
        </w:tc>
      </w:tr>
      <w:tr w:rsidR="00000000">
        <w:tblPrEx>
          <w:tblCellMar>
            <w:top w:w="0" w:type="dxa"/>
            <w:bottom w:w="0" w:type="dxa"/>
          </w:tblCellMar>
        </w:tblPrEx>
        <w:trPr>
          <w:trHeight w:val="288"/>
        </w:trPr>
        <w:tc>
          <w:tcPr>
            <w:tcW w:w="9234" w:type="dxa"/>
            <w:vAlign w:val="bottom"/>
          </w:tcPr>
          <w:p w:rsidR="00000000" w:rsidRDefault="00000000">
            <w:pPr>
              <w:pStyle w:val="H56"/>
              <w:keepNext w:val="0"/>
              <w:keepLines w:val="0"/>
              <w:tabs>
                <w:tab w:val="clear" w:pos="360"/>
                <w:tab w:val="right" w:pos="1080"/>
                <w:tab w:val="left" w:pos="1296"/>
                <w:tab w:val="left" w:pos="1728"/>
                <w:tab w:val="left" w:pos="2160"/>
                <w:tab w:val="right" w:leader="dot" w:pos="9018"/>
              </w:tabs>
              <w:ind w:left="1296" w:hanging="1296"/>
              <w:outlineLvl w:val="9"/>
            </w:pPr>
            <w:r>
              <w:rPr>
                <w:noProof/>
                <w:w w:val="100"/>
              </w:rPr>
              <w:pict>
                <v:shapetype id="_x0000_t202" coordsize="21600,21600" o:spt="202" path="m,l,21600r21600,l21600,xe">
                  <v:stroke joinstyle="miter"/>
                  <v:path gradientshapeok="t" o:connecttype="rect"/>
                </v:shapetype>
                <v:shape id="_x0000_s2051" type="#_x0000_t202" style="position:absolute;left:0;text-align:left;margin-left:-6.65pt;margin-top:39pt;width:423pt;height:45pt;z-index:1;mso-position-horizontal:absolute;mso-position-horizontal-relative:text;mso-position-vertical:absolute;mso-position-vertical-relative:text" o:allowincell="f" stroked="f">
                  <v:textbox>
                    <w:txbxContent>
                      <w:p w:rsidR="00000000" w:rsidRDefault="00000000">
                        <w:pPr>
                          <w:ind w:left="720" w:right="1267"/>
                        </w:pPr>
                        <w:r>
                          <w:t>________________</w:t>
                        </w:r>
                      </w:p>
                      <w:p w:rsidR="00000000" w:rsidRDefault="00000000">
                        <w:pPr>
                          <w:pStyle w:val="SingleTxt"/>
                          <w:tabs>
                            <w:tab w:val="right" w:pos="1210"/>
                            <w:tab w:val="left" w:pos="1310"/>
                          </w:tabs>
                          <w:spacing w:after="0"/>
                          <w:ind w:hanging="367"/>
                          <w:jc w:val="left"/>
                        </w:pPr>
                        <w:r>
                          <w:tab/>
                          <w:t>*</w:t>
                        </w:r>
                        <w:r>
                          <w:tab/>
                        </w:r>
                        <w:r>
                          <w:rPr>
                            <w:sz w:val="17"/>
                          </w:rPr>
                          <w:t>The present document is being issued without formal editing.</w:t>
                        </w:r>
                      </w:p>
                    </w:txbxContent>
                  </v:textbox>
                </v:shape>
              </w:pict>
            </w:r>
            <w:r>
              <w:tab/>
            </w:r>
            <w:r>
              <w:tab/>
            </w:r>
            <w:r>
              <w:tab/>
              <w:t>Article 9</w:t>
            </w:r>
            <w:r>
              <w:rPr>
                <w:spacing w:val="60"/>
              </w:rPr>
              <w:tab/>
            </w:r>
          </w:p>
        </w:tc>
        <w:tc>
          <w:tcPr>
            <w:tcW w:w="648" w:type="dxa"/>
            <w:vAlign w:val="bottom"/>
          </w:tcPr>
          <w:p w:rsidR="00000000" w:rsidRDefault="00000000">
            <w:pPr>
              <w:tabs>
                <w:tab w:val="right" w:pos="1080"/>
                <w:tab w:val="left" w:pos="1296"/>
                <w:tab w:val="left" w:pos="1728"/>
                <w:tab w:val="left" w:pos="2160"/>
                <w:tab w:val="right" w:leader="dot" w:pos="8381"/>
                <w:tab w:val="right" w:leader="dot" w:pos="9018"/>
              </w:tabs>
              <w:jc w:val="right"/>
            </w:pPr>
            <w:r>
              <w:t>42</w:t>
            </w:r>
          </w:p>
        </w:tc>
      </w:tr>
      <w:tr w:rsidR="00000000">
        <w:tblPrEx>
          <w:tblCellMar>
            <w:top w:w="0" w:type="dxa"/>
            <w:bottom w:w="0" w:type="dxa"/>
          </w:tblCellMar>
        </w:tblPrEx>
        <w:trPr>
          <w:trHeight w:val="288"/>
        </w:trPr>
        <w:tc>
          <w:tcPr>
            <w:tcW w:w="9234" w:type="dxa"/>
            <w:vAlign w:val="bottom"/>
          </w:tcPr>
          <w:p w:rsidR="00000000" w:rsidRDefault="00000000">
            <w:pPr>
              <w:pStyle w:val="H56"/>
              <w:tabs>
                <w:tab w:val="clear" w:pos="360"/>
                <w:tab w:val="right" w:pos="1080"/>
                <w:tab w:val="left" w:pos="1296"/>
                <w:tab w:val="left" w:pos="1728"/>
                <w:tab w:val="left" w:pos="2160"/>
                <w:tab w:val="right" w:leader="dot" w:pos="9018"/>
              </w:tabs>
              <w:ind w:left="1296" w:hanging="1296"/>
              <w:outlineLvl w:val="9"/>
            </w:pPr>
            <w:r>
              <w:tab/>
            </w:r>
            <w:r>
              <w:tab/>
              <w:t>Part III</w:t>
            </w:r>
            <w:r>
              <w:tab/>
            </w:r>
            <w:r>
              <w:rPr>
                <w:spacing w:val="60"/>
              </w:rPr>
              <w:tab/>
            </w:r>
          </w:p>
        </w:tc>
        <w:tc>
          <w:tcPr>
            <w:tcW w:w="648" w:type="dxa"/>
            <w:vAlign w:val="bottom"/>
          </w:tcPr>
          <w:p w:rsidR="00000000" w:rsidRDefault="00000000">
            <w:pPr>
              <w:keepNext/>
              <w:keepLines/>
              <w:tabs>
                <w:tab w:val="right" w:pos="1080"/>
                <w:tab w:val="left" w:pos="1296"/>
                <w:tab w:val="left" w:pos="1728"/>
                <w:tab w:val="left" w:pos="2160"/>
                <w:tab w:val="right" w:leader="dot" w:pos="8381"/>
                <w:tab w:val="right" w:leader="dot" w:pos="9018"/>
              </w:tabs>
              <w:jc w:val="right"/>
            </w:pPr>
            <w:r>
              <w:t>42</w:t>
            </w:r>
          </w:p>
        </w:tc>
      </w:tr>
      <w:tr w:rsidR="00000000">
        <w:tblPrEx>
          <w:tblCellMar>
            <w:top w:w="0" w:type="dxa"/>
            <w:bottom w:w="0" w:type="dxa"/>
          </w:tblCellMar>
        </w:tblPrEx>
        <w:trPr>
          <w:trHeight w:val="288"/>
        </w:trPr>
        <w:tc>
          <w:tcPr>
            <w:tcW w:w="9234" w:type="dxa"/>
            <w:vAlign w:val="bottom"/>
          </w:tcPr>
          <w:p w:rsidR="00000000" w:rsidRDefault="00000000">
            <w:pPr>
              <w:pStyle w:val="H56"/>
              <w:tabs>
                <w:tab w:val="clear" w:pos="360"/>
                <w:tab w:val="right" w:pos="1080"/>
                <w:tab w:val="left" w:pos="1296"/>
                <w:tab w:val="left" w:pos="1728"/>
                <w:tab w:val="left" w:pos="2160"/>
                <w:tab w:val="right" w:leader="dot" w:pos="9018"/>
              </w:tabs>
              <w:ind w:left="1296" w:hanging="1296"/>
              <w:outlineLvl w:val="9"/>
            </w:pPr>
            <w:r>
              <w:tab/>
            </w:r>
            <w:r>
              <w:tab/>
            </w:r>
            <w:r>
              <w:tab/>
              <w:t>Article 10</w:t>
            </w:r>
            <w:r>
              <w:rPr>
                <w:spacing w:val="60"/>
              </w:rPr>
              <w:tab/>
            </w:r>
          </w:p>
        </w:tc>
        <w:tc>
          <w:tcPr>
            <w:tcW w:w="648" w:type="dxa"/>
            <w:vAlign w:val="bottom"/>
          </w:tcPr>
          <w:p w:rsidR="00000000" w:rsidRDefault="00000000">
            <w:pPr>
              <w:keepNext/>
              <w:keepLines/>
              <w:tabs>
                <w:tab w:val="right" w:pos="1080"/>
                <w:tab w:val="left" w:pos="1296"/>
                <w:tab w:val="left" w:pos="1728"/>
                <w:tab w:val="left" w:pos="2160"/>
                <w:tab w:val="right" w:leader="dot" w:pos="8381"/>
                <w:tab w:val="right" w:leader="dot" w:pos="9018"/>
              </w:tabs>
              <w:jc w:val="right"/>
            </w:pPr>
            <w:r>
              <w:t>42</w:t>
            </w:r>
          </w:p>
        </w:tc>
      </w:tr>
      <w:tr w:rsidR="00000000">
        <w:tblPrEx>
          <w:tblCellMar>
            <w:top w:w="0" w:type="dxa"/>
            <w:bottom w:w="0" w:type="dxa"/>
          </w:tblCellMar>
        </w:tblPrEx>
        <w:trPr>
          <w:trHeight w:val="288"/>
        </w:trPr>
        <w:tc>
          <w:tcPr>
            <w:tcW w:w="9234" w:type="dxa"/>
            <w:vAlign w:val="bottom"/>
          </w:tcPr>
          <w:p w:rsidR="00000000" w:rsidRDefault="00000000">
            <w:pPr>
              <w:pStyle w:val="H56"/>
              <w:tabs>
                <w:tab w:val="clear" w:pos="360"/>
                <w:tab w:val="right" w:pos="1080"/>
                <w:tab w:val="left" w:pos="1296"/>
                <w:tab w:val="left" w:pos="1728"/>
                <w:tab w:val="left" w:pos="2160"/>
                <w:tab w:val="right" w:leader="dot" w:pos="9018"/>
              </w:tabs>
              <w:ind w:left="1296" w:hanging="1296"/>
              <w:outlineLvl w:val="9"/>
            </w:pPr>
            <w:r>
              <w:tab/>
            </w:r>
            <w:r>
              <w:tab/>
            </w:r>
            <w:r>
              <w:tab/>
              <w:t>Article 11</w:t>
            </w:r>
            <w:r>
              <w:rPr>
                <w:spacing w:val="60"/>
              </w:rPr>
              <w:tab/>
            </w:r>
          </w:p>
        </w:tc>
        <w:tc>
          <w:tcPr>
            <w:tcW w:w="648" w:type="dxa"/>
            <w:vAlign w:val="bottom"/>
          </w:tcPr>
          <w:p w:rsidR="00000000" w:rsidRDefault="00000000">
            <w:pPr>
              <w:keepNext/>
              <w:keepLines/>
              <w:tabs>
                <w:tab w:val="right" w:pos="1080"/>
                <w:tab w:val="left" w:pos="1296"/>
                <w:tab w:val="left" w:pos="1728"/>
                <w:tab w:val="left" w:pos="2160"/>
                <w:tab w:val="right" w:leader="dot" w:pos="8381"/>
                <w:tab w:val="right" w:leader="dot" w:pos="9018"/>
              </w:tabs>
              <w:jc w:val="right"/>
            </w:pPr>
            <w:r>
              <w:t>44</w:t>
            </w:r>
          </w:p>
        </w:tc>
      </w:tr>
      <w:tr w:rsidR="00000000">
        <w:tblPrEx>
          <w:tblCellMar>
            <w:top w:w="0" w:type="dxa"/>
            <w:bottom w:w="0" w:type="dxa"/>
          </w:tblCellMar>
        </w:tblPrEx>
        <w:trPr>
          <w:trHeight w:val="288"/>
        </w:trPr>
        <w:tc>
          <w:tcPr>
            <w:tcW w:w="9234" w:type="dxa"/>
            <w:vAlign w:val="bottom"/>
          </w:tcPr>
          <w:p w:rsidR="00000000" w:rsidRDefault="00000000">
            <w:pPr>
              <w:pStyle w:val="H56"/>
              <w:tabs>
                <w:tab w:val="clear" w:pos="360"/>
                <w:tab w:val="right" w:pos="1080"/>
                <w:tab w:val="left" w:pos="1296"/>
                <w:tab w:val="left" w:pos="1728"/>
                <w:tab w:val="left" w:pos="2160"/>
                <w:tab w:val="right" w:leader="dot" w:pos="9018"/>
              </w:tabs>
              <w:ind w:left="1296" w:hanging="1296"/>
              <w:outlineLvl w:val="9"/>
            </w:pPr>
            <w:r>
              <w:tab/>
            </w:r>
            <w:r>
              <w:tab/>
            </w:r>
            <w:r>
              <w:tab/>
              <w:t>Article 12</w:t>
            </w:r>
            <w:r>
              <w:rPr>
                <w:spacing w:val="60"/>
              </w:rPr>
              <w:tab/>
            </w:r>
          </w:p>
        </w:tc>
        <w:tc>
          <w:tcPr>
            <w:tcW w:w="648" w:type="dxa"/>
            <w:vAlign w:val="bottom"/>
          </w:tcPr>
          <w:p w:rsidR="00000000" w:rsidRDefault="00000000">
            <w:pPr>
              <w:keepNext/>
              <w:keepLines/>
              <w:tabs>
                <w:tab w:val="right" w:pos="1080"/>
                <w:tab w:val="left" w:pos="1296"/>
                <w:tab w:val="left" w:pos="1728"/>
                <w:tab w:val="left" w:pos="2160"/>
                <w:tab w:val="right" w:leader="dot" w:pos="8381"/>
                <w:tab w:val="right" w:leader="dot" w:pos="9018"/>
              </w:tabs>
              <w:jc w:val="right"/>
            </w:pPr>
            <w:r>
              <w:t>57</w:t>
            </w:r>
          </w:p>
        </w:tc>
      </w:tr>
      <w:tr w:rsidR="00000000">
        <w:tblPrEx>
          <w:tblCellMar>
            <w:top w:w="0" w:type="dxa"/>
            <w:bottom w:w="0" w:type="dxa"/>
          </w:tblCellMar>
        </w:tblPrEx>
        <w:trPr>
          <w:trHeight w:val="288"/>
        </w:trPr>
        <w:tc>
          <w:tcPr>
            <w:tcW w:w="9234" w:type="dxa"/>
            <w:vAlign w:val="bottom"/>
          </w:tcPr>
          <w:p w:rsidR="00000000" w:rsidRDefault="00000000">
            <w:pPr>
              <w:pStyle w:val="H56"/>
              <w:tabs>
                <w:tab w:val="clear" w:pos="360"/>
                <w:tab w:val="right" w:pos="1080"/>
                <w:tab w:val="left" w:pos="1296"/>
                <w:tab w:val="left" w:pos="1728"/>
                <w:tab w:val="left" w:pos="2160"/>
                <w:tab w:val="right" w:leader="dot" w:pos="9018"/>
              </w:tabs>
              <w:ind w:left="1296" w:hanging="1296"/>
              <w:outlineLvl w:val="9"/>
            </w:pPr>
            <w:r>
              <w:tab/>
            </w:r>
            <w:r>
              <w:tab/>
            </w:r>
            <w:r>
              <w:tab/>
              <w:t>Article 13</w:t>
            </w:r>
            <w:r>
              <w:rPr>
                <w:spacing w:val="60"/>
              </w:rPr>
              <w:tab/>
            </w:r>
          </w:p>
        </w:tc>
        <w:tc>
          <w:tcPr>
            <w:tcW w:w="648" w:type="dxa"/>
            <w:vAlign w:val="bottom"/>
          </w:tcPr>
          <w:p w:rsidR="00000000" w:rsidRDefault="00000000">
            <w:pPr>
              <w:keepNext/>
              <w:keepLines/>
              <w:tabs>
                <w:tab w:val="right" w:pos="1080"/>
                <w:tab w:val="left" w:pos="1296"/>
                <w:tab w:val="left" w:pos="1728"/>
                <w:tab w:val="left" w:pos="2160"/>
                <w:tab w:val="right" w:leader="dot" w:pos="8381"/>
                <w:tab w:val="right" w:leader="dot" w:pos="9018"/>
              </w:tabs>
              <w:jc w:val="right"/>
            </w:pPr>
            <w:r>
              <w:t>64</w:t>
            </w:r>
          </w:p>
        </w:tc>
      </w:tr>
      <w:tr w:rsidR="00000000">
        <w:tblPrEx>
          <w:tblCellMar>
            <w:top w:w="0" w:type="dxa"/>
            <w:bottom w:w="0" w:type="dxa"/>
          </w:tblCellMar>
        </w:tblPrEx>
        <w:trPr>
          <w:trHeight w:val="288"/>
        </w:trPr>
        <w:tc>
          <w:tcPr>
            <w:tcW w:w="9234" w:type="dxa"/>
            <w:vAlign w:val="bottom"/>
          </w:tcPr>
          <w:p w:rsidR="00000000" w:rsidRDefault="00000000">
            <w:pPr>
              <w:pStyle w:val="H56"/>
              <w:tabs>
                <w:tab w:val="clear" w:pos="360"/>
                <w:tab w:val="right" w:pos="1080"/>
                <w:tab w:val="left" w:pos="1296"/>
                <w:tab w:val="left" w:pos="1728"/>
                <w:tab w:val="left" w:pos="2160"/>
                <w:tab w:val="right" w:leader="dot" w:pos="9018"/>
              </w:tabs>
              <w:ind w:left="1296" w:hanging="1296"/>
              <w:outlineLvl w:val="9"/>
            </w:pPr>
            <w:r>
              <w:tab/>
            </w:r>
            <w:r>
              <w:tab/>
            </w:r>
            <w:r>
              <w:tab/>
              <w:t>Article 14</w:t>
            </w:r>
            <w:r>
              <w:rPr>
                <w:spacing w:val="60"/>
              </w:rPr>
              <w:tab/>
            </w:r>
          </w:p>
        </w:tc>
        <w:tc>
          <w:tcPr>
            <w:tcW w:w="648" w:type="dxa"/>
            <w:vAlign w:val="bottom"/>
          </w:tcPr>
          <w:p w:rsidR="00000000" w:rsidRDefault="00000000">
            <w:pPr>
              <w:keepNext/>
              <w:keepLines/>
              <w:tabs>
                <w:tab w:val="right" w:pos="1080"/>
                <w:tab w:val="left" w:pos="1296"/>
                <w:tab w:val="left" w:pos="1728"/>
                <w:tab w:val="left" w:pos="2160"/>
                <w:tab w:val="right" w:leader="dot" w:pos="8381"/>
                <w:tab w:val="right" w:leader="dot" w:pos="9018"/>
              </w:tabs>
              <w:jc w:val="right"/>
            </w:pPr>
            <w:r>
              <w:t>65</w:t>
            </w:r>
          </w:p>
        </w:tc>
      </w:tr>
      <w:tr w:rsidR="00000000">
        <w:tblPrEx>
          <w:tblCellMar>
            <w:top w:w="0" w:type="dxa"/>
            <w:bottom w:w="0" w:type="dxa"/>
          </w:tblCellMar>
        </w:tblPrEx>
        <w:trPr>
          <w:trHeight w:val="288"/>
        </w:trPr>
        <w:tc>
          <w:tcPr>
            <w:tcW w:w="9234" w:type="dxa"/>
            <w:vAlign w:val="bottom"/>
          </w:tcPr>
          <w:p w:rsidR="00000000" w:rsidRDefault="00000000">
            <w:pPr>
              <w:pStyle w:val="H56"/>
              <w:keepNext w:val="0"/>
              <w:keepLines w:val="0"/>
              <w:tabs>
                <w:tab w:val="clear" w:pos="360"/>
                <w:tab w:val="right" w:pos="1080"/>
                <w:tab w:val="left" w:pos="1296"/>
                <w:tab w:val="left" w:pos="1728"/>
                <w:tab w:val="left" w:pos="2160"/>
                <w:tab w:val="right" w:leader="dot" w:pos="9018"/>
              </w:tabs>
              <w:ind w:left="1296" w:hanging="1296"/>
              <w:outlineLvl w:val="9"/>
            </w:pPr>
            <w:r>
              <w:tab/>
            </w:r>
            <w:r>
              <w:tab/>
              <w:t>Part IV</w:t>
            </w:r>
            <w:r>
              <w:tab/>
            </w:r>
            <w:r>
              <w:rPr>
                <w:spacing w:val="60"/>
              </w:rPr>
              <w:tab/>
            </w:r>
          </w:p>
        </w:tc>
        <w:tc>
          <w:tcPr>
            <w:tcW w:w="648" w:type="dxa"/>
            <w:vAlign w:val="bottom"/>
          </w:tcPr>
          <w:p w:rsidR="00000000" w:rsidRDefault="00000000">
            <w:pPr>
              <w:tabs>
                <w:tab w:val="right" w:pos="1080"/>
                <w:tab w:val="left" w:pos="1296"/>
                <w:tab w:val="left" w:pos="1728"/>
                <w:tab w:val="left" w:pos="2160"/>
                <w:tab w:val="right" w:leader="dot" w:pos="8381"/>
                <w:tab w:val="right" w:leader="dot" w:pos="9018"/>
              </w:tabs>
              <w:jc w:val="right"/>
            </w:pPr>
            <w:r>
              <w:t>67</w:t>
            </w:r>
          </w:p>
        </w:tc>
      </w:tr>
      <w:tr w:rsidR="00000000">
        <w:tblPrEx>
          <w:tblCellMar>
            <w:top w:w="0" w:type="dxa"/>
            <w:bottom w:w="0" w:type="dxa"/>
          </w:tblCellMar>
        </w:tblPrEx>
        <w:trPr>
          <w:trHeight w:val="288"/>
        </w:trPr>
        <w:tc>
          <w:tcPr>
            <w:tcW w:w="9234" w:type="dxa"/>
            <w:vAlign w:val="bottom"/>
          </w:tcPr>
          <w:p w:rsidR="00000000" w:rsidRDefault="00000000">
            <w:pPr>
              <w:pStyle w:val="H56"/>
              <w:keepNext w:val="0"/>
              <w:keepLines w:val="0"/>
              <w:tabs>
                <w:tab w:val="clear" w:pos="360"/>
                <w:tab w:val="right" w:pos="1080"/>
                <w:tab w:val="left" w:pos="1296"/>
                <w:tab w:val="left" w:pos="1728"/>
                <w:tab w:val="left" w:pos="2160"/>
                <w:tab w:val="right" w:leader="dot" w:pos="9018"/>
              </w:tabs>
              <w:ind w:left="1296" w:hanging="1296"/>
              <w:outlineLvl w:val="9"/>
            </w:pPr>
            <w:r>
              <w:tab/>
            </w:r>
            <w:r>
              <w:tab/>
            </w:r>
            <w:r>
              <w:tab/>
              <w:t>Article 15</w:t>
            </w:r>
            <w:r>
              <w:rPr>
                <w:spacing w:val="60"/>
              </w:rPr>
              <w:tab/>
            </w:r>
          </w:p>
        </w:tc>
        <w:tc>
          <w:tcPr>
            <w:tcW w:w="648" w:type="dxa"/>
            <w:vAlign w:val="bottom"/>
          </w:tcPr>
          <w:p w:rsidR="00000000" w:rsidRDefault="00000000">
            <w:pPr>
              <w:tabs>
                <w:tab w:val="right" w:pos="1080"/>
                <w:tab w:val="left" w:pos="1296"/>
                <w:tab w:val="left" w:pos="1728"/>
                <w:tab w:val="left" w:pos="2160"/>
                <w:tab w:val="right" w:leader="dot" w:pos="8381"/>
                <w:tab w:val="right" w:leader="dot" w:pos="9018"/>
              </w:tabs>
              <w:jc w:val="right"/>
            </w:pPr>
            <w:r>
              <w:t>67</w:t>
            </w:r>
          </w:p>
        </w:tc>
      </w:tr>
      <w:tr w:rsidR="00000000">
        <w:tblPrEx>
          <w:tblCellMar>
            <w:top w:w="0" w:type="dxa"/>
            <w:bottom w:w="0" w:type="dxa"/>
          </w:tblCellMar>
        </w:tblPrEx>
        <w:trPr>
          <w:trHeight w:val="288"/>
        </w:trPr>
        <w:tc>
          <w:tcPr>
            <w:tcW w:w="9234" w:type="dxa"/>
            <w:vAlign w:val="bottom"/>
          </w:tcPr>
          <w:p w:rsidR="00000000" w:rsidRDefault="00000000">
            <w:pPr>
              <w:pStyle w:val="H56"/>
              <w:keepNext w:val="0"/>
              <w:keepLines w:val="0"/>
              <w:tabs>
                <w:tab w:val="clear" w:pos="360"/>
                <w:tab w:val="right" w:pos="1080"/>
                <w:tab w:val="left" w:pos="1296"/>
                <w:tab w:val="left" w:pos="1728"/>
                <w:tab w:val="left" w:pos="2160"/>
                <w:tab w:val="right" w:leader="dot" w:pos="9018"/>
              </w:tabs>
              <w:ind w:left="1296" w:hanging="1296"/>
              <w:outlineLvl w:val="9"/>
            </w:pPr>
            <w:r>
              <w:tab/>
            </w:r>
            <w:r>
              <w:tab/>
            </w:r>
            <w:r>
              <w:tab/>
              <w:t>Article 16</w:t>
            </w:r>
            <w:r>
              <w:rPr>
                <w:spacing w:val="60"/>
              </w:rPr>
              <w:tab/>
            </w:r>
          </w:p>
        </w:tc>
        <w:tc>
          <w:tcPr>
            <w:tcW w:w="648" w:type="dxa"/>
            <w:vAlign w:val="bottom"/>
          </w:tcPr>
          <w:p w:rsidR="00000000" w:rsidRDefault="00000000">
            <w:pPr>
              <w:tabs>
                <w:tab w:val="right" w:pos="1080"/>
                <w:tab w:val="left" w:pos="1296"/>
                <w:tab w:val="left" w:pos="1728"/>
                <w:tab w:val="left" w:pos="2160"/>
                <w:tab w:val="right" w:leader="dot" w:pos="8381"/>
                <w:tab w:val="right" w:leader="dot" w:pos="9018"/>
              </w:tabs>
              <w:jc w:val="right"/>
            </w:pPr>
            <w:r>
              <w:t>68</w:t>
            </w:r>
          </w:p>
        </w:tc>
      </w:tr>
      <w:tr w:rsidR="00000000">
        <w:tblPrEx>
          <w:tblCellMar>
            <w:top w:w="0" w:type="dxa"/>
            <w:bottom w:w="0" w:type="dxa"/>
          </w:tblCellMar>
        </w:tblPrEx>
        <w:trPr>
          <w:trHeight w:val="288"/>
        </w:trPr>
        <w:tc>
          <w:tcPr>
            <w:tcW w:w="9234" w:type="dxa"/>
            <w:vAlign w:val="bottom"/>
          </w:tcPr>
          <w:p w:rsidR="00000000" w:rsidRDefault="00000000">
            <w:pPr>
              <w:pStyle w:val="H56"/>
              <w:keepNext w:val="0"/>
              <w:keepLines w:val="0"/>
              <w:tabs>
                <w:tab w:val="clear" w:pos="360"/>
                <w:tab w:val="right" w:pos="1080"/>
                <w:tab w:val="left" w:pos="1296"/>
                <w:tab w:val="left" w:pos="1728"/>
                <w:tab w:val="left" w:pos="2160"/>
                <w:tab w:val="right" w:leader="dot" w:pos="9018"/>
              </w:tabs>
              <w:ind w:left="1728" w:hanging="1728"/>
              <w:outlineLvl w:val="9"/>
            </w:pPr>
            <w:r>
              <w:tab/>
            </w:r>
            <w:r>
              <w:tab/>
            </w:r>
            <w:r>
              <w:tab/>
              <w:t>Legislation and other measures taken against sexual harassment in accordance with General Recommendation No. 12 of the Committee on the Elimination of Discrimination against Women</w:t>
            </w:r>
            <w:r>
              <w:rPr>
                <w:spacing w:val="60"/>
              </w:rPr>
              <w:tab/>
            </w:r>
          </w:p>
        </w:tc>
        <w:tc>
          <w:tcPr>
            <w:tcW w:w="648" w:type="dxa"/>
            <w:vAlign w:val="bottom"/>
          </w:tcPr>
          <w:p w:rsidR="00000000" w:rsidRDefault="00000000">
            <w:pPr>
              <w:tabs>
                <w:tab w:val="right" w:pos="1080"/>
                <w:tab w:val="left" w:pos="1296"/>
                <w:tab w:val="left" w:pos="1728"/>
                <w:tab w:val="left" w:pos="2160"/>
                <w:tab w:val="right" w:leader="dot" w:pos="8381"/>
                <w:tab w:val="right" w:leader="dot" w:pos="9018"/>
              </w:tabs>
              <w:jc w:val="right"/>
            </w:pPr>
            <w:r>
              <w:t>74</w:t>
            </w:r>
          </w:p>
        </w:tc>
      </w:tr>
    </w:tbl>
    <w:p w:rsidR="00000000" w:rsidRDefault="00000000">
      <w:pPr>
        <w:tabs>
          <w:tab w:val="right" w:pos="1080"/>
          <w:tab w:val="left" w:pos="1296"/>
          <w:tab w:val="left" w:pos="1728"/>
          <w:tab w:val="left" w:pos="2160"/>
          <w:tab w:val="right" w:pos="8381"/>
        </w:tabs>
      </w:pPr>
    </w:p>
    <w:p w:rsidR="00000000" w:rsidRDefault="00000000">
      <w:pPr>
        <w:pStyle w:val="CommentText"/>
      </w:pPr>
    </w:p>
    <w:p w:rsidR="00000000" w:rsidRDefault="00000000">
      <w:pPr>
        <w:pStyle w:val="SingleTxt"/>
        <w:sectPr w:rsidR="00000000">
          <w:type w:val="continuous"/>
          <w:pgSz w:w="12240" w:h="15840" w:code="1"/>
          <w:pgMar w:top="1742" w:right="1195" w:bottom="1898" w:left="1195" w:header="576" w:footer="1030" w:gutter="0"/>
          <w:pgNumType w:start="1"/>
          <w:cols w:space="720"/>
          <w:noEndnote/>
        </w:sectPr>
      </w:pPr>
    </w:p>
    <w:p w:rsidR="00000000" w:rsidRDefault="00000000">
      <w:pPr>
        <w:pStyle w:val="DH1"/>
      </w:pPr>
      <w:r>
        <w:tab/>
        <w:t>Preface</w:t>
      </w:r>
    </w:p>
    <w:p w:rsidR="00000000" w:rsidRDefault="00000000">
      <w:pPr>
        <w:pStyle w:val="D12r"/>
      </w:pPr>
    </w:p>
    <w:p w:rsidR="00000000" w:rsidRDefault="00000000">
      <w:pPr>
        <w:pStyle w:val="BodyText"/>
        <w:spacing w:after="120"/>
      </w:pPr>
      <w:r>
        <w:tab/>
        <w:t>The Republic of Kazakhstan ratified the Convention on the Elimination of All Forms of Discrimination against Women on 29 July 1998. Under Directive No. 106-r issued by the Prime Minister on 13 July 1999, a working group was established to draw up this report, headed by the Minister of the Republic of Kazakhstan and the Chairperson of the President’s National Commission on the Family and Women, Ms. A. B. Samakova. The working group included representatives of non-governmental organizations (NGOs), international organizations and high-ranking state officials.</w:t>
      </w:r>
    </w:p>
    <w:p w:rsidR="00000000" w:rsidRDefault="00000000">
      <w:pPr>
        <w:tabs>
          <w:tab w:val="left" w:pos="475"/>
          <w:tab w:val="left" w:pos="965"/>
          <w:tab w:val="left" w:pos="1440"/>
          <w:tab w:val="left" w:pos="1915"/>
          <w:tab w:val="left" w:pos="2405"/>
        </w:tabs>
        <w:spacing w:after="120"/>
        <w:jc w:val="both"/>
      </w:pPr>
      <w:r>
        <w:tab/>
        <w:t>A draft of the report, prepared on the basis of extensive factual and analytical material submitted by ministries, departments, NGOs and international organizations, was made available to the public, whose comments, proposals and wishes were taken into consideration when the report was finalized. To the extent possible, full and exhaustive replies have been given to the questions posed by the Convention on the Elimination of All Forms of Discrimination against Women.</w:t>
      </w:r>
    </w:p>
    <w:p w:rsidR="00000000" w:rsidRDefault="00000000">
      <w:pPr>
        <w:tabs>
          <w:tab w:val="left" w:pos="475"/>
          <w:tab w:val="left" w:pos="965"/>
          <w:tab w:val="left" w:pos="1440"/>
          <w:tab w:val="left" w:pos="1915"/>
          <w:tab w:val="left" w:pos="2405"/>
        </w:tabs>
        <w:spacing w:after="120"/>
        <w:jc w:val="both"/>
      </w:pPr>
      <w:r>
        <w:tab/>
        <w:t>In preparing the report, the working group followed the guidelines concerning the form and content of initial reports submitted in accordance with article 18, paragraph 1, of the Convention on the Elimination of All Forms of Discrimination against Women.</w:t>
      </w:r>
    </w:p>
    <w:p w:rsidR="00000000" w:rsidRDefault="00000000">
      <w:pPr>
        <w:tabs>
          <w:tab w:val="left" w:pos="475"/>
          <w:tab w:val="left" w:pos="965"/>
          <w:tab w:val="left" w:pos="1440"/>
          <w:tab w:val="left" w:pos="1915"/>
          <w:tab w:val="left" w:pos="2405"/>
        </w:tabs>
        <w:spacing w:after="120"/>
        <w:jc w:val="both"/>
      </w:pPr>
      <w:r>
        <w:tab/>
        <w:t>The report presents an analysis of the main standard-setting legislative acts of the Republic of Kazakhstan which relate to women’s interests and rights and to questions covered by the Convention.</w:t>
      </w:r>
    </w:p>
    <w:p w:rsidR="00000000" w:rsidRDefault="00000000">
      <w:pPr>
        <w:pStyle w:val="D12r"/>
      </w:pPr>
    </w:p>
    <w:p w:rsidR="00000000" w:rsidRDefault="00000000">
      <w:pPr>
        <w:pStyle w:val="D12r"/>
      </w:pPr>
    </w:p>
    <w:p w:rsidR="00000000" w:rsidRDefault="00000000">
      <w:pPr>
        <w:pStyle w:val="DH1"/>
        <w:ind w:left="475" w:hanging="475"/>
      </w:pPr>
      <w:r>
        <w:tab/>
        <w:t>General information: the country and its people</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1.</w:t>
      </w:r>
      <w:r>
        <w:tab/>
        <w:t>The Republic of Kazakhstan, with a population estimated on 1 January 1999 at 14,957,800, stretches over an area of 2,724,900 square kilometres. The population density is 5.5 persons per square kilometre, and the capital is Astana. There are 14 regions in the republic, with 159 districts, 84 cities and 241 villages.</w:t>
      </w:r>
    </w:p>
    <w:p w:rsidR="00000000" w:rsidRDefault="00000000">
      <w:pPr>
        <w:pStyle w:val="DualTxt"/>
        <w:keepNext/>
        <w:keepLines/>
        <w:tabs>
          <w:tab w:val="clear" w:pos="480"/>
          <w:tab w:val="clear" w:pos="960"/>
          <w:tab w:val="clear" w:pos="2880"/>
          <w:tab w:val="clear" w:pos="3355"/>
          <w:tab w:val="left" w:pos="475"/>
          <w:tab w:val="left" w:pos="965"/>
          <w:tab w:val="left" w:pos="1440"/>
          <w:tab w:val="left" w:pos="1915"/>
          <w:tab w:val="left" w:pos="2405"/>
        </w:tabs>
      </w:pPr>
      <w:r>
        <w:tab/>
        <w:t>Kazakhstan is the ninth largest country in the world, after the Russian Federation, China, the United States of America, Argentina, Brazil, Canada, India and Australia. It has 12,187 kilometres of borders, which it shares with China, Kyrgyzstan, Uzbekistan, Turkmenistan and the Russian Federation. The country stretches some 3,000 kilometres from west to east and 1,600 kilometres from north to south. It includes forest-steppe, semi-desert and desert temperate regions. In January, average temperatures rise from -18˚ C in the north and east to -3˚ C in the southern most regions. In July, average temperatures range from 19˚ C in the north to 28˚ C in the south. There are four climatic zones in the country — forest-steppe, steppe, semi-desert and desert. The highest point in Kazakhstan is Mount Khan-Tengri (7,010 metres), and the lowest is the Karagiye Depression (132 metres below sea level). The present-day fauna includes 172 species of mammals, 490 species of birds, 51 species of reptiles, 12 amphibious species and over 100 species of fish. Kazakhstan is bordered on the south-west by the Caspian and Aral inland seas. It is the largest landlocked country in the world.</w:t>
      </w:r>
    </w:p>
    <w:p w:rsidR="00000000" w:rsidRDefault="00000000">
      <w:pPr>
        <w:pStyle w:val="D12r"/>
      </w:pPr>
    </w:p>
    <w:p w:rsidR="00000000" w:rsidRDefault="00000000">
      <w:pPr>
        <w:pStyle w:val="DH2"/>
      </w:pPr>
      <w:r>
        <w:tab/>
        <w:t>Natural resource potential</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2.</w:t>
      </w:r>
      <w:r>
        <w:tab/>
        <w:t>Kazakhstan has a wise variety of minerals, with deposits of 99 of the 105 elements in Mendeleyev’s periodic table. It has the largest known reserves of zinc, tungsten and barium sulphate, the second largest known reserves of silver, lead and chromite, the third largest known reserves of copper and fluorite, the fourth largest known reserves of molybdenum and the sixth largest known gold deposits.</w:t>
      </w:r>
    </w:p>
    <w:p w:rsidR="00000000" w:rsidRDefault="00000000">
      <w:pPr>
        <w:tabs>
          <w:tab w:val="left" w:pos="475"/>
          <w:tab w:val="left" w:pos="965"/>
          <w:tab w:val="left" w:pos="1440"/>
          <w:tab w:val="left" w:pos="1915"/>
          <w:tab w:val="left" w:pos="2405"/>
        </w:tabs>
        <w:spacing w:after="120"/>
        <w:jc w:val="both"/>
      </w:pPr>
      <w:r>
        <w:tab/>
        <w:t>Among the countries of the Commonwealth of Independent States (CIS), Kazakhstan’s ranking for mineral deposits is as follows: first place for chromite ores and lead, second for petroleum, silver, copper, manganese, zinc, nickel and phosphorus, and third for gas, coal, gold and tin.</w:t>
      </w:r>
    </w:p>
    <w:p w:rsidR="00000000" w:rsidRDefault="00000000">
      <w:pPr>
        <w:tabs>
          <w:tab w:val="left" w:pos="475"/>
          <w:tab w:val="left" w:pos="965"/>
          <w:tab w:val="left" w:pos="1440"/>
          <w:tab w:val="left" w:pos="1915"/>
          <w:tab w:val="left" w:pos="2405"/>
        </w:tabs>
        <w:spacing w:after="120"/>
        <w:jc w:val="both"/>
      </w:pPr>
      <w:r>
        <w:tab/>
        <w:t>Among the CIS countries, Kazakhstan ranks first in silver, chromite, lead and zinc production, second for petroleum, coal, copper, nickel and phosphate production, and third for gold extraction.</w:t>
      </w:r>
    </w:p>
    <w:p w:rsidR="00000000" w:rsidRDefault="00000000">
      <w:pPr>
        <w:keepNext/>
        <w:keepLines/>
        <w:tabs>
          <w:tab w:val="left" w:pos="475"/>
          <w:tab w:val="left" w:pos="965"/>
          <w:tab w:val="left" w:pos="1440"/>
          <w:tab w:val="left" w:pos="1915"/>
          <w:tab w:val="left" w:pos="2405"/>
        </w:tabs>
        <w:spacing w:after="120"/>
        <w:jc w:val="both"/>
      </w:pPr>
      <w:r>
        <w:tab/>
        <w:t>According to surveys of the country’s mineral wealth, the resources with the greatest economic importance are coal, petroleum, copper, iron, lead, zinc, chromite, gold and manganese.</w:t>
      </w:r>
    </w:p>
    <w:p w:rsidR="00000000" w:rsidRDefault="00000000">
      <w:pPr>
        <w:pStyle w:val="D12r"/>
        <w:keepNext/>
        <w:keepLines/>
      </w:pPr>
    </w:p>
    <w:p w:rsidR="00000000" w:rsidRDefault="00000000">
      <w:pPr>
        <w:pStyle w:val="DH2"/>
      </w:pPr>
      <w:r>
        <w:tab/>
        <w:t>History</w:t>
      </w:r>
    </w:p>
    <w:p w:rsidR="00000000" w:rsidRDefault="00000000">
      <w:pPr>
        <w:pStyle w:val="D12r"/>
        <w:keepNext/>
        <w:keepLines/>
      </w:pPr>
    </w:p>
    <w:p w:rsidR="00000000" w:rsidRDefault="00000000">
      <w:pPr>
        <w:pStyle w:val="DualTxt"/>
        <w:keepNext/>
        <w:keepLines/>
        <w:tabs>
          <w:tab w:val="clear" w:pos="480"/>
          <w:tab w:val="clear" w:pos="960"/>
          <w:tab w:val="clear" w:pos="2880"/>
          <w:tab w:val="clear" w:pos="3355"/>
          <w:tab w:val="left" w:pos="475"/>
          <w:tab w:val="left" w:pos="965"/>
          <w:tab w:val="left" w:pos="1440"/>
          <w:tab w:val="left" w:pos="1915"/>
          <w:tab w:val="left" w:pos="2405"/>
        </w:tabs>
      </w:pPr>
      <w:r>
        <w:t>3.</w:t>
      </w:r>
      <w:r>
        <w:tab/>
        <w:t>Ancient manuscripts first mentioned a union of tribes, the largest of which was called the Saki, living in Kazakhstan in the middle of the first millennium BC. In the early medieval period, in the sixth and seventh centuries AD, the Turkic Kaganate played a significant role in the formation of an ethnic identity. In the third and fourth centuries AD, the formation of a Turkic ethnic group had taken place in eastern Turkistan and the Altai region. The Turkic peoples were the sole masters of the silk road leading to the Mediterranean countries. Islam spread extensively in the tenth to twelfth centuries. Turkic writing developed, based on the Arabic alphabet. The period from the thirteenth to fifteenth century is linked with the history of Genghis Khan’s Golden Horde. In the fourteenth and fifteenth centuries, the Kazakh language developed out of the Kypchak group of Turkic languages.</w:t>
      </w:r>
    </w:p>
    <w:p w:rsidR="00000000" w:rsidRDefault="00000000">
      <w:pPr>
        <w:tabs>
          <w:tab w:val="left" w:pos="475"/>
          <w:tab w:val="left" w:pos="965"/>
          <w:tab w:val="left" w:pos="1440"/>
          <w:tab w:val="left" w:pos="1915"/>
          <w:tab w:val="left" w:pos="2405"/>
        </w:tabs>
        <w:spacing w:after="120"/>
        <w:jc w:val="both"/>
      </w:pPr>
      <w:r>
        <w:tab/>
        <w:t>The break-up of the Golden Horde led to the formation of a large number of States. In Kazakhstan, three practically independent Khanates known as the Elder, Middle and Younger Zhuzes emerged. The strengthening of the Kazakh Khanate ran contrary to the interest of a number of neighbouring States, and a struggle for national independence soon ensued.</w:t>
      </w:r>
    </w:p>
    <w:p w:rsidR="00000000" w:rsidRDefault="00000000">
      <w:pPr>
        <w:tabs>
          <w:tab w:val="left" w:pos="475"/>
          <w:tab w:val="left" w:pos="965"/>
          <w:tab w:val="left" w:pos="1440"/>
          <w:tab w:val="left" w:pos="1915"/>
          <w:tab w:val="left" w:pos="2405"/>
        </w:tabs>
        <w:spacing w:after="120"/>
        <w:jc w:val="both"/>
      </w:pPr>
      <w:r>
        <w:tab/>
        <w:t>The complexity of the external political situation prompted the Kazakhs to seek solutions, one of which was the joining of the Younger Zhuz to Russia in 1731. Kazakhstan was fully integrated into Russia in the 1860s. From October 1917 to March 1918, the Soviets consolidated their power in the country.</w:t>
      </w:r>
    </w:p>
    <w:p w:rsidR="00000000" w:rsidRDefault="00000000">
      <w:pPr>
        <w:tabs>
          <w:tab w:val="left" w:pos="475"/>
          <w:tab w:val="left" w:pos="965"/>
          <w:tab w:val="left" w:pos="1440"/>
          <w:tab w:val="left" w:pos="1915"/>
          <w:tab w:val="left" w:pos="2405"/>
        </w:tabs>
        <w:spacing w:after="120"/>
        <w:jc w:val="both"/>
      </w:pPr>
      <w:r>
        <w:tab/>
        <w:t>Between 1921 and 1940, Kazakhstan was transformed from an agrarian to an industrial-agricultural society. In the post-war period, the country became the site of nuclear weapons testing, which was halted only after 40 years. In general terms, the Soviet era transformed Kazakhstan into an agro-industrial country with a highly educated intelligentsia. Kazakhstan obtained independence in 1991, and on 1 December 1991 its first President, N. A. Nazarbaev, was elected.</w:t>
      </w:r>
    </w:p>
    <w:p w:rsidR="00000000" w:rsidRDefault="00000000">
      <w:pPr>
        <w:pStyle w:val="D12r"/>
      </w:pPr>
    </w:p>
    <w:p w:rsidR="00000000" w:rsidRDefault="00000000">
      <w:pPr>
        <w:pStyle w:val="DH2"/>
      </w:pPr>
      <w:r>
        <w:tab/>
        <w:t>Population</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4.</w:t>
      </w:r>
      <w:r>
        <w:tab/>
        <w:t>According to the Statistics Agency of the Republic of Kazakhstan, at the beginning of 1999 the population</w:t>
      </w:r>
      <w:r>
        <w:rPr>
          <w:vertAlign w:val="superscript"/>
        </w:rPr>
        <w:t>1</w:t>
      </w:r>
      <w:r>
        <w:t xml:space="preserve"> was 14,957,800, including 7,752,300 women (51.8 per cent). The population had declined since 1995 by 718,000 (or 4.6 per cent).</w:t>
      </w:r>
    </w:p>
    <w:p w:rsidR="00000000" w:rsidRDefault="00000000">
      <w:pPr>
        <w:tabs>
          <w:tab w:val="left" w:pos="475"/>
          <w:tab w:val="left" w:pos="965"/>
          <w:tab w:val="left" w:pos="1440"/>
          <w:tab w:val="left" w:pos="1915"/>
          <w:tab w:val="left" w:pos="2405"/>
        </w:tabs>
        <w:spacing w:after="120"/>
        <w:jc w:val="both"/>
      </w:pPr>
      <w:r>
        <w:t>5.</w:t>
      </w:r>
      <w:r>
        <w:tab/>
        <w:t>Kazakhstan ranks 93rd among 175 countries in the Human Development Index (it had ranked 61st in 1991).</w:t>
      </w:r>
    </w:p>
    <w:p w:rsidR="00000000" w:rsidRDefault="00000000">
      <w:pPr>
        <w:pStyle w:val="D12r"/>
      </w:pPr>
    </w:p>
    <w:p w:rsidR="00000000" w:rsidRDefault="00000000">
      <w:pPr>
        <w:pStyle w:val="DH2"/>
      </w:pPr>
      <w:r>
        <w:tab/>
        <w:t>Population by age and gender</w:t>
      </w:r>
    </w:p>
    <w:p w:rsidR="00000000" w:rsidRDefault="00000000">
      <w:pPr>
        <w:pStyle w:val="D12r"/>
      </w:pPr>
    </w:p>
    <w:p w:rsidR="00000000" w:rsidRDefault="00000000">
      <w:pPr>
        <w:pStyle w:val="BodyText"/>
        <w:spacing w:after="120"/>
      </w:pPr>
      <w:r>
        <w:t>6.</w:t>
      </w:r>
      <w:r>
        <w:tab/>
        <w:t>At the beginning of 1998, population in the main age groups was: 0 to 15 years — 4,737,400 (31.2 per cent); of working age — 8,656,300 (57.0 per cent); over working age — 1,794,500 (11.8 per cent). In 1997, more boys were born than girls, and there were more boys than girls under 17 years of age, while among persons over 17, women outnumbered men, owing in part to differences between the male and female mortality rates. In 1997, among persons from 0 to 16 years of age, males outnumbered females by 55,300 (i.e., there were 1,022 males for 1,000 females), and among persons over 17, women outnumbered men by 602,100 (or 888 men per 1,000 women).</w:t>
      </w:r>
    </w:p>
    <w:p w:rsidR="00000000" w:rsidRDefault="00000000">
      <w:pPr>
        <w:pStyle w:val="D12r"/>
      </w:pPr>
    </w:p>
    <w:p w:rsidR="00000000" w:rsidRDefault="00000000">
      <w:pPr>
        <w:pStyle w:val="DH2"/>
      </w:pPr>
      <w:r>
        <w:tab/>
        <w:t>Life expectancy</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7.</w:t>
      </w:r>
      <w:r>
        <w:tab/>
        <w:t>The average life expectancy is falling. From 1990 to 1997 it decreased by 4.1 years, to 64. It is 58.5 for men and 69.9 for women.</w:t>
      </w:r>
    </w:p>
    <w:p w:rsidR="00000000" w:rsidRDefault="00000000">
      <w:pPr>
        <w:pStyle w:val="BodyText"/>
        <w:spacing w:after="120"/>
      </w:pPr>
    </w:p>
    <w:p w:rsidR="00000000" w:rsidRDefault="00000000">
      <w:pPr>
        <w:pStyle w:val="BodyText"/>
        <w:spacing w:after="120"/>
      </w:pPr>
      <w:r>
        <w:rPr>
          <w:noProof/>
          <w:w w:val="100"/>
        </w:rPr>
        <w:pict>
          <v:shape id="_x0000_s2053" type="#_x0000_t202" style="position:absolute;left:0;text-align:left;margin-left:6.95pt;margin-top:195.1pt;width:234pt;height:45pt;z-index:3;mso-position-horizontal:absolute;mso-position-horizontal-relative:text;mso-position-vertical:absolute;mso-position-vertical-relative:text" o:allowincell="f" filled="f" stroked="f">
            <v:textbox>
              <w:txbxContent>
                <w:p w:rsidR="00000000" w:rsidRDefault="00000000">
                  <w:r>
                    <w:t>________________</w:t>
                  </w:r>
                </w:p>
                <w:p w:rsidR="00000000" w:rsidRDefault="00000000">
                  <w:pPr>
                    <w:tabs>
                      <w:tab w:val="left" w:pos="207"/>
                    </w:tabs>
                    <w:spacing w:line="200" w:lineRule="exact"/>
                    <w:ind w:left="202" w:hanging="202"/>
                    <w:rPr>
                      <w:sz w:val="17"/>
                    </w:rPr>
                  </w:pPr>
                  <w:r>
                    <w:rPr>
                      <w:vertAlign w:val="superscript"/>
                    </w:rPr>
                    <w:t xml:space="preserve">  1</w:t>
                  </w:r>
                  <w:r>
                    <w:tab/>
                  </w:r>
                  <w:r>
                    <w:rPr>
                      <w:sz w:val="17"/>
                    </w:rPr>
                    <w:t>Populations for the entire period between censuses, as adjusted according to preliminary results.</w:t>
                  </w:r>
                </w:p>
              </w:txbxContent>
            </v:textbox>
          </v:shape>
        </w:pict>
      </w:r>
    </w:p>
    <w:p w:rsidR="00000000" w:rsidRDefault="00000000">
      <w:pPr>
        <w:pStyle w:val="BodyText"/>
        <w:spacing w:after="120"/>
        <w:sectPr w:rsidR="00000000">
          <w:pgSz w:w="12240" w:h="15840"/>
          <w:pgMar w:top="1742" w:right="1195" w:bottom="1901" w:left="1195" w:header="576" w:footer="1037" w:gutter="0"/>
          <w:cols w:num="2" w:space="245"/>
          <w:docGrid w:linePitch="360"/>
        </w:sectPr>
      </w:pPr>
    </w:p>
    <w:p w:rsidR="00000000" w:rsidRDefault="00000000">
      <w:pPr>
        <w:pStyle w:val="BodyText"/>
        <w:tabs>
          <w:tab w:val="clear" w:pos="475"/>
          <w:tab w:val="left" w:pos="765"/>
        </w:tabs>
      </w:pPr>
      <w:r>
        <w:tab/>
        <w:t>Table 1</w:t>
      </w:r>
    </w:p>
    <w:p w:rsidR="00000000" w:rsidRDefault="00000000">
      <w:pPr>
        <w:pStyle w:val="BodyText"/>
        <w:tabs>
          <w:tab w:val="clear" w:pos="475"/>
          <w:tab w:val="left" w:pos="765"/>
        </w:tabs>
        <w:spacing w:after="120"/>
      </w:pPr>
      <w:r>
        <w:rPr>
          <w:b/>
        </w:rPr>
        <w:tab/>
        <w:t>Population breakdown by gender and age</w:t>
      </w:r>
    </w:p>
    <w:p w:rsidR="00000000" w:rsidRDefault="00000000">
      <w:pPr>
        <w:pStyle w:val="BodyText"/>
        <w:tabs>
          <w:tab w:val="clear" w:pos="475"/>
          <w:tab w:val="left" w:pos="765"/>
        </w:tabs>
        <w:spacing w:after="120"/>
      </w:pPr>
      <w:r>
        <w:tab/>
        <w:t>(Beginning of year, in thousands)</w:t>
      </w:r>
    </w:p>
    <w:p w:rsidR="00000000" w:rsidRDefault="00000000">
      <w:pPr>
        <w:pStyle w:val="D12r"/>
      </w:pPr>
    </w:p>
    <w:tbl>
      <w:tblPr>
        <w:tblW w:w="0" w:type="auto"/>
        <w:tblInd w:w="776" w:type="dxa"/>
        <w:tblLayout w:type="fixed"/>
        <w:tblLook w:val="0000" w:firstRow="0" w:lastRow="0" w:firstColumn="0" w:lastColumn="0" w:noHBand="0" w:noVBand="0"/>
      </w:tblPr>
      <w:tblGrid>
        <w:gridCol w:w="1728"/>
        <w:gridCol w:w="1071"/>
        <w:gridCol w:w="1062"/>
        <w:gridCol w:w="1071"/>
        <w:gridCol w:w="270"/>
        <w:gridCol w:w="1089"/>
        <w:gridCol w:w="1089"/>
        <w:gridCol w:w="1098"/>
      </w:tblGrid>
      <w:tr w:rsidR="00000000">
        <w:tblPrEx>
          <w:tblCellMar>
            <w:top w:w="0" w:type="dxa"/>
            <w:bottom w:w="0" w:type="dxa"/>
          </w:tblCellMar>
        </w:tblPrEx>
        <w:trPr>
          <w:cantSplit/>
        </w:trPr>
        <w:tc>
          <w:tcPr>
            <w:tcW w:w="1728" w:type="dxa"/>
            <w:tcBorders>
              <w:top w:val="single" w:sz="4" w:space="0" w:color="auto"/>
            </w:tcBorders>
          </w:tcPr>
          <w:p w:rsidR="00000000" w:rsidRDefault="00000000">
            <w:pPr>
              <w:pStyle w:val="BodyText"/>
              <w:spacing w:after="120"/>
              <w:jc w:val="center"/>
              <w:rPr>
                <w:i/>
                <w:sz w:val="14"/>
              </w:rPr>
            </w:pPr>
          </w:p>
        </w:tc>
        <w:tc>
          <w:tcPr>
            <w:tcW w:w="3204" w:type="dxa"/>
            <w:gridSpan w:val="3"/>
            <w:tcBorders>
              <w:top w:val="single" w:sz="4" w:space="0" w:color="auto"/>
              <w:bottom w:val="single" w:sz="4" w:space="0" w:color="auto"/>
            </w:tcBorders>
          </w:tcPr>
          <w:p w:rsidR="00000000" w:rsidRDefault="00000000">
            <w:pPr>
              <w:pStyle w:val="BodyText"/>
              <w:spacing w:after="120"/>
              <w:jc w:val="center"/>
              <w:rPr>
                <w:i/>
                <w:sz w:val="14"/>
              </w:rPr>
            </w:pPr>
            <w:r>
              <w:rPr>
                <w:i/>
                <w:sz w:val="14"/>
              </w:rPr>
              <w:t>1990</w:t>
            </w:r>
          </w:p>
        </w:tc>
        <w:tc>
          <w:tcPr>
            <w:tcW w:w="270" w:type="dxa"/>
            <w:tcBorders>
              <w:top w:val="single" w:sz="4" w:space="0" w:color="auto"/>
            </w:tcBorders>
          </w:tcPr>
          <w:p w:rsidR="00000000" w:rsidRDefault="00000000">
            <w:pPr>
              <w:pStyle w:val="BodyText"/>
              <w:spacing w:after="120"/>
              <w:jc w:val="center"/>
              <w:rPr>
                <w:i/>
                <w:sz w:val="14"/>
              </w:rPr>
            </w:pPr>
          </w:p>
        </w:tc>
        <w:tc>
          <w:tcPr>
            <w:tcW w:w="3276" w:type="dxa"/>
            <w:gridSpan w:val="3"/>
            <w:tcBorders>
              <w:top w:val="single" w:sz="4" w:space="0" w:color="auto"/>
              <w:bottom w:val="single" w:sz="4" w:space="0" w:color="auto"/>
            </w:tcBorders>
          </w:tcPr>
          <w:p w:rsidR="00000000" w:rsidRDefault="00000000">
            <w:pPr>
              <w:pStyle w:val="BodyText"/>
              <w:spacing w:after="120"/>
              <w:jc w:val="center"/>
              <w:rPr>
                <w:i/>
                <w:sz w:val="14"/>
              </w:rPr>
            </w:pPr>
            <w:r>
              <w:rPr>
                <w:i/>
                <w:sz w:val="14"/>
              </w:rPr>
              <w:t>1998</w:t>
            </w:r>
          </w:p>
        </w:tc>
      </w:tr>
      <w:tr w:rsidR="00000000">
        <w:tblPrEx>
          <w:tblCellMar>
            <w:top w:w="0" w:type="dxa"/>
            <w:bottom w:w="0" w:type="dxa"/>
          </w:tblCellMar>
        </w:tblPrEx>
        <w:tc>
          <w:tcPr>
            <w:tcW w:w="1728" w:type="dxa"/>
            <w:tcBorders>
              <w:bottom w:val="single" w:sz="12" w:space="0" w:color="auto"/>
            </w:tcBorders>
          </w:tcPr>
          <w:p w:rsidR="00000000" w:rsidRDefault="00000000">
            <w:pPr>
              <w:pStyle w:val="BodyText"/>
              <w:spacing w:after="120"/>
              <w:rPr>
                <w:i/>
                <w:sz w:val="14"/>
              </w:rPr>
            </w:pPr>
            <w:r>
              <w:rPr>
                <w:i/>
                <w:sz w:val="14"/>
              </w:rPr>
              <w:t>Age</w:t>
            </w:r>
          </w:p>
        </w:tc>
        <w:tc>
          <w:tcPr>
            <w:tcW w:w="1071" w:type="dxa"/>
            <w:tcBorders>
              <w:top w:val="single" w:sz="4" w:space="0" w:color="auto"/>
              <w:bottom w:val="single" w:sz="12" w:space="0" w:color="auto"/>
            </w:tcBorders>
          </w:tcPr>
          <w:p w:rsidR="00000000" w:rsidRDefault="00000000">
            <w:pPr>
              <w:pStyle w:val="BodyText"/>
              <w:spacing w:after="120"/>
              <w:jc w:val="right"/>
              <w:rPr>
                <w:i/>
                <w:sz w:val="14"/>
              </w:rPr>
            </w:pPr>
            <w:r>
              <w:rPr>
                <w:i/>
                <w:sz w:val="14"/>
              </w:rPr>
              <w:t>Total</w:t>
            </w:r>
          </w:p>
        </w:tc>
        <w:tc>
          <w:tcPr>
            <w:tcW w:w="1062" w:type="dxa"/>
            <w:tcBorders>
              <w:top w:val="single" w:sz="4" w:space="0" w:color="auto"/>
              <w:bottom w:val="single" w:sz="12" w:space="0" w:color="auto"/>
            </w:tcBorders>
          </w:tcPr>
          <w:p w:rsidR="00000000" w:rsidRDefault="00000000">
            <w:pPr>
              <w:pStyle w:val="BodyText"/>
              <w:spacing w:after="120"/>
              <w:jc w:val="right"/>
              <w:rPr>
                <w:i/>
                <w:sz w:val="14"/>
              </w:rPr>
            </w:pPr>
            <w:r>
              <w:rPr>
                <w:i/>
                <w:sz w:val="14"/>
              </w:rPr>
              <w:t>Men</w:t>
            </w:r>
          </w:p>
        </w:tc>
        <w:tc>
          <w:tcPr>
            <w:tcW w:w="1071" w:type="dxa"/>
            <w:tcBorders>
              <w:top w:val="single" w:sz="4" w:space="0" w:color="auto"/>
              <w:bottom w:val="single" w:sz="12" w:space="0" w:color="auto"/>
            </w:tcBorders>
          </w:tcPr>
          <w:p w:rsidR="00000000" w:rsidRDefault="00000000">
            <w:pPr>
              <w:pStyle w:val="BodyText"/>
              <w:spacing w:after="120"/>
              <w:jc w:val="right"/>
              <w:rPr>
                <w:i/>
                <w:sz w:val="14"/>
              </w:rPr>
            </w:pPr>
            <w:r>
              <w:rPr>
                <w:i/>
                <w:sz w:val="14"/>
              </w:rPr>
              <w:t>Women</w:t>
            </w:r>
          </w:p>
        </w:tc>
        <w:tc>
          <w:tcPr>
            <w:tcW w:w="270" w:type="dxa"/>
            <w:tcBorders>
              <w:bottom w:val="single" w:sz="12" w:space="0" w:color="auto"/>
            </w:tcBorders>
          </w:tcPr>
          <w:p w:rsidR="00000000" w:rsidRDefault="00000000">
            <w:pPr>
              <w:pStyle w:val="BodyText"/>
              <w:spacing w:after="120"/>
              <w:jc w:val="right"/>
              <w:rPr>
                <w:i/>
                <w:sz w:val="14"/>
              </w:rPr>
            </w:pPr>
          </w:p>
        </w:tc>
        <w:tc>
          <w:tcPr>
            <w:tcW w:w="1089" w:type="dxa"/>
            <w:tcBorders>
              <w:top w:val="single" w:sz="4" w:space="0" w:color="auto"/>
              <w:bottom w:val="single" w:sz="12" w:space="0" w:color="auto"/>
            </w:tcBorders>
          </w:tcPr>
          <w:p w:rsidR="00000000" w:rsidRDefault="00000000">
            <w:pPr>
              <w:pStyle w:val="BodyText"/>
              <w:spacing w:after="120"/>
              <w:jc w:val="right"/>
              <w:rPr>
                <w:i/>
                <w:sz w:val="14"/>
              </w:rPr>
            </w:pPr>
            <w:r>
              <w:rPr>
                <w:i/>
                <w:sz w:val="14"/>
              </w:rPr>
              <w:t>Total</w:t>
            </w:r>
          </w:p>
        </w:tc>
        <w:tc>
          <w:tcPr>
            <w:tcW w:w="1089" w:type="dxa"/>
            <w:tcBorders>
              <w:top w:val="single" w:sz="4" w:space="0" w:color="auto"/>
              <w:bottom w:val="single" w:sz="12" w:space="0" w:color="auto"/>
            </w:tcBorders>
          </w:tcPr>
          <w:p w:rsidR="00000000" w:rsidRDefault="00000000">
            <w:pPr>
              <w:pStyle w:val="BodyText"/>
              <w:spacing w:after="120"/>
              <w:jc w:val="right"/>
              <w:rPr>
                <w:i/>
                <w:sz w:val="14"/>
              </w:rPr>
            </w:pPr>
            <w:r>
              <w:rPr>
                <w:i/>
                <w:sz w:val="14"/>
              </w:rPr>
              <w:t>Men</w:t>
            </w:r>
          </w:p>
        </w:tc>
        <w:tc>
          <w:tcPr>
            <w:tcW w:w="1098" w:type="dxa"/>
            <w:tcBorders>
              <w:top w:val="single" w:sz="4" w:space="0" w:color="auto"/>
              <w:bottom w:val="single" w:sz="12" w:space="0" w:color="auto"/>
            </w:tcBorders>
          </w:tcPr>
          <w:p w:rsidR="00000000" w:rsidRDefault="00000000">
            <w:pPr>
              <w:pStyle w:val="BodyText"/>
              <w:spacing w:after="120"/>
              <w:jc w:val="right"/>
              <w:rPr>
                <w:i/>
                <w:sz w:val="14"/>
              </w:rPr>
            </w:pPr>
            <w:r>
              <w:rPr>
                <w:i/>
                <w:sz w:val="14"/>
              </w:rPr>
              <w:t>Women</w:t>
            </w:r>
          </w:p>
        </w:tc>
      </w:tr>
      <w:tr w:rsidR="00000000">
        <w:tblPrEx>
          <w:tblCellMar>
            <w:top w:w="0" w:type="dxa"/>
            <w:bottom w:w="0" w:type="dxa"/>
          </w:tblCellMar>
        </w:tblPrEx>
        <w:tc>
          <w:tcPr>
            <w:tcW w:w="1728" w:type="dxa"/>
            <w:tcBorders>
              <w:top w:val="single" w:sz="12" w:space="0" w:color="auto"/>
            </w:tcBorders>
          </w:tcPr>
          <w:p w:rsidR="00000000" w:rsidRDefault="00000000">
            <w:pPr>
              <w:pStyle w:val="BodyText"/>
              <w:spacing w:after="120"/>
              <w:rPr>
                <w:b/>
                <w:sz w:val="17"/>
              </w:rPr>
            </w:pPr>
            <w:r>
              <w:rPr>
                <w:b/>
                <w:sz w:val="17"/>
              </w:rPr>
              <w:t>Overall population</w:t>
            </w:r>
          </w:p>
        </w:tc>
        <w:tc>
          <w:tcPr>
            <w:tcW w:w="1071" w:type="dxa"/>
            <w:tcBorders>
              <w:top w:val="single" w:sz="12" w:space="0" w:color="auto"/>
            </w:tcBorders>
          </w:tcPr>
          <w:p w:rsidR="00000000" w:rsidRDefault="00000000">
            <w:pPr>
              <w:pStyle w:val="BodyText"/>
              <w:spacing w:after="120"/>
              <w:jc w:val="right"/>
              <w:rPr>
                <w:b/>
                <w:sz w:val="17"/>
              </w:rPr>
            </w:pPr>
            <w:r>
              <w:rPr>
                <w:b/>
                <w:sz w:val="17"/>
              </w:rPr>
              <w:t>16 298.0</w:t>
            </w:r>
          </w:p>
        </w:tc>
        <w:tc>
          <w:tcPr>
            <w:tcW w:w="1062" w:type="dxa"/>
            <w:tcBorders>
              <w:top w:val="single" w:sz="12" w:space="0" w:color="auto"/>
            </w:tcBorders>
          </w:tcPr>
          <w:p w:rsidR="00000000" w:rsidRDefault="00000000">
            <w:pPr>
              <w:pStyle w:val="BodyText"/>
              <w:spacing w:after="120"/>
              <w:jc w:val="right"/>
              <w:rPr>
                <w:b/>
                <w:sz w:val="17"/>
              </w:rPr>
            </w:pPr>
            <w:r>
              <w:rPr>
                <w:b/>
                <w:sz w:val="17"/>
              </w:rPr>
              <w:t>7 888.6</w:t>
            </w:r>
          </w:p>
        </w:tc>
        <w:tc>
          <w:tcPr>
            <w:tcW w:w="1071" w:type="dxa"/>
            <w:tcBorders>
              <w:top w:val="single" w:sz="12" w:space="0" w:color="auto"/>
            </w:tcBorders>
          </w:tcPr>
          <w:p w:rsidR="00000000" w:rsidRDefault="00000000">
            <w:pPr>
              <w:pStyle w:val="BodyText"/>
              <w:spacing w:after="120"/>
              <w:jc w:val="right"/>
              <w:rPr>
                <w:b/>
                <w:sz w:val="17"/>
              </w:rPr>
            </w:pPr>
            <w:r>
              <w:rPr>
                <w:b/>
                <w:sz w:val="17"/>
              </w:rPr>
              <w:t>8 409.4</w:t>
            </w:r>
          </w:p>
        </w:tc>
        <w:tc>
          <w:tcPr>
            <w:tcW w:w="270" w:type="dxa"/>
            <w:tcBorders>
              <w:top w:val="single" w:sz="12" w:space="0" w:color="auto"/>
            </w:tcBorders>
          </w:tcPr>
          <w:p w:rsidR="00000000" w:rsidRDefault="00000000">
            <w:pPr>
              <w:pStyle w:val="BodyText"/>
              <w:spacing w:after="120"/>
              <w:rPr>
                <w:b/>
                <w:sz w:val="17"/>
              </w:rPr>
            </w:pPr>
          </w:p>
        </w:tc>
        <w:tc>
          <w:tcPr>
            <w:tcW w:w="1089" w:type="dxa"/>
            <w:tcBorders>
              <w:top w:val="single" w:sz="12" w:space="0" w:color="auto"/>
            </w:tcBorders>
          </w:tcPr>
          <w:p w:rsidR="00000000" w:rsidRDefault="00000000">
            <w:pPr>
              <w:pStyle w:val="BodyText"/>
              <w:spacing w:after="120"/>
              <w:jc w:val="right"/>
              <w:rPr>
                <w:b/>
                <w:sz w:val="17"/>
              </w:rPr>
            </w:pPr>
            <w:r>
              <w:rPr>
                <w:b/>
                <w:sz w:val="17"/>
              </w:rPr>
              <w:t>15 188.2</w:t>
            </w:r>
          </w:p>
        </w:tc>
        <w:tc>
          <w:tcPr>
            <w:tcW w:w="1089" w:type="dxa"/>
            <w:tcBorders>
              <w:top w:val="single" w:sz="12" w:space="0" w:color="auto"/>
            </w:tcBorders>
          </w:tcPr>
          <w:p w:rsidR="00000000" w:rsidRDefault="00000000">
            <w:pPr>
              <w:pStyle w:val="BodyText"/>
              <w:spacing w:after="120"/>
              <w:jc w:val="right"/>
              <w:rPr>
                <w:b/>
                <w:sz w:val="17"/>
              </w:rPr>
            </w:pPr>
            <w:r>
              <w:rPr>
                <w:b/>
                <w:sz w:val="17"/>
              </w:rPr>
              <w:t>7 320.7</w:t>
            </w:r>
          </w:p>
        </w:tc>
        <w:tc>
          <w:tcPr>
            <w:tcW w:w="1098" w:type="dxa"/>
            <w:tcBorders>
              <w:top w:val="single" w:sz="12" w:space="0" w:color="auto"/>
            </w:tcBorders>
          </w:tcPr>
          <w:p w:rsidR="00000000" w:rsidRDefault="00000000">
            <w:pPr>
              <w:pStyle w:val="BodyText"/>
              <w:spacing w:after="120"/>
              <w:jc w:val="right"/>
              <w:rPr>
                <w:b/>
                <w:sz w:val="17"/>
              </w:rPr>
            </w:pPr>
            <w:r>
              <w:rPr>
                <w:b/>
                <w:sz w:val="17"/>
              </w:rPr>
              <w:t>7 867.5</w:t>
            </w:r>
          </w:p>
        </w:tc>
      </w:tr>
      <w:tr w:rsidR="00000000">
        <w:tblPrEx>
          <w:tblCellMar>
            <w:top w:w="0" w:type="dxa"/>
            <w:bottom w:w="0" w:type="dxa"/>
          </w:tblCellMar>
        </w:tblPrEx>
        <w:tc>
          <w:tcPr>
            <w:tcW w:w="1728" w:type="dxa"/>
          </w:tcPr>
          <w:p w:rsidR="00000000" w:rsidRDefault="00000000">
            <w:pPr>
              <w:pStyle w:val="BodyText"/>
              <w:tabs>
                <w:tab w:val="clear" w:pos="475"/>
                <w:tab w:val="left" w:pos="288"/>
              </w:tabs>
              <w:spacing w:after="120"/>
              <w:rPr>
                <w:sz w:val="17"/>
              </w:rPr>
            </w:pPr>
            <w:r>
              <w:rPr>
                <w:sz w:val="17"/>
              </w:rPr>
              <w:tab/>
              <w:t>by age group</w:t>
            </w:r>
          </w:p>
        </w:tc>
        <w:tc>
          <w:tcPr>
            <w:tcW w:w="1071" w:type="dxa"/>
          </w:tcPr>
          <w:p w:rsidR="00000000" w:rsidRDefault="00000000">
            <w:pPr>
              <w:pStyle w:val="BodyText"/>
              <w:spacing w:after="120"/>
              <w:jc w:val="right"/>
              <w:rPr>
                <w:sz w:val="17"/>
              </w:rPr>
            </w:pPr>
          </w:p>
        </w:tc>
        <w:tc>
          <w:tcPr>
            <w:tcW w:w="1062" w:type="dxa"/>
          </w:tcPr>
          <w:p w:rsidR="00000000" w:rsidRDefault="00000000">
            <w:pPr>
              <w:pStyle w:val="BodyText"/>
              <w:spacing w:after="120"/>
              <w:jc w:val="right"/>
              <w:rPr>
                <w:sz w:val="17"/>
              </w:rPr>
            </w:pPr>
          </w:p>
        </w:tc>
        <w:tc>
          <w:tcPr>
            <w:tcW w:w="1071" w:type="dxa"/>
          </w:tcPr>
          <w:p w:rsidR="00000000" w:rsidRDefault="00000000">
            <w:pPr>
              <w:pStyle w:val="BodyText"/>
              <w:spacing w:after="120"/>
              <w:jc w:val="right"/>
              <w:rPr>
                <w:sz w:val="17"/>
              </w:rPr>
            </w:pPr>
          </w:p>
        </w:tc>
        <w:tc>
          <w:tcPr>
            <w:tcW w:w="270" w:type="dxa"/>
          </w:tcPr>
          <w:p w:rsidR="00000000" w:rsidRDefault="00000000">
            <w:pPr>
              <w:pStyle w:val="BodyText"/>
              <w:spacing w:after="120"/>
              <w:rPr>
                <w:sz w:val="17"/>
              </w:rPr>
            </w:pPr>
          </w:p>
        </w:tc>
        <w:tc>
          <w:tcPr>
            <w:tcW w:w="1089" w:type="dxa"/>
          </w:tcPr>
          <w:p w:rsidR="00000000" w:rsidRDefault="00000000">
            <w:pPr>
              <w:pStyle w:val="BodyText"/>
              <w:spacing w:after="120"/>
              <w:jc w:val="right"/>
              <w:rPr>
                <w:sz w:val="17"/>
              </w:rPr>
            </w:pPr>
          </w:p>
        </w:tc>
        <w:tc>
          <w:tcPr>
            <w:tcW w:w="1089" w:type="dxa"/>
          </w:tcPr>
          <w:p w:rsidR="00000000" w:rsidRDefault="00000000">
            <w:pPr>
              <w:pStyle w:val="BodyText"/>
              <w:spacing w:after="120"/>
              <w:jc w:val="right"/>
              <w:rPr>
                <w:sz w:val="17"/>
              </w:rPr>
            </w:pPr>
          </w:p>
        </w:tc>
        <w:tc>
          <w:tcPr>
            <w:tcW w:w="1098" w:type="dxa"/>
          </w:tcPr>
          <w:p w:rsidR="00000000" w:rsidRDefault="00000000">
            <w:pPr>
              <w:pStyle w:val="BodyText"/>
              <w:spacing w:after="120"/>
              <w:jc w:val="right"/>
              <w:rPr>
                <w:sz w:val="17"/>
              </w:rPr>
            </w:pPr>
          </w:p>
        </w:tc>
      </w:tr>
      <w:tr w:rsidR="00000000">
        <w:tblPrEx>
          <w:tblCellMar>
            <w:top w:w="0" w:type="dxa"/>
            <w:bottom w:w="0" w:type="dxa"/>
          </w:tblCellMar>
        </w:tblPrEx>
        <w:tc>
          <w:tcPr>
            <w:tcW w:w="1728" w:type="dxa"/>
          </w:tcPr>
          <w:p w:rsidR="00000000" w:rsidRDefault="00000000">
            <w:pPr>
              <w:pStyle w:val="BodyText"/>
              <w:spacing w:after="120"/>
              <w:rPr>
                <w:sz w:val="17"/>
              </w:rPr>
            </w:pPr>
            <w:r>
              <w:rPr>
                <w:sz w:val="17"/>
              </w:rPr>
              <w:t>0 to 1 year</w:t>
            </w:r>
          </w:p>
        </w:tc>
        <w:tc>
          <w:tcPr>
            <w:tcW w:w="1071" w:type="dxa"/>
          </w:tcPr>
          <w:p w:rsidR="00000000" w:rsidRDefault="00000000">
            <w:pPr>
              <w:pStyle w:val="BodyText"/>
              <w:spacing w:after="120"/>
              <w:jc w:val="right"/>
              <w:rPr>
                <w:sz w:val="17"/>
              </w:rPr>
            </w:pPr>
            <w:r>
              <w:rPr>
                <w:sz w:val="17"/>
              </w:rPr>
              <w:t>372.4</w:t>
            </w:r>
          </w:p>
        </w:tc>
        <w:tc>
          <w:tcPr>
            <w:tcW w:w="1062" w:type="dxa"/>
          </w:tcPr>
          <w:p w:rsidR="00000000" w:rsidRDefault="00000000">
            <w:pPr>
              <w:pStyle w:val="BodyText"/>
              <w:spacing w:after="120"/>
              <w:jc w:val="right"/>
              <w:rPr>
                <w:sz w:val="17"/>
              </w:rPr>
            </w:pPr>
            <w:r>
              <w:rPr>
                <w:sz w:val="17"/>
              </w:rPr>
              <w:t>190.3</w:t>
            </w:r>
          </w:p>
        </w:tc>
        <w:tc>
          <w:tcPr>
            <w:tcW w:w="1071" w:type="dxa"/>
          </w:tcPr>
          <w:p w:rsidR="00000000" w:rsidRDefault="00000000">
            <w:pPr>
              <w:pStyle w:val="BodyText"/>
              <w:spacing w:after="120"/>
              <w:jc w:val="right"/>
              <w:rPr>
                <w:sz w:val="17"/>
              </w:rPr>
            </w:pPr>
            <w:r>
              <w:rPr>
                <w:sz w:val="17"/>
              </w:rPr>
              <w:t>182.1</w:t>
            </w:r>
          </w:p>
        </w:tc>
        <w:tc>
          <w:tcPr>
            <w:tcW w:w="270" w:type="dxa"/>
          </w:tcPr>
          <w:p w:rsidR="00000000" w:rsidRDefault="00000000">
            <w:pPr>
              <w:pStyle w:val="BodyText"/>
              <w:spacing w:after="120"/>
              <w:rPr>
                <w:sz w:val="17"/>
              </w:rPr>
            </w:pPr>
          </w:p>
        </w:tc>
        <w:tc>
          <w:tcPr>
            <w:tcW w:w="1089" w:type="dxa"/>
          </w:tcPr>
          <w:p w:rsidR="00000000" w:rsidRDefault="00000000">
            <w:pPr>
              <w:pStyle w:val="BodyText"/>
              <w:spacing w:after="120"/>
              <w:jc w:val="right"/>
              <w:rPr>
                <w:sz w:val="17"/>
              </w:rPr>
            </w:pPr>
            <w:r>
              <w:rPr>
                <w:sz w:val="17"/>
              </w:rPr>
              <w:t>220.3</w:t>
            </w:r>
          </w:p>
        </w:tc>
        <w:tc>
          <w:tcPr>
            <w:tcW w:w="1089" w:type="dxa"/>
          </w:tcPr>
          <w:p w:rsidR="00000000" w:rsidRDefault="00000000">
            <w:pPr>
              <w:pStyle w:val="BodyText"/>
              <w:spacing w:after="120"/>
              <w:jc w:val="right"/>
              <w:rPr>
                <w:sz w:val="17"/>
              </w:rPr>
            </w:pPr>
            <w:r>
              <w:rPr>
                <w:sz w:val="17"/>
              </w:rPr>
              <w:t>112.1</w:t>
            </w:r>
          </w:p>
        </w:tc>
        <w:tc>
          <w:tcPr>
            <w:tcW w:w="1098" w:type="dxa"/>
          </w:tcPr>
          <w:p w:rsidR="00000000" w:rsidRDefault="00000000">
            <w:pPr>
              <w:pStyle w:val="BodyText"/>
              <w:spacing w:after="120"/>
              <w:jc w:val="right"/>
              <w:rPr>
                <w:sz w:val="17"/>
              </w:rPr>
            </w:pPr>
            <w:r>
              <w:rPr>
                <w:sz w:val="17"/>
              </w:rPr>
              <w:t>108.2</w:t>
            </w:r>
          </w:p>
        </w:tc>
      </w:tr>
      <w:tr w:rsidR="00000000">
        <w:tblPrEx>
          <w:tblCellMar>
            <w:top w:w="0" w:type="dxa"/>
            <w:bottom w:w="0" w:type="dxa"/>
          </w:tblCellMar>
        </w:tblPrEx>
        <w:tc>
          <w:tcPr>
            <w:tcW w:w="1728" w:type="dxa"/>
          </w:tcPr>
          <w:p w:rsidR="00000000" w:rsidRDefault="00000000">
            <w:pPr>
              <w:pStyle w:val="BodyText"/>
              <w:spacing w:after="120"/>
              <w:rPr>
                <w:sz w:val="17"/>
              </w:rPr>
            </w:pPr>
            <w:r>
              <w:rPr>
                <w:sz w:val="17"/>
              </w:rPr>
              <w:t>1 to 4 years</w:t>
            </w:r>
          </w:p>
        </w:tc>
        <w:tc>
          <w:tcPr>
            <w:tcW w:w="1071" w:type="dxa"/>
          </w:tcPr>
          <w:p w:rsidR="00000000" w:rsidRDefault="00000000">
            <w:pPr>
              <w:pStyle w:val="BodyText"/>
              <w:spacing w:after="120"/>
              <w:jc w:val="right"/>
              <w:rPr>
                <w:sz w:val="17"/>
              </w:rPr>
            </w:pPr>
            <w:r>
              <w:rPr>
                <w:sz w:val="17"/>
              </w:rPr>
              <w:t>1 525.0</w:t>
            </w:r>
          </w:p>
        </w:tc>
        <w:tc>
          <w:tcPr>
            <w:tcW w:w="1062" w:type="dxa"/>
          </w:tcPr>
          <w:p w:rsidR="00000000" w:rsidRDefault="00000000">
            <w:pPr>
              <w:pStyle w:val="BodyText"/>
              <w:spacing w:after="120"/>
              <w:jc w:val="right"/>
              <w:rPr>
                <w:sz w:val="17"/>
              </w:rPr>
            </w:pPr>
            <w:r>
              <w:rPr>
                <w:sz w:val="17"/>
              </w:rPr>
              <w:t>772.2</w:t>
            </w:r>
          </w:p>
        </w:tc>
        <w:tc>
          <w:tcPr>
            <w:tcW w:w="1071" w:type="dxa"/>
          </w:tcPr>
          <w:p w:rsidR="00000000" w:rsidRDefault="00000000">
            <w:pPr>
              <w:pStyle w:val="BodyText"/>
              <w:spacing w:after="120"/>
              <w:jc w:val="right"/>
              <w:rPr>
                <w:sz w:val="17"/>
              </w:rPr>
            </w:pPr>
            <w:r>
              <w:rPr>
                <w:sz w:val="17"/>
              </w:rPr>
              <w:t>752.8</w:t>
            </w:r>
          </w:p>
        </w:tc>
        <w:tc>
          <w:tcPr>
            <w:tcW w:w="270" w:type="dxa"/>
          </w:tcPr>
          <w:p w:rsidR="00000000" w:rsidRDefault="00000000">
            <w:pPr>
              <w:pStyle w:val="BodyText"/>
              <w:spacing w:after="120"/>
              <w:rPr>
                <w:sz w:val="17"/>
              </w:rPr>
            </w:pPr>
          </w:p>
        </w:tc>
        <w:tc>
          <w:tcPr>
            <w:tcW w:w="1089" w:type="dxa"/>
          </w:tcPr>
          <w:p w:rsidR="00000000" w:rsidRDefault="00000000">
            <w:pPr>
              <w:pStyle w:val="BodyText"/>
              <w:spacing w:after="120"/>
              <w:jc w:val="right"/>
              <w:rPr>
                <w:sz w:val="17"/>
              </w:rPr>
            </w:pPr>
            <w:r>
              <w:rPr>
                <w:sz w:val="17"/>
              </w:rPr>
              <w:t>1 047.2</w:t>
            </w:r>
          </w:p>
        </w:tc>
        <w:tc>
          <w:tcPr>
            <w:tcW w:w="1089" w:type="dxa"/>
          </w:tcPr>
          <w:p w:rsidR="00000000" w:rsidRDefault="00000000">
            <w:pPr>
              <w:pStyle w:val="BodyText"/>
              <w:spacing w:after="120"/>
              <w:jc w:val="right"/>
              <w:rPr>
                <w:sz w:val="17"/>
              </w:rPr>
            </w:pPr>
            <w:r>
              <w:rPr>
                <w:sz w:val="17"/>
              </w:rPr>
              <w:t>534.2</w:t>
            </w:r>
          </w:p>
        </w:tc>
        <w:tc>
          <w:tcPr>
            <w:tcW w:w="1098" w:type="dxa"/>
          </w:tcPr>
          <w:p w:rsidR="00000000" w:rsidRDefault="00000000">
            <w:pPr>
              <w:pStyle w:val="BodyText"/>
              <w:spacing w:after="120"/>
              <w:jc w:val="right"/>
              <w:rPr>
                <w:sz w:val="17"/>
              </w:rPr>
            </w:pPr>
            <w:r>
              <w:rPr>
                <w:sz w:val="17"/>
              </w:rPr>
              <w:t>513.0</w:t>
            </w:r>
          </w:p>
        </w:tc>
      </w:tr>
      <w:tr w:rsidR="00000000">
        <w:tblPrEx>
          <w:tblCellMar>
            <w:top w:w="0" w:type="dxa"/>
            <w:bottom w:w="0" w:type="dxa"/>
          </w:tblCellMar>
        </w:tblPrEx>
        <w:tc>
          <w:tcPr>
            <w:tcW w:w="1728" w:type="dxa"/>
          </w:tcPr>
          <w:p w:rsidR="00000000" w:rsidRDefault="00000000">
            <w:pPr>
              <w:pStyle w:val="BodyText"/>
              <w:spacing w:after="120"/>
              <w:rPr>
                <w:sz w:val="17"/>
              </w:rPr>
            </w:pPr>
            <w:r>
              <w:rPr>
                <w:sz w:val="17"/>
              </w:rPr>
              <w:t>5 to 9 years</w:t>
            </w:r>
          </w:p>
        </w:tc>
        <w:tc>
          <w:tcPr>
            <w:tcW w:w="1071" w:type="dxa"/>
          </w:tcPr>
          <w:p w:rsidR="00000000" w:rsidRDefault="00000000">
            <w:pPr>
              <w:pStyle w:val="BodyText"/>
              <w:spacing w:after="120"/>
              <w:jc w:val="right"/>
              <w:rPr>
                <w:sz w:val="17"/>
              </w:rPr>
            </w:pPr>
            <w:r>
              <w:rPr>
                <w:sz w:val="17"/>
              </w:rPr>
              <w:t>1 703.9</w:t>
            </w:r>
          </w:p>
        </w:tc>
        <w:tc>
          <w:tcPr>
            <w:tcW w:w="1062" w:type="dxa"/>
          </w:tcPr>
          <w:p w:rsidR="00000000" w:rsidRDefault="00000000">
            <w:pPr>
              <w:pStyle w:val="BodyText"/>
              <w:spacing w:after="120"/>
              <w:jc w:val="right"/>
              <w:rPr>
                <w:sz w:val="17"/>
              </w:rPr>
            </w:pPr>
            <w:r>
              <w:rPr>
                <w:sz w:val="17"/>
              </w:rPr>
              <w:t>860.8</w:t>
            </w:r>
          </w:p>
        </w:tc>
        <w:tc>
          <w:tcPr>
            <w:tcW w:w="1071" w:type="dxa"/>
          </w:tcPr>
          <w:p w:rsidR="00000000" w:rsidRDefault="00000000">
            <w:pPr>
              <w:pStyle w:val="BodyText"/>
              <w:spacing w:after="120"/>
              <w:jc w:val="right"/>
              <w:rPr>
                <w:sz w:val="17"/>
              </w:rPr>
            </w:pPr>
            <w:r>
              <w:rPr>
                <w:sz w:val="17"/>
              </w:rPr>
              <w:t>843.1</w:t>
            </w:r>
          </w:p>
        </w:tc>
        <w:tc>
          <w:tcPr>
            <w:tcW w:w="270" w:type="dxa"/>
          </w:tcPr>
          <w:p w:rsidR="00000000" w:rsidRDefault="00000000">
            <w:pPr>
              <w:pStyle w:val="BodyText"/>
              <w:spacing w:after="120"/>
              <w:rPr>
                <w:sz w:val="17"/>
              </w:rPr>
            </w:pPr>
          </w:p>
        </w:tc>
        <w:tc>
          <w:tcPr>
            <w:tcW w:w="1089" w:type="dxa"/>
          </w:tcPr>
          <w:p w:rsidR="00000000" w:rsidRDefault="00000000">
            <w:pPr>
              <w:pStyle w:val="BodyText"/>
              <w:spacing w:after="120"/>
              <w:jc w:val="right"/>
              <w:rPr>
                <w:sz w:val="17"/>
              </w:rPr>
            </w:pPr>
            <w:r>
              <w:rPr>
                <w:sz w:val="17"/>
              </w:rPr>
              <w:t>1 578.4</w:t>
            </w:r>
          </w:p>
        </w:tc>
        <w:tc>
          <w:tcPr>
            <w:tcW w:w="1089" w:type="dxa"/>
          </w:tcPr>
          <w:p w:rsidR="00000000" w:rsidRDefault="00000000">
            <w:pPr>
              <w:pStyle w:val="BodyText"/>
              <w:spacing w:after="120"/>
              <w:jc w:val="right"/>
              <w:rPr>
                <w:sz w:val="17"/>
              </w:rPr>
            </w:pPr>
            <w:r>
              <w:rPr>
                <w:sz w:val="17"/>
              </w:rPr>
              <w:t>800.8</w:t>
            </w:r>
          </w:p>
        </w:tc>
        <w:tc>
          <w:tcPr>
            <w:tcW w:w="1098" w:type="dxa"/>
          </w:tcPr>
          <w:p w:rsidR="00000000" w:rsidRDefault="00000000">
            <w:pPr>
              <w:pStyle w:val="BodyText"/>
              <w:spacing w:after="120"/>
              <w:jc w:val="right"/>
              <w:rPr>
                <w:sz w:val="17"/>
              </w:rPr>
            </w:pPr>
            <w:r>
              <w:rPr>
                <w:sz w:val="17"/>
              </w:rPr>
              <w:t>777.6</w:t>
            </w:r>
          </w:p>
        </w:tc>
      </w:tr>
      <w:tr w:rsidR="00000000">
        <w:tblPrEx>
          <w:tblCellMar>
            <w:top w:w="0" w:type="dxa"/>
            <w:bottom w:w="0" w:type="dxa"/>
          </w:tblCellMar>
        </w:tblPrEx>
        <w:tc>
          <w:tcPr>
            <w:tcW w:w="1728" w:type="dxa"/>
          </w:tcPr>
          <w:p w:rsidR="00000000" w:rsidRDefault="00000000">
            <w:pPr>
              <w:pStyle w:val="BodyText"/>
              <w:spacing w:after="120"/>
              <w:rPr>
                <w:sz w:val="17"/>
              </w:rPr>
            </w:pPr>
            <w:r>
              <w:rPr>
                <w:sz w:val="17"/>
              </w:rPr>
              <w:t>10 to 14 years</w:t>
            </w:r>
          </w:p>
        </w:tc>
        <w:tc>
          <w:tcPr>
            <w:tcW w:w="1071" w:type="dxa"/>
          </w:tcPr>
          <w:p w:rsidR="00000000" w:rsidRDefault="00000000">
            <w:pPr>
              <w:pStyle w:val="BodyText"/>
              <w:spacing w:after="120"/>
              <w:jc w:val="right"/>
              <w:rPr>
                <w:sz w:val="17"/>
              </w:rPr>
            </w:pPr>
            <w:r>
              <w:rPr>
                <w:sz w:val="17"/>
              </w:rPr>
              <w:t>1 581.5</w:t>
            </w:r>
          </w:p>
        </w:tc>
        <w:tc>
          <w:tcPr>
            <w:tcW w:w="1062" w:type="dxa"/>
          </w:tcPr>
          <w:p w:rsidR="00000000" w:rsidRDefault="00000000">
            <w:pPr>
              <w:pStyle w:val="BodyText"/>
              <w:spacing w:after="120"/>
              <w:jc w:val="right"/>
              <w:rPr>
                <w:sz w:val="17"/>
              </w:rPr>
            </w:pPr>
            <w:r>
              <w:rPr>
                <w:sz w:val="17"/>
              </w:rPr>
              <w:t>796.3</w:t>
            </w:r>
          </w:p>
        </w:tc>
        <w:tc>
          <w:tcPr>
            <w:tcW w:w="1071" w:type="dxa"/>
          </w:tcPr>
          <w:p w:rsidR="00000000" w:rsidRDefault="00000000">
            <w:pPr>
              <w:pStyle w:val="BodyText"/>
              <w:spacing w:after="120"/>
              <w:jc w:val="right"/>
              <w:rPr>
                <w:sz w:val="17"/>
              </w:rPr>
            </w:pPr>
            <w:r>
              <w:rPr>
                <w:sz w:val="17"/>
              </w:rPr>
              <w:t>785.2</w:t>
            </w:r>
          </w:p>
        </w:tc>
        <w:tc>
          <w:tcPr>
            <w:tcW w:w="270" w:type="dxa"/>
          </w:tcPr>
          <w:p w:rsidR="00000000" w:rsidRDefault="00000000">
            <w:pPr>
              <w:pStyle w:val="BodyText"/>
              <w:spacing w:after="120"/>
              <w:rPr>
                <w:sz w:val="17"/>
              </w:rPr>
            </w:pPr>
          </w:p>
        </w:tc>
        <w:tc>
          <w:tcPr>
            <w:tcW w:w="1089" w:type="dxa"/>
          </w:tcPr>
          <w:p w:rsidR="00000000" w:rsidRDefault="00000000">
            <w:pPr>
              <w:pStyle w:val="BodyText"/>
              <w:spacing w:after="120"/>
              <w:jc w:val="right"/>
              <w:rPr>
                <w:sz w:val="17"/>
              </w:rPr>
            </w:pPr>
            <w:r>
              <w:rPr>
                <w:sz w:val="17"/>
              </w:rPr>
              <w:t>1 596.8</w:t>
            </w:r>
          </w:p>
        </w:tc>
        <w:tc>
          <w:tcPr>
            <w:tcW w:w="1089" w:type="dxa"/>
          </w:tcPr>
          <w:p w:rsidR="00000000" w:rsidRDefault="00000000">
            <w:pPr>
              <w:pStyle w:val="BodyText"/>
              <w:spacing w:after="120"/>
              <w:jc w:val="right"/>
              <w:rPr>
                <w:sz w:val="17"/>
              </w:rPr>
            </w:pPr>
            <w:r>
              <w:rPr>
                <w:sz w:val="17"/>
              </w:rPr>
              <w:t>801.0</w:t>
            </w:r>
          </w:p>
        </w:tc>
        <w:tc>
          <w:tcPr>
            <w:tcW w:w="1098" w:type="dxa"/>
          </w:tcPr>
          <w:p w:rsidR="00000000" w:rsidRDefault="00000000">
            <w:pPr>
              <w:pStyle w:val="BodyText"/>
              <w:spacing w:after="120"/>
              <w:jc w:val="right"/>
              <w:rPr>
                <w:sz w:val="17"/>
              </w:rPr>
            </w:pPr>
            <w:r>
              <w:rPr>
                <w:sz w:val="17"/>
              </w:rPr>
              <w:t>795.8</w:t>
            </w:r>
          </w:p>
        </w:tc>
      </w:tr>
      <w:tr w:rsidR="00000000">
        <w:tblPrEx>
          <w:tblCellMar>
            <w:top w:w="0" w:type="dxa"/>
            <w:bottom w:w="0" w:type="dxa"/>
          </w:tblCellMar>
        </w:tblPrEx>
        <w:tc>
          <w:tcPr>
            <w:tcW w:w="1728" w:type="dxa"/>
          </w:tcPr>
          <w:p w:rsidR="00000000" w:rsidRDefault="00000000">
            <w:pPr>
              <w:pStyle w:val="BodyText"/>
              <w:spacing w:after="120"/>
              <w:rPr>
                <w:sz w:val="17"/>
              </w:rPr>
            </w:pPr>
            <w:r>
              <w:rPr>
                <w:sz w:val="17"/>
              </w:rPr>
              <w:t>15 to 19 years</w:t>
            </w:r>
          </w:p>
        </w:tc>
        <w:tc>
          <w:tcPr>
            <w:tcW w:w="1071" w:type="dxa"/>
          </w:tcPr>
          <w:p w:rsidR="00000000" w:rsidRDefault="00000000">
            <w:pPr>
              <w:pStyle w:val="BodyText"/>
              <w:spacing w:after="120"/>
              <w:jc w:val="right"/>
              <w:rPr>
                <w:sz w:val="17"/>
              </w:rPr>
            </w:pPr>
            <w:r>
              <w:rPr>
                <w:sz w:val="17"/>
              </w:rPr>
              <w:t>1 422.7</w:t>
            </w:r>
          </w:p>
        </w:tc>
        <w:tc>
          <w:tcPr>
            <w:tcW w:w="1062" w:type="dxa"/>
          </w:tcPr>
          <w:p w:rsidR="00000000" w:rsidRDefault="00000000">
            <w:pPr>
              <w:pStyle w:val="BodyText"/>
              <w:spacing w:after="120"/>
              <w:jc w:val="right"/>
              <w:rPr>
                <w:sz w:val="17"/>
              </w:rPr>
            </w:pPr>
            <w:r>
              <w:rPr>
                <w:sz w:val="17"/>
              </w:rPr>
              <w:t>727.4</w:t>
            </w:r>
          </w:p>
        </w:tc>
        <w:tc>
          <w:tcPr>
            <w:tcW w:w="1071" w:type="dxa"/>
          </w:tcPr>
          <w:p w:rsidR="00000000" w:rsidRDefault="00000000">
            <w:pPr>
              <w:pStyle w:val="BodyText"/>
              <w:spacing w:after="120"/>
              <w:jc w:val="right"/>
              <w:rPr>
                <w:sz w:val="17"/>
              </w:rPr>
            </w:pPr>
            <w:r>
              <w:rPr>
                <w:sz w:val="17"/>
              </w:rPr>
              <w:t>695.3</w:t>
            </w:r>
          </w:p>
        </w:tc>
        <w:tc>
          <w:tcPr>
            <w:tcW w:w="270" w:type="dxa"/>
          </w:tcPr>
          <w:p w:rsidR="00000000" w:rsidRDefault="00000000">
            <w:pPr>
              <w:pStyle w:val="BodyText"/>
              <w:spacing w:after="120"/>
              <w:rPr>
                <w:sz w:val="17"/>
              </w:rPr>
            </w:pPr>
          </w:p>
        </w:tc>
        <w:tc>
          <w:tcPr>
            <w:tcW w:w="1089" w:type="dxa"/>
          </w:tcPr>
          <w:p w:rsidR="00000000" w:rsidRDefault="00000000">
            <w:pPr>
              <w:pStyle w:val="BodyText"/>
              <w:spacing w:after="120"/>
              <w:jc w:val="right"/>
              <w:rPr>
                <w:sz w:val="17"/>
              </w:rPr>
            </w:pPr>
            <w:r>
              <w:rPr>
                <w:sz w:val="17"/>
              </w:rPr>
              <w:t>1 408.7</w:t>
            </w:r>
          </w:p>
        </w:tc>
        <w:tc>
          <w:tcPr>
            <w:tcW w:w="1089" w:type="dxa"/>
          </w:tcPr>
          <w:p w:rsidR="00000000" w:rsidRDefault="00000000">
            <w:pPr>
              <w:pStyle w:val="BodyText"/>
              <w:spacing w:after="120"/>
              <w:jc w:val="right"/>
              <w:rPr>
                <w:sz w:val="17"/>
              </w:rPr>
            </w:pPr>
            <w:r>
              <w:rPr>
                <w:sz w:val="17"/>
              </w:rPr>
              <w:t>703.2</w:t>
            </w:r>
          </w:p>
        </w:tc>
        <w:tc>
          <w:tcPr>
            <w:tcW w:w="1098" w:type="dxa"/>
          </w:tcPr>
          <w:p w:rsidR="00000000" w:rsidRDefault="00000000">
            <w:pPr>
              <w:pStyle w:val="BodyText"/>
              <w:spacing w:after="120"/>
              <w:jc w:val="right"/>
              <w:rPr>
                <w:sz w:val="17"/>
              </w:rPr>
            </w:pPr>
            <w:r>
              <w:rPr>
                <w:sz w:val="17"/>
              </w:rPr>
              <w:t>705.5</w:t>
            </w:r>
          </w:p>
        </w:tc>
      </w:tr>
      <w:tr w:rsidR="00000000">
        <w:tblPrEx>
          <w:tblCellMar>
            <w:top w:w="0" w:type="dxa"/>
            <w:bottom w:w="0" w:type="dxa"/>
          </w:tblCellMar>
        </w:tblPrEx>
        <w:tc>
          <w:tcPr>
            <w:tcW w:w="1728" w:type="dxa"/>
          </w:tcPr>
          <w:p w:rsidR="00000000" w:rsidRDefault="00000000">
            <w:pPr>
              <w:pStyle w:val="BodyText"/>
              <w:spacing w:after="120"/>
              <w:rPr>
                <w:sz w:val="17"/>
              </w:rPr>
            </w:pPr>
            <w:r>
              <w:rPr>
                <w:sz w:val="17"/>
              </w:rPr>
              <w:t>20 to 24 years</w:t>
            </w:r>
          </w:p>
        </w:tc>
        <w:tc>
          <w:tcPr>
            <w:tcW w:w="1071" w:type="dxa"/>
          </w:tcPr>
          <w:p w:rsidR="00000000" w:rsidRDefault="00000000">
            <w:pPr>
              <w:pStyle w:val="BodyText"/>
              <w:spacing w:after="120"/>
              <w:jc w:val="right"/>
              <w:rPr>
                <w:sz w:val="17"/>
              </w:rPr>
            </w:pPr>
            <w:r>
              <w:rPr>
                <w:sz w:val="17"/>
              </w:rPr>
              <w:t>1 306.2</w:t>
            </w:r>
          </w:p>
        </w:tc>
        <w:tc>
          <w:tcPr>
            <w:tcW w:w="1062" w:type="dxa"/>
          </w:tcPr>
          <w:p w:rsidR="00000000" w:rsidRDefault="00000000">
            <w:pPr>
              <w:pStyle w:val="BodyText"/>
              <w:spacing w:after="120"/>
              <w:jc w:val="right"/>
              <w:rPr>
                <w:sz w:val="17"/>
              </w:rPr>
            </w:pPr>
            <w:r>
              <w:rPr>
                <w:sz w:val="17"/>
              </w:rPr>
              <w:t>671.1</w:t>
            </w:r>
          </w:p>
        </w:tc>
        <w:tc>
          <w:tcPr>
            <w:tcW w:w="1071" w:type="dxa"/>
          </w:tcPr>
          <w:p w:rsidR="00000000" w:rsidRDefault="00000000">
            <w:pPr>
              <w:pStyle w:val="BodyText"/>
              <w:spacing w:after="120"/>
              <w:jc w:val="right"/>
              <w:rPr>
                <w:sz w:val="17"/>
              </w:rPr>
            </w:pPr>
            <w:r>
              <w:rPr>
                <w:sz w:val="17"/>
              </w:rPr>
              <w:t>635.1</w:t>
            </w:r>
          </w:p>
        </w:tc>
        <w:tc>
          <w:tcPr>
            <w:tcW w:w="270" w:type="dxa"/>
          </w:tcPr>
          <w:p w:rsidR="00000000" w:rsidRDefault="00000000">
            <w:pPr>
              <w:pStyle w:val="BodyText"/>
              <w:spacing w:after="120"/>
              <w:rPr>
                <w:sz w:val="17"/>
              </w:rPr>
            </w:pPr>
          </w:p>
        </w:tc>
        <w:tc>
          <w:tcPr>
            <w:tcW w:w="1089" w:type="dxa"/>
          </w:tcPr>
          <w:p w:rsidR="00000000" w:rsidRDefault="00000000">
            <w:pPr>
              <w:pStyle w:val="BodyText"/>
              <w:spacing w:after="120"/>
              <w:jc w:val="right"/>
              <w:rPr>
                <w:sz w:val="17"/>
              </w:rPr>
            </w:pPr>
            <w:r>
              <w:rPr>
                <w:sz w:val="17"/>
              </w:rPr>
              <w:t>1 293.6</w:t>
            </w:r>
          </w:p>
        </w:tc>
        <w:tc>
          <w:tcPr>
            <w:tcW w:w="1089" w:type="dxa"/>
          </w:tcPr>
          <w:p w:rsidR="00000000" w:rsidRDefault="00000000">
            <w:pPr>
              <w:pStyle w:val="BodyText"/>
              <w:spacing w:after="120"/>
              <w:jc w:val="right"/>
              <w:rPr>
                <w:sz w:val="17"/>
              </w:rPr>
            </w:pPr>
            <w:r>
              <w:rPr>
                <w:sz w:val="17"/>
              </w:rPr>
              <w:t>642.9</w:t>
            </w:r>
          </w:p>
        </w:tc>
        <w:tc>
          <w:tcPr>
            <w:tcW w:w="1098" w:type="dxa"/>
          </w:tcPr>
          <w:p w:rsidR="00000000" w:rsidRDefault="00000000">
            <w:pPr>
              <w:pStyle w:val="BodyText"/>
              <w:spacing w:after="120"/>
              <w:jc w:val="right"/>
              <w:rPr>
                <w:sz w:val="17"/>
              </w:rPr>
            </w:pPr>
            <w:r>
              <w:rPr>
                <w:sz w:val="17"/>
              </w:rPr>
              <w:t>650.7</w:t>
            </w:r>
          </w:p>
        </w:tc>
      </w:tr>
      <w:tr w:rsidR="00000000">
        <w:tblPrEx>
          <w:tblCellMar>
            <w:top w:w="0" w:type="dxa"/>
            <w:bottom w:w="0" w:type="dxa"/>
          </w:tblCellMar>
        </w:tblPrEx>
        <w:tc>
          <w:tcPr>
            <w:tcW w:w="1728" w:type="dxa"/>
          </w:tcPr>
          <w:p w:rsidR="00000000" w:rsidRDefault="00000000">
            <w:pPr>
              <w:pStyle w:val="BodyText"/>
              <w:spacing w:after="120"/>
              <w:rPr>
                <w:sz w:val="17"/>
              </w:rPr>
            </w:pPr>
            <w:r>
              <w:rPr>
                <w:sz w:val="17"/>
              </w:rPr>
              <w:t>25 to 29 years</w:t>
            </w:r>
          </w:p>
        </w:tc>
        <w:tc>
          <w:tcPr>
            <w:tcW w:w="1071" w:type="dxa"/>
          </w:tcPr>
          <w:p w:rsidR="00000000" w:rsidRDefault="00000000">
            <w:pPr>
              <w:pStyle w:val="BodyText"/>
              <w:spacing w:after="120"/>
              <w:jc w:val="right"/>
              <w:rPr>
                <w:sz w:val="17"/>
              </w:rPr>
            </w:pPr>
            <w:r>
              <w:rPr>
                <w:sz w:val="17"/>
              </w:rPr>
              <w:t>1 488.2</w:t>
            </w:r>
          </w:p>
        </w:tc>
        <w:tc>
          <w:tcPr>
            <w:tcW w:w="1062" w:type="dxa"/>
          </w:tcPr>
          <w:p w:rsidR="00000000" w:rsidRDefault="00000000">
            <w:pPr>
              <w:pStyle w:val="BodyText"/>
              <w:spacing w:after="120"/>
              <w:jc w:val="right"/>
              <w:rPr>
                <w:sz w:val="17"/>
              </w:rPr>
            </w:pPr>
            <w:r>
              <w:rPr>
                <w:sz w:val="17"/>
              </w:rPr>
              <w:t>745.7</w:t>
            </w:r>
          </w:p>
        </w:tc>
        <w:tc>
          <w:tcPr>
            <w:tcW w:w="1071" w:type="dxa"/>
          </w:tcPr>
          <w:p w:rsidR="00000000" w:rsidRDefault="00000000">
            <w:pPr>
              <w:pStyle w:val="BodyText"/>
              <w:spacing w:after="120"/>
              <w:jc w:val="right"/>
              <w:rPr>
                <w:sz w:val="17"/>
              </w:rPr>
            </w:pPr>
            <w:r>
              <w:rPr>
                <w:sz w:val="17"/>
              </w:rPr>
              <w:t>742.5</w:t>
            </w:r>
          </w:p>
        </w:tc>
        <w:tc>
          <w:tcPr>
            <w:tcW w:w="270" w:type="dxa"/>
          </w:tcPr>
          <w:p w:rsidR="00000000" w:rsidRDefault="00000000">
            <w:pPr>
              <w:pStyle w:val="BodyText"/>
              <w:spacing w:after="120"/>
              <w:rPr>
                <w:sz w:val="17"/>
              </w:rPr>
            </w:pPr>
          </w:p>
        </w:tc>
        <w:tc>
          <w:tcPr>
            <w:tcW w:w="1089" w:type="dxa"/>
          </w:tcPr>
          <w:p w:rsidR="00000000" w:rsidRDefault="00000000">
            <w:pPr>
              <w:pStyle w:val="BodyText"/>
              <w:spacing w:after="120"/>
              <w:jc w:val="right"/>
              <w:rPr>
                <w:sz w:val="17"/>
              </w:rPr>
            </w:pPr>
            <w:r>
              <w:rPr>
                <w:sz w:val="17"/>
              </w:rPr>
              <w:t>1 152.7</w:t>
            </w:r>
          </w:p>
        </w:tc>
        <w:tc>
          <w:tcPr>
            <w:tcW w:w="1089" w:type="dxa"/>
          </w:tcPr>
          <w:p w:rsidR="00000000" w:rsidRDefault="00000000">
            <w:pPr>
              <w:pStyle w:val="BodyText"/>
              <w:spacing w:after="120"/>
              <w:jc w:val="right"/>
              <w:rPr>
                <w:sz w:val="17"/>
              </w:rPr>
            </w:pPr>
            <w:r>
              <w:rPr>
                <w:sz w:val="17"/>
              </w:rPr>
              <w:t>605.4</w:t>
            </w:r>
          </w:p>
        </w:tc>
        <w:tc>
          <w:tcPr>
            <w:tcW w:w="1098" w:type="dxa"/>
          </w:tcPr>
          <w:p w:rsidR="00000000" w:rsidRDefault="00000000">
            <w:pPr>
              <w:pStyle w:val="BodyText"/>
              <w:spacing w:after="120"/>
              <w:jc w:val="right"/>
              <w:rPr>
                <w:sz w:val="17"/>
              </w:rPr>
            </w:pPr>
            <w:r>
              <w:rPr>
                <w:sz w:val="17"/>
              </w:rPr>
              <w:t>547.3</w:t>
            </w:r>
          </w:p>
        </w:tc>
      </w:tr>
      <w:tr w:rsidR="00000000">
        <w:tblPrEx>
          <w:tblCellMar>
            <w:top w:w="0" w:type="dxa"/>
            <w:bottom w:w="0" w:type="dxa"/>
          </w:tblCellMar>
        </w:tblPrEx>
        <w:tc>
          <w:tcPr>
            <w:tcW w:w="1728" w:type="dxa"/>
          </w:tcPr>
          <w:p w:rsidR="00000000" w:rsidRDefault="00000000">
            <w:pPr>
              <w:pStyle w:val="BodyText"/>
              <w:spacing w:after="120"/>
              <w:rPr>
                <w:sz w:val="17"/>
              </w:rPr>
            </w:pPr>
            <w:r>
              <w:rPr>
                <w:sz w:val="17"/>
              </w:rPr>
              <w:t>30 to 34 years</w:t>
            </w:r>
          </w:p>
        </w:tc>
        <w:tc>
          <w:tcPr>
            <w:tcW w:w="1071" w:type="dxa"/>
          </w:tcPr>
          <w:p w:rsidR="00000000" w:rsidRDefault="00000000">
            <w:pPr>
              <w:pStyle w:val="BodyText"/>
              <w:spacing w:after="120"/>
              <w:jc w:val="right"/>
              <w:rPr>
                <w:sz w:val="17"/>
              </w:rPr>
            </w:pPr>
            <w:r>
              <w:rPr>
                <w:sz w:val="17"/>
              </w:rPr>
              <w:t>1 373.5</w:t>
            </w:r>
          </w:p>
        </w:tc>
        <w:tc>
          <w:tcPr>
            <w:tcW w:w="1062" w:type="dxa"/>
          </w:tcPr>
          <w:p w:rsidR="00000000" w:rsidRDefault="00000000">
            <w:pPr>
              <w:pStyle w:val="BodyText"/>
              <w:spacing w:after="120"/>
              <w:jc w:val="right"/>
              <w:rPr>
                <w:sz w:val="17"/>
              </w:rPr>
            </w:pPr>
            <w:r>
              <w:rPr>
                <w:sz w:val="17"/>
              </w:rPr>
              <w:t>685.1</w:t>
            </w:r>
          </w:p>
        </w:tc>
        <w:tc>
          <w:tcPr>
            <w:tcW w:w="1071" w:type="dxa"/>
          </w:tcPr>
          <w:p w:rsidR="00000000" w:rsidRDefault="00000000">
            <w:pPr>
              <w:pStyle w:val="BodyText"/>
              <w:spacing w:after="120"/>
              <w:jc w:val="right"/>
              <w:rPr>
                <w:sz w:val="17"/>
              </w:rPr>
            </w:pPr>
            <w:r>
              <w:rPr>
                <w:sz w:val="17"/>
              </w:rPr>
              <w:t>688.4</w:t>
            </w:r>
          </w:p>
        </w:tc>
        <w:tc>
          <w:tcPr>
            <w:tcW w:w="270" w:type="dxa"/>
          </w:tcPr>
          <w:p w:rsidR="00000000" w:rsidRDefault="00000000">
            <w:pPr>
              <w:pStyle w:val="BodyText"/>
              <w:spacing w:after="120"/>
              <w:rPr>
                <w:sz w:val="17"/>
              </w:rPr>
            </w:pPr>
          </w:p>
        </w:tc>
        <w:tc>
          <w:tcPr>
            <w:tcW w:w="1089" w:type="dxa"/>
          </w:tcPr>
          <w:p w:rsidR="00000000" w:rsidRDefault="00000000">
            <w:pPr>
              <w:pStyle w:val="BodyText"/>
              <w:spacing w:after="120"/>
              <w:jc w:val="right"/>
              <w:rPr>
                <w:sz w:val="17"/>
              </w:rPr>
            </w:pPr>
            <w:r>
              <w:rPr>
                <w:sz w:val="17"/>
              </w:rPr>
              <w:t>1 121.6</w:t>
            </w:r>
          </w:p>
        </w:tc>
        <w:tc>
          <w:tcPr>
            <w:tcW w:w="1089" w:type="dxa"/>
          </w:tcPr>
          <w:p w:rsidR="00000000" w:rsidRDefault="00000000">
            <w:pPr>
              <w:pStyle w:val="BodyText"/>
              <w:spacing w:after="120"/>
              <w:jc w:val="right"/>
              <w:rPr>
                <w:sz w:val="17"/>
              </w:rPr>
            </w:pPr>
            <w:r>
              <w:rPr>
                <w:sz w:val="17"/>
              </w:rPr>
              <w:t>553.4</w:t>
            </w:r>
          </w:p>
        </w:tc>
        <w:tc>
          <w:tcPr>
            <w:tcW w:w="1098" w:type="dxa"/>
          </w:tcPr>
          <w:p w:rsidR="00000000" w:rsidRDefault="00000000">
            <w:pPr>
              <w:pStyle w:val="BodyText"/>
              <w:spacing w:after="120"/>
              <w:jc w:val="right"/>
              <w:rPr>
                <w:sz w:val="17"/>
              </w:rPr>
            </w:pPr>
            <w:r>
              <w:rPr>
                <w:sz w:val="17"/>
              </w:rPr>
              <w:t>568.2</w:t>
            </w:r>
          </w:p>
        </w:tc>
      </w:tr>
      <w:tr w:rsidR="00000000">
        <w:tblPrEx>
          <w:tblCellMar>
            <w:top w:w="0" w:type="dxa"/>
            <w:bottom w:w="0" w:type="dxa"/>
          </w:tblCellMar>
        </w:tblPrEx>
        <w:tc>
          <w:tcPr>
            <w:tcW w:w="1728" w:type="dxa"/>
          </w:tcPr>
          <w:p w:rsidR="00000000" w:rsidRDefault="00000000">
            <w:pPr>
              <w:pStyle w:val="BodyText"/>
              <w:spacing w:after="120"/>
              <w:rPr>
                <w:sz w:val="17"/>
              </w:rPr>
            </w:pPr>
            <w:r>
              <w:rPr>
                <w:sz w:val="17"/>
              </w:rPr>
              <w:t>35 to 39 years</w:t>
            </w:r>
          </w:p>
        </w:tc>
        <w:tc>
          <w:tcPr>
            <w:tcW w:w="1071" w:type="dxa"/>
          </w:tcPr>
          <w:p w:rsidR="00000000" w:rsidRDefault="00000000">
            <w:pPr>
              <w:pStyle w:val="BodyText"/>
              <w:spacing w:after="120"/>
              <w:jc w:val="right"/>
              <w:rPr>
                <w:sz w:val="17"/>
              </w:rPr>
            </w:pPr>
            <w:r>
              <w:rPr>
                <w:sz w:val="17"/>
              </w:rPr>
              <w:t>1 136.8</w:t>
            </w:r>
          </w:p>
        </w:tc>
        <w:tc>
          <w:tcPr>
            <w:tcW w:w="1062" w:type="dxa"/>
          </w:tcPr>
          <w:p w:rsidR="00000000" w:rsidRDefault="00000000">
            <w:pPr>
              <w:pStyle w:val="BodyText"/>
              <w:spacing w:after="120"/>
              <w:jc w:val="right"/>
              <w:rPr>
                <w:sz w:val="17"/>
              </w:rPr>
            </w:pPr>
            <w:r>
              <w:rPr>
                <w:sz w:val="17"/>
              </w:rPr>
              <w:t>559.8</w:t>
            </w:r>
          </w:p>
        </w:tc>
        <w:tc>
          <w:tcPr>
            <w:tcW w:w="1071" w:type="dxa"/>
          </w:tcPr>
          <w:p w:rsidR="00000000" w:rsidRDefault="00000000">
            <w:pPr>
              <w:pStyle w:val="BodyText"/>
              <w:spacing w:after="120"/>
              <w:jc w:val="right"/>
              <w:rPr>
                <w:sz w:val="17"/>
              </w:rPr>
            </w:pPr>
            <w:r>
              <w:rPr>
                <w:sz w:val="17"/>
              </w:rPr>
              <w:t>577.0</w:t>
            </w:r>
          </w:p>
        </w:tc>
        <w:tc>
          <w:tcPr>
            <w:tcW w:w="270" w:type="dxa"/>
          </w:tcPr>
          <w:p w:rsidR="00000000" w:rsidRDefault="00000000">
            <w:pPr>
              <w:pStyle w:val="BodyText"/>
              <w:spacing w:after="120"/>
              <w:rPr>
                <w:sz w:val="17"/>
              </w:rPr>
            </w:pPr>
          </w:p>
        </w:tc>
        <w:tc>
          <w:tcPr>
            <w:tcW w:w="1089" w:type="dxa"/>
          </w:tcPr>
          <w:p w:rsidR="00000000" w:rsidRDefault="00000000">
            <w:pPr>
              <w:pStyle w:val="BodyText"/>
              <w:spacing w:after="120"/>
              <w:jc w:val="right"/>
              <w:rPr>
                <w:sz w:val="17"/>
              </w:rPr>
            </w:pPr>
            <w:r>
              <w:rPr>
                <w:sz w:val="17"/>
              </w:rPr>
              <w:t>1 230.0</w:t>
            </w:r>
          </w:p>
        </w:tc>
        <w:tc>
          <w:tcPr>
            <w:tcW w:w="1089" w:type="dxa"/>
          </w:tcPr>
          <w:p w:rsidR="00000000" w:rsidRDefault="00000000">
            <w:pPr>
              <w:pStyle w:val="BodyText"/>
              <w:spacing w:after="120"/>
              <w:jc w:val="right"/>
              <w:rPr>
                <w:sz w:val="17"/>
              </w:rPr>
            </w:pPr>
            <w:r>
              <w:rPr>
                <w:sz w:val="17"/>
              </w:rPr>
              <w:t>603.5</w:t>
            </w:r>
          </w:p>
        </w:tc>
        <w:tc>
          <w:tcPr>
            <w:tcW w:w="1098" w:type="dxa"/>
          </w:tcPr>
          <w:p w:rsidR="00000000" w:rsidRDefault="00000000">
            <w:pPr>
              <w:pStyle w:val="BodyText"/>
              <w:spacing w:after="120"/>
              <w:jc w:val="right"/>
              <w:rPr>
                <w:sz w:val="17"/>
              </w:rPr>
            </w:pPr>
            <w:r>
              <w:rPr>
                <w:sz w:val="17"/>
              </w:rPr>
              <w:t>626.5</w:t>
            </w:r>
          </w:p>
        </w:tc>
      </w:tr>
      <w:tr w:rsidR="00000000">
        <w:tblPrEx>
          <w:tblCellMar>
            <w:top w:w="0" w:type="dxa"/>
            <w:bottom w:w="0" w:type="dxa"/>
          </w:tblCellMar>
        </w:tblPrEx>
        <w:tc>
          <w:tcPr>
            <w:tcW w:w="1728" w:type="dxa"/>
          </w:tcPr>
          <w:p w:rsidR="00000000" w:rsidRDefault="00000000">
            <w:pPr>
              <w:pStyle w:val="BodyText"/>
              <w:spacing w:after="120"/>
              <w:rPr>
                <w:sz w:val="17"/>
              </w:rPr>
            </w:pPr>
            <w:r>
              <w:rPr>
                <w:sz w:val="17"/>
              </w:rPr>
              <w:t>40 to 44 years</w:t>
            </w:r>
          </w:p>
        </w:tc>
        <w:tc>
          <w:tcPr>
            <w:tcW w:w="1071" w:type="dxa"/>
          </w:tcPr>
          <w:p w:rsidR="00000000" w:rsidRDefault="00000000">
            <w:pPr>
              <w:pStyle w:val="BodyText"/>
              <w:spacing w:after="120"/>
              <w:jc w:val="right"/>
              <w:rPr>
                <w:sz w:val="17"/>
              </w:rPr>
            </w:pPr>
            <w:r>
              <w:rPr>
                <w:sz w:val="17"/>
              </w:rPr>
              <w:t>802.0</w:t>
            </w:r>
          </w:p>
        </w:tc>
        <w:tc>
          <w:tcPr>
            <w:tcW w:w="1062" w:type="dxa"/>
          </w:tcPr>
          <w:p w:rsidR="00000000" w:rsidRDefault="00000000">
            <w:pPr>
              <w:pStyle w:val="BodyText"/>
              <w:spacing w:after="120"/>
              <w:jc w:val="right"/>
              <w:rPr>
                <w:sz w:val="17"/>
              </w:rPr>
            </w:pPr>
            <w:r>
              <w:rPr>
                <w:sz w:val="17"/>
              </w:rPr>
              <w:t>391.0</w:t>
            </w:r>
          </w:p>
        </w:tc>
        <w:tc>
          <w:tcPr>
            <w:tcW w:w="1071" w:type="dxa"/>
          </w:tcPr>
          <w:p w:rsidR="00000000" w:rsidRDefault="00000000">
            <w:pPr>
              <w:pStyle w:val="BodyText"/>
              <w:spacing w:after="120"/>
              <w:jc w:val="right"/>
              <w:rPr>
                <w:sz w:val="17"/>
              </w:rPr>
            </w:pPr>
            <w:r>
              <w:rPr>
                <w:sz w:val="17"/>
              </w:rPr>
              <w:t>411.0</w:t>
            </w:r>
          </w:p>
        </w:tc>
        <w:tc>
          <w:tcPr>
            <w:tcW w:w="270" w:type="dxa"/>
          </w:tcPr>
          <w:p w:rsidR="00000000" w:rsidRDefault="00000000">
            <w:pPr>
              <w:pStyle w:val="BodyText"/>
              <w:spacing w:after="120"/>
              <w:rPr>
                <w:sz w:val="17"/>
              </w:rPr>
            </w:pPr>
          </w:p>
        </w:tc>
        <w:tc>
          <w:tcPr>
            <w:tcW w:w="1089" w:type="dxa"/>
          </w:tcPr>
          <w:p w:rsidR="00000000" w:rsidRDefault="00000000">
            <w:pPr>
              <w:pStyle w:val="BodyText"/>
              <w:spacing w:after="120"/>
              <w:jc w:val="right"/>
              <w:rPr>
                <w:sz w:val="17"/>
              </w:rPr>
            </w:pPr>
            <w:r>
              <w:rPr>
                <w:sz w:val="17"/>
              </w:rPr>
              <w:t>1 015.8</w:t>
            </w:r>
          </w:p>
        </w:tc>
        <w:tc>
          <w:tcPr>
            <w:tcW w:w="1089" w:type="dxa"/>
          </w:tcPr>
          <w:p w:rsidR="00000000" w:rsidRDefault="00000000">
            <w:pPr>
              <w:pStyle w:val="BodyText"/>
              <w:spacing w:after="120"/>
              <w:jc w:val="right"/>
              <w:rPr>
                <w:sz w:val="17"/>
              </w:rPr>
            </w:pPr>
            <w:r>
              <w:rPr>
                <w:sz w:val="17"/>
              </w:rPr>
              <w:t>491.4</w:t>
            </w:r>
          </w:p>
        </w:tc>
        <w:tc>
          <w:tcPr>
            <w:tcW w:w="1098" w:type="dxa"/>
          </w:tcPr>
          <w:p w:rsidR="00000000" w:rsidRDefault="00000000">
            <w:pPr>
              <w:pStyle w:val="BodyText"/>
              <w:spacing w:after="120"/>
              <w:jc w:val="right"/>
              <w:rPr>
                <w:sz w:val="17"/>
              </w:rPr>
            </w:pPr>
            <w:r>
              <w:rPr>
                <w:sz w:val="17"/>
              </w:rPr>
              <w:t>524.4</w:t>
            </w:r>
          </w:p>
        </w:tc>
      </w:tr>
      <w:tr w:rsidR="00000000">
        <w:tblPrEx>
          <w:tblCellMar>
            <w:top w:w="0" w:type="dxa"/>
            <w:bottom w:w="0" w:type="dxa"/>
          </w:tblCellMar>
        </w:tblPrEx>
        <w:tc>
          <w:tcPr>
            <w:tcW w:w="1728" w:type="dxa"/>
          </w:tcPr>
          <w:p w:rsidR="00000000" w:rsidRDefault="00000000">
            <w:pPr>
              <w:pStyle w:val="BodyText"/>
              <w:spacing w:after="120"/>
              <w:rPr>
                <w:sz w:val="17"/>
              </w:rPr>
            </w:pPr>
            <w:r>
              <w:rPr>
                <w:sz w:val="17"/>
              </w:rPr>
              <w:t>45 to 49 years</w:t>
            </w:r>
          </w:p>
        </w:tc>
        <w:tc>
          <w:tcPr>
            <w:tcW w:w="1071" w:type="dxa"/>
          </w:tcPr>
          <w:p w:rsidR="00000000" w:rsidRDefault="00000000">
            <w:pPr>
              <w:pStyle w:val="BodyText"/>
              <w:spacing w:after="120"/>
              <w:jc w:val="right"/>
              <w:rPr>
                <w:sz w:val="17"/>
              </w:rPr>
            </w:pPr>
            <w:r>
              <w:rPr>
                <w:sz w:val="17"/>
              </w:rPr>
              <w:t>622.9</w:t>
            </w:r>
          </w:p>
        </w:tc>
        <w:tc>
          <w:tcPr>
            <w:tcW w:w="1062" w:type="dxa"/>
          </w:tcPr>
          <w:p w:rsidR="00000000" w:rsidRDefault="00000000">
            <w:pPr>
              <w:pStyle w:val="BodyText"/>
              <w:spacing w:after="120"/>
              <w:jc w:val="right"/>
              <w:rPr>
                <w:sz w:val="17"/>
              </w:rPr>
            </w:pPr>
            <w:r>
              <w:rPr>
                <w:sz w:val="17"/>
              </w:rPr>
              <w:t>296.3</w:t>
            </w:r>
          </w:p>
        </w:tc>
        <w:tc>
          <w:tcPr>
            <w:tcW w:w="1071" w:type="dxa"/>
          </w:tcPr>
          <w:p w:rsidR="00000000" w:rsidRDefault="00000000">
            <w:pPr>
              <w:pStyle w:val="BodyText"/>
              <w:spacing w:after="120"/>
              <w:jc w:val="right"/>
              <w:rPr>
                <w:sz w:val="17"/>
              </w:rPr>
            </w:pPr>
            <w:r>
              <w:rPr>
                <w:sz w:val="17"/>
              </w:rPr>
              <w:t>326.6</w:t>
            </w:r>
          </w:p>
        </w:tc>
        <w:tc>
          <w:tcPr>
            <w:tcW w:w="270" w:type="dxa"/>
          </w:tcPr>
          <w:p w:rsidR="00000000" w:rsidRDefault="00000000">
            <w:pPr>
              <w:pStyle w:val="BodyText"/>
              <w:spacing w:after="120"/>
              <w:rPr>
                <w:sz w:val="17"/>
              </w:rPr>
            </w:pPr>
          </w:p>
        </w:tc>
        <w:tc>
          <w:tcPr>
            <w:tcW w:w="1089" w:type="dxa"/>
          </w:tcPr>
          <w:p w:rsidR="00000000" w:rsidRDefault="00000000">
            <w:pPr>
              <w:pStyle w:val="BodyText"/>
              <w:spacing w:after="120"/>
              <w:jc w:val="right"/>
              <w:rPr>
                <w:sz w:val="17"/>
              </w:rPr>
            </w:pPr>
            <w:r>
              <w:rPr>
                <w:sz w:val="17"/>
              </w:rPr>
              <w:t>850.6</w:t>
            </w:r>
          </w:p>
        </w:tc>
        <w:tc>
          <w:tcPr>
            <w:tcW w:w="1089" w:type="dxa"/>
          </w:tcPr>
          <w:p w:rsidR="00000000" w:rsidRDefault="00000000">
            <w:pPr>
              <w:pStyle w:val="BodyText"/>
              <w:spacing w:after="120"/>
              <w:jc w:val="right"/>
              <w:rPr>
                <w:sz w:val="17"/>
              </w:rPr>
            </w:pPr>
            <w:r>
              <w:rPr>
                <w:sz w:val="17"/>
              </w:rPr>
              <w:t>401.4</w:t>
            </w:r>
          </w:p>
        </w:tc>
        <w:tc>
          <w:tcPr>
            <w:tcW w:w="1098" w:type="dxa"/>
          </w:tcPr>
          <w:p w:rsidR="00000000" w:rsidRDefault="00000000">
            <w:pPr>
              <w:pStyle w:val="BodyText"/>
              <w:spacing w:after="120"/>
              <w:jc w:val="right"/>
              <w:rPr>
                <w:sz w:val="17"/>
              </w:rPr>
            </w:pPr>
            <w:r>
              <w:rPr>
                <w:sz w:val="17"/>
              </w:rPr>
              <w:t>449.2</w:t>
            </w:r>
          </w:p>
        </w:tc>
      </w:tr>
      <w:tr w:rsidR="00000000">
        <w:tblPrEx>
          <w:tblCellMar>
            <w:top w:w="0" w:type="dxa"/>
            <w:bottom w:w="0" w:type="dxa"/>
          </w:tblCellMar>
        </w:tblPrEx>
        <w:tc>
          <w:tcPr>
            <w:tcW w:w="1728" w:type="dxa"/>
          </w:tcPr>
          <w:p w:rsidR="00000000" w:rsidRDefault="00000000">
            <w:pPr>
              <w:pStyle w:val="BodyText"/>
              <w:spacing w:after="120"/>
              <w:rPr>
                <w:sz w:val="17"/>
              </w:rPr>
            </w:pPr>
            <w:r>
              <w:rPr>
                <w:sz w:val="17"/>
              </w:rPr>
              <w:t>50 to 54 years</w:t>
            </w:r>
          </w:p>
        </w:tc>
        <w:tc>
          <w:tcPr>
            <w:tcW w:w="1071" w:type="dxa"/>
          </w:tcPr>
          <w:p w:rsidR="00000000" w:rsidRDefault="00000000">
            <w:pPr>
              <w:pStyle w:val="BodyText"/>
              <w:spacing w:after="120"/>
              <w:jc w:val="right"/>
              <w:rPr>
                <w:sz w:val="17"/>
              </w:rPr>
            </w:pPr>
            <w:r>
              <w:rPr>
                <w:sz w:val="17"/>
              </w:rPr>
              <w:t>890.2</w:t>
            </w:r>
          </w:p>
        </w:tc>
        <w:tc>
          <w:tcPr>
            <w:tcW w:w="1062" w:type="dxa"/>
          </w:tcPr>
          <w:p w:rsidR="00000000" w:rsidRDefault="00000000">
            <w:pPr>
              <w:pStyle w:val="BodyText"/>
              <w:spacing w:after="120"/>
              <w:jc w:val="right"/>
              <w:rPr>
                <w:sz w:val="17"/>
              </w:rPr>
            </w:pPr>
            <w:r>
              <w:rPr>
                <w:sz w:val="17"/>
              </w:rPr>
              <w:t>421.9</w:t>
            </w:r>
          </w:p>
        </w:tc>
        <w:tc>
          <w:tcPr>
            <w:tcW w:w="1071" w:type="dxa"/>
          </w:tcPr>
          <w:p w:rsidR="00000000" w:rsidRDefault="00000000">
            <w:pPr>
              <w:pStyle w:val="BodyText"/>
              <w:spacing w:after="120"/>
              <w:jc w:val="right"/>
              <w:rPr>
                <w:sz w:val="17"/>
              </w:rPr>
            </w:pPr>
            <w:r>
              <w:rPr>
                <w:sz w:val="17"/>
              </w:rPr>
              <w:t>468.3</w:t>
            </w:r>
          </w:p>
        </w:tc>
        <w:tc>
          <w:tcPr>
            <w:tcW w:w="270" w:type="dxa"/>
          </w:tcPr>
          <w:p w:rsidR="00000000" w:rsidRDefault="00000000">
            <w:pPr>
              <w:pStyle w:val="BodyText"/>
              <w:spacing w:after="120"/>
              <w:rPr>
                <w:sz w:val="17"/>
              </w:rPr>
            </w:pPr>
          </w:p>
        </w:tc>
        <w:tc>
          <w:tcPr>
            <w:tcW w:w="1089" w:type="dxa"/>
          </w:tcPr>
          <w:p w:rsidR="00000000" w:rsidRDefault="00000000">
            <w:pPr>
              <w:pStyle w:val="BodyText"/>
              <w:spacing w:after="120"/>
              <w:jc w:val="right"/>
              <w:rPr>
                <w:sz w:val="17"/>
              </w:rPr>
            </w:pPr>
            <w:r>
              <w:rPr>
                <w:sz w:val="17"/>
              </w:rPr>
              <w:t>459.5</w:t>
            </w:r>
          </w:p>
        </w:tc>
        <w:tc>
          <w:tcPr>
            <w:tcW w:w="1089" w:type="dxa"/>
          </w:tcPr>
          <w:p w:rsidR="00000000" w:rsidRDefault="00000000">
            <w:pPr>
              <w:pStyle w:val="BodyText"/>
              <w:spacing w:after="120"/>
              <w:jc w:val="right"/>
              <w:rPr>
                <w:sz w:val="17"/>
              </w:rPr>
            </w:pPr>
            <w:r>
              <w:rPr>
                <w:sz w:val="17"/>
              </w:rPr>
              <w:t>214.5</w:t>
            </w:r>
          </w:p>
        </w:tc>
        <w:tc>
          <w:tcPr>
            <w:tcW w:w="1098" w:type="dxa"/>
          </w:tcPr>
          <w:p w:rsidR="00000000" w:rsidRDefault="00000000">
            <w:pPr>
              <w:pStyle w:val="BodyText"/>
              <w:spacing w:after="120"/>
              <w:jc w:val="right"/>
              <w:rPr>
                <w:sz w:val="17"/>
              </w:rPr>
            </w:pPr>
            <w:r>
              <w:rPr>
                <w:sz w:val="17"/>
              </w:rPr>
              <w:t>245.0</w:t>
            </w:r>
          </w:p>
        </w:tc>
      </w:tr>
      <w:tr w:rsidR="00000000">
        <w:tblPrEx>
          <w:tblCellMar>
            <w:top w:w="0" w:type="dxa"/>
            <w:bottom w:w="0" w:type="dxa"/>
          </w:tblCellMar>
        </w:tblPrEx>
        <w:tc>
          <w:tcPr>
            <w:tcW w:w="1728" w:type="dxa"/>
          </w:tcPr>
          <w:p w:rsidR="00000000" w:rsidRDefault="00000000">
            <w:pPr>
              <w:pStyle w:val="BodyText"/>
              <w:spacing w:after="120"/>
              <w:rPr>
                <w:sz w:val="17"/>
              </w:rPr>
            </w:pPr>
            <w:r>
              <w:rPr>
                <w:sz w:val="17"/>
              </w:rPr>
              <w:t>55 to 59 years</w:t>
            </w:r>
          </w:p>
        </w:tc>
        <w:tc>
          <w:tcPr>
            <w:tcW w:w="1071" w:type="dxa"/>
          </w:tcPr>
          <w:p w:rsidR="00000000" w:rsidRDefault="00000000">
            <w:pPr>
              <w:pStyle w:val="BodyText"/>
              <w:spacing w:after="120"/>
              <w:jc w:val="right"/>
              <w:rPr>
                <w:sz w:val="17"/>
              </w:rPr>
            </w:pPr>
            <w:r>
              <w:rPr>
                <w:sz w:val="17"/>
              </w:rPr>
              <w:t>542.2</w:t>
            </w:r>
          </w:p>
        </w:tc>
        <w:tc>
          <w:tcPr>
            <w:tcW w:w="1062" w:type="dxa"/>
          </w:tcPr>
          <w:p w:rsidR="00000000" w:rsidRDefault="00000000">
            <w:pPr>
              <w:pStyle w:val="BodyText"/>
              <w:spacing w:after="120"/>
              <w:jc w:val="right"/>
              <w:rPr>
                <w:sz w:val="17"/>
              </w:rPr>
            </w:pPr>
            <w:r>
              <w:rPr>
                <w:sz w:val="17"/>
              </w:rPr>
              <w:t>250.8</w:t>
            </w:r>
          </w:p>
        </w:tc>
        <w:tc>
          <w:tcPr>
            <w:tcW w:w="1071" w:type="dxa"/>
          </w:tcPr>
          <w:p w:rsidR="00000000" w:rsidRDefault="00000000">
            <w:pPr>
              <w:pStyle w:val="BodyText"/>
              <w:spacing w:after="120"/>
              <w:jc w:val="right"/>
              <w:rPr>
                <w:sz w:val="17"/>
              </w:rPr>
            </w:pPr>
            <w:r>
              <w:rPr>
                <w:sz w:val="17"/>
              </w:rPr>
              <w:t>291.4</w:t>
            </w:r>
          </w:p>
        </w:tc>
        <w:tc>
          <w:tcPr>
            <w:tcW w:w="270" w:type="dxa"/>
          </w:tcPr>
          <w:p w:rsidR="00000000" w:rsidRDefault="00000000">
            <w:pPr>
              <w:pStyle w:val="BodyText"/>
              <w:spacing w:after="120"/>
              <w:rPr>
                <w:sz w:val="17"/>
              </w:rPr>
            </w:pPr>
          </w:p>
        </w:tc>
        <w:tc>
          <w:tcPr>
            <w:tcW w:w="1089" w:type="dxa"/>
          </w:tcPr>
          <w:p w:rsidR="00000000" w:rsidRDefault="00000000">
            <w:pPr>
              <w:pStyle w:val="BodyText"/>
              <w:spacing w:after="120"/>
              <w:jc w:val="right"/>
              <w:rPr>
                <w:sz w:val="17"/>
              </w:rPr>
            </w:pPr>
            <w:r>
              <w:rPr>
                <w:sz w:val="17"/>
              </w:rPr>
              <w:t>661.3</w:t>
            </w:r>
          </w:p>
        </w:tc>
        <w:tc>
          <w:tcPr>
            <w:tcW w:w="1089" w:type="dxa"/>
          </w:tcPr>
          <w:p w:rsidR="00000000" w:rsidRDefault="00000000">
            <w:pPr>
              <w:pStyle w:val="BodyText"/>
              <w:spacing w:after="120"/>
              <w:jc w:val="right"/>
              <w:rPr>
                <w:sz w:val="17"/>
              </w:rPr>
            </w:pPr>
            <w:r>
              <w:rPr>
                <w:sz w:val="17"/>
              </w:rPr>
              <w:t>295.7</w:t>
            </w:r>
          </w:p>
        </w:tc>
        <w:tc>
          <w:tcPr>
            <w:tcW w:w="1098" w:type="dxa"/>
          </w:tcPr>
          <w:p w:rsidR="00000000" w:rsidRDefault="00000000">
            <w:pPr>
              <w:pStyle w:val="BodyText"/>
              <w:spacing w:after="120"/>
              <w:jc w:val="right"/>
              <w:rPr>
                <w:sz w:val="17"/>
              </w:rPr>
            </w:pPr>
            <w:r>
              <w:rPr>
                <w:sz w:val="17"/>
              </w:rPr>
              <w:t>365.6</w:t>
            </w:r>
          </w:p>
        </w:tc>
      </w:tr>
      <w:tr w:rsidR="00000000">
        <w:tblPrEx>
          <w:tblCellMar>
            <w:top w:w="0" w:type="dxa"/>
            <w:bottom w:w="0" w:type="dxa"/>
          </w:tblCellMar>
        </w:tblPrEx>
        <w:tc>
          <w:tcPr>
            <w:tcW w:w="1728" w:type="dxa"/>
          </w:tcPr>
          <w:p w:rsidR="00000000" w:rsidRDefault="00000000">
            <w:pPr>
              <w:pStyle w:val="BodyText"/>
              <w:spacing w:after="120"/>
              <w:rPr>
                <w:sz w:val="17"/>
              </w:rPr>
            </w:pPr>
            <w:r>
              <w:rPr>
                <w:sz w:val="17"/>
              </w:rPr>
              <w:t>60 to 64 years</w:t>
            </w:r>
          </w:p>
        </w:tc>
        <w:tc>
          <w:tcPr>
            <w:tcW w:w="1071" w:type="dxa"/>
          </w:tcPr>
          <w:p w:rsidR="00000000" w:rsidRDefault="00000000">
            <w:pPr>
              <w:pStyle w:val="BodyText"/>
              <w:spacing w:after="120"/>
              <w:jc w:val="right"/>
              <w:rPr>
                <w:sz w:val="17"/>
              </w:rPr>
            </w:pPr>
            <w:r>
              <w:rPr>
                <w:sz w:val="17"/>
              </w:rPr>
              <w:t>599.7</w:t>
            </w:r>
          </w:p>
        </w:tc>
        <w:tc>
          <w:tcPr>
            <w:tcW w:w="1062" w:type="dxa"/>
          </w:tcPr>
          <w:p w:rsidR="00000000" w:rsidRDefault="00000000">
            <w:pPr>
              <w:pStyle w:val="BodyText"/>
              <w:spacing w:after="120"/>
              <w:jc w:val="right"/>
              <w:rPr>
                <w:sz w:val="17"/>
              </w:rPr>
            </w:pPr>
            <w:r>
              <w:rPr>
                <w:sz w:val="17"/>
              </w:rPr>
              <w:t>244.1</w:t>
            </w:r>
          </w:p>
        </w:tc>
        <w:tc>
          <w:tcPr>
            <w:tcW w:w="1071" w:type="dxa"/>
          </w:tcPr>
          <w:p w:rsidR="00000000" w:rsidRDefault="00000000">
            <w:pPr>
              <w:pStyle w:val="BodyText"/>
              <w:spacing w:after="120"/>
              <w:jc w:val="right"/>
              <w:rPr>
                <w:sz w:val="17"/>
              </w:rPr>
            </w:pPr>
            <w:r>
              <w:rPr>
                <w:sz w:val="17"/>
              </w:rPr>
              <w:t>355.6</w:t>
            </w:r>
          </w:p>
        </w:tc>
        <w:tc>
          <w:tcPr>
            <w:tcW w:w="270" w:type="dxa"/>
          </w:tcPr>
          <w:p w:rsidR="00000000" w:rsidRDefault="00000000">
            <w:pPr>
              <w:pStyle w:val="BodyText"/>
              <w:spacing w:after="120"/>
              <w:rPr>
                <w:sz w:val="17"/>
              </w:rPr>
            </w:pPr>
          </w:p>
        </w:tc>
        <w:tc>
          <w:tcPr>
            <w:tcW w:w="1089" w:type="dxa"/>
          </w:tcPr>
          <w:p w:rsidR="00000000" w:rsidRDefault="00000000">
            <w:pPr>
              <w:pStyle w:val="BodyText"/>
              <w:spacing w:after="120"/>
              <w:jc w:val="right"/>
              <w:rPr>
                <w:sz w:val="17"/>
              </w:rPr>
            </w:pPr>
            <w:r>
              <w:rPr>
                <w:sz w:val="17"/>
              </w:rPr>
              <w:t>509.2</w:t>
            </w:r>
          </w:p>
        </w:tc>
        <w:tc>
          <w:tcPr>
            <w:tcW w:w="1089" w:type="dxa"/>
          </w:tcPr>
          <w:p w:rsidR="00000000" w:rsidRDefault="00000000">
            <w:pPr>
              <w:pStyle w:val="BodyText"/>
              <w:spacing w:after="120"/>
              <w:jc w:val="right"/>
              <w:rPr>
                <w:sz w:val="17"/>
              </w:rPr>
            </w:pPr>
            <w:r>
              <w:rPr>
                <w:sz w:val="17"/>
              </w:rPr>
              <w:t>222.6</w:t>
            </w:r>
          </w:p>
        </w:tc>
        <w:tc>
          <w:tcPr>
            <w:tcW w:w="1098" w:type="dxa"/>
          </w:tcPr>
          <w:p w:rsidR="00000000" w:rsidRDefault="00000000">
            <w:pPr>
              <w:pStyle w:val="BodyText"/>
              <w:spacing w:after="120"/>
              <w:jc w:val="right"/>
              <w:rPr>
                <w:sz w:val="17"/>
              </w:rPr>
            </w:pPr>
            <w:r>
              <w:rPr>
                <w:sz w:val="17"/>
              </w:rPr>
              <w:t>286.6</w:t>
            </w:r>
          </w:p>
        </w:tc>
      </w:tr>
      <w:tr w:rsidR="00000000">
        <w:tblPrEx>
          <w:tblCellMar>
            <w:top w:w="0" w:type="dxa"/>
            <w:bottom w:w="0" w:type="dxa"/>
          </w:tblCellMar>
        </w:tblPrEx>
        <w:tc>
          <w:tcPr>
            <w:tcW w:w="1728" w:type="dxa"/>
          </w:tcPr>
          <w:p w:rsidR="00000000" w:rsidRDefault="00000000">
            <w:pPr>
              <w:pStyle w:val="BodyText"/>
              <w:spacing w:after="120"/>
              <w:rPr>
                <w:sz w:val="17"/>
              </w:rPr>
            </w:pPr>
            <w:r>
              <w:rPr>
                <w:sz w:val="17"/>
              </w:rPr>
              <w:t>65 to 69 years</w:t>
            </w:r>
          </w:p>
        </w:tc>
        <w:tc>
          <w:tcPr>
            <w:tcW w:w="1071" w:type="dxa"/>
          </w:tcPr>
          <w:p w:rsidR="00000000" w:rsidRDefault="00000000">
            <w:pPr>
              <w:pStyle w:val="BodyText"/>
              <w:spacing w:after="120"/>
              <w:jc w:val="right"/>
              <w:rPr>
                <w:sz w:val="17"/>
              </w:rPr>
            </w:pPr>
            <w:r>
              <w:rPr>
                <w:sz w:val="17"/>
              </w:rPr>
              <w:t>335.3</w:t>
            </w:r>
          </w:p>
        </w:tc>
        <w:tc>
          <w:tcPr>
            <w:tcW w:w="1062" w:type="dxa"/>
          </w:tcPr>
          <w:p w:rsidR="00000000" w:rsidRDefault="00000000">
            <w:pPr>
              <w:pStyle w:val="BodyText"/>
              <w:spacing w:after="120"/>
              <w:jc w:val="right"/>
              <w:rPr>
                <w:sz w:val="17"/>
              </w:rPr>
            </w:pPr>
            <w:r>
              <w:rPr>
                <w:sz w:val="17"/>
              </w:rPr>
              <w:t>111.1</w:t>
            </w:r>
          </w:p>
        </w:tc>
        <w:tc>
          <w:tcPr>
            <w:tcW w:w="1071" w:type="dxa"/>
          </w:tcPr>
          <w:p w:rsidR="00000000" w:rsidRDefault="00000000">
            <w:pPr>
              <w:pStyle w:val="BodyText"/>
              <w:spacing w:after="120"/>
              <w:jc w:val="right"/>
              <w:rPr>
                <w:sz w:val="17"/>
              </w:rPr>
            </w:pPr>
            <w:r>
              <w:rPr>
                <w:sz w:val="17"/>
              </w:rPr>
              <w:t>224.2</w:t>
            </w:r>
          </w:p>
        </w:tc>
        <w:tc>
          <w:tcPr>
            <w:tcW w:w="270" w:type="dxa"/>
          </w:tcPr>
          <w:p w:rsidR="00000000" w:rsidRDefault="00000000">
            <w:pPr>
              <w:pStyle w:val="BodyText"/>
              <w:spacing w:after="120"/>
              <w:rPr>
                <w:sz w:val="17"/>
              </w:rPr>
            </w:pPr>
          </w:p>
        </w:tc>
        <w:tc>
          <w:tcPr>
            <w:tcW w:w="1089" w:type="dxa"/>
          </w:tcPr>
          <w:p w:rsidR="00000000" w:rsidRDefault="00000000">
            <w:pPr>
              <w:pStyle w:val="BodyText"/>
              <w:spacing w:after="120"/>
              <w:jc w:val="right"/>
              <w:rPr>
                <w:sz w:val="17"/>
              </w:rPr>
            </w:pPr>
            <w:r>
              <w:rPr>
                <w:sz w:val="17"/>
              </w:rPr>
              <w:t>411.6</w:t>
            </w:r>
          </w:p>
        </w:tc>
        <w:tc>
          <w:tcPr>
            <w:tcW w:w="1089" w:type="dxa"/>
          </w:tcPr>
          <w:p w:rsidR="00000000" w:rsidRDefault="00000000">
            <w:pPr>
              <w:pStyle w:val="BodyText"/>
              <w:spacing w:after="120"/>
              <w:jc w:val="right"/>
              <w:rPr>
                <w:sz w:val="17"/>
              </w:rPr>
            </w:pPr>
            <w:r>
              <w:rPr>
                <w:sz w:val="17"/>
              </w:rPr>
              <w:t>162.5</w:t>
            </w:r>
          </w:p>
        </w:tc>
        <w:tc>
          <w:tcPr>
            <w:tcW w:w="1098" w:type="dxa"/>
          </w:tcPr>
          <w:p w:rsidR="00000000" w:rsidRDefault="00000000">
            <w:pPr>
              <w:pStyle w:val="BodyText"/>
              <w:spacing w:after="120"/>
              <w:jc w:val="right"/>
              <w:rPr>
                <w:sz w:val="17"/>
              </w:rPr>
            </w:pPr>
            <w:r>
              <w:rPr>
                <w:sz w:val="17"/>
              </w:rPr>
              <w:t>249.1</w:t>
            </w:r>
          </w:p>
        </w:tc>
      </w:tr>
      <w:tr w:rsidR="00000000">
        <w:tblPrEx>
          <w:tblCellMar>
            <w:top w:w="0" w:type="dxa"/>
            <w:bottom w:w="0" w:type="dxa"/>
          </w:tblCellMar>
        </w:tblPrEx>
        <w:tc>
          <w:tcPr>
            <w:tcW w:w="1728" w:type="dxa"/>
          </w:tcPr>
          <w:p w:rsidR="00000000" w:rsidRDefault="00000000">
            <w:pPr>
              <w:pStyle w:val="BodyText"/>
              <w:spacing w:after="120"/>
              <w:rPr>
                <w:sz w:val="17"/>
              </w:rPr>
            </w:pPr>
            <w:r>
              <w:rPr>
                <w:sz w:val="17"/>
              </w:rPr>
              <w:t>70 to 74 years</w:t>
            </w:r>
          </w:p>
        </w:tc>
        <w:tc>
          <w:tcPr>
            <w:tcW w:w="1071" w:type="dxa"/>
          </w:tcPr>
          <w:p w:rsidR="00000000" w:rsidRDefault="00000000">
            <w:pPr>
              <w:pStyle w:val="BodyText"/>
              <w:spacing w:after="120"/>
              <w:jc w:val="right"/>
              <w:rPr>
                <w:sz w:val="17"/>
              </w:rPr>
            </w:pPr>
            <w:r>
              <w:rPr>
                <w:sz w:val="17"/>
              </w:rPr>
              <w:t>214.7</w:t>
            </w:r>
          </w:p>
        </w:tc>
        <w:tc>
          <w:tcPr>
            <w:tcW w:w="1062" w:type="dxa"/>
          </w:tcPr>
          <w:p w:rsidR="00000000" w:rsidRDefault="00000000">
            <w:pPr>
              <w:pStyle w:val="BodyText"/>
              <w:spacing w:after="120"/>
              <w:jc w:val="right"/>
              <w:rPr>
                <w:sz w:val="17"/>
              </w:rPr>
            </w:pPr>
            <w:r>
              <w:rPr>
                <w:sz w:val="17"/>
              </w:rPr>
              <w:t>65.3</w:t>
            </w:r>
          </w:p>
        </w:tc>
        <w:tc>
          <w:tcPr>
            <w:tcW w:w="1071" w:type="dxa"/>
          </w:tcPr>
          <w:p w:rsidR="00000000" w:rsidRDefault="00000000">
            <w:pPr>
              <w:pStyle w:val="BodyText"/>
              <w:spacing w:after="120"/>
              <w:jc w:val="right"/>
              <w:rPr>
                <w:sz w:val="17"/>
              </w:rPr>
            </w:pPr>
            <w:r>
              <w:rPr>
                <w:sz w:val="17"/>
              </w:rPr>
              <w:t>149.4</w:t>
            </w:r>
          </w:p>
        </w:tc>
        <w:tc>
          <w:tcPr>
            <w:tcW w:w="270" w:type="dxa"/>
          </w:tcPr>
          <w:p w:rsidR="00000000" w:rsidRDefault="00000000">
            <w:pPr>
              <w:pStyle w:val="BodyText"/>
              <w:spacing w:after="120"/>
              <w:rPr>
                <w:sz w:val="17"/>
              </w:rPr>
            </w:pPr>
          </w:p>
        </w:tc>
        <w:tc>
          <w:tcPr>
            <w:tcW w:w="1089" w:type="dxa"/>
          </w:tcPr>
          <w:p w:rsidR="00000000" w:rsidRDefault="00000000">
            <w:pPr>
              <w:pStyle w:val="BodyText"/>
              <w:spacing w:after="120"/>
              <w:jc w:val="right"/>
              <w:rPr>
                <w:sz w:val="17"/>
              </w:rPr>
            </w:pPr>
            <w:r>
              <w:rPr>
                <w:sz w:val="17"/>
              </w:rPr>
              <w:t>314.7</w:t>
            </w:r>
          </w:p>
        </w:tc>
        <w:tc>
          <w:tcPr>
            <w:tcW w:w="1089" w:type="dxa"/>
          </w:tcPr>
          <w:p w:rsidR="00000000" w:rsidRDefault="00000000">
            <w:pPr>
              <w:pStyle w:val="BodyText"/>
              <w:spacing w:after="120"/>
              <w:jc w:val="right"/>
              <w:rPr>
                <w:sz w:val="17"/>
              </w:rPr>
            </w:pPr>
            <w:r>
              <w:rPr>
                <w:sz w:val="17"/>
              </w:rPr>
              <w:t>101.0</w:t>
            </w:r>
          </w:p>
        </w:tc>
        <w:tc>
          <w:tcPr>
            <w:tcW w:w="1098" w:type="dxa"/>
          </w:tcPr>
          <w:p w:rsidR="00000000" w:rsidRDefault="00000000">
            <w:pPr>
              <w:pStyle w:val="BodyText"/>
              <w:spacing w:after="120"/>
              <w:jc w:val="right"/>
              <w:rPr>
                <w:sz w:val="17"/>
              </w:rPr>
            </w:pPr>
            <w:r>
              <w:rPr>
                <w:sz w:val="17"/>
              </w:rPr>
              <w:t>213.7</w:t>
            </w:r>
          </w:p>
        </w:tc>
      </w:tr>
      <w:tr w:rsidR="00000000">
        <w:tblPrEx>
          <w:tblCellMar>
            <w:top w:w="0" w:type="dxa"/>
            <w:bottom w:w="0" w:type="dxa"/>
          </w:tblCellMar>
        </w:tblPrEx>
        <w:tc>
          <w:tcPr>
            <w:tcW w:w="1728" w:type="dxa"/>
          </w:tcPr>
          <w:p w:rsidR="00000000" w:rsidRDefault="00000000">
            <w:pPr>
              <w:pStyle w:val="BodyText"/>
              <w:spacing w:after="120"/>
              <w:rPr>
                <w:sz w:val="17"/>
              </w:rPr>
            </w:pPr>
            <w:r>
              <w:rPr>
                <w:sz w:val="17"/>
              </w:rPr>
              <w:t>75 to 79 years</w:t>
            </w:r>
          </w:p>
        </w:tc>
        <w:tc>
          <w:tcPr>
            <w:tcW w:w="1071" w:type="dxa"/>
          </w:tcPr>
          <w:p w:rsidR="00000000" w:rsidRDefault="00000000">
            <w:pPr>
              <w:pStyle w:val="BodyText"/>
              <w:spacing w:after="120"/>
              <w:jc w:val="right"/>
              <w:rPr>
                <w:sz w:val="17"/>
              </w:rPr>
            </w:pPr>
            <w:r>
              <w:rPr>
                <w:sz w:val="17"/>
              </w:rPr>
              <w:t>203.3</w:t>
            </w:r>
          </w:p>
        </w:tc>
        <w:tc>
          <w:tcPr>
            <w:tcW w:w="1062" w:type="dxa"/>
          </w:tcPr>
          <w:p w:rsidR="00000000" w:rsidRDefault="00000000">
            <w:pPr>
              <w:pStyle w:val="BodyText"/>
              <w:spacing w:after="120"/>
              <w:jc w:val="right"/>
              <w:rPr>
                <w:sz w:val="17"/>
              </w:rPr>
            </w:pPr>
            <w:r>
              <w:rPr>
                <w:sz w:val="17"/>
              </w:rPr>
              <w:t>56.2</w:t>
            </w:r>
          </w:p>
        </w:tc>
        <w:tc>
          <w:tcPr>
            <w:tcW w:w="1071" w:type="dxa"/>
          </w:tcPr>
          <w:p w:rsidR="00000000" w:rsidRDefault="00000000">
            <w:pPr>
              <w:pStyle w:val="BodyText"/>
              <w:spacing w:after="120"/>
              <w:jc w:val="right"/>
              <w:rPr>
                <w:sz w:val="17"/>
              </w:rPr>
            </w:pPr>
            <w:r>
              <w:rPr>
                <w:sz w:val="17"/>
              </w:rPr>
              <w:t>147.1</w:t>
            </w:r>
          </w:p>
        </w:tc>
        <w:tc>
          <w:tcPr>
            <w:tcW w:w="270" w:type="dxa"/>
          </w:tcPr>
          <w:p w:rsidR="00000000" w:rsidRDefault="00000000">
            <w:pPr>
              <w:pStyle w:val="BodyText"/>
              <w:spacing w:after="120"/>
              <w:rPr>
                <w:sz w:val="17"/>
              </w:rPr>
            </w:pPr>
          </w:p>
        </w:tc>
        <w:tc>
          <w:tcPr>
            <w:tcW w:w="1089" w:type="dxa"/>
          </w:tcPr>
          <w:p w:rsidR="00000000" w:rsidRDefault="00000000">
            <w:pPr>
              <w:pStyle w:val="BodyText"/>
              <w:spacing w:after="120"/>
              <w:jc w:val="right"/>
              <w:rPr>
                <w:sz w:val="17"/>
              </w:rPr>
            </w:pPr>
            <w:r>
              <w:rPr>
                <w:sz w:val="17"/>
              </w:rPr>
              <w:t>145.4</w:t>
            </w:r>
          </w:p>
        </w:tc>
        <w:tc>
          <w:tcPr>
            <w:tcW w:w="1089" w:type="dxa"/>
          </w:tcPr>
          <w:p w:rsidR="00000000" w:rsidRDefault="00000000">
            <w:pPr>
              <w:pStyle w:val="BodyText"/>
              <w:spacing w:after="120"/>
              <w:jc w:val="right"/>
              <w:rPr>
                <w:sz w:val="17"/>
              </w:rPr>
            </w:pPr>
            <w:r>
              <w:rPr>
                <w:sz w:val="17"/>
              </w:rPr>
              <w:t>39.5</w:t>
            </w:r>
          </w:p>
        </w:tc>
        <w:tc>
          <w:tcPr>
            <w:tcW w:w="1098" w:type="dxa"/>
          </w:tcPr>
          <w:p w:rsidR="00000000" w:rsidRDefault="00000000">
            <w:pPr>
              <w:pStyle w:val="BodyText"/>
              <w:spacing w:after="120"/>
              <w:jc w:val="right"/>
              <w:rPr>
                <w:sz w:val="17"/>
              </w:rPr>
            </w:pPr>
            <w:r>
              <w:rPr>
                <w:sz w:val="17"/>
              </w:rPr>
              <w:t>105.9</w:t>
            </w:r>
          </w:p>
        </w:tc>
      </w:tr>
      <w:tr w:rsidR="00000000">
        <w:tblPrEx>
          <w:tblCellMar>
            <w:top w:w="0" w:type="dxa"/>
            <w:bottom w:w="0" w:type="dxa"/>
          </w:tblCellMar>
        </w:tblPrEx>
        <w:tc>
          <w:tcPr>
            <w:tcW w:w="1728" w:type="dxa"/>
          </w:tcPr>
          <w:p w:rsidR="00000000" w:rsidRDefault="00000000">
            <w:pPr>
              <w:pStyle w:val="BodyText"/>
              <w:spacing w:after="120"/>
              <w:rPr>
                <w:sz w:val="17"/>
              </w:rPr>
            </w:pPr>
            <w:r>
              <w:rPr>
                <w:sz w:val="17"/>
              </w:rPr>
              <w:t>80 to 84 years</w:t>
            </w:r>
          </w:p>
        </w:tc>
        <w:tc>
          <w:tcPr>
            <w:tcW w:w="1071" w:type="dxa"/>
          </w:tcPr>
          <w:p w:rsidR="00000000" w:rsidRDefault="00000000">
            <w:pPr>
              <w:pStyle w:val="BodyText"/>
              <w:spacing w:after="120"/>
              <w:jc w:val="right"/>
              <w:rPr>
                <w:sz w:val="17"/>
              </w:rPr>
            </w:pPr>
            <w:r>
              <w:rPr>
                <w:sz w:val="17"/>
              </w:rPr>
              <w:t>110.3</w:t>
            </w:r>
          </w:p>
        </w:tc>
        <w:tc>
          <w:tcPr>
            <w:tcW w:w="1062" w:type="dxa"/>
          </w:tcPr>
          <w:p w:rsidR="00000000" w:rsidRDefault="00000000">
            <w:pPr>
              <w:pStyle w:val="BodyText"/>
              <w:spacing w:after="120"/>
              <w:jc w:val="right"/>
              <w:rPr>
                <w:sz w:val="17"/>
              </w:rPr>
            </w:pPr>
            <w:r>
              <w:rPr>
                <w:sz w:val="17"/>
              </w:rPr>
              <w:t>27.9</w:t>
            </w:r>
          </w:p>
        </w:tc>
        <w:tc>
          <w:tcPr>
            <w:tcW w:w="1071" w:type="dxa"/>
          </w:tcPr>
          <w:p w:rsidR="00000000" w:rsidRDefault="00000000">
            <w:pPr>
              <w:pStyle w:val="BodyText"/>
              <w:spacing w:after="120"/>
              <w:jc w:val="right"/>
              <w:rPr>
                <w:sz w:val="17"/>
              </w:rPr>
            </w:pPr>
            <w:r>
              <w:rPr>
                <w:sz w:val="17"/>
              </w:rPr>
              <w:t>82.4</w:t>
            </w:r>
          </w:p>
        </w:tc>
        <w:tc>
          <w:tcPr>
            <w:tcW w:w="270" w:type="dxa"/>
          </w:tcPr>
          <w:p w:rsidR="00000000" w:rsidRDefault="00000000">
            <w:pPr>
              <w:pStyle w:val="BodyText"/>
              <w:spacing w:after="120"/>
              <w:rPr>
                <w:sz w:val="17"/>
              </w:rPr>
            </w:pPr>
          </w:p>
        </w:tc>
        <w:tc>
          <w:tcPr>
            <w:tcW w:w="1089" w:type="dxa"/>
          </w:tcPr>
          <w:p w:rsidR="00000000" w:rsidRDefault="00000000">
            <w:pPr>
              <w:pStyle w:val="BodyText"/>
              <w:spacing w:after="120"/>
              <w:jc w:val="right"/>
              <w:rPr>
                <w:sz w:val="17"/>
              </w:rPr>
            </w:pPr>
            <w:r>
              <w:rPr>
                <w:sz w:val="17"/>
              </w:rPr>
              <w:t>93.1</w:t>
            </w:r>
          </w:p>
        </w:tc>
        <w:tc>
          <w:tcPr>
            <w:tcW w:w="1089" w:type="dxa"/>
          </w:tcPr>
          <w:p w:rsidR="00000000" w:rsidRDefault="00000000">
            <w:pPr>
              <w:pStyle w:val="BodyText"/>
              <w:spacing w:after="120"/>
              <w:jc w:val="right"/>
              <w:rPr>
                <w:sz w:val="17"/>
              </w:rPr>
            </w:pPr>
            <w:r>
              <w:rPr>
                <w:sz w:val="17"/>
              </w:rPr>
              <w:t>20.8</w:t>
            </w:r>
          </w:p>
        </w:tc>
        <w:tc>
          <w:tcPr>
            <w:tcW w:w="1098" w:type="dxa"/>
          </w:tcPr>
          <w:p w:rsidR="00000000" w:rsidRDefault="00000000">
            <w:pPr>
              <w:pStyle w:val="BodyText"/>
              <w:spacing w:after="120"/>
              <w:jc w:val="right"/>
              <w:rPr>
                <w:sz w:val="17"/>
              </w:rPr>
            </w:pPr>
            <w:r>
              <w:rPr>
                <w:sz w:val="17"/>
              </w:rPr>
              <w:t>72.3</w:t>
            </w:r>
          </w:p>
        </w:tc>
      </w:tr>
      <w:tr w:rsidR="00000000">
        <w:tblPrEx>
          <w:tblCellMar>
            <w:top w:w="0" w:type="dxa"/>
            <w:bottom w:w="0" w:type="dxa"/>
          </w:tblCellMar>
        </w:tblPrEx>
        <w:tc>
          <w:tcPr>
            <w:tcW w:w="1728" w:type="dxa"/>
            <w:tcBorders>
              <w:bottom w:val="single" w:sz="12" w:space="0" w:color="auto"/>
            </w:tcBorders>
          </w:tcPr>
          <w:p w:rsidR="00000000" w:rsidRDefault="00000000">
            <w:pPr>
              <w:pStyle w:val="BodyText"/>
              <w:spacing w:after="120"/>
              <w:rPr>
                <w:sz w:val="17"/>
              </w:rPr>
            </w:pPr>
            <w:r>
              <w:rPr>
                <w:sz w:val="17"/>
              </w:rPr>
              <w:t>85 to</w:t>
            </w:r>
          </w:p>
        </w:tc>
        <w:tc>
          <w:tcPr>
            <w:tcW w:w="1071" w:type="dxa"/>
            <w:tcBorders>
              <w:bottom w:val="single" w:sz="12" w:space="0" w:color="auto"/>
            </w:tcBorders>
          </w:tcPr>
          <w:p w:rsidR="00000000" w:rsidRDefault="00000000">
            <w:pPr>
              <w:pStyle w:val="BodyText"/>
              <w:spacing w:after="120"/>
              <w:jc w:val="right"/>
              <w:rPr>
                <w:sz w:val="17"/>
              </w:rPr>
            </w:pPr>
            <w:r>
              <w:rPr>
                <w:sz w:val="17"/>
              </w:rPr>
              <w:t>67.2</w:t>
            </w:r>
          </w:p>
        </w:tc>
        <w:tc>
          <w:tcPr>
            <w:tcW w:w="1062" w:type="dxa"/>
            <w:tcBorders>
              <w:bottom w:val="single" w:sz="12" w:space="0" w:color="auto"/>
            </w:tcBorders>
          </w:tcPr>
          <w:p w:rsidR="00000000" w:rsidRDefault="00000000">
            <w:pPr>
              <w:pStyle w:val="BodyText"/>
              <w:spacing w:after="120"/>
              <w:jc w:val="right"/>
              <w:rPr>
                <w:sz w:val="17"/>
              </w:rPr>
            </w:pPr>
            <w:r>
              <w:rPr>
                <w:sz w:val="17"/>
              </w:rPr>
              <w:t>15.3</w:t>
            </w:r>
          </w:p>
        </w:tc>
        <w:tc>
          <w:tcPr>
            <w:tcW w:w="1071" w:type="dxa"/>
            <w:tcBorders>
              <w:bottom w:val="single" w:sz="12" w:space="0" w:color="auto"/>
            </w:tcBorders>
          </w:tcPr>
          <w:p w:rsidR="00000000" w:rsidRDefault="00000000">
            <w:pPr>
              <w:pStyle w:val="BodyText"/>
              <w:spacing w:after="120"/>
              <w:jc w:val="right"/>
              <w:rPr>
                <w:sz w:val="17"/>
              </w:rPr>
            </w:pPr>
            <w:r>
              <w:rPr>
                <w:sz w:val="17"/>
              </w:rPr>
              <w:t>51.9</w:t>
            </w:r>
          </w:p>
        </w:tc>
        <w:tc>
          <w:tcPr>
            <w:tcW w:w="270" w:type="dxa"/>
            <w:tcBorders>
              <w:bottom w:val="single" w:sz="12" w:space="0" w:color="auto"/>
            </w:tcBorders>
          </w:tcPr>
          <w:p w:rsidR="00000000" w:rsidRDefault="00000000">
            <w:pPr>
              <w:pStyle w:val="BodyText"/>
              <w:spacing w:after="120"/>
              <w:rPr>
                <w:sz w:val="17"/>
              </w:rPr>
            </w:pPr>
          </w:p>
        </w:tc>
        <w:tc>
          <w:tcPr>
            <w:tcW w:w="1089" w:type="dxa"/>
            <w:tcBorders>
              <w:bottom w:val="single" w:sz="12" w:space="0" w:color="auto"/>
            </w:tcBorders>
          </w:tcPr>
          <w:p w:rsidR="00000000" w:rsidRDefault="00000000">
            <w:pPr>
              <w:pStyle w:val="BodyText"/>
              <w:spacing w:after="120"/>
              <w:jc w:val="right"/>
              <w:rPr>
                <w:sz w:val="17"/>
              </w:rPr>
            </w:pPr>
            <w:r>
              <w:rPr>
                <w:sz w:val="17"/>
              </w:rPr>
              <w:t>77.7</w:t>
            </w:r>
          </w:p>
        </w:tc>
        <w:tc>
          <w:tcPr>
            <w:tcW w:w="1089" w:type="dxa"/>
            <w:tcBorders>
              <w:bottom w:val="single" w:sz="12" w:space="0" w:color="auto"/>
            </w:tcBorders>
          </w:tcPr>
          <w:p w:rsidR="00000000" w:rsidRDefault="00000000">
            <w:pPr>
              <w:pStyle w:val="BodyText"/>
              <w:spacing w:after="120"/>
              <w:jc w:val="right"/>
              <w:rPr>
                <w:sz w:val="17"/>
              </w:rPr>
            </w:pPr>
            <w:r>
              <w:rPr>
                <w:sz w:val="17"/>
              </w:rPr>
              <w:t>14.8</w:t>
            </w:r>
          </w:p>
        </w:tc>
        <w:tc>
          <w:tcPr>
            <w:tcW w:w="1098" w:type="dxa"/>
            <w:tcBorders>
              <w:bottom w:val="single" w:sz="12" w:space="0" w:color="auto"/>
            </w:tcBorders>
          </w:tcPr>
          <w:p w:rsidR="00000000" w:rsidRDefault="00000000">
            <w:pPr>
              <w:pStyle w:val="BodyText"/>
              <w:spacing w:after="120"/>
              <w:jc w:val="right"/>
              <w:rPr>
                <w:sz w:val="17"/>
              </w:rPr>
            </w:pPr>
            <w:r>
              <w:rPr>
                <w:sz w:val="17"/>
              </w:rPr>
              <w:t>62.9</w:t>
            </w:r>
          </w:p>
        </w:tc>
      </w:tr>
    </w:tbl>
    <w:p w:rsidR="00000000" w:rsidRDefault="00000000">
      <w:pPr>
        <w:pStyle w:val="BodyText"/>
        <w:spacing w:after="120"/>
      </w:pPr>
    </w:p>
    <w:p w:rsidR="00000000" w:rsidRDefault="00000000">
      <w:pPr>
        <w:pStyle w:val="BodyText"/>
        <w:spacing w:after="120"/>
      </w:pPr>
    </w:p>
    <w:p w:rsidR="00000000" w:rsidRDefault="00000000">
      <w:pPr>
        <w:pStyle w:val="BodyText"/>
        <w:spacing w:after="120"/>
      </w:pPr>
    </w:p>
    <w:p w:rsidR="00000000" w:rsidRDefault="00000000">
      <w:pPr>
        <w:pStyle w:val="BodyText"/>
        <w:spacing w:after="120"/>
      </w:pPr>
    </w:p>
    <w:p w:rsidR="00000000" w:rsidRDefault="00000000">
      <w:pPr>
        <w:pStyle w:val="BodyText"/>
        <w:spacing w:after="120"/>
      </w:pPr>
    </w:p>
    <w:p w:rsidR="00000000" w:rsidRDefault="00000000">
      <w:pPr>
        <w:pStyle w:val="BodyText"/>
        <w:spacing w:after="120"/>
      </w:pPr>
    </w:p>
    <w:p w:rsidR="00000000" w:rsidRDefault="00000000">
      <w:pPr>
        <w:pStyle w:val="BodyText"/>
        <w:spacing w:after="120"/>
      </w:pPr>
    </w:p>
    <w:p w:rsidR="00000000" w:rsidRDefault="00000000">
      <w:pPr>
        <w:pStyle w:val="BodyText"/>
        <w:spacing w:after="120"/>
      </w:pPr>
    </w:p>
    <w:p w:rsidR="00000000" w:rsidRDefault="00000000">
      <w:pPr>
        <w:pStyle w:val="BodyText"/>
        <w:spacing w:after="120"/>
      </w:pPr>
    </w:p>
    <w:p w:rsidR="00000000" w:rsidRDefault="00000000">
      <w:pPr>
        <w:pStyle w:val="BodyText"/>
        <w:spacing w:after="120"/>
      </w:pPr>
    </w:p>
    <w:p w:rsidR="00000000" w:rsidRDefault="00000000">
      <w:pPr>
        <w:pStyle w:val="DH2"/>
        <w:ind w:left="29"/>
      </w:pPr>
      <w:r>
        <w:tab/>
        <w:t>Birth rate and mortality</w:t>
      </w:r>
    </w:p>
    <w:p w:rsidR="00000000" w:rsidRDefault="00000000">
      <w:pPr>
        <w:pStyle w:val="D12r"/>
        <w:keepNext/>
        <w:keepLines/>
        <w:ind w:left="29"/>
      </w:pPr>
    </w:p>
    <w:p w:rsidR="00000000" w:rsidRDefault="00000000">
      <w:pPr>
        <w:keepNext/>
        <w:keepLines/>
        <w:tabs>
          <w:tab w:val="left" w:pos="475"/>
          <w:tab w:val="left" w:pos="965"/>
          <w:tab w:val="left" w:pos="1440"/>
          <w:tab w:val="left" w:pos="1915"/>
          <w:tab w:val="left" w:pos="2405"/>
        </w:tabs>
        <w:spacing w:after="120"/>
        <w:ind w:left="29"/>
        <w:jc w:val="both"/>
      </w:pPr>
      <w:r>
        <w:t>8.</w:t>
      </w:r>
    </w:p>
    <w:p w:rsidR="00000000" w:rsidRDefault="00000000">
      <w:pPr>
        <w:tabs>
          <w:tab w:val="left" w:pos="475"/>
          <w:tab w:val="left" w:pos="965"/>
          <w:tab w:val="left" w:pos="1440"/>
          <w:tab w:val="left" w:pos="1915"/>
          <w:tab w:val="left" w:pos="2405"/>
        </w:tabs>
        <w:spacing w:after="120"/>
        <w:ind w:left="504"/>
        <w:rPr>
          <w:b/>
        </w:rPr>
      </w:pPr>
      <w:r>
        <w:t>Table 2</w:t>
      </w:r>
      <w:r>
        <w:br/>
      </w:r>
      <w:r>
        <w:rPr>
          <w:b/>
        </w:rPr>
        <w:t>Births and deaths by gender</w:t>
      </w:r>
    </w:p>
    <w:p w:rsidR="00000000" w:rsidRDefault="00000000">
      <w:pPr>
        <w:pStyle w:val="D12r"/>
      </w:pPr>
    </w:p>
    <w:tbl>
      <w:tblPr>
        <w:tblW w:w="0" w:type="auto"/>
        <w:tblInd w:w="542" w:type="dxa"/>
        <w:tblLayout w:type="fixed"/>
        <w:tblLook w:val="0000" w:firstRow="0" w:lastRow="0" w:firstColumn="0" w:lastColumn="0" w:noHBand="0" w:noVBand="0"/>
      </w:tblPr>
      <w:tblGrid>
        <w:gridCol w:w="1620"/>
        <w:gridCol w:w="1080"/>
        <w:gridCol w:w="1170"/>
        <w:gridCol w:w="1170"/>
        <w:gridCol w:w="270"/>
        <w:gridCol w:w="1080"/>
        <w:gridCol w:w="1080"/>
        <w:gridCol w:w="990"/>
      </w:tblGrid>
      <w:tr w:rsidR="00000000">
        <w:tblPrEx>
          <w:tblCellMar>
            <w:top w:w="0" w:type="dxa"/>
            <w:bottom w:w="0" w:type="dxa"/>
          </w:tblCellMar>
        </w:tblPrEx>
        <w:trPr>
          <w:cantSplit/>
        </w:trPr>
        <w:tc>
          <w:tcPr>
            <w:tcW w:w="1620" w:type="dxa"/>
            <w:tcBorders>
              <w:top w:val="single" w:sz="4" w:space="0" w:color="auto"/>
            </w:tcBorders>
          </w:tcPr>
          <w:p w:rsidR="00000000" w:rsidRDefault="00000000">
            <w:pPr>
              <w:pStyle w:val="BodyText"/>
              <w:spacing w:after="120"/>
              <w:jc w:val="center"/>
              <w:rPr>
                <w:i/>
                <w:sz w:val="14"/>
              </w:rPr>
            </w:pPr>
          </w:p>
        </w:tc>
        <w:tc>
          <w:tcPr>
            <w:tcW w:w="3420" w:type="dxa"/>
            <w:gridSpan w:val="3"/>
            <w:tcBorders>
              <w:top w:val="single" w:sz="4" w:space="0" w:color="auto"/>
              <w:bottom w:val="single" w:sz="4" w:space="0" w:color="auto"/>
            </w:tcBorders>
          </w:tcPr>
          <w:p w:rsidR="00000000" w:rsidRDefault="00000000">
            <w:pPr>
              <w:pStyle w:val="BodyText"/>
              <w:spacing w:after="120"/>
              <w:jc w:val="center"/>
              <w:rPr>
                <w:i/>
                <w:sz w:val="14"/>
              </w:rPr>
            </w:pPr>
            <w:r>
              <w:rPr>
                <w:i/>
                <w:sz w:val="14"/>
              </w:rPr>
              <w:t>Births</w:t>
            </w:r>
          </w:p>
        </w:tc>
        <w:tc>
          <w:tcPr>
            <w:tcW w:w="270" w:type="dxa"/>
            <w:tcBorders>
              <w:top w:val="single" w:sz="4" w:space="0" w:color="auto"/>
            </w:tcBorders>
          </w:tcPr>
          <w:p w:rsidR="00000000" w:rsidRDefault="00000000">
            <w:pPr>
              <w:pStyle w:val="BodyText"/>
              <w:spacing w:after="120"/>
              <w:jc w:val="center"/>
              <w:rPr>
                <w:i/>
                <w:sz w:val="14"/>
              </w:rPr>
            </w:pPr>
          </w:p>
        </w:tc>
        <w:tc>
          <w:tcPr>
            <w:tcW w:w="3150" w:type="dxa"/>
            <w:gridSpan w:val="3"/>
            <w:tcBorders>
              <w:top w:val="single" w:sz="4" w:space="0" w:color="auto"/>
              <w:bottom w:val="single" w:sz="4" w:space="0" w:color="auto"/>
            </w:tcBorders>
          </w:tcPr>
          <w:p w:rsidR="00000000" w:rsidRDefault="00000000">
            <w:pPr>
              <w:pStyle w:val="BodyText"/>
              <w:spacing w:after="120"/>
              <w:jc w:val="center"/>
              <w:rPr>
                <w:i/>
                <w:sz w:val="14"/>
              </w:rPr>
            </w:pPr>
            <w:r>
              <w:rPr>
                <w:i/>
                <w:sz w:val="14"/>
              </w:rPr>
              <w:t>Deaths</w:t>
            </w:r>
          </w:p>
        </w:tc>
      </w:tr>
      <w:tr w:rsidR="00000000">
        <w:tblPrEx>
          <w:tblCellMar>
            <w:top w:w="0" w:type="dxa"/>
            <w:bottom w:w="0" w:type="dxa"/>
          </w:tblCellMar>
        </w:tblPrEx>
        <w:tc>
          <w:tcPr>
            <w:tcW w:w="1620" w:type="dxa"/>
            <w:tcBorders>
              <w:bottom w:val="single" w:sz="12" w:space="0" w:color="auto"/>
            </w:tcBorders>
          </w:tcPr>
          <w:p w:rsidR="00000000" w:rsidRDefault="00000000">
            <w:pPr>
              <w:pStyle w:val="BodyText"/>
              <w:spacing w:after="120"/>
              <w:rPr>
                <w:i/>
                <w:sz w:val="14"/>
              </w:rPr>
            </w:pPr>
          </w:p>
        </w:tc>
        <w:tc>
          <w:tcPr>
            <w:tcW w:w="1080" w:type="dxa"/>
            <w:tcBorders>
              <w:top w:val="single" w:sz="4" w:space="0" w:color="auto"/>
              <w:bottom w:val="single" w:sz="12" w:space="0" w:color="auto"/>
            </w:tcBorders>
          </w:tcPr>
          <w:p w:rsidR="00000000" w:rsidRDefault="00000000">
            <w:pPr>
              <w:pStyle w:val="BodyText"/>
              <w:spacing w:after="120"/>
              <w:jc w:val="right"/>
              <w:rPr>
                <w:i/>
                <w:sz w:val="14"/>
              </w:rPr>
            </w:pPr>
            <w:r>
              <w:rPr>
                <w:i/>
                <w:sz w:val="14"/>
              </w:rPr>
              <w:t>Total</w:t>
            </w:r>
          </w:p>
        </w:tc>
        <w:tc>
          <w:tcPr>
            <w:tcW w:w="1170" w:type="dxa"/>
            <w:tcBorders>
              <w:top w:val="single" w:sz="4" w:space="0" w:color="auto"/>
              <w:bottom w:val="single" w:sz="12" w:space="0" w:color="auto"/>
            </w:tcBorders>
          </w:tcPr>
          <w:p w:rsidR="00000000" w:rsidRDefault="00000000">
            <w:pPr>
              <w:pStyle w:val="BodyText"/>
              <w:spacing w:after="120"/>
              <w:jc w:val="right"/>
              <w:rPr>
                <w:i/>
                <w:sz w:val="14"/>
              </w:rPr>
            </w:pPr>
            <w:r>
              <w:rPr>
                <w:i/>
                <w:sz w:val="14"/>
              </w:rPr>
              <w:t>Male</w:t>
            </w:r>
          </w:p>
        </w:tc>
        <w:tc>
          <w:tcPr>
            <w:tcW w:w="1170" w:type="dxa"/>
            <w:tcBorders>
              <w:top w:val="single" w:sz="4" w:space="0" w:color="auto"/>
              <w:bottom w:val="single" w:sz="12" w:space="0" w:color="auto"/>
            </w:tcBorders>
          </w:tcPr>
          <w:p w:rsidR="00000000" w:rsidRDefault="00000000">
            <w:pPr>
              <w:pStyle w:val="BodyText"/>
              <w:spacing w:after="120"/>
              <w:jc w:val="right"/>
              <w:rPr>
                <w:i/>
                <w:sz w:val="14"/>
              </w:rPr>
            </w:pPr>
            <w:r>
              <w:rPr>
                <w:i/>
                <w:sz w:val="14"/>
              </w:rPr>
              <w:t>Female</w:t>
            </w:r>
          </w:p>
        </w:tc>
        <w:tc>
          <w:tcPr>
            <w:tcW w:w="270" w:type="dxa"/>
            <w:tcBorders>
              <w:bottom w:val="single" w:sz="12" w:space="0" w:color="auto"/>
            </w:tcBorders>
          </w:tcPr>
          <w:p w:rsidR="00000000" w:rsidRDefault="00000000">
            <w:pPr>
              <w:pStyle w:val="BodyText"/>
              <w:spacing w:after="120"/>
              <w:jc w:val="right"/>
              <w:rPr>
                <w:i/>
                <w:sz w:val="14"/>
              </w:rPr>
            </w:pPr>
          </w:p>
        </w:tc>
        <w:tc>
          <w:tcPr>
            <w:tcW w:w="1080" w:type="dxa"/>
            <w:tcBorders>
              <w:top w:val="single" w:sz="4" w:space="0" w:color="auto"/>
              <w:bottom w:val="single" w:sz="12" w:space="0" w:color="auto"/>
            </w:tcBorders>
          </w:tcPr>
          <w:p w:rsidR="00000000" w:rsidRDefault="00000000">
            <w:pPr>
              <w:pStyle w:val="BodyText"/>
              <w:spacing w:after="120"/>
              <w:jc w:val="right"/>
              <w:rPr>
                <w:i/>
                <w:sz w:val="14"/>
              </w:rPr>
            </w:pPr>
            <w:r>
              <w:rPr>
                <w:i/>
                <w:sz w:val="14"/>
              </w:rPr>
              <w:t>Total</w:t>
            </w:r>
          </w:p>
        </w:tc>
        <w:tc>
          <w:tcPr>
            <w:tcW w:w="1080" w:type="dxa"/>
            <w:tcBorders>
              <w:top w:val="single" w:sz="4" w:space="0" w:color="auto"/>
              <w:bottom w:val="single" w:sz="12" w:space="0" w:color="auto"/>
            </w:tcBorders>
          </w:tcPr>
          <w:p w:rsidR="00000000" w:rsidRDefault="00000000">
            <w:pPr>
              <w:pStyle w:val="BodyText"/>
              <w:spacing w:after="120"/>
              <w:jc w:val="right"/>
              <w:rPr>
                <w:i/>
                <w:sz w:val="14"/>
              </w:rPr>
            </w:pPr>
            <w:r>
              <w:rPr>
                <w:i/>
                <w:sz w:val="14"/>
              </w:rPr>
              <w:t>Male</w:t>
            </w:r>
          </w:p>
        </w:tc>
        <w:tc>
          <w:tcPr>
            <w:tcW w:w="990" w:type="dxa"/>
            <w:tcBorders>
              <w:top w:val="single" w:sz="4" w:space="0" w:color="auto"/>
              <w:bottom w:val="single" w:sz="12" w:space="0" w:color="auto"/>
            </w:tcBorders>
          </w:tcPr>
          <w:p w:rsidR="00000000" w:rsidRDefault="00000000">
            <w:pPr>
              <w:pStyle w:val="BodyText"/>
              <w:spacing w:after="120"/>
              <w:jc w:val="right"/>
              <w:rPr>
                <w:i/>
                <w:sz w:val="14"/>
              </w:rPr>
            </w:pPr>
            <w:r>
              <w:rPr>
                <w:i/>
                <w:sz w:val="14"/>
              </w:rPr>
              <w:t>Female</w:t>
            </w:r>
          </w:p>
        </w:tc>
      </w:tr>
      <w:tr w:rsidR="00000000">
        <w:tblPrEx>
          <w:tblCellMar>
            <w:top w:w="0" w:type="dxa"/>
            <w:bottom w:w="0" w:type="dxa"/>
          </w:tblCellMar>
        </w:tblPrEx>
        <w:tc>
          <w:tcPr>
            <w:tcW w:w="1620" w:type="dxa"/>
            <w:tcBorders>
              <w:top w:val="single" w:sz="12" w:space="0" w:color="auto"/>
            </w:tcBorders>
          </w:tcPr>
          <w:p w:rsidR="00000000" w:rsidRDefault="00000000">
            <w:pPr>
              <w:pStyle w:val="BodyText"/>
              <w:spacing w:after="120"/>
              <w:rPr>
                <w:sz w:val="17"/>
              </w:rPr>
            </w:pPr>
            <w:r>
              <w:rPr>
                <w:sz w:val="17"/>
              </w:rPr>
              <w:t>1985</w:t>
            </w:r>
          </w:p>
        </w:tc>
        <w:tc>
          <w:tcPr>
            <w:tcW w:w="1080" w:type="dxa"/>
            <w:tcBorders>
              <w:top w:val="single" w:sz="12" w:space="0" w:color="auto"/>
            </w:tcBorders>
          </w:tcPr>
          <w:p w:rsidR="00000000" w:rsidRDefault="00000000">
            <w:pPr>
              <w:pStyle w:val="BodyText"/>
              <w:spacing w:after="120"/>
              <w:jc w:val="right"/>
              <w:rPr>
                <w:sz w:val="17"/>
              </w:rPr>
            </w:pPr>
            <w:r>
              <w:rPr>
                <w:sz w:val="17"/>
              </w:rPr>
              <w:t>396 929</w:t>
            </w:r>
          </w:p>
        </w:tc>
        <w:tc>
          <w:tcPr>
            <w:tcW w:w="1170" w:type="dxa"/>
            <w:tcBorders>
              <w:top w:val="single" w:sz="12" w:space="0" w:color="auto"/>
            </w:tcBorders>
          </w:tcPr>
          <w:p w:rsidR="00000000" w:rsidRDefault="00000000">
            <w:pPr>
              <w:pStyle w:val="BodyText"/>
              <w:spacing w:after="120"/>
              <w:jc w:val="right"/>
              <w:rPr>
                <w:sz w:val="17"/>
              </w:rPr>
            </w:pPr>
            <w:r>
              <w:rPr>
                <w:sz w:val="17"/>
              </w:rPr>
              <w:t>202 926</w:t>
            </w:r>
          </w:p>
        </w:tc>
        <w:tc>
          <w:tcPr>
            <w:tcW w:w="1170" w:type="dxa"/>
            <w:tcBorders>
              <w:top w:val="single" w:sz="12" w:space="0" w:color="auto"/>
            </w:tcBorders>
          </w:tcPr>
          <w:p w:rsidR="00000000" w:rsidRDefault="00000000">
            <w:pPr>
              <w:pStyle w:val="BodyText"/>
              <w:spacing w:after="120"/>
              <w:jc w:val="right"/>
              <w:rPr>
                <w:sz w:val="17"/>
              </w:rPr>
            </w:pPr>
            <w:r>
              <w:rPr>
                <w:sz w:val="17"/>
              </w:rPr>
              <w:t>194 003</w:t>
            </w:r>
          </w:p>
        </w:tc>
        <w:tc>
          <w:tcPr>
            <w:tcW w:w="270" w:type="dxa"/>
            <w:tcBorders>
              <w:top w:val="single" w:sz="12" w:space="0" w:color="auto"/>
            </w:tcBorders>
          </w:tcPr>
          <w:p w:rsidR="00000000" w:rsidRDefault="00000000">
            <w:pPr>
              <w:pStyle w:val="BodyText"/>
              <w:spacing w:after="120"/>
              <w:rPr>
                <w:sz w:val="17"/>
              </w:rPr>
            </w:pPr>
          </w:p>
        </w:tc>
        <w:tc>
          <w:tcPr>
            <w:tcW w:w="1080" w:type="dxa"/>
            <w:tcBorders>
              <w:top w:val="single" w:sz="12" w:space="0" w:color="auto"/>
            </w:tcBorders>
          </w:tcPr>
          <w:p w:rsidR="00000000" w:rsidRDefault="00000000">
            <w:pPr>
              <w:pStyle w:val="BodyText"/>
              <w:spacing w:after="120"/>
              <w:jc w:val="right"/>
              <w:rPr>
                <w:sz w:val="17"/>
              </w:rPr>
            </w:pPr>
            <w:r>
              <w:rPr>
                <w:sz w:val="17"/>
              </w:rPr>
              <w:t>126 786</w:t>
            </w:r>
          </w:p>
        </w:tc>
        <w:tc>
          <w:tcPr>
            <w:tcW w:w="1080" w:type="dxa"/>
            <w:tcBorders>
              <w:top w:val="single" w:sz="12" w:space="0" w:color="auto"/>
            </w:tcBorders>
          </w:tcPr>
          <w:p w:rsidR="00000000" w:rsidRDefault="00000000">
            <w:pPr>
              <w:pStyle w:val="BodyText"/>
              <w:spacing w:after="120"/>
              <w:jc w:val="right"/>
              <w:rPr>
                <w:sz w:val="17"/>
              </w:rPr>
            </w:pPr>
            <w:r>
              <w:rPr>
                <w:sz w:val="17"/>
              </w:rPr>
              <w:t>67 166</w:t>
            </w:r>
          </w:p>
        </w:tc>
        <w:tc>
          <w:tcPr>
            <w:tcW w:w="990" w:type="dxa"/>
            <w:tcBorders>
              <w:top w:val="single" w:sz="12" w:space="0" w:color="auto"/>
            </w:tcBorders>
          </w:tcPr>
          <w:p w:rsidR="00000000" w:rsidRDefault="00000000">
            <w:pPr>
              <w:pStyle w:val="BodyText"/>
              <w:spacing w:after="120"/>
              <w:jc w:val="right"/>
              <w:rPr>
                <w:sz w:val="17"/>
              </w:rPr>
            </w:pPr>
            <w:r>
              <w:rPr>
                <w:sz w:val="17"/>
              </w:rPr>
              <w:t>59 620</w:t>
            </w:r>
          </w:p>
        </w:tc>
      </w:tr>
      <w:tr w:rsidR="00000000">
        <w:tblPrEx>
          <w:tblCellMar>
            <w:top w:w="0" w:type="dxa"/>
            <w:bottom w:w="0" w:type="dxa"/>
          </w:tblCellMar>
        </w:tblPrEx>
        <w:tc>
          <w:tcPr>
            <w:tcW w:w="1620" w:type="dxa"/>
          </w:tcPr>
          <w:p w:rsidR="00000000" w:rsidRDefault="00000000">
            <w:pPr>
              <w:pStyle w:val="BodyText"/>
              <w:spacing w:after="120"/>
              <w:rPr>
                <w:sz w:val="17"/>
              </w:rPr>
            </w:pPr>
            <w:r>
              <w:rPr>
                <w:sz w:val="17"/>
              </w:rPr>
              <w:t>1990</w:t>
            </w:r>
          </w:p>
        </w:tc>
        <w:tc>
          <w:tcPr>
            <w:tcW w:w="1080" w:type="dxa"/>
          </w:tcPr>
          <w:p w:rsidR="00000000" w:rsidRDefault="00000000">
            <w:pPr>
              <w:pStyle w:val="BodyText"/>
              <w:spacing w:after="120"/>
              <w:jc w:val="right"/>
              <w:rPr>
                <w:sz w:val="17"/>
              </w:rPr>
            </w:pPr>
            <w:r>
              <w:rPr>
                <w:sz w:val="17"/>
              </w:rPr>
              <w:t>362 081</w:t>
            </w:r>
          </w:p>
        </w:tc>
        <w:tc>
          <w:tcPr>
            <w:tcW w:w="1170" w:type="dxa"/>
          </w:tcPr>
          <w:p w:rsidR="00000000" w:rsidRDefault="00000000">
            <w:pPr>
              <w:pStyle w:val="BodyText"/>
              <w:spacing w:after="120"/>
              <w:jc w:val="right"/>
              <w:rPr>
                <w:sz w:val="17"/>
              </w:rPr>
            </w:pPr>
            <w:r>
              <w:rPr>
                <w:sz w:val="17"/>
              </w:rPr>
              <w:t>186 139</w:t>
            </w:r>
          </w:p>
        </w:tc>
        <w:tc>
          <w:tcPr>
            <w:tcW w:w="1170" w:type="dxa"/>
          </w:tcPr>
          <w:p w:rsidR="00000000" w:rsidRDefault="00000000">
            <w:pPr>
              <w:pStyle w:val="BodyText"/>
              <w:spacing w:after="120"/>
              <w:jc w:val="right"/>
              <w:rPr>
                <w:sz w:val="17"/>
              </w:rPr>
            </w:pPr>
            <w:r>
              <w:rPr>
                <w:sz w:val="17"/>
              </w:rPr>
              <w:t>175 942</w:t>
            </w:r>
          </w:p>
        </w:tc>
        <w:tc>
          <w:tcPr>
            <w:tcW w:w="270" w:type="dxa"/>
          </w:tcPr>
          <w:p w:rsidR="00000000" w:rsidRDefault="00000000">
            <w:pPr>
              <w:pStyle w:val="BodyText"/>
              <w:spacing w:after="120"/>
              <w:rPr>
                <w:sz w:val="17"/>
              </w:rPr>
            </w:pPr>
          </w:p>
        </w:tc>
        <w:tc>
          <w:tcPr>
            <w:tcW w:w="1080" w:type="dxa"/>
          </w:tcPr>
          <w:p w:rsidR="00000000" w:rsidRDefault="00000000">
            <w:pPr>
              <w:pStyle w:val="BodyText"/>
              <w:spacing w:after="120"/>
              <w:jc w:val="right"/>
              <w:rPr>
                <w:sz w:val="17"/>
              </w:rPr>
            </w:pPr>
            <w:r>
              <w:rPr>
                <w:sz w:val="17"/>
              </w:rPr>
              <w:t>128 576</w:t>
            </w:r>
          </w:p>
        </w:tc>
        <w:tc>
          <w:tcPr>
            <w:tcW w:w="1080" w:type="dxa"/>
          </w:tcPr>
          <w:p w:rsidR="00000000" w:rsidRDefault="00000000">
            <w:pPr>
              <w:pStyle w:val="BodyText"/>
              <w:spacing w:after="120"/>
              <w:jc w:val="right"/>
              <w:rPr>
                <w:sz w:val="17"/>
              </w:rPr>
            </w:pPr>
            <w:r>
              <w:rPr>
                <w:sz w:val="17"/>
              </w:rPr>
              <w:t>67 984</w:t>
            </w:r>
          </w:p>
        </w:tc>
        <w:tc>
          <w:tcPr>
            <w:tcW w:w="990" w:type="dxa"/>
          </w:tcPr>
          <w:p w:rsidR="00000000" w:rsidRDefault="00000000">
            <w:pPr>
              <w:pStyle w:val="BodyText"/>
              <w:spacing w:after="120"/>
              <w:jc w:val="right"/>
              <w:rPr>
                <w:sz w:val="17"/>
              </w:rPr>
            </w:pPr>
            <w:r>
              <w:rPr>
                <w:sz w:val="17"/>
              </w:rPr>
              <w:t>60 592</w:t>
            </w:r>
          </w:p>
        </w:tc>
      </w:tr>
      <w:tr w:rsidR="00000000">
        <w:tblPrEx>
          <w:tblCellMar>
            <w:top w:w="0" w:type="dxa"/>
            <w:bottom w:w="0" w:type="dxa"/>
          </w:tblCellMar>
        </w:tblPrEx>
        <w:tc>
          <w:tcPr>
            <w:tcW w:w="1620" w:type="dxa"/>
          </w:tcPr>
          <w:p w:rsidR="00000000" w:rsidRDefault="00000000">
            <w:pPr>
              <w:pStyle w:val="BodyText"/>
              <w:spacing w:after="120"/>
              <w:rPr>
                <w:sz w:val="17"/>
              </w:rPr>
            </w:pPr>
            <w:r>
              <w:rPr>
                <w:sz w:val="17"/>
              </w:rPr>
              <w:t>1991</w:t>
            </w:r>
          </w:p>
        </w:tc>
        <w:tc>
          <w:tcPr>
            <w:tcW w:w="1080" w:type="dxa"/>
          </w:tcPr>
          <w:p w:rsidR="00000000" w:rsidRDefault="00000000">
            <w:pPr>
              <w:pStyle w:val="BodyText"/>
              <w:spacing w:after="120"/>
              <w:jc w:val="right"/>
              <w:rPr>
                <w:sz w:val="17"/>
              </w:rPr>
            </w:pPr>
            <w:r>
              <w:rPr>
                <w:sz w:val="17"/>
              </w:rPr>
              <w:t>353 174</w:t>
            </w:r>
          </w:p>
        </w:tc>
        <w:tc>
          <w:tcPr>
            <w:tcW w:w="1170" w:type="dxa"/>
          </w:tcPr>
          <w:p w:rsidR="00000000" w:rsidRDefault="00000000">
            <w:pPr>
              <w:pStyle w:val="BodyText"/>
              <w:spacing w:after="120"/>
              <w:jc w:val="right"/>
              <w:rPr>
                <w:sz w:val="17"/>
              </w:rPr>
            </w:pPr>
            <w:r>
              <w:rPr>
                <w:sz w:val="17"/>
              </w:rPr>
              <w:t>180 837</w:t>
            </w:r>
          </w:p>
        </w:tc>
        <w:tc>
          <w:tcPr>
            <w:tcW w:w="1170" w:type="dxa"/>
          </w:tcPr>
          <w:p w:rsidR="00000000" w:rsidRDefault="00000000">
            <w:pPr>
              <w:pStyle w:val="BodyText"/>
              <w:spacing w:after="120"/>
              <w:jc w:val="right"/>
              <w:rPr>
                <w:sz w:val="17"/>
              </w:rPr>
            </w:pPr>
            <w:r>
              <w:rPr>
                <w:sz w:val="17"/>
              </w:rPr>
              <w:t>172 337</w:t>
            </w:r>
          </w:p>
        </w:tc>
        <w:tc>
          <w:tcPr>
            <w:tcW w:w="270" w:type="dxa"/>
          </w:tcPr>
          <w:p w:rsidR="00000000" w:rsidRDefault="00000000">
            <w:pPr>
              <w:pStyle w:val="BodyText"/>
              <w:spacing w:after="120"/>
              <w:rPr>
                <w:sz w:val="17"/>
              </w:rPr>
            </w:pPr>
          </w:p>
        </w:tc>
        <w:tc>
          <w:tcPr>
            <w:tcW w:w="1080" w:type="dxa"/>
          </w:tcPr>
          <w:p w:rsidR="00000000" w:rsidRDefault="00000000">
            <w:pPr>
              <w:pStyle w:val="BodyText"/>
              <w:spacing w:after="120"/>
              <w:jc w:val="right"/>
              <w:rPr>
                <w:sz w:val="17"/>
              </w:rPr>
            </w:pPr>
            <w:r>
              <w:rPr>
                <w:sz w:val="17"/>
              </w:rPr>
              <w:t>134 324</w:t>
            </w:r>
          </w:p>
        </w:tc>
        <w:tc>
          <w:tcPr>
            <w:tcW w:w="1080" w:type="dxa"/>
          </w:tcPr>
          <w:p w:rsidR="00000000" w:rsidRDefault="00000000">
            <w:pPr>
              <w:pStyle w:val="BodyText"/>
              <w:spacing w:after="120"/>
              <w:jc w:val="right"/>
              <w:rPr>
                <w:sz w:val="17"/>
              </w:rPr>
            </w:pPr>
            <w:r>
              <w:rPr>
                <w:sz w:val="17"/>
              </w:rPr>
              <w:t>71 227</w:t>
            </w:r>
          </w:p>
        </w:tc>
        <w:tc>
          <w:tcPr>
            <w:tcW w:w="990" w:type="dxa"/>
          </w:tcPr>
          <w:p w:rsidR="00000000" w:rsidRDefault="00000000">
            <w:pPr>
              <w:pStyle w:val="BodyText"/>
              <w:spacing w:after="120"/>
              <w:jc w:val="right"/>
              <w:rPr>
                <w:sz w:val="17"/>
              </w:rPr>
            </w:pPr>
            <w:r>
              <w:rPr>
                <w:sz w:val="17"/>
              </w:rPr>
              <w:t>63 097</w:t>
            </w:r>
          </w:p>
        </w:tc>
      </w:tr>
      <w:tr w:rsidR="00000000">
        <w:tblPrEx>
          <w:tblCellMar>
            <w:top w:w="0" w:type="dxa"/>
            <w:bottom w:w="0" w:type="dxa"/>
          </w:tblCellMar>
        </w:tblPrEx>
        <w:tc>
          <w:tcPr>
            <w:tcW w:w="1620" w:type="dxa"/>
          </w:tcPr>
          <w:p w:rsidR="00000000" w:rsidRDefault="00000000">
            <w:pPr>
              <w:pStyle w:val="BodyText"/>
              <w:spacing w:after="120"/>
              <w:rPr>
                <w:sz w:val="17"/>
              </w:rPr>
            </w:pPr>
            <w:r>
              <w:rPr>
                <w:sz w:val="17"/>
              </w:rPr>
              <w:t>1992</w:t>
            </w:r>
          </w:p>
        </w:tc>
        <w:tc>
          <w:tcPr>
            <w:tcW w:w="1080" w:type="dxa"/>
          </w:tcPr>
          <w:p w:rsidR="00000000" w:rsidRDefault="00000000">
            <w:pPr>
              <w:pStyle w:val="BodyText"/>
              <w:spacing w:after="120"/>
              <w:jc w:val="right"/>
              <w:rPr>
                <w:sz w:val="17"/>
              </w:rPr>
            </w:pPr>
            <w:r>
              <w:rPr>
                <w:sz w:val="17"/>
              </w:rPr>
              <w:t>337 612</w:t>
            </w:r>
          </w:p>
        </w:tc>
        <w:tc>
          <w:tcPr>
            <w:tcW w:w="1170" w:type="dxa"/>
          </w:tcPr>
          <w:p w:rsidR="00000000" w:rsidRDefault="00000000">
            <w:pPr>
              <w:pStyle w:val="BodyText"/>
              <w:spacing w:after="120"/>
              <w:jc w:val="right"/>
              <w:rPr>
                <w:sz w:val="17"/>
              </w:rPr>
            </w:pPr>
            <w:r>
              <w:rPr>
                <w:sz w:val="17"/>
              </w:rPr>
              <w:t>173 537</w:t>
            </w:r>
          </w:p>
        </w:tc>
        <w:tc>
          <w:tcPr>
            <w:tcW w:w="1170" w:type="dxa"/>
          </w:tcPr>
          <w:p w:rsidR="00000000" w:rsidRDefault="00000000">
            <w:pPr>
              <w:pStyle w:val="BodyText"/>
              <w:spacing w:after="120"/>
              <w:jc w:val="right"/>
              <w:rPr>
                <w:sz w:val="17"/>
              </w:rPr>
            </w:pPr>
            <w:r>
              <w:rPr>
                <w:sz w:val="17"/>
              </w:rPr>
              <w:t>164 075</w:t>
            </w:r>
          </w:p>
        </w:tc>
        <w:tc>
          <w:tcPr>
            <w:tcW w:w="270" w:type="dxa"/>
          </w:tcPr>
          <w:p w:rsidR="00000000" w:rsidRDefault="00000000">
            <w:pPr>
              <w:pStyle w:val="BodyText"/>
              <w:spacing w:after="120"/>
              <w:rPr>
                <w:sz w:val="17"/>
              </w:rPr>
            </w:pPr>
          </w:p>
        </w:tc>
        <w:tc>
          <w:tcPr>
            <w:tcW w:w="1080" w:type="dxa"/>
          </w:tcPr>
          <w:p w:rsidR="00000000" w:rsidRDefault="00000000">
            <w:pPr>
              <w:pStyle w:val="BodyText"/>
              <w:spacing w:after="120"/>
              <w:jc w:val="right"/>
              <w:rPr>
                <w:sz w:val="17"/>
              </w:rPr>
            </w:pPr>
            <w:r>
              <w:rPr>
                <w:sz w:val="17"/>
              </w:rPr>
              <w:t>137 518</w:t>
            </w:r>
          </w:p>
        </w:tc>
        <w:tc>
          <w:tcPr>
            <w:tcW w:w="1080" w:type="dxa"/>
          </w:tcPr>
          <w:p w:rsidR="00000000" w:rsidRDefault="00000000">
            <w:pPr>
              <w:pStyle w:val="BodyText"/>
              <w:spacing w:after="120"/>
              <w:jc w:val="right"/>
              <w:rPr>
                <w:sz w:val="17"/>
              </w:rPr>
            </w:pPr>
            <w:r>
              <w:rPr>
                <w:sz w:val="17"/>
              </w:rPr>
              <w:t>72 858</w:t>
            </w:r>
          </w:p>
        </w:tc>
        <w:tc>
          <w:tcPr>
            <w:tcW w:w="990" w:type="dxa"/>
          </w:tcPr>
          <w:p w:rsidR="00000000" w:rsidRDefault="00000000">
            <w:pPr>
              <w:pStyle w:val="BodyText"/>
              <w:spacing w:after="120"/>
              <w:jc w:val="right"/>
              <w:rPr>
                <w:sz w:val="17"/>
              </w:rPr>
            </w:pPr>
            <w:r>
              <w:rPr>
                <w:sz w:val="17"/>
              </w:rPr>
              <w:t>64 660</w:t>
            </w:r>
          </w:p>
        </w:tc>
      </w:tr>
      <w:tr w:rsidR="00000000">
        <w:tblPrEx>
          <w:tblCellMar>
            <w:top w:w="0" w:type="dxa"/>
            <w:bottom w:w="0" w:type="dxa"/>
          </w:tblCellMar>
        </w:tblPrEx>
        <w:tc>
          <w:tcPr>
            <w:tcW w:w="1620" w:type="dxa"/>
          </w:tcPr>
          <w:p w:rsidR="00000000" w:rsidRDefault="00000000">
            <w:pPr>
              <w:pStyle w:val="BodyText"/>
              <w:spacing w:after="120"/>
              <w:rPr>
                <w:sz w:val="17"/>
              </w:rPr>
            </w:pPr>
            <w:r>
              <w:rPr>
                <w:sz w:val="17"/>
              </w:rPr>
              <w:t>1993</w:t>
            </w:r>
          </w:p>
        </w:tc>
        <w:tc>
          <w:tcPr>
            <w:tcW w:w="1080" w:type="dxa"/>
          </w:tcPr>
          <w:p w:rsidR="00000000" w:rsidRDefault="00000000">
            <w:pPr>
              <w:pStyle w:val="BodyText"/>
              <w:spacing w:after="120"/>
              <w:jc w:val="right"/>
              <w:rPr>
                <w:sz w:val="17"/>
              </w:rPr>
            </w:pPr>
            <w:r>
              <w:rPr>
                <w:sz w:val="17"/>
              </w:rPr>
              <w:t>315 482</w:t>
            </w:r>
          </w:p>
        </w:tc>
        <w:tc>
          <w:tcPr>
            <w:tcW w:w="1170" w:type="dxa"/>
          </w:tcPr>
          <w:p w:rsidR="00000000" w:rsidRDefault="00000000">
            <w:pPr>
              <w:pStyle w:val="BodyText"/>
              <w:spacing w:after="120"/>
              <w:jc w:val="right"/>
              <w:rPr>
                <w:sz w:val="17"/>
              </w:rPr>
            </w:pPr>
            <w:r>
              <w:rPr>
                <w:sz w:val="17"/>
              </w:rPr>
              <w:t>162 651</w:t>
            </w:r>
          </w:p>
        </w:tc>
        <w:tc>
          <w:tcPr>
            <w:tcW w:w="1170" w:type="dxa"/>
          </w:tcPr>
          <w:p w:rsidR="00000000" w:rsidRDefault="00000000">
            <w:pPr>
              <w:pStyle w:val="BodyText"/>
              <w:spacing w:after="120"/>
              <w:jc w:val="right"/>
              <w:rPr>
                <w:sz w:val="17"/>
              </w:rPr>
            </w:pPr>
            <w:r>
              <w:rPr>
                <w:sz w:val="17"/>
              </w:rPr>
              <w:t>152 831</w:t>
            </w:r>
          </w:p>
        </w:tc>
        <w:tc>
          <w:tcPr>
            <w:tcW w:w="270" w:type="dxa"/>
          </w:tcPr>
          <w:p w:rsidR="00000000" w:rsidRDefault="00000000">
            <w:pPr>
              <w:pStyle w:val="BodyText"/>
              <w:spacing w:after="120"/>
              <w:rPr>
                <w:sz w:val="17"/>
              </w:rPr>
            </w:pPr>
          </w:p>
        </w:tc>
        <w:tc>
          <w:tcPr>
            <w:tcW w:w="1080" w:type="dxa"/>
          </w:tcPr>
          <w:p w:rsidR="00000000" w:rsidRDefault="00000000">
            <w:pPr>
              <w:pStyle w:val="BodyText"/>
              <w:spacing w:after="120"/>
              <w:jc w:val="right"/>
              <w:rPr>
                <w:sz w:val="17"/>
              </w:rPr>
            </w:pPr>
            <w:r>
              <w:rPr>
                <w:sz w:val="17"/>
              </w:rPr>
              <w:t>156 070</w:t>
            </w:r>
          </w:p>
        </w:tc>
        <w:tc>
          <w:tcPr>
            <w:tcW w:w="1080" w:type="dxa"/>
          </w:tcPr>
          <w:p w:rsidR="00000000" w:rsidRDefault="00000000">
            <w:pPr>
              <w:pStyle w:val="BodyText"/>
              <w:spacing w:after="120"/>
              <w:jc w:val="right"/>
              <w:rPr>
                <w:sz w:val="17"/>
              </w:rPr>
            </w:pPr>
            <w:r>
              <w:rPr>
                <w:sz w:val="17"/>
              </w:rPr>
              <w:t>83 971</w:t>
            </w:r>
          </w:p>
        </w:tc>
        <w:tc>
          <w:tcPr>
            <w:tcW w:w="990" w:type="dxa"/>
          </w:tcPr>
          <w:p w:rsidR="00000000" w:rsidRDefault="00000000">
            <w:pPr>
              <w:pStyle w:val="BodyText"/>
              <w:spacing w:after="120"/>
              <w:jc w:val="right"/>
              <w:rPr>
                <w:sz w:val="17"/>
              </w:rPr>
            </w:pPr>
            <w:r>
              <w:rPr>
                <w:sz w:val="17"/>
              </w:rPr>
              <w:t>72 099</w:t>
            </w:r>
          </w:p>
        </w:tc>
      </w:tr>
      <w:tr w:rsidR="00000000">
        <w:tblPrEx>
          <w:tblCellMar>
            <w:top w:w="0" w:type="dxa"/>
            <w:bottom w:w="0" w:type="dxa"/>
          </w:tblCellMar>
        </w:tblPrEx>
        <w:tc>
          <w:tcPr>
            <w:tcW w:w="1620" w:type="dxa"/>
          </w:tcPr>
          <w:p w:rsidR="00000000" w:rsidRDefault="00000000">
            <w:pPr>
              <w:pStyle w:val="BodyText"/>
              <w:spacing w:after="120"/>
              <w:rPr>
                <w:sz w:val="17"/>
              </w:rPr>
            </w:pPr>
            <w:r>
              <w:rPr>
                <w:sz w:val="17"/>
              </w:rPr>
              <w:t>1994</w:t>
            </w:r>
          </w:p>
        </w:tc>
        <w:tc>
          <w:tcPr>
            <w:tcW w:w="1080" w:type="dxa"/>
          </w:tcPr>
          <w:p w:rsidR="00000000" w:rsidRDefault="00000000">
            <w:pPr>
              <w:pStyle w:val="BodyText"/>
              <w:spacing w:after="120"/>
              <w:jc w:val="right"/>
              <w:rPr>
                <w:sz w:val="17"/>
              </w:rPr>
            </w:pPr>
            <w:r>
              <w:rPr>
                <w:sz w:val="17"/>
              </w:rPr>
              <w:t>305 624</w:t>
            </w:r>
          </w:p>
        </w:tc>
        <w:tc>
          <w:tcPr>
            <w:tcW w:w="1170" w:type="dxa"/>
          </w:tcPr>
          <w:p w:rsidR="00000000" w:rsidRDefault="00000000">
            <w:pPr>
              <w:pStyle w:val="BodyText"/>
              <w:spacing w:after="120"/>
              <w:jc w:val="right"/>
              <w:rPr>
                <w:sz w:val="17"/>
              </w:rPr>
            </w:pPr>
            <w:r>
              <w:rPr>
                <w:sz w:val="17"/>
              </w:rPr>
              <w:t>158 073</w:t>
            </w:r>
          </w:p>
        </w:tc>
        <w:tc>
          <w:tcPr>
            <w:tcW w:w="1170" w:type="dxa"/>
          </w:tcPr>
          <w:p w:rsidR="00000000" w:rsidRDefault="00000000">
            <w:pPr>
              <w:pStyle w:val="BodyText"/>
              <w:spacing w:after="120"/>
              <w:jc w:val="right"/>
              <w:rPr>
                <w:sz w:val="17"/>
              </w:rPr>
            </w:pPr>
            <w:r>
              <w:rPr>
                <w:sz w:val="17"/>
              </w:rPr>
              <w:t>147 551</w:t>
            </w:r>
          </w:p>
        </w:tc>
        <w:tc>
          <w:tcPr>
            <w:tcW w:w="270" w:type="dxa"/>
          </w:tcPr>
          <w:p w:rsidR="00000000" w:rsidRDefault="00000000">
            <w:pPr>
              <w:pStyle w:val="BodyText"/>
              <w:spacing w:after="120"/>
              <w:rPr>
                <w:sz w:val="17"/>
              </w:rPr>
            </w:pPr>
          </w:p>
        </w:tc>
        <w:tc>
          <w:tcPr>
            <w:tcW w:w="1080" w:type="dxa"/>
          </w:tcPr>
          <w:p w:rsidR="00000000" w:rsidRDefault="00000000">
            <w:pPr>
              <w:pStyle w:val="BodyText"/>
              <w:spacing w:after="120"/>
              <w:jc w:val="right"/>
              <w:rPr>
                <w:sz w:val="17"/>
              </w:rPr>
            </w:pPr>
            <w:r>
              <w:rPr>
                <w:sz w:val="17"/>
              </w:rPr>
              <w:t>160 339</w:t>
            </w:r>
          </w:p>
        </w:tc>
        <w:tc>
          <w:tcPr>
            <w:tcW w:w="1080" w:type="dxa"/>
          </w:tcPr>
          <w:p w:rsidR="00000000" w:rsidRDefault="00000000">
            <w:pPr>
              <w:pStyle w:val="BodyText"/>
              <w:spacing w:after="120"/>
              <w:jc w:val="right"/>
              <w:rPr>
                <w:sz w:val="17"/>
              </w:rPr>
            </w:pPr>
            <w:r>
              <w:rPr>
                <w:sz w:val="17"/>
              </w:rPr>
              <w:t>86 093</w:t>
            </w:r>
          </w:p>
        </w:tc>
        <w:tc>
          <w:tcPr>
            <w:tcW w:w="990" w:type="dxa"/>
          </w:tcPr>
          <w:p w:rsidR="00000000" w:rsidRDefault="00000000">
            <w:pPr>
              <w:pStyle w:val="BodyText"/>
              <w:spacing w:after="120"/>
              <w:jc w:val="right"/>
              <w:rPr>
                <w:sz w:val="17"/>
              </w:rPr>
            </w:pPr>
            <w:r>
              <w:rPr>
                <w:sz w:val="17"/>
              </w:rPr>
              <w:t>74 246</w:t>
            </w:r>
          </w:p>
        </w:tc>
      </w:tr>
      <w:tr w:rsidR="00000000">
        <w:tblPrEx>
          <w:tblCellMar>
            <w:top w:w="0" w:type="dxa"/>
            <w:bottom w:w="0" w:type="dxa"/>
          </w:tblCellMar>
        </w:tblPrEx>
        <w:tc>
          <w:tcPr>
            <w:tcW w:w="1620" w:type="dxa"/>
          </w:tcPr>
          <w:p w:rsidR="00000000" w:rsidRDefault="00000000">
            <w:pPr>
              <w:pStyle w:val="BodyText"/>
              <w:spacing w:after="120"/>
              <w:rPr>
                <w:sz w:val="17"/>
              </w:rPr>
            </w:pPr>
            <w:r>
              <w:rPr>
                <w:sz w:val="17"/>
              </w:rPr>
              <w:t>1995</w:t>
            </w:r>
          </w:p>
        </w:tc>
        <w:tc>
          <w:tcPr>
            <w:tcW w:w="1080" w:type="dxa"/>
          </w:tcPr>
          <w:p w:rsidR="00000000" w:rsidRDefault="00000000">
            <w:pPr>
              <w:pStyle w:val="BodyText"/>
              <w:spacing w:after="120"/>
              <w:jc w:val="right"/>
              <w:rPr>
                <w:sz w:val="17"/>
              </w:rPr>
            </w:pPr>
            <w:r>
              <w:rPr>
                <w:sz w:val="17"/>
              </w:rPr>
              <w:t>276 125</w:t>
            </w:r>
          </w:p>
        </w:tc>
        <w:tc>
          <w:tcPr>
            <w:tcW w:w="1170" w:type="dxa"/>
          </w:tcPr>
          <w:p w:rsidR="00000000" w:rsidRDefault="00000000">
            <w:pPr>
              <w:pStyle w:val="BodyText"/>
              <w:spacing w:after="120"/>
              <w:jc w:val="right"/>
              <w:rPr>
                <w:sz w:val="17"/>
              </w:rPr>
            </w:pPr>
            <w:r>
              <w:rPr>
                <w:sz w:val="17"/>
              </w:rPr>
              <w:t>142 418</w:t>
            </w:r>
          </w:p>
        </w:tc>
        <w:tc>
          <w:tcPr>
            <w:tcW w:w="1170" w:type="dxa"/>
          </w:tcPr>
          <w:p w:rsidR="00000000" w:rsidRDefault="00000000">
            <w:pPr>
              <w:pStyle w:val="BodyText"/>
              <w:spacing w:after="120"/>
              <w:jc w:val="right"/>
              <w:rPr>
                <w:sz w:val="17"/>
              </w:rPr>
            </w:pPr>
            <w:r>
              <w:rPr>
                <w:sz w:val="17"/>
              </w:rPr>
              <w:t>133 707</w:t>
            </w:r>
          </w:p>
        </w:tc>
        <w:tc>
          <w:tcPr>
            <w:tcW w:w="270" w:type="dxa"/>
          </w:tcPr>
          <w:p w:rsidR="00000000" w:rsidRDefault="00000000">
            <w:pPr>
              <w:pStyle w:val="BodyText"/>
              <w:spacing w:after="120"/>
              <w:rPr>
                <w:sz w:val="17"/>
              </w:rPr>
            </w:pPr>
          </w:p>
        </w:tc>
        <w:tc>
          <w:tcPr>
            <w:tcW w:w="1080" w:type="dxa"/>
          </w:tcPr>
          <w:p w:rsidR="00000000" w:rsidRDefault="00000000">
            <w:pPr>
              <w:pStyle w:val="BodyText"/>
              <w:spacing w:after="120"/>
              <w:jc w:val="right"/>
              <w:rPr>
                <w:sz w:val="17"/>
              </w:rPr>
            </w:pPr>
            <w:r>
              <w:rPr>
                <w:sz w:val="17"/>
              </w:rPr>
              <w:t>168 656</w:t>
            </w:r>
          </w:p>
        </w:tc>
        <w:tc>
          <w:tcPr>
            <w:tcW w:w="1080" w:type="dxa"/>
          </w:tcPr>
          <w:p w:rsidR="00000000" w:rsidRDefault="00000000">
            <w:pPr>
              <w:pStyle w:val="BodyText"/>
              <w:spacing w:after="120"/>
              <w:jc w:val="right"/>
              <w:rPr>
                <w:sz w:val="17"/>
              </w:rPr>
            </w:pPr>
            <w:r>
              <w:rPr>
                <w:sz w:val="17"/>
              </w:rPr>
              <w:t>92 890</w:t>
            </w:r>
          </w:p>
        </w:tc>
        <w:tc>
          <w:tcPr>
            <w:tcW w:w="990" w:type="dxa"/>
          </w:tcPr>
          <w:p w:rsidR="00000000" w:rsidRDefault="00000000">
            <w:pPr>
              <w:pStyle w:val="BodyText"/>
              <w:spacing w:after="120"/>
              <w:jc w:val="right"/>
              <w:rPr>
                <w:sz w:val="17"/>
              </w:rPr>
            </w:pPr>
            <w:r>
              <w:rPr>
                <w:sz w:val="17"/>
              </w:rPr>
              <w:t>75 766</w:t>
            </w:r>
          </w:p>
        </w:tc>
      </w:tr>
      <w:tr w:rsidR="00000000">
        <w:tblPrEx>
          <w:tblCellMar>
            <w:top w:w="0" w:type="dxa"/>
            <w:bottom w:w="0" w:type="dxa"/>
          </w:tblCellMar>
        </w:tblPrEx>
        <w:tc>
          <w:tcPr>
            <w:tcW w:w="1620" w:type="dxa"/>
          </w:tcPr>
          <w:p w:rsidR="00000000" w:rsidRDefault="00000000">
            <w:pPr>
              <w:pStyle w:val="BodyText"/>
              <w:spacing w:after="120"/>
              <w:rPr>
                <w:sz w:val="17"/>
              </w:rPr>
            </w:pPr>
            <w:r>
              <w:rPr>
                <w:sz w:val="17"/>
              </w:rPr>
              <w:t>1996</w:t>
            </w:r>
          </w:p>
        </w:tc>
        <w:tc>
          <w:tcPr>
            <w:tcW w:w="1080" w:type="dxa"/>
          </w:tcPr>
          <w:p w:rsidR="00000000" w:rsidRDefault="00000000">
            <w:pPr>
              <w:pStyle w:val="BodyText"/>
              <w:spacing w:after="120"/>
              <w:jc w:val="right"/>
              <w:rPr>
                <w:sz w:val="17"/>
              </w:rPr>
            </w:pPr>
            <w:r>
              <w:rPr>
                <w:sz w:val="17"/>
              </w:rPr>
              <w:t>253 175</w:t>
            </w:r>
          </w:p>
        </w:tc>
        <w:tc>
          <w:tcPr>
            <w:tcW w:w="1170" w:type="dxa"/>
          </w:tcPr>
          <w:p w:rsidR="00000000" w:rsidRDefault="00000000">
            <w:pPr>
              <w:pStyle w:val="BodyText"/>
              <w:spacing w:after="120"/>
              <w:jc w:val="right"/>
              <w:rPr>
                <w:sz w:val="17"/>
              </w:rPr>
            </w:pPr>
            <w:r>
              <w:rPr>
                <w:sz w:val="17"/>
              </w:rPr>
              <w:t>130 441</w:t>
            </w:r>
          </w:p>
        </w:tc>
        <w:tc>
          <w:tcPr>
            <w:tcW w:w="1170" w:type="dxa"/>
          </w:tcPr>
          <w:p w:rsidR="00000000" w:rsidRDefault="00000000">
            <w:pPr>
              <w:pStyle w:val="BodyText"/>
              <w:spacing w:after="120"/>
              <w:jc w:val="right"/>
              <w:rPr>
                <w:sz w:val="17"/>
              </w:rPr>
            </w:pPr>
            <w:r>
              <w:rPr>
                <w:sz w:val="17"/>
              </w:rPr>
              <w:t>122 734</w:t>
            </w:r>
          </w:p>
        </w:tc>
        <w:tc>
          <w:tcPr>
            <w:tcW w:w="270" w:type="dxa"/>
          </w:tcPr>
          <w:p w:rsidR="00000000" w:rsidRDefault="00000000">
            <w:pPr>
              <w:pStyle w:val="BodyText"/>
              <w:spacing w:after="120"/>
              <w:rPr>
                <w:sz w:val="17"/>
              </w:rPr>
            </w:pPr>
          </w:p>
        </w:tc>
        <w:tc>
          <w:tcPr>
            <w:tcW w:w="1080" w:type="dxa"/>
          </w:tcPr>
          <w:p w:rsidR="00000000" w:rsidRDefault="00000000">
            <w:pPr>
              <w:pStyle w:val="BodyText"/>
              <w:spacing w:after="120"/>
              <w:jc w:val="right"/>
              <w:rPr>
                <w:sz w:val="17"/>
              </w:rPr>
            </w:pPr>
            <w:r>
              <w:rPr>
                <w:sz w:val="17"/>
              </w:rPr>
              <w:t>166 028</w:t>
            </w:r>
          </w:p>
        </w:tc>
        <w:tc>
          <w:tcPr>
            <w:tcW w:w="1080" w:type="dxa"/>
          </w:tcPr>
          <w:p w:rsidR="00000000" w:rsidRDefault="00000000">
            <w:pPr>
              <w:pStyle w:val="BodyText"/>
              <w:spacing w:after="120"/>
              <w:jc w:val="right"/>
              <w:rPr>
                <w:sz w:val="17"/>
              </w:rPr>
            </w:pPr>
            <w:r>
              <w:rPr>
                <w:sz w:val="17"/>
              </w:rPr>
              <w:t>92 235</w:t>
            </w:r>
          </w:p>
        </w:tc>
        <w:tc>
          <w:tcPr>
            <w:tcW w:w="990" w:type="dxa"/>
          </w:tcPr>
          <w:p w:rsidR="00000000" w:rsidRDefault="00000000">
            <w:pPr>
              <w:pStyle w:val="BodyText"/>
              <w:spacing w:after="120"/>
              <w:jc w:val="right"/>
              <w:rPr>
                <w:sz w:val="17"/>
              </w:rPr>
            </w:pPr>
            <w:r>
              <w:rPr>
                <w:sz w:val="17"/>
              </w:rPr>
              <w:t>73 793</w:t>
            </w:r>
          </w:p>
        </w:tc>
      </w:tr>
      <w:tr w:rsidR="00000000">
        <w:tblPrEx>
          <w:tblCellMar>
            <w:top w:w="0" w:type="dxa"/>
            <w:bottom w:w="0" w:type="dxa"/>
          </w:tblCellMar>
        </w:tblPrEx>
        <w:tc>
          <w:tcPr>
            <w:tcW w:w="1620" w:type="dxa"/>
          </w:tcPr>
          <w:p w:rsidR="00000000" w:rsidRDefault="00000000">
            <w:pPr>
              <w:pStyle w:val="BodyText"/>
              <w:spacing w:after="120"/>
              <w:rPr>
                <w:sz w:val="17"/>
              </w:rPr>
            </w:pPr>
            <w:r>
              <w:rPr>
                <w:sz w:val="17"/>
              </w:rPr>
              <w:t>1997</w:t>
            </w:r>
          </w:p>
        </w:tc>
        <w:tc>
          <w:tcPr>
            <w:tcW w:w="1080" w:type="dxa"/>
          </w:tcPr>
          <w:p w:rsidR="00000000" w:rsidRDefault="00000000">
            <w:pPr>
              <w:pStyle w:val="BodyText"/>
              <w:spacing w:after="120"/>
              <w:jc w:val="right"/>
              <w:rPr>
                <w:sz w:val="17"/>
              </w:rPr>
            </w:pPr>
            <w:r>
              <w:rPr>
                <w:sz w:val="17"/>
              </w:rPr>
              <w:t>232 356</w:t>
            </w:r>
          </w:p>
        </w:tc>
        <w:tc>
          <w:tcPr>
            <w:tcW w:w="1170" w:type="dxa"/>
          </w:tcPr>
          <w:p w:rsidR="00000000" w:rsidRDefault="00000000">
            <w:pPr>
              <w:pStyle w:val="BodyText"/>
              <w:spacing w:after="120"/>
              <w:jc w:val="right"/>
              <w:rPr>
                <w:sz w:val="17"/>
              </w:rPr>
            </w:pPr>
            <w:r>
              <w:rPr>
                <w:sz w:val="17"/>
              </w:rPr>
              <w:t>119 423</w:t>
            </w:r>
          </w:p>
        </w:tc>
        <w:tc>
          <w:tcPr>
            <w:tcW w:w="1170" w:type="dxa"/>
          </w:tcPr>
          <w:p w:rsidR="00000000" w:rsidRDefault="00000000">
            <w:pPr>
              <w:pStyle w:val="BodyText"/>
              <w:spacing w:after="120"/>
              <w:jc w:val="right"/>
              <w:rPr>
                <w:sz w:val="17"/>
              </w:rPr>
            </w:pPr>
            <w:r>
              <w:rPr>
                <w:sz w:val="17"/>
              </w:rPr>
              <w:t>112 933</w:t>
            </w:r>
          </w:p>
        </w:tc>
        <w:tc>
          <w:tcPr>
            <w:tcW w:w="270" w:type="dxa"/>
          </w:tcPr>
          <w:p w:rsidR="00000000" w:rsidRDefault="00000000">
            <w:pPr>
              <w:pStyle w:val="BodyText"/>
              <w:spacing w:after="120"/>
              <w:rPr>
                <w:sz w:val="17"/>
              </w:rPr>
            </w:pPr>
          </w:p>
        </w:tc>
        <w:tc>
          <w:tcPr>
            <w:tcW w:w="1080" w:type="dxa"/>
          </w:tcPr>
          <w:p w:rsidR="00000000" w:rsidRDefault="00000000">
            <w:pPr>
              <w:pStyle w:val="BodyText"/>
              <w:spacing w:after="120"/>
              <w:jc w:val="right"/>
              <w:rPr>
                <w:sz w:val="17"/>
              </w:rPr>
            </w:pPr>
            <w:r>
              <w:rPr>
                <w:sz w:val="17"/>
              </w:rPr>
              <w:t>160 138</w:t>
            </w:r>
          </w:p>
        </w:tc>
        <w:tc>
          <w:tcPr>
            <w:tcW w:w="1080" w:type="dxa"/>
          </w:tcPr>
          <w:p w:rsidR="00000000" w:rsidRDefault="00000000">
            <w:pPr>
              <w:pStyle w:val="BodyText"/>
              <w:spacing w:after="120"/>
              <w:jc w:val="right"/>
              <w:rPr>
                <w:sz w:val="17"/>
              </w:rPr>
            </w:pPr>
            <w:r>
              <w:rPr>
                <w:sz w:val="17"/>
              </w:rPr>
              <w:t>88 813</w:t>
            </w:r>
          </w:p>
        </w:tc>
        <w:tc>
          <w:tcPr>
            <w:tcW w:w="990" w:type="dxa"/>
          </w:tcPr>
          <w:p w:rsidR="00000000" w:rsidRDefault="00000000">
            <w:pPr>
              <w:pStyle w:val="BodyText"/>
              <w:spacing w:after="120"/>
              <w:jc w:val="right"/>
              <w:rPr>
                <w:sz w:val="17"/>
              </w:rPr>
            </w:pPr>
            <w:r>
              <w:rPr>
                <w:sz w:val="17"/>
              </w:rPr>
              <w:t>71 325</w:t>
            </w:r>
          </w:p>
        </w:tc>
      </w:tr>
      <w:tr w:rsidR="00000000">
        <w:tblPrEx>
          <w:tblCellMar>
            <w:top w:w="0" w:type="dxa"/>
            <w:bottom w:w="0" w:type="dxa"/>
          </w:tblCellMar>
        </w:tblPrEx>
        <w:tc>
          <w:tcPr>
            <w:tcW w:w="1620" w:type="dxa"/>
            <w:tcBorders>
              <w:bottom w:val="single" w:sz="12" w:space="0" w:color="auto"/>
            </w:tcBorders>
          </w:tcPr>
          <w:p w:rsidR="00000000" w:rsidRDefault="00000000">
            <w:pPr>
              <w:pStyle w:val="BodyText"/>
              <w:spacing w:after="120"/>
              <w:rPr>
                <w:sz w:val="17"/>
              </w:rPr>
            </w:pPr>
            <w:r>
              <w:rPr>
                <w:sz w:val="17"/>
              </w:rPr>
              <w:t>1998</w:t>
            </w:r>
          </w:p>
        </w:tc>
        <w:tc>
          <w:tcPr>
            <w:tcW w:w="1080" w:type="dxa"/>
            <w:tcBorders>
              <w:bottom w:val="single" w:sz="12" w:space="0" w:color="auto"/>
            </w:tcBorders>
          </w:tcPr>
          <w:p w:rsidR="00000000" w:rsidRDefault="00000000">
            <w:pPr>
              <w:pStyle w:val="BodyText"/>
              <w:spacing w:after="120"/>
              <w:jc w:val="right"/>
              <w:rPr>
                <w:sz w:val="17"/>
              </w:rPr>
            </w:pPr>
            <w:r>
              <w:rPr>
                <w:sz w:val="17"/>
              </w:rPr>
              <w:t>222 380</w:t>
            </w:r>
          </w:p>
        </w:tc>
        <w:tc>
          <w:tcPr>
            <w:tcW w:w="1170" w:type="dxa"/>
            <w:tcBorders>
              <w:bottom w:val="single" w:sz="12" w:space="0" w:color="auto"/>
            </w:tcBorders>
          </w:tcPr>
          <w:p w:rsidR="00000000" w:rsidRDefault="00000000">
            <w:pPr>
              <w:pStyle w:val="BodyText"/>
              <w:spacing w:after="120"/>
              <w:jc w:val="right"/>
              <w:rPr>
                <w:sz w:val="17"/>
              </w:rPr>
            </w:pPr>
            <w:r>
              <w:rPr>
                <w:sz w:val="17"/>
              </w:rPr>
              <w:t>114 868</w:t>
            </w:r>
          </w:p>
        </w:tc>
        <w:tc>
          <w:tcPr>
            <w:tcW w:w="1170" w:type="dxa"/>
            <w:tcBorders>
              <w:bottom w:val="single" w:sz="12" w:space="0" w:color="auto"/>
            </w:tcBorders>
          </w:tcPr>
          <w:p w:rsidR="00000000" w:rsidRDefault="00000000">
            <w:pPr>
              <w:pStyle w:val="BodyText"/>
              <w:spacing w:after="120"/>
              <w:jc w:val="right"/>
              <w:rPr>
                <w:sz w:val="17"/>
              </w:rPr>
            </w:pPr>
            <w:r>
              <w:rPr>
                <w:sz w:val="17"/>
              </w:rPr>
              <w:t>107 512</w:t>
            </w:r>
          </w:p>
        </w:tc>
        <w:tc>
          <w:tcPr>
            <w:tcW w:w="270" w:type="dxa"/>
            <w:tcBorders>
              <w:bottom w:val="single" w:sz="12" w:space="0" w:color="auto"/>
            </w:tcBorders>
          </w:tcPr>
          <w:p w:rsidR="00000000" w:rsidRDefault="00000000">
            <w:pPr>
              <w:pStyle w:val="BodyText"/>
              <w:spacing w:after="120"/>
              <w:rPr>
                <w:sz w:val="17"/>
              </w:rPr>
            </w:pPr>
          </w:p>
        </w:tc>
        <w:tc>
          <w:tcPr>
            <w:tcW w:w="1080" w:type="dxa"/>
            <w:tcBorders>
              <w:bottom w:val="single" w:sz="12" w:space="0" w:color="auto"/>
            </w:tcBorders>
          </w:tcPr>
          <w:p w:rsidR="00000000" w:rsidRDefault="00000000">
            <w:pPr>
              <w:pStyle w:val="BodyText"/>
              <w:spacing w:after="120"/>
              <w:jc w:val="right"/>
              <w:rPr>
                <w:sz w:val="17"/>
              </w:rPr>
            </w:pPr>
            <w:r>
              <w:rPr>
                <w:sz w:val="17"/>
              </w:rPr>
              <w:t>154 314</w:t>
            </w:r>
          </w:p>
        </w:tc>
        <w:tc>
          <w:tcPr>
            <w:tcW w:w="1080" w:type="dxa"/>
            <w:tcBorders>
              <w:bottom w:val="single" w:sz="12" w:space="0" w:color="auto"/>
            </w:tcBorders>
          </w:tcPr>
          <w:p w:rsidR="00000000" w:rsidRDefault="00000000">
            <w:pPr>
              <w:pStyle w:val="BodyText"/>
              <w:spacing w:after="120"/>
              <w:jc w:val="right"/>
              <w:rPr>
                <w:sz w:val="17"/>
              </w:rPr>
            </w:pPr>
            <w:r>
              <w:rPr>
                <w:sz w:val="17"/>
              </w:rPr>
              <w:t>86 041</w:t>
            </w:r>
          </w:p>
        </w:tc>
        <w:tc>
          <w:tcPr>
            <w:tcW w:w="990" w:type="dxa"/>
            <w:tcBorders>
              <w:bottom w:val="single" w:sz="12" w:space="0" w:color="auto"/>
            </w:tcBorders>
          </w:tcPr>
          <w:p w:rsidR="00000000" w:rsidRDefault="00000000">
            <w:pPr>
              <w:pStyle w:val="BodyText"/>
              <w:spacing w:after="120"/>
              <w:jc w:val="right"/>
              <w:rPr>
                <w:sz w:val="17"/>
              </w:rPr>
            </w:pPr>
            <w:r>
              <w:rPr>
                <w:sz w:val="17"/>
              </w:rPr>
              <w:t>68 273</w:t>
            </w:r>
          </w:p>
        </w:tc>
      </w:tr>
    </w:tbl>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pPr>
    </w:p>
    <w:p w:rsidR="00000000" w:rsidRDefault="00000000">
      <w:pPr>
        <w:tabs>
          <w:tab w:val="left" w:pos="475"/>
          <w:tab w:val="left" w:pos="965"/>
          <w:tab w:val="left" w:pos="1440"/>
          <w:tab w:val="left" w:pos="1915"/>
          <w:tab w:val="left" w:pos="2405"/>
        </w:tabs>
        <w:spacing w:after="120"/>
        <w:jc w:val="both"/>
        <w:sectPr w:rsidR="00000000">
          <w:pgSz w:w="12240" w:h="15840"/>
          <w:pgMar w:top="1742" w:right="1195" w:bottom="1901" w:left="1195" w:header="576" w:footer="1037" w:gutter="0"/>
          <w:cols w:space="720"/>
          <w:docGrid w:linePitch="360"/>
        </w:sectPr>
      </w:pPr>
    </w:p>
    <w:p w:rsidR="00000000" w:rsidRDefault="00000000">
      <w:pPr>
        <w:pStyle w:val="DH2"/>
      </w:pPr>
      <w:r>
        <w:tab/>
        <w:t>General birth and mortality rates</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ab/>
        <w:t>In 1998 the birth rate was 14.8 and the mortality rate 10.2.</w:t>
      </w:r>
    </w:p>
    <w:p w:rsidR="00000000" w:rsidRDefault="00000000">
      <w:pPr>
        <w:pStyle w:val="D12r"/>
      </w:pPr>
    </w:p>
    <w:p w:rsidR="00000000" w:rsidRDefault="00000000">
      <w:pPr>
        <w:pStyle w:val="DH2"/>
      </w:pPr>
      <w:r>
        <w:tab/>
        <w:t>Infant mortality</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9.</w:t>
      </w:r>
      <w:r>
        <w:tab/>
        <w:t>Overall infant mortality, like infant mortality in towns and rural areas, is decreasing. In 1997, it stood at 24.9 per mille, and in four years it had dropped by 20 per cent. In 1998, 4,843 children under one year of age died, including 2,019 girls and 2,824 boys.</w:t>
      </w:r>
    </w:p>
    <w:p w:rsidR="00000000" w:rsidRDefault="00000000">
      <w:pPr>
        <w:pStyle w:val="DualTxt"/>
        <w:keepNext/>
        <w:keepLines/>
        <w:tabs>
          <w:tab w:val="clear" w:pos="480"/>
          <w:tab w:val="clear" w:pos="960"/>
          <w:tab w:val="clear" w:pos="2880"/>
          <w:tab w:val="clear" w:pos="3355"/>
          <w:tab w:val="left" w:pos="475"/>
          <w:tab w:val="left" w:pos="965"/>
          <w:tab w:val="left" w:pos="1440"/>
          <w:tab w:val="left" w:pos="1915"/>
          <w:tab w:val="left" w:pos="2405"/>
        </w:tabs>
        <w:spacing w:after="0"/>
      </w:pPr>
      <w:r>
        <w:t>Table 3</w:t>
      </w:r>
    </w:p>
    <w:p w:rsidR="00000000" w:rsidRDefault="00000000">
      <w:pPr>
        <w:pStyle w:val="DH2"/>
      </w:pPr>
      <w:r>
        <w:t>Infant mortality, by gender</w:t>
      </w:r>
    </w:p>
    <w:p w:rsidR="00000000" w:rsidRDefault="00000000">
      <w:pPr>
        <w:pStyle w:val="D12r"/>
        <w:keepNext/>
        <w:keepLines/>
      </w:pPr>
    </w:p>
    <w:p w:rsidR="00000000" w:rsidRDefault="00000000">
      <w:pPr>
        <w:keepNext/>
        <w:keepLines/>
        <w:tabs>
          <w:tab w:val="left" w:pos="475"/>
          <w:tab w:val="left" w:pos="965"/>
          <w:tab w:val="left" w:pos="1440"/>
          <w:tab w:val="left" w:pos="1915"/>
          <w:tab w:val="left" w:pos="2405"/>
        </w:tabs>
        <w:spacing w:after="120"/>
        <w:jc w:val="both"/>
      </w:pPr>
      <w:r>
        <w:t>Per 1,000 live births</w:t>
      </w:r>
    </w:p>
    <w:p w:rsidR="00000000" w:rsidRDefault="00000000">
      <w:pPr>
        <w:pStyle w:val="D12r"/>
        <w:keepNext/>
        <w:keepLines/>
      </w:pPr>
    </w:p>
    <w:tbl>
      <w:tblPr>
        <w:tblW w:w="0" w:type="auto"/>
        <w:tblInd w:w="2" w:type="dxa"/>
        <w:tblLayout w:type="fixed"/>
        <w:tblLook w:val="0000" w:firstRow="0" w:lastRow="0" w:firstColumn="0" w:lastColumn="0" w:noHBand="0" w:noVBand="0"/>
      </w:tblPr>
      <w:tblGrid>
        <w:gridCol w:w="2160"/>
        <w:gridCol w:w="1260"/>
        <w:gridCol w:w="1404"/>
      </w:tblGrid>
      <w:tr w:rsidR="00000000">
        <w:tblPrEx>
          <w:tblCellMar>
            <w:top w:w="0" w:type="dxa"/>
            <w:bottom w:w="0" w:type="dxa"/>
          </w:tblCellMar>
        </w:tblPrEx>
        <w:tc>
          <w:tcPr>
            <w:tcW w:w="2160" w:type="dxa"/>
            <w:tcBorders>
              <w:top w:val="single" w:sz="4" w:space="0" w:color="auto"/>
              <w:bottom w:val="single" w:sz="12" w:space="0" w:color="auto"/>
            </w:tcBorders>
          </w:tcPr>
          <w:p w:rsidR="00000000" w:rsidRDefault="00000000">
            <w:pPr>
              <w:keepNext/>
              <w:keepLines/>
              <w:tabs>
                <w:tab w:val="left" w:pos="475"/>
                <w:tab w:val="left" w:pos="965"/>
                <w:tab w:val="left" w:pos="1440"/>
                <w:tab w:val="left" w:pos="1915"/>
                <w:tab w:val="left" w:pos="2405"/>
              </w:tabs>
              <w:spacing w:after="120"/>
              <w:jc w:val="both"/>
              <w:rPr>
                <w:i/>
                <w:sz w:val="14"/>
              </w:rPr>
            </w:pPr>
            <w:r>
              <w:rPr>
                <w:i/>
                <w:sz w:val="14"/>
              </w:rPr>
              <w:t>Year</w:t>
            </w:r>
          </w:p>
        </w:tc>
        <w:tc>
          <w:tcPr>
            <w:tcW w:w="1260" w:type="dxa"/>
            <w:tcBorders>
              <w:top w:val="single" w:sz="4" w:space="0" w:color="auto"/>
              <w:bottom w:val="single" w:sz="12" w:space="0" w:color="auto"/>
            </w:tcBorders>
          </w:tcPr>
          <w:p w:rsidR="00000000" w:rsidRDefault="00000000">
            <w:pPr>
              <w:pStyle w:val="Heading2"/>
              <w:keepLines/>
              <w:spacing w:after="120"/>
              <w:rPr>
                <w:sz w:val="14"/>
              </w:rPr>
            </w:pPr>
            <w:r>
              <w:rPr>
                <w:sz w:val="14"/>
              </w:rPr>
              <w:t>Male</w:t>
            </w:r>
          </w:p>
        </w:tc>
        <w:tc>
          <w:tcPr>
            <w:tcW w:w="1404" w:type="dxa"/>
            <w:tcBorders>
              <w:top w:val="single" w:sz="4" w:space="0" w:color="auto"/>
              <w:bottom w:val="single" w:sz="12" w:space="0" w:color="auto"/>
            </w:tcBorders>
          </w:tcPr>
          <w:p w:rsidR="00000000" w:rsidRDefault="00000000">
            <w:pPr>
              <w:pStyle w:val="Heading2"/>
              <w:keepLines/>
              <w:spacing w:after="120"/>
              <w:rPr>
                <w:sz w:val="14"/>
              </w:rPr>
            </w:pPr>
            <w:r>
              <w:rPr>
                <w:sz w:val="14"/>
              </w:rPr>
              <w:t>Female</w:t>
            </w:r>
          </w:p>
        </w:tc>
      </w:tr>
      <w:tr w:rsidR="00000000">
        <w:tblPrEx>
          <w:tblCellMar>
            <w:top w:w="0" w:type="dxa"/>
            <w:bottom w:w="0" w:type="dxa"/>
          </w:tblCellMar>
        </w:tblPrEx>
        <w:tc>
          <w:tcPr>
            <w:tcW w:w="2160" w:type="dxa"/>
            <w:tcBorders>
              <w:top w:val="single" w:sz="12" w:space="0" w:color="auto"/>
            </w:tcBorders>
          </w:tcPr>
          <w:p w:rsidR="00000000" w:rsidRDefault="00000000">
            <w:pPr>
              <w:keepNext/>
              <w:keepLines/>
              <w:tabs>
                <w:tab w:val="left" w:pos="475"/>
                <w:tab w:val="left" w:pos="965"/>
                <w:tab w:val="left" w:pos="1440"/>
                <w:tab w:val="left" w:pos="1915"/>
                <w:tab w:val="left" w:pos="2405"/>
              </w:tabs>
              <w:spacing w:after="120"/>
              <w:jc w:val="both"/>
              <w:rPr>
                <w:sz w:val="17"/>
              </w:rPr>
            </w:pPr>
            <w:r>
              <w:rPr>
                <w:sz w:val="17"/>
              </w:rPr>
              <w:t>1990</w:t>
            </w:r>
          </w:p>
        </w:tc>
        <w:tc>
          <w:tcPr>
            <w:tcW w:w="1260" w:type="dxa"/>
            <w:tcBorders>
              <w:top w:val="single" w:sz="12" w:space="0" w:color="auto"/>
            </w:tcBorders>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29.4</w:t>
            </w:r>
          </w:p>
        </w:tc>
        <w:tc>
          <w:tcPr>
            <w:tcW w:w="1404" w:type="dxa"/>
            <w:tcBorders>
              <w:top w:val="single" w:sz="12" w:space="0" w:color="auto"/>
            </w:tcBorders>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23.4</w:t>
            </w:r>
          </w:p>
        </w:tc>
      </w:tr>
      <w:tr w:rsidR="00000000">
        <w:tblPrEx>
          <w:tblCellMar>
            <w:top w:w="0" w:type="dxa"/>
            <w:bottom w:w="0" w:type="dxa"/>
          </w:tblCellMar>
        </w:tblPrEx>
        <w:tc>
          <w:tcPr>
            <w:tcW w:w="2160" w:type="dxa"/>
          </w:tcPr>
          <w:p w:rsidR="00000000" w:rsidRDefault="00000000">
            <w:pPr>
              <w:keepNext/>
              <w:keepLines/>
              <w:tabs>
                <w:tab w:val="left" w:pos="475"/>
                <w:tab w:val="left" w:pos="965"/>
                <w:tab w:val="left" w:pos="1440"/>
                <w:tab w:val="left" w:pos="1915"/>
                <w:tab w:val="left" w:pos="2405"/>
              </w:tabs>
              <w:spacing w:after="120"/>
              <w:jc w:val="both"/>
              <w:rPr>
                <w:sz w:val="17"/>
              </w:rPr>
            </w:pPr>
            <w:r>
              <w:rPr>
                <w:sz w:val="17"/>
              </w:rPr>
              <w:t>1991</w:t>
            </w:r>
          </w:p>
        </w:tc>
        <w:tc>
          <w:tcPr>
            <w:tcW w:w="1260"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31.4</w:t>
            </w:r>
          </w:p>
        </w:tc>
        <w:tc>
          <w:tcPr>
            <w:tcW w:w="1404"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23.4</w:t>
            </w:r>
          </w:p>
        </w:tc>
      </w:tr>
      <w:tr w:rsidR="00000000">
        <w:tblPrEx>
          <w:tblCellMar>
            <w:top w:w="0" w:type="dxa"/>
            <w:bottom w:w="0" w:type="dxa"/>
          </w:tblCellMar>
        </w:tblPrEx>
        <w:tc>
          <w:tcPr>
            <w:tcW w:w="2160" w:type="dxa"/>
          </w:tcPr>
          <w:p w:rsidR="00000000" w:rsidRDefault="00000000">
            <w:pPr>
              <w:keepNext/>
              <w:keepLines/>
              <w:tabs>
                <w:tab w:val="left" w:pos="475"/>
                <w:tab w:val="left" w:pos="965"/>
                <w:tab w:val="left" w:pos="1440"/>
                <w:tab w:val="left" w:pos="1915"/>
                <w:tab w:val="left" w:pos="2405"/>
              </w:tabs>
              <w:spacing w:after="120"/>
              <w:jc w:val="both"/>
              <w:rPr>
                <w:sz w:val="17"/>
              </w:rPr>
            </w:pPr>
            <w:r>
              <w:rPr>
                <w:sz w:val="17"/>
              </w:rPr>
              <w:t>1992</w:t>
            </w:r>
          </w:p>
        </w:tc>
        <w:tc>
          <w:tcPr>
            <w:tcW w:w="1260"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29.5</w:t>
            </w:r>
          </w:p>
        </w:tc>
        <w:tc>
          <w:tcPr>
            <w:tcW w:w="1404"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22.5</w:t>
            </w:r>
          </w:p>
        </w:tc>
      </w:tr>
      <w:tr w:rsidR="00000000">
        <w:tblPrEx>
          <w:tblCellMar>
            <w:top w:w="0" w:type="dxa"/>
            <w:bottom w:w="0" w:type="dxa"/>
          </w:tblCellMar>
        </w:tblPrEx>
        <w:tc>
          <w:tcPr>
            <w:tcW w:w="2160" w:type="dxa"/>
          </w:tcPr>
          <w:p w:rsidR="00000000" w:rsidRDefault="00000000">
            <w:pPr>
              <w:keepNext/>
              <w:keepLines/>
              <w:tabs>
                <w:tab w:val="left" w:pos="475"/>
                <w:tab w:val="left" w:pos="965"/>
                <w:tab w:val="left" w:pos="1440"/>
                <w:tab w:val="left" w:pos="1915"/>
                <w:tab w:val="left" w:pos="2405"/>
              </w:tabs>
              <w:spacing w:after="120"/>
              <w:jc w:val="both"/>
              <w:rPr>
                <w:sz w:val="17"/>
              </w:rPr>
            </w:pPr>
            <w:r>
              <w:rPr>
                <w:sz w:val="17"/>
              </w:rPr>
              <w:t>1993</w:t>
            </w:r>
          </w:p>
        </w:tc>
        <w:tc>
          <w:tcPr>
            <w:tcW w:w="1260"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32.1</w:t>
            </w:r>
          </w:p>
        </w:tc>
        <w:tc>
          <w:tcPr>
            <w:tcW w:w="1404"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24.4</w:t>
            </w:r>
          </w:p>
        </w:tc>
      </w:tr>
      <w:tr w:rsidR="00000000">
        <w:tblPrEx>
          <w:tblCellMar>
            <w:top w:w="0" w:type="dxa"/>
            <w:bottom w:w="0" w:type="dxa"/>
          </w:tblCellMar>
        </w:tblPrEx>
        <w:tc>
          <w:tcPr>
            <w:tcW w:w="2160" w:type="dxa"/>
          </w:tcPr>
          <w:p w:rsidR="00000000" w:rsidRDefault="00000000">
            <w:pPr>
              <w:keepNext/>
              <w:keepLines/>
              <w:tabs>
                <w:tab w:val="left" w:pos="475"/>
                <w:tab w:val="left" w:pos="965"/>
                <w:tab w:val="left" w:pos="1440"/>
                <w:tab w:val="left" w:pos="1915"/>
                <w:tab w:val="left" w:pos="2405"/>
              </w:tabs>
              <w:spacing w:after="120"/>
              <w:jc w:val="both"/>
              <w:rPr>
                <w:sz w:val="17"/>
              </w:rPr>
            </w:pPr>
            <w:r>
              <w:rPr>
                <w:sz w:val="17"/>
              </w:rPr>
              <w:t>1994</w:t>
            </w:r>
          </w:p>
        </w:tc>
        <w:tc>
          <w:tcPr>
            <w:tcW w:w="1260"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30.6</w:t>
            </w:r>
          </w:p>
        </w:tc>
        <w:tc>
          <w:tcPr>
            <w:tcW w:w="1404"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23.8</w:t>
            </w:r>
          </w:p>
        </w:tc>
      </w:tr>
      <w:tr w:rsidR="00000000">
        <w:tblPrEx>
          <w:tblCellMar>
            <w:top w:w="0" w:type="dxa"/>
            <w:bottom w:w="0" w:type="dxa"/>
          </w:tblCellMar>
        </w:tblPrEx>
        <w:tc>
          <w:tcPr>
            <w:tcW w:w="2160" w:type="dxa"/>
          </w:tcPr>
          <w:p w:rsidR="00000000" w:rsidRDefault="00000000">
            <w:pPr>
              <w:keepNext/>
              <w:keepLines/>
              <w:tabs>
                <w:tab w:val="left" w:pos="475"/>
                <w:tab w:val="left" w:pos="965"/>
                <w:tab w:val="left" w:pos="1440"/>
                <w:tab w:val="left" w:pos="1915"/>
                <w:tab w:val="left" w:pos="2405"/>
              </w:tabs>
              <w:spacing w:after="120"/>
              <w:jc w:val="both"/>
              <w:rPr>
                <w:sz w:val="17"/>
              </w:rPr>
            </w:pPr>
            <w:r>
              <w:rPr>
                <w:sz w:val="17"/>
              </w:rPr>
              <w:t>1995</w:t>
            </w:r>
          </w:p>
        </w:tc>
        <w:tc>
          <w:tcPr>
            <w:tcW w:w="1260"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31.4</w:t>
            </w:r>
          </w:p>
        </w:tc>
        <w:tc>
          <w:tcPr>
            <w:tcW w:w="1404"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23.1</w:t>
            </w:r>
          </w:p>
        </w:tc>
      </w:tr>
      <w:tr w:rsidR="00000000">
        <w:tblPrEx>
          <w:tblCellMar>
            <w:top w:w="0" w:type="dxa"/>
            <w:bottom w:w="0" w:type="dxa"/>
          </w:tblCellMar>
        </w:tblPrEx>
        <w:tc>
          <w:tcPr>
            <w:tcW w:w="2160" w:type="dxa"/>
          </w:tcPr>
          <w:p w:rsidR="00000000" w:rsidRDefault="00000000">
            <w:pPr>
              <w:keepNext/>
              <w:keepLines/>
              <w:tabs>
                <w:tab w:val="left" w:pos="475"/>
                <w:tab w:val="left" w:pos="965"/>
                <w:tab w:val="left" w:pos="1440"/>
                <w:tab w:val="left" w:pos="1915"/>
                <w:tab w:val="left" w:pos="2405"/>
              </w:tabs>
              <w:spacing w:after="120"/>
              <w:jc w:val="both"/>
              <w:rPr>
                <w:sz w:val="17"/>
              </w:rPr>
            </w:pPr>
            <w:r>
              <w:rPr>
                <w:sz w:val="17"/>
              </w:rPr>
              <w:t>1996</w:t>
            </w:r>
          </w:p>
        </w:tc>
        <w:tc>
          <w:tcPr>
            <w:tcW w:w="1260"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28.7</w:t>
            </w:r>
          </w:p>
        </w:tc>
        <w:tc>
          <w:tcPr>
            <w:tcW w:w="1404"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22.0</w:t>
            </w:r>
          </w:p>
        </w:tc>
      </w:tr>
      <w:tr w:rsidR="00000000">
        <w:tblPrEx>
          <w:tblCellMar>
            <w:top w:w="0" w:type="dxa"/>
            <w:bottom w:w="0" w:type="dxa"/>
          </w:tblCellMar>
        </w:tblPrEx>
        <w:tc>
          <w:tcPr>
            <w:tcW w:w="2160" w:type="dxa"/>
          </w:tcPr>
          <w:p w:rsidR="00000000" w:rsidRDefault="00000000">
            <w:pPr>
              <w:keepNext/>
              <w:keepLines/>
              <w:tabs>
                <w:tab w:val="left" w:pos="475"/>
                <w:tab w:val="left" w:pos="965"/>
                <w:tab w:val="left" w:pos="1440"/>
                <w:tab w:val="left" w:pos="1915"/>
                <w:tab w:val="left" w:pos="2405"/>
              </w:tabs>
              <w:spacing w:after="120"/>
              <w:jc w:val="both"/>
              <w:rPr>
                <w:sz w:val="17"/>
              </w:rPr>
            </w:pPr>
            <w:r>
              <w:rPr>
                <w:sz w:val="17"/>
              </w:rPr>
              <w:t>1997</w:t>
            </w:r>
          </w:p>
        </w:tc>
        <w:tc>
          <w:tcPr>
            <w:tcW w:w="1260"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28.3</w:t>
            </w:r>
          </w:p>
        </w:tc>
        <w:tc>
          <w:tcPr>
            <w:tcW w:w="1404"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20.7</w:t>
            </w:r>
          </w:p>
        </w:tc>
      </w:tr>
      <w:tr w:rsidR="00000000">
        <w:tblPrEx>
          <w:tblCellMar>
            <w:top w:w="0" w:type="dxa"/>
            <w:bottom w:w="0" w:type="dxa"/>
          </w:tblCellMar>
        </w:tblPrEx>
        <w:tc>
          <w:tcPr>
            <w:tcW w:w="2160" w:type="dxa"/>
            <w:tcBorders>
              <w:bottom w:val="single" w:sz="12" w:space="0" w:color="auto"/>
            </w:tcBorders>
          </w:tcPr>
          <w:p w:rsidR="00000000" w:rsidRDefault="00000000">
            <w:pPr>
              <w:keepNext/>
              <w:keepLines/>
              <w:tabs>
                <w:tab w:val="left" w:pos="475"/>
                <w:tab w:val="left" w:pos="965"/>
                <w:tab w:val="left" w:pos="1440"/>
                <w:tab w:val="left" w:pos="1915"/>
                <w:tab w:val="left" w:pos="2405"/>
              </w:tabs>
              <w:spacing w:after="120"/>
              <w:jc w:val="both"/>
              <w:rPr>
                <w:sz w:val="17"/>
              </w:rPr>
            </w:pPr>
            <w:r>
              <w:rPr>
                <w:sz w:val="17"/>
              </w:rPr>
              <w:t>1998</w:t>
            </w:r>
          </w:p>
        </w:tc>
        <w:tc>
          <w:tcPr>
            <w:tcW w:w="1260" w:type="dxa"/>
            <w:tcBorders>
              <w:bottom w:val="single" w:sz="12" w:space="0" w:color="auto"/>
            </w:tcBorders>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24.4</w:t>
            </w:r>
          </w:p>
        </w:tc>
        <w:tc>
          <w:tcPr>
            <w:tcW w:w="1404" w:type="dxa"/>
            <w:tcBorders>
              <w:bottom w:val="single" w:sz="12" w:space="0" w:color="auto"/>
            </w:tcBorders>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18.6</w:t>
            </w:r>
          </w:p>
        </w:tc>
      </w:tr>
    </w:tbl>
    <w:p w:rsidR="00000000" w:rsidRDefault="00000000">
      <w:pPr>
        <w:tabs>
          <w:tab w:val="left" w:pos="475"/>
          <w:tab w:val="left" w:pos="965"/>
          <w:tab w:val="left" w:pos="1440"/>
          <w:tab w:val="left" w:pos="1915"/>
          <w:tab w:val="left" w:pos="2405"/>
        </w:tabs>
        <w:spacing w:after="120"/>
        <w:jc w:val="both"/>
      </w:pPr>
    </w:p>
    <w:p w:rsidR="00000000" w:rsidRDefault="00000000">
      <w:pPr>
        <w:pStyle w:val="D12r"/>
      </w:pPr>
    </w:p>
    <w:p w:rsidR="00000000" w:rsidRDefault="00000000">
      <w:pPr>
        <w:pStyle w:val="DH2"/>
      </w:pPr>
      <w:r>
        <w:br w:type="page"/>
      </w:r>
    </w:p>
    <w:p w:rsidR="00000000" w:rsidRDefault="00000000">
      <w:pPr>
        <w:pStyle w:val="DH2"/>
      </w:pPr>
      <w:r>
        <w:rPr>
          <w:noProof/>
          <w:w w:val="100"/>
        </w:rPr>
        <w:pict>
          <v:shape id="_x0000_s2059" type="#_x0000_t202" style="position:absolute;margin-left:-1.7pt;margin-top:-17.9pt;width:247.9pt;height:148.8pt;z-index:4;mso-position-horizontal:absolute;mso-position-horizontal-relative:text;mso-position-vertical:absolute;mso-position-vertical-relative:text" o:allowincell="f" stroked="f">
            <v:textbox style="mso-next-textbox:#_x0000_s2059">
              <w:txbxContent>
                <w:p w:rsidR="00000000" w:rsidRDefault="00000000">
                  <w:pPr>
                    <w:pStyle w:val="DH2"/>
                  </w:pPr>
                  <w:r>
                    <w:tab/>
                    <w:t>Infant mortality rate</w:t>
                  </w:r>
                </w:p>
                <w:p w:rsidR="00000000" w:rsidRDefault="00000000">
                  <w:pPr>
                    <w:keepNext/>
                    <w:keepLines/>
                    <w:tabs>
                      <w:tab w:val="left" w:pos="475"/>
                      <w:tab w:val="left" w:pos="965"/>
                      <w:tab w:val="left" w:pos="1440"/>
                      <w:tab w:val="left" w:pos="1915"/>
                      <w:tab w:val="left" w:pos="2405"/>
                    </w:tabs>
                    <w:spacing w:after="120"/>
                    <w:jc w:val="both"/>
                    <w:rPr>
                      <w:b/>
                    </w:rPr>
                  </w:pPr>
                  <w:r>
                    <w:tab/>
                    <w:t>(Per 1,000 live births)</w:t>
                  </w:r>
                  <w:r>
                    <w:rPr>
                      <w:vertAlign w:val="superscript"/>
                    </w:rPr>
                    <w:t>2</w:t>
                  </w:r>
                  <w:r>
                    <w:t xml:space="preserve"> </w:t>
                  </w:r>
                </w:p>
                <w:p w:rsidR="00000000" w:rsidRDefault="00000000">
                  <w:pPr>
                    <w:pStyle w:val="BodyText"/>
                    <w:keepNext/>
                    <w:keepLines/>
                    <w:spacing w:after="120"/>
                  </w:pPr>
                  <w:r>
                    <w:tab/>
                    <w:t>The infant mortality rate was 21.6 per thousand births. In urban areas it was 24.1, and in rural areas, 19.0. The largest groups of fatalities resulted from conditions arising in the perinatal period (33.8 per cent) ad pulmonary diseases (28.2 per cent).</w:t>
                  </w:r>
                </w:p>
                <w:p w:rsidR="00000000" w:rsidRDefault="00000000">
                  <w:pPr>
                    <w:pStyle w:val="D12r"/>
                  </w:pPr>
                </w:p>
                <w:p w:rsidR="00000000" w:rsidRDefault="00000000">
                  <w:pPr>
                    <w:pStyle w:val="DH2"/>
                  </w:pPr>
                  <w:r>
                    <w:tab/>
                    <w:t>Mortality</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10.</w:t>
                  </w:r>
                  <w:r>
                    <w:tab/>
                    <w:t>The number of deaths was 7.6 per mille in 1987, 10.4 in 1997 and 10.2 in 1998.</w:t>
                  </w:r>
                </w:p>
                <w:p w:rsidR="00000000" w:rsidRDefault="00000000"/>
              </w:txbxContent>
            </v:textbox>
          </v:shape>
        </w:pict>
      </w:r>
      <w:r>
        <w:rPr>
          <w:noProof/>
          <w:w w:val="100"/>
        </w:rPr>
        <w:pict>
          <v:shape id="_x0000_s2060" type="#_x0000_t202" style="position:absolute;margin-left:250.3pt;margin-top:-17.9pt;width:243pt;height:135pt;z-index:5;mso-position-horizontal:absolute;mso-position-horizontal-relative:text;mso-position-vertical:absolute;mso-position-vertical-relative:text" o:allowincell="f" stroked="f">
            <v:textbox>
              <w:txbxContent>
                <w:p w:rsidR="00000000" w:rsidRDefault="00000000">
                  <w:pPr>
                    <w:pStyle w:val="DH2"/>
                  </w:pPr>
                  <w:r>
                    <w:tab/>
                    <w:t>Main causes of mortality</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11.</w:t>
                  </w:r>
                  <w:r>
                    <w:tab/>
                    <w:t>Among persons of working age, mortality continues to increase more quickly among men than women. The breakdown of mortality by causes remained essentially unchanged in 1998. Among all deaths, 48.7 per cent were attributable to circulatory diseases, 13.5 per cent to accidents, poisoning and trauma, 13.1 per cent to oncological disorders, 7.3 per cent to pulmonary diseases and 4.8 per cent to infectious and parasitic diseases.</w:t>
                  </w:r>
                </w:p>
                <w:p w:rsidR="00000000" w:rsidRDefault="00000000"/>
              </w:txbxContent>
            </v:textbox>
          </v:shape>
        </w:pict>
      </w:r>
    </w:p>
    <w:p w:rsidR="00000000" w:rsidRDefault="00000000">
      <w:pPr>
        <w:pStyle w:val="DH2"/>
      </w:pPr>
    </w:p>
    <w:p w:rsidR="00000000" w:rsidRDefault="00000000">
      <w:pPr>
        <w:pStyle w:val="DH2"/>
      </w:pPr>
    </w:p>
    <w:p w:rsidR="00000000" w:rsidRDefault="00000000">
      <w:pPr>
        <w:pStyle w:val="DH2"/>
      </w:pPr>
    </w:p>
    <w:p w:rsidR="00000000" w:rsidRDefault="00000000">
      <w:pPr>
        <w:pStyle w:val="DH2"/>
      </w:pPr>
    </w:p>
    <w:p w:rsidR="00000000" w:rsidRDefault="00000000">
      <w:pPr>
        <w:pStyle w:val="DH2"/>
      </w:pPr>
    </w:p>
    <w:p w:rsidR="00000000" w:rsidRDefault="00000000">
      <w:pPr>
        <w:pStyle w:val="DH2"/>
      </w:pPr>
    </w:p>
    <w:p w:rsidR="00000000" w:rsidRDefault="00000000">
      <w:pPr>
        <w:pStyle w:val="DH2"/>
      </w:pPr>
    </w:p>
    <w:p w:rsidR="00000000" w:rsidRDefault="00000000">
      <w:pPr>
        <w:pStyle w:val="DH2"/>
      </w:pPr>
    </w:p>
    <w:p w:rsidR="00000000" w:rsidRDefault="00000000">
      <w:pPr>
        <w:pStyle w:val="DH2"/>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p>
    <w:p w:rsidR="00000000" w:rsidRDefault="00000000">
      <w:pPr>
        <w:tabs>
          <w:tab w:val="left" w:pos="475"/>
          <w:tab w:val="left" w:pos="965"/>
          <w:tab w:val="left" w:pos="1440"/>
          <w:tab w:val="left" w:pos="1915"/>
          <w:tab w:val="left" w:pos="2405"/>
        </w:tabs>
        <w:spacing w:after="120"/>
        <w:jc w:val="both"/>
        <w:sectPr w:rsidR="00000000">
          <w:type w:val="continuous"/>
          <w:pgSz w:w="12240" w:h="15840"/>
          <w:pgMar w:top="1742" w:right="1195" w:bottom="1901" w:left="1195" w:header="576" w:footer="1037" w:gutter="0"/>
          <w:cols w:num="2" w:space="245"/>
          <w:docGrid w:linePitch="360"/>
        </w:sectPr>
      </w:pPr>
    </w:p>
    <w:p w:rsidR="00000000" w:rsidRDefault="00000000">
      <w:pPr>
        <w:pStyle w:val="D12r"/>
      </w:pPr>
    </w:p>
    <w:p w:rsidR="00000000" w:rsidRDefault="00000000">
      <w:pPr>
        <w:pStyle w:val="SingleTxt"/>
        <w:tabs>
          <w:tab w:val="clear" w:pos="1267"/>
        </w:tabs>
        <w:ind w:left="1152"/>
        <w:jc w:val="left"/>
        <w:rPr>
          <w:b/>
        </w:rPr>
      </w:pPr>
      <w:r>
        <w:t>Table 4</w:t>
      </w:r>
      <w:r>
        <w:br/>
      </w:r>
      <w:r>
        <w:rPr>
          <w:b/>
        </w:rPr>
        <w:t>Causes of death, 1998</w:t>
      </w:r>
    </w:p>
    <w:tbl>
      <w:tblPr>
        <w:tblW w:w="0" w:type="auto"/>
        <w:tblInd w:w="1161" w:type="dxa"/>
        <w:tblLayout w:type="fixed"/>
        <w:tblLook w:val="0000" w:firstRow="0" w:lastRow="0" w:firstColumn="0" w:lastColumn="0" w:noHBand="0" w:noVBand="0"/>
      </w:tblPr>
      <w:tblGrid>
        <w:gridCol w:w="4763"/>
        <w:gridCol w:w="1548"/>
        <w:gridCol w:w="1530"/>
      </w:tblGrid>
      <w:tr w:rsidR="00000000">
        <w:tblPrEx>
          <w:tblCellMar>
            <w:top w:w="0" w:type="dxa"/>
            <w:bottom w:w="0" w:type="dxa"/>
          </w:tblCellMar>
        </w:tblPrEx>
        <w:tc>
          <w:tcPr>
            <w:tcW w:w="4763" w:type="dxa"/>
            <w:tcBorders>
              <w:top w:val="single" w:sz="4" w:space="0" w:color="auto"/>
              <w:bottom w:val="single" w:sz="12" w:space="0" w:color="auto"/>
            </w:tcBorders>
          </w:tcPr>
          <w:p w:rsidR="00000000" w:rsidRDefault="00000000">
            <w:pPr>
              <w:pStyle w:val="SingleTxt"/>
              <w:ind w:left="0" w:right="-50"/>
              <w:jc w:val="left"/>
              <w:rPr>
                <w:i/>
                <w:sz w:val="14"/>
              </w:rPr>
            </w:pPr>
          </w:p>
        </w:tc>
        <w:tc>
          <w:tcPr>
            <w:tcW w:w="1548" w:type="dxa"/>
            <w:tcBorders>
              <w:top w:val="single" w:sz="4" w:space="0" w:color="auto"/>
              <w:bottom w:val="single" w:sz="12" w:space="0" w:color="auto"/>
            </w:tcBorders>
          </w:tcPr>
          <w:p w:rsidR="00000000" w:rsidRDefault="00000000">
            <w:pPr>
              <w:pStyle w:val="SingleTxt"/>
              <w:tabs>
                <w:tab w:val="clear" w:pos="1267"/>
              </w:tabs>
              <w:ind w:left="0" w:right="-50"/>
              <w:jc w:val="right"/>
              <w:rPr>
                <w:i/>
                <w:sz w:val="14"/>
              </w:rPr>
            </w:pPr>
            <w:r>
              <w:rPr>
                <w:i/>
                <w:sz w:val="14"/>
              </w:rPr>
              <w:t>Males</w:t>
            </w:r>
          </w:p>
        </w:tc>
        <w:tc>
          <w:tcPr>
            <w:tcW w:w="1530" w:type="dxa"/>
            <w:tcBorders>
              <w:top w:val="single" w:sz="4" w:space="0" w:color="auto"/>
              <w:bottom w:val="single" w:sz="12" w:space="0" w:color="auto"/>
            </w:tcBorders>
          </w:tcPr>
          <w:p w:rsidR="00000000" w:rsidRDefault="00000000">
            <w:pPr>
              <w:pStyle w:val="SingleTxt"/>
              <w:ind w:left="0" w:right="-50"/>
              <w:jc w:val="right"/>
              <w:rPr>
                <w:i/>
                <w:sz w:val="14"/>
              </w:rPr>
            </w:pPr>
            <w:r>
              <w:rPr>
                <w:i/>
                <w:sz w:val="14"/>
              </w:rPr>
              <w:t>Females</w:t>
            </w:r>
          </w:p>
        </w:tc>
      </w:tr>
      <w:tr w:rsidR="00000000">
        <w:tblPrEx>
          <w:tblCellMar>
            <w:top w:w="0" w:type="dxa"/>
            <w:bottom w:w="0" w:type="dxa"/>
          </w:tblCellMar>
        </w:tblPrEx>
        <w:tc>
          <w:tcPr>
            <w:tcW w:w="4763" w:type="dxa"/>
            <w:tcBorders>
              <w:top w:val="single" w:sz="12" w:space="0" w:color="auto"/>
            </w:tcBorders>
          </w:tcPr>
          <w:p w:rsidR="00000000" w:rsidRDefault="00000000">
            <w:pPr>
              <w:pStyle w:val="SingleTxt"/>
              <w:ind w:left="0" w:right="-50"/>
              <w:jc w:val="left"/>
              <w:rPr>
                <w:b/>
                <w:sz w:val="17"/>
              </w:rPr>
            </w:pPr>
            <w:r>
              <w:rPr>
                <w:b/>
                <w:sz w:val="17"/>
              </w:rPr>
              <w:t>Total number of deaths from all causes</w:t>
            </w:r>
          </w:p>
        </w:tc>
        <w:tc>
          <w:tcPr>
            <w:tcW w:w="1548" w:type="dxa"/>
            <w:tcBorders>
              <w:top w:val="single" w:sz="12" w:space="0" w:color="auto"/>
            </w:tcBorders>
          </w:tcPr>
          <w:p w:rsidR="00000000" w:rsidRDefault="00000000">
            <w:pPr>
              <w:pStyle w:val="SingleTxt"/>
              <w:ind w:left="0" w:right="-50"/>
              <w:jc w:val="right"/>
              <w:rPr>
                <w:b/>
                <w:sz w:val="17"/>
              </w:rPr>
            </w:pPr>
            <w:r>
              <w:rPr>
                <w:b/>
                <w:sz w:val="17"/>
              </w:rPr>
              <w:t>86 044</w:t>
            </w:r>
          </w:p>
        </w:tc>
        <w:tc>
          <w:tcPr>
            <w:tcW w:w="1530" w:type="dxa"/>
            <w:tcBorders>
              <w:top w:val="single" w:sz="12" w:space="0" w:color="auto"/>
            </w:tcBorders>
          </w:tcPr>
          <w:p w:rsidR="00000000" w:rsidRDefault="00000000">
            <w:pPr>
              <w:pStyle w:val="SingleTxt"/>
              <w:ind w:left="0" w:right="-50"/>
              <w:jc w:val="right"/>
              <w:rPr>
                <w:b/>
                <w:sz w:val="17"/>
              </w:rPr>
            </w:pPr>
            <w:r>
              <w:rPr>
                <w:b/>
                <w:sz w:val="17"/>
              </w:rPr>
              <w:t>68 270</w:t>
            </w:r>
          </w:p>
        </w:tc>
      </w:tr>
      <w:tr w:rsidR="00000000">
        <w:tblPrEx>
          <w:tblCellMar>
            <w:top w:w="0" w:type="dxa"/>
            <w:bottom w:w="0" w:type="dxa"/>
          </w:tblCellMar>
        </w:tblPrEx>
        <w:tc>
          <w:tcPr>
            <w:tcW w:w="4763" w:type="dxa"/>
          </w:tcPr>
          <w:p w:rsidR="00000000" w:rsidRDefault="00000000">
            <w:pPr>
              <w:pStyle w:val="SingleTxt"/>
              <w:ind w:left="0" w:right="-50"/>
              <w:jc w:val="left"/>
              <w:rPr>
                <w:sz w:val="17"/>
              </w:rPr>
            </w:pPr>
            <w:r>
              <w:rPr>
                <w:sz w:val="17"/>
              </w:rPr>
              <w:t>including:</w:t>
            </w:r>
          </w:p>
        </w:tc>
        <w:tc>
          <w:tcPr>
            <w:tcW w:w="1548" w:type="dxa"/>
          </w:tcPr>
          <w:p w:rsidR="00000000" w:rsidRDefault="00000000">
            <w:pPr>
              <w:pStyle w:val="SingleTxt"/>
              <w:ind w:left="0" w:right="-50"/>
              <w:jc w:val="right"/>
              <w:rPr>
                <w:sz w:val="17"/>
              </w:rPr>
            </w:pPr>
          </w:p>
        </w:tc>
        <w:tc>
          <w:tcPr>
            <w:tcW w:w="1530" w:type="dxa"/>
          </w:tcPr>
          <w:p w:rsidR="00000000" w:rsidRDefault="00000000">
            <w:pPr>
              <w:pStyle w:val="SingleTxt"/>
              <w:ind w:left="0" w:right="-50"/>
              <w:jc w:val="right"/>
              <w:rPr>
                <w:sz w:val="17"/>
              </w:rPr>
            </w:pPr>
          </w:p>
        </w:tc>
      </w:tr>
      <w:tr w:rsidR="00000000">
        <w:tblPrEx>
          <w:tblCellMar>
            <w:top w:w="0" w:type="dxa"/>
            <w:bottom w:w="0" w:type="dxa"/>
          </w:tblCellMar>
        </w:tblPrEx>
        <w:tc>
          <w:tcPr>
            <w:tcW w:w="4763" w:type="dxa"/>
          </w:tcPr>
          <w:p w:rsidR="00000000" w:rsidRDefault="00000000">
            <w:pPr>
              <w:pStyle w:val="SingleTxt"/>
              <w:ind w:left="0" w:right="-50"/>
              <w:jc w:val="left"/>
              <w:rPr>
                <w:sz w:val="17"/>
              </w:rPr>
            </w:pPr>
            <w:r>
              <w:rPr>
                <w:sz w:val="17"/>
              </w:rPr>
              <w:t>Infectious and parasitic diseases</w:t>
            </w:r>
          </w:p>
        </w:tc>
        <w:tc>
          <w:tcPr>
            <w:tcW w:w="1548" w:type="dxa"/>
          </w:tcPr>
          <w:p w:rsidR="00000000" w:rsidRDefault="00000000">
            <w:pPr>
              <w:pStyle w:val="SingleTxt"/>
              <w:ind w:left="0" w:right="-50"/>
              <w:jc w:val="right"/>
              <w:rPr>
                <w:sz w:val="17"/>
              </w:rPr>
            </w:pPr>
            <w:r>
              <w:rPr>
                <w:sz w:val="17"/>
              </w:rPr>
              <w:t>5 855</w:t>
            </w:r>
          </w:p>
        </w:tc>
        <w:tc>
          <w:tcPr>
            <w:tcW w:w="1530" w:type="dxa"/>
          </w:tcPr>
          <w:p w:rsidR="00000000" w:rsidRDefault="00000000">
            <w:pPr>
              <w:pStyle w:val="SingleTxt"/>
              <w:ind w:left="0" w:right="-50"/>
              <w:jc w:val="right"/>
              <w:rPr>
                <w:sz w:val="17"/>
              </w:rPr>
            </w:pPr>
            <w:r>
              <w:rPr>
                <w:sz w:val="17"/>
              </w:rPr>
              <w:t>1 600</w:t>
            </w:r>
          </w:p>
        </w:tc>
      </w:tr>
      <w:tr w:rsidR="00000000">
        <w:tblPrEx>
          <w:tblCellMar>
            <w:top w:w="0" w:type="dxa"/>
            <w:bottom w:w="0" w:type="dxa"/>
          </w:tblCellMar>
        </w:tblPrEx>
        <w:tc>
          <w:tcPr>
            <w:tcW w:w="4763" w:type="dxa"/>
          </w:tcPr>
          <w:p w:rsidR="00000000" w:rsidRDefault="00000000">
            <w:pPr>
              <w:pStyle w:val="SingleTxt"/>
              <w:ind w:left="0" w:right="-50"/>
              <w:jc w:val="left"/>
              <w:rPr>
                <w:sz w:val="17"/>
              </w:rPr>
            </w:pPr>
            <w:r>
              <w:rPr>
                <w:sz w:val="17"/>
              </w:rPr>
              <w:t>Malignant tumours</w:t>
            </w:r>
          </w:p>
        </w:tc>
        <w:tc>
          <w:tcPr>
            <w:tcW w:w="1548" w:type="dxa"/>
          </w:tcPr>
          <w:p w:rsidR="00000000" w:rsidRDefault="00000000">
            <w:pPr>
              <w:pStyle w:val="SingleTxt"/>
              <w:ind w:left="0" w:right="-50"/>
              <w:jc w:val="right"/>
              <w:rPr>
                <w:sz w:val="17"/>
              </w:rPr>
            </w:pPr>
            <w:r>
              <w:rPr>
                <w:sz w:val="17"/>
              </w:rPr>
              <w:t>11 116</w:t>
            </w:r>
          </w:p>
        </w:tc>
        <w:tc>
          <w:tcPr>
            <w:tcW w:w="1530" w:type="dxa"/>
          </w:tcPr>
          <w:p w:rsidR="00000000" w:rsidRDefault="00000000">
            <w:pPr>
              <w:pStyle w:val="SingleTxt"/>
              <w:ind w:left="0" w:right="-50"/>
              <w:jc w:val="right"/>
              <w:rPr>
                <w:sz w:val="17"/>
              </w:rPr>
            </w:pPr>
            <w:r>
              <w:rPr>
                <w:sz w:val="17"/>
              </w:rPr>
              <w:t>8 931</w:t>
            </w:r>
          </w:p>
        </w:tc>
      </w:tr>
      <w:tr w:rsidR="00000000">
        <w:tblPrEx>
          <w:tblCellMar>
            <w:top w:w="0" w:type="dxa"/>
            <w:bottom w:w="0" w:type="dxa"/>
          </w:tblCellMar>
        </w:tblPrEx>
        <w:tc>
          <w:tcPr>
            <w:tcW w:w="4763" w:type="dxa"/>
          </w:tcPr>
          <w:p w:rsidR="00000000" w:rsidRDefault="00000000">
            <w:pPr>
              <w:pStyle w:val="SingleTxt"/>
              <w:ind w:left="0" w:right="-50"/>
              <w:jc w:val="left"/>
              <w:rPr>
                <w:sz w:val="17"/>
              </w:rPr>
            </w:pPr>
            <w:r>
              <w:rPr>
                <w:sz w:val="17"/>
              </w:rPr>
              <w:t>Endocrine system diseases, nutritional disorders and metabolic and immune system diseases</w:t>
            </w:r>
          </w:p>
        </w:tc>
        <w:tc>
          <w:tcPr>
            <w:tcW w:w="1548" w:type="dxa"/>
          </w:tcPr>
          <w:p w:rsidR="00000000" w:rsidRDefault="00000000">
            <w:pPr>
              <w:pStyle w:val="SingleTxt"/>
              <w:ind w:left="0" w:right="-50"/>
              <w:jc w:val="right"/>
              <w:rPr>
                <w:sz w:val="17"/>
              </w:rPr>
            </w:pPr>
            <w:r>
              <w:rPr>
                <w:sz w:val="17"/>
              </w:rPr>
              <w:t>609</w:t>
            </w:r>
          </w:p>
        </w:tc>
        <w:tc>
          <w:tcPr>
            <w:tcW w:w="1530" w:type="dxa"/>
          </w:tcPr>
          <w:p w:rsidR="00000000" w:rsidRDefault="00000000">
            <w:pPr>
              <w:pStyle w:val="SingleTxt"/>
              <w:ind w:left="0" w:right="-50"/>
              <w:jc w:val="right"/>
              <w:rPr>
                <w:sz w:val="17"/>
              </w:rPr>
            </w:pPr>
            <w:r>
              <w:rPr>
                <w:sz w:val="17"/>
              </w:rPr>
              <w:t>1 001</w:t>
            </w:r>
          </w:p>
        </w:tc>
      </w:tr>
      <w:tr w:rsidR="00000000">
        <w:tblPrEx>
          <w:tblCellMar>
            <w:top w:w="0" w:type="dxa"/>
            <w:bottom w:w="0" w:type="dxa"/>
          </w:tblCellMar>
        </w:tblPrEx>
        <w:tc>
          <w:tcPr>
            <w:tcW w:w="4763" w:type="dxa"/>
          </w:tcPr>
          <w:p w:rsidR="00000000" w:rsidRDefault="00000000">
            <w:pPr>
              <w:pStyle w:val="SingleTxt"/>
              <w:ind w:left="0" w:right="-50"/>
              <w:jc w:val="left"/>
              <w:rPr>
                <w:sz w:val="17"/>
              </w:rPr>
            </w:pPr>
            <w:r>
              <w:rPr>
                <w:sz w:val="17"/>
              </w:rPr>
              <w:t>Blood and haematogenic diseases</w:t>
            </w:r>
          </w:p>
        </w:tc>
        <w:tc>
          <w:tcPr>
            <w:tcW w:w="1548" w:type="dxa"/>
          </w:tcPr>
          <w:p w:rsidR="00000000" w:rsidRDefault="00000000">
            <w:pPr>
              <w:pStyle w:val="SingleTxt"/>
              <w:ind w:left="0" w:right="-50"/>
              <w:jc w:val="right"/>
              <w:rPr>
                <w:sz w:val="17"/>
              </w:rPr>
            </w:pPr>
            <w:r>
              <w:rPr>
                <w:sz w:val="17"/>
              </w:rPr>
              <w:t>74</w:t>
            </w:r>
          </w:p>
        </w:tc>
        <w:tc>
          <w:tcPr>
            <w:tcW w:w="1530" w:type="dxa"/>
          </w:tcPr>
          <w:p w:rsidR="00000000" w:rsidRDefault="00000000">
            <w:pPr>
              <w:pStyle w:val="SingleTxt"/>
              <w:ind w:left="0" w:right="-50"/>
              <w:jc w:val="right"/>
              <w:rPr>
                <w:sz w:val="17"/>
              </w:rPr>
            </w:pPr>
            <w:r>
              <w:rPr>
                <w:sz w:val="17"/>
              </w:rPr>
              <w:t>71</w:t>
            </w:r>
          </w:p>
        </w:tc>
      </w:tr>
      <w:tr w:rsidR="00000000">
        <w:tblPrEx>
          <w:tblCellMar>
            <w:top w:w="0" w:type="dxa"/>
            <w:bottom w:w="0" w:type="dxa"/>
          </w:tblCellMar>
        </w:tblPrEx>
        <w:tc>
          <w:tcPr>
            <w:tcW w:w="4763" w:type="dxa"/>
          </w:tcPr>
          <w:p w:rsidR="00000000" w:rsidRDefault="00000000">
            <w:pPr>
              <w:pStyle w:val="SingleTxt"/>
              <w:ind w:left="0" w:right="-50"/>
              <w:jc w:val="left"/>
              <w:rPr>
                <w:sz w:val="17"/>
              </w:rPr>
            </w:pPr>
            <w:r>
              <w:rPr>
                <w:sz w:val="17"/>
              </w:rPr>
              <w:t>Mental disorders</w:t>
            </w:r>
          </w:p>
        </w:tc>
        <w:tc>
          <w:tcPr>
            <w:tcW w:w="1548" w:type="dxa"/>
          </w:tcPr>
          <w:p w:rsidR="00000000" w:rsidRDefault="00000000">
            <w:pPr>
              <w:pStyle w:val="SingleTxt"/>
              <w:ind w:left="0" w:right="-50"/>
              <w:jc w:val="right"/>
              <w:rPr>
                <w:sz w:val="17"/>
              </w:rPr>
            </w:pPr>
            <w:r>
              <w:rPr>
                <w:sz w:val="17"/>
              </w:rPr>
              <w:t>488</w:t>
            </w:r>
          </w:p>
        </w:tc>
        <w:tc>
          <w:tcPr>
            <w:tcW w:w="1530" w:type="dxa"/>
          </w:tcPr>
          <w:p w:rsidR="00000000" w:rsidRDefault="00000000">
            <w:pPr>
              <w:pStyle w:val="SingleTxt"/>
              <w:ind w:left="0" w:right="-50"/>
              <w:jc w:val="right"/>
              <w:rPr>
                <w:sz w:val="17"/>
              </w:rPr>
            </w:pPr>
            <w:r>
              <w:rPr>
                <w:sz w:val="17"/>
              </w:rPr>
              <w:t>237</w:t>
            </w:r>
          </w:p>
        </w:tc>
      </w:tr>
      <w:tr w:rsidR="00000000">
        <w:tblPrEx>
          <w:tblCellMar>
            <w:top w:w="0" w:type="dxa"/>
            <w:bottom w:w="0" w:type="dxa"/>
          </w:tblCellMar>
        </w:tblPrEx>
        <w:tc>
          <w:tcPr>
            <w:tcW w:w="4763" w:type="dxa"/>
          </w:tcPr>
          <w:p w:rsidR="00000000" w:rsidRDefault="00000000">
            <w:pPr>
              <w:pStyle w:val="SingleTxt"/>
              <w:ind w:left="0" w:right="-50"/>
              <w:jc w:val="left"/>
              <w:rPr>
                <w:sz w:val="17"/>
              </w:rPr>
            </w:pPr>
            <w:r>
              <w:rPr>
                <w:sz w:val="17"/>
              </w:rPr>
              <w:t>Nervous and sensory system diseases</w:t>
            </w:r>
          </w:p>
        </w:tc>
        <w:tc>
          <w:tcPr>
            <w:tcW w:w="1548" w:type="dxa"/>
          </w:tcPr>
          <w:p w:rsidR="00000000" w:rsidRDefault="00000000">
            <w:pPr>
              <w:pStyle w:val="SingleTxt"/>
              <w:ind w:left="0" w:right="-50"/>
              <w:jc w:val="right"/>
              <w:rPr>
                <w:sz w:val="17"/>
              </w:rPr>
            </w:pPr>
            <w:r>
              <w:rPr>
                <w:sz w:val="17"/>
              </w:rPr>
              <w:t>838</w:t>
            </w:r>
          </w:p>
        </w:tc>
        <w:tc>
          <w:tcPr>
            <w:tcW w:w="1530" w:type="dxa"/>
          </w:tcPr>
          <w:p w:rsidR="00000000" w:rsidRDefault="00000000">
            <w:pPr>
              <w:pStyle w:val="SingleTxt"/>
              <w:ind w:left="0" w:right="-50"/>
              <w:jc w:val="right"/>
              <w:rPr>
                <w:sz w:val="17"/>
              </w:rPr>
            </w:pPr>
            <w:r>
              <w:rPr>
                <w:sz w:val="17"/>
              </w:rPr>
              <w:t>600</w:t>
            </w:r>
          </w:p>
        </w:tc>
      </w:tr>
      <w:tr w:rsidR="00000000">
        <w:tblPrEx>
          <w:tblCellMar>
            <w:top w:w="0" w:type="dxa"/>
            <w:bottom w:w="0" w:type="dxa"/>
          </w:tblCellMar>
        </w:tblPrEx>
        <w:tc>
          <w:tcPr>
            <w:tcW w:w="4763" w:type="dxa"/>
          </w:tcPr>
          <w:p w:rsidR="00000000" w:rsidRDefault="00000000">
            <w:pPr>
              <w:pStyle w:val="SingleTxt"/>
              <w:ind w:left="0" w:right="-50"/>
              <w:jc w:val="left"/>
              <w:rPr>
                <w:sz w:val="17"/>
              </w:rPr>
            </w:pPr>
            <w:r>
              <w:rPr>
                <w:sz w:val="17"/>
              </w:rPr>
              <w:t>Circulatory system diseases</w:t>
            </w:r>
          </w:p>
        </w:tc>
        <w:tc>
          <w:tcPr>
            <w:tcW w:w="1548" w:type="dxa"/>
          </w:tcPr>
          <w:p w:rsidR="00000000" w:rsidRDefault="00000000">
            <w:pPr>
              <w:pStyle w:val="SingleTxt"/>
              <w:ind w:left="0" w:right="-50"/>
              <w:jc w:val="right"/>
              <w:rPr>
                <w:sz w:val="17"/>
              </w:rPr>
            </w:pPr>
            <w:r>
              <w:rPr>
                <w:sz w:val="17"/>
              </w:rPr>
              <w:t>35 231</w:t>
            </w:r>
          </w:p>
        </w:tc>
        <w:tc>
          <w:tcPr>
            <w:tcW w:w="1530" w:type="dxa"/>
          </w:tcPr>
          <w:p w:rsidR="00000000" w:rsidRDefault="00000000">
            <w:pPr>
              <w:pStyle w:val="SingleTxt"/>
              <w:ind w:left="0" w:right="-50"/>
              <w:jc w:val="right"/>
              <w:rPr>
                <w:sz w:val="17"/>
              </w:rPr>
            </w:pPr>
            <w:r>
              <w:rPr>
                <w:sz w:val="17"/>
              </w:rPr>
              <w:t>39 919</w:t>
            </w:r>
          </w:p>
        </w:tc>
      </w:tr>
      <w:tr w:rsidR="00000000">
        <w:tblPrEx>
          <w:tblCellMar>
            <w:top w:w="0" w:type="dxa"/>
            <w:bottom w:w="0" w:type="dxa"/>
          </w:tblCellMar>
        </w:tblPrEx>
        <w:tc>
          <w:tcPr>
            <w:tcW w:w="4763" w:type="dxa"/>
          </w:tcPr>
          <w:p w:rsidR="00000000" w:rsidRDefault="00000000">
            <w:pPr>
              <w:pStyle w:val="SingleTxt"/>
              <w:ind w:left="0" w:right="-50"/>
              <w:jc w:val="left"/>
              <w:rPr>
                <w:sz w:val="17"/>
              </w:rPr>
            </w:pPr>
            <w:r>
              <w:rPr>
                <w:sz w:val="17"/>
              </w:rPr>
              <w:t>Pulmonary diseases</w:t>
            </w:r>
          </w:p>
        </w:tc>
        <w:tc>
          <w:tcPr>
            <w:tcW w:w="1548" w:type="dxa"/>
          </w:tcPr>
          <w:p w:rsidR="00000000" w:rsidRDefault="00000000">
            <w:pPr>
              <w:pStyle w:val="SingleTxt"/>
              <w:ind w:left="0" w:right="-50"/>
              <w:jc w:val="right"/>
              <w:rPr>
                <w:sz w:val="17"/>
              </w:rPr>
            </w:pPr>
            <w:r>
              <w:rPr>
                <w:sz w:val="17"/>
              </w:rPr>
              <w:t>7 116</w:t>
            </w:r>
          </w:p>
        </w:tc>
        <w:tc>
          <w:tcPr>
            <w:tcW w:w="1530" w:type="dxa"/>
          </w:tcPr>
          <w:p w:rsidR="00000000" w:rsidRDefault="00000000">
            <w:pPr>
              <w:pStyle w:val="SingleTxt"/>
              <w:ind w:left="0" w:right="-50"/>
              <w:jc w:val="right"/>
              <w:rPr>
                <w:sz w:val="17"/>
              </w:rPr>
            </w:pPr>
            <w:r>
              <w:rPr>
                <w:sz w:val="17"/>
              </w:rPr>
              <w:t>4 174</w:t>
            </w:r>
          </w:p>
        </w:tc>
      </w:tr>
      <w:tr w:rsidR="00000000">
        <w:tblPrEx>
          <w:tblCellMar>
            <w:top w:w="0" w:type="dxa"/>
            <w:bottom w:w="0" w:type="dxa"/>
          </w:tblCellMar>
        </w:tblPrEx>
        <w:tc>
          <w:tcPr>
            <w:tcW w:w="4763" w:type="dxa"/>
          </w:tcPr>
          <w:p w:rsidR="00000000" w:rsidRDefault="00000000">
            <w:pPr>
              <w:pStyle w:val="SingleTxt"/>
              <w:ind w:left="0" w:right="-50"/>
              <w:jc w:val="left"/>
              <w:rPr>
                <w:sz w:val="17"/>
              </w:rPr>
            </w:pPr>
            <w:r>
              <w:rPr>
                <w:sz w:val="17"/>
              </w:rPr>
              <w:t>Diseases of the digestive tract</w:t>
            </w:r>
          </w:p>
        </w:tc>
        <w:tc>
          <w:tcPr>
            <w:tcW w:w="1548" w:type="dxa"/>
          </w:tcPr>
          <w:p w:rsidR="00000000" w:rsidRDefault="00000000">
            <w:pPr>
              <w:pStyle w:val="SingleTxt"/>
              <w:ind w:left="0" w:right="-50"/>
              <w:jc w:val="right"/>
              <w:rPr>
                <w:sz w:val="17"/>
              </w:rPr>
            </w:pPr>
            <w:r>
              <w:rPr>
                <w:sz w:val="17"/>
              </w:rPr>
              <w:t>3 251</w:t>
            </w:r>
          </w:p>
        </w:tc>
        <w:tc>
          <w:tcPr>
            <w:tcW w:w="1530" w:type="dxa"/>
          </w:tcPr>
          <w:p w:rsidR="00000000" w:rsidRDefault="00000000">
            <w:pPr>
              <w:pStyle w:val="SingleTxt"/>
              <w:ind w:left="0" w:right="-50"/>
              <w:jc w:val="right"/>
              <w:rPr>
                <w:sz w:val="17"/>
              </w:rPr>
            </w:pPr>
            <w:r>
              <w:rPr>
                <w:sz w:val="17"/>
              </w:rPr>
              <w:t>2 294</w:t>
            </w:r>
          </w:p>
        </w:tc>
      </w:tr>
      <w:tr w:rsidR="00000000">
        <w:tblPrEx>
          <w:tblCellMar>
            <w:top w:w="0" w:type="dxa"/>
            <w:bottom w:w="0" w:type="dxa"/>
          </w:tblCellMar>
        </w:tblPrEx>
        <w:tc>
          <w:tcPr>
            <w:tcW w:w="4763" w:type="dxa"/>
          </w:tcPr>
          <w:p w:rsidR="00000000" w:rsidRDefault="00000000">
            <w:pPr>
              <w:pStyle w:val="SingleTxt"/>
              <w:ind w:left="0" w:right="-50"/>
              <w:jc w:val="left"/>
              <w:rPr>
                <w:sz w:val="17"/>
              </w:rPr>
            </w:pPr>
            <w:r>
              <w:rPr>
                <w:sz w:val="17"/>
              </w:rPr>
              <w:t>Congenital disorders</w:t>
            </w:r>
          </w:p>
        </w:tc>
        <w:tc>
          <w:tcPr>
            <w:tcW w:w="1548" w:type="dxa"/>
          </w:tcPr>
          <w:p w:rsidR="00000000" w:rsidRDefault="00000000">
            <w:pPr>
              <w:pStyle w:val="SingleTxt"/>
              <w:ind w:left="0" w:right="-50"/>
              <w:jc w:val="right"/>
              <w:rPr>
                <w:sz w:val="17"/>
              </w:rPr>
            </w:pPr>
            <w:r>
              <w:rPr>
                <w:sz w:val="17"/>
              </w:rPr>
              <w:t>615</w:t>
            </w:r>
          </w:p>
        </w:tc>
        <w:tc>
          <w:tcPr>
            <w:tcW w:w="1530" w:type="dxa"/>
          </w:tcPr>
          <w:p w:rsidR="00000000" w:rsidRDefault="00000000">
            <w:pPr>
              <w:pStyle w:val="SingleTxt"/>
              <w:ind w:left="0" w:right="-50"/>
              <w:jc w:val="right"/>
              <w:rPr>
                <w:sz w:val="17"/>
              </w:rPr>
            </w:pPr>
            <w:r>
              <w:rPr>
                <w:sz w:val="17"/>
              </w:rPr>
              <w:t>458</w:t>
            </w:r>
          </w:p>
        </w:tc>
      </w:tr>
      <w:tr w:rsidR="00000000">
        <w:tblPrEx>
          <w:tblCellMar>
            <w:top w:w="0" w:type="dxa"/>
            <w:bottom w:w="0" w:type="dxa"/>
          </w:tblCellMar>
        </w:tblPrEx>
        <w:tc>
          <w:tcPr>
            <w:tcW w:w="4763" w:type="dxa"/>
          </w:tcPr>
          <w:p w:rsidR="00000000" w:rsidRDefault="00000000">
            <w:pPr>
              <w:pStyle w:val="SingleTxt"/>
              <w:ind w:left="0" w:right="-50"/>
              <w:jc w:val="left"/>
              <w:rPr>
                <w:b/>
                <w:sz w:val="17"/>
              </w:rPr>
            </w:pPr>
            <w:r>
              <w:rPr>
                <w:b/>
                <w:sz w:val="17"/>
              </w:rPr>
              <w:t>Accidents, homicide, suicide and other external factors</w:t>
            </w:r>
          </w:p>
        </w:tc>
        <w:tc>
          <w:tcPr>
            <w:tcW w:w="1548" w:type="dxa"/>
          </w:tcPr>
          <w:p w:rsidR="00000000" w:rsidRDefault="00000000">
            <w:pPr>
              <w:pStyle w:val="SingleTxt"/>
              <w:ind w:left="0" w:right="-50"/>
              <w:jc w:val="right"/>
              <w:rPr>
                <w:b/>
                <w:sz w:val="17"/>
              </w:rPr>
            </w:pPr>
            <w:r>
              <w:rPr>
                <w:b/>
                <w:sz w:val="17"/>
              </w:rPr>
              <w:t>16 302</w:t>
            </w:r>
          </w:p>
        </w:tc>
        <w:tc>
          <w:tcPr>
            <w:tcW w:w="1530" w:type="dxa"/>
          </w:tcPr>
          <w:p w:rsidR="00000000" w:rsidRDefault="00000000">
            <w:pPr>
              <w:pStyle w:val="SingleTxt"/>
              <w:ind w:left="0" w:right="-50"/>
              <w:jc w:val="right"/>
              <w:rPr>
                <w:b/>
                <w:sz w:val="17"/>
              </w:rPr>
            </w:pPr>
            <w:r>
              <w:rPr>
                <w:b/>
                <w:sz w:val="17"/>
              </w:rPr>
              <w:t>4 597</w:t>
            </w:r>
          </w:p>
        </w:tc>
      </w:tr>
      <w:tr w:rsidR="00000000">
        <w:tblPrEx>
          <w:tblCellMar>
            <w:top w:w="0" w:type="dxa"/>
            <w:bottom w:w="0" w:type="dxa"/>
          </w:tblCellMar>
        </w:tblPrEx>
        <w:tc>
          <w:tcPr>
            <w:tcW w:w="4763" w:type="dxa"/>
          </w:tcPr>
          <w:p w:rsidR="00000000" w:rsidRDefault="00000000">
            <w:pPr>
              <w:pStyle w:val="SingleTxt"/>
              <w:ind w:left="0" w:right="-50"/>
              <w:jc w:val="left"/>
              <w:rPr>
                <w:sz w:val="17"/>
              </w:rPr>
            </w:pPr>
            <w:r>
              <w:rPr>
                <w:sz w:val="17"/>
              </w:rPr>
              <w:t>of which:</w:t>
            </w:r>
          </w:p>
        </w:tc>
        <w:tc>
          <w:tcPr>
            <w:tcW w:w="1548" w:type="dxa"/>
          </w:tcPr>
          <w:p w:rsidR="00000000" w:rsidRDefault="00000000">
            <w:pPr>
              <w:pStyle w:val="SingleTxt"/>
              <w:ind w:left="0" w:right="-50"/>
              <w:jc w:val="right"/>
              <w:rPr>
                <w:sz w:val="17"/>
              </w:rPr>
            </w:pPr>
          </w:p>
        </w:tc>
        <w:tc>
          <w:tcPr>
            <w:tcW w:w="1530" w:type="dxa"/>
          </w:tcPr>
          <w:p w:rsidR="00000000" w:rsidRDefault="00000000">
            <w:pPr>
              <w:pStyle w:val="SingleTxt"/>
              <w:ind w:left="0" w:right="-50"/>
              <w:jc w:val="right"/>
              <w:rPr>
                <w:sz w:val="17"/>
              </w:rPr>
            </w:pPr>
          </w:p>
        </w:tc>
      </w:tr>
      <w:tr w:rsidR="00000000">
        <w:tblPrEx>
          <w:tblCellMar>
            <w:top w:w="0" w:type="dxa"/>
            <w:bottom w:w="0" w:type="dxa"/>
          </w:tblCellMar>
        </w:tblPrEx>
        <w:tc>
          <w:tcPr>
            <w:tcW w:w="4763" w:type="dxa"/>
          </w:tcPr>
          <w:p w:rsidR="00000000" w:rsidRDefault="00000000">
            <w:pPr>
              <w:pStyle w:val="SingleTxt"/>
              <w:ind w:left="0" w:right="-50"/>
              <w:jc w:val="left"/>
              <w:rPr>
                <w:sz w:val="17"/>
              </w:rPr>
            </w:pPr>
            <w:r>
              <w:rPr>
                <w:sz w:val="17"/>
              </w:rPr>
              <w:t>Transport accidents</w:t>
            </w:r>
          </w:p>
        </w:tc>
        <w:tc>
          <w:tcPr>
            <w:tcW w:w="1548" w:type="dxa"/>
          </w:tcPr>
          <w:p w:rsidR="00000000" w:rsidRDefault="00000000">
            <w:pPr>
              <w:pStyle w:val="SingleTxt"/>
              <w:ind w:left="0" w:right="-50"/>
              <w:jc w:val="right"/>
              <w:rPr>
                <w:sz w:val="17"/>
              </w:rPr>
            </w:pPr>
            <w:r>
              <w:rPr>
                <w:sz w:val="17"/>
              </w:rPr>
              <w:t>1 625</w:t>
            </w:r>
          </w:p>
        </w:tc>
        <w:tc>
          <w:tcPr>
            <w:tcW w:w="1530" w:type="dxa"/>
          </w:tcPr>
          <w:p w:rsidR="00000000" w:rsidRDefault="00000000">
            <w:pPr>
              <w:pStyle w:val="SingleTxt"/>
              <w:ind w:left="0" w:right="-50"/>
              <w:jc w:val="right"/>
              <w:rPr>
                <w:sz w:val="17"/>
              </w:rPr>
            </w:pPr>
            <w:r>
              <w:rPr>
                <w:sz w:val="17"/>
              </w:rPr>
              <w:t>511</w:t>
            </w:r>
          </w:p>
        </w:tc>
      </w:tr>
      <w:tr w:rsidR="00000000">
        <w:tblPrEx>
          <w:tblCellMar>
            <w:top w:w="0" w:type="dxa"/>
            <w:bottom w:w="0" w:type="dxa"/>
          </w:tblCellMar>
        </w:tblPrEx>
        <w:tc>
          <w:tcPr>
            <w:tcW w:w="4763" w:type="dxa"/>
          </w:tcPr>
          <w:p w:rsidR="00000000" w:rsidRDefault="00000000">
            <w:pPr>
              <w:pStyle w:val="SingleTxt"/>
              <w:ind w:left="0" w:right="-50"/>
              <w:jc w:val="left"/>
              <w:rPr>
                <w:sz w:val="17"/>
              </w:rPr>
            </w:pPr>
            <w:r>
              <w:rPr>
                <w:sz w:val="17"/>
              </w:rPr>
              <w:t>Accidental alcohol poisoning</w:t>
            </w:r>
          </w:p>
        </w:tc>
        <w:tc>
          <w:tcPr>
            <w:tcW w:w="1548" w:type="dxa"/>
          </w:tcPr>
          <w:p w:rsidR="00000000" w:rsidRDefault="00000000">
            <w:pPr>
              <w:pStyle w:val="SingleTxt"/>
              <w:ind w:left="0" w:right="-50"/>
              <w:jc w:val="right"/>
              <w:rPr>
                <w:sz w:val="17"/>
              </w:rPr>
            </w:pPr>
            <w:r>
              <w:rPr>
                <w:sz w:val="17"/>
              </w:rPr>
              <w:t>949</w:t>
            </w:r>
          </w:p>
        </w:tc>
        <w:tc>
          <w:tcPr>
            <w:tcW w:w="1530" w:type="dxa"/>
          </w:tcPr>
          <w:p w:rsidR="00000000" w:rsidRDefault="00000000">
            <w:pPr>
              <w:pStyle w:val="SingleTxt"/>
              <w:ind w:left="0" w:right="-50"/>
              <w:jc w:val="right"/>
              <w:rPr>
                <w:sz w:val="17"/>
              </w:rPr>
            </w:pPr>
            <w:r>
              <w:rPr>
                <w:sz w:val="17"/>
              </w:rPr>
              <w:t>287</w:t>
            </w:r>
          </w:p>
        </w:tc>
      </w:tr>
      <w:tr w:rsidR="00000000">
        <w:tblPrEx>
          <w:tblCellMar>
            <w:top w:w="0" w:type="dxa"/>
            <w:bottom w:w="0" w:type="dxa"/>
          </w:tblCellMar>
        </w:tblPrEx>
        <w:tc>
          <w:tcPr>
            <w:tcW w:w="4763" w:type="dxa"/>
          </w:tcPr>
          <w:p w:rsidR="00000000" w:rsidRDefault="00000000">
            <w:pPr>
              <w:pStyle w:val="SingleTxt"/>
              <w:ind w:left="0" w:right="-50"/>
              <w:jc w:val="left"/>
              <w:rPr>
                <w:sz w:val="17"/>
              </w:rPr>
            </w:pPr>
            <w:r>
              <w:rPr>
                <w:sz w:val="17"/>
              </w:rPr>
              <w:t>Falls</w:t>
            </w:r>
          </w:p>
        </w:tc>
        <w:tc>
          <w:tcPr>
            <w:tcW w:w="1548" w:type="dxa"/>
          </w:tcPr>
          <w:p w:rsidR="00000000" w:rsidRDefault="00000000">
            <w:pPr>
              <w:pStyle w:val="SingleTxt"/>
              <w:ind w:left="0" w:right="-50"/>
              <w:jc w:val="right"/>
              <w:rPr>
                <w:sz w:val="17"/>
              </w:rPr>
            </w:pPr>
            <w:r>
              <w:rPr>
                <w:sz w:val="17"/>
              </w:rPr>
              <w:t>337</w:t>
            </w:r>
          </w:p>
        </w:tc>
        <w:tc>
          <w:tcPr>
            <w:tcW w:w="1530" w:type="dxa"/>
          </w:tcPr>
          <w:p w:rsidR="00000000" w:rsidRDefault="00000000">
            <w:pPr>
              <w:pStyle w:val="SingleTxt"/>
              <w:ind w:left="0" w:right="-50"/>
              <w:jc w:val="right"/>
              <w:rPr>
                <w:sz w:val="17"/>
              </w:rPr>
            </w:pPr>
            <w:r>
              <w:rPr>
                <w:sz w:val="17"/>
              </w:rPr>
              <w:t>107</w:t>
            </w:r>
          </w:p>
        </w:tc>
      </w:tr>
      <w:tr w:rsidR="00000000">
        <w:tblPrEx>
          <w:tblCellMar>
            <w:top w:w="0" w:type="dxa"/>
            <w:bottom w:w="0" w:type="dxa"/>
          </w:tblCellMar>
        </w:tblPrEx>
        <w:tc>
          <w:tcPr>
            <w:tcW w:w="4763" w:type="dxa"/>
          </w:tcPr>
          <w:p w:rsidR="00000000" w:rsidRDefault="00000000">
            <w:pPr>
              <w:pStyle w:val="SingleTxt"/>
              <w:ind w:left="0" w:right="-50"/>
              <w:jc w:val="left"/>
              <w:rPr>
                <w:sz w:val="17"/>
              </w:rPr>
            </w:pPr>
            <w:r>
              <w:rPr>
                <w:sz w:val="17"/>
              </w:rPr>
              <w:t>Suicide</w:t>
            </w:r>
          </w:p>
        </w:tc>
        <w:tc>
          <w:tcPr>
            <w:tcW w:w="1548" w:type="dxa"/>
          </w:tcPr>
          <w:p w:rsidR="00000000" w:rsidRDefault="00000000">
            <w:pPr>
              <w:pStyle w:val="SingleTxt"/>
              <w:ind w:left="0" w:right="-50"/>
              <w:jc w:val="right"/>
              <w:rPr>
                <w:sz w:val="17"/>
              </w:rPr>
            </w:pPr>
            <w:r>
              <w:rPr>
                <w:sz w:val="17"/>
              </w:rPr>
              <w:t>3 601</w:t>
            </w:r>
          </w:p>
        </w:tc>
        <w:tc>
          <w:tcPr>
            <w:tcW w:w="1530" w:type="dxa"/>
          </w:tcPr>
          <w:p w:rsidR="00000000" w:rsidRDefault="00000000">
            <w:pPr>
              <w:pStyle w:val="SingleTxt"/>
              <w:ind w:left="0" w:right="-50"/>
              <w:jc w:val="right"/>
              <w:rPr>
                <w:sz w:val="17"/>
              </w:rPr>
            </w:pPr>
            <w:r>
              <w:rPr>
                <w:sz w:val="17"/>
              </w:rPr>
              <w:t>729</w:t>
            </w:r>
          </w:p>
        </w:tc>
      </w:tr>
      <w:tr w:rsidR="00000000">
        <w:tblPrEx>
          <w:tblCellMar>
            <w:top w:w="0" w:type="dxa"/>
            <w:bottom w:w="0" w:type="dxa"/>
          </w:tblCellMar>
        </w:tblPrEx>
        <w:tc>
          <w:tcPr>
            <w:tcW w:w="4763" w:type="dxa"/>
            <w:tcBorders>
              <w:bottom w:val="single" w:sz="12" w:space="0" w:color="auto"/>
            </w:tcBorders>
          </w:tcPr>
          <w:p w:rsidR="00000000" w:rsidRDefault="00000000">
            <w:pPr>
              <w:pStyle w:val="SingleTxt"/>
              <w:ind w:left="0" w:right="-50"/>
              <w:jc w:val="left"/>
              <w:rPr>
                <w:sz w:val="17"/>
              </w:rPr>
            </w:pPr>
            <w:r>
              <w:rPr>
                <w:sz w:val="17"/>
              </w:rPr>
              <w:t>Homicide</w:t>
            </w:r>
          </w:p>
        </w:tc>
        <w:tc>
          <w:tcPr>
            <w:tcW w:w="1548" w:type="dxa"/>
            <w:tcBorders>
              <w:bottom w:val="single" w:sz="12" w:space="0" w:color="auto"/>
            </w:tcBorders>
          </w:tcPr>
          <w:p w:rsidR="00000000" w:rsidRDefault="00000000">
            <w:pPr>
              <w:pStyle w:val="SingleTxt"/>
              <w:ind w:left="0" w:right="-50"/>
              <w:jc w:val="right"/>
              <w:rPr>
                <w:sz w:val="17"/>
              </w:rPr>
            </w:pPr>
            <w:r>
              <w:rPr>
                <w:sz w:val="17"/>
              </w:rPr>
              <w:t>2 035</w:t>
            </w:r>
          </w:p>
        </w:tc>
        <w:tc>
          <w:tcPr>
            <w:tcW w:w="1530" w:type="dxa"/>
            <w:tcBorders>
              <w:bottom w:val="single" w:sz="12" w:space="0" w:color="auto"/>
            </w:tcBorders>
          </w:tcPr>
          <w:p w:rsidR="00000000" w:rsidRDefault="00000000">
            <w:pPr>
              <w:pStyle w:val="SingleTxt"/>
              <w:ind w:left="0" w:right="-50"/>
              <w:jc w:val="right"/>
              <w:rPr>
                <w:sz w:val="17"/>
              </w:rPr>
            </w:pPr>
            <w:r>
              <w:rPr>
                <w:sz w:val="17"/>
              </w:rPr>
              <w:t>689</w:t>
            </w:r>
          </w:p>
        </w:tc>
      </w:tr>
    </w:tbl>
    <w:p w:rsidR="00000000" w:rsidRDefault="00000000">
      <w:pPr>
        <w:tabs>
          <w:tab w:val="left" w:pos="475"/>
          <w:tab w:val="left" w:pos="965"/>
          <w:tab w:val="left" w:pos="1440"/>
          <w:tab w:val="left" w:pos="1915"/>
          <w:tab w:val="left" w:pos="2405"/>
        </w:tabs>
        <w:spacing w:after="120"/>
        <w:jc w:val="both"/>
      </w:pPr>
      <w:r>
        <w:rPr>
          <w:noProof/>
          <w:w w:val="100"/>
        </w:rPr>
        <w:pict>
          <v:shape id="_x0000_s2062" type="#_x0000_t202" style="position:absolute;left:0;text-align:left;margin-left:241.3pt;margin-top:15.25pt;width:245.75pt;height:57.45pt;z-index:7;mso-position-horizontal:absolute;mso-position-horizontal-relative:text;mso-position-vertical:absolute;mso-position-vertical-relative:text" o:allowincell="f" stroked="f">
            <v:textbox>
              <w:txbxContent>
                <w:p w:rsidR="00000000" w:rsidRDefault="00000000">
                  <w:pPr>
                    <w:pStyle w:val="Small"/>
                    <w:tabs>
                      <w:tab w:val="clear" w:pos="9965"/>
                      <w:tab w:val="left" w:pos="0"/>
                    </w:tabs>
                    <w:spacing w:line="200" w:lineRule="exact"/>
                    <w:rPr>
                      <w:spacing w:val="4"/>
                      <w:w w:val="103"/>
                    </w:rPr>
                  </w:pPr>
                  <w:r>
                    <w:rPr>
                      <w:spacing w:val="4"/>
                      <w:w w:val="103"/>
                    </w:rPr>
                    <w:t>independently taking at least one breath. Live births also include foetuses born before the twenty-eighth week of pregnancy (i.e., under 35 centimetres and 1,000 grams) which live for more than seven days (or beyond the end of the perinatal period).</w:t>
                  </w:r>
                </w:p>
              </w:txbxContent>
            </v:textbox>
          </v:shape>
        </w:pict>
      </w:r>
      <w:r>
        <w:rPr>
          <w:noProof/>
          <w:w w:val="100"/>
        </w:rPr>
        <w:pict>
          <v:shape id="_x0000_s2061" type="#_x0000_t202" style="position:absolute;left:0;text-align:left;margin-left:-1.7pt;margin-top:2.35pt;width:234pt;height:1in;z-index:6;mso-position-horizontal:absolute;mso-position-horizontal-relative:text;mso-position-vertical:absolute;mso-position-vertical-relative:text" o:allowincell="f" stroked="f">
            <v:textbox>
              <w:txbxContent>
                <w:p w:rsidR="00000000" w:rsidRDefault="00000000">
                  <w:pPr>
                    <w:ind w:right="1267"/>
                  </w:pPr>
                  <w:r>
                    <w:t>________________</w:t>
                  </w:r>
                </w:p>
                <w:p w:rsidR="00000000" w:rsidRDefault="00000000">
                  <w:pPr>
                    <w:tabs>
                      <w:tab w:val="left" w:pos="477"/>
                    </w:tabs>
                    <w:spacing w:line="200" w:lineRule="exact"/>
                    <w:ind w:left="486" w:hanging="180"/>
                    <w:rPr>
                      <w:sz w:val="17"/>
                    </w:rPr>
                  </w:pPr>
                  <w:r>
                    <w:rPr>
                      <w:sz w:val="17"/>
                      <w:vertAlign w:val="superscript"/>
                    </w:rPr>
                    <w:t xml:space="preserve">  2</w:t>
                  </w:r>
                  <w:r>
                    <w:rPr>
                      <w:sz w:val="17"/>
                    </w:rPr>
                    <w:tab/>
                    <w:t xml:space="preserve">A live birth is defined as the full separation or removal of the foetus from the mother after a period of 28 weeks or more of pregnancy (i.e., a foetus of 35 centimetres or more, weighing at least 1,000 grams), capable after separation from the mother of </w:t>
                  </w:r>
                </w:p>
              </w:txbxContent>
            </v:textbox>
          </v:shape>
        </w:pict>
      </w:r>
    </w:p>
    <w:p w:rsidR="00000000" w:rsidRDefault="00000000">
      <w:pPr>
        <w:tabs>
          <w:tab w:val="left" w:pos="475"/>
          <w:tab w:val="left" w:pos="965"/>
          <w:tab w:val="left" w:pos="1440"/>
          <w:tab w:val="left" w:pos="1915"/>
          <w:tab w:val="left" w:pos="2405"/>
        </w:tabs>
        <w:spacing w:after="120"/>
        <w:jc w:val="both"/>
      </w:pPr>
    </w:p>
    <w:p w:rsidR="00000000" w:rsidRDefault="00000000">
      <w:pPr>
        <w:tabs>
          <w:tab w:val="left" w:pos="475"/>
          <w:tab w:val="left" w:pos="965"/>
          <w:tab w:val="left" w:pos="1440"/>
          <w:tab w:val="left" w:pos="1915"/>
          <w:tab w:val="left" w:pos="2405"/>
        </w:tabs>
        <w:spacing w:after="120"/>
        <w:jc w:val="both"/>
      </w:pPr>
    </w:p>
    <w:p w:rsidR="00000000" w:rsidRDefault="00000000">
      <w:pPr>
        <w:pStyle w:val="SingleTxt"/>
        <w:tabs>
          <w:tab w:val="clear" w:pos="1267"/>
          <w:tab w:val="left" w:pos="1170"/>
        </w:tabs>
        <w:ind w:left="1170" w:right="-50"/>
        <w:jc w:val="left"/>
      </w:pPr>
      <w:r>
        <w:t>Table 5</w:t>
      </w:r>
      <w:r>
        <w:br/>
      </w:r>
      <w:r>
        <w:rPr>
          <w:b/>
        </w:rPr>
        <w:t>Suicides, by gender and age</w:t>
      </w:r>
    </w:p>
    <w:tbl>
      <w:tblPr>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8"/>
        <w:gridCol w:w="630"/>
        <w:gridCol w:w="720"/>
        <w:gridCol w:w="236"/>
        <w:gridCol w:w="754"/>
        <w:gridCol w:w="738"/>
        <w:gridCol w:w="236"/>
        <w:gridCol w:w="799"/>
        <w:gridCol w:w="801"/>
        <w:gridCol w:w="243"/>
        <w:gridCol w:w="801"/>
        <w:gridCol w:w="812"/>
      </w:tblGrid>
      <w:tr w:rsidR="00000000">
        <w:tblPrEx>
          <w:tblCellMar>
            <w:top w:w="0" w:type="dxa"/>
            <w:bottom w:w="0" w:type="dxa"/>
          </w:tblCellMar>
        </w:tblPrEx>
        <w:trPr>
          <w:cantSplit/>
        </w:trPr>
        <w:tc>
          <w:tcPr>
            <w:tcW w:w="1188" w:type="dxa"/>
            <w:tcBorders>
              <w:top w:val="single" w:sz="4" w:space="0" w:color="auto"/>
              <w:left w:val="nil"/>
              <w:bottom w:val="nil"/>
              <w:right w:val="nil"/>
            </w:tcBorders>
          </w:tcPr>
          <w:p w:rsidR="00000000" w:rsidRDefault="00000000">
            <w:pPr>
              <w:pStyle w:val="SingleTxt"/>
              <w:tabs>
                <w:tab w:val="clear" w:pos="1267"/>
                <w:tab w:val="left" w:pos="1170"/>
              </w:tabs>
              <w:ind w:left="0" w:right="-50"/>
              <w:jc w:val="center"/>
              <w:rPr>
                <w:i/>
                <w:sz w:val="14"/>
              </w:rPr>
            </w:pPr>
          </w:p>
        </w:tc>
        <w:tc>
          <w:tcPr>
            <w:tcW w:w="1350" w:type="dxa"/>
            <w:gridSpan w:val="2"/>
            <w:tcBorders>
              <w:top w:val="single" w:sz="4" w:space="0" w:color="auto"/>
              <w:left w:val="nil"/>
              <w:bottom w:val="single" w:sz="4" w:space="0" w:color="auto"/>
              <w:right w:val="nil"/>
            </w:tcBorders>
          </w:tcPr>
          <w:p w:rsidR="00000000" w:rsidRDefault="00000000">
            <w:pPr>
              <w:pStyle w:val="SingleTxt"/>
              <w:tabs>
                <w:tab w:val="clear" w:pos="1267"/>
                <w:tab w:val="left" w:pos="1170"/>
              </w:tabs>
              <w:ind w:left="0" w:right="-50"/>
              <w:jc w:val="center"/>
              <w:rPr>
                <w:i/>
                <w:sz w:val="14"/>
              </w:rPr>
            </w:pPr>
            <w:r>
              <w:rPr>
                <w:i/>
                <w:sz w:val="14"/>
              </w:rPr>
              <w:t>1995</w:t>
            </w:r>
          </w:p>
        </w:tc>
        <w:tc>
          <w:tcPr>
            <w:tcW w:w="236" w:type="dxa"/>
            <w:tcBorders>
              <w:top w:val="single" w:sz="4" w:space="0" w:color="auto"/>
              <w:left w:val="nil"/>
              <w:bottom w:val="nil"/>
              <w:right w:val="nil"/>
            </w:tcBorders>
          </w:tcPr>
          <w:p w:rsidR="00000000" w:rsidRDefault="00000000">
            <w:pPr>
              <w:pStyle w:val="SingleTxt"/>
              <w:tabs>
                <w:tab w:val="clear" w:pos="1267"/>
                <w:tab w:val="left" w:pos="1170"/>
              </w:tabs>
              <w:ind w:left="0" w:right="-50"/>
              <w:jc w:val="center"/>
              <w:rPr>
                <w:i/>
                <w:sz w:val="14"/>
              </w:rPr>
            </w:pPr>
          </w:p>
        </w:tc>
        <w:tc>
          <w:tcPr>
            <w:tcW w:w="1492" w:type="dxa"/>
            <w:gridSpan w:val="2"/>
            <w:tcBorders>
              <w:top w:val="single" w:sz="4" w:space="0" w:color="auto"/>
              <w:left w:val="nil"/>
              <w:bottom w:val="single" w:sz="4" w:space="0" w:color="auto"/>
              <w:right w:val="nil"/>
            </w:tcBorders>
          </w:tcPr>
          <w:p w:rsidR="00000000" w:rsidRDefault="00000000">
            <w:pPr>
              <w:pStyle w:val="SingleTxt"/>
              <w:tabs>
                <w:tab w:val="clear" w:pos="1267"/>
                <w:tab w:val="left" w:pos="1170"/>
              </w:tabs>
              <w:ind w:left="0" w:right="-50"/>
              <w:jc w:val="center"/>
              <w:rPr>
                <w:i/>
                <w:sz w:val="14"/>
              </w:rPr>
            </w:pPr>
            <w:r>
              <w:rPr>
                <w:i/>
                <w:sz w:val="14"/>
              </w:rPr>
              <w:t>1996</w:t>
            </w:r>
          </w:p>
        </w:tc>
        <w:tc>
          <w:tcPr>
            <w:tcW w:w="236" w:type="dxa"/>
            <w:tcBorders>
              <w:top w:val="single" w:sz="4" w:space="0" w:color="auto"/>
              <w:left w:val="nil"/>
              <w:bottom w:val="nil"/>
              <w:right w:val="nil"/>
            </w:tcBorders>
          </w:tcPr>
          <w:p w:rsidR="00000000" w:rsidRDefault="00000000">
            <w:pPr>
              <w:pStyle w:val="SingleTxt"/>
              <w:tabs>
                <w:tab w:val="clear" w:pos="1267"/>
                <w:tab w:val="left" w:pos="1170"/>
              </w:tabs>
              <w:ind w:left="0" w:right="-50"/>
              <w:jc w:val="center"/>
              <w:rPr>
                <w:i/>
                <w:sz w:val="14"/>
              </w:rPr>
            </w:pPr>
          </w:p>
        </w:tc>
        <w:tc>
          <w:tcPr>
            <w:tcW w:w="1600" w:type="dxa"/>
            <w:gridSpan w:val="2"/>
            <w:tcBorders>
              <w:top w:val="single" w:sz="4" w:space="0" w:color="auto"/>
              <w:left w:val="nil"/>
              <w:bottom w:val="single" w:sz="4" w:space="0" w:color="auto"/>
              <w:right w:val="nil"/>
            </w:tcBorders>
          </w:tcPr>
          <w:p w:rsidR="00000000" w:rsidRDefault="00000000">
            <w:pPr>
              <w:pStyle w:val="SingleTxt"/>
              <w:tabs>
                <w:tab w:val="clear" w:pos="1267"/>
                <w:tab w:val="left" w:pos="1170"/>
              </w:tabs>
              <w:ind w:left="0" w:right="-50"/>
              <w:jc w:val="center"/>
              <w:rPr>
                <w:i/>
                <w:sz w:val="14"/>
              </w:rPr>
            </w:pPr>
            <w:r>
              <w:rPr>
                <w:i/>
                <w:sz w:val="14"/>
              </w:rPr>
              <w:t>1997</w:t>
            </w:r>
          </w:p>
        </w:tc>
        <w:tc>
          <w:tcPr>
            <w:tcW w:w="243" w:type="dxa"/>
            <w:tcBorders>
              <w:top w:val="single" w:sz="4" w:space="0" w:color="auto"/>
              <w:left w:val="nil"/>
              <w:bottom w:val="nil"/>
              <w:right w:val="nil"/>
            </w:tcBorders>
          </w:tcPr>
          <w:p w:rsidR="00000000" w:rsidRDefault="00000000">
            <w:pPr>
              <w:pStyle w:val="SingleTxt"/>
              <w:tabs>
                <w:tab w:val="clear" w:pos="1267"/>
                <w:tab w:val="left" w:pos="1170"/>
              </w:tabs>
              <w:ind w:left="0" w:right="-50"/>
              <w:jc w:val="center"/>
              <w:rPr>
                <w:i/>
                <w:sz w:val="14"/>
              </w:rPr>
            </w:pPr>
          </w:p>
        </w:tc>
        <w:tc>
          <w:tcPr>
            <w:tcW w:w="1613" w:type="dxa"/>
            <w:gridSpan w:val="2"/>
            <w:tcBorders>
              <w:top w:val="single" w:sz="4" w:space="0" w:color="auto"/>
              <w:left w:val="nil"/>
              <w:bottom w:val="single" w:sz="4" w:space="0" w:color="auto"/>
              <w:right w:val="nil"/>
            </w:tcBorders>
          </w:tcPr>
          <w:p w:rsidR="00000000" w:rsidRDefault="00000000">
            <w:pPr>
              <w:pStyle w:val="SingleTxt"/>
              <w:tabs>
                <w:tab w:val="clear" w:pos="1267"/>
                <w:tab w:val="left" w:pos="1170"/>
              </w:tabs>
              <w:ind w:left="0" w:right="-50"/>
              <w:jc w:val="center"/>
              <w:rPr>
                <w:i/>
                <w:sz w:val="14"/>
              </w:rPr>
            </w:pPr>
            <w:r>
              <w:rPr>
                <w:i/>
                <w:sz w:val="14"/>
              </w:rPr>
              <w:t>1998</w:t>
            </w:r>
          </w:p>
        </w:tc>
      </w:tr>
      <w:tr w:rsidR="00000000">
        <w:tblPrEx>
          <w:tblCellMar>
            <w:top w:w="0" w:type="dxa"/>
            <w:bottom w:w="0" w:type="dxa"/>
          </w:tblCellMar>
        </w:tblPrEx>
        <w:tc>
          <w:tcPr>
            <w:tcW w:w="1188" w:type="dxa"/>
            <w:tcBorders>
              <w:top w:val="nil"/>
              <w:left w:val="nil"/>
              <w:bottom w:val="single" w:sz="12" w:space="0" w:color="auto"/>
              <w:right w:val="nil"/>
            </w:tcBorders>
          </w:tcPr>
          <w:p w:rsidR="00000000" w:rsidRDefault="00000000">
            <w:pPr>
              <w:pStyle w:val="SingleTxt"/>
              <w:tabs>
                <w:tab w:val="clear" w:pos="1267"/>
                <w:tab w:val="left" w:pos="1170"/>
              </w:tabs>
              <w:ind w:left="0" w:right="-50"/>
              <w:jc w:val="left"/>
              <w:rPr>
                <w:i/>
                <w:sz w:val="14"/>
              </w:rPr>
            </w:pPr>
          </w:p>
        </w:tc>
        <w:tc>
          <w:tcPr>
            <w:tcW w:w="630" w:type="dxa"/>
            <w:tcBorders>
              <w:top w:val="single" w:sz="4" w:space="0" w:color="auto"/>
              <w:left w:val="nil"/>
              <w:bottom w:val="single" w:sz="12" w:space="0" w:color="auto"/>
              <w:right w:val="nil"/>
            </w:tcBorders>
          </w:tcPr>
          <w:p w:rsidR="00000000" w:rsidRDefault="00000000">
            <w:pPr>
              <w:pStyle w:val="SingleTxt"/>
              <w:tabs>
                <w:tab w:val="clear" w:pos="1267"/>
                <w:tab w:val="left" w:pos="1170"/>
              </w:tabs>
              <w:ind w:left="0" w:right="-50"/>
              <w:jc w:val="right"/>
              <w:rPr>
                <w:i/>
                <w:sz w:val="14"/>
              </w:rPr>
            </w:pPr>
            <w:r>
              <w:rPr>
                <w:i/>
                <w:sz w:val="14"/>
              </w:rPr>
              <w:t>Male</w:t>
            </w:r>
          </w:p>
        </w:tc>
        <w:tc>
          <w:tcPr>
            <w:tcW w:w="720" w:type="dxa"/>
            <w:tcBorders>
              <w:top w:val="single" w:sz="4" w:space="0" w:color="auto"/>
              <w:left w:val="nil"/>
              <w:bottom w:val="single" w:sz="12" w:space="0" w:color="auto"/>
              <w:right w:val="nil"/>
            </w:tcBorders>
          </w:tcPr>
          <w:p w:rsidR="00000000" w:rsidRDefault="00000000">
            <w:pPr>
              <w:pStyle w:val="SingleTxt"/>
              <w:tabs>
                <w:tab w:val="clear" w:pos="1267"/>
                <w:tab w:val="left" w:pos="1170"/>
              </w:tabs>
              <w:ind w:left="0" w:right="-50"/>
              <w:jc w:val="right"/>
              <w:rPr>
                <w:i/>
                <w:sz w:val="14"/>
              </w:rPr>
            </w:pPr>
            <w:r>
              <w:rPr>
                <w:i/>
                <w:sz w:val="14"/>
              </w:rPr>
              <w:t>Female</w:t>
            </w:r>
          </w:p>
        </w:tc>
        <w:tc>
          <w:tcPr>
            <w:tcW w:w="236" w:type="dxa"/>
            <w:tcBorders>
              <w:top w:val="nil"/>
              <w:left w:val="nil"/>
              <w:bottom w:val="single" w:sz="12" w:space="0" w:color="auto"/>
              <w:right w:val="nil"/>
            </w:tcBorders>
          </w:tcPr>
          <w:p w:rsidR="00000000" w:rsidRDefault="00000000">
            <w:pPr>
              <w:pStyle w:val="SingleTxt"/>
              <w:tabs>
                <w:tab w:val="clear" w:pos="1267"/>
                <w:tab w:val="left" w:pos="1170"/>
              </w:tabs>
              <w:ind w:left="0" w:right="-50"/>
              <w:jc w:val="right"/>
              <w:rPr>
                <w:i/>
                <w:sz w:val="14"/>
              </w:rPr>
            </w:pPr>
          </w:p>
        </w:tc>
        <w:tc>
          <w:tcPr>
            <w:tcW w:w="754" w:type="dxa"/>
            <w:tcBorders>
              <w:top w:val="single" w:sz="4" w:space="0" w:color="auto"/>
              <w:left w:val="nil"/>
              <w:bottom w:val="single" w:sz="12" w:space="0" w:color="auto"/>
              <w:right w:val="nil"/>
            </w:tcBorders>
          </w:tcPr>
          <w:p w:rsidR="00000000" w:rsidRDefault="00000000">
            <w:pPr>
              <w:pStyle w:val="SingleTxt"/>
              <w:tabs>
                <w:tab w:val="clear" w:pos="1267"/>
                <w:tab w:val="left" w:pos="1170"/>
              </w:tabs>
              <w:ind w:left="0" w:right="-50"/>
              <w:jc w:val="right"/>
              <w:rPr>
                <w:i/>
                <w:sz w:val="14"/>
              </w:rPr>
            </w:pPr>
            <w:r>
              <w:rPr>
                <w:i/>
                <w:sz w:val="14"/>
              </w:rPr>
              <w:t>Male</w:t>
            </w:r>
          </w:p>
        </w:tc>
        <w:tc>
          <w:tcPr>
            <w:tcW w:w="738" w:type="dxa"/>
            <w:tcBorders>
              <w:top w:val="single" w:sz="4" w:space="0" w:color="auto"/>
              <w:left w:val="nil"/>
              <w:bottom w:val="single" w:sz="12" w:space="0" w:color="auto"/>
              <w:right w:val="nil"/>
            </w:tcBorders>
          </w:tcPr>
          <w:p w:rsidR="00000000" w:rsidRDefault="00000000">
            <w:pPr>
              <w:pStyle w:val="SingleTxt"/>
              <w:tabs>
                <w:tab w:val="clear" w:pos="1267"/>
                <w:tab w:val="left" w:pos="1170"/>
              </w:tabs>
              <w:ind w:left="0" w:right="-50"/>
              <w:jc w:val="right"/>
              <w:rPr>
                <w:i/>
                <w:sz w:val="14"/>
              </w:rPr>
            </w:pPr>
            <w:r>
              <w:rPr>
                <w:i/>
                <w:sz w:val="14"/>
              </w:rPr>
              <w:t>Female</w:t>
            </w:r>
          </w:p>
        </w:tc>
        <w:tc>
          <w:tcPr>
            <w:tcW w:w="236" w:type="dxa"/>
            <w:tcBorders>
              <w:top w:val="nil"/>
              <w:left w:val="nil"/>
              <w:bottom w:val="single" w:sz="12" w:space="0" w:color="auto"/>
              <w:right w:val="nil"/>
            </w:tcBorders>
          </w:tcPr>
          <w:p w:rsidR="00000000" w:rsidRDefault="00000000">
            <w:pPr>
              <w:pStyle w:val="SingleTxt"/>
              <w:tabs>
                <w:tab w:val="clear" w:pos="1267"/>
                <w:tab w:val="left" w:pos="1170"/>
              </w:tabs>
              <w:ind w:left="0" w:right="-50"/>
              <w:jc w:val="right"/>
              <w:rPr>
                <w:i/>
                <w:sz w:val="14"/>
              </w:rPr>
            </w:pPr>
          </w:p>
        </w:tc>
        <w:tc>
          <w:tcPr>
            <w:tcW w:w="799" w:type="dxa"/>
            <w:tcBorders>
              <w:top w:val="single" w:sz="4" w:space="0" w:color="auto"/>
              <w:left w:val="nil"/>
              <w:bottom w:val="single" w:sz="12" w:space="0" w:color="auto"/>
              <w:right w:val="nil"/>
            </w:tcBorders>
          </w:tcPr>
          <w:p w:rsidR="00000000" w:rsidRDefault="00000000">
            <w:pPr>
              <w:pStyle w:val="SingleTxt"/>
              <w:tabs>
                <w:tab w:val="clear" w:pos="1267"/>
                <w:tab w:val="left" w:pos="1170"/>
              </w:tabs>
              <w:ind w:left="0" w:right="-50"/>
              <w:jc w:val="right"/>
              <w:rPr>
                <w:i/>
                <w:sz w:val="14"/>
              </w:rPr>
            </w:pPr>
            <w:r>
              <w:rPr>
                <w:i/>
                <w:sz w:val="14"/>
              </w:rPr>
              <w:t>Male</w:t>
            </w:r>
          </w:p>
        </w:tc>
        <w:tc>
          <w:tcPr>
            <w:tcW w:w="801" w:type="dxa"/>
            <w:tcBorders>
              <w:top w:val="single" w:sz="4" w:space="0" w:color="auto"/>
              <w:left w:val="nil"/>
              <w:bottom w:val="single" w:sz="12" w:space="0" w:color="auto"/>
              <w:right w:val="nil"/>
            </w:tcBorders>
          </w:tcPr>
          <w:p w:rsidR="00000000" w:rsidRDefault="00000000">
            <w:pPr>
              <w:pStyle w:val="SingleTxt"/>
              <w:tabs>
                <w:tab w:val="clear" w:pos="1267"/>
                <w:tab w:val="left" w:pos="1170"/>
              </w:tabs>
              <w:ind w:left="0" w:right="-50"/>
              <w:jc w:val="right"/>
              <w:rPr>
                <w:i/>
                <w:sz w:val="14"/>
              </w:rPr>
            </w:pPr>
            <w:r>
              <w:rPr>
                <w:i/>
                <w:sz w:val="14"/>
              </w:rPr>
              <w:t>Female</w:t>
            </w:r>
          </w:p>
        </w:tc>
        <w:tc>
          <w:tcPr>
            <w:tcW w:w="243" w:type="dxa"/>
            <w:tcBorders>
              <w:top w:val="nil"/>
              <w:left w:val="nil"/>
              <w:bottom w:val="single" w:sz="12" w:space="0" w:color="auto"/>
              <w:right w:val="nil"/>
            </w:tcBorders>
          </w:tcPr>
          <w:p w:rsidR="00000000" w:rsidRDefault="00000000">
            <w:pPr>
              <w:pStyle w:val="SingleTxt"/>
              <w:tabs>
                <w:tab w:val="clear" w:pos="1267"/>
                <w:tab w:val="left" w:pos="1170"/>
              </w:tabs>
              <w:ind w:left="0" w:right="-50"/>
              <w:jc w:val="right"/>
              <w:rPr>
                <w:i/>
                <w:sz w:val="14"/>
              </w:rPr>
            </w:pPr>
          </w:p>
        </w:tc>
        <w:tc>
          <w:tcPr>
            <w:tcW w:w="801" w:type="dxa"/>
            <w:tcBorders>
              <w:top w:val="single" w:sz="4" w:space="0" w:color="auto"/>
              <w:left w:val="nil"/>
              <w:bottom w:val="single" w:sz="12" w:space="0" w:color="auto"/>
              <w:right w:val="nil"/>
            </w:tcBorders>
          </w:tcPr>
          <w:p w:rsidR="00000000" w:rsidRDefault="00000000">
            <w:pPr>
              <w:pStyle w:val="SingleTxt"/>
              <w:tabs>
                <w:tab w:val="clear" w:pos="1267"/>
                <w:tab w:val="left" w:pos="1170"/>
              </w:tabs>
              <w:ind w:left="0" w:right="-50"/>
              <w:jc w:val="right"/>
              <w:rPr>
                <w:i/>
                <w:sz w:val="14"/>
              </w:rPr>
            </w:pPr>
            <w:r>
              <w:rPr>
                <w:i/>
                <w:sz w:val="14"/>
              </w:rPr>
              <w:t>Male</w:t>
            </w:r>
          </w:p>
        </w:tc>
        <w:tc>
          <w:tcPr>
            <w:tcW w:w="812" w:type="dxa"/>
            <w:tcBorders>
              <w:top w:val="single" w:sz="4" w:space="0" w:color="auto"/>
              <w:left w:val="nil"/>
              <w:bottom w:val="single" w:sz="12" w:space="0" w:color="auto"/>
              <w:right w:val="nil"/>
            </w:tcBorders>
          </w:tcPr>
          <w:p w:rsidR="00000000" w:rsidRDefault="00000000">
            <w:pPr>
              <w:pStyle w:val="SingleTxt"/>
              <w:tabs>
                <w:tab w:val="clear" w:pos="1267"/>
                <w:tab w:val="left" w:pos="1170"/>
              </w:tabs>
              <w:ind w:left="0" w:right="-50"/>
              <w:jc w:val="right"/>
              <w:rPr>
                <w:i/>
                <w:sz w:val="14"/>
              </w:rPr>
            </w:pPr>
            <w:r>
              <w:rPr>
                <w:i/>
                <w:sz w:val="14"/>
              </w:rPr>
              <w:t>Female</w:t>
            </w:r>
          </w:p>
        </w:tc>
      </w:tr>
      <w:tr w:rsidR="00000000">
        <w:tblPrEx>
          <w:tblCellMar>
            <w:top w:w="0" w:type="dxa"/>
            <w:bottom w:w="0" w:type="dxa"/>
          </w:tblCellMar>
        </w:tblPrEx>
        <w:tc>
          <w:tcPr>
            <w:tcW w:w="1188" w:type="dxa"/>
            <w:tcBorders>
              <w:top w:val="single" w:sz="12" w:space="0" w:color="auto"/>
              <w:left w:val="nil"/>
              <w:bottom w:val="nil"/>
              <w:right w:val="nil"/>
            </w:tcBorders>
          </w:tcPr>
          <w:p w:rsidR="00000000" w:rsidRDefault="00000000">
            <w:pPr>
              <w:pStyle w:val="SingleTxt"/>
              <w:tabs>
                <w:tab w:val="clear" w:pos="1267"/>
                <w:tab w:val="left" w:pos="1170"/>
              </w:tabs>
              <w:ind w:left="0" w:right="-50"/>
              <w:jc w:val="left"/>
              <w:rPr>
                <w:b/>
                <w:sz w:val="17"/>
              </w:rPr>
            </w:pPr>
            <w:r>
              <w:rPr>
                <w:b/>
                <w:sz w:val="17"/>
              </w:rPr>
              <w:t>All deaths</w:t>
            </w:r>
          </w:p>
        </w:tc>
        <w:tc>
          <w:tcPr>
            <w:tcW w:w="630" w:type="dxa"/>
            <w:tcBorders>
              <w:top w:val="single" w:sz="12" w:space="0" w:color="auto"/>
              <w:left w:val="nil"/>
              <w:bottom w:val="nil"/>
              <w:right w:val="nil"/>
            </w:tcBorders>
          </w:tcPr>
          <w:p w:rsidR="00000000" w:rsidRDefault="00000000">
            <w:pPr>
              <w:pStyle w:val="SingleTxt"/>
              <w:tabs>
                <w:tab w:val="clear" w:pos="1267"/>
                <w:tab w:val="left" w:pos="1170"/>
              </w:tabs>
              <w:ind w:left="0" w:right="-50"/>
              <w:jc w:val="right"/>
              <w:rPr>
                <w:b/>
                <w:sz w:val="17"/>
              </w:rPr>
            </w:pPr>
            <w:r>
              <w:rPr>
                <w:b/>
                <w:sz w:val="17"/>
              </w:rPr>
              <w:t>3 927</w:t>
            </w:r>
          </w:p>
        </w:tc>
        <w:tc>
          <w:tcPr>
            <w:tcW w:w="720" w:type="dxa"/>
            <w:tcBorders>
              <w:top w:val="single" w:sz="12" w:space="0" w:color="auto"/>
              <w:left w:val="nil"/>
              <w:bottom w:val="nil"/>
              <w:right w:val="nil"/>
            </w:tcBorders>
          </w:tcPr>
          <w:p w:rsidR="00000000" w:rsidRDefault="00000000">
            <w:pPr>
              <w:pStyle w:val="SingleTxt"/>
              <w:tabs>
                <w:tab w:val="clear" w:pos="1267"/>
                <w:tab w:val="left" w:pos="1170"/>
              </w:tabs>
              <w:ind w:left="0" w:right="-50"/>
              <w:jc w:val="right"/>
              <w:rPr>
                <w:b/>
                <w:sz w:val="17"/>
              </w:rPr>
            </w:pPr>
            <w:r>
              <w:rPr>
                <w:b/>
                <w:sz w:val="17"/>
              </w:rPr>
              <w:t>801</w:t>
            </w:r>
          </w:p>
        </w:tc>
        <w:tc>
          <w:tcPr>
            <w:tcW w:w="236" w:type="dxa"/>
            <w:tcBorders>
              <w:top w:val="single" w:sz="12" w:space="0" w:color="auto"/>
              <w:left w:val="nil"/>
              <w:bottom w:val="nil"/>
              <w:right w:val="nil"/>
            </w:tcBorders>
          </w:tcPr>
          <w:p w:rsidR="00000000" w:rsidRDefault="00000000">
            <w:pPr>
              <w:pStyle w:val="SingleTxt"/>
              <w:tabs>
                <w:tab w:val="clear" w:pos="1267"/>
                <w:tab w:val="left" w:pos="1170"/>
              </w:tabs>
              <w:ind w:left="0" w:right="-50"/>
              <w:jc w:val="right"/>
              <w:rPr>
                <w:b/>
                <w:sz w:val="17"/>
              </w:rPr>
            </w:pPr>
          </w:p>
        </w:tc>
        <w:tc>
          <w:tcPr>
            <w:tcW w:w="754" w:type="dxa"/>
            <w:tcBorders>
              <w:top w:val="single" w:sz="12" w:space="0" w:color="auto"/>
              <w:left w:val="nil"/>
              <w:bottom w:val="nil"/>
              <w:right w:val="nil"/>
            </w:tcBorders>
          </w:tcPr>
          <w:p w:rsidR="00000000" w:rsidRDefault="00000000">
            <w:pPr>
              <w:pStyle w:val="SingleTxt"/>
              <w:tabs>
                <w:tab w:val="clear" w:pos="1267"/>
                <w:tab w:val="left" w:pos="1170"/>
              </w:tabs>
              <w:ind w:left="0" w:right="-50"/>
              <w:jc w:val="right"/>
              <w:rPr>
                <w:b/>
                <w:sz w:val="17"/>
              </w:rPr>
            </w:pPr>
            <w:r>
              <w:rPr>
                <w:b/>
                <w:sz w:val="17"/>
              </w:rPr>
              <w:t>4 016</w:t>
            </w:r>
          </w:p>
        </w:tc>
        <w:tc>
          <w:tcPr>
            <w:tcW w:w="738" w:type="dxa"/>
            <w:tcBorders>
              <w:top w:val="single" w:sz="12" w:space="0" w:color="auto"/>
              <w:left w:val="nil"/>
              <w:bottom w:val="nil"/>
              <w:right w:val="nil"/>
            </w:tcBorders>
          </w:tcPr>
          <w:p w:rsidR="00000000" w:rsidRDefault="00000000">
            <w:pPr>
              <w:pStyle w:val="SingleTxt"/>
              <w:tabs>
                <w:tab w:val="clear" w:pos="1267"/>
                <w:tab w:val="left" w:pos="1170"/>
              </w:tabs>
              <w:ind w:left="0" w:right="-50"/>
              <w:jc w:val="right"/>
              <w:rPr>
                <w:b/>
                <w:sz w:val="17"/>
              </w:rPr>
            </w:pPr>
            <w:r>
              <w:rPr>
                <w:b/>
                <w:sz w:val="17"/>
              </w:rPr>
              <w:t>780</w:t>
            </w:r>
          </w:p>
        </w:tc>
        <w:tc>
          <w:tcPr>
            <w:tcW w:w="236" w:type="dxa"/>
            <w:tcBorders>
              <w:top w:val="single" w:sz="12" w:space="0" w:color="auto"/>
              <w:left w:val="nil"/>
              <w:bottom w:val="nil"/>
              <w:right w:val="nil"/>
            </w:tcBorders>
          </w:tcPr>
          <w:p w:rsidR="00000000" w:rsidRDefault="00000000">
            <w:pPr>
              <w:pStyle w:val="SingleTxt"/>
              <w:tabs>
                <w:tab w:val="clear" w:pos="1267"/>
                <w:tab w:val="left" w:pos="1170"/>
              </w:tabs>
              <w:ind w:left="0" w:right="-50"/>
              <w:jc w:val="right"/>
              <w:rPr>
                <w:b/>
                <w:sz w:val="17"/>
              </w:rPr>
            </w:pPr>
          </w:p>
        </w:tc>
        <w:tc>
          <w:tcPr>
            <w:tcW w:w="799" w:type="dxa"/>
            <w:tcBorders>
              <w:top w:val="single" w:sz="12" w:space="0" w:color="auto"/>
              <w:left w:val="nil"/>
              <w:bottom w:val="nil"/>
              <w:right w:val="nil"/>
            </w:tcBorders>
          </w:tcPr>
          <w:p w:rsidR="00000000" w:rsidRDefault="00000000">
            <w:pPr>
              <w:pStyle w:val="SingleTxt"/>
              <w:tabs>
                <w:tab w:val="clear" w:pos="1267"/>
                <w:tab w:val="left" w:pos="1170"/>
              </w:tabs>
              <w:ind w:left="0" w:right="-50"/>
              <w:jc w:val="right"/>
              <w:rPr>
                <w:b/>
                <w:sz w:val="17"/>
              </w:rPr>
            </w:pPr>
            <w:r>
              <w:rPr>
                <w:b/>
                <w:sz w:val="17"/>
              </w:rPr>
              <w:t>3 902</w:t>
            </w:r>
          </w:p>
        </w:tc>
        <w:tc>
          <w:tcPr>
            <w:tcW w:w="801" w:type="dxa"/>
            <w:tcBorders>
              <w:top w:val="single" w:sz="12" w:space="0" w:color="auto"/>
              <w:left w:val="nil"/>
              <w:bottom w:val="nil"/>
              <w:right w:val="nil"/>
            </w:tcBorders>
          </w:tcPr>
          <w:p w:rsidR="00000000" w:rsidRDefault="00000000">
            <w:pPr>
              <w:pStyle w:val="SingleTxt"/>
              <w:tabs>
                <w:tab w:val="clear" w:pos="1267"/>
                <w:tab w:val="left" w:pos="1170"/>
              </w:tabs>
              <w:ind w:left="0" w:right="-50"/>
              <w:jc w:val="right"/>
              <w:rPr>
                <w:b/>
                <w:sz w:val="17"/>
              </w:rPr>
            </w:pPr>
            <w:r>
              <w:rPr>
                <w:b/>
                <w:sz w:val="17"/>
              </w:rPr>
              <w:t>764</w:t>
            </w:r>
          </w:p>
        </w:tc>
        <w:tc>
          <w:tcPr>
            <w:tcW w:w="243" w:type="dxa"/>
            <w:tcBorders>
              <w:top w:val="single" w:sz="12" w:space="0" w:color="auto"/>
              <w:left w:val="nil"/>
              <w:bottom w:val="nil"/>
              <w:right w:val="nil"/>
            </w:tcBorders>
          </w:tcPr>
          <w:p w:rsidR="00000000" w:rsidRDefault="00000000">
            <w:pPr>
              <w:pStyle w:val="SingleTxt"/>
              <w:tabs>
                <w:tab w:val="clear" w:pos="1267"/>
                <w:tab w:val="left" w:pos="1170"/>
              </w:tabs>
              <w:ind w:left="0" w:right="-50"/>
              <w:jc w:val="right"/>
              <w:rPr>
                <w:b/>
                <w:sz w:val="17"/>
              </w:rPr>
            </w:pPr>
          </w:p>
        </w:tc>
        <w:tc>
          <w:tcPr>
            <w:tcW w:w="801" w:type="dxa"/>
            <w:tcBorders>
              <w:top w:val="single" w:sz="12" w:space="0" w:color="auto"/>
              <w:left w:val="nil"/>
              <w:bottom w:val="nil"/>
              <w:right w:val="nil"/>
            </w:tcBorders>
          </w:tcPr>
          <w:p w:rsidR="00000000" w:rsidRDefault="00000000">
            <w:pPr>
              <w:pStyle w:val="SingleTxt"/>
              <w:tabs>
                <w:tab w:val="clear" w:pos="1267"/>
                <w:tab w:val="left" w:pos="1170"/>
              </w:tabs>
              <w:ind w:left="0" w:right="-50"/>
              <w:jc w:val="right"/>
              <w:rPr>
                <w:b/>
                <w:sz w:val="17"/>
              </w:rPr>
            </w:pPr>
            <w:r>
              <w:rPr>
                <w:b/>
                <w:sz w:val="17"/>
              </w:rPr>
              <w:t>3 601</w:t>
            </w:r>
          </w:p>
        </w:tc>
        <w:tc>
          <w:tcPr>
            <w:tcW w:w="812" w:type="dxa"/>
            <w:tcBorders>
              <w:top w:val="single" w:sz="12" w:space="0" w:color="auto"/>
              <w:left w:val="nil"/>
              <w:bottom w:val="nil"/>
              <w:right w:val="nil"/>
            </w:tcBorders>
          </w:tcPr>
          <w:p w:rsidR="00000000" w:rsidRDefault="00000000">
            <w:pPr>
              <w:pStyle w:val="SingleTxt"/>
              <w:tabs>
                <w:tab w:val="clear" w:pos="1267"/>
                <w:tab w:val="left" w:pos="1170"/>
              </w:tabs>
              <w:ind w:left="0" w:right="-50"/>
              <w:jc w:val="right"/>
              <w:rPr>
                <w:b/>
                <w:sz w:val="17"/>
              </w:rPr>
            </w:pPr>
            <w:r>
              <w:rPr>
                <w:b/>
                <w:sz w:val="17"/>
              </w:rPr>
              <w:t>729</w:t>
            </w:r>
          </w:p>
        </w:tc>
      </w:tr>
      <w:tr w:rsidR="00000000">
        <w:tblPrEx>
          <w:tblCellMar>
            <w:top w:w="0" w:type="dxa"/>
            <w:bottom w:w="0" w:type="dxa"/>
          </w:tblCellMar>
        </w:tblPrEx>
        <w:tc>
          <w:tcPr>
            <w:tcW w:w="1188" w:type="dxa"/>
            <w:tcBorders>
              <w:top w:val="nil"/>
              <w:left w:val="nil"/>
              <w:bottom w:val="nil"/>
              <w:right w:val="nil"/>
            </w:tcBorders>
          </w:tcPr>
          <w:p w:rsidR="00000000" w:rsidRDefault="00000000">
            <w:pPr>
              <w:pStyle w:val="SingleTxt"/>
              <w:tabs>
                <w:tab w:val="clear" w:pos="1267"/>
                <w:tab w:val="left" w:pos="1170"/>
              </w:tabs>
              <w:ind w:left="0" w:right="-50"/>
              <w:jc w:val="left"/>
              <w:rPr>
                <w:sz w:val="17"/>
              </w:rPr>
            </w:pPr>
            <w:r>
              <w:rPr>
                <w:sz w:val="17"/>
              </w:rPr>
              <w:t>Age group:</w:t>
            </w:r>
          </w:p>
        </w:tc>
        <w:tc>
          <w:tcPr>
            <w:tcW w:w="630"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p>
        </w:tc>
        <w:tc>
          <w:tcPr>
            <w:tcW w:w="720"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p>
        </w:tc>
        <w:tc>
          <w:tcPr>
            <w:tcW w:w="236"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p>
        </w:tc>
        <w:tc>
          <w:tcPr>
            <w:tcW w:w="754"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p>
        </w:tc>
        <w:tc>
          <w:tcPr>
            <w:tcW w:w="738"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p>
        </w:tc>
        <w:tc>
          <w:tcPr>
            <w:tcW w:w="236"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p>
        </w:tc>
        <w:tc>
          <w:tcPr>
            <w:tcW w:w="799"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p>
        </w:tc>
        <w:tc>
          <w:tcPr>
            <w:tcW w:w="801"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p>
        </w:tc>
        <w:tc>
          <w:tcPr>
            <w:tcW w:w="243"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p>
        </w:tc>
        <w:tc>
          <w:tcPr>
            <w:tcW w:w="801"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p>
        </w:tc>
        <w:tc>
          <w:tcPr>
            <w:tcW w:w="812"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p>
        </w:tc>
      </w:tr>
      <w:tr w:rsidR="00000000">
        <w:tblPrEx>
          <w:tblCellMar>
            <w:top w:w="0" w:type="dxa"/>
            <w:bottom w:w="0" w:type="dxa"/>
          </w:tblCellMar>
        </w:tblPrEx>
        <w:tc>
          <w:tcPr>
            <w:tcW w:w="1188" w:type="dxa"/>
            <w:tcBorders>
              <w:top w:val="nil"/>
              <w:left w:val="nil"/>
              <w:bottom w:val="nil"/>
              <w:right w:val="nil"/>
            </w:tcBorders>
          </w:tcPr>
          <w:p w:rsidR="00000000" w:rsidRDefault="00000000">
            <w:pPr>
              <w:pStyle w:val="SingleTxt"/>
              <w:tabs>
                <w:tab w:val="clear" w:pos="1267"/>
                <w:tab w:val="left" w:pos="1170"/>
              </w:tabs>
              <w:ind w:left="0" w:right="-50"/>
              <w:jc w:val="left"/>
              <w:rPr>
                <w:sz w:val="17"/>
              </w:rPr>
            </w:pPr>
            <w:r>
              <w:rPr>
                <w:sz w:val="17"/>
              </w:rPr>
              <w:t>Under 20</w:t>
            </w:r>
          </w:p>
        </w:tc>
        <w:tc>
          <w:tcPr>
            <w:tcW w:w="630"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283</w:t>
            </w:r>
          </w:p>
        </w:tc>
        <w:tc>
          <w:tcPr>
            <w:tcW w:w="720"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84</w:t>
            </w:r>
          </w:p>
        </w:tc>
        <w:tc>
          <w:tcPr>
            <w:tcW w:w="236"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p>
        </w:tc>
        <w:tc>
          <w:tcPr>
            <w:tcW w:w="754"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295</w:t>
            </w:r>
          </w:p>
        </w:tc>
        <w:tc>
          <w:tcPr>
            <w:tcW w:w="738"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84</w:t>
            </w:r>
          </w:p>
        </w:tc>
        <w:tc>
          <w:tcPr>
            <w:tcW w:w="236"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p>
        </w:tc>
        <w:tc>
          <w:tcPr>
            <w:tcW w:w="799"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306</w:t>
            </w:r>
          </w:p>
        </w:tc>
        <w:tc>
          <w:tcPr>
            <w:tcW w:w="801"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112</w:t>
            </w:r>
          </w:p>
        </w:tc>
        <w:tc>
          <w:tcPr>
            <w:tcW w:w="243"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p>
        </w:tc>
        <w:tc>
          <w:tcPr>
            <w:tcW w:w="801"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260</w:t>
            </w:r>
          </w:p>
        </w:tc>
        <w:tc>
          <w:tcPr>
            <w:tcW w:w="812"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89</w:t>
            </w:r>
          </w:p>
        </w:tc>
      </w:tr>
      <w:tr w:rsidR="00000000">
        <w:tblPrEx>
          <w:tblCellMar>
            <w:top w:w="0" w:type="dxa"/>
            <w:bottom w:w="0" w:type="dxa"/>
          </w:tblCellMar>
        </w:tblPrEx>
        <w:tc>
          <w:tcPr>
            <w:tcW w:w="1188" w:type="dxa"/>
            <w:tcBorders>
              <w:top w:val="nil"/>
              <w:left w:val="nil"/>
              <w:bottom w:val="nil"/>
              <w:right w:val="nil"/>
            </w:tcBorders>
          </w:tcPr>
          <w:p w:rsidR="00000000" w:rsidRDefault="00000000">
            <w:pPr>
              <w:pStyle w:val="SingleTxt"/>
              <w:tabs>
                <w:tab w:val="clear" w:pos="1267"/>
                <w:tab w:val="left" w:pos="1170"/>
              </w:tabs>
              <w:ind w:left="0" w:right="-50"/>
              <w:jc w:val="left"/>
              <w:rPr>
                <w:sz w:val="17"/>
              </w:rPr>
            </w:pPr>
            <w:r>
              <w:rPr>
                <w:sz w:val="17"/>
              </w:rPr>
              <w:t>20-24</w:t>
            </w:r>
          </w:p>
        </w:tc>
        <w:tc>
          <w:tcPr>
            <w:tcW w:w="630"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400</w:t>
            </w:r>
          </w:p>
        </w:tc>
        <w:tc>
          <w:tcPr>
            <w:tcW w:w="720"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76</w:t>
            </w:r>
          </w:p>
        </w:tc>
        <w:tc>
          <w:tcPr>
            <w:tcW w:w="236"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p>
        </w:tc>
        <w:tc>
          <w:tcPr>
            <w:tcW w:w="754"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397</w:t>
            </w:r>
          </w:p>
        </w:tc>
        <w:tc>
          <w:tcPr>
            <w:tcW w:w="738"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84</w:t>
            </w:r>
          </w:p>
        </w:tc>
        <w:tc>
          <w:tcPr>
            <w:tcW w:w="236"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p>
        </w:tc>
        <w:tc>
          <w:tcPr>
            <w:tcW w:w="799"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398</w:t>
            </w:r>
          </w:p>
        </w:tc>
        <w:tc>
          <w:tcPr>
            <w:tcW w:w="801"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79</w:t>
            </w:r>
          </w:p>
        </w:tc>
        <w:tc>
          <w:tcPr>
            <w:tcW w:w="243"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p>
        </w:tc>
        <w:tc>
          <w:tcPr>
            <w:tcW w:w="801"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388</w:t>
            </w:r>
          </w:p>
        </w:tc>
        <w:tc>
          <w:tcPr>
            <w:tcW w:w="812"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74</w:t>
            </w:r>
          </w:p>
        </w:tc>
      </w:tr>
      <w:tr w:rsidR="00000000">
        <w:tblPrEx>
          <w:tblCellMar>
            <w:top w:w="0" w:type="dxa"/>
            <w:bottom w:w="0" w:type="dxa"/>
          </w:tblCellMar>
        </w:tblPrEx>
        <w:tc>
          <w:tcPr>
            <w:tcW w:w="1188" w:type="dxa"/>
            <w:tcBorders>
              <w:top w:val="nil"/>
              <w:left w:val="nil"/>
              <w:bottom w:val="nil"/>
              <w:right w:val="nil"/>
            </w:tcBorders>
          </w:tcPr>
          <w:p w:rsidR="00000000" w:rsidRDefault="00000000">
            <w:pPr>
              <w:pStyle w:val="SingleTxt"/>
              <w:tabs>
                <w:tab w:val="clear" w:pos="1267"/>
                <w:tab w:val="left" w:pos="1170"/>
              </w:tabs>
              <w:ind w:left="0" w:right="-50"/>
              <w:jc w:val="left"/>
              <w:rPr>
                <w:sz w:val="17"/>
              </w:rPr>
            </w:pPr>
            <w:r>
              <w:rPr>
                <w:sz w:val="17"/>
              </w:rPr>
              <w:t>25-29</w:t>
            </w:r>
          </w:p>
        </w:tc>
        <w:tc>
          <w:tcPr>
            <w:tcW w:w="630"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412</w:t>
            </w:r>
          </w:p>
        </w:tc>
        <w:tc>
          <w:tcPr>
            <w:tcW w:w="720"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60</w:t>
            </w:r>
          </w:p>
        </w:tc>
        <w:tc>
          <w:tcPr>
            <w:tcW w:w="236"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p>
        </w:tc>
        <w:tc>
          <w:tcPr>
            <w:tcW w:w="754"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399</w:t>
            </w:r>
          </w:p>
        </w:tc>
        <w:tc>
          <w:tcPr>
            <w:tcW w:w="738"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73</w:t>
            </w:r>
          </w:p>
        </w:tc>
        <w:tc>
          <w:tcPr>
            <w:tcW w:w="236"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p>
        </w:tc>
        <w:tc>
          <w:tcPr>
            <w:tcW w:w="799"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359</w:t>
            </w:r>
          </w:p>
        </w:tc>
        <w:tc>
          <w:tcPr>
            <w:tcW w:w="801"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47</w:t>
            </w:r>
          </w:p>
        </w:tc>
        <w:tc>
          <w:tcPr>
            <w:tcW w:w="243"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p>
        </w:tc>
        <w:tc>
          <w:tcPr>
            <w:tcW w:w="801"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376</w:t>
            </w:r>
          </w:p>
        </w:tc>
        <w:tc>
          <w:tcPr>
            <w:tcW w:w="812"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72</w:t>
            </w:r>
          </w:p>
        </w:tc>
      </w:tr>
      <w:tr w:rsidR="00000000">
        <w:tblPrEx>
          <w:tblCellMar>
            <w:top w:w="0" w:type="dxa"/>
            <w:bottom w:w="0" w:type="dxa"/>
          </w:tblCellMar>
        </w:tblPrEx>
        <w:tc>
          <w:tcPr>
            <w:tcW w:w="1188" w:type="dxa"/>
            <w:tcBorders>
              <w:top w:val="nil"/>
              <w:left w:val="nil"/>
              <w:bottom w:val="nil"/>
              <w:right w:val="nil"/>
            </w:tcBorders>
          </w:tcPr>
          <w:p w:rsidR="00000000" w:rsidRDefault="00000000">
            <w:pPr>
              <w:pStyle w:val="SingleTxt"/>
              <w:tabs>
                <w:tab w:val="clear" w:pos="1267"/>
                <w:tab w:val="left" w:pos="1170"/>
              </w:tabs>
              <w:ind w:left="0" w:right="-50"/>
              <w:jc w:val="left"/>
              <w:rPr>
                <w:sz w:val="17"/>
              </w:rPr>
            </w:pPr>
            <w:r>
              <w:rPr>
                <w:sz w:val="17"/>
              </w:rPr>
              <w:t>30-39</w:t>
            </w:r>
          </w:p>
        </w:tc>
        <w:tc>
          <w:tcPr>
            <w:tcW w:w="630"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937</w:t>
            </w:r>
          </w:p>
        </w:tc>
        <w:tc>
          <w:tcPr>
            <w:tcW w:w="720"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122</w:t>
            </w:r>
          </w:p>
        </w:tc>
        <w:tc>
          <w:tcPr>
            <w:tcW w:w="236"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p>
        </w:tc>
        <w:tc>
          <w:tcPr>
            <w:tcW w:w="754"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1 006</w:t>
            </w:r>
          </w:p>
        </w:tc>
        <w:tc>
          <w:tcPr>
            <w:tcW w:w="738"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110</w:t>
            </w:r>
          </w:p>
        </w:tc>
        <w:tc>
          <w:tcPr>
            <w:tcW w:w="236"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p>
        </w:tc>
        <w:tc>
          <w:tcPr>
            <w:tcW w:w="799"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955</w:t>
            </w:r>
          </w:p>
        </w:tc>
        <w:tc>
          <w:tcPr>
            <w:tcW w:w="801"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151</w:t>
            </w:r>
          </w:p>
        </w:tc>
        <w:tc>
          <w:tcPr>
            <w:tcW w:w="243"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p>
        </w:tc>
        <w:tc>
          <w:tcPr>
            <w:tcW w:w="801"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799</w:t>
            </w:r>
          </w:p>
        </w:tc>
        <w:tc>
          <w:tcPr>
            <w:tcW w:w="812"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126</w:t>
            </w:r>
          </w:p>
        </w:tc>
      </w:tr>
      <w:tr w:rsidR="00000000">
        <w:tblPrEx>
          <w:tblCellMar>
            <w:top w:w="0" w:type="dxa"/>
            <w:bottom w:w="0" w:type="dxa"/>
          </w:tblCellMar>
        </w:tblPrEx>
        <w:tc>
          <w:tcPr>
            <w:tcW w:w="1188" w:type="dxa"/>
            <w:tcBorders>
              <w:top w:val="nil"/>
              <w:left w:val="nil"/>
              <w:bottom w:val="nil"/>
              <w:right w:val="nil"/>
            </w:tcBorders>
          </w:tcPr>
          <w:p w:rsidR="00000000" w:rsidRDefault="00000000">
            <w:pPr>
              <w:pStyle w:val="SingleTxt"/>
              <w:tabs>
                <w:tab w:val="clear" w:pos="1267"/>
                <w:tab w:val="left" w:pos="1170"/>
              </w:tabs>
              <w:ind w:left="0" w:right="-50"/>
              <w:jc w:val="left"/>
              <w:rPr>
                <w:sz w:val="17"/>
              </w:rPr>
            </w:pPr>
            <w:r>
              <w:rPr>
                <w:sz w:val="17"/>
              </w:rPr>
              <w:t>40-49</w:t>
            </w:r>
          </w:p>
        </w:tc>
        <w:tc>
          <w:tcPr>
            <w:tcW w:w="630"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786</w:t>
            </w:r>
          </w:p>
        </w:tc>
        <w:tc>
          <w:tcPr>
            <w:tcW w:w="720"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112</w:t>
            </w:r>
          </w:p>
        </w:tc>
        <w:tc>
          <w:tcPr>
            <w:tcW w:w="236"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p>
        </w:tc>
        <w:tc>
          <w:tcPr>
            <w:tcW w:w="754"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872</w:t>
            </w:r>
          </w:p>
        </w:tc>
        <w:tc>
          <w:tcPr>
            <w:tcW w:w="738"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120</w:t>
            </w:r>
          </w:p>
        </w:tc>
        <w:tc>
          <w:tcPr>
            <w:tcW w:w="236"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p>
        </w:tc>
        <w:tc>
          <w:tcPr>
            <w:tcW w:w="799"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844</w:t>
            </w:r>
          </w:p>
        </w:tc>
        <w:tc>
          <w:tcPr>
            <w:tcW w:w="801"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113</w:t>
            </w:r>
          </w:p>
        </w:tc>
        <w:tc>
          <w:tcPr>
            <w:tcW w:w="243"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p>
        </w:tc>
        <w:tc>
          <w:tcPr>
            <w:tcW w:w="801"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791</w:t>
            </w:r>
          </w:p>
        </w:tc>
        <w:tc>
          <w:tcPr>
            <w:tcW w:w="812"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104</w:t>
            </w:r>
          </w:p>
        </w:tc>
      </w:tr>
      <w:tr w:rsidR="00000000">
        <w:tblPrEx>
          <w:tblCellMar>
            <w:top w:w="0" w:type="dxa"/>
            <w:bottom w:w="0" w:type="dxa"/>
          </w:tblCellMar>
        </w:tblPrEx>
        <w:tc>
          <w:tcPr>
            <w:tcW w:w="1188" w:type="dxa"/>
            <w:tcBorders>
              <w:top w:val="nil"/>
              <w:left w:val="nil"/>
              <w:bottom w:val="nil"/>
              <w:right w:val="nil"/>
            </w:tcBorders>
          </w:tcPr>
          <w:p w:rsidR="00000000" w:rsidRDefault="00000000">
            <w:pPr>
              <w:pStyle w:val="SingleTxt"/>
              <w:tabs>
                <w:tab w:val="clear" w:pos="1267"/>
                <w:tab w:val="left" w:pos="1170"/>
              </w:tabs>
              <w:ind w:left="0" w:right="-50"/>
              <w:jc w:val="left"/>
              <w:rPr>
                <w:sz w:val="17"/>
              </w:rPr>
            </w:pPr>
            <w:r>
              <w:rPr>
                <w:sz w:val="17"/>
              </w:rPr>
              <w:t>50-59</w:t>
            </w:r>
          </w:p>
        </w:tc>
        <w:tc>
          <w:tcPr>
            <w:tcW w:w="630"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611</w:t>
            </w:r>
          </w:p>
        </w:tc>
        <w:tc>
          <w:tcPr>
            <w:tcW w:w="720"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128</w:t>
            </w:r>
          </w:p>
        </w:tc>
        <w:tc>
          <w:tcPr>
            <w:tcW w:w="236"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p>
        </w:tc>
        <w:tc>
          <w:tcPr>
            <w:tcW w:w="754"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578</w:t>
            </w:r>
          </w:p>
        </w:tc>
        <w:tc>
          <w:tcPr>
            <w:tcW w:w="738"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118</w:t>
            </w:r>
          </w:p>
        </w:tc>
        <w:tc>
          <w:tcPr>
            <w:tcW w:w="236"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p>
        </w:tc>
        <w:tc>
          <w:tcPr>
            <w:tcW w:w="799"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546</w:t>
            </w:r>
          </w:p>
        </w:tc>
        <w:tc>
          <w:tcPr>
            <w:tcW w:w="801"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82</w:t>
            </w:r>
          </w:p>
        </w:tc>
        <w:tc>
          <w:tcPr>
            <w:tcW w:w="243"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p>
        </w:tc>
        <w:tc>
          <w:tcPr>
            <w:tcW w:w="801"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480</w:t>
            </w:r>
          </w:p>
        </w:tc>
        <w:tc>
          <w:tcPr>
            <w:tcW w:w="812"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94</w:t>
            </w:r>
          </w:p>
        </w:tc>
      </w:tr>
      <w:tr w:rsidR="00000000">
        <w:tblPrEx>
          <w:tblCellMar>
            <w:top w:w="0" w:type="dxa"/>
            <w:bottom w:w="0" w:type="dxa"/>
          </w:tblCellMar>
        </w:tblPrEx>
        <w:tc>
          <w:tcPr>
            <w:tcW w:w="1188" w:type="dxa"/>
            <w:tcBorders>
              <w:top w:val="nil"/>
              <w:left w:val="nil"/>
              <w:bottom w:val="nil"/>
              <w:right w:val="nil"/>
            </w:tcBorders>
          </w:tcPr>
          <w:p w:rsidR="00000000" w:rsidRDefault="00000000">
            <w:pPr>
              <w:pStyle w:val="SingleTxt"/>
              <w:tabs>
                <w:tab w:val="clear" w:pos="1267"/>
                <w:tab w:val="left" w:pos="1170"/>
              </w:tabs>
              <w:ind w:left="0" w:right="-50"/>
              <w:jc w:val="left"/>
              <w:rPr>
                <w:sz w:val="17"/>
              </w:rPr>
            </w:pPr>
            <w:r>
              <w:rPr>
                <w:sz w:val="17"/>
              </w:rPr>
              <w:t>60-69</w:t>
            </w:r>
          </w:p>
        </w:tc>
        <w:tc>
          <w:tcPr>
            <w:tcW w:w="630"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344</w:t>
            </w:r>
          </w:p>
        </w:tc>
        <w:tc>
          <w:tcPr>
            <w:tcW w:w="720"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95</w:t>
            </w:r>
          </w:p>
        </w:tc>
        <w:tc>
          <w:tcPr>
            <w:tcW w:w="236"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p>
        </w:tc>
        <w:tc>
          <w:tcPr>
            <w:tcW w:w="754"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325</w:t>
            </w:r>
          </w:p>
        </w:tc>
        <w:tc>
          <w:tcPr>
            <w:tcW w:w="738"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99</w:t>
            </w:r>
          </w:p>
        </w:tc>
        <w:tc>
          <w:tcPr>
            <w:tcW w:w="236"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p>
        </w:tc>
        <w:tc>
          <w:tcPr>
            <w:tcW w:w="799"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357</w:t>
            </w:r>
          </w:p>
        </w:tc>
        <w:tc>
          <w:tcPr>
            <w:tcW w:w="801"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78</w:t>
            </w:r>
          </w:p>
        </w:tc>
        <w:tc>
          <w:tcPr>
            <w:tcW w:w="243"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p>
        </w:tc>
        <w:tc>
          <w:tcPr>
            <w:tcW w:w="801"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348</w:t>
            </w:r>
          </w:p>
        </w:tc>
        <w:tc>
          <w:tcPr>
            <w:tcW w:w="812" w:type="dxa"/>
            <w:tcBorders>
              <w:top w:val="nil"/>
              <w:left w:val="nil"/>
              <w:bottom w:val="nil"/>
              <w:right w:val="nil"/>
            </w:tcBorders>
          </w:tcPr>
          <w:p w:rsidR="00000000" w:rsidRDefault="00000000">
            <w:pPr>
              <w:pStyle w:val="SingleTxt"/>
              <w:tabs>
                <w:tab w:val="clear" w:pos="1267"/>
                <w:tab w:val="left" w:pos="1170"/>
              </w:tabs>
              <w:ind w:left="0" w:right="-50"/>
              <w:jc w:val="right"/>
              <w:rPr>
                <w:sz w:val="17"/>
              </w:rPr>
            </w:pPr>
            <w:r>
              <w:rPr>
                <w:sz w:val="17"/>
              </w:rPr>
              <w:t>65</w:t>
            </w:r>
          </w:p>
        </w:tc>
      </w:tr>
      <w:tr w:rsidR="00000000">
        <w:tblPrEx>
          <w:tblCellMar>
            <w:top w:w="0" w:type="dxa"/>
            <w:bottom w:w="0" w:type="dxa"/>
          </w:tblCellMar>
        </w:tblPrEx>
        <w:tc>
          <w:tcPr>
            <w:tcW w:w="1188" w:type="dxa"/>
            <w:tcBorders>
              <w:top w:val="nil"/>
              <w:left w:val="nil"/>
              <w:bottom w:val="single" w:sz="12" w:space="0" w:color="auto"/>
              <w:right w:val="nil"/>
            </w:tcBorders>
          </w:tcPr>
          <w:p w:rsidR="00000000" w:rsidRDefault="00000000">
            <w:pPr>
              <w:pStyle w:val="SingleTxt"/>
              <w:tabs>
                <w:tab w:val="clear" w:pos="1267"/>
                <w:tab w:val="left" w:pos="1170"/>
              </w:tabs>
              <w:ind w:left="0" w:right="-50"/>
              <w:jc w:val="left"/>
              <w:rPr>
                <w:sz w:val="17"/>
              </w:rPr>
            </w:pPr>
            <w:r>
              <w:rPr>
                <w:sz w:val="17"/>
              </w:rPr>
              <w:t>70 and older</w:t>
            </w:r>
          </w:p>
        </w:tc>
        <w:tc>
          <w:tcPr>
            <w:tcW w:w="630" w:type="dxa"/>
            <w:tcBorders>
              <w:top w:val="nil"/>
              <w:left w:val="nil"/>
              <w:bottom w:val="single" w:sz="12" w:space="0" w:color="auto"/>
              <w:right w:val="nil"/>
            </w:tcBorders>
          </w:tcPr>
          <w:p w:rsidR="00000000" w:rsidRDefault="00000000">
            <w:pPr>
              <w:pStyle w:val="SingleTxt"/>
              <w:tabs>
                <w:tab w:val="clear" w:pos="1267"/>
                <w:tab w:val="left" w:pos="1170"/>
              </w:tabs>
              <w:ind w:left="0" w:right="-50"/>
              <w:jc w:val="right"/>
              <w:rPr>
                <w:sz w:val="17"/>
              </w:rPr>
            </w:pPr>
            <w:r>
              <w:rPr>
                <w:sz w:val="17"/>
              </w:rPr>
              <w:t>133</w:t>
            </w:r>
          </w:p>
        </w:tc>
        <w:tc>
          <w:tcPr>
            <w:tcW w:w="720" w:type="dxa"/>
            <w:tcBorders>
              <w:top w:val="nil"/>
              <w:left w:val="nil"/>
              <w:bottom w:val="single" w:sz="12" w:space="0" w:color="auto"/>
              <w:right w:val="nil"/>
            </w:tcBorders>
          </w:tcPr>
          <w:p w:rsidR="00000000" w:rsidRDefault="00000000">
            <w:pPr>
              <w:pStyle w:val="SingleTxt"/>
              <w:tabs>
                <w:tab w:val="clear" w:pos="1267"/>
                <w:tab w:val="left" w:pos="1170"/>
              </w:tabs>
              <w:ind w:left="0" w:right="-50"/>
              <w:jc w:val="right"/>
              <w:rPr>
                <w:sz w:val="17"/>
              </w:rPr>
            </w:pPr>
            <w:r>
              <w:rPr>
                <w:sz w:val="17"/>
              </w:rPr>
              <w:t>123</w:t>
            </w:r>
          </w:p>
        </w:tc>
        <w:tc>
          <w:tcPr>
            <w:tcW w:w="236" w:type="dxa"/>
            <w:tcBorders>
              <w:top w:val="nil"/>
              <w:left w:val="nil"/>
              <w:bottom w:val="single" w:sz="12" w:space="0" w:color="auto"/>
              <w:right w:val="nil"/>
            </w:tcBorders>
          </w:tcPr>
          <w:p w:rsidR="00000000" w:rsidRDefault="00000000">
            <w:pPr>
              <w:pStyle w:val="SingleTxt"/>
              <w:tabs>
                <w:tab w:val="clear" w:pos="1267"/>
                <w:tab w:val="left" w:pos="1170"/>
              </w:tabs>
              <w:ind w:left="0" w:right="-50"/>
              <w:jc w:val="right"/>
              <w:rPr>
                <w:sz w:val="17"/>
              </w:rPr>
            </w:pPr>
          </w:p>
        </w:tc>
        <w:tc>
          <w:tcPr>
            <w:tcW w:w="754" w:type="dxa"/>
            <w:tcBorders>
              <w:top w:val="nil"/>
              <w:left w:val="nil"/>
              <w:bottom w:val="single" w:sz="12" w:space="0" w:color="auto"/>
              <w:right w:val="nil"/>
            </w:tcBorders>
          </w:tcPr>
          <w:p w:rsidR="00000000" w:rsidRDefault="00000000">
            <w:pPr>
              <w:pStyle w:val="SingleTxt"/>
              <w:tabs>
                <w:tab w:val="clear" w:pos="1267"/>
                <w:tab w:val="left" w:pos="1170"/>
              </w:tabs>
              <w:ind w:left="0" w:right="-50"/>
              <w:jc w:val="right"/>
              <w:rPr>
                <w:sz w:val="17"/>
              </w:rPr>
            </w:pPr>
            <w:r>
              <w:rPr>
                <w:sz w:val="17"/>
              </w:rPr>
              <w:t>124</w:t>
            </w:r>
          </w:p>
        </w:tc>
        <w:tc>
          <w:tcPr>
            <w:tcW w:w="738" w:type="dxa"/>
            <w:tcBorders>
              <w:top w:val="nil"/>
              <w:left w:val="nil"/>
              <w:bottom w:val="single" w:sz="12" w:space="0" w:color="auto"/>
              <w:right w:val="nil"/>
            </w:tcBorders>
          </w:tcPr>
          <w:p w:rsidR="00000000" w:rsidRDefault="00000000">
            <w:pPr>
              <w:pStyle w:val="SingleTxt"/>
              <w:tabs>
                <w:tab w:val="clear" w:pos="1267"/>
                <w:tab w:val="left" w:pos="1170"/>
              </w:tabs>
              <w:ind w:left="0" w:right="-50"/>
              <w:jc w:val="right"/>
              <w:rPr>
                <w:sz w:val="17"/>
              </w:rPr>
            </w:pPr>
            <w:r>
              <w:rPr>
                <w:sz w:val="17"/>
              </w:rPr>
              <w:t>89</w:t>
            </w:r>
          </w:p>
        </w:tc>
        <w:tc>
          <w:tcPr>
            <w:tcW w:w="236" w:type="dxa"/>
            <w:tcBorders>
              <w:top w:val="nil"/>
              <w:left w:val="nil"/>
              <w:bottom w:val="single" w:sz="12" w:space="0" w:color="auto"/>
              <w:right w:val="nil"/>
            </w:tcBorders>
          </w:tcPr>
          <w:p w:rsidR="00000000" w:rsidRDefault="00000000">
            <w:pPr>
              <w:pStyle w:val="SingleTxt"/>
              <w:tabs>
                <w:tab w:val="clear" w:pos="1267"/>
                <w:tab w:val="left" w:pos="1170"/>
              </w:tabs>
              <w:ind w:left="0" w:right="-50"/>
              <w:jc w:val="right"/>
              <w:rPr>
                <w:sz w:val="17"/>
              </w:rPr>
            </w:pPr>
          </w:p>
        </w:tc>
        <w:tc>
          <w:tcPr>
            <w:tcW w:w="799" w:type="dxa"/>
            <w:tcBorders>
              <w:top w:val="nil"/>
              <w:left w:val="nil"/>
              <w:bottom w:val="single" w:sz="12" w:space="0" w:color="auto"/>
              <w:right w:val="nil"/>
            </w:tcBorders>
          </w:tcPr>
          <w:p w:rsidR="00000000" w:rsidRDefault="00000000">
            <w:pPr>
              <w:pStyle w:val="SingleTxt"/>
              <w:tabs>
                <w:tab w:val="clear" w:pos="1267"/>
                <w:tab w:val="left" w:pos="1170"/>
              </w:tabs>
              <w:ind w:left="0" w:right="-50"/>
              <w:jc w:val="right"/>
              <w:rPr>
                <w:sz w:val="17"/>
              </w:rPr>
            </w:pPr>
            <w:r>
              <w:rPr>
                <w:sz w:val="17"/>
              </w:rPr>
              <w:t>116</w:t>
            </w:r>
          </w:p>
        </w:tc>
        <w:tc>
          <w:tcPr>
            <w:tcW w:w="801" w:type="dxa"/>
            <w:tcBorders>
              <w:top w:val="nil"/>
              <w:left w:val="nil"/>
              <w:bottom w:val="single" w:sz="12" w:space="0" w:color="auto"/>
              <w:right w:val="nil"/>
            </w:tcBorders>
          </w:tcPr>
          <w:p w:rsidR="00000000" w:rsidRDefault="00000000">
            <w:pPr>
              <w:pStyle w:val="SingleTxt"/>
              <w:tabs>
                <w:tab w:val="clear" w:pos="1267"/>
                <w:tab w:val="left" w:pos="1170"/>
              </w:tabs>
              <w:ind w:left="0" w:right="-50"/>
              <w:jc w:val="right"/>
              <w:rPr>
                <w:sz w:val="17"/>
              </w:rPr>
            </w:pPr>
            <w:r>
              <w:rPr>
                <w:sz w:val="17"/>
              </w:rPr>
              <w:t>99</w:t>
            </w:r>
          </w:p>
        </w:tc>
        <w:tc>
          <w:tcPr>
            <w:tcW w:w="243" w:type="dxa"/>
            <w:tcBorders>
              <w:top w:val="nil"/>
              <w:left w:val="nil"/>
              <w:bottom w:val="single" w:sz="12" w:space="0" w:color="auto"/>
              <w:right w:val="nil"/>
            </w:tcBorders>
          </w:tcPr>
          <w:p w:rsidR="00000000" w:rsidRDefault="00000000">
            <w:pPr>
              <w:pStyle w:val="SingleTxt"/>
              <w:tabs>
                <w:tab w:val="clear" w:pos="1267"/>
                <w:tab w:val="left" w:pos="1170"/>
              </w:tabs>
              <w:ind w:left="0" w:right="-50"/>
              <w:jc w:val="right"/>
              <w:rPr>
                <w:sz w:val="17"/>
              </w:rPr>
            </w:pPr>
          </w:p>
        </w:tc>
        <w:tc>
          <w:tcPr>
            <w:tcW w:w="801" w:type="dxa"/>
            <w:tcBorders>
              <w:top w:val="nil"/>
              <w:left w:val="nil"/>
              <w:bottom w:val="single" w:sz="12" w:space="0" w:color="auto"/>
              <w:right w:val="nil"/>
            </w:tcBorders>
          </w:tcPr>
          <w:p w:rsidR="00000000" w:rsidRDefault="00000000">
            <w:pPr>
              <w:pStyle w:val="SingleTxt"/>
              <w:tabs>
                <w:tab w:val="clear" w:pos="1267"/>
                <w:tab w:val="left" w:pos="1170"/>
              </w:tabs>
              <w:ind w:left="0" w:right="-50"/>
              <w:jc w:val="right"/>
              <w:rPr>
                <w:sz w:val="17"/>
              </w:rPr>
            </w:pPr>
            <w:r>
              <w:rPr>
                <w:sz w:val="17"/>
              </w:rPr>
              <w:t>142</w:t>
            </w:r>
          </w:p>
        </w:tc>
        <w:tc>
          <w:tcPr>
            <w:tcW w:w="812" w:type="dxa"/>
            <w:tcBorders>
              <w:top w:val="nil"/>
              <w:left w:val="nil"/>
              <w:bottom w:val="single" w:sz="12" w:space="0" w:color="auto"/>
              <w:right w:val="nil"/>
            </w:tcBorders>
          </w:tcPr>
          <w:p w:rsidR="00000000" w:rsidRDefault="00000000">
            <w:pPr>
              <w:pStyle w:val="SingleTxt"/>
              <w:tabs>
                <w:tab w:val="clear" w:pos="1267"/>
                <w:tab w:val="left" w:pos="1170"/>
              </w:tabs>
              <w:ind w:left="0" w:right="-50"/>
              <w:jc w:val="right"/>
              <w:rPr>
                <w:sz w:val="17"/>
              </w:rPr>
            </w:pPr>
            <w:r>
              <w:rPr>
                <w:sz w:val="17"/>
              </w:rPr>
              <w:t>105</w:t>
            </w:r>
          </w:p>
        </w:tc>
      </w:tr>
    </w:tbl>
    <w:p w:rsidR="00000000" w:rsidRDefault="00000000">
      <w:pPr>
        <w:tabs>
          <w:tab w:val="left" w:pos="475"/>
          <w:tab w:val="left" w:pos="965"/>
          <w:tab w:val="left" w:pos="1440"/>
          <w:tab w:val="left" w:pos="1915"/>
          <w:tab w:val="left" w:pos="2405"/>
        </w:tabs>
        <w:spacing w:after="120"/>
        <w:jc w:val="both"/>
      </w:pPr>
    </w:p>
    <w:p w:rsidR="00000000" w:rsidRDefault="00000000">
      <w:pPr>
        <w:pStyle w:val="SingleTxt"/>
        <w:tabs>
          <w:tab w:val="clear" w:pos="1267"/>
          <w:tab w:val="left" w:pos="1170"/>
        </w:tabs>
        <w:ind w:left="1170" w:right="-50"/>
        <w:jc w:val="left"/>
        <w:rPr>
          <w:b/>
        </w:rPr>
      </w:pPr>
      <w:r>
        <w:t>Table 6</w:t>
      </w:r>
      <w:r>
        <w:br/>
      </w:r>
      <w:r>
        <w:rPr>
          <w:b/>
        </w:rPr>
        <w:t>Maternal mortality, by region</w:t>
      </w:r>
    </w:p>
    <w:tbl>
      <w:tblPr>
        <w:tblW w:w="0" w:type="auto"/>
        <w:tblInd w:w="1172" w:type="dxa"/>
        <w:tblLayout w:type="fixed"/>
        <w:tblLook w:val="0000" w:firstRow="0" w:lastRow="0" w:firstColumn="0" w:lastColumn="0" w:noHBand="0" w:noVBand="0"/>
      </w:tblPr>
      <w:tblGrid>
        <w:gridCol w:w="3168"/>
        <w:gridCol w:w="1071"/>
        <w:gridCol w:w="990"/>
        <w:gridCol w:w="963"/>
        <w:gridCol w:w="927"/>
        <w:gridCol w:w="936"/>
      </w:tblGrid>
      <w:tr w:rsidR="00000000">
        <w:tblPrEx>
          <w:tblCellMar>
            <w:top w:w="0" w:type="dxa"/>
            <w:bottom w:w="0" w:type="dxa"/>
          </w:tblCellMar>
        </w:tblPrEx>
        <w:tc>
          <w:tcPr>
            <w:tcW w:w="3168" w:type="dxa"/>
            <w:tcBorders>
              <w:top w:val="single" w:sz="4" w:space="0" w:color="auto"/>
              <w:bottom w:val="single" w:sz="12" w:space="0" w:color="auto"/>
            </w:tcBorders>
          </w:tcPr>
          <w:p w:rsidR="00000000" w:rsidRDefault="00000000">
            <w:pPr>
              <w:pStyle w:val="SingleTxt"/>
              <w:tabs>
                <w:tab w:val="clear" w:pos="1267"/>
                <w:tab w:val="left" w:pos="1170"/>
              </w:tabs>
              <w:ind w:left="0" w:right="-50"/>
              <w:jc w:val="left"/>
              <w:rPr>
                <w:b/>
                <w:i/>
                <w:sz w:val="14"/>
              </w:rPr>
            </w:pPr>
          </w:p>
        </w:tc>
        <w:tc>
          <w:tcPr>
            <w:tcW w:w="1071" w:type="dxa"/>
            <w:tcBorders>
              <w:top w:val="single" w:sz="4" w:space="0" w:color="auto"/>
              <w:bottom w:val="single" w:sz="12" w:space="0" w:color="auto"/>
            </w:tcBorders>
          </w:tcPr>
          <w:p w:rsidR="00000000" w:rsidRDefault="00000000">
            <w:pPr>
              <w:pStyle w:val="SingleTxt"/>
              <w:tabs>
                <w:tab w:val="clear" w:pos="1267"/>
                <w:tab w:val="left" w:pos="1170"/>
              </w:tabs>
              <w:ind w:left="0" w:right="-50"/>
              <w:jc w:val="right"/>
              <w:rPr>
                <w:b/>
                <w:i/>
                <w:sz w:val="14"/>
              </w:rPr>
            </w:pPr>
            <w:r>
              <w:rPr>
                <w:b/>
                <w:i/>
                <w:sz w:val="14"/>
              </w:rPr>
              <w:t>1990</w:t>
            </w:r>
          </w:p>
        </w:tc>
        <w:tc>
          <w:tcPr>
            <w:tcW w:w="990" w:type="dxa"/>
            <w:tcBorders>
              <w:top w:val="single" w:sz="4" w:space="0" w:color="auto"/>
              <w:bottom w:val="single" w:sz="12" w:space="0" w:color="auto"/>
            </w:tcBorders>
          </w:tcPr>
          <w:p w:rsidR="00000000" w:rsidRDefault="00000000">
            <w:pPr>
              <w:pStyle w:val="SingleTxt"/>
              <w:tabs>
                <w:tab w:val="clear" w:pos="1267"/>
                <w:tab w:val="left" w:pos="1170"/>
              </w:tabs>
              <w:ind w:left="0" w:right="-50"/>
              <w:jc w:val="right"/>
              <w:rPr>
                <w:b/>
                <w:i/>
                <w:sz w:val="14"/>
              </w:rPr>
            </w:pPr>
            <w:r>
              <w:rPr>
                <w:b/>
                <w:i/>
                <w:sz w:val="14"/>
              </w:rPr>
              <w:t>1995</w:t>
            </w:r>
          </w:p>
        </w:tc>
        <w:tc>
          <w:tcPr>
            <w:tcW w:w="963" w:type="dxa"/>
            <w:tcBorders>
              <w:top w:val="single" w:sz="4" w:space="0" w:color="auto"/>
              <w:bottom w:val="single" w:sz="12" w:space="0" w:color="auto"/>
            </w:tcBorders>
          </w:tcPr>
          <w:p w:rsidR="00000000" w:rsidRDefault="00000000">
            <w:pPr>
              <w:pStyle w:val="SingleTxt"/>
              <w:tabs>
                <w:tab w:val="clear" w:pos="1267"/>
                <w:tab w:val="left" w:pos="1170"/>
              </w:tabs>
              <w:ind w:left="0" w:right="-50"/>
              <w:jc w:val="right"/>
              <w:rPr>
                <w:b/>
                <w:i/>
                <w:sz w:val="14"/>
              </w:rPr>
            </w:pPr>
            <w:r>
              <w:rPr>
                <w:b/>
                <w:i/>
                <w:sz w:val="14"/>
              </w:rPr>
              <w:t>1996</w:t>
            </w:r>
          </w:p>
        </w:tc>
        <w:tc>
          <w:tcPr>
            <w:tcW w:w="927" w:type="dxa"/>
            <w:tcBorders>
              <w:top w:val="single" w:sz="4" w:space="0" w:color="auto"/>
              <w:bottom w:val="single" w:sz="12" w:space="0" w:color="auto"/>
            </w:tcBorders>
          </w:tcPr>
          <w:p w:rsidR="00000000" w:rsidRDefault="00000000">
            <w:pPr>
              <w:pStyle w:val="SingleTxt"/>
              <w:tabs>
                <w:tab w:val="clear" w:pos="1267"/>
                <w:tab w:val="left" w:pos="1170"/>
              </w:tabs>
              <w:ind w:left="0" w:right="-50"/>
              <w:jc w:val="right"/>
              <w:rPr>
                <w:b/>
                <w:i/>
                <w:sz w:val="14"/>
              </w:rPr>
            </w:pPr>
            <w:r>
              <w:rPr>
                <w:b/>
                <w:i/>
                <w:sz w:val="14"/>
              </w:rPr>
              <w:t>1997</w:t>
            </w:r>
          </w:p>
        </w:tc>
        <w:tc>
          <w:tcPr>
            <w:tcW w:w="936" w:type="dxa"/>
            <w:tcBorders>
              <w:top w:val="single" w:sz="4" w:space="0" w:color="auto"/>
              <w:bottom w:val="single" w:sz="12" w:space="0" w:color="auto"/>
            </w:tcBorders>
          </w:tcPr>
          <w:p w:rsidR="00000000" w:rsidRDefault="00000000">
            <w:pPr>
              <w:pStyle w:val="SingleTxt"/>
              <w:tabs>
                <w:tab w:val="clear" w:pos="1267"/>
                <w:tab w:val="left" w:pos="1170"/>
              </w:tabs>
              <w:ind w:left="0" w:right="-50"/>
              <w:jc w:val="right"/>
              <w:rPr>
                <w:b/>
                <w:i/>
                <w:sz w:val="14"/>
              </w:rPr>
            </w:pPr>
            <w:r>
              <w:rPr>
                <w:b/>
                <w:i/>
                <w:sz w:val="14"/>
              </w:rPr>
              <w:t>1998</w:t>
            </w:r>
          </w:p>
        </w:tc>
      </w:tr>
      <w:tr w:rsidR="00000000">
        <w:tblPrEx>
          <w:tblCellMar>
            <w:top w:w="0" w:type="dxa"/>
            <w:bottom w:w="0" w:type="dxa"/>
          </w:tblCellMar>
        </w:tblPrEx>
        <w:tc>
          <w:tcPr>
            <w:tcW w:w="3168" w:type="dxa"/>
            <w:tcBorders>
              <w:top w:val="single" w:sz="12" w:space="0" w:color="auto"/>
            </w:tcBorders>
          </w:tcPr>
          <w:p w:rsidR="00000000" w:rsidRDefault="00000000">
            <w:pPr>
              <w:pStyle w:val="SingleTxt"/>
              <w:tabs>
                <w:tab w:val="clear" w:pos="1267"/>
                <w:tab w:val="left" w:pos="1170"/>
              </w:tabs>
              <w:ind w:left="0" w:right="-50"/>
              <w:jc w:val="left"/>
              <w:rPr>
                <w:sz w:val="17"/>
              </w:rPr>
            </w:pPr>
            <w:r>
              <w:rPr>
                <w:sz w:val="17"/>
              </w:rPr>
              <w:t>Kazakhstan</w:t>
            </w:r>
          </w:p>
        </w:tc>
        <w:tc>
          <w:tcPr>
            <w:tcW w:w="1071"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199</w:t>
            </w:r>
          </w:p>
        </w:tc>
        <w:tc>
          <w:tcPr>
            <w:tcW w:w="990"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159</w:t>
            </w:r>
          </w:p>
        </w:tc>
        <w:tc>
          <w:tcPr>
            <w:tcW w:w="963"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134</w:t>
            </w:r>
          </w:p>
        </w:tc>
        <w:tc>
          <w:tcPr>
            <w:tcW w:w="927"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137</w:t>
            </w:r>
          </w:p>
        </w:tc>
        <w:tc>
          <w:tcPr>
            <w:tcW w:w="936"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122</w:t>
            </w:r>
          </w:p>
        </w:tc>
      </w:tr>
      <w:tr w:rsidR="00000000">
        <w:tblPrEx>
          <w:tblCellMar>
            <w:top w:w="0" w:type="dxa"/>
            <w:bottom w:w="0" w:type="dxa"/>
          </w:tblCellMar>
        </w:tblPrEx>
        <w:tc>
          <w:tcPr>
            <w:tcW w:w="3168" w:type="dxa"/>
          </w:tcPr>
          <w:p w:rsidR="00000000" w:rsidRDefault="00000000">
            <w:pPr>
              <w:pStyle w:val="SingleTxt"/>
              <w:tabs>
                <w:tab w:val="clear" w:pos="1267"/>
                <w:tab w:val="left" w:pos="1170"/>
              </w:tabs>
              <w:ind w:left="0" w:right="-50"/>
              <w:jc w:val="left"/>
              <w:rPr>
                <w:sz w:val="17"/>
              </w:rPr>
            </w:pPr>
            <w:r>
              <w:rPr>
                <w:sz w:val="17"/>
              </w:rPr>
              <w:t>Aqmola</w:t>
            </w:r>
          </w:p>
        </w:tc>
        <w:tc>
          <w:tcPr>
            <w:tcW w:w="1071" w:type="dxa"/>
          </w:tcPr>
          <w:p w:rsidR="00000000" w:rsidRDefault="00000000">
            <w:pPr>
              <w:pStyle w:val="SingleTxt"/>
              <w:tabs>
                <w:tab w:val="clear" w:pos="1267"/>
                <w:tab w:val="left" w:pos="1170"/>
              </w:tabs>
              <w:ind w:left="0" w:right="-50"/>
              <w:jc w:val="right"/>
              <w:rPr>
                <w:sz w:val="17"/>
              </w:rPr>
            </w:pPr>
            <w:r>
              <w:rPr>
                <w:sz w:val="17"/>
              </w:rPr>
              <w:t>11</w:t>
            </w:r>
          </w:p>
        </w:tc>
        <w:tc>
          <w:tcPr>
            <w:tcW w:w="990" w:type="dxa"/>
          </w:tcPr>
          <w:p w:rsidR="00000000" w:rsidRDefault="00000000">
            <w:pPr>
              <w:pStyle w:val="SingleTxt"/>
              <w:tabs>
                <w:tab w:val="clear" w:pos="1267"/>
                <w:tab w:val="left" w:pos="1170"/>
              </w:tabs>
              <w:ind w:left="0" w:right="-50"/>
              <w:jc w:val="right"/>
              <w:rPr>
                <w:sz w:val="17"/>
              </w:rPr>
            </w:pPr>
            <w:r>
              <w:rPr>
                <w:sz w:val="17"/>
              </w:rPr>
              <w:t>5</w:t>
            </w:r>
          </w:p>
        </w:tc>
        <w:tc>
          <w:tcPr>
            <w:tcW w:w="963" w:type="dxa"/>
          </w:tcPr>
          <w:p w:rsidR="00000000" w:rsidRDefault="00000000">
            <w:pPr>
              <w:pStyle w:val="SingleTxt"/>
              <w:tabs>
                <w:tab w:val="clear" w:pos="1267"/>
                <w:tab w:val="left" w:pos="1170"/>
              </w:tabs>
              <w:ind w:left="0" w:right="-50"/>
              <w:jc w:val="right"/>
              <w:rPr>
                <w:sz w:val="17"/>
              </w:rPr>
            </w:pPr>
            <w:r>
              <w:rPr>
                <w:sz w:val="17"/>
              </w:rPr>
              <w:t>9</w:t>
            </w:r>
          </w:p>
        </w:tc>
        <w:tc>
          <w:tcPr>
            <w:tcW w:w="927" w:type="dxa"/>
          </w:tcPr>
          <w:p w:rsidR="00000000" w:rsidRDefault="00000000">
            <w:pPr>
              <w:pStyle w:val="SingleTxt"/>
              <w:tabs>
                <w:tab w:val="clear" w:pos="1267"/>
                <w:tab w:val="left" w:pos="1170"/>
              </w:tabs>
              <w:ind w:left="0" w:right="-50"/>
              <w:jc w:val="right"/>
              <w:rPr>
                <w:sz w:val="17"/>
              </w:rPr>
            </w:pPr>
            <w:r>
              <w:rPr>
                <w:sz w:val="17"/>
              </w:rPr>
              <w:t>7</w:t>
            </w:r>
          </w:p>
        </w:tc>
        <w:tc>
          <w:tcPr>
            <w:tcW w:w="936" w:type="dxa"/>
          </w:tcPr>
          <w:p w:rsidR="00000000" w:rsidRDefault="00000000">
            <w:pPr>
              <w:pStyle w:val="SingleTxt"/>
              <w:tabs>
                <w:tab w:val="clear" w:pos="1267"/>
                <w:tab w:val="left" w:pos="1170"/>
              </w:tabs>
              <w:ind w:left="0" w:right="-50"/>
              <w:jc w:val="right"/>
              <w:rPr>
                <w:sz w:val="17"/>
              </w:rPr>
            </w:pPr>
            <w:r>
              <w:rPr>
                <w:sz w:val="17"/>
              </w:rPr>
              <w:t>7</w:t>
            </w:r>
          </w:p>
        </w:tc>
      </w:tr>
      <w:tr w:rsidR="00000000">
        <w:tblPrEx>
          <w:tblCellMar>
            <w:top w:w="0" w:type="dxa"/>
            <w:bottom w:w="0" w:type="dxa"/>
          </w:tblCellMar>
        </w:tblPrEx>
        <w:tc>
          <w:tcPr>
            <w:tcW w:w="3168" w:type="dxa"/>
          </w:tcPr>
          <w:p w:rsidR="00000000" w:rsidRDefault="00000000">
            <w:pPr>
              <w:pStyle w:val="SingleTxt"/>
              <w:tabs>
                <w:tab w:val="clear" w:pos="1267"/>
                <w:tab w:val="left" w:pos="1170"/>
              </w:tabs>
              <w:ind w:left="0" w:right="-50"/>
              <w:jc w:val="left"/>
              <w:rPr>
                <w:sz w:val="17"/>
              </w:rPr>
            </w:pPr>
            <w:r>
              <w:rPr>
                <w:sz w:val="17"/>
              </w:rPr>
              <w:t>Aqtobe</w:t>
            </w:r>
          </w:p>
        </w:tc>
        <w:tc>
          <w:tcPr>
            <w:tcW w:w="1071" w:type="dxa"/>
          </w:tcPr>
          <w:p w:rsidR="00000000" w:rsidRDefault="00000000">
            <w:pPr>
              <w:pStyle w:val="SingleTxt"/>
              <w:tabs>
                <w:tab w:val="clear" w:pos="1267"/>
                <w:tab w:val="left" w:pos="1170"/>
              </w:tabs>
              <w:ind w:left="0" w:right="-50"/>
              <w:jc w:val="right"/>
              <w:rPr>
                <w:sz w:val="17"/>
              </w:rPr>
            </w:pPr>
            <w:r>
              <w:rPr>
                <w:sz w:val="17"/>
              </w:rPr>
              <w:t>12</w:t>
            </w:r>
          </w:p>
        </w:tc>
        <w:tc>
          <w:tcPr>
            <w:tcW w:w="990" w:type="dxa"/>
          </w:tcPr>
          <w:p w:rsidR="00000000" w:rsidRDefault="00000000">
            <w:pPr>
              <w:pStyle w:val="SingleTxt"/>
              <w:tabs>
                <w:tab w:val="clear" w:pos="1267"/>
                <w:tab w:val="left" w:pos="1170"/>
              </w:tabs>
              <w:ind w:left="0" w:right="-50"/>
              <w:jc w:val="right"/>
              <w:rPr>
                <w:sz w:val="17"/>
              </w:rPr>
            </w:pPr>
            <w:r>
              <w:rPr>
                <w:sz w:val="17"/>
              </w:rPr>
              <w:t>6</w:t>
            </w:r>
          </w:p>
        </w:tc>
        <w:tc>
          <w:tcPr>
            <w:tcW w:w="963" w:type="dxa"/>
          </w:tcPr>
          <w:p w:rsidR="00000000" w:rsidRDefault="00000000">
            <w:pPr>
              <w:pStyle w:val="SingleTxt"/>
              <w:tabs>
                <w:tab w:val="clear" w:pos="1267"/>
                <w:tab w:val="left" w:pos="1170"/>
              </w:tabs>
              <w:ind w:left="0" w:right="-50"/>
              <w:jc w:val="right"/>
              <w:rPr>
                <w:sz w:val="17"/>
              </w:rPr>
            </w:pPr>
            <w:r>
              <w:rPr>
                <w:sz w:val="17"/>
              </w:rPr>
              <w:t>5</w:t>
            </w:r>
          </w:p>
        </w:tc>
        <w:tc>
          <w:tcPr>
            <w:tcW w:w="927" w:type="dxa"/>
          </w:tcPr>
          <w:p w:rsidR="00000000" w:rsidRDefault="00000000">
            <w:pPr>
              <w:pStyle w:val="SingleTxt"/>
              <w:tabs>
                <w:tab w:val="clear" w:pos="1267"/>
                <w:tab w:val="left" w:pos="1170"/>
              </w:tabs>
              <w:ind w:left="0" w:right="-50"/>
              <w:jc w:val="right"/>
              <w:rPr>
                <w:sz w:val="17"/>
              </w:rPr>
            </w:pPr>
            <w:r>
              <w:rPr>
                <w:sz w:val="17"/>
              </w:rPr>
              <w:t>8</w:t>
            </w:r>
          </w:p>
        </w:tc>
        <w:tc>
          <w:tcPr>
            <w:tcW w:w="936" w:type="dxa"/>
          </w:tcPr>
          <w:p w:rsidR="00000000" w:rsidRDefault="00000000">
            <w:pPr>
              <w:pStyle w:val="SingleTxt"/>
              <w:tabs>
                <w:tab w:val="clear" w:pos="1267"/>
                <w:tab w:val="left" w:pos="1170"/>
              </w:tabs>
              <w:ind w:left="0" w:right="-50"/>
              <w:jc w:val="right"/>
              <w:rPr>
                <w:sz w:val="17"/>
              </w:rPr>
            </w:pPr>
            <w:r>
              <w:rPr>
                <w:sz w:val="17"/>
              </w:rPr>
              <w:t>6</w:t>
            </w:r>
          </w:p>
        </w:tc>
      </w:tr>
      <w:tr w:rsidR="00000000">
        <w:tblPrEx>
          <w:tblCellMar>
            <w:top w:w="0" w:type="dxa"/>
            <w:bottom w:w="0" w:type="dxa"/>
          </w:tblCellMar>
        </w:tblPrEx>
        <w:tc>
          <w:tcPr>
            <w:tcW w:w="3168" w:type="dxa"/>
          </w:tcPr>
          <w:p w:rsidR="00000000" w:rsidRDefault="00000000">
            <w:pPr>
              <w:pStyle w:val="SingleTxt"/>
              <w:tabs>
                <w:tab w:val="clear" w:pos="1267"/>
                <w:tab w:val="left" w:pos="1170"/>
              </w:tabs>
              <w:ind w:left="0" w:right="-50"/>
              <w:jc w:val="left"/>
              <w:rPr>
                <w:sz w:val="17"/>
              </w:rPr>
            </w:pPr>
            <w:r>
              <w:rPr>
                <w:sz w:val="17"/>
              </w:rPr>
              <w:t>Almaty</w:t>
            </w:r>
          </w:p>
        </w:tc>
        <w:tc>
          <w:tcPr>
            <w:tcW w:w="1071" w:type="dxa"/>
          </w:tcPr>
          <w:p w:rsidR="00000000" w:rsidRDefault="00000000">
            <w:pPr>
              <w:pStyle w:val="SingleTxt"/>
              <w:tabs>
                <w:tab w:val="clear" w:pos="1267"/>
                <w:tab w:val="left" w:pos="1170"/>
              </w:tabs>
              <w:ind w:left="0" w:right="-50"/>
              <w:jc w:val="right"/>
              <w:rPr>
                <w:sz w:val="17"/>
              </w:rPr>
            </w:pPr>
            <w:r>
              <w:rPr>
                <w:sz w:val="17"/>
              </w:rPr>
              <w:t>21</w:t>
            </w:r>
          </w:p>
        </w:tc>
        <w:tc>
          <w:tcPr>
            <w:tcW w:w="990" w:type="dxa"/>
          </w:tcPr>
          <w:p w:rsidR="00000000" w:rsidRDefault="00000000">
            <w:pPr>
              <w:pStyle w:val="SingleTxt"/>
              <w:tabs>
                <w:tab w:val="clear" w:pos="1267"/>
                <w:tab w:val="left" w:pos="1170"/>
              </w:tabs>
              <w:ind w:left="0" w:right="-50"/>
              <w:jc w:val="right"/>
              <w:rPr>
                <w:sz w:val="17"/>
              </w:rPr>
            </w:pPr>
            <w:r>
              <w:rPr>
                <w:sz w:val="17"/>
              </w:rPr>
              <w:t>14</w:t>
            </w:r>
          </w:p>
        </w:tc>
        <w:tc>
          <w:tcPr>
            <w:tcW w:w="963" w:type="dxa"/>
          </w:tcPr>
          <w:p w:rsidR="00000000" w:rsidRDefault="00000000">
            <w:pPr>
              <w:pStyle w:val="SingleTxt"/>
              <w:tabs>
                <w:tab w:val="clear" w:pos="1267"/>
                <w:tab w:val="left" w:pos="1170"/>
              </w:tabs>
              <w:ind w:left="0" w:right="-50"/>
              <w:jc w:val="right"/>
              <w:rPr>
                <w:sz w:val="17"/>
              </w:rPr>
            </w:pPr>
            <w:r>
              <w:rPr>
                <w:sz w:val="17"/>
              </w:rPr>
              <w:t>17</w:t>
            </w:r>
          </w:p>
        </w:tc>
        <w:tc>
          <w:tcPr>
            <w:tcW w:w="927" w:type="dxa"/>
          </w:tcPr>
          <w:p w:rsidR="00000000" w:rsidRDefault="00000000">
            <w:pPr>
              <w:pStyle w:val="SingleTxt"/>
              <w:tabs>
                <w:tab w:val="clear" w:pos="1267"/>
                <w:tab w:val="left" w:pos="1170"/>
              </w:tabs>
              <w:ind w:left="0" w:right="-50"/>
              <w:jc w:val="right"/>
              <w:rPr>
                <w:sz w:val="17"/>
              </w:rPr>
            </w:pPr>
            <w:r>
              <w:rPr>
                <w:sz w:val="17"/>
              </w:rPr>
              <w:t>10</w:t>
            </w:r>
          </w:p>
        </w:tc>
        <w:tc>
          <w:tcPr>
            <w:tcW w:w="936" w:type="dxa"/>
          </w:tcPr>
          <w:p w:rsidR="00000000" w:rsidRDefault="00000000">
            <w:pPr>
              <w:pStyle w:val="SingleTxt"/>
              <w:tabs>
                <w:tab w:val="clear" w:pos="1267"/>
                <w:tab w:val="left" w:pos="1170"/>
              </w:tabs>
              <w:ind w:left="0" w:right="-50"/>
              <w:jc w:val="right"/>
              <w:rPr>
                <w:sz w:val="17"/>
              </w:rPr>
            </w:pPr>
            <w:r>
              <w:rPr>
                <w:sz w:val="17"/>
              </w:rPr>
              <w:t>2</w:t>
            </w:r>
          </w:p>
        </w:tc>
      </w:tr>
      <w:tr w:rsidR="00000000">
        <w:tblPrEx>
          <w:tblCellMar>
            <w:top w:w="0" w:type="dxa"/>
            <w:bottom w:w="0" w:type="dxa"/>
          </w:tblCellMar>
        </w:tblPrEx>
        <w:tc>
          <w:tcPr>
            <w:tcW w:w="3168" w:type="dxa"/>
          </w:tcPr>
          <w:p w:rsidR="00000000" w:rsidRDefault="00000000">
            <w:pPr>
              <w:pStyle w:val="SingleTxt"/>
              <w:tabs>
                <w:tab w:val="clear" w:pos="1267"/>
                <w:tab w:val="left" w:pos="1170"/>
              </w:tabs>
              <w:ind w:left="0" w:right="-50"/>
              <w:jc w:val="left"/>
              <w:rPr>
                <w:sz w:val="17"/>
              </w:rPr>
            </w:pPr>
            <w:r>
              <w:rPr>
                <w:sz w:val="17"/>
              </w:rPr>
              <w:t>Atyrau</w:t>
            </w:r>
          </w:p>
        </w:tc>
        <w:tc>
          <w:tcPr>
            <w:tcW w:w="1071" w:type="dxa"/>
          </w:tcPr>
          <w:p w:rsidR="00000000" w:rsidRDefault="00000000">
            <w:pPr>
              <w:pStyle w:val="SingleTxt"/>
              <w:tabs>
                <w:tab w:val="clear" w:pos="1267"/>
                <w:tab w:val="left" w:pos="1170"/>
              </w:tabs>
              <w:ind w:left="0" w:right="-50"/>
              <w:jc w:val="right"/>
              <w:rPr>
                <w:sz w:val="17"/>
              </w:rPr>
            </w:pPr>
            <w:r>
              <w:rPr>
                <w:sz w:val="17"/>
              </w:rPr>
              <w:t>7</w:t>
            </w:r>
          </w:p>
        </w:tc>
        <w:tc>
          <w:tcPr>
            <w:tcW w:w="990" w:type="dxa"/>
          </w:tcPr>
          <w:p w:rsidR="00000000" w:rsidRDefault="00000000">
            <w:pPr>
              <w:pStyle w:val="SingleTxt"/>
              <w:tabs>
                <w:tab w:val="clear" w:pos="1267"/>
                <w:tab w:val="left" w:pos="1170"/>
              </w:tabs>
              <w:ind w:left="0" w:right="-50"/>
              <w:jc w:val="right"/>
              <w:rPr>
                <w:sz w:val="17"/>
              </w:rPr>
            </w:pPr>
            <w:r>
              <w:rPr>
                <w:sz w:val="17"/>
              </w:rPr>
              <w:t>9</w:t>
            </w:r>
          </w:p>
        </w:tc>
        <w:tc>
          <w:tcPr>
            <w:tcW w:w="963" w:type="dxa"/>
          </w:tcPr>
          <w:p w:rsidR="00000000" w:rsidRDefault="00000000">
            <w:pPr>
              <w:pStyle w:val="SingleTxt"/>
              <w:tabs>
                <w:tab w:val="clear" w:pos="1267"/>
                <w:tab w:val="left" w:pos="1170"/>
              </w:tabs>
              <w:ind w:left="0" w:right="-50"/>
              <w:jc w:val="right"/>
              <w:rPr>
                <w:sz w:val="17"/>
              </w:rPr>
            </w:pPr>
            <w:r>
              <w:rPr>
                <w:sz w:val="17"/>
              </w:rPr>
              <w:t>2</w:t>
            </w:r>
          </w:p>
        </w:tc>
        <w:tc>
          <w:tcPr>
            <w:tcW w:w="927" w:type="dxa"/>
          </w:tcPr>
          <w:p w:rsidR="00000000" w:rsidRDefault="00000000">
            <w:pPr>
              <w:pStyle w:val="SingleTxt"/>
              <w:tabs>
                <w:tab w:val="clear" w:pos="1267"/>
                <w:tab w:val="left" w:pos="1170"/>
              </w:tabs>
              <w:ind w:left="0" w:right="-50"/>
              <w:jc w:val="right"/>
              <w:rPr>
                <w:sz w:val="17"/>
              </w:rPr>
            </w:pPr>
            <w:r>
              <w:rPr>
                <w:sz w:val="17"/>
              </w:rPr>
              <w:t>4</w:t>
            </w:r>
          </w:p>
        </w:tc>
        <w:tc>
          <w:tcPr>
            <w:tcW w:w="936" w:type="dxa"/>
          </w:tcPr>
          <w:p w:rsidR="00000000" w:rsidRDefault="00000000">
            <w:pPr>
              <w:pStyle w:val="SingleTxt"/>
              <w:tabs>
                <w:tab w:val="clear" w:pos="1267"/>
                <w:tab w:val="left" w:pos="1170"/>
              </w:tabs>
              <w:ind w:left="0" w:right="-50"/>
              <w:jc w:val="right"/>
              <w:rPr>
                <w:sz w:val="17"/>
              </w:rPr>
            </w:pPr>
            <w:r>
              <w:rPr>
                <w:sz w:val="17"/>
              </w:rPr>
              <w:t>3</w:t>
            </w:r>
          </w:p>
        </w:tc>
      </w:tr>
      <w:tr w:rsidR="00000000">
        <w:tblPrEx>
          <w:tblCellMar>
            <w:top w:w="0" w:type="dxa"/>
            <w:bottom w:w="0" w:type="dxa"/>
          </w:tblCellMar>
        </w:tblPrEx>
        <w:tc>
          <w:tcPr>
            <w:tcW w:w="3168" w:type="dxa"/>
          </w:tcPr>
          <w:p w:rsidR="00000000" w:rsidRDefault="00000000">
            <w:pPr>
              <w:pStyle w:val="SingleTxt"/>
              <w:tabs>
                <w:tab w:val="clear" w:pos="1267"/>
                <w:tab w:val="left" w:pos="1170"/>
              </w:tabs>
              <w:ind w:left="0" w:right="-50"/>
              <w:jc w:val="left"/>
              <w:rPr>
                <w:sz w:val="17"/>
              </w:rPr>
            </w:pPr>
            <w:r>
              <w:rPr>
                <w:sz w:val="17"/>
              </w:rPr>
              <w:t>East Kazakhstan</w:t>
            </w:r>
          </w:p>
        </w:tc>
        <w:tc>
          <w:tcPr>
            <w:tcW w:w="1071" w:type="dxa"/>
          </w:tcPr>
          <w:p w:rsidR="00000000" w:rsidRDefault="00000000">
            <w:pPr>
              <w:pStyle w:val="SingleTxt"/>
              <w:tabs>
                <w:tab w:val="clear" w:pos="1267"/>
                <w:tab w:val="left" w:pos="1170"/>
              </w:tabs>
              <w:ind w:left="0" w:right="-50"/>
              <w:jc w:val="right"/>
              <w:rPr>
                <w:sz w:val="17"/>
              </w:rPr>
            </w:pPr>
            <w:r>
              <w:rPr>
                <w:sz w:val="17"/>
              </w:rPr>
              <w:t>23</w:t>
            </w:r>
          </w:p>
        </w:tc>
        <w:tc>
          <w:tcPr>
            <w:tcW w:w="990" w:type="dxa"/>
          </w:tcPr>
          <w:p w:rsidR="00000000" w:rsidRDefault="00000000">
            <w:pPr>
              <w:pStyle w:val="SingleTxt"/>
              <w:tabs>
                <w:tab w:val="clear" w:pos="1267"/>
                <w:tab w:val="left" w:pos="1170"/>
              </w:tabs>
              <w:ind w:left="0" w:right="-50"/>
              <w:jc w:val="right"/>
              <w:rPr>
                <w:sz w:val="17"/>
              </w:rPr>
            </w:pPr>
            <w:r>
              <w:rPr>
                <w:sz w:val="17"/>
              </w:rPr>
              <w:t>19</w:t>
            </w:r>
          </w:p>
        </w:tc>
        <w:tc>
          <w:tcPr>
            <w:tcW w:w="963" w:type="dxa"/>
          </w:tcPr>
          <w:p w:rsidR="00000000" w:rsidRDefault="00000000">
            <w:pPr>
              <w:pStyle w:val="SingleTxt"/>
              <w:tabs>
                <w:tab w:val="clear" w:pos="1267"/>
                <w:tab w:val="left" w:pos="1170"/>
              </w:tabs>
              <w:ind w:left="0" w:right="-50"/>
              <w:jc w:val="right"/>
              <w:rPr>
                <w:sz w:val="17"/>
              </w:rPr>
            </w:pPr>
            <w:r>
              <w:rPr>
                <w:sz w:val="17"/>
              </w:rPr>
              <w:t>19</w:t>
            </w:r>
          </w:p>
        </w:tc>
        <w:tc>
          <w:tcPr>
            <w:tcW w:w="927" w:type="dxa"/>
          </w:tcPr>
          <w:p w:rsidR="00000000" w:rsidRDefault="00000000">
            <w:pPr>
              <w:pStyle w:val="SingleTxt"/>
              <w:tabs>
                <w:tab w:val="clear" w:pos="1267"/>
                <w:tab w:val="left" w:pos="1170"/>
              </w:tabs>
              <w:ind w:left="0" w:right="-50"/>
              <w:jc w:val="right"/>
              <w:rPr>
                <w:sz w:val="17"/>
              </w:rPr>
            </w:pPr>
            <w:r>
              <w:rPr>
                <w:sz w:val="17"/>
              </w:rPr>
              <w:t>21</w:t>
            </w:r>
          </w:p>
        </w:tc>
        <w:tc>
          <w:tcPr>
            <w:tcW w:w="936" w:type="dxa"/>
          </w:tcPr>
          <w:p w:rsidR="00000000" w:rsidRDefault="00000000">
            <w:pPr>
              <w:pStyle w:val="SingleTxt"/>
              <w:tabs>
                <w:tab w:val="clear" w:pos="1267"/>
                <w:tab w:val="left" w:pos="1170"/>
              </w:tabs>
              <w:ind w:left="0" w:right="-50"/>
              <w:jc w:val="right"/>
              <w:rPr>
                <w:sz w:val="17"/>
              </w:rPr>
            </w:pPr>
            <w:r>
              <w:rPr>
                <w:sz w:val="17"/>
              </w:rPr>
              <w:t>22</w:t>
            </w:r>
          </w:p>
        </w:tc>
      </w:tr>
      <w:tr w:rsidR="00000000">
        <w:tblPrEx>
          <w:tblCellMar>
            <w:top w:w="0" w:type="dxa"/>
            <w:bottom w:w="0" w:type="dxa"/>
          </w:tblCellMar>
        </w:tblPrEx>
        <w:tc>
          <w:tcPr>
            <w:tcW w:w="3168" w:type="dxa"/>
          </w:tcPr>
          <w:p w:rsidR="00000000" w:rsidRDefault="00000000">
            <w:pPr>
              <w:pStyle w:val="SingleTxt"/>
              <w:tabs>
                <w:tab w:val="clear" w:pos="1267"/>
                <w:tab w:val="left" w:pos="1170"/>
              </w:tabs>
              <w:ind w:left="0" w:right="-50"/>
              <w:jc w:val="left"/>
              <w:rPr>
                <w:sz w:val="17"/>
              </w:rPr>
            </w:pPr>
            <w:r>
              <w:rPr>
                <w:sz w:val="17"/>
              </w:rPr>
              <w:t>Zhamby</w:t>
            </w:r>
          </w:p>
        </w:tc>
        <w:tc>
          <w:tcPr>
            <w:tcW w:w="1071" w:type="dxa"/>
          </w:tcPr>
          <w:p w:rsidR="00000000" w:rsidRDefault="00000000">
            <w:pPr>
              <w:pStyle w:val="SingleTxt"/>
              <w:tabs>
                <w:tab w:val="clear" w:pos="1267"/>
                <w:tab w:val="left" w:pos="1170"/>
              </w:tabs>
              <w:ind w:left="0" w:right="-50"/>
              <w:jc w:val="right"/>
              <w:rPr>
                <w:sz w:val="17"/>
              </w:rPr>
            </w:pPr>
            <w:r>
              <w:rPr>
                <w:sz w:val="17"/>
              </w:rPr>
              <w:t>16</w:t>
            </w:r>
          </w:p>
        </w:tc>
        <w:tc>
          <w:tcPr>
            <w:tcW w:w="990" w:type="dxa"/>
          </w:tcPr>
          <w:p w:rsidR="00000000" w:rsidRDefault="00000000">
            <w:pPr>
              <w:pStyle w:val="SingleTxt"/>
              <w:tabs>
                <w:tab w:val="clear" w:pos="1267"/>
                <w:tab w:val="left" w:pos="1170"/>
              </w:tabs>
              <w:ind w:left="0" w:right="-50"/>
              <w:jc w:val="right"/>
              <w:rPr>
                <w:sz w:val="17"/>
              </w:rPr>
            </w:pPr>
            <w:r>
              <w:rPr>
                <w:sz w:val="17"/>
              </w:rPr>
              <w:t>7</w:t>
            </w:r>
          </w:p>
        </w:tc>
        <w:tc>
          <w:tcPr>
            <w:tcW w:w="963" w:type="dxa"/>
          </w:tcPr>
          <w:p w:rsidR="00000000" w:rsidRDefault="00000000">
            <w:pPr>
              <w:pStyle w:val="SingleTxt"/>
              <w:tabs>
                <w:tab w:val="clear" w:pos="1267"/>
                <w:tab w:val="left" w:pos="1170"/>
              </w:tabs>
              <w:ind w:left="0" w:right="-50"/>
              <w:jc w:val="right"/>
              <w:rPr>
                <w:sz w:val="17"/>
              </w:rPr>
            </w:pPr>
            <w:r>
              <w:rPr>
                <w:sz w:val="17"/>
              </w:rPr>
              <w:t>5</w:t>
            </w:r>
          </w:p>
        </w:tc>
        <w:tc>
          <w:tcPr>
            <w:tcW w:w="927" w:type="dxa"/>
          </w:tcPr>
          <w:p w:rsidR="00000000" w:rsidRDefault="00000000">
            <w:pPr>
              <w:pStyle w:val="SingleTxt"/>
              <w:tabs>
                <w:tab w:val="clear" w:pos="1267"/>
                <w:tab w:val="left" w:pos="1170"/>
              </w:tabs>
              <w:ind w:left="0" w:right="-50"/>
              <w:jc w:val="right"/>
              <w:rPr>
                <w:sz w:val="17"/>
              </w:rPr>
            </w:pPr>
            <w:r>
              <w:rPr>
                <w:sz w:val="17"/>
              </w:rPr>
              <w:t>4</w:t>
            </w:r>
          </w:p>
        </w:tc>
        <w:tc>
          <w:tcPr>
            <w:tcW w:w="936" w:type="dxa"/>
          </w:tcPr>
          <w:p w:rsidR="00000000" w:rsidRDefault="00000000">
            <w:pPr>
              <w:pStyle w:val="SingleTxt"/>
              <w:tabs>
                <w:tab w:val="clear" w:pos="1267"/>
                <w:tab w:val="left" w:pos="1170"/>
              </w:tabs>
              <w:ind w:left="0" w:right="-50"/>
              <w:jc w:val="right"/>
              <w:rPr>
                <w:sz w:val="17"/>
              </w:rPr>
            </w:pPr>
            <w:r>
              <w:rPr>
                <w:sz w:val="17"/>
              </w:rPr>
              <w:t>3</w:t>
            </w:r>
          </w:p>
        </w:tc>
      </w:tr>
      <w:tr w:rsidR="00000000">
        <w:tblPrEx>
          <w:tblCellMar>
            <w:top w:w="0" w:type="dxa"/>
            <w:bottom w:w="0" w:type="dxa"/>
          </w:tblCellMar>
        </w:tblPrEx>
        <w:tc>
          <w:tcPr>
            <w:tcW w:w="3168" w:type="dxa"/>
          </w:tcPr>
          <w:p w:rsidR="00000000" w:rsidRDefault="00000000">
            <w:pPr>
              <w:pStyle w:val="SingleTxt"/>
              <w:tabs>
                <w:tab w:val="clear" w:pos="1267"/>
                <w:tab w:val="left" w:pos="1170"/>
              </w:tabs>
              <w:ind w:left="0" w:right="-50"/>
              <w:jc w:val="left"/>
              <w:rPr>
                <w:sz w:val="17"/>
              </w:rPr>
            </w:pPr>
            <w:r>
              <w:rPr>
                <w:sz w:val="17"/>
              </w:rPr>
              <w:t>West Kazakhstan</w:t>
            </w:r>
          </w:p>
        </w:tc>
        <w:tc>
          <w:tcPr>
            <w:tcW w:w="1071" w:type="dxa"/>
          </w:tcPr>
          <w:p w:rsidR="00000000" w:rsidRDefault="00000000">
            <w:pPr>
              <w:pStyle w:val="SingleTxt"/>
              <w:tabs>
                <w:tab w:val="clear" w:pos="1267"/>
                <w:tab w:val="left" w:pos="1170"/>
              </w:tabs>
              <w:ind w:left="0" w:right="-50"/>
              <w:jc w:val="right"/>
              <w:rPr>
                <w:sz w:val="17"/>
              </w:rPr>
            </w:pPr>
            <w:r>
              <w:rPr>
                <w:sz w:val="17"/>
              </w:rPr>
              <w:t>5</w:t>
            </w:r>
          </w:p>
        </w:tc>
        <w:tc>
          <w:tcPr>
            <w:tcW w:w="990" w:type="dxa"/>
          </w:tcPr>
          <w:p w:rsidR="00000000" w:rsidRDefault="00000000">
            <w:pPr>
              <w:pStyle w:val="SingleTxt"/>
              <w:tabs>
                <w:tab w:val="clear" w:pos="1267"/>
                <w:tab w:val="left" w:pos="1170"/>
              </w:tabs>
              <w:ind w:left="0" w:right="-50"/>
              <w:jc w:val="right"/>
              <w:rPr>
                <w:sz w:val="17"/>
              </w:rPr>
            </w:pPr>
            <w:r>
              <w:rPr>
                <w:sz w:val="17"/>
              </w:rPr>
              <w:t>5</w:t>
            </w:r>
          </w:p>
        </w:tc>
        <w:tc>
          <w:tcPr>
            <w:tcW w:w="963" w:type="dxa"/>
          </w:tcPr>
          <w:p w:rsidR="00000000" w:rsidRDefault="00000000">
            <w:pPr>
              <w:pStyle w:val="SingleTxt"/>
              <w:tabs>
                <w:tab w:val="clear" w:pos="1267"/>
                <w:tab w:val="left" w:pos="1170"/>
              </w:tabs>
              <w:ind w:left="0" w:right="-50"/>
              <w:jc w:val="right"/>
              <w:rPr>
                <w:sz w:val="17"/>
              </w:rPr>
            </w:pPr>
            <w:r>
              <w:rPr>
                <w:sz w:val="17"/>
              </w:rPr>
              <w:t>9</w:t>
            </w:r>
          </w:p>
        </w:tc>
        <w:tc>
          <w:tcPr>
            <w:tcW w:w="927" w:type="dxa"/>
          </w:tcPr>
          <w:p w:rsidR="00000000" w:rsidRDefault="00000000">
            <w:pPr>
              <w:pStyle w:val="SingleTxt"/>
              <w:tabs>
                <w:tab w:val="clear" w:pos="1267"/>
                <w:tab w:val="left" w:pos="1170"/>
              </w:tabs>
              <w:ind w:left="0" w:right="-50"/>
              <w:jc w:val="right"/>
              <w:rPr>
                <w:sz w:val="17"/>
              </w:rPr>
            </w:pPr>
            <w:r>
              <w:rPr>
                <w:sz w:val="17"/>
              </w:rPr>
              <w:t>6</w:t>
            </w:r>
          </w:p>
        </w:tc>
        <w:tc>
          <w:tcPr>
            <w:tcW w:w="936" w:type="dxa"/>
          </w:tcPr>
          <w:p w:rsidR="00000000" w:rsidRDefault="00000000">
            <w:pPr>
              <w:pStyle w:val="SingleTxt"/>
              <w:tabs>
                <w:tab w:val="clear" w:pos="1267"/>
                <w:tab w:val="left" w:pos="1170"/>
              </w:tabs>
              <w:ind w:left="0" w:right="-50"/>
              <w:jc w:val="right"/>
              <w:rPr>
                <w:sz w:val="17"/>
              </w:rPr>
            </w:pPr>
            <w:r>
              <w:rPr>
                <w:sz w:val="17"/>
              </w:rPr>
              <w:t>6</w:t>
            </w:r>
          </w:p>
        </w:tc>
      </w:tr>
      <w:tr w:rsidR="00000000">
        <w:tblPrEx>
          <w:tblCellMar>
            <w:top w:w="0" w:type="dxa"/>
            <w:bottom w:w="0" w:type="dxa"/>
          </w:tblCellMar>
        </w:tblPrEx>
        <w:tc>
          <w:tcPr>
            <w:tcW w:w="3168" w:type="dxa"/>
          </w:tcPr>
          <w:p w:rsidR="00000000" w:rsidRDefault="00000000">
            <w:pPr>
              <w:pStyle w:val="SingleTxt"/>
              <w:tabs>
                <w:tab w:val="clear" w:pos="1267"/>
                <w:tab w:val="left" w:pos="1170"/>
              </w:tabs>
              <w:ind w:left="0" w:right="-50"/>
              <w:jc w:val="left"/>
              <w:rPr>
                <w:sz w:val="17"/>
              </w:rPr>
            </w:pPr>
            <w:r>
              <w:rPr>
                <w:sz w:val="17"/>
              </w:rPr>
              <w:t>Qarakhandy</w:t>
            </w:r>
          </w:p>
        </w:tc>
        <w:tc>
          <w:tcPr>
            <w:tcW w:w="1071" w:type="dxa"/>
          </w:tcPr>
          <w:p w:rsidR="00000000" w:rsidRDefault="00000000">
            <w:pPr>
              <w:pStyle w:val="SingleTxt"/>
              <w:tabs>
                <w:tab w:val="clear" w:pos="1267"/>
                <w:tab w:val="left" w:pos="1170"/>
              </w:tabs>
              <w:ind w:left="0" w:right="-50"/>
              <w:jc w:val="right"/>
              <w:rPr>
                <w:sz w:val="17"/>
              </w:rPr>
            </w:pPr>
            <w:r>
              <w:rPr>
                <w:sz w:val="17"/>
              </w:rPr>
              <w:t>14</w:t>
            </w:r>
          </w:p>
        </w:tc>
        <w:tc>
          <w:tcPr>
            <w:tcW w:w="990" w:type="dxa"/>
          </w:tcPr>
          <w:p w:rsidR="00000000" w:rsidRDefault="00000000">
            <w:pPr>
              <w:pStyle w:val="SingleTxt"/>
              <w:tabs>
                <w:tab w:val="clear" w:pos="1267"/>
                <w:tab w:val="left" w:pos="1170"/>
              </w:tabs>
              <w:ind w:left="0" w:right="-50"/>
              <w:jc w:val="right"/>
              <w:rPr>
                <w:sz w:val="17"/>
              </w:rPr>
            </w:pPr>
            <w:r>
              <w:rPr>
                <w:sz w:val="17"/>
              </w:rPr>
              <w:t>14</w:t>
            </w:r>
          </w:p>
        </w:tc>
        <w:tc>
          <w:tcPr>
            <w:tcW w:w="963" w:type="dxa"/>
          </w:tcPr>
          <w:p w:rsidR="00000000" w:rsidRDefault="00000000">
            <w:pPr>
              <w:pStyle w:val="SingleTxt"/>
              <w:tabs>
                <w:tab w:val="clear" w:pos="1267"/>
                <w:tab w:val="left" w:pos="1170"/>
              </w:tabs>
              <w:ind w:left="0" w:right="-50"/>
              <w:jc w:val="right"/>
              <w:rPr>
                <w:sz w:val="17"/>
              </w:rPr>
            </w:pPr>
            <w:r>
              <w:rPr>
                <w:sz w:val="17"/>
              </w:rPr>
              <w:t>15</w:t>
            </w:r>
          </w:p>
        </w:tc>
        <w:tc>
          <w:tcPr>
            <w:tcW w:w="927" w:type="dxa"/>
          </w:tcPr>
          <w:p w:rsidR="00000000" w:rsidRDefault="00000000">
            <w:pPr>
              <w:pStyle w:val="SingleTxt"/>
              <w:tabs>
                <w:tab w:val="clear" w:pos="1267"/>
                <w:tab w:val="left" w:pos="1170"/>
              </w:tabs>
              <w:ind w:left="0" w:right="-50"/>
              <w:jc w:val="right"/>
              <w:rPr>
                <w:sz w:val="17"/>
              </w:rPr>
            </w:pPr>
            <w:r>
              <w:rPr>
                <w:sz w:val="17"/>
              </w:rPr>
              <w:t>14</w:t>
            </w:r>
          </w:p>
        </w:tc>
        <w:tc>
          <w:tcPr>
            <w:tcW w:w="936" w:type="dxa"/>
          </w:tcPr>
          <w:p w:rsidR="00000000" w:rsidRDefault="00000000">
            <w:pPr>
              <w:pStyle w:val="SingleTxt"/>
              <w:tabs>
                <w:tab w:val="clear" w:pos="1267"/>
                <w:tab w:val="left" w:pos="1170"/>
              </w:tabs>
              <w:ind w:left="0" w:right="-50"/>
              <w:jc w:val="right"/>
              <w:rPr>
                <w:sz w:val="17"/>
              </w:rPr>
            </w:pPr>
            <w:r>
              <w:rPr>
                <w:sz w:val="17"/>
              </w:rPr>
              <w:t>9</w:t>
            </w:r>
          </w:p>
        </w:tc>
      </w:tr>
      <w:tr w:rsidR="00000000">
        <w:tblPrEx>
          <w:tblCellMar>
            <w:top w:w="0" w:type="dxa"/>
            <w:bottom w:w="0" w:type="dxa"/>
          </w:tblCellMar>
        </w:tblPrEx>
        <w:tc>
          <w:tcPr>
            <w:tcW w:w="3168" w:type="dxa"/>
          </w:tcPr>
          <w:p w:rsidR="00000000" w:rsidRDefault="00000000">
            <w:pPr>
              <w:pStyle w:val="SingleTxt"/>
              <w:tabs>
                <w:tab w:val="clear" w:pos="1267"/>
                <w:tab w:val="left" w:pos="1170"/>
              </w:tabs>
              <w:ind w:left="0" w:right="-50"/>
              <w:jc w:val="left"/>
              <w:rPr>
                <w:sz w:val="17"/>
              </w:rPr>
            </w:pPr>
            <w:r>
              <w:rPr>
                <w:sz w:val="17"/>
              </w:rPr>
              <w:t>Qyzylorda</w:t>
            </w:r>
          </w:p>
        </w:tc>
        <w:tc>
          <w:tcPr>
            <w:tcW w:w="1071" w:type="dxa"/>
          </w:tcPr>
          <w:p w:rsidR="00000000" w:rsidRDefault="00000000">
            <w:pPr>
              <w:pStyle w:val="SingleTxt"/>
              <w:tabs>
                <w:tab w:val="clear" w:pos="1267"/>
                <w:tab w:val="left" w:pos="1170"/>
              </w:tabs>
              <w:ind w:left="0" w:right="-50"/>
              <w:jc w:val="right"/>
              <w:rPr>
                <w:sz w:val="17"/>
              </w:rPr>
            </w:pPr>
            <w:r>
              <w:rPr>
                <w:sz w:val="17"/>
              </w:rPr>
              <w:t>3</w:t>
            </w:r>
          </w:p>
        </w:tc>
        <w:tc>
          <w:tcPr>
            <w:tcW w:w="990" w:type="dxa"/>
          </w:tcPr>
          <w:p w:rsidR="00000000" w:rsidRDefault="00000000">
            <w:pPr>
              <w:pStyle w:val="SingleTxt"/>
              <w:tabs>
                <w:tab w:val="clear" w:pos="1267"/>
                <w:tab w:val="left" w:pos="1170"/>
              </w:tabs>
              <w:ind w:left="0" w:right="-50"/>
              <w:jc w:val="right"/>
              <w:rPr>
                <w:sz w:val="17"/>
              </w:rPr>
            </w:pPr>
            <w:r>
              <w:rPr>
                <w:sz w:val="17"/>
              </w:rPr>
              <w:t>2</w:t>
            </w:r>
          </w:p>
        </w:tc>
        <w:tc>
          <w:tcPr>
            <w:tcW w:w="963" w:type="dxa"/>
          </w:tcPr>
          <w:p w:rsidR="00000000" w:rsidRDefault="00000000">
            <w:pPr>
              <w:pStyle w:val="SingleTxt"/>
              <w:tabs>
                <w:tab w:val="clear" w:pos="1267"/>
                <w:tab w:val="left" w:pos="1170"/>
              </w:tabs>
              <w:ind w:left="0" w:right="-50"/>
              <w:jc w:val="right"/>
              <w:rPr>
                <w:sz w:val="17"/>
              </w:rPr>
            </w:pPr>
            <w:r>
              <w:rPr>
                <w:sz w:val="17"/>
              </w:rPr>
              <w:t>3</w:t>
            </w:r>
          </w:p>
        </w:tc>
        <w:tc>
          <w:tcPr>
            <w:tcW w:w="927" w:type="dxa"/>
          </w:tcPr>
          <w:p w:rsidR="00000000" w:rsidRDefault="00000000">
            <w:pPr>
              <w:pStyle w:val="SingleTxt"/>
              <w:tabs>
                <w:tab w:val="clear" w:pos="1267"/>
                <w:tab w:val="left" w:pos="1170"/>
              </w:tabs>
              <w:ind w:left="0" w:right="-50"/>
              <w:jc w:val="right"/>
              <w:rPr>
                <w:sz w:val="17"/>
              </w:rPr>
            </w:pPr>
            <w:r>
              <w:rPr>
                <w:sz w:val="17"/>
              </w:rPr>
              <w:t>1</w:t>
            </w:r>
          </w:p>
        </w:tc>
        <w:tc>
          <w:tcPr>
            <w:tcW w:w="936" w:type="dxa"/>
          </w:tcPr>
          <w:p w:rsidR="00000000" w:rsidRDefault="00000000">
            <w:pPr>
              <w:pStyle w:val="SingleTxt"/>
              <w:tabs>
                <w:tab w:val="clear" w:pos="1267"/>
                <w:tab w:val="left" w:pos="1170"/>
              </w:tabs>
              <w:ind w:left="0" w:right="-50"/>
              <w:jc w:val="right"/>
              <w:rPr>
                <w:sz w:val="17"/>
              </w:rPr>
            </w:pPr>
            <w:r>
              <w:rPr>
                <w:sz w:val="17"/>
              </w:rPr>
              <w:t>4</w:t>
            </w:r>
          </w:p>
        </w:tc>
      </w:tr>
      <w:tr w:rsidR="00000000">
        <w:tblPrEx>
          <w:tblCellMar>
            <w:top w:w="0" w:type="dxa"/>
            <w:bottom w:w="0" w:type="dxa"/>
          </w:tblCellMar>
        </w:tblPrEx>
        <w:tc>
          <w:tcPr>
            <w:tcW w:w="3168" w:type="dxa"/>
          </w:tcPr>
          <w:p w:rsidR="00000000" w:rsidRDefault="00000000">
            <w:pPr>
              <w:pStyle w:val="SingleTxt"/>
              <w:tabs>
                <w:tab w:val="clear" w:pos="1267"/>
                <w:tab w:val="left" w:pos="1170"/>
              </w:tabs>
              <w:ind w:left="0" w:right="-50"/>
              <w:jc w:val="left"/>
              <w:rPr>
                <w:sz w:val="17"/>
              </w:rPr>
            </w:pPr>
            <w:r>
              <w:rPr>
                <w:sz w:val="17"/>
              </w:rPr>
              <w:t>Qostanay</w:t>
            </w:r>
          </w:p>
        </w:tc>
        <w:tc>
          <w:tcPr>
            <w:tcW w:w="1071" w:type="dxa"/>
          </w:tcPr>
          <w:p w:rsidR="00000000" w:rsidRDefault="00000000">
            <w:pPr>
              <w:pStyle w:val="SingleTxt"/>
              <w:tabs>
                <w:tab w:val="clear" w:pos="1267"/>
                <w:tab w:val="left" w:pos="1170"/>
              </w:tabs>
              <w:ind w:left="0" w:right="-50"/>
              <w:jc w:val="right"/>
              <w:rPr>
                <w:sz w:val="17"/>
              </w:rPr>
            </w:pPr>
            <w:r>
              <w:rPr>
                <w:sz w:val="17"/>
              </w:rPr>
              <w:t>11</w:t>
            </w:r>
          </w:p>
        </w:tc>
        <w:tc>
          <w:tcPr>
            <w:tcW w:w="990" w:type="dxa"/>
          </w:tcPr>
          <w:p w:rsidR="00000000" w:rsidRDefault="00000000">
            <w:pPr>
              <w:pStyle w:val="SingleTxt"/>
              <w:tabs>
                <w:tab w:val="clear" w:pos="1267"/>
                <w:tab w:val="left" w:pos="1170"/>
              </w:tabs>
              <w:ind w:left="0" w:right="-50"/>
              <w:jc w:val="right"/>
              <w:rPr>
                <w:sz w:val="17"/>
              </w:rPr>
            </w:pPr>
            <w:r>
              <w:rPr>
                <w:sz w:val="17"/>
              </w:rPr>
              <w:t>13</w:t>
            </w:r>
          </w:p>
        </w:tc>
        <w:tc>
          <w:tcPr>
            <w:tcW w:w="963" w:type="dxa"/>
          </w:tcPr>
          <w:p w:rsidR="00000000" w:rsidRDefault="00000000">
            <w:pPr>
              <w:pStyle w:val="SingleTxt"/>
              <w:tabs>
                <w:tab w:val="clear" w:pos="1267"/>
                <w:tab w:val="left" w:pos="1170"/>
              </w:tabs>
              <w:ind w:left="0" w:right="-50"/>
              <w:jc w:val="right"/>
              <w:rPr>
                <w:sz w:val="17"/>
              </w:rPr>
            </w:pPr>
            <w:r>
              <w:rPr>
                <w:sz w:val="17"/>
              </w:rPr>
              <w:t>8</w:t>
            </w:r>
          </w:p>
        </w:tc>
        <w:tc>
          <w:tcPr>
            <w:tcW w:w="927" w:type="dxa"/>
          </w:tcPr>
          <w:p w:rsidR="00000000" w:rsidRDefault="00000000">
            <w:pPr>
              <w:pStyle w:val="SingleTxt"/>
              <w:tabs>
                <w:tab w:val="clear" w:pos="1267"/>
                <w:tab w:val="left" w:pos="1170"/>
              </w:tabs>
              <w:ind w:left="0" w:right="-50"/>
              <w:jc w:val="right"/>
              <w:rPr>
                <w:sz w:val="17"/>
              </w:rPr>
            </w:pPr>
            <w:r>
              <w:rPr>
                <w:sz w:val="17"/>
              </w:rPr>
              <w:t>10</w:t>
            </w:r>
          </w:p>
        </w:tc>
        <w:tc>
          <w:tcPr>
            <w:tcW w:w="936" w:type="dxa"/>
          </w:tcPr>
          <w:p w:rsidR="00000000" w:rsidRDefault="00000000">
            <w:pPr>
              <w:pStyle w:val="SingleTxt"/>
              <w:tabs>
                <w:tab w:val="clear" w:pos="1267"/>
                <w:tab w:val="left" w:pos="1170"/>
              </w:tabs>
              <w:ind w:left="0" w:right="-50"/>
              <w:jc w:val="right"/>
              <w:rPr>
                <w:sz w:val="17"/>
              </w:rPr>
            </w:pPr>
            <w:r>
              <w:rPr>
                <w:sz w:val="17"/>
              </w:rPr>
              <w:t>11</w:t>
            </w:r>
          </w:p>
        </w:tc>
      </w:tr>
      <w:tr w:rsidR="00000000">
        <w:tblPrEx>
          <w:tblCellMar>
            <w:top w:w="0" w:type="dxa"/>
            <w:bottom w:w="0" w:type="dxa"/>
          </w:tblCellMar>
        </w:tblPrEx>
        <w:tc>
          <w:tcPr>
            <w:tcW w:w="3168" w:type="dxa"/>
          </w:tcPr>
          <w:p w:rsidR="00000000" w:rsidRDefault="00000000">
            <w:pPr>
              <w:pStyle w:val="SingleTxt"/>
              <w:tabs>
                <w:tab w:val="clear" w:pos="1267"/>
                <w:tab w:val="left" w:pos="1170"/>
              </w:tabs>
              <w:ind w:left="0" w:right="-50"/>
              <w:jc w:val="left"/>
              <w:rPr>
                <w:sz w:val="17"/>
              </w:rPr>
            </w:pPr>
            <w:r>
              <w:rPr>
                <w:sz w:val="17"/>
              </w:rPr>
              <w:t>Mangistau</w:t>
            </w:r>
          </w:p>
        </w:tc>
        <w:tc>
          <w:tcPr>
            <w:tcW w:w="1071" w:type="dxa"/>
          </w:tcPr>
          <w:p w:rsidR="00000000" w:rsidRDefault="00000000">
            <w:pPr>
              <w:pStyle w:val="SingleTxt"/>
              <w:tabs>
                <w:tab w:val="clear" w:pos="1267"/>
                <w:tab w:val="left" w:pos="1170"/>
              </w:tabs>
              <w:ind w:left="0" w:right="-50"/>
              <w:jc w:val="right"/>
              <w:rPr>
                <w:sz w:val="17"/>
              </w:rPr>
            </w:pPr>
            <w:r>
              <w:rPr>
                <w:sz w:val="17"/>
              </w:rPr>
              <w:t>3</w:t>
            </w:r>
          </w:p>
        </w:tc>
        <w:tc>
          <w:tcPr>
            <w:tcW w:w="990" w:type="dxa"/>
          </w:tcPr>
          <w:p w:rsidR="00000000" w:rsidRDefault="00000000">
            <w:pPr>
              <w:pStyle w:val="SingleTxt"/>
              <w:tabs>
                <w:tab w:val="clear" w:pos="1267"/>
                <w:tab w:val="left" w:pos="1170"/>
              </w:tabs>
              <w:ind w:left="0" w:right="-50"/>
              <w:jc w:val="right"/>
              <w:rPr>
                <w:sz w:val="17"/>
              </w:rPr>
            </w:pPr>
            <w:r>
              <w:rPr>
                <w:sz w:val="17"/>
              </w:rPr>
              <w:t>5</w:t>
            </w:r>
          </w:p>
        </w:tc>
        <w:tc>
          <w:tcPr>
            <w:tcW w:w="963" w:type="dxa"/>
          </w:tcPr>
          <w:p w:rsidR="00000000" w:rsidRDefault="00000000">
            <w:pPr>
              <w:pStyle w:val="SingleTxt"/>
              <w:tabs>
                <w:tab w:val="clear" w:pos="1267"/>
                <w:tab w:val="left" w:pos="1170"/>
              </w:tabs>
              <w:ind w:left="0" w:right="-50"/>
              <w:jc w:val="right"/>
              <w:rPr>
                <w:sz w:val="17"/>
              </w:rPr>
            </w:pPr>
            <w:r>
              <w:rPr>
                <w:sz w:val="17"/>
              </w:rPr>
              <w:t>1</w:t>
            </w:r>
          </w:p>
        </w:tc>
        <w:tc>
          <w:tcPr>
            <w:tcW w:w="927" w:type="dxa"/>
          </w:tcPr>
          <w:p w:rsidR="00000000" w:rsidRDefault="00000000">
            <w:pPr>
              <w:pStyle w:val="SingleTxt"/>
              <w:tabs>
                <w:tab w:val="clear" w:pos="1267"/>
                <w:tab w:val="left" w:pos="1170"/>
              </w:tabs>
              <w:ind w:left="0" w:right="-50"/>
              <w:jc w:val="right"/>
              <w:rPr>
                <w:sz w:val="17"/>
              </w:rPr>
            </w:pPr>
            <w:r>
              <w:rPr>
                <w:sz w:val="17"/>
              </w:rPr>
              <w:t>1</w:t>
            </w:r>
          </w:p>
        </w:tc>
        <w:tc>
          <w:tcPr>
            <w:tcW w:w="936" w:type="dxa"/>
          </w:tcPr>
          <w:p w:rsidR="00000000" w:rsidRDefault="00000000">
            <w:pPr>
              <w:pStyle w:val="SingleTxt"/>
              <w:tabs>
                <w:tab w:val="clear" w:pos="1267"/>
                <w:tab w:val="left" w:pos="1170"/>
              </w:tabs>
              <w:ind w:left="0" w:right="-50"/>
              <w:jc w:val="right"/>
              <w:rPr>
                <w:sz w:val="17"/>
              </w:rPr>
            </w:pPr>
            <w:r>
              <w:rPr>
                <w:sz w:val="17"/>
              </w:rPr>
              <w:t>1</w:t>
            </w:r>
          </w:p>
        </w:tc>
      </w:tr>
      <w:tr w:rsidR="00000000">
        <w:tblPrEx>
          <w:tblCellMar>
            <w:top w:w="0" w:type="dxa"/>
            <w:bottom w:w="0" w:type="dxa"/>
          </w:tblCellMar>
        </w:tblPrEx>
        <w:tc>
          <w:tcPr>
            <w:tcW w:w="3168" w:type="dxa"/>
          </w:tcPr>
          <w:p w:rsidR="00000000" w:rsidRDefault="00000000">
            <w:pPr>
              <w:pStyle w:val="SingleTxt"/>
              <w:tabs>
                <w:tab w:val="clear" w:pos="1267"/>
                <w:tab w:val="left" w:pos="1170"/>
              </w:tabs>
              <w:ind w:left="0" w:right="-50"/>
              <w:jc w:val="left"/>
              <w:rPr>
                <w:sz w:val="17"/>
              </w:rPr>
            </w:pPr>
            <w:r>
              <w:rPr>
                <w:sz w:val="17"/>
              </w:rPr>
              <w:t>Pavlodar</w:t>
            </w:r>
          </w:p>
        </w:tc>
        <w:tc>
          <w:tcPr>
            <w:tcW w:w="1071" w:type="dxa"/>
          </w:tcPr>
          <w:p w:rsidR="00000000" w:rsidRDefault="00000000">
            <w:pPr>
              <w:pStyle w:val="SingleTxt"/>
              <w:tabs>
                <w:tab w:val="clear" w:pos="1267"/>
                <w:tab w:val="left" w:pos="1170"/>
              </w:tabs>
              <w:ind w:left="0" w:right="-50"/>
              <w:jc w:val="right"/>
              <w:rPr>
                <w:sz w:val="17"/>
              </w:rPr>
            </w:pPr>
            <w:r>
              <w:rPr>
                <w:sz w:val="17"/>
              </w:rPr>
              <w:t>4</w:t>
            </w:r>
          </w:p>
        </w:tc>
        <w:tc>
          <w:tcPr>
            <w:tcW w:w="990" w:type="dxa"/>
          </w:tcPr>
          <w:p w:rsidR="00000000" w:rsidRDefault="00000000">
            <w:pPr>
              <w:pStyle w:val="SingleTxt"/>
              <w:tabs>
                <w:tab w:val="clear" w:pos="1267"/>
                <w:tab w:val="left" w:pos="1170"/>
              </w:tabs>
              <w:ind w:left="0" w:right="-50"/>
              <w:jc w:val="right"/>
              <w:rPr>
                <w:sz w:val="17"/>
              </w:rPr>
            </w:pPr>
            <w:r>
              <w:rPr>
                <w:sz w:val="17"/>
              </w:rPr>
              <w:t>5</w:t>
            </w:r>
          </w:p>
        </w:tc>
        <w:tc>
          <w:tcPr>
            <w:tcW w:w="963" w:type="dxa"/>
          </w:tcPr>
          <w:p w:rsidR="00000000" w:rsidRDefault="00000000">
            <w:pPr>
              <w:pStyle w:val="SingleTxt"/>
              <w:tabs>
                <w:tab w:val="clear" w:pos="1267"/>
                <w:tab w:val="left" w:pos="1170"/>
              </w:tabs>
              <w:ind w:left="0" w:right="-50"/>
              <w:jc w:val="right"/>
              <w:rPr>
                <w:sz w:val="17"/>
              </w:rPr>
            </w:pPr>
            <w:r>
              <w:rPr>
                <w:sz w:val="17"/>
              </w:rPr>
              <w:t>4</w:t>
            </w:r>
          </w:p>
        </w:tc>
        <w:tc>
          <w:tcPr>
            <w:tcW w:w="927" w:type="dxa"/>
          </w:tcPr>
          <w:p w:rsidR="00000000" w:rsidRDefault="00000000">
            <w:pPr>
              <w:pStyle w:val="SingleTxt"/>
              <w:tabs>
                <w:tab w:val="clear" w:pos="1267"/>
                <w:tab w:val="left" w:pos="1170"/>
              </w:tabs>
              <w:ind w:left="0" w:right="-50"/>
              <w:jc w:val="right"/>
              <w:rPr>
                <w:sz w:val="17"/>
              </w:rPr>
            </w:pPr>
            <w:r>
              <w:rPr>
                <w:sz w:val="17"/>
              </w:rPr>
              <w:t>8</w:t>
            </w:r>
          </w:p>
        </w:tc>
        <w:tc>
          <w:tcPr>
            <w:tcW w:w="936" w:type="dxa"/>
          </w:tcPr>
          <w:p w:rsidR="00000000" w:rsidRDefault="00000000">
            <w:pPr>
              <w:pStyle w:val="SingleTxt"/>
              <w:tabs>
                <w:tab w:val="clear" w:pos="1267"/>
                <w:tab w:val="left" w:pos="1170"/>
              </w:tabs>
              <w:ind w:left="0" w:right="-50"/>
              <w:jc w:val="right"/>
              <w:rPr>
                <w:sz w:val="17"/>
              </w:rPr>
            </w:pPr>
            <w:r>
              <w:rPr>
                <w:sz w:val="17"/>
              </w:rPr>
              <w:t>3</w:t>
            </w:r>
          </w:p>
        </w:tc>
      </w:tr>
      <w:tr w:rsidR="00000000">
        <w:tblPrEx>
          <w:tblCellMar>
            <w:top w:w="0" w:type="dxa"/>
            <w:bottom w:w="0" w:type="dxa"/>
          </w:tblCellMar>
        </w:tblPrEx>
        <w:tc>
          <w:tcPr>
            <w:tcW w:w="3168" w:type="dxa"/>
          </w:tcPr>
          <w:p w:rsidR="00000000" w:rsidRDefault="00000000">
            <w:pPr>
              <w:pStyle w:val="SingleTxt"/>
              <w:tabs>
                <w:tab w:val="clear" w:pos="1267"/>
                <w:tab w:val="left" w:pos="1170"/>
              </w:tabs>
              <w:ind w:left="0" w:right="-50"/>
              <w:jc w:val="left"/>
              <w:rPr>
                <w:sz w:val="17"/>
              </w:rPr>
            </w:pPr>
            <w:r>
              <w:rPr>
                <w:sz w:val="17"/>
              </w:rPr>
              <w:t>North Kazakhstan</w:t>
            </w:r>
          </w:p>
        </w:tc>
        <w:tc>
          <w:tcPr>
            <w:tcW w:w="1071" w:type="dxa"/>
          </w:tcPr>
          <w:p w:rsidR="00000000" w:rsidRDefault="00000000">
            <w:pPr>
              <w:pStyle w:val="SingleTxt"/>
              <w:tabs>
                <w:tab w:val="clear" w:pos="1267"/>
                <w:tab w:val="left" w:pos="1170"/>
              </w:tabs>
              <w:ind w:left="0" w:right="-50"/>
              <w:jc w:val="right"/>
              <w:rPr>
                <w:sz w:val="17"/>
              </w:rPr>
            </w:pPr>
            <w:r>
              <w:rPr>
                <w:sz w:val="17"/>
              </w:rPr>
              <w:t>15</w:t>
            </w:r>
          </w:p>
        </w:tc>
        <w:tc>
          <w:tcPr>
            <w:tcW w:w="990" w:type="dxa"/>
          </w:tcPr>
          <w:p w:rsidR="00000000" w:rsidRDefault="00000000">
            <w:pPr>
              <w:pStyle w:val="SingleTxt"/>
              <w:tabs>
                <w:tab w:val="clear" w:pos="1267"/>
                <w:tab w:val="left" w:pos="1170"/>
              </w:tabs>
              <w:ind w:left="0" w:right="-50"/>
              <w:jc w:val="right"/>
              <w:rPr>
                <w:sz w:val="17"/>
              </w:rPr>
            </w:pPr>
            <w:r>
              <w:rPr>
                <w:sz w:val="17"/>
              </w:rPr>
              <w:t>14</w:t>
            </w:r>
          </w:p>
        </w:tc>
        <w:tc>
          <w:tcPr>
            <w:tcW w:w="963" w:type="dxa"/>
          </w:tcPr>
          <w:p w:rsidR="00000000" w:rsidRDefault="00000000">
            <w:pPr>
              <w:pStyle w:val="SingleTxt"/>
              <w:tabs>
                <w:tab w:val="clear" w:pos="1267"/>
                <w:tab w:val="left" w:pos="1170"/>
              </w:tabs>
              <w:ind w:left="0" w:right="-50"/>
              <w:jc w:val="right"/>
              <w:rPr>
                <w:sz w:val="17"/>
              </w:rPr>
            </w:pPr>
            <w:r>
              <w:rPr>
                <w:sz w:val="17"/>
              </w:rPr>
              <w:t>7</w:t>
            </w:r>
          </w:p>
        </w:tc>
        <w:tc>
          <w:tcPr>
            <w:tcW w:w="927" w:type="dxa"/>
          </w:tcPr>
          <w:p w:rsidR="00000000" w:rsidRDefault="00000000">
            <w:pPr>
              <w:pStyle w:val="SingleTxt"/>
              <w:tabs>
                <w:tab w:val="clear" w:pos="1267"/>
                <w:tab w:val="left" w:pos="1170"/>
              </w:tabs>
              <w:ind w:left="0" w:right="-50"/>
              <w:jc w:val="right"/>
              <w:rPr>
                <w:sz w:val="17"/>
              </w:rPr>
            </w:pPr>
            <w:r>
              <w:rPr>
                <w:sz w:val="17"/>
              </w:rPr>
              <w:t>9</w:t>
            </w:r>
          </w:p>
        </w:tc>
        <w:tc>
          <w:tcPr>
            <w:tcW w:w="936" w:type="dxa"/>
          </w:tcPr>
          <w:p w:rsidR="00000000" w:rsidRDefault="00000000">
            <w:pPr>
              <w:pStyle w:val="SingleTxt"/>
              <w:tabs>
                <w:tab w:val="clear" w:pos="1267"/>
                <w:tab w:val="left" w:pos="1170"/>
              </w:tabs>
              <w:ind w:left="0" w:right="-50"/>
              <w:jc w:val="right"/>
              <w:rPr>
                <w:sz w:val="17"/>
              </w:rPr>
            </w:pPr>
            <w:r>
              <w:rPr>
                <w:sz w:val="17"/>
              </w:rPr>
              <w:t>7</w:t>
            </w:r>
          </w:p>
        </w:tc>
      </w:tr>
      <w:tr w:rsidR="00000000">
        <w:tblPrEx>
          <w:tblCellMar>
            <w:top w:w="0" w:type="dxa"/>
            <w:bottom w:w="0" w:type="dxa"/>
          </w:tblCellMar>
        </w:tblPrEx>
        <w:tc>
          <w:tcPr>
            <w:tcW w:w="3168" w:type="dxa"/>
          </w:tcPr>
          <w:p w:rsidR="00000000" w:rsidRDefault="00000000">
            <w:pPr>
              <w:pStyle w:val="SingleTxt"/>
              <w:tabs>
                <w:tab w:val="clear" w:pos="1267"/>
                <w:tab w:val="left" w:pos="1170"/>
              </w:tabs>
              <w:ind w:left="0" w:right="-50"/>
              <w:jc w:val="left"/>
              <w:rPr>
                <w:sz w:val="17"/>
              </w:rPr>
            </w:pPr>
            <w:r>
              <w:rPr>
                <w:sz w:val="17"/>
              </w:rPr>
              <w:t>South Kazakhstan</w:t>
            </w:r>
          </w:p>
        </w:tc>
        <w:tc>
          <w:tcPr>
            <w:tcW w:w="1071" w:type="dxa"/>
          </w:tcPr>
          <w:p w:rsidR="00000000" w:rsidRDefault="00000000">
            <w:pPr>
              <w:pStyle w:val="SingleTxt"/>
              <w:tabs>
                <w:tab w:val="clear" w:pos="1267"/>
                <w:tab w:val="left" w:pos="1170"/>
              </w:tabs>
              <w:ind w:left="0" w:right="-50"/>
              <w:jc w:val="right"/>
              <w:rPr>
                <w:sz w:val="17"/>
              </w:rPr>
            </w:pPr>
            <w:r>
              <w:rPr>
                <w:sz w:val="17"/>
              </w:rPr>
              <w:t>45</w:t>
            </w:r>
          </w:p>
        </w:tc>
        <w:tc>
          <w:tcPr>
            <w:tcW w:w="990" w:type="dxa"/>
          </w:tcPr>
          <w:p w:rsidR="00000000" w:rsidRDefault="00000000">
            <w:pPr>
              <w:pStyle w:val="SingleTxt"/>
              <w:tabs>
                <w:tab w:val="clear" w:pos="1267"/>
                <w:tab w:val="left" w:pos="1170"/>
              </w:tabs>
              <w:ind w:left="0" w:right="-50"/>
              <w:jc w:val="right"/>
              <w:rPr>
                <w:sz w:val="17"/>
              </w:rPr>
            </w:pPr>
            <w:r>
              <w:rPr>
                <w:sz w:val="17"/>
              </w:rPr>
              <w:t>29</w:t>
            </w:r>
          </w:p>
        </w:tc>
        <w:tc>
          <w:tcPr>
            <w:tcW w:w="963" w:type="dxa"/>
          </w:tcPr>
          <w:p w:rsidR="00000000" w:rsidRDefault="00000000">
            <w:pPr>
              <w:pStyle w:val="SingleTxt"/>
              <w:tabs>
                <w:tab w:val="clear" w:pos="1267"/>
                <w:tab w:val="left" w:pos="1170"/>
              </w:tabs>
              <w:ind w:left="0" w:right="-50"/>
              <w:jc w:val="right"/>
              <w:rPr>
                <w:sz w:val="17"/>
              </w:rPr>
            </w:pPr>
            <w:r>
              <w:rPr>
                <w:sz w:val="17"/>
              </w:rPr>
              <w:t>22</w:t>
            </w:r>
          </w:p>
        </w:tc>
        <w:tc>
          <w:tcPr>
            <w:tcW w:w="927" w:type="dxa"/>
          </w:tcPr>
          <w:p w:rsidR="00000000" w:rsidRDefault="00000000">
            <w:pPr>
              <w:pStyle w:val="SingleTxt"/>
              <w:tabs>
                <w:tab w:val="clear" w:pos="1267"/>
                <w:tab w:val="left" w:pos="1170"/>
              </w:tabs>
              <w:ind w:left="0" w:right="-50"/>
              <w:jc w:val="right"/>
              <w:rPr>
                <w:sz w:val="17"/>
              </w:rPr>
            </w:pPr>
            <w:r>
              <w:rPr>
                <w:sz w:val="17"/>
              </w:rPr>
              <w:t>25</w:t>
            </w:r>
          </w:p>
        </w:tc>
        <w:tc>
          <w:tcPr>
            <w:tcW w:w="936" w:type="dxa"/>
          </w:tcPr>
          <w:p w:rsidR="00000000" w:rsidRDefault="00000000">
            <w:pPr>
              <w:pStyle w:val="SingleTxt"/>
              <w:tabs>
                <w:tab w:val="clear" w:pos="1267"/>
                <w:tab w:val="left" w:pos="1170"/>
              </w:tabs>
              <w:ind w:left="0" w:right="-50"/>
              <w:jc w:val="right"/>
              <w:rPr>
                <w:sz w:val="17"/>
              </w:rPr>
            </w:pPr>
            <w:r>
              <w:rPr>
                <w:sz w:val="17"/>
              </w:rPr>
              <w:t>35</w:t>
            </w:r>
          </w:p>
        </w:tc>
      </w:tr>
      <w:tr w:rsidR="00000000">
        <w:tblPrEx>
          <w:tblCellMar>
            <w:top w:w="0" w:type="dxa"/>
            <w:bottom w:w="0" w:type="dxa"/>
          </w:tblCellMar>
        </w:tblPrEx>
        <w:tc>
          <w:tcPr>
            <w:tcW w:w="3168" w:type="dxa"/>
            <w:tcBorders>
              <w:bottom w:val="single" w:sz="12" w:space="0" w:color="auto"/>
            </w:tcBorders>
          </w:tcPr>
          <w:p w:rsidR="00000000" w:rsidRDefault="00000000">
            <w:pPr>
              <w:pStyle w:val="SingleTxt"/>
              <w:tabs>
                <w:tab w:val="clear" w:pos="1267"/>
                <w:tab w:val="left" w:pos="1170"/>
              </w:tabs>
              <w:ind w:left="0" w:right="-50"/>
              <w:jc w:val="left"/>
              <w:rPr>
                <w:sz w:val="17"/>
              </w:rPr>
            </w:pPr>
            <w:r>
              <w:rPr>
                <w:sz w:val="17"/>
              </w:rPr>
              <w:t>City of Almaty</w:t>
            </w:r>
          </w:p>
        </w:tc>
        <w:tc>
          <w:tcPr>
            <w:tcW w:w="1071"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9</w:t>
            </w:r>
          </w:p>
        </w:tc>
        <w:tc>
          <w:tcPr>
            <w:tcW w:w="990"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12</w:t>
            </w:r>
          </w:p>
        </w:tc>
        <w:tc>
          <w:tcPr>
            <w:tcW w:w="963"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8</w:t>
            </w:r>
          </w:p>
        </w:tc>
        <w:tc>
          <w:tcPr>
            <w:tcW w:w="927"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9</w:t>
            </w:r>
          </w:p>
        </w:tc>
        <w:tc>
          <w:tcPr>
            <w:tcW w:w="936"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3</w:t>
            </w:r>
          </w:p>
        </w:tc>
      </w:tr>
    </w:tbl>
    <w:p w:rsidR="00000000" w:rsidRDefault="00000000">
      <w:pPr>
        <w:tabs>
          <w:tab w:val="left" w:pos="475"/>
          <w:tab w:val="left" w:pos="965"/>
          <w:tab w:val="left" w:pos="1440"/>
          <w:tab w:val="left" w:pos="1915"/>
          <w:tab w:val="left" w:pos="2405"/>
        </w:tabs>
        <w:spacing w:after="120" w:line="20" w:lineRule="exact"/>
        <w:jc w:val="both"/>
      </w:pPr>
    </w:p>
    <w:p w:rsidR="00000000" w:rsidRDefault="00000000">
      <w:pPr>
        <w:tabs>
          <w:tab w:val="left" w:pos="475"/>
          <w:tab w:val="left" w:pos="965"/>
          <w:tab w:val="left" w:pos="1440"/>
          <w:tab w:val="left" w:pos="1915"/>
          <w:tab w:val="left" w:pos="2405"/>
        </w:tabs>
        <w:spacing w:after="120" w:line="20" w:lineRule="exact"/>
        <w:jc w:val="both"/>
      </w:pPr>
    </w:p>
    <w:p w:rsidR="00000000" w:rsidRDefault="00000000">
      <w:pPr>
        <w:pStyle w:val="DH2"/>
        <w:spacing w:line="20" w:lineRule="exact"/>
        <w:sectPr w:rsidR="00000000">
          <w:type w:val="continuous"/>
          <w:pgSz w:w="12240" w:h="15840"/>
          <w:pgMar w:top="1742" w:right="1195" w:bottom="1901" w:left="1195" w:header="576" w:footer="1037" w:gutter="0"/>
          <w:cols w:space="720"/>
          <w:docGrid w:linePitch="360"/>
        </w:sectPr>
      </w:pPr>
    </w:p>
    <w:p w:rsidR="00000000" w:rsidRDefault="00000000">
      <w:pPr>
        <w:pStyle w:val="DH2"/>
      </w:pPr>
      <w:r>
        <w:rPr>
          <w:noProof/>
          <w:w w:val="100"/>
        </w:rPr>
        <w:pict>
          <v:shape id="_x0000_s2064" type="#_x0000_t202" style="position:absolute;margin-left:-1.7pt;margin-top:5.1pt;width:243pt;height:153pt;z-index:8;mso-position-horizontal:absolute;mso-position-horizontal-relative:text;mso-position-vertical:absolute;mso-position-vertical-relative:text" o:allowincell="f" stroked="f">
            <v:textbox>
              <w:txbxContent>
                <w:p w:rsidR="00000000" w:rsidRDefault="00000000">
                  <w:pPr>
                    <w:pStyle w:val="DH2"/>
                  </w:pPr>
                  <w:r>
                    <w:tab/>
                    <w:t>Maternal mortality</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12.</w:t>
                  </w:r>
                  <w:r>
                    <w:tab/>
                    <w:t>In absolute terms, maternal mortality is constantly falling, along with the birth rate. The number of women who died from complications related to pregnancy, labour and the post-natal period was 199 in 1990 and 122 in 1998.</w:t>
                  </w:r>
                </w:p>
                <w:p w:rsidR="00000000" w:rsidRDefault="00000000">
                  <w:pPr>
                    <w:pStyle w:val="D12r"/>
                  </w:pPr>
                </w:p>
                <w:p w:rsidR="00000000" w:rsidRDefault="00000000">
                  <w:pPr>
                    <w:pStyle w:val="DH2"/>
                  </w:pPr>
                  <w:r>
                    <w:tab/>
                    <w:t>Maternal mortality rate</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ab/>
                    <w:t>The maternal mortality rates per 100,000 births were 55 in 1990, 57.6 in 1995, 52.9 in 1996, 59 in 1997, and 54.9 in 1998.</w:t>
                  </w:r>
                </w:p>
                <w:p w:rsidR="00000000" w:rsidRDefault="00000000"/>
              </w:txbxContent>
            </v:textbox>
          </v:shape>
        </w:pict>
      </w:r>
      <w:r>
        <w:rPr>
          <w:noProof/>
          <w:w w:val="100"/>
        </w:rPr>
        <w:pict>
          <v:shape id="_x0000_s2065" type="#_x0000_t202" style="position:absolute;margin-left:241.3pt;margin-top:5.1pt;width:252pt;height:135pt;z-index:9;mso-position-horizontal:absolute;mso-position-horizontal-relative:text;mso-position-vertical:absolute;mso-position-vertical-relative:text" o:allowincell="f" stroked="f">
            <v:textbox>
              <w:txbxContent>
                <w:p w:rsidR="00000000" w:rsidRDefault="00000000">
                  <w:pPr>
                    <w:pStyle w:val="DH2"/>
                  </w:pPr>
                  <w:r>
                    <w:tab/>
                    <w:t>Natural population growth</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13.</w:t>
                  </w:r>
                  <w:r>
                    <w:tab/>
                    <w:t>The natural population growth decreased 4.3-fold in the 12 years from 1987 to 1998, owing to a decline in the birth rate and an increase in mortality. The natural population growth was 68,066 in 1998, or 4.6 per thousand. The natural population movement exhibits a tendency towards a decline in the population of the northern and eastern regions.</w:t>
                  </w:r>
                </w:p>
                <w:p w:rsidR="00000000" w:rsidRDefault="00000000"/>
              </w:txbxContent>
            </v:textbox>
          </v:shape>
        </w:pict>
      </w:r>
    </w:p>
    <w:p w:rsidR="00000000" w:rsidRDefault="00000000">
      <w:pPr>
        <w:pStyle w:val="DH2"/>
      </w:pPr>
    </w:p>
    <w:p w:rsidR="00000000" w:rsidRDefault="00000000">
      <w:pPr>
        <w:pStyle w:val="DH2"/>
      </w:pPr>
    </w:p>
    <w:p w:rsidR="00000000" w:rsidRDefault="00000000">
      <w:pPr>
        <w:pStyle w:val="DH2"/>
      </w:pPr>
    </w:p>
    <w:p w:rsidR="00000000" w:rsidRDefault="00000000">
      <w:pPr>
        <w:pStyle w:val="DH2"/>
      </w:pPr>
    </w:p>
    <w:p w:rsidR="00000000" w:rsidRDefault="00000000">
      <w:pPr>
        <w:pStyle w:val="DH2"/>
      </w:pPr>
    </w:p>
    <w:p w:rsidR="00000000" w:rsidRDefault="00000000">
      <w:pPr>
        <w:pStyle w:val="DH2"/>
      </w:pPr>
    </w:p>
    <w:p w:rsidR="00000000" w:rsidRDefault="00000000">
      <w:pPr>
        <w:pStyle w:val="DH2"/>
      </w:pPr>
    </w:p>
    <w:p w:rsidR="00000000" w:rsidRDefault="00000000">
      <w:pPr>
        <w:pStyle w:val="DH2"/>
      </w:pPr>
    </w:p>
    <w:p w:rsidR="00000000" w:rsidRDefault="00000000">
      <w:pPr>
        <w:pStyle w:val="DH2"/>
      </w:pPr>
    </w:p>
    <w:p w:rsidR="00000000" w:rsidRDefault="00000000">
      <w:pPr>
        <w:pStyle w:val="DH2"/>
      </w:pPr>
    </w:p>
    <w:p w:rsidR="00000000" w:rsidRDefault="00000000">
      <w:pPr>
        <w:pStyle w:val="DH2"/>
      </w:pP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p>
    <w:p w:rsidR="00000000" w:rsidRDefault="00000000">
      <w:pPr>
        <w:tabs>
          <w:tab w:val="left" w:pos="475"/>
          <w:tab w:val="left" w:pos="965"/>
          <w:tab w:val="left" w:pos="1440"/>
          <w:tab w:val="left" w:pos="1915"/>
          <w:tab w:val="left" w:pos="2405"/>
        </w:tabs>
        <w:spacing w:after="120"/>
        <w:jc w:val="both"/>
      </w:pPr>
    </w:p>
    <w:p w:rsidR="00000000" w:rsidRDefault="00000000">
      <w:pPr>
        <w:tabs>
          <w:tab w:val="left" w:pos="475"/>
          <w:tab w:val="left" w:pos="965"/>
          <w:tab w:val="left" w:pos="1440"/>
          <w:tab w:val="left" w:pos="1915"/>
          <w:tab w:val="left" w:pos="2405"/>
        </w:tabs>
        <w:spacing w:after="120"/>
        <w:jc w:val="both"/>
        <w:sectPr w:rsidR="00000000">
          <w:type w:val="continuous"/>
          <w:pgSz w:w="12240" w:h="15840"/>
          <w:pgMar w:top="1742" w:right="1195" w:bottom="1901" w:left="1195" w:header="576" w:footer="1037" w:gutter="0"/>
          <w:cols w:num="2" w:space="245"/>
          <w:docGrid w:linePitch="360"/>
        </w:sectPr>
      </w:pPr>
    </w:p>
    <w:p w:rsidR="00000000" w:rsidRDefault="00000000">
      <w:pPr>
        <w:pStyle w:val="SingleTxt"/>
        <w:tabs>
          <w:tab w:val="clear" w:pos="1267"/>
          <w:tab w:val="left" w:pos="639"/>
        </w:tabs>
        <w:ind w:left="639" w:right="-50"/>
        <w:jc w:val="left"/>
      </w:pPr>
      <w:r>
        <w:t>Table 7</w:t>
      </w:r>
      <w:r>
        <w:br/>
      </w:r>
      <w:r>
        <w:rPr>
          <w:b/>
        </w:rPr>
        <w:t>Births, deaths and natural population increase</w:t>
      </w:r>
    </w:p>
    <w:p w:rsidR="00000000" w:rsidRDefault="00000000">
      <w:pPr>
        <w:pStyle w:val="D12r"/>
      </w:pPr>
    </w:p>
    <w:tbl>
      <w:tblPr>
        <w:tblW w:w="0" w:type="auto"/>
        <w:tblInd w:w="641" w:type="dxa"/>
        <w:tblLayout w:type="fixed"/>
        <w:tblLook w:val="0000" w:firstRow="0" w:lastRow="0" w:firstColumn="0" w:lastColumn="0" w:noHBand="0" w:noVBand="0"/>
      </w:tblPr>
      <w:tblGrid>
        <w:gridCol w:w="720"/>
        <w:gridCol w:w="1035"/>
        <w:gridCol w:w="963"/>
        <w:gridCol w:w="882"/>
        <w:gridCol w:w="236"/>
        <w:gridCol w:w="889"/>
        <w:gridCol w:w="873"/>
        <w:gridCol w:w="837"/>
        <w:gridCol w:w="236"/>
        <w:gridCol w:w="799"/>
        <w:gridCol w:w="873"/>
        <w:gridCol w:w="774"/>
      </w:tblGrid>
      <w:tr w:rsidR="00000000">
        <w:tblPrEx>
          <w:tblCellMar>
            <w:top w:w="0" w:type="dxa"/>
            <w:bottom w:w="0" w:type="dxa"/>
          </w:tblCellMar>
        </w:tblPrEx>
        <w:trPr>
          <w:cantSplit/>
        </w:trPr>
        <w:tc>
          <w:tcPr>
            <w:tcW w:w="720" w:type="dxa"/>
            <w:tcBorders>
              <w:top w:val="single" w:sz="4" w:space="0" w:color="auto"/>
            </w:tcBorders>
          </w:tcPr>
          <w:p w:rsidR="00000000" w:rsidRDefault="00000000">
            <w:pPr>
              <w:pStyle w:val="SingleTxt"/>
              <w:tabs>
                <w:tab w:val="clear" w:pos="1267"/>
                <w:tab w:val="left" w:pos="1170"/>
              </w:tabs>
              <w:ind w:left="0" w:right="-50"/>
              <w:jc w:val="left"/>
              <w:rPr>
                <w:i/>
                <w:sz w:val="14"/>
              </w:rPr>
            </w:pPr>
          </w:p>
        </w:tc>
        <w:tc>
          <w:tcPr>
            <w:tcW w:w="2880" w:type="dxa"/>
            <w:gridSpan w:val="3"/>
            <w:tcBorders>
              <w:top w:val="single" w:sz="4" w:space="0" w:color="auto"/>
              <w:bottom w:val="single" w:sz="4" w:space="0" w:color="auto"/>
            </w:tcBorders>
          </w:tcPr>
          <w:p w:rsidR="00000000" w:rsidRDefault="00000000">
            <w:pPr>
              <w:pStyle w:val="SingleTxt"/>
              <w:tabs>
                <w:tab w:val="clear" w:pos="1267"/>
                <w:tab w:val="left" w:pos="1170"/>
              </w:tabs>
              <w:ind w:left="0" w:right="-50"/>
              <w:jc w:val="center"/>
              <w:rPr>
                <w:i/>
                <w:sz w:val="14"/>
              </w:rPr>
            </w:pPr>
            <w:r>
              <w:rPr>
                <w:i/>
                <w:sz w:val="14"/>
              </w:rPr>
              <w:t>Number of births</w:t>
            </w:r>
          </w:p>
        </w:tc>
        <w:tc>
          <w:tcPr>
            <w:tcW w:w="236" w:type="dxa"/>
            <w:tcBorders>
              <w:top w:val="single" w:sz="4" w:space="0" w:color="auto"/>
            </w:tcBorders>
          </w:tcPr>
          <w:p w:rsidR="00000000" w:rsidRDefault="00000000">
            <w:pPr>
              <w:pStyle w:val="SingleTxt"/>
              <w:tabs>
                <w:tab w:val="clear" w:pos="1267"/>
                <w:tab w:val="left" w:pos="1170"/>
              </w:tabs>
              <w:ind w:left="0" w:right="-50"/>
              <w:jc w:val="center"/>
              <w:rPr>
                <w:i/>
                <w:sz w:val="14"/>
              </w:rPr>
            </w:pPr>
          </w:p>
        </w:tc>
        <w:tc>
          <w:tcPr>
            <w:tcW w:w="2599" w:type="dxa"/>
            <w:gridSpan w:val="3"/>
            <w:tcBorders>
              <w:top w:val="single" w:sz="4" w:space="0" w:color="auto"/>
              <w:bottom w:val="single" w:sz="4" w:space="0" w:color="auto"/>
            </w:tcBorders>
          </w:tcPr>
          <w:p w:rsidR="00000000" w:rsidRDefault="00000000">
            <w:pPr>
              <w:pStyle w:val="SingleTxt"/>
              <w:tabs>
                <w:tab w:val="clear" w:pos="1267"/>
                <w:tab w:val="left" w:pos="1170"/>
              </w:tabs>
              <w:ind w:left="0" w:right="-50"/>
              <w:jc w:val="center"/>
              <w:rPr>
                <w:i/>
                <w:sz w:val="14"/>
              </w:rPr>
            </w:pPr>
            <w:r>
              <w:rPr>
                <w:i/>
                <w:sz w:val="14"/>
              </w:rPr>
              <w:t>Number of deaths</w:t>
            </w:r>
          </w:p>
        </w:tc>
        <w:tc>
          <w:tcPr>
            <w:tcW w:w="236" w:type="dxa"/>
            <w:tcBorders>
              <w:top w:val="single" w:sz="4" w:space="0" w:color="auto"/>
            </w:tcBorders>
          </w:tcPr>
          <w:p w:rsidR="00000000" w:rsidRDefault="00000000">
            <w:pPr>
              <w:pStyle w:val="SingleTxt"/>
              <w:tabs>
                <w:tab w:val="clear" w:pos="1267"/>
                <w:tab w:val="left" w:pos="1170"/>
              </w:tabs>
              <w:ind w:left="0" w:right="-50"/>
              <w:jc w:val="center"/>
              <w:rPr>
                <w:i/>
                <w:sz w:val="14"/>
              </w:rPr>
            </w:pPr>
          </w:p>
        </w:tc>
        <w:tc>
          <w:tcPr>
            <w:tcW w:w="2446" w:type="dxa"/>
            <w:gridSpan w:val="3"/>
            <w:tcBorders>
              <w:top w:val="single" w:sz="4" w:space="0" w:color="auto"/>
              <w:bottom w:val="single" w:sz="4" w:space="0" w:color="auto"/>
            </w:tcBorders>
          </w:tcPr>
          <w:p w:rsidR="00000000" w:rsidRDefault="00000000">
            <w:pPr>
              <w:pStyle w:val="SingleTxt"/>
              <w:tabs>
                <w:tab w:val="clear" w:pos="1267"/>
                <w:tab w:val="left" w:pos="1170"/>
              </w:tabs>
              <w:ind w:left="0" w:right="-50"/>
              <w:jc w:val="center"/>
              <w:rPr>
                <w:i/>
                <w:sz w:val="14"/>
              </w:rPr>
            </w:pPr>
            <w:r>
              <w:rPr>
                <w:i/>
                <w:sz w:val="14"/>
              </w:rPr>
              <w:t>Natural growth</w:t>
            </w:r>
          </w:p>
        </w:tc>
      </w:tr>
      <w:tr w:rsidR="00000000">
        <w:tblPrEx>
          <w:tblCellMar>
            <w:top w:w="0" w:type="dxa"/>
            <w:bottom w:w="0" w:type="dxa"/>
          </w:tblCellMar>
        </w:tblPrEx>
        <w:trPr>
          <w:cantSplit/>
        </w:trPr>
        <w:tc>
          <w:tcPr>
            <w:tcW w:w="720" w:type="dxa"/>
          </w:tcPr>
          <w:p w:rsidR="00000000" w:rsidRDefault="00000000">
            <w:pPr>
              <w:pStyle w:val="SingleTxt"/>
              <w:tabs>
                <w:tab w:val="clear" w:pos="1267"/>
                <w:tab w:val="left" w:pos="1170"/>
              </w:tabs>
              <w:ind w:left="0" w:right="-50"/>
              <w:jc w:val="left"/>
              <w:rPr>
                <w:i/>
                <w:sz w:val="14"/>
              </w:rPr>
            </w:pPr>
          </w:p>
        </w:tc>
        <w:tc>
          <w:tcPr>
            <w:tcW w:w="1035" w:type="dxa"/>
            <w:tcBorders>
              <w:top w:val="single" w:sz="4" w:space="0" w:color="auto"/>
            </w:tcBorders>
          </w:tcPr>
          <w:p w:rsidR="00000000" w:rsidRDefault="00000000">
            <w:pPr>
              <w:pStyle w:val="SingleTxt"/>
              <w:tabs>
                <w:tab w:val="clear" w:pos="1267"/>
                <w:tab w:val="left" w:pos="1170"/>
              </w:tabs>
              <w:ind w:left="0" w:right="-50"/>
              <w:jc w:val="right"/>
              <w:rPr>
                <w:i/>
                <w:sz w:val="14"/>
              </w:rPr>
            </w:pPr>
            <w:r>
              <w:rPr>
                <w:i/>
                <w:sz w:val="14"/>
              </w:rPr>
              <w:t>Total</w:t>
            </w:r>
          </w:p>
        </w:tc>
        <w:tc>
          <w:tcPr>
            <w:tcW w:w="1845" w:type="dxa"/>
            <w:gridSpan w:val="2"/>
            <w:tcBorders>
              <w:top w:val="single" w:sz="4" w:space="0" w:color="auto"/>
              <w:left w:val="nil"/>
              <w:bottom w:val="single" w:sz="4" w:space="0" w:color="auto"/>
            </w:tcBorders>
            <w:vAlign w:val="bottom"/>
          </w:tcPr>
          <w:p w:rsidR="00000000" w:rsidRDefault="00000000">
            <w:pPr>
              <w:pStyle w:val="SingleTxt"/>
              <w:tabs>
                <w:tab w:val="left" w:pos="1170"/>
              </w:tabs>
              <w:ind w:left="0" w:right="-50"/>
              <w:jc w:val="center"/>
              <w:rPr>
                <w:i/>
                <w:sz w:val="14"/>
              </w:rPr>
            </w:pPr>
            <w:r>
              <w:rPr>
                <w:i/>
                <w:sz w:val="14"/>
              </w:rPr>
              <w:t>Of which:</w:t>
            </w:r>
          </w:p>
        </w:tc>
        <w:tc>
          <w:tcPr>
            <w:tcW w:w="236" w:type="dxa"/>
          </w:tcPr>
          <w:p w:rsidR="00000000" w:rsidRDefault="00000000">
            <w:pPr>
              <w:pStyle w:val="SingleTxt"/>
              <w:tabs>
                <w:tab w:val="clear" w:pos="1267"/>
                <w:tab w:val="left" w:pos="1170"/>
              </w:tabs>
              <w:ind w:left="0" w:right="-50"/>
              <w:jc w:val="center"/>
              <w:rPr>
                <w:i/>
                <w:sz w:val="14"/>
              </w:rPr>
            </w:pPr>
          </w:p>
        </w:tc>
        <w:tc>
          <w:tcPr>
            <w:tcW w:w="889" w:type="dxa"/>
            <w:tcBorders>
              <w:top w:val="single" w:sz="4" w:space="0" w:color="auto"/>
            </w:tcBorders>
          </w:tcPr>
          <w:p w:rsidR="00000000" w:rsidRDefault="00000000">
            <w:pPr>
              <w:pStyle w:val="SingleTxt"/>
              <w:tabs>
                <w:tab w:val="clear" w:pos="1267"/>
                <w:tab w:val="left" w:pos="1170"/>
              </w:tabs>
              <w:ind w:left="0" w:right="-50"/>
              <w:jc w:val="right"/>
              <w:rPr>
                <w:i/>
                <w:sz w:val="14"/>
              </w:rPr>
            </w:pPr>
            <w:r>
              <w:rPr>
                <w:i/>
                <w:sz w:val="14"/>
              </w:rPr>
              <w:t>Total</w:t>
            </w:r>
          </w:p>
        </w:tc>
        <w:tc>
          <w:tcPr>
            <w:tcW w:w="1710" w:type="dxa"/>
            <w:gridSpan w:val="2"/>
            <w:tcBorders>
              <w:top w:val="single" w:sz="4" w:space="0" w:color="auto"/>
              <w:left w:val="nil"/>
              <w:bottom w:val="single" w:sz="4" w:space="0" w:color="auto"/>
            </w:tcBorders>
          </w:tcPr>
          <w:p w:rsidR="00000000" w:rsidRDefault="00000000">
            <w:pPr>
              <w:pStyle w:val="SingleTxt"/>
              <w:tabs>
                <w:tab w:val="left" w:pos="1170"/>
              </w:tabs>
              <w:ind w:left="0" w:right="-50"/>
              <w:jc w:val="center"/>
              <w:rPr>
                <w:i/>
                <w:sz w:val="14"/>
              </w:rPr>
            </w:pPr>
            <w:r>
              <w:rPr>
                <w:i/>
                <w:sz w:val="14"/>
              </w:rPr>
              <w:t>Of which:</w:t>
            </w:r>
          </w:p>
        </w:tc>
        <w:tc>
          <w:tcPr>
            <w:tcW w:w="236" w:type="dxa"/>
          </w:tcPr>
          <w:p w:rsidR="00000000" w:rsidRDefault="00000000">
            <w:pPr>
              <w:pStyle w:val="SingleTxt"/>
              <w:tabs>
                <w:tab w:val="clear" w:pos="1267"/>
                <w:tab w:val="left" w:pos="1170"/>
              </w:tabs>
              <w:ind w:left="0" w:right="-50"/>
              <w:jc w:val="center"/>
              <w:rPr>
                <w:i/>
                <w:sz w:val="14"/>
              </w:rPr>
            </w:pPr>
          </w:p>
        </w:tc>
        <w:tc>
          <w:tcPr>
            <w:tcW w:w="799" w:type="dxa"/>
            <w:tcBorders>
              <w:top w:val="single" w:sz="4" w:space="0" w:color="auto"/>
            </w:tcBorders>
          </w:tcPr>
          <w:p w:rsidR="00000000" w:rsidRDefault="00000000">
            <w:pPr>
              <w:pStyle w:val="SingleTxt"/>
              <w:tabs>
                <w:tab w:val="clear" w:pos="1267"/>
                <w:tab w:val="left" w:pos="1170"/>
              </w:tabs>
              <w:ind w:left="0" w:right="-50"/>
              <w:jc w:val="right"/>
              <w:rPr>
                <w:i/>
                <w:sz w:val="14"/>
              </w:rPr>
            </w:pPr>
            <w:r>
              <w:rPr>
                <w:i/>
                <w:sz w:val="14"/>
              </w:rPr>
              <w:t>Total</w:t>
            </w:r>
          </w:p>
        </w:tc>
        <w:tc>
          <w:tcPr>
            <w:tcW w:w="1647" w:type="dxa"/>
            <w:gridSpan w:val="2"/>
            <w:tcBorders>
              <w:top w:val="single" w:sz="4" w:space="0" w:color="auto"/>
              <w:left w:val="nil"/>
              <w:bottom w:val="single" w:sz="4" w:space="0" w:color="auto"/>
            </w:tcBorders>
          </w:tcPr>
          <w:p w:rsidR="00000000" w:rsidRDefault="00000000">
            <w:pPr>
              <w:pStyle w:val="SingleTxt"/>
              <w:tabs>
                <w:tab w:val="left" w:pos="1170"/>
              </w:tabs>
              <w:ind w:left="0" w:right="-50"/>
              <w:jc w:val="center"/>
              <w:rPr>
                <w:i/>
                <w:sz w:val="14"/>
              </w:rPr>
            </w:pPr>
            <w:r>
              <w:rPr>
                <w:i/>
                <w:sz w:val="14"/>
              </w:rPr>
              <w:t>Of which:</w:t>
            </w:r>
          </w:p>
        </w:tc>
      </w:tr>
      <w:tr w:rsidR="00000000">
        <w:tblPrEx>
          <w:tblCellMar>
            <w:top w:w="0" w:type="dxa"/>
            <w:bottom w:w="0" w:type="dxa"/>
          </w:tblCellMar>
        </w:tblPrEx>
        <w:tc>
          <w:tcPr>
            <w:tcW w:w="720" w:type="dxa"/>
            <w:tcBorders>
              <w:bottom w:val="single" w:sz="12" w:space="0" w:color="auto"/>
            </w:tcBorders>
          </w:tcPr>
          <w:p w:rsidR="00000000" w:rsidRDefault="00000000">
            <w:pPr>
              <w:pStyle w:val="SingleTxt"/>
              <w:tabs>
                <w:tab w:val="clear" w:pos="1267"/>
                <w:tab w:val="left" w:pos="1170"/>
              </w:tabs>
              <w:ind w:left="0" w:right="-50"/>
              <w:jc w:val="left"/>
              <w:rPr>
                <w:i/>
                <w:sz w:val="14"/>
              </w:rPr>
            </w:pPr>
          </w:p>
        </w:tc>
        <w:tc>
          <w:tcPr>
            <w:tcW w:w="1035" w:type="dxa"/>
            <w:tcBorders>
              <w:bottom w:val="single" w:sz="12" w:space="0" w:color="auto"/>
            </w:tcBorders>
          </w:tcPr>
          <w:p w:rsidR="00000000" w:rsidRDefault="00000000">
            <w:pPr>
              <w:pStyle w:val="SingleTxt"/>
              <w:tabs>
                <w:tab w:val="clear" w:pos="1267"/>
                <w:tab w:val="left" w:pos="1170"/>
              </w:tabs>
              <w:ind w:left="0" w:right="-50"/>
              <w:jc w:val="right"/>
              <w:rPr>
                <w:i/>
                <w:sz w:val="14"/>
              </w:rPr>
            </w:pPr>
          </w:p>
        </w:tc>
        <w:tc>
          <w:tcPr>
            <w:tcW w:w="963" w:type="dxa"/>
            <w:tcBorders>
              <w:bottom w:val="single" w:sz="12" w:space="0" w:color="auto"/>
            </w:tcBorders>
          </w:tcPr>
          <w:p w:rsidR="00000000" w:rsidRDefault="00000000">
            <w:pPr>
              <w:pStyle w:val="SingleTxt"/>
              <w:tabs>
                <w:tab w:val="clear" w:pos="1267"/>
                <w:tab w:val="left" w:pos="1170"/>
              </w:tabs>
              <w:ind w:left="0" w:right="-50"/>
              <w:jc w:val="right"/>
              <w:rPr>
                <w:i/>
                <w:sz w:val="14"/>
              </w:rPr>
            </w:pPr>
            <w:r>
              <w:rPr>
                <w:i/>
                <w:sz w:val="14"/>
              </w:rPr>
              <w:t>Urban</w:t>
            </w:r>
          </w:p>
        </w:tc>
        <w:tc>
          <w:tcPr>
            <w:tcW w:w="882" w:type="dxa"/>
            <w:tcBorders>
              <w:bottom w:val="single" w:sz="12" w:space="0" w:color="auto"/>
            </w:tcBorders>
          </w:tcPr>
          <w:p w:rsidR="00000000" w:rsidRDefault="00000000">
            <w:pPr>
              <w:pStyle w:val="SingleTxt"/>
              <w:tabs>
                <w:tab w:val="clear" w:pos="1267"/>
                <w:tab w:val="left" w:pos="1170"/>
              </w:tabs>
              <w:ind w:left="0" w:right="-50"/>
              <w:jc w:val="right"/>
              <w:rPr>
                <w:i/>
                <w:sz w:val="14"/>
              </w:rPr>
            </w:pPr>
            <w:r>
              <w:rPr>
                <w:i/>
                <w:sz w:val="14"/>
              </w:rPr>
              <w:t>Rural</w:t>
            </w:r>
          </w:p>
        </w:tc>
        <w:tc>
          <w:tcPr>
            <w:tcW w:w="236" w:type="dxa"/>
            <w:tcBorders>
              <w:bottom w:val="single" w:sz="12" w:space="0" w:color="auto"/>
            </w:tcBorders>
          </w:tcPr>
          <w:p w:rsidR="00000000" w:rsidRDefault="00000000">
            <w:pPr>
              <w:pStyle w:val="SingleTxt"/>
              <w:tabs>
                <w:tab w:val="clear" w:pos="1267"/>
                <w:tab w:val="left" w:pos="1170"/>
              </w:tabs>
              <w:ind w:left="0" w:right="-50"/>
              <w:jc w:val="right"/>
              <w:rPr>
                <w:i/>
                <w:sz w:val="14"/>
              </w:rPr>
            </w:pPr>
          </w:p>
        </w:tc>
        <w:tc>
          <w:tcPr>
            <w:tcW w:w="889" w:type="dxa"/>
            <w:tcBorders>
              <w:bottom w:val="single" w:sz="12" w:space="0" w:color="auto"/>
            </w:tcBorders>
          </w:tcPr>
          <w:p w:rsidR="00000000" w:rsidRDefault="00000000">
            <w:pPr>
              <w:pStyle w:val="SingleTxt"/>
              <w:tabs>
                <w:tab w:val="clear" w:pos="1267"/>
                <w:tab w:val="left" w:pos="1170"/>
              </w:tabs>
              <w:ind w:left="0" w:right="-50"/>
              <w:jc w:val="right"/>
              <w:rPr>
                <w:i/>
                <w:sz w:val="14"/>
              </w:rPr>
            </w:pPr>
          </w:p>
        </w:tc>
        <w:tc>
          <w:tcPr>
            <w:tcW w:w="873" w:type="dxa"/>
            <w:tcBorders>
              <w:left w:val="nil"/>
              <w:bottom w:val="single" w:sz="12" w:space="0" w:color="auto"/>
            </w:tcBorders>
          </w:tcPr>
          <w:p w:rsidR="00000000" w:rsidRDefault="00000000">
            <w:pPr>
              <w:pStyle w:val="SingleTxt"/>
              <w:tabs>
                <w:tab w:val="clear" w:pos="1267"/>
                <w:tab w:val="left" w:pos="1170"/>
              </w:tabs>
              <w:ind w:left="0" w:right="-50"/>
              <w:jc w:val="right"/>
              <w:rPr>
                <w:i/>
                <w:sz w:val="14"/>
              </w:rPr>
            </w:pPr>
            <w:r>
              <w:rPr>
                <w:i/>
                <w:sz w:val="14"/>
              </w:rPr>
              <w:t>Urban</w:t>
            </w:r>
          </w:p>
        </w:tc>
        <w:tc>
          <w:tcPr>
            <w:tcW w:w="837" w:type="dxa"/>
            <w:tcBorders>
              <w:bottom w:val="single" w:sz="12" w:space="0" w:color="auto"/>
            </w:tcBorders>
          </w:tcPr>
          <w:p w:rsidR="00000000" w:rsidRDefault="00000000">
            <w:pPr>
              <w:pStyle w:val="SingleTxt"/>
              <w:tabs>
                <w:tab w:val="clear" w:pos="1267"/>
                <w:tab w:val="left" w:pos="1170"/>
              </w:tabs>
              <w:ind w:left="0" w:right="-50"/>
              <w:jc w:val="right"/>
              <w:rPr>
                <w:i/>
                <w:sz w:val="14"/>
              </w:rPr>
            </w:pPr>
            <w:r>
              <w:rPr>
                <w:i/>
                <w:sz w:val="14"/>
              </w:rPr>
              <w:t>Rural</w:t>
            </w:r>
          </w:p>
        </w:tc>
        <w:tc>
          <w:tcPr>
            <w:tcW w:w="236" w:type="dxa"/>
            <w:tcBorders>
              <w:bottom w:val="single" w:sz="12" w:space="0" w:color="auto"/>
            </w:tcBorders>
          </w:tcPr>
          <w:p w:rsidR="00000000" w:rsidRDefault="00000000">
            <w:pPr>
              <w:pStyle w:val="SingleTxt"/>
              <w:tabs>
                <w:tab w:val="clear" w:pos="1267"/>
                <w:tab w:val="left" w:pos="1170"/>
              </w:tabs>
              <w:ind w:left="0" w:right="-50"/>
              <w:jc w:val="right"/>
              <w:rPr>
                <w:i/>
                <w:sz w:val="14"/>
              </w:rPr>
            </w:pPr>
          </w:p>
        </w:tc>
        <w:tc>
          <w:tcPr>
            <w:tcW w:w="799" w:type="dxa"/>
            <w:tcBorders>
              <w:bottom w:val="single" w:sz="12" w:space="0" w:color="auto"/>
            </w:tcBorders>
          </w:tcPr>
          <w:p w:rsidR="00000000" w:rsidRDefault="00000000">
            <w:pPr>
              <w:pStyle w:val="SingleTxt"/>
              <w:tabs>
                <w:tab w:val="clear" w:pos="1267"/>
                <w:tab w:val="left" w:pos="1170"/>
              </w:tabs>
              <w:ind w:left="0" w:right="-50"/>
              <w:jc w:val="right"/>
              <w:rPr>
                <w:i/>
                <w:sz w:val="14"/>
              </w:rPr>
            </w:pPr>
          </w:p>
        </w:tc>
        <w:tc>
          <w:tcPr>
            <w:tcW w:w="873" w:type="dxa"/>
            <w:tcBorders>
              <w:bottom w:val="single" w:sz="12" w:space="0" w:color="auto"/>
            </w:tcBorders>
          </w:tcPr>
          <w:p w:rsidR="00000000" w:rsidRDefault="00000000">
            <w:pPr>
              <w:pStyle w:val="SingleTxt"/>
              <w:tabs>
                <w:tab w:val="clear" w:pos="1267"/>
                <w:tab w:val="left" w:pos="1170"/>
              </w:tabs>
              <w:ind w:left="0" w:right="-50"/>
              <w:jc w:val="right"/>
              <w:rPr>
                <w:i/>
                <w:sz w:val="14"/>
              </w:rPr>
            </w:pPr>
            <w:r>
              <w:rPr>
                <w:i/>
                <w:sz w:val="14"/>
              </w:rPr>
              <w:t>Urban</w:t>
            </w:r>
          </w:p>
        </w:tc>
        <w:tc>
          <w:tcPr>
            <w:tcW w:w="774" w:type="dxa"/>
            <w:tcBorders>
              <w:bottom w:val="single" w:sz="12" w:space="0" w:color="auto"/>
            </w:tcBorders>
          </w:tcPr>
          <w:p w:rsidR="00000000" w:rsidRDefault="00000000">
            <w:pPr>
              <w:pStyle w:val="SingleTxt"/>
              <w:tabs>
                <w:tab w:val="clear" w:pos="1267"/>
                <w:tab w:val="left" w:pos="1170"/>
              </w:tabs>
              <w:ind w:left="0" w:right="-50"/>
              <w:jc w:val="right"/>
              <w:rPr>
                <w:i/>
                <w:sz w:val="14"/>
              </w:rPr>
            </w:pPr>
            <w:r>
              <w:rPr>
                <w:i/>
                <w:sz w:val="14"/>
              </w:rPr>
              <w:t>Rural</w:t>
            </w:r>
          </w:p>
        </w:tc>
      </w:tr>
      <w:tr w:rsidR="00000000">
        <w:tblPrEx>
          <w:tblCellMar>
            <w:top w:w="0" w:type="dxa"/>
            <w:bottom w:w="0" w:type="dxa"/>
          </w:tblCellMar>
        </w:tblPrEx>
        <w:tc>
          <w:tcPr>
            <w:tcW w:w="720" w:type="dxa"/>
            <w:tcBorders>
              <w:top w:val="single" w:sz="12" w:space="0" w:color="auto"/>
            </w:tcBorders>
          </w:tcPr>
          <w:p w:rsidR="00000000" w:rsidRDefault="00000000">
            <w:pPr>
              <w:pStyle w:val="SingleTxt"/>
              <w:tabs>
                <w:tab w:val="clear" w:pos="1267"/>
                <w:tab w:val="left" w:pos="1170"/>
              </w:tabs>
              <w:ind w:left="0" w:right="-50"/>
              <w:jc w:val="left"/>
              <w:rPr>
                <w:sz w:val="17"/>
              </w:rPr>
            </w:pPr>
            <w:r>
              <w:rPr>
                <w:sz w:val="17"/>
              </w:rPr>
              <w:t>1980</w:t>
            </w:r>
          </w:p>
        </w:tc>
        <w:tc>
          <w:tcPr>
            <w:tcW w:w="1035"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356 013</w:t>
            </w:r>
          </w:p>
        </w:tc>
        <w:tc>
          <w:tcPr>
            <w:tcW w:w="963"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179 522</w:t>
            </w:r>
          </w:p>
        </w:tc>
        <w:tc>
          <w:tcPr>
            <w:tcW w:w="882"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176 491</w:t>
            </w:r>
          </w:p>
        </w:tc>
        <w:tc>
          <w:tcPr>
            <w:tcW w:w="236" w:type="dxa"/>
            <w:tcBorders>
              <w:top w:val="single" w:sz="12" w:space="0" w:color="auto"/>
            </w:tcBorders>
          </w:tcPr>
          <w:p w:rsidR="00000000" w:rsidRDefault="00000000">
            <w:pPr>
              <w:pStyle w:val="SingleTxt"/>
              <w:tabs>
                <w:tab w:val="clear" w:pos="1267"/>
                <w:tab w:val="left" w:pos="1170"/>
              </w:tabs>
              <w:ind w:left="0" w:right="-50"/>
              <w:jc w:val="right"/>
              <w:rPr>
                <w:sz w:val="17"/>
              </w:rPr>
            </w:pPr>
          </w:p>
        </w:tc>
        <w:tc>
          <w:tcPr>
            <w:tcW w:w="889"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119 078</w:t>
            </w:r>
          </w:p>
        </w:tc>
        <w:tc>
          <w:tcPr>
            <w:tcW w:w="873"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65 964</w:t>
            </w:r>
          </w:p>
        </w:tc>
        <w:tc>
          <w:tcPr>
            <w:tcW w:w="837"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53 114</w:t>
            </w:r>
          </w:p>
        </w:tc>
        <w:tc>
          <w:tcPr>
            <w:tcW w:w="236" w:type="dxa"/>
            <w:tcBorders>
              <w:top w:val="single" w:sz="12" w:space="0" w:color="auto"/>
            </w:tcBorders>
          </w:tcPr>
          <w:p w:rsidR="00000000" w:rsidRDefault="00000000">
            <w:pPr>
              <w:pStyle w:val="SingleTxt"/>
              <w:tabs>
                <w:tab w:val="clear" w:pos="1267"/>
                <w:tab w:val="left" w:pos="1170"/>
              </w:tabs>
              <w:ind w:left="0" w:right="-50"/>
              <w:jc w:val="right"/>
              <w:rPr>
                <w:sz w:val="17"/>
              </w:rPr>
            </w:pPr>
          </w:p>
        </w:tc>
        <w:tc>
          <w:tcPr>
            <w:tcW w:w="799"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236 935</w:t>
            </w:r>
          </w:p>
        </w:tc>
        <w:tc>
          <w:tcPr>
            <w:tcW w:w="873"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113 558</w:t>
            </w:r>
          </w:p>
        </w:tc>
        <w:tc>
          <w:tcPr>
            <w:tcW w:w="774"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123 377</w:t>
            </w:r>
          </w:p>
        </w:tc>
      </w:tr>
      <w:tr w:rsidR="00000000">
        <w:tblPrEx>
          <w:tblCellMar>
            <w:top w:w="0" w:type="dxa"/>
            <w:bottom w:w="0" w:type="dxa"/>
          </w:tblCellMar>
        </w:tblPrEx>
        <w:tc>
          <w:tcPr>
            <w:tcW w:w="720" w:type="dxa"/>
          </w:tcPr>
          <w:p w:rsidR="00000000" w:rsidRDefault="00000000">
            <w:pPr>
              <w:pStyle w:val="SingleTxt"/>
              <w:tabs>
                <w:tab w:val="clear" w:pos="1267"/>
                <w:tab w:val="left" w:pos="1170"/>
              </w:tabs>
              <w:ind w:left="0" w:right="-50"/>
              <w:jc w:val="left"/>
              <w:rPr>
                <w:sz w:val="17"/>
              </w:rPr>
            </w:pPr>
            <w:r>
              <w:rPr>
                <w:sz w:val="17"/>
              </w:rPr>
              <w:t>1985</w:t>
            </w:r>
          </w:p>
        </w:tc>
        <w:tc>
          <w:tcPr>
            <w:tcW w:w="1035" w:type="dxa"/>
          </w:tcPr>
          <w:p w:rsidR="00000000" w:rsidRDefault="00000000">
            <w:pPr>
              <w:pStyle w:val="SingleTxt"/>
              <w:tabs>
                <w:tab w:val="clear" w:pos="1267"/>
                <w:tab w:val="left" w:pos="1170"/>
              </w:tabs>
              <w:ind w:left="0" w:right="-50"/>
              <w:jc w:val="right"/>
              <w:rPr>
                <w:sz w:val="17"/>
              </w:rPr>
            </w:pPr>
            <w:r>
              <w:rPr>
                <w:sz w:val="17"/>
              </w:rPr>
              <w:t>396 929</w:t>
            </w:r>
          </w:p>
        </w:tc>
        <w:tc>
          <w:tcPr>
            <w:tcW w:w="963" w:type="dxa"/>
          </w:tcPr>
          <w:p w:rsidR="00000000" w:rsidRDefault="00000000">
            <w:pPr>
              <w:pStyle w:val="SingleTxt"/>
              <w:tabs>
                <w:tab w:val="clear" w:pos="1267"/>
                <w:tab w:val="left" w:pos="1170"/>
              </w:tabs>
              <w:ind w:left="0" w:right="-50"/>
              <w:jc w:val="right"/>
              <w:rPr>
                <w:sz w:val="17"/>
              </w:rPr>
            </w:pPr>
            <w:r>
              <w:rPr>
                <w:sz w:val="17"/>
              </w:rPr>
              <w:t>203 392</w:t>
            </w:r>
          </w:p>
        </w:tc>
        <w:tc>
          <w:tcPr>
            <w:tcW w:w="882" w:type="dxa"/>
          </w:tcPr>
          <w:p w:rsidR="00000000" w:rsidRDefault="00000000">
            <w:pPr>
              <w:pStyle w:val="SingleTxt"/>
              <w:tabs>
                <w:tab w:val="clear" w:pos="1267"/>
                <w:tab w:val="left" w:pos="1170"/>
              </w:tabs>
              <w:ind w:left="0" w:right="-50"/>
              <w:jc w:val="right"/>
              <w:rPr>
                <w:sz w:val="17"/>
              </w:rPr>
            </w:pPr>
            <w:r>
              <w:rPr>
                <w:sz w:val="17"/>
              </w:rPr>
              <w:t>193 537</w:t>
            </w:r>
          </w:p>
        </w:tc>
        <w:tc>
          <w:tcPr>
            <w:tcW w:w="236" w:type="dxa"/>
          </w:tcPr>
          <w:p w:rsidR="00000000" w:rsidRDefault="00000000">
            <w:pPr>
              <w:pStyle w:val="SingleTxt"/>
              <w:tabs>
                <w:tab w:val="clear" w:pos="1267"/>
                <w:tab w:val="left" w:pos="1170"/>
              </w:tabs>
              <w:ind w:left="0" w:right="-50"/>
              <w:jc w:val="right"/>
              <w:rPr>
                <w:sz w:val="17"/>
              </w:rPr>
            </w:pPr>
          </w:p>
        </w:tc>
        <w:tc>
          <w:tcPr>
            <w:tcW w:w="889" w:type="dxa"/>
          </w:tcPr>
          <w:p w:rsidR="00000000" w:rsidRDefault="00000000">
            <w:pPr>
              <w:pStyle w:val="SingleTxt"/>
              <w:tabs>
                <w:tab w:val="clear" w:pos="1267"/>
                <w:tab w:val="left" w:pos="1170"/>
              </w:tabs>
              <w:ind w:left="0" w:right="-50"/>
              <w:jc w:val="right"/>
              <w:rPr>
                <w:sz w:val="17"/>
              </w:rPr>
            </w:pPr>
            <w:r>
              <w:rPr>
                <w:sz w:val="17"/>
              </w:rPr>
              <w:t>126 786</w:t>
            </w:r>
          </w:p>
        </w:tc>
        <w:tc>
          <w:tcPr>
            <w:tcW w:w="873" w:type="dxa"/>
          </w:tcPr>
          <w:p w:rsidR="00000000" w:rsidRDefault="00000000">
            <w:pPr>
              <w:pStyle w:val="SingleTxt"/>
              <w:tabs>
                <w:tab w:val="clear" w:pos="1267"/>
                <w:tab w:val="left" w:pos="1170"/>
              </w:tabs>
              <w:ind w:left="0" w:right="-50"/>
              <w:jc w:val="right"/>
              <w:rPr>
                <w:sz w:val="17"/>
              </w:rPr>
            </w:pPr>
            <w:r>
              <w:rPr>
                <w:sz w:val="17"/>
              </w:rPr>
              <w:t>71 517</w:t>
            </w:r>
          </w:p>
        </w:tc>
        <w:tc>
          <w:tcPr>
            <w:tcW w:w="837" w:type="dxa"/>
          </w:tcPr>
          <w:p w:rsidR="00000000" w:rsidRDefault="00000000">
            <w:pPr>
              <w:pStyle w:val="SingleTxt"/>
              <w:tabs>
                <w:tab w:val="clear" w:pos="1267"/>
                <w:tab w:val="left" w:pos="1170"/>
              </w:tabs>
              <w:ind w:left="0" w:right="-50"/>
              <w:jc w:val="right"/>
              <w:rPr>
                <w:sz w:val="17"/>
              </w:rPr>
            </w:pPr>
            <w:r>
              <w:rPr>
                <w:sz w:val="17"/>
              </w:rPr>
              <w:t>55 269</w:t>
            </w:r>
          </w:p>
        </w:tc>
        <w:tc>
          <w:tcPr>
            <w:tcW w:w="236" w:type="dxa"/>
          </w:tcPr>
          <w:p w:rsidR="00000000" w:rsidRDefault="00000000">
            <w:pPr>
              <w:pStyle w:val="SingleTxt"/>
              <w:tabs>
                <w:tab w:val="clear" w:pos="1267"/>
                <w:tab w:val="left" w:pos="1170"/>
              </w:tabs>
              <w:ind w:left="0" w:right="-50"/>
              <w:jc w:val="right"/>
              <w:rPr>
                <w:sz w:val="17"/>
              </w:rPr>
            </w:pPr>
          </w:p>
        </w:tc>
        <w:tc>
          <w:tcPr>
            <w:tcW w:w="799" w:type="dxa"/>
          </w:tcPr>
          <w:p w:rsidR="00000000" w:rsidRDefault="00000000">
            <w:pPr>
              <w:pStyle w:val="SingleTxt"/>
              <w:tabs>
                <w:tab w:val="clear" w:pos="1267"/>
                <w:tab w:val="left" w:pos="1170"/>
              </w:tabs>
              <w:ind w:left="0" w:right="-50"/>
              <w:jc w:val="right"/>
              <w:rPr>
                <w:sz w:val="17"/>
              </w:rPr>
            </w:pPr>
            <w:r>
              <w:rPr>
                <w:sz w:val="17"/>
              </w:rPr>
              <w:t>270 143</w:t>
            </w:r>
          </w:p>
        </w:tc>
        <w:tc>
          <w:tcPr>
            <w:tcW w:w="873" w:type="dxa"/>
          </w:tcPr>
          <w:p w:rsidR="00000000" w:rsidRDefault="00000000">
            <w:pPr>
              <w:pStyle w:val="SingleTxt"/>
              <w:tabs>
                <w:tab w:val="clear" w:pos="1267"/>
                <w:tab w:val="left" w:pos="1170"/>
              </w:tabs>
              <w:ind w:left="0" w:right="-50"/>
              <w:jc w:val="right"/>
              <w:rPr>
                <w:sz w:val="17"/>
              </w:rPr>
            </w:pPr>
            <w:r>
              <w:rPr>
                <w:sz w:val="17"/>
              </w:rPr>
              <w:t>131 875</w:t>
            </w:r>
          </w:p>
        </w:tc>
        <w:tc>
          <w:tcPr>
            <w:tcW w:w="774" w:type="dxa"/>
          </w:tcPr>
          <w:p w:rsidR="00000000" w:rsidRDefault="00000000">
            <w:pPr>
              <w:pStyle w:val="SingleTxt"/>
              <w:tabs>
                <w:tab w:val="clear" w:pos="1267"/>
                <w:tab w:val="left" w:pos="1170"/>
              </w:tabs>
              <w:ind w:left="0" w:right="-50"/>
              <w:jc w:val="right"/>
              <w:rPr>
                <w:sz w:val="17"/>
              </w:rPr>
            </w:pPr>
            <w:r>
              <w:rPr>
                <w:sz w:val="17"/>
              </w:rPr>
              <w:t>138 268</w:t>
            </w:r>
          </w:p>
        </w:tc>
      </w:tr>
      <w:tr w:rsidR="00000000">
        <w:tblPrEx>
          <w:tblCellMar>
            <w:top w:w="0" w:type="dxa"/>
            <w:bottom w:w="0" w:type="dxa"/>
          </w:tblCellMar>
        </w:tblPrEx>
        <w:tc>
          <w:tcPr>
            <w:tcW w:w="720" w:type="dxa"/>
          </w:tcPr>
          <w:p w:rsidR="00000000" w:rsidRDefault="00000000">
            <w:pPr>
              <w:pStyle w:val="SingleTxt"/>
              <w:tabs>
                <w:tab w:val="clear" w:pos="1267"/>
                <w:tab w:val="left" w:pos="1170"/>
              </w:tabs>
              <w:ind w:left="0" w:right="-50"/>
              <w:jc w:val="left"/>
              <w:rPr>
                <w:sz w:val="17"/>
              </w:rPr>
            </w:pPr>
            <w:r>
              <w:rPr>
                <w:sz w:val="17"/>
              </w:rPr>
              <w:t>1990</w:t>
            </w:r>
          </w:p>
        </w:tc>
        <w:tc>
          <w:tcPr>
            <w:tcW w:w="1035" w:type="dxa"/>
          </w:tcPr>
          <w:p w:rsidR="00000000" w:rsidRDefault="00000000">
            <w:pPr>
              <w:pStyle w:val="SingleTxt"/>
              <w:tabs>
                <w:tab w:val="clear" w:pos="1267"/>
                <w:tab w:val="left" w:pos="1170"/>
              </w:tabs>
              <w:ind w:left="0" w:right="-50"/>
              <w:jc w:val="right"/>
              <w:rPr>
                <w:sz w:val="17"/>
              </w:rPr>
            </w:pPr>
            <w:r>
              <w:rPr>
                <w:sz w:val="17"/>
              </w:rPr>
              <w:t>362 081</w:t>
            </w:r>
          </w:p>
        </w:tc>
        <w:tc>
          <w:tcPr>
            <w:tcW w:w="963" w:type="dxa"/>
          </w:tcPr>
          <w:p w:rsidR="00000000" w:rsidRDefault="00000000">
            <w:pPr>
              <w:pStyle w:val="SingleTxt"/>
              <w:tabs>
                <w:tab w:val="clear" w:pos="1267"/>
                <w:tab w:val="left" w:pos="1170"/>
              </w:tabs>
              <w:ind w:left="0" w:right="-50"/>
              <w:jc w:val="right"/>
              <w:rPr>
                <w:sz w:val="17"/>
              </w:rPr>
            </w:pPr>
            <w:r>
              <w:rPr>
                <w:sz w:val="17"/>
              </w:rPr>
              <w:t>178 114</w:t>
            </w:r>
          </w:p>
        </w:tc>
        <w:tc>
          <w:tcPr>
            <w:tcW w:w="882" w:type="dxa"/>
          </w:tcPr>
          <w:p w:rsidR="00000000" w:rsidRDefault="00000000">
            <w:pPr>
              <w:pStyle w:val="SingleTxt"/>
              <w:tabs>
                <w:tab w:val="clear" w:pos="1267"/>
                <w:tab w:val="left" w:pos="1170"/>
              </w:tabs>
              <w:ind w:left="0" w:right="-50"/>
              <w:jc w:val="right"/>
              <w:rPr>
                <w:sz w:val="17"/>
              </w:rPr>
            </w:pPr>
            <w:r>
              <w:rPr>
                <w:sz w:val="17"/>
              </w:rPr>
              <w:t>183 967</w:t>
            </w:r>
          </w:p>
        </w:tc>
        <w:tc>
          <w:tcPr>
            <w:tcW w:w="236" w:type="dxa"/>
          </w:tcPr>
          <w:p w:rsidR="00000000" w:rsidRDefault="00000000">
            <w:pPr>
              <w:pStyle w:val="SingleTxt"/>
              <w:tabs>
                <w:tab w:val="clear" w:pos="1267"/>
                <w:tab w:val="left" w:pos="1170"/>
              </w:tabs>
              <w:ind w:left="0" w:right="-50"/>
              <w:jc w:val="right"/>
              <w:rPr>
                <w:sz w:val="17"/>
              </w:rPr>
            </w:pPr>
          </w:p>
        </w:tc>
        <w:tc>
          <w:tcPr>
            <w:tcW w:w="889" w:type="dxa"/>
          </w:tcPr>
          <w:p w:rsidR="00000000" w:rsidRDefault="00000000">
            <w:pPr>
              <w:pStyle w:val="SingleTxt"/>
              <w:tabs>
                <w:tab w:val="clear" w:pos="1267"/>
                <w:tab w:val="left" w:pos="1170"/>
              </w:tabs>
              <w:ind w:left="0" w:right="-50"/>
              <w:jc w:val="right"/>
              <w:rPr>
                <w:sz w:val="17"/>
              </w:rPr>
            </w:pPr>
            <w:r>
              <w:rPr>
                <w:sz w:val="17"/>
              </w:rPr>
              <w:t>128 576</w:t>
            </w:r>
          </w:p>
        </w:tc>
        <w:tc>
          <w:tcPr>
            <w:tcW w:w="873" w:type="dxa"/>
          </w:tcPr>
          <w:p w:rsidR="00000000" w:rsidRDefault="00000000">
            <w:pPr>
              <w:pStyle w:val="SingleTxt"/>
              <w:tabs>
                <w:tab w:val="clear" w:pos="1267"/>
                <w:tab w:val="left" w:pos="1170"/>
              </w:tabs>
              <w:ind w:left="0" w:right="-50"/>
              <w:jc w:val="right"/>
              <w:rPr>
                <w:sz w:val="17"/>
              </w:rPr>
            </w:pPr>
            <w:r>
              <w:rPr>
                <w:sz w:val="17"/>
              </w:rPr>
              <w:t>75 898</w:t>
            </w:r>
          </w:p>
        </w:tc>
        <w:tc>
          <w:tcPr>
            <w:tcW w:w="837" w:type="dxa"/>
          </w:tcPr>
          <w:p w:rsidR="00000000" w:rsidRDefault="00000000">
            <w:pPr>
              <w:pStyle w:val="SingleTxt"/>
              <w:tabs>
                <w:tab w:val="clear" w:pos="1267"/>
                <w:tab w:val="left" w:pos="1170"/>
              </w:tabs>
              <w:ind w:left="0" w:right="-50"/>
              <w:jc w:val="right"/>
              <w:rPr>
                <w:sz w:val="17"/>
              </w:rPr>
            </w:pPr>
            <w:r>
              <w:rPr>
                <w:sz w:val="17"/>
              </w:rPr>
              <w:t>52 678</w:t>
            </w:r>
          </w:p>
        </w:tc>
        <w:tc>
          <w:tcPr>
            <w:tcW w:w="236" w:type="dxa"/>
          </w:tcPr>
          <w:p w:rsidR="00000000" w:rsidRDefault="00000000">
            <w:pPr>
              <w:pStyle w:val="SingleTxt"/>
              <w:tabs>
                <w:tab w:val="clear" w:pos="1267"/>
                <w:tab w:val="left" w:pos="1170"/>
              </w:tabs>
              <w:ind w:left="0" w:right="-50"/>
              <w:jc w:val="right"/>
              <w:rPr>
                <w:sz w:val="17"/>
              </w:rPr>
            </w:pPr>
          </w:p>
        </w:tc>
        <w:tc>
          <w:tcPr>
            <w:tcW w:w="799" w:type="dxa"/>
          </w:tcPr>
          <w:p w:rsidR="00000000" w:rsidRDefault="00000000">
            <w:pPr>
              <w:pStyle w:val="SingleTxt"/>
              <w:tabs>
                <w:tab w:val="clear" w:pos="1267"/>
                <w:tab w:val="left" w:pos="1170"/>
              </w:tabs>
              <w:ind w:left="0" w:right="-50"/>
              <w:jc w:val="right"/>
              <w:rPr>
                <w:sz w:val="17"/>
              </w:rPr>
            </w:pPr>
            <w:r>
              <w:rPr>
                <w:sz w:val="17"/>
              </w:rPr>
              <w:t>233 505</w:t>
            </w:r>
          </w:p>
        </w:tc>
        <w:tc>
          <w:tcPr>
            <w:tcW w:w="873" w:type="dxa"/>
          </w:tcPr>
          <w:p w:rsidR="00000000" w:rsidRDefault="00000000">
            <w:pPr>
              <w:pStyle w:val="SingleTxt"/>
              <w:tabs>
                <w:tab w:val="clear" w:pos="1267"/>
                <w:tab w:val="left" w:pos="1170"/>
              </w:tabs>
              <w:ind w:left="0" w:right="-50"/>
              <w:jc w:val="right"/>
              <w:rPr>
                <w:sz w:val="17"/>
              </w:rPr>
            </w:pPr>
            <w:r>
              <w:rPr>
                <w:sz w:val="17"/>
              </w:rPr>
              <w:t>102 216</w:t>
            </w:r>
          </w:p>
        </w:tc>
        <w:tc>
          <w:tcPr>
            <w:tcW w:w="774" w:type="dxa"/>
          </w:tcPr>
          <w:p w:rsidR="00000000" w:rsidRDefault="00000000">
            <w:pPr>
              <w:pStyle w:val="SingleTxt"/>
              <w:tabs>
                <w:tab w:val="clear" w:pos="1267"/>
                <w:tab w:val="left" w:pos="1170"/>
              </w:tabs>
              <w:ind w:left="0" w:right="-50"/>
              <w:jc w:val="right"/>
              <w:rPr>
                <w:sz w:val="17"/>
              </w:rPr>
            </w:pPr>
            <w:r>
              <w:rPr>
                <w:sz w:val="17"/>
              </w:rPr>
              <w:t>131 289</w:t>
            </w:r>
          </w:p>
        </w:tc>
      </w:tr>
      <w:tr w:rsidR="00000000">
        <w:tblPrEx>
          <w:tblCellMar>
            <w:top w:w="0" w:type="dxa"/>
            <w:bottom w:w="0" w:type="dxa"/>
          </w:tblCellMar>
        </w:tblPrEx>
        <w:tc>
          <w:tcPr>
            <w:tcW w:w="720" w:type="dxa"/>
          </w:tcPr>
          <w:p w:rsidR="00000000" w:rsidRDefault="00000000">
            <w:pPr>
              <w:pStyle w:val="SingleTxt"/>
              <w:tabs>
                <w:tab w:val="clear" w:pos="1267"/>
                <w:tab w:val="left" w:pos="1170"/>
              </w:tabs>
              <w:ind w:left="0" w:right="-50"/>
              <w:jc w:val="left"/>
              <w:rPr>
                <w:sz w:val="17"/>
              </w:rPr>
            </w:pPr>
            <w:r>
              <w:rPr>
                <w:sz w:val="17"/>
              </w:rPr>
              <w:t>1991</w:t>
            </w:r>
          </w:p>
        </w:tc>
        <w:tc>
          <w:tcPr>
            <w:tcW w:w="1035" w:type="dxa"/>
          </w:tcPr>
          <w:p w:rsidR="00000000" w:rsidRDefault="00000000">
            <w:pPr>
              <w:pStyle w:val="SingleTxt"/>
              <w:tabs>
                <w:tab w:val="clear" w:pos="1267"/>
                <w:tab w:val="left" w:pos="1170"/>
              </w:tabs>
              <w:ind w:left="0" w:right="-50"/>
              <w:jc w:val="right"/>
              <w:rPr>
                <w:sz w:val="17"/>
              </w:rPr>
            </w:pPr>
            <w:r>
              <w:rPr>
                <w:sz w:val="17"/>
              </w:rPr>
              <w:t>353 174</w:t>
            </w:r>
          </w:p>
        </w:tc>
        <w:tc>
          <w:tcPr>
            <w:tcW w:w="963" w:type="dxa"/>
          </w:tcPr>
          <w:p w:rsidR="00000000" w:rsidRDefault="00000000">
            <w:pPr>
              <w:pStyle w:val="SingleTxt"/>
              <w:tabs>
                <w:tab w:val="clear" w:pos="1267"/>
                <w:tab w:val="left" w:pos="1170"/>
              </w:tabs>
              <w:ind w:left="0" w:right="-50"/>
              <w:jc w:val="right"/>
              <w:rPr>
                <w:sz w:val="17"/>
              </w:rPr>
            </w:pPr>
            <w:r>
              <w:rPr>
                <w:sz w:val="17"/>
              </w:rPr>
              <w:t>169 947</w:t>
            </w:r>
          </w:p>
        </w:tc>
        <w:tc>
          <w:tcPr>
            <w:tcW w:w="882" w:type="dxa"/>
          </w:tcPr>
          <w:p w:rsidR="00000000" w:rsidRDefault="00000000">
            <w:pPr>
              <w:pStyle w:val="SingleTxt"/>
              <w:tabs>
                <w:tab w:val="clear" w:pos="1267"/>
                <w:tab w:val="left" w:pos="1170"/>
              </w:tabs>
              <w:ind w:left="0" w:right="-50"/>
              <w:jc w:val="right"/>
              <w:rPr>
                <w:sz w:val="17"/>
              </w:rPr>
            </w:pPr>
            <w:r>
              <w:rPr>
                <w:sz w:val="17"/>
              </w:rPr>
              <w:t>183 227</w:t>
            </w:r>
          </w:p>
        </w:tc>
        <w:tc>
          <w:tcPr>
            <w:tcW w:w="236" w:type="dxa"/>
          </w:tcPr>
          <w:p w:rsidR="00000000" w:rsidRDefault="00000000">
            <w:pPr>
              <w:pStyle w:val="SingleTxt"/>
              <w:tabs>
                <w:tab w:val="clear" w:pos="1267"/>
                <w:tab w:val="left" w:pos="1170"/>
              </w:tabs>
              <w:ind w:left="0" w:right="-50"/>
              <w:jc w:val="right"/>
              <w:rPr>
                <w:sz w:val="17"/>
              </w:rPr>
            </w:pPr>
          </w:p>
        </w:tc>
        <w:tc>
          <w:tcPr>
            <w:tcW w:w="889" w:type="dxa"/>
          </w:tcPr>
          <w:p w:rsidR="00000000" w:rsidRDefault="00000000">
            <w:pPr>
              <w:pStyle w:val="SingleTxt"/>
              <w:tabs>
                <w:tab w:val="clear" w:pos="1267"/>
                <w:tab w:val="left" w:pos="1170"/>
              </w:tabs>
              <w:ind w:left="0" w:right="-50"/>
              <w:jc w:val="right"/>
              <w:rPr>
                <w:sz w:val="17"/>
              </w:rPr>
            </w:pPr>
            <w:r>
              <w:rPr>
                <w:sz w:val="17"/>
              </w:rPr>
              <w:t>134 324</w:t>
            </w:r>
          </w:p>
        </w:tc>
        <w:tc>
          <w:tcPr>
            <w:tcW w:w="873" w:type="dxa"/>
          </w:tcPr>
          <w:p w:rsidR="00000000" w:rsidRDefault="00000000">
            <w:pPr>
              <w:pStyle w:val="SingleTxt"/>
              <w:tabs>
                <w:tab w:val="clear" w:pos="1267"/>
                <w:tab w:val="left" w:pos="1170"/>
              </w:tabs>
              <w:ind w:left="0" w:right="-50"/>
              <w:jc w:val="right"/>
              <w:rPr>
                <w:sz w:val="17"/>
              </w:rPr>
            </w:pPr>
            <w:r>
              <w:rPr>
                <w:sz w:val="17"/>
              </w:rPr>
              <w:t>79 331</w:t>
            </w:r>
          </w:p>
        </w:tc>
        <w:tc>
          <w:tcPr>
            <w:tcW w:w="837" w:type="dxa"/>
          </w:tcPr>
          <w:p w:rsidR="00000000" w:rsidRDefault="00000000">
            <w:pPr>
              <w:pStyle w:val="SingleTxt"/>
              <w:tabs>
                <w:tab w:val="clear" w:pos="1267"/>
                <w:tab w:val="left" w:pos="1170"/>
              </w:tabs>
              <w:ind w:left="0" w:right="-50"/>
              <w:jc w:val="right"/>
              <w:rPr>
                <w:sz w:val="17"/>
              </w:rPr>
            </w:pPr>
            <w:r>
              <w:rPr>
                <w:sz w:val="17"/>
              </w:rPr>
              <w:t>54 993</w:t>
            </w:r>
          </w:p>
        </w:tc>
        <w:tc>
          <w:tcPr>
            <w:tcW w:w="236" w:type="dxa"/>
          </w:tcPr>
          <w:p w:rsidR="00000000" w:rsidRDefault="00000000">
            <w:pPr>
              <w:pStyle w:val="SingleTxt"/>
              <w:tabs>
                <w:tab w:val="clear" w:pos="1267"/>
                <w:tab w:val="left" w:pos="1170"/>
              </w:tabs>
              <w:ind w:left="0" w:right="-50"/>
              <w:jc w:val="right"/>
              <w:rPr>
                <w:sz w:val="17"/>
              </w:rPr>
            </w:pPr>
          </w:p>
        </w:tc>
        <w:tc>
          <w:tcPr>
            <w:tcW w:w="799" w:type="dxa"/>
          </w:tcPr>
          <w:p w:rsidR="00000000" w:rsidRDefault="00000000">
            <w:pPr>
              <w:pStyle w:val="SingleTxt"/>
              <w:tabs>
                <w:tab w:val="clear" w:pos="1267"/>
                <w:tab w:val="left" w:pos="1170"/>
              </w:tabs>
              <w:ind w:left="0" w:right="-50"/>
              <w:jc w:val="right"/>
              <w:rPr>
                <w:sz w:val="17"/>
              </w:rPr>
            </w:pPr>
            <w:r>
              <w:rPr>
                <w:sz w:val="17"/>
              </w:rPr>
              <w:t>218 850</w:t>
            </w:r>
          </w:p>
        </w:tc>
        <w:tc>
          <w:tcPr>
            <w:tcW w:w="873" w:type="dxa"/>
          </w:tcPr>
          <w:p w:rsidR="00000000" w:rsidRDefault="00000000">
            <w:pPr>
              <w:pStyle w:val="SingleTxt"/>
              <w:tabs>
                <w:tab w:val="clear" w:pos="1267"/>
                <w:tab w:val="left" w:pos="1170"/>
              </w:tabs>
              <w:ind w:left="0" w:right="-50"/>
              <w:jc w:val="right"/>
              <w:rPr>
                <w:sz w:val="17"/>
              </w:rPr>
            </w:pPr>
            <w:r>
              <w:rPr>
                <w:sz w:val="17"/>
              </w:rPr>
              <w:t>90 616</w:t>
            </w:r>
          </w:p>
        </w:tc>
        <w:tc>
          <w:tcPr>
            <w:tcW w:w="774" w:type="dxa"/>
          </w:tcPr>
          <w:p w:rsidR="00000000" w:rsidRDefault="00000000">
            <w:pPr>
              <w:pStyle w:val="SingleTxt"/>
              <w:tabs>
                <w:tab w:val="clear" w:pos="1267"/>
                <w:tab w:val="left" w:pos="1170"/>
              </w:tabs>
              <w:ind w:left="0" w:right="-50"/>
              <w:jc w:val="right"/>
              <w:rPr>
                <w:sz w:val="17"/>
              </w:rPr>
            </w:pPr>
            <w:r>
              <w:rPr>
                <w:sz w:val="17"/>
              </w:rPr>
              <w:t>128 214</w:t>
            </w:r>
          </w:p>
        </w:tc>
      </w:tr>
      <w:tr w:rsidR="00000000">
        <w:tblPrEx>
          <w:tblCellMar>
            <w:top w:w="0" w:type="dxa"/>
            <w:bottom w:w="0" w:type="dxa"/>
          </w:tblCellMar>
        </w:tblPrEx>
        <w:tc>
          <w:tcPr>
            <w:tcW w:w="720" w:type="dxa"/>
          </w:tcPr>
          <w:p w:rsidR="00000000" w:rsidRDefault="00000000">
            <w:pPr>
              <w:pStyle w:val="SingleTxt"/>
              <w:tabs>
                <w:tab w:val="clear" w:pos="1267"/>
                <w:tab w:val="left" w:pos="1170"/>
              </w:tabs>
              <w:ind w:left="0" w:right="-50"/>
              <w:jc w:val="left"/>
              <w:rPr>
                <w:sz w:val="17"/>
              </w:rPr>
            </w:pPr>
            <w:r>
              <w:rPr>
                <w:sz w:val="17"/>
              </w:rPr>
              <w:t>1992</w:t>
            </w:r>
          </w:p>
        </w:tc>
        <w:tc>
          <w:tcPr>
            <w:tcW w:w="1035" w:type="dxa"/>
          </w:tcPr>
          <w:p w:rsidR="00000000" w:rsidRDefault="00000000">
            <w:pPr>
              <w:pStyle w:val="SingleTxt"/>
              <w:tabs>
                <w:tab w:val="clear" w:pos="1267"/>
                <w:tab w:val="left" w:pos="1170"/>
              </w:tabs>
              <w:ind w:left="0" w:right="-50"/>
              <w:jc w:val="right"/>
              <w:rPr>
                <w:sz w:val="17"/>
              </w:rPr>
            </w:pPr>
            <w:r>
              <w:rPr>
                <w:sz w:val="17"/>
              </w:rPr>
              <w:t>337 612</w:t>
            </w:r>
          </w:p>
        </w:tc>
        <w:tc>
          <w:tcPr>
            <w:tcW w:w="963" w:type="dxa"/>
          </w:tcPr>
          <w:p w:rsidR="00000000" w:rsidRDefault="00000000">
            <w:pPr>
              <w:pStyle w:val="SingleTxt"/>
              <w:tabs>
                <w:tab w:val="clear" w:pos="1267"/>
                <w:tab w:val="left" w:pos="1170"/>
              </w:tabs>
              <w:ind w:left="0" w:right="-50"/>
              <w:jc w:val="right"/>
              <w:rPr>
                <w:sz w:val="17"/>
              </w:rPr>
            </w:pPr>
            <w:r>
              <w:rPr>
                <w:sz w:val="17"/>
              </w:rPr>
              <w:t>159 679</w:t>
            </w:r>
          </w:p>
        </w:tc>
        <w:tc>
          <w:tcPr>
            <w:tcW w:w="882" w:type="dxa"/>
          </w:tcPr>
          <w:p w:rsidR="00000000" w:rsidRDefault="00000000">
            <w:pPr>
              <w:pStyle w:val="SingleTxt"/>
              <w:tabs>
                <w:tab w:val="clear" w:pos="1267"/>
                <w:tab w:val="left" w:pos="1170"/>
              </w:tabs>
              <w:ind w:left="0" w:right="-50"/>
              <w:jc w:val="right"/>
              <w:rPr>
                <w:sz w:val="17"/>
              </w:rPr>
            </w:pPr>
            <w:r>
              <w:rPr>
                <w:sz w:val="17"/>
              </w:rPr>
              <w:t>177 933</w:t>
            </w:r>
          </w:p>
        </w:tc>
        <w:tc>
          <w:tcPr>
            <w:tcW w:w="236" w:type="dxa"/>
          </w:tcPr>
          <w:p w:rsidR="00000000" w:rsidRDefault="00000000">
            <w:pPr>
              <w:pStyle w:val="SingleTxt"/>
              <w:tabs>
                <w:tab w:val="clear" w:pos="1267"/>
                <w:tab w:val="left" w:pos="1170"/>
              </w:tabs>
              <w:ind w:left="0" w:right="-50"/>
              <w:jc w:val="right"/>
              <w:rPr>
                <w:sz w:val="17"/>
              </w:rPr>
            </w:pPr>
          </w:p>
        </w:tc>
        <w:tc>
          <w:tcPr>
            <w:tcW w:w="889" w:type="dxa"/>
          </w:tcPr>
          <w:p w:rsidR="00000000" w:rsidRDefault="00000000">
            <w:pPr>
              <w:pStyle w:val="SingleTxt"/>
              <w:tabs>
                <w:tab w:val="clear" w:pos="1267"/>
                <w:tab w:val="left" w:pos="1170"/>
              </w:tabs>
              <w:ind w:left="0" w:right="-50"/>
              <w:jc w:val="right"/>
              <w:rPr>
                <w:sz w:val="17"/>
              </w:rPr>
            </w:pPr>
            <w:r>
              <w:rPr>
                <w:sz w:val="17"/>
              </w:rPr>
              <w:t>137 518</w:t>
            </w:r>
          </w:p>
        </w:tc>
        <w:tc>
          <w:tcPr>
            <w:tcW w:w="873" w:type="dxa"/>
          </w:tcPr>
          <w:p w:rsidR="00000000" w:rsidRDefault="00000000">
            <w:pPr>
              <w:pStyle w:val="SingleTxt"/>
              <w:tabs>
                <w:tab w:val="clear" w:pos="1267"/>
                <w:tab w:val="left" w:pos="1170"/>
              </w:tabs>
              <w:ind w:left="0" w:right="-50"/>
              <w:jc w:val="right"/>
              <w:rPr>
                <w:sz w:val="17"/>
              </w:rPr>
            </w:pPr>
            <w:r>
              <w:rPr>
                <w:sz w:val="17"/>
              </w:rPr>
              <w:t>81 668</w:t>
            </w:r>
          </w:p>
        </w:tc>
        <w:tc>
          <w:tcPr>
            <w:tcW w:w="837" w:type="dxa"/>
          </w:tcPr>
          <w:p w:rsidR="00000000" w:rsidRDefault="00000000">
            <w:pPr>
              <w:pStyle w:val="SingleTxt"/>
              <w:tabs>
                <w:tab w:val="clear" w:pos="1267"/>
                <w:tab w:val="left" w:pos="1170"/>
              </w:tabs>
              <w:ind w:left="0" w:right="-50"/>
              <w:jc w:val="right"/>
              <w:rPr>
                <w:sz w:val="17"/>
              </w:rPr>
            </w:pPr>
            <w:r>
              <w:rPr>
                <w:sz w:val="17"/>
              </w:rPr>
              <w:t>55 850</w:t>
            </w:r>
          </w:p>
        </w:tc>
        <w:tc>
          <w:tcPr>
            <w:tcW w:w="236" w:type="dxa"/>
          </w:tcPr>
          <w:p w:rsidR="00000000" w:rsidRDefault="00000000">
            <w:pPr>
              <w:pStyle w:val="SingleTxt"/>
              <w:tabs>
                <w:tab w:val="clear" w:pos="1267"/>
                <w:tab w:val="left" w:pos="1170"/>
              </w:tabs>
              <w:ind w:left="0" w:right="-50"/>
              <w:jc w:val="right"/>
              <w:rPr>
                <w:sz w:val="17"/>
              </w:rPr>
            </w:pPr>
          </w:p>
        </w:tc>
        <w:tc>
          <w:tcPr>
            <w:tcW w:w="799" w:type="dxa"/>
          </w:tcPr>
          <w:p w:rsidR="00000000" w:rsidRDefault="00000000">
            <w:pPr>
              <w:pStyle w:val="SingleTxt"/>
              <w:tabs>
                <w:tab w:val="clear" w:pos="1267"/>
                <w:tab w:val="left" w:pos="1170"/>
              </w:tabs>
              <w:ind w:left="0" w:right="-50"/>
              <w:jc w:val="right"/>
              <w:rPr>
                <w:sz w:val="17"/>
              </w:rPr>
            </w:pPr>
            <w:r>
              <w:rPr>
                <w:sz w:val="17"/>
              </w:rPr>
              <w:t>200 094</w:t>
            </w:r>
          </w:p>
        </w:tc>
        <w:tc>
          <w:tcPr>
            <w:tcW w:w="873" w:type="dxa"/>
          </w:tcPr>
          <w:p w:rsidR="00000000" w:rsidRDefault="00000000">
            <w:pPr>
              <w:pStyle w:val="SingleTxt"/>
              <w:tabs>
                <w:tab w:val="clear" w:pos="1267"/>
                <w:tab w:val="left" w:pos="1170"/>
              </w:tabs>
              <w:ind w:left="0" w:right="-50"/>
              <w:jc w:val="right"/>
              <w:rPr>
                <w:sz w:val="17"/>
              </w:rPr>
            </w:pPr>
            <w:r>
              <w:rPr>
                <w:sz w:val="17"/>
              </w:rPr>
              <w:t>78 011</w:t>
            </w:r>
          </w:p>
        </w:tc>
        <w:tc>
          <w:tcPr>
            <w:tcW w:w="774" w:type="dxa"/>
          </w:tcPr>
          <w:p w:rsidR="00000000" w:rsidRDefault="00000000">
            <w:pPr>
              <w:pStyle w:val="SingleTxt"/>
              <w:tabs>
                <w:tab w:val="clear" w:pos="1267"/>
                <w:tab w:val="left" w:pos="1170"/>
              </w:tabs>
              <w:ind w:left="0" w:right="-50"/>
              <w:jc w:val="right"/>
              <w:rPr>
                <w:sz w:val="17"/>
              </w:rPr>
            </w:pPr>
            <w:r>
              <w:rPr>
                <w:sz w:val="17"/>
              </w:rPr>
              <w:t>122 083</w:t>
            </w:r>
          </w:p>
        </w:tc>
      </w:tr>
      <w:tr w:rsidR="00000000">
        <w:tblPrEx>
          <w:tblCellMar>
            <w:top w:w="0" w:type="dxa"/>
            <w:bottom w:w="0" w:type="dxa"/>
          </w:tblCellMar>
        </w:tblPrEx>
        <w:tc>
          <w:tcPr>
            <w:tcW w:w="720" w:type="dxa"/>
          </w:tcPr>
          <w:p w:rsidR="00000000" w:rsidRDefault="00000000">
            <w:pPr>
              <w:pStyle w:val="SingleTxt"/>
              <w:tabs>
                <w:tab w:val="clear" w:pos="1267"/>
                <w:tab w:val="left" w:pos="1170"/>
              </w:tabs>
              <w:ind w:left="0" w:right="-50"/>
              <w:jc w:val="left"/>
              <w:rPr>
                <w:sz w:val="17"/>
              </w:rPr>
            </w:pPr>
            <w:r>
              <w:rPr>
                <w:sz w:val="17"/>
              </w:rPr>
              <w:t>1993</w:t>
            </w:r>
          </w:p>
        </w:tc>
        <w:tc>
          <w:tcPr>
            <w:tcW w:w="1035" w:type="dxa"/>
          </w:tcPr>
          <w:p w:rsidR="00000000" w:rsidRDefault="00000000">
            <w:pPr>
              <w:pStyle w:val="SingleTxt"/>
              <w:tabs>
                <w:tab w:val="clear" w:pos="1267"/>
                <w:tab w:val="left" w:pos="1170"/>
              </w:tabs>
              <w:ind w:left="0" w:right="-50"/>
              <w:jc w:val="right"/>
              <w:rPr>
                <w:sz w:val="17"/>
              </w:rPr>
            </w:pPr>
            <w:r>
              <w:rPr>
                <w:sz w:val="17"/>
              </w:rPr>
              <w:t>315 482</w:t>
            </w:r>
          </w:p>
        </w:tc>
        <w:tc>
          <w:tcPr>
            <w:tcW w:w="963" w:type="dxa"/>
          </w:tcPr>
          <w:p w:rsidR="00000000" w:rsidRDefault="00000000">
            <w:pPr>
              <w:pStyle w:val="SingleTxt"/>
              <w:tabs>
                <w:tab w:val="clear" w:pos="1267"/>
                <w:tab w:val="left" w:pos="1170"/>
              </w:tabs>
              <w:ind w:left="0" w:right="-50"/>
              <w:jc w:val="right"/>
              <w:rPr>
                <w:sz w:val="17"/>
              </w:rPr>
            </w:pPr>
            <w:r>
              <w:rPr>
                <w:sz w:val="17"/>
              </w:rPr>
              <w:t>143 825</w:t>
            </w:r>
          </w:p>
        </w:tc>
        <w:tc>
          <w:tcPr>
            <w:tcW w:w="882" w:type="dxa"/>
          </w:tcPr>
          <w:p w:rsidR="00000000" w:rsidRDefault="00000000">
            <w:pPr>
              <w:pStyle w:val="SingleTxt"/>
              <w:tabs>
                <w:tab w:val="clear" w:pos="1267"/>
                <w:tab w:val="left" w:pos="1170"/>
              </w:tabs>
              <w:ind w:left="0" w:right="-50"/>
              <w:jc w:val="right"/>
              <w:rPr>
                <w:sz w:val="17"/>
              </w:rPr>
            </w:pPr>
            <w:r>
              <w:rPr>
                <w:sz w:val="17"/>
              </w:rPr>
              <w:t>171 657</w:t>
            </w:r>
          </w:p>
        </w:tc>
        <w:tc>
          <w:tcPr>
            <w:tcW w:w="236" w:type="dxa"/>
          </w:tcPr>
          <w:p w:rsidR="00000000" w:rsidRDefault="00000000">
            <w:pPr>
              <w:pStyle w:val="SingleTxt"/>
              <w:tabs>
                <w:tab w:val="clear" w:pos="1267"/>
                <w:tab w:val="left" w:pos="1170"/>
              </w:tabs>
              <w:ind w:left="0" w:right="-50"/>
              <w:jc w:val="right"/>
              <w:rPr>
                <w:sz w:val="17"/>
              </w:rPr>
            </w:pPr>
          </w:p>
        </w:tc>
        <w:tc>
          <w:tcPr>
            <w:tcW w:w="889" w:type="dxa"/>
          </w:tcPr>
          <w:p w:rsidR="00000000" w:rsidRDefault="00000000">
            <w:pPr>
              <w:pStyle w:val="SingleTxt"/>
              <w:tabs>
                <w:tab w:val="clear" w:pos="1267"/>
                <w:tab w:val="left" w:pos="1170"/>
              </w:tabs>
              <w:ind w:left="0" w:right="-50"/>
              <w:jc w:val="right"/>
              <w:rPr>
                <w:sz w:val="17"/>
              </w:rPr>
            </w:pPr>
            <w:r>
              <w:rPr>
                <w:sz w:val="17"/>
              </w:rPr>
              <w:t>156 070</w:t>
            </w:r>
          </w:p>
        </w:tc>
        <w:tc>
          <w:tcPr>
            <w:tcW w:w="873" w:type="dxa"/>
          </w:tcPr>
          <w:p w:rsidR="00000000" w:rsidRDefault="00000000">
            <w:pPr>
              <w:pStyle w:val="SingleTxt"/>
              <w:tabs>
                <w:tab w:val="clear" w:pos="1267"/>
                <w:tab w:val="left" w:pos="1170"/>
              </w:tabs>
              <w:ind w:left="0" w:right="-50"/>
              <w:jc w:val="right"/>
              <w:rPr>
                <w:sz w:val="17"/>
              </w:rPr>
            </w:pPr>
            <w:r>
              <w:rPr>
                <w:sz w:val="17"/>
              </w:rPr>
              <w:t>93 286</w:t>
            </w:r>
          </w:p>
        </w:tc>
        <w:tc>
          <w:tcPr>
            <w:tcW w:w="837" w:type="dxa"/>
          </w:tcPr>
          <w:p w:rsidR="00000000" w:rsidRDefault="00000000">
            <w:pPr>
              <w:pStyle w:val="SingleTxt"/>
              <w:tabs>
                <w:tab w:val="clear" w:pos="1267"/>
                <w:tab w:val="left" w:pos="1170"/>
              </w:tabs>
              <w:ind w:left="0" w:right="-50"/>
              <w:jc w:val="right"/>
              <w:rPr>
                <w:sz w:val="17"/>
              </w:rPr>
            </w:pPr>
            <w:r>
              <w:rPr>
                <w:sz w:val="17"/>
              </w:rPr>
              <w:t>62 784</w:t>
            </w:r>
          </w:p>
        </w:tc>
        <w:tc>
          <w:tcPr>
            <w:tcW w:w="236" w:type="dxa"/>
          </w:tcPr>
          <w:p w:rsidR="00000000" w:rsidRDefault="00000000">
            <w:pPr>
              <w:pStyle w:val="SingleTxt"/>
              <w:tabs>
                <w:tab w:val="clear" w:pos="1267"/>
                <w:tab w:val="left" w:pos="1170"/>
              </w:tabs>
              <w:ind w:left="0" w:right="-50"/>
              <w:jc w:val="right"/>
              <w:rPr>
                <w:sz w:val="17"/>
              </w:rPr>
            </w:pPr>
          </w:p>
        </w:tc>
        <w:tc>
          <w:tcPr>
            <w:tcW w:w="799" w:type="dxa"/>
          </w:tcPr>
          <w:p w:rsidR="00000000" w:rsidRDefault="00000000">
            <w:pPr>
              <w:pStyle w:val="SingleTxt"/>
              <w:tabs>
                <w:tab w:val="clear" w:pos="1267"/>
                <w:tab w:val="left" w:pos="1170"/>
              </w:tabs>
              <w:ind w:left="0" w:right="-50"/>
              <w:jc w:val="right"/>
              <w:rPr>
                <w:sz w:val="17"/>
              </w:rPr>
            </w:pPr>
            <w:r>
              <w:rPr>
                <w:sz w:val="17"/>
              </w:rPr>
              <w:t>159 412</w:t>
            </w:r>
          </w:p>
        </w:tc>
        <w:tc>
          <w:tcPr>
            <w:tcW w:w="873" w:type="dxa"/>
          </w:tcPr>
          <w:p w:rsidR="00000000" w:rsidRDefault="00000000">
            <w:pPr>
              <w:pStyle w:val="SingleTxt"/>
              <w:tabs>
                <w:tab w:val="clear" w:pos="1267"/>
                <w:tab w:val="left" w:pos="1170"/>
              </w:tabs>
              <w:ind w:left="0" w:right="-50"/>
              <w:jc w:val="right"/>
              <w:rPr>
                <w:sz w:val="17"/>
              </w:rPr>
            </w:pPr>
            <w:r>
              <w:rPr>
                <w:sz w:val="17"/>
              </w:rPr>
              <w:t>50 539</w:t>
            </w:r>
          </w:p>
        </w:tc>
        <w:tc>
          <w:tcPr>
            <w:tcW w:w="774" w:type="dxa"/>
          </w:tcPr>
          <w:p w:rsidR="00000000" w:rsidRDefault="00000000">
            <w:pPr>
              <w:pStyle w:val="SingleTxt"/>
              <w:tabs>
                <w:tab w:val="clear" w:pos="1267"/>
                <w:tab w:val="left" w:pos="1170"/>
              </w:tabs>
              <w:ind w:left="0" w:right="-50"/>
              <w:jc w:val="right"/>
              <w:rPr>
                <w:sz w:val="17"/>
              </w:rPr>
            </w:pPr>
            <w:r>
              <w:rPr>
                <w:sz w:val="17"/>
              </w:rPr>
              <w:t>108 873</w:t>
            </w:r>
          </w:p>
        </w:tc>
      </w:tr>
      <w:tr w:rsidR="00000000">
        <w:tblPrEx>
          <w:tblCellMar>
            <w:top w:w="0" w:type="dxa"/>
            <w:bottom w:w="0" w:type="dxa"/>
          </w:tblCellMar>
        </w:tblPrEx>
        <w:tc>
          <w:tcPr>
            <w:tcW w:w="720" w:type="dxa"/>
          </w:tcPr>
          <w:p w:rsidR="00000000" w:rsidRDefault="00000000">
            <w:pPr>
              <w:pStyle w:val="SingleTxt"/>
              <w:tabs>
                <w:tab w:val="clear" w:pos="1267"/>
                <w:tab w:val="left" w:pos="1170"/>
              </w:tabs>
              <w:ind w:left="0" w:right="-50"/>
              <w:jc w:val="left"/>
              <w:rPr>
                <w:sz w:val="17"/>
              </w:rPr>
            </w:pPr>
            <w:r>
              <w:rPr>
                <w:sz w:val="17"/>
              </w:rPr>
              <w:t>1994</w:t>
            </w:r>
          </w:p>
        </w:tc>
        <w:tc>
          <w:tcPr>
            <w:tcW w:w="1035" w:type="dxa"/>
          </w:tcPr>
          <w:p w:rsidR="00000000" w:rsidRDefault="00000000">
            <w:pPr>
              <w:pStyle w:val="SingleTxt"/>
              <w:tabs>
                <w:tab w:val="clear" w:pos="1267"/>
                <w:tab w:val="left" w:pos="1170"/>
              </w:tabs>
              <w:ind w:left="0" w:right="-50"/>
              <w:jc w:val="right"/>
              <w:rPr>
                <w:sz w:val="17"/>
              </w:rPr>
            </w:pPr>
            <w:r>
              <w:rPr>
                <w:sz w:val="17"/>
              </w:rPr>
              <w:t>305 624</w:t>
            </w:r>
          </w:p>
        </w:tc>
        <w:tc>
          <w:tcPr>
            <w:tcW w:w="963" w:type="dxa"/>
          </w:tcPr>
          <w:p w:rsidR="00000000" w:rsidRDefault="00000000">
            <w:pPr>
              <w:pStyle w:val="SingleTxt"/>
              <w:tabs>
                <w:tab w:val="clear" w:pos="1267"/>
                <w:tab w:val="left" w:pos="1170"/>
              </w:tabs>
              <w:ind w:left="0" w:right="-50"/>
              <w:jc w:val="right"/>
              <w:rPr>
                <w:sz w:val="17"/>
              </w:rPr>
            </w:pPr>
            <w:r>
              <w:rPr>
                <w:sz w:val="17"/>
              </w:rPr>
              <w:t>138 637</w:t>
            </w:r>
          </w:p>
        </w:tc>
        <w:tc>
          <w:tcPr>
            <w:tcW w:w="882" w:type="dxa"/>
          </w:tcPr>
          <w:p w:rsidR="00000000" w:rsidRDefault="00000000">
            <w:pPr>
              <w:pStyle w:val="SingleTxt"/>
              <w:tabs>
                <w:tab w:val="clear" w:pos="1267"/>
                <w:tab w:val="left" w:pos="1170"/>
              </w:tabs>
              <w:ind w:left="0" w:right="-50"/>
              <w:jc w:val="right"/>
              <w:rPr>
                <w:sz w:val="17"/>
              </w:rPr>
            </w:pPr>
            <w:r>
              <w:rPr>
                <w:sz w:val="17"/>
              </w:rPr>
              <w:t>166 987</w:t>
            </w:r>
          </w:p>
        </w:tc>
        <w:tc>
          <w:tcPr>
            <w:tcW w:w="236" w:type="dxa"/>
          </w:tcPr>
          <w:p w:rsidR="00000000" w:rsidRDefault="00000000">
            <w:pPr>
              <w:pStyle w:val="SingleTxt"/>
              <w:tabs>
                <w:tab w:val="clear" w:pos="1267"/>
                <w:tab w:val="left" w:pos="1170"/>
              </w:tabs>
              <w:ind w:left="0" w:right="-50"/>
              <w:jc w:val="right"/>
              <w:rPr>
                <w:sz w:val="17"/>
              </w:rPr>
            </w:pPr>
          </w:p>
        </w:tc>
        <w:tc>
          <w:tcPr>
            <w:tcW w:w="889" w:type="dxa"/>
          </w:tcPr>
          <w:p w:rsidR="00000000" w:rsidRDefault="00000000">
            <w:pPr>
              <w:pStyle w:val="SingleTxt"/>
              <w:tabs>
                <w:tab w:val="clear" w:pos="1267"/>
                <w:tab w:val="left" w:pos="1170"/>
              </w:tabs>
              <w:ind w:left="0" w:right="-50"/>
              <w:jc w:val="right"/>
              <w:rPr>
                <w:sz w:val="17"/>
              </w:rPr>
            </w:pPr>
            <w:r>
              <w:rPr>
                <w:sz w:val="17"/>
              </w:rPr>
              <w:t>160 339</w:t>
            </w:r>
          </w:p>
        </w:tc>
        <w:tc>
          <w:tcPr>
            <w:tcW w:w="873" w:type="dxa"/>
          </w:tcPr>
          <w:p w:rsidR="00000000" w:rsidRDefault="00000000">
            <w:pPr>
              <w:pStyle w:val="SingleTxt"/>
              <w:tabs>
                <w:tab w:val="clear" w:pos="1267"/>
                <w:tab w:val="left" w:pos="1170"/>
              </w:tabs>
              <w:ind w:left="0" w:right="-50"/>
              <w:jc w:val="right"/>
              <w:rPr>
                <w:sz w:val="17"/>
              </w:rPr>
            </w:pPr>
            <w:r>
              <w:rPr>
                <w:sz w:val="17"/>
              </w:rPr>
              <w:t>97 183</w:t>
            </w:r>
          </w:p>
        </w:tc>
        <w:tc>
          <w:tcPr>
            <w:tcW w:w="837" w:type="dxa"/>
          </w:tcPr>
          <w:p w:rsidR="00000000" w:rsidRDefault="00000000">
            <w:pPr>
              <w:pStyle w:val="SingleTxt"/>
              <w:tabs>
                <w:tab w:val="clear" w:pos="1267"/>
                <w:tab w:val="left" w:pos="1170"/>
              </w:tabs>
              <w:ind w:left="0" w:right="-50"/>
              <w:jc w:val="right"/>
              <w:rPr>
                <w:sz w:val="17"/>
              </w:rPr>
            </w:pPr>
            <w:r>
              <w:rPr>
                <w:sz w:val="17"/>
              </w:rPr>
              <w:t>63 156</w:t>
            </w:r>
          </w:p>
        </w:tc>
        <w:tc>
          <w:tcPr>
            <w:tcW w:w="236" w:type="dxa"/>
          </w:tcPr>
          <w:p w:rsidR="00000000" w:rsidRDefault="00000000">
            <w:pPr>
              <w:pStyle w:val="SingleTxt"/>
              <w:tabs>
                <w:tab w:val="clear" w:pos="1267"/>
                <w:tab w:val="left" w:pos="1170"/>
              </w:tabs>
              <w:ind w:left="0" w:right="-50"/>
              <w:jc w:val="right"/>
              <w:rPr>
                <w:sz w:val="17"/>
              </w:rPr>
            </w:pPr>
          </w:p>
        </w:tc>
        <w:tc>
          <w:tcPr>
            <w:tcW w:w="799" w:type="dxa"/>
          </w:tcPr>
          <w:p w:rsidR="00000000" w:rsidRDefault="00000000">
            <w:pPr>
              <w:pStyle w:val="SingleTxt"/>
              <w:tabs>
                <w:tab w:val="clear" w:pos="1267"/>
                <w:tab w:val="left" w:pos="1170"/>
              </w:tabs>
              <w:ind w:left="0" w:right="-50"/>
              <w:jc w:val="right"/>
              <w:rPr>
                <w:sz w:val="17"/>
              </w:rPr>
            </w:pPr>
            <w:r>
              <w:rPr>
                <w:sz w:val="17"/>
              </w:rPr>
              <w:t>145 285</w:t>
            </w:r>
          </w:p>
        </w:tc>
        <w:tc>
          <w:tcPr>
            <w:tcW w:w="873" w:type="dxa"/>
          </w:tcPr>
          <w:p w:rsidR="00000000" w:rsidRDefault="00000000">
            <w:pPr>
              <w:pStyle w:val="SingleTxt"/>
              <w:tabs>
                <w:tab w:val="clear" w:pos="1267"/>
                <w:tab w:val="left" w:pos="1170"/>
              </w:tabs>
              <w:ind w:left="0" w:right="-50"/>
              <w:jc w:val="right"/>
              <w:rPr>
                <w:sz w:val="17"/>
              </w:rPr>
            </w:pPr>
            <w:r>
              <w:rPr>
                <w:sz w:val="17"/>
              </w:rPr>
              <w:t>41 454</w:t>
            </w:r>
          </w:p>
        </w:tc>
        <w:tc>
          <w:tcPr>
            <w:tcW w:w="774" w:type="dxa"/>
          </w:tcPr>
          <w:p w:rsidR="00000000" w:rsidRDefault="00000000">
            <w:pPr>
              <w:pStyle w:val="SingleTxt"/>
              <w:tabs>
                <w:tab w:val="clear" w:pos="1267"/>
                <w:tab w:val="left" w:pos="1170"/>
              </w:tabs>
              <w:ind w:left="0" w:right="-50"/>
              <w:jc w:val="right"/>
              <w:rPr>
                <w:sz w:val="17"/>
              </w:rPr>
            </w:pPr>
            <w:r>
              <w:rPr>
                <w:sz w:val="17"/>
              </w:rPr>
              <w:t>103 831</w:t>
            </w:r>
          </w:p>
        </w:tc>
      </w:tr>
      <w:tr w:rsidR="00000000">
        <w:tblPrEx>
          <w:tblCellMar>
            <w:top w:w="0" w:type="dxa"/>
            <w:bottom w:w="0" w:type="dxa"/>
          </w:tblCellMar>
        </w:tblPrEx>
        <w:tc>
          <w:tcPr>
            <w:tcW w:w="720" w:type="dxa"/>
          </w:tcPr>
          <w:p w:rsidR="00000000" w:rsidRDefault="00000000">
            <w:pPr>
              <w:pStyle w:val="SingleTxt"/>
              <w:tabs>
                <w:tab w:val="clear" w:pos="1267"/>
                <w:tab w:val="left" w:pos="1170"/>
              </w:tabs>
              <w:ind w:left="0" w:right="-50"/>
              <w:jc w:val="left"/>
              <w:rPr>
                <w:sz w:val="17"/>
              </w:rPr>
            </w:pPr>
            <w:r>
              <w:rPr>
                <w:sz w:val="17"/>
              </w:rPr>
              <w:t>1995</w:t>
            </w:r>
          </w:p>
        </w:tc>
        <w:tc>
          <w:tcPr>
            <w:tcW w:w="1035" w:type="dxa"/>
          </w:tcPr>
          <w:p w:rsidR="00000000" w:rsidRDefault="00000000">
            <w:pPr>
              <w:pStyle w:val="SingleTxt"/>
              <w:tabs>
                <w:tab w:val="clear" w:pos="1267"/>
                <w:tab w:val="left" w:pos="1170"/>
              </w:tabs>
              <w:ind w:left="0" w:right="-50"/>
              <w:jc w:val="right"/>
              <w:rPr>
                <w:sz w:val="17"/>
              </w:rPr>
            </w:pPr>
            <w:r>
              <w:rPr>
                <w:sz w:val="17"/>
              </w:rPr>
              <w:t>276 125</w:t>
            </w:r>
          </w:p>
        </w:tc>
        <w:tc>
          <w:tcPr>
            <w:tcW w:w="963" w:type="dxa"/>
          </w:tcPr>
          <w:p w:rsidR="00000000" w:rsidRDefault="00000000">
            <w:pPr>
              <w:pStyle w:val="SingleTxt"/>
              <w:tabs>
                <w:tab w:val="clear" w:pos="1267"/>
                <w:tab w:val="left" w:pos="1170"/>
              </w:tabs>
              <w:ind w:left="0" w:right="-50"/>
              <w:jc w:val="right"/>
              <w:rPr>
                <w:sz w:val="17"/>
              </w:rPr>
            </w:pPr>
            <w:r>
              <w:rPr>
                <w:sz w:val="17"/>
              </w:rPr>
              <w:t>125 698</w:t>
            </w:r>
          </w:p>
        </w:tc>
        <w:tc>
          <w:tcPr>
            <w:tcW w:w="882" w:type="dxa"/>
          </w:tcPr>
          <w:p w:rsidR="00000000" w:rsidRDefault="00000000">
            <w:pPr>
              <w:pStyle w:val="SingleTxt"/>
              <w:tabs>
                <w:tab w:val="clear" w:pos="1267"/>
                <w:tab w:val="left" w:pos="1170"/>
              </w:tabs>
              <w:ind w:left="0" w:right="-50"/>
              <w:jc w:val="right"/>
              <w:rPr>
                <w:sz w:val="17"/>
              </w:rPr>
            </w:pPr>
            <w:r>
              <w:rPr>
                <w:sz w:val="17"/>
              </w:rPr>
              <w:t>150 427</w:t>
            </w:r>
          </w:p>
        </w:tc>
        <w:tc>
          <w:tcPr>
            <w:tcW w:w="236" w:type="dxa"/>
          </w:tcPr>
          <w:p w:rsidR="00000000" w:rsidRDefault="00000000">
            <w:pPr>
              <w:pStyle w:val="SingleTxt"/>
              <w:tabs>
                <w:tab w:val="clear" w:pos="1267"/>
                <w:tab w:val="left" w:pos="1170"/>
              </w:tabs>
              <w:ind w:left="0" w:right="-50"/>
              <w:jc w:val="right"/>
              <w:rPr>
                <w:sz w:val="17"/>
              </w:rPr>
            </w:pPr>
          </w:p>
        </w:tc>
        <w:tc>
          <w:tcPr>
            <w:tcW w:w="889" w:type="dxa"/>
          </w:tcPr>
          <w:p w:rsidR="00000000" w:rsidRDefault="00000000">
            <w:pPr>
              <w:pStyle w:val="SingleTxt"/>
              <w:tabs>
                <w:tab w:val="clear" w:pos="1267"/>
                <w:tab w:val="left" w:pos="1170"/>
              </w:tabs>
              <w:ind w:left="0" w:right="-50"/>
              <w:jc w:val="right"/>
              <w:rPr>
                <w:sz w:val="17"/>
              </w:rPr>
            </w:pPr>
            <w:r>
              <w:rPr>
                <w:sz w:val="17"/>
              </w:rPr>
              <w:t>168 656</w:t>
            </w:r>
          </w:p>
        </w:tc>
        <w:tc>
          <w:tcPr>
            <w:tcW w:w="873" w:type="dxa"/>
          </w:tcPr>
          <w:p w:rsidR="00000000" w:rsidRDefault="00000000">
            <w:pPr>
              <w:pStyle w:val="SingleTxt"/>
              <w:tabs>
                <w:tab w:val="clear" w:pos="1267"/>
                <w:tab w:val="left" w:pos="1170"/>
              </w:tabs>
              <w:ind w:left="0" w:right="-50"/>
              <w:jc w:val="right"/>
              <w:rPr>
                <w:sz w:val="17"/>
              </w:rPr>
            </w:pPr>
            <w:r>
              <w:rPr>
                <w:sz w:val="17"/>
              </w:rPr>
              <w:t>103 312</w:t>
            </w:r>
          </w:p>
        </w:tc>
        <w:tc>
          <w:tcPr>
            <w:tcW w:w="837" w:type="dxa"/>
          </w:tcPr>
          <w:p w:rsidR="00000000" w:rsidRDefault="00000000">
            <w:pPr>
              <w:pStyle w:val="SingleTxt"/>
              <w:tabs>
                <w:tab w:val="clear" w:pos="1267"/>
                <w:tab w:val="left" w:pos="1170"/>
              </w:tabs>
              <w:ind w:left="0" w:right="-50"/>
              <w:jc w:val="right"/>
              <w:rPr>
                <w:sz w:val="17"/>
              </w:rPr>
            </w:pPr>
            <w:r>
              <w:rPr>
                <w:sz w:val="17"/>
              </w:rPr>
              <w:t>65 344</w:t>
            </w:r>
          </w:p>
        </w:tc>
        <w:tc>
          <w:tcPr>
            <w:tcW w:w="236" w:type="dxa"/>
          </w:tcPr>
          <w:p w:rsidR="00000000" w:rsidRDefault="00000000">
            <w:pPr>
              <w:pStyle w:val="SingleTxt"/>
              <w:tabs>
                <w:tab w:val="clear" w:pos="1267"/>
                <w:tab w:val="left" w:pos="1170"/>
              </w:tabs>
              <w:ind w:left="0" w:right="-50"/>
              <w:jc w:val="right"/>
              <w:rPr>
                <w:sz w:val="17"/>
              </w:rPr>
            </w:pPr>
          </w:p>
        </w:tc>
        <w:tc>
          <w:tcPr>
            <w:tcW w:w="799" w:type="dxa"/>
          </w:tcPr>
          <w:p w:rsidR="00000000" w:rsidRDefault="00000000">
            <w:pPr>
              <w:pStyle w:val="SingleTxt"/>
              <w:tabs>
                <w:tab w:val="clear" w:pos="1267"/>
                <w:tab w:val="left" w:pos="1170"/>
              </w:tabs>
              <w:ind w:left="0" w:right="-50"/>
              <w:jc w:val="right"/>
              <w:rPr>
                <w:sz w:val="17"/>
              </w:rPr>
            </w:pPr>
            <w:r>
              <w:rPr>
                <w:sz w:val="17"/>
              </w:rPr>
              <w:t>107 469</w:t>
            </w:r>
          </w:p>
        </w:tc>
        <w:tc>
          <w:tcPr>
            <w:tcW w:w="873" w:type="dxa"/>
          </w:tcPr>
          <w:p w:rsidR="00000000" w:rsidRDefault="00000000">
            <w:pPr>
              <w:pStyle w:val="SingleTxt"/>
              <w:tabs>
                <w:tab w:val="clear" w:pos="1267"/>
                <w:tab w:val="left" w:pos="1170"/>
              </w:tabs>
              <w:ind w:left="0" w:right="-50"/>
              <w:jc w:val="right"/>
              <w:rPr>
                <w:sz w:val="17"/>
              </w:rPr>
            </w:pPr>
            <w:r>
              <w:rPr>
                <w:sz w:val="17"/>
              </w:rPr>
              <w:t>22 386</w:t>
            </w:r>
          </w:p>
        </w:tc>
        <w:tc>
          <w:tcPr>
            <w:tcW w:w="774" w:type="dxa"/>
          </w:tcPr>
          <w:p w:rsidR="00000000" w:rsidRDefault="00000000">
            <w:pPr>
              <w:pStyle w:val="SingleTxt"/>
              <w:tabs>
                <w:tab w:val="clear" w:pos="1267"/>
                <w:tab w:val="left" w:pos="1170"/>
              </w:tabs>
              <w:ind w:left="0" w:right="-50"/>
              <w:jc w:val="right"/>
              <w:rPr>
                <w:sz w:val="17"/>
              </w:rPr>
            </w:pPr>
            <w:r>
              <w:rPr>
                <w:sz w:val="17"/>
              </w:rPr>
              <w:t>85 083</w:t>
            </w:r>
          </w:p>
        </w:tc>
      </w:tr>
      <w:tr w:rsidR="00000000">
        <w:tblPrEx>
          <w:tblCellMar>
            <w:top w:w="0" w:type="dxa"/>
            <w:bottom w:w="0" w:type="dxa"/>
          </w:tblCellMar>
        </w:tblPrEx>
        <w:tc>
          <w:tcPr>
            <w:tcW w:w="720" w:type="dxa"/>
          </w:tcPr>
          <w:p w:rsidR="00000000" w:rsidRDefault="00000000">
            <w:pPr>
              <w:pStyle w:val="SingleTxt"/>
              <w:tabs>
                <w:tab w:val="clear" w:pos="1267"/>
                <w:tab w:val="left" w:pos="1170"/>
              </w:tabs>
              <w:ind w:left="0" w:right="-50"/>
              <w:jc w:val="left"/>
              <w:rPr>
                <w:sz w:val="17"/>
              </w:rPr>
            </w:pPr>
            <w:r>
              <w:rPr>
                <w:sz w:val="17"/>
              </w:rPr>
              <w:t>1996</w:t>
            </w:r>
          </w:p>
        </w:tc>
        <w:tc>
          <w:tcPr>
            <w:tcW w:w="1035" w:type="dxa"/>
          </w:tcPr>
          <w:p w:rsidR="00000000" w:rsidRDefault="00000000">
            <w:pPr>
              <w:pStyle w:val="SingleTxt"/>
              <w:tabs>
                <w:tab w:val="clear" w:pos="1267"/>
                <w:tab w:val="left" w:pos="1170"/>
              </w:tabs>
              <w:ind w:left="0" w:right="-50"/>
              <w:jc w:val="right"/>
              <w:rPr>
                <w:sz w:val="17"/>
              </w:rPr>
            </w:pPr>
            <w:r>
              <w:rPr>
                <w:sz w:val="17"/>
              </w:rPr>
              <w:t>253 175</w:t>
            </w:r>
          </w:p>
        </w:tc>
        <w:tc>
          <w:tcPr>
            <w:tcW w:w="963" w:type="dxa"/>
          </w:tcPr>
          <w:p w:rsidR="00000000" w:rsidRDefault="00000000">
            <w:pPr>
              <w:pStyle w:val="SingleTxt"/>
              <w:tabs>
                <w:tab w:val="clear" w:pos="1267"/>
                <w:tab w:val="left" w:pos="1170"/>
              </w:tabs>
              <w:ind w:left="0" w:right="-50"/>
              <w:jc w:val="right"/>
              <w:rPr>
                <w:sz w:val="17"/>
              </w:rPr>
            </w:pPr>
            <w:r>
              <w:rPr>
                <w:sz w:val="17"/>
              </w:rPr>
              <w:t>119 003</w:t>
            </w:r>
          </w:p>
        </w:tc>
        <w:tc>
          <w:tcPr>
            <w:tcW w:w="882" w:type="dxa"/>
          </w:tcPr>
          <w:p w:rsidR="00000000" w:rsidRDefault="00000000">
            <w:pPr>
              <w:pStyle w:val="SingleTxt"/>
              <w:tabs>
                <w:tab w:val="clear" w:pos="1267"/>
                <w:tab w:val="left" w:pos="1170"/>
              </w:tabs>
              <w:ind w:left="0" w:right="-50"/>
              <w:jc w:val="right"/>
              <w:rPr>
                <w:sz w:val="17"/>
              </w:rPr>
            </w:pPr>
            <w:r>
              <w:rPr>
                <w:sz w:val="17"/>
              </w:rPr>
              <w:t>134 172</w:t>
            </w:r>
          </w:p>
        </w:tc>
        <w:tc>
          <w:tcPr>
            <w:tcW w:w="236" w:type="dxa"/>
          </w:tcPr>
          <w:p w:rsidR="00000000" w:rsidRDefault="00000000">
            <w:pPr>
              <w:pStyle w:val="SingleTxt"/>
              <w:tabs>
                <w:tab w:val="clear" w:pos="1267"/>
                <w:tab w:val="left" w:pos="1170"/>
              </w:tabs>
              <w:ind w:left="0" w:right="-50"/>
              <w:jc w:val="right"/>
              <w:rPr>
                <w:sz w:val="17"/>
              </w:rPr>
            </w:pPr>
          </w:p>
        </w:tc>
        <w:tc>
          <w:tcPr>
            <w:tcW w:w="889" w:type="dxa"/>
          </w:tcPr>
          <w:p w:rsidR="00000000" w:rsidRDefault="00000000">
            <w:pPr>
              <w:pStyle w:val="SingleTxt"/>
              <w:tabs>
                <w:tab w:val="clear" w:pos="1267"/>
                <w:tab w:val="left" w:pos="1170"/>
              </w:tabs>
              <w:ind w:left="0" w:right="-50"/>
              <w:jc w:val="right"/>
              <w:rPr>
                <w:sz w:val="17"/>
              </w:rPr>
            </w:pPr>
            <w:r>
              <w:rPr>
                <w:sz w:val="17"/>
              </w:rPr>
              <w:t>166 028</w:t>
            </w:r>
          </w:p>
        </w:tc>
        <w:tc>
          <w:tcPr>
            <w:tcW w:w="873" w:type="dxa"/>
          </w:tcPr>
          <w:p w:rsidR="00000000" w:rsidRDefault="00000000">
            <w:pPr>
              <w:pStyle w:val="SingleTxt"/>
              <w:tabs>
                <w:tab w:val="clear" w:pos="1267"/>
                <w:tab w:val="left" w:pos="1170"/>
              </w:tabs>
              <w:ind w:left="0" w:right="-50"/>
              <w:jc w:val="right"/>
              <w:rPr>
                <w:sz w:val="17"/>
              </w:rPr>
            </w:pPr>
            <w:r>
              <w:rPr>
                <w:sz w:val="17"/>
              </w:rPr>
              <w:t>102 939</w:t>
            </w:r>
          </w:p>
        </w:tc>
        <w:tc>
          <w:tcPr>
            <w:tcW w:w="837" w:type="dxa"/>
          </w:tcPr>
          <w:p w:rsidR="00000000" w:rsidRDefault="00000000">
            <w:pPr>
              <w:pStyle w:val="SingleTxt"/>
              <w:tabs>
                <w:tab w:val="clear" w:pos="1267"/>
                <w:tab w:val="left" w:pos="1170"/>
              </w:tabs>
              <w:ind w:left="0" w:right="-50"/>
              <w:jc w:val="right"/>
              <w:rPr>
                <w:sz w:val="17"/>
              </w:rPr>
            </w:pPr>
            <w:r>
              <w:rPr>
                <w:sz w:val="17"/>
              </w:rPr>
              <w:t>63 089</w:t>
            </w:r>
          </w:p>
        </w:tc>
        <w:tc>
          <w:tcPr>
            <w:tcW w:w="236" w:type="dxa"/>
          </w:tcPr>
          <w:p w:rsidR="00000000" w:rsidRDefault="00000000">
            <w:pPr>
              <w:pStyle w:val="SingleTxt"/>
              <w:tabs>
                <w:tab w:val="clear" w:pos="1267"/>
                <w:tab w:val="left" w:pos="1170"/>
              </w:tabs>
              <w:ind w:left="0" w:right="-50"/>
              <w:jc w:val="right"/>
              <w:rPr>
                <w:sz w:val="17"/>
              </w:rPr>
            </w:pPr>
          </w:p>
        </w:tc>
        <w:tc>
          <w:tcPr>
            <w:tcW w:w="799" w:type="dxa"/>
          </w:tcPr>
          <w:p w:rsidR="00000000" w:rsidRDefault="00000000">
            <w:pPr>
              <w:pStyle w:val="SingleTxt"/>
              <w:tabs>
                <w:tab w:val="clear" w:pos="1267"/>
                <w:tab w:val="left" w:pos="1170"/>
              </w:tabs>
              <w:ind w:left="0" w:right="-50"/>
              <w:jc w:val="right"/>
              <w:rPr>
                <w:sz w:val="17"/>
              </w:rPr>
            </w:pPr>
            <w:r>
              <w:rPr>
                <w:sz w:val="17"/>
              </w:rPr>
              <w:t>87 147</w:t>
            </w:r>
          </w:p>
        </w:tc>
        <w:tc>
          <w:tcPr>
            <w:tcW w:w="873" w:type="dxa"/>
          </w:tcPr>
          <w:p w:rsidR="00000000" w:rsidRDefault="00000000">
            <w:pPr>
              <w:pStyle w:val="SingleTxt"/>
              <w:tabs>
                <w:tab w:val="clear" w:pos="1267"/>
                <w:tab w:val="left" w:pos="1170"/>
              </w:tabs>
              <w:ind w:left="0" w:right="-50"/>
              <w:jc w:val="right"/>
              <w:rPr>
                <w:sz w:val="17"/>
              </w:rPr>
            </w:pPr>
            <w:r>
              <w:rPr>
                <w:sz w:val="17"/>
              </w:rPr>
              <w:t>16 064</w:t>
            </w:r>
          </w:p>
        </w:tc>
        <w:tc>
          <w:tcPr>
            <w:tcW w:w="774" w:type="dxa"/>
          </w:tcPr>
          <w:p w:rsidR="00000000" w:rsidRDefault="00000000">
            <w:pPr>
              <w:pStyle w:val="SingleTxt"/>
              <w:tabs>
                <w:tab w:val="clear" w:pos="1267"/>
                <w:tab w:val="left" w:pos="1170"/>
              </w:tabs>
              <w:ind w:left="0" w:right="-50"/>
              <w:jc w:val="right"/>
              <w:rPr>
                <w:sz w:val="17"/>
              </w:rPr>
            </w:pPr>
            <w:r>
              <w:rPr>
                <w:sz w:val="17"/>
              </w:rPr>
              <w:t>71 083</w:t>
            </w:r>
          </w:p>
        </w:tc>
      </w:tr>
      <w:tr w:rsidR="00000000">
        <w:tblPrEx>
          <w:tblCellMar>
            <w:top w:w="0" w:type="dxa"/>
            <w:bottom w:w="0" w:type="dxa"/>
          </w:tblCellMar>
        </w:tblPrEx>
        <w:tc>
          <w:tcPr>
            <w:tcW w:w="720" w:type="dxa"/>
          </w:tcPr>
          <w:p w:rsidR="00000000" w:rsidRDefault="00000000">
            <w:pPr>
              <w:pStyle w:val="SingleTxt"/>
              <w:tabs>
                <w:tab w:val="clear" w:pos="1267"/>
                <w:tab w:val="left" w:pos="1170"/>
              </w:tabs>
              <w:ind w:left="0" w:right="-50"/>
              <w:jc w:val="left"/>
              <w:rPr>
                <w:sz w:val="17"/>
              </w:rPr>
            </w:pPr>
            <w:r>
              <w:rPr>
                <w:sz w:val="17"/>
              </w:rPr>
              <w:t>1997</w:t>
            </w:r>
          </w:p>
        </w:tc>
        <w:tc>
          <w:tcPr>
            <w:tcW w:w="1035" w:type="dxa"/>
          </w:tcPr>
          <w:p w:rsidR="00000000" w:rsidRDefault="00000000">
            <w:pPr>
              <w:pStyle w:val="SingleTxt"/>
              <w:tabs>
                <w:tab w:val="clear" w:pos="1267"/>
                <w:tab w:val="left" w:pos="1170"/>
              </w:tabs>
              <w:ind w:left="0" w:right="-50"/>
              <w:jc w:val="right"/>
              <w:rPr>
                <w:sz w:val="17"/>
              </w:rPr>
            </w:pPr>
            <w:r>
              <w:rPr>
                <w:sz w:val="17"/>
              </w:rPr>
              <w:t>232 356</w:t>
            </w:r>
          </w:p>
        </w:tc>
        <w:tc>
          <w:tcPr>
            <w:tcW w:w="963" w:type="dxa"/>
          </w:tcPr>
          <w:p w:rsidR="00000000" w:rsidRDefault="00000000">
            <w:pPr>
              <w:pStyle w:val="SingleTxt"/>
              <w:tabs>
                <w:tab w:val="clear" w:pos="1267"/>
                <w:tab w:val="left" w:pos="1170"/>
              </w:tabs>
              <w:ind w:left="0" w:right="-50"/>
              <w:jc w:val="right"/>
              <w:rPr>
                <w:sz w:val="17"/>
              </w:rPr>
            </w:pPr>
            <w:r>
              <w:rPr>
                <w:sz w:val="17"/>
              </w:rPr>
              <w:t>112 402</w:t>
            </w:r>
          </w:p>
        </w:tc>
        <w:tc>
          <w:tcPr>
            <w:tcW w:w="882" w:type="dxa"/>
          </w:tcPr>
          <w:p w:rsidR="00000000" w:rsidRDefault="00000000">
            <w:pPr>
              <w:pStyle w:val="SingleTxt"/>
              <w:tabs>
                <w:tab w:val="clear" w:pos="1267"/>
                <w:tab w:val="left" w:pos="1170"/>
              </w:tabs>
              <w:ind w:left="0" w:right="-50"/>
              <w:jc w:val="right"/>
              <w:rPr>
                <w:sz w:val="17"/>
              </w:rPr>
            </w:pPr>
            <w:r>
              <w:rPr>
                <w:sz w:val="17"/>
              </w:rPr>
              <w:t>119 954</w:t>
            </w:r>
          </w:p>
        </w:tc>
        <w:tc>
          <w:tcPr>
            <w:tcW w:w="236" w:type="dxa"/>
          </w:tcPr>
          <w:p w:rsidR="00000000" w:rsidRDefault="00000000">
            <w:pPr>
              <w:pStyle w:val="SingleTxt"/>
              <w:tabs>
                <w:tab w:val="clear" w:pos="1267"/>
                <w:tab w:val="left" w:pos="1170"/>
              </w:tabs>
              <w:ind w:left="0" w:right="-50"/>
              <w:jc w:val="right"/>
              <w:rPr>
                <w:sz w:val="17"/>
              </w:rPr>
            </w:pPr>
          </w:p>
        </w:tc>
        <w:tc>
          <w:tcPr>
            <w:tcW w:w="889" w:type="dxa"/>
          </w:tcPr>
          <w:p w:rsidR="00000000" w:rsidRDefault="00000000">
            <w:pPr>
              <w:pStyle w:val="SingleTxt"/>
              <w:tabs>
                <w:tab w:val="clear" w:pos="1267"/>
                <w:tab w:val="left" w:pos="1170"/>
              </w:tabs>
              <w:ind w:left="0" w:right="-50"/>
              <w:jc w:val="right"/>
              <w:rPr>
                <w:sz w:val="17"/>
              </w:rPr>
            </w:pPr>
            <w:r>
              <w:rPr>
                <w:sz w:val="17"/>
              </w:rPr>
              <w:t>160 138</w:t>
            </w:r>
          </w:p>
        </w:tc>
        <w:tc>
          <w:tcPr>
            <w:tcW w:w="873" w:type="dxa"/>
          </w:tcPr>
          <w:p w:rsidR="00000000" w:rsidRDefault="00000000">
            <w:pPr>
              <w:pStyle w:val="SingleTxt"/>
              <w:tabs>
                <w:tab w:val="clear" w:pos="1267"/>
                <w:tab w:val="left" w:pos="1170"/>
              </w:tabs>
              <w:ind w:left="0" w:right="-50"/>
              <w:jc w:val="right"/>
              <w:rPr>
                <w:sz w:val="17"/>
              </w:rPr>
            </w:pPr>
            <w:r>
              <w:rPr>
                <w:sz w:val="17"/>
              </w:rPr>
              <w:t>99 662</w:t>
            </w:r>
          </w:p>
        </w:tc>
        <w:tc>
          <w:tcPr>
            <w:tcW w:w="837" w:type="dxa"/>
          </w:tcPr>
          <w:p w:rsidR="00000000" w:rsidRDefault="00000000">
            <w:pPr>
              <w:pStyle w:val="SingleTxt"/>
              <w:tabs>
                <w:tab w:val="clear" w:pos="1267"/>
                <w:tab w:val="left" w:pos="1170"/>
              </w:tabs>
              <w:ind w:left="0" w:right="-50"/>
              <w:jc w:val="right"/>
              <w:rPr>
                <w:sz w:val="17"/>
              </w:rPr>
            </w:pPr>
            <w:r>
              <w:rPr>
                <w:sz w:val="17"/>
              </w:rPr>
              <w:t>60 476</w:t>
            </w:r>
          </w:p>
        </w:tc>
        <w:tc>
          <w:tcPr>
            <w:tcW w:w="236" w:type="dxa"/>
          </w:tcPr>
          <w:p w:rsidR="00000000" w:rsidRDefault="00000000">
            <w:pPr>
              <w:pStyle w:val="SingleTxt"/>
              <w:tabs>
                <w:tab w:val="clear" w:pos="1267"/>
                <w:tab w:val="left" w:pos="1170"/>
              </w:tabs>
              <w:ind w:left="0" w:right="-50"/>
              <w:jc w:val="right"/>
              <w:rPr>
                <w:sz w:val="17"/>
              </w:rPr>
            </w:pPr>
          </w:p>
        </w:tc>
        <w:tc>
          <w:tcPr>
            <w:tcW w:w="799" w:type="dxa"/>
          </w:tcPr>
          <w:p w:rsidR="00000000" w:rsidRDefault="00000000">
            <w:pPr>
              <w:pStyle w:val="SingleTxt"/>
              <w:tabs>
                <w:tab w:val="clear" w:pos="1267"/>
                <w:tab w:val="left" w:pos="1170"/>
              </w:tabs>
              <w:ind w:left="0" w:right="-50"/>
              <w:jc w:val="right"/>
              <w:rPr>
                <w:sz w:val="17"/>
              </w:rPr>
            </w:pPr>
            <w:r>
              <w:rPr>
                <w:sz w:val="17"/>
              </w:rPr>
              <w:t>72 218</w:t>
            </w:r>
          </w:p>
        </w:tc>
        <w:tc>
          <w:tcPr>
            <w:tcW w:w="873" w:type="dxa"/>
          </w:tcPr>
          <w:p w:rsidR="00000000" w:rsidRDefault="00000000">
            <w:pPr>
              <w:pStyle w:val="SingleTxt"/>
              <w:tabs>
                <w:tab w:val="clear" w:pos="1267"/>
                <w:tab w:val="left" w:pos="1170"/>
              </w:tabs>
              <w:ind w:left="0" w:right="-50"/>
              <w:jc w:val="right"/>
              <w:rPr>
                <w:sz w:val="17"/>
              </w:rPr>
            </w:pPr>
            <w:r>
              <w:rPr>
                <w:sz w:val="17"/>
              </w:rPr>
              <w:t>12 740</w:t>
            </w:r>
          </w:p>
        </w:tc>
        <w:tc>
          <w:tcPr>
            <w:tcW w:w="774" w:type="dxa"/>
          </w:tcPr>
          <w:p w:rsidR="00000000" w:rsidRDefault="00000000">
            <w:pPr>
              <w:pStyle w:val="SingleTxt"/>
              <w:tabs>
                <w:tab w:val="clear" w:pos="1267"/>
                <w:tab w:val="left" w:pos="1170"/>
              </w:tabs>
              <w:ind w:left="0" w:right="-50"/>
              <w:jc w:val="right"/>
              <w:rPr>
                <w:sz w:val="17"/>
              </w:rPr>
            </w:pPr>
            <w:r>
              <w:rPr>
                <w:sz w:val="17"/>
              </w:rPr>
              <w:t>59 478</w:t>
            </w:r>
          </w:p>
        </w:tc>
      </w:tr>
      <w:tr w:rsidR="00000000">
        <w:tblPrEx>
          <w:tblCellMar>
            <w:top w:w="0" w:type="dxa"/>
            <w:bottom w:w="0" w:type="dxa"/>
          </w:tblCellMar>
        </w:tblPrEx>
        <w:tc>
          <w:tcPr>
            <w:tcW w:w="720" w:type="dxa"/>
            <w:tcBorders>
              <w:bottom w:val="single" w:sz="12" w:space="0" w:color="auto"/>
            </w:tcBorders>
          </w:tcPr>
          <w:p w:rsidR="00000000" w:rsidRDefault="00000000">
            <w:pPr>
              <w:pStyle w:val="SingleTxt"/>
              <w:tabs>
                <w:tab w:val="clear" w:pos="1267"/>
                <w:tab w:val="left" w:pos="1170"/>
              </w:tabs>
              <w:ind w:left="0" w:right="-50"/>
              <w:jc w:val="left"/>
              <w:rPr>
                <w:sz w:val="17"/>
              </w:rPr>
            </w:pPr>
            <w:r>
              <w:rPr>
                <w:sz w:val="17"/>
              </w:rPr>
              <w:t>1998</w:t>
            </w:r>
          </w:p>
        </w:tc>
        <w:tc>
          <w:tcPr>
            <w:tcW w:w="1035"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222 380</w:t>
            </w:r>
          </w:p>
        </w:tc>
        <w:tc>
          <w:tcPr>
            <w:tcW w:w="963"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112 002</w:t>
            </w:r>
          </w:p>
        </w:tc>
        <w:tc>
          <w:tcPr>
            <w:tcW w:w="882"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110 378</w:t>
            </w:r>
          </w:p>
        </w:tc>
        <w:tc>
          <w:tcPr>
            <w:tcW w:w="236" w:type="dxa"/>
            <w:tcBorders>
              <w:bottom w:val="single" w:sz="12" w:space="0" w:color="auto"/>
            </w:tcBorders>
          </w:tcPr>
          <w:p w:rsidR="00000000" w:rsidRDefault="00000000">
            <w:pPr>
              <w:pStyle w:val="SingleTxt"/>
              <w:tabs>
                <w:tab w:val="clear" w:pos="1267"/>
                <w:tab w:val="left" w:pos="1170"/>
              </w:tabs>
              <w:ind w:left="0" w:right="-50"/>
              <w:jc w:val="right"/>
              <w:rPr>
                <w:sz w:val="17"/>
              </w:rPr>
            </w:pPr>
          </w:p>
        </w:tc>
        <w:tc>
          <w:tcPr>
            <w:tcW w:w="889"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154 314</w:t>
            </w:r>
          </w:p>
        </w:tc>
        <w:tc>
          <w:tcPr>
            <w:tcW w:w="873"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96 878</w:t>
            </w:r>
          </w:p>
        </w:tc>
        <w:tc>
          <w:tcPr>
            <w:tcW w:w="837"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57 436</w:t>
            </w:r>
          </w:p>
        </w:tc>
        <w:tc>
          <w:tcPr>
            <w:tcW w:w="236" w:type="dxa"/>
            <w:tcBorders>
              <w:bottom w:val="single" w:sz="12" w:space="0" w:color="auto"/>
            </w:tcBorders>
          </w:tcPr>
          <w:p w:rsidR="00000000" w:rsidRDefault="00000000">
            <w:pPr>
              <w:pStyle w:val="SingleTxt"/>
              <w:tabs>
                <w:tab w:val="clear" w:pos="1267"/>
                <w:tab w:val="left" w:pos="1170"/>
              </w:tabs>
              <w:ind w:left="0" w:right="-50"/>
              <w:jc w:val="right"/>
              <w:rPr>
                <w:sz w:val="17"/>
              </w:rPr>
            </w:pPr>
          </w:p>
        </w:tc>
        <w:tc>
          <w:tcPr>
            <w:tcW w:w="799"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68 066</w:t>
            </w:r>
          </w:p>
        </w:tc>
        <w:tc>
          <w:tcPr>
            <w:tcW w:w="873"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15 124</w:t>
            </w:r>
          </w:p>
        </w:tc>
        <w:tc>
          <w:tcPr>
            <w:tcW w:w="774"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52 942</w:t>
            </w:r>
          </w:p>
        </w:tc>
      </w:tr>
    </w:tbl>
    <w:p w:rsidR="00000000" w:rsidRDefault="00000000">
      <w:pPr>
        <w:tabs>
          <w:tab w:val="left" w:pos="475"/>
          <w:tab w:val="left" w:pos="965"/>
          <w:tab w:val="left" w:pos="1440"/>
          <w:tab w:val="left" w:pos="1915"/>
          <w:tab w:val="left" w:pos="2405"/>
        </w:tabs>
        <w:spacing w:after="120"/>
        <w:jc w:val="both"/>
      </w:pPr>
    </w:p>
    <w:p w:rsidR="00000000" w:rsidRDefault="00000000">
      <w:pPr>
        <w:tabs>
          <w:tab w:val="left" w:pos="475"/>
          <w:tab w:val="left" w:pos="965"/>
          <w:tab w:val="left" w:pos="1440"/>
          <w:tab w:val="left" w:pos="1915"/>
          <w:tab w:val="left" w:pos="2405"/>
        </w:tabs>
        <w:spacing w:after="120"/>
        <w:jc w:val="both"/>
        <w:sectPr w:rsidR="00000000">
          <w:type w:val="continuous"/>
          <w:pgSz w:w="12240" w:h="15840"/>
          <w:pgMar w:top="1742" w:right="1195" w:bottom="1901" w:left="1195" w:header="576" w:footer="1037" w:gutter="0"/>
          <w:cols w:space="720"/>
          <w:docGrid w:linePitch="360"/>
        </w:sectPr>
      </w:pPr>
    </w:p>
    <w:p w:rsidR="00000000" w:rsidRDefault="00000000">
      <w:pPr>
        <w:pStyle w:val="DH2"/>
      </w:pPr>
      <w:r>
        <w:tab/>
        <w:t>Fertility</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14.</w:t>
      </w:r>
      <w:r>
        <w:tab/>
        <w:t>There has been a substantial decrease in fertility among both Russian and Kazakh women. According to data from 1987, fertility among Kazakh women essentially ends at the age of 35; 90.9 per cent of births take place when the mother is under 35. Among Russian women, fertility ends by the age of 30 (mothers under 30 account for 84.1 per cent of all births). The overall nationwide birth rate (i.e., the average number of children born during a woman’s life) in 1997 was 1.86. The rate was 1.49 in urban areas and 2.5 in rural areas.</w:t>
      </w:r>
    </w:p>
    <w:p w:rsidR="00000000" w:rsidRDefault="00000000">
      <w:pPr>
        <w:pStyle w:val="D12r"/>
      </w:pPr>
    </w:p>
    <w:p w:rsidR="00000000" w:rsidRDefault="00000000">
      <w:pPr>
        <w:pStyle w:val="DH2"/>
      </w:pPr>
      <w:r>
        <w:tab/>
        <w:t>Family structure</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ab/>
        <w:t>Information on families is generally taken from census data. The next-to-last census was taken in 1989, and data from the most recent census, in March 1999, have not yet been finalized.</w:t>
      </w:r>
    </w:p>
    <w:p w:rsidR="00000000" w:rsidRDefault="00000000">
      <w:pPr>
        <w:tabs>
          <w:tab w:val="left" w:pos="475"/>
          <w:tab w:val="left" w:pos="965"/>
          <w:tab w:val="left" w:pos="1440"/>
          <w:tab w:val="left" w:pos="1915"/>
          <w:tab w:val="left" w:pos="2405"/>
        </w:tabs>
        <w:spacing w:after="120"/>
        <w:jc w:val="both"/>
      </w:pPr>
      <w:r>
        <w:tab/>
        <w:t>According to the 1989 census, there were 3,824,595 families, or 530,717 more than the estimated number in 1997. Average family size is 4 persons, or 3.6 in urban areas and 4.5 in rural ones. Over 90 per cent of the population lives in families. The number of families with more than one child is falling. Generally, Russian women in urban areas have just two children and those in the countryside have three. Kazakh women in urban areas unusual (90 per cent) have three children and those in rural areas (91.4 per cent) have four.</w:t>
      </w:r>
    </w:p>
    <w:p w:rsidR="00000000" w:rsidRDefault="00000000">
      <w:pPr>
        <w:pStyle w:val="D12r"/>
      </w:pPr>
    </w:p>
    <w:p w:rsidR="00000000" w:rsidRDefault="00000000">
      <w:pPr>
        <w:pStyle w:val="DH2"/>
      </w:pPr>
      <w:r>
        <w:tab/>
        <w:t>Marriage and divorce</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16.</w:t>
      </w:r>
      <w:r>
        <w:tab/>
        <w:t>Out of the total of 101,874 men who married in 1997, 86,351 had not been married before, 2,476 were widowed and 13,020 were divorced. Out of the total of 101,874 women who married, 88,466 had not been married before, 2,499 were widowed and 10,861 were divorced. The age at which men and women married was usually between 20 and 24 years. In 1998, there were 96,048 marriages and 35,460 divorces.</w:t>
      </w:r>
    </w:p>
    <w:p w:rsidR="00000000" w:rsidRDefault="00000000">
      <w:pPr>
        <w:tabs>
          <w:tab w:val="left" w:pos="475"/>
          <w:tab w:val="left" w:pos="965"/>
          <w:tab w:val="left" w:pos="1440"/>
          <w:tab w:val="left" w:pos="1915"/>
          <w:tab w:val="left" w:pos="2405"/>
        </w:tabs>
        <w:spacing w:after="120"/>
        <w:jc w:val="both"/>
      </w:pPr>
      <w:r>
        <w:tab/>
        <w:t>The decline in the number of marriages taking place is evident. In 1998 the number of marriages was 6.4 per thousand inhabitants, as against 9.8 in 1990, which means that it declined by 1.7 times over the period in question.</w:t>
      </w:r>
    </w:p>
    <w:p w:rsidR="00000000" w:rsidRDefault="00000000">
      <w:pPr>
        <w:tabs>
          <w:tab w:val="left" w:pos="475"/>
          <w:tab w:val="left" w:pos="965"/>
          <w:tab w:val="left" w:pos="1440"/>
          <w:tab w:val="left" w:pos="1915"/>
          <w:tab w:val="left" w:pos="2405"/>
        </w:tabs>
        <w:spacing w:after="120"/>
        <w:jc w:val="both"/>
      </w:pPr>
      <w:r>
        <w:t>17.</w:t>
      </w:r>
      <w:r>
        <w:tab/>
        <w:t>Although the number of marriages declined, the number of divorces barely changed. The divorce rate in Kazakhstan remains high. From one divorce per 3.76 marriages in 1990 the rate climbed to one divorce per 2.4 marriages in 1998. The number of marriages per one thousand inhabitants was 6.6 in 1997 and 6.4 in 1998, reflecting an almost constant decline.</w:t>
      </w:r>
    </w:p>
    <w:p w:rsidR="00000000" w:rsidRDefault="00000000">
      <w:pPr>
        <w:pStyle w:val="D12r"/>
      </w:pPr>
    </w:p>
    <w:p w:rsidR="00000000" w:rsidRDefault="00000000">
      <w:pPr>
        <w:pStyle w:val="DualTxt"/>
        <w:keepNext/>
        <w:keepLines/>
        <w:tabs>
          <w:tab w:val="clear" w:pos="480"/>
          <w:tab w:val="clear" w:pos="960"/>
          <w:tab w:val="clear" w:pos="2880"/>
          <w:tab w:val="clear" w:pos="3355"/>
          <w:tab w:val="left" w:pos="475"/>
          <w:tab w:val="left" w:pos="965"/>
          <w:tab w:val="left" w:pos="1440"/>
          <w:tab w:val="left" w:pos="1915"/>
          <w:tab w:val="left" w:pos="2405"/>
        </w:tabs>
        <w:spacing w:after="0"/>
      </w:pPr>
      <w:r>
        <w:t>Table 8</w:t>
      </w:r>
    </w:p>
    <w:p w:rsidR="00000000" w:rsidRDefault="00000000">
      <w:pPr>
        <w:pStyle w:val="Heading1"/>
        <w:keepLines/>
        <w:spacing w:after="120"/>
      </w:pPr>
      <w:r>
        <w:t>Marriages and divorces; marriage and divorce rates</w:t>
      </w:r>
    </w:p>
    <w:p w:rsidR="00000000" w:rsidRDefault="00000000">
      <w:pPr>
        <w:pStyle w:val="D12r"/>
        <w:keepNext/>
        <w:keepLines/>
      </w:pPr>
    </w:p>
    <w:tbl>
      <w:tblPr>
        <w:tblW w:w="0" w:type="auto"/>
        <w:tblInd w:w="11" w:type="dxa"/>
        <w:tblLayout w:type="fixed"/>
        <w:tblLook w:val="0000" w:firstRow="0" w:lastRow="0" w:firstColumn="0" w:lastColumn="0" w:noHBand="0" w:noVBand="0"/>
      </w:tblPr>
      <w:tblGrid>
        <w:gridCol w:w="828"/>
        <w:gridCol w:w="1026"/>
        <w:gridCol w:w="1039"/>
        <w:gridCol w:w="1004"/>
        <w:gridCol w:w="882"/>
      </w:tblGrid>
      <w:tr w:rsidR="00000000">
        <w:tblPrEx>
          <w:tblCellMar>
            <w:top w:w="0" w:type="dxa"/>
            <w:bottom w:w="0" w:type="dxa"/>
          </w:tblCellMar>
        </w:tblPrEx>
        <w:trPr>
          <w:cantSplit/>
        </w:trPr>
        <w:tc>
          <w:tcPr>
            <w:tcW w:w="828" w:type="dxa"/>
            <w:tcBorders>
              <w:top w:val="single" w:sz="4" w:space="0" w:color="auto"/>
            </w:tcBorders>
          </w:tcPr>
          <w:p w:rsidR="00000000" w:rsidRDefault="00000000">
            <w:pPr>
              <w:keepNext/>
              <w:keepLines/>
              <w:tabs>
                <w:tab w:val="left" w:pos="475"/>
                <w:tab w:val="left" w:pos="965"/>
                <w:tab w:val="left" w:pos="1440"/>
                <w:tab w:val="left" w:pos="1915"/>
                <w:tab w:val="left" w:pos="2405"/>
              </w:tabs>
              <w:spacing w:after="120"/>
              <w:jc w:val="both"/>
              <w:rPr>
                <w:i/>
                <w:sz w:val="14"/>
              </w:rPr>
            </w:pPr>
          </w:p>
        </w:tc>
        <w:tc>
          <w:tcPr>
            <w:tcW w:w="1026" w:type="dxa"/>
            <w:tcBorders>
              <w:top w:val="single" w:sz="4" w:space="0" w:color="auto"/>
            </w:tcBorders>
          </w:tcPr>
          <w:p w:rsidR="00000000" w:rsidRDefault="00000000">
            <w:pPr>
              <w:keepNext/>
              <w:keepLines/>
              <w:tabs>
                <w:tab w:val="left" w:pos="475"/>
                <w:tab w:val="left" w:pos="965"/>
                <w:tab w:val="left" w:pos="1440"/>
                <w:tab w:val="left" w:pos="1915"/>
                <w:tab w:val="left" w:pos="2405"/>
              </w:tabs>
              <w:spacing w:after="120"/>
              <w:jc w:val="right"/>
              <w:rPr>
                <w:i/>
                <w:sz w:val="14"/>
              </w:rPr>
            </w:pPr>
          </w:p>
        </w:tc>
        <w:tc>
          <w:tcPr>
            <w:tcW w:w="1039" w:type="dxa"/>
            <w:tcBorders>
              <w:top w:val="single" w:sz="4" w:space="0" w:color="auto"/>
            </w:tcBorders>
          </w:tcPr>
          <w:p w:rsidR="00000000" w:rsidRDefault="00000000">
            <w:pPr>
              <w:keepNext/>
              <w:keepLines/>
              <w:tabs>
                <w:tab w:val="left" w:pos="475"/>
                <w:tab w:val="left" w:pos="965"/>
                <w:tab w:val="left" w:pos="1440"/>
                <w:tab w:val="left" w:pos="1915"/>
                <w:tab w:val="left" w:pos="2405"/>
              </w:tabs>
              <w:spacing w:after="120"/>
              <w:jc w:val="right"/>
              <w:rPr>
                <w:i/>
                <w:sz w:val="14"/>
              </w:rPr>
            </w:pPr>
          </w:p>
        </w:tc>
        <w:tc>
          <w:tcPr>
            <w:tcW w:w="1886" w:type="dxa"/>
            <w:gridSpan w:val="2"/>
            <w:tcBorders>
              <w:top w:val="single" w:sz="4" w:space="0" w:color="auto"/>
              <w:bottom w:val="single" w:sz="4" w:space="0" w:color="auto"/>
            </w:tcBorders>
          </w:tcPr>
          <w:p w:rsidR="00000000" w:rsidRDefault="00000000">
            <w:pPr>
              <w:keepNext/>
              <w:keepLines/>
              <w:tabs>
                <w:tab w:val="left" w:pos="475"/>
                <w:tab w:val="left" w:pos="965"/>
                <w:tab w:val="left" w:pos="1440"/>
                <w:tab w:val="left" w:pos="1915"/>
                <w:tab w:val="left" w:pos="2405"/>
              </w:tabs>
              <w:spacing w:after="120"/>
              <w:jc w:val="center"/>
              <w:rPr>
                <w:i/>
                <w:sz w:val="14"/>
              </w:rPr>
            </w:pPr>
            <w:r>
              <w:rPr>
                <w:i/>
                <w:sz w:val="14"/>
              </w:rPr>
              <w:t>Per thousand inhabitants</w:t>
            </w:r>
          </w:p>
        </w:tc>
      </w:tr>
      <w:tr w:rsidR="00000000">
        <w:tblPrEx>
          <w:tblCellMar>
            <w:top w:w="0" w:type="dxa"/>
            <w:bottom w:w="0" w:type="dxa"/>
          </w:tblCellMar>
        </w:tblPrEx>
        <w:tc>
          <w:tcPr>
            <w:tcW w:w="828" w:type="dxa"/>
            <w:tcBorders>
              <w:bottom w:val="single" w:sz="12" w:space="0" w:color="auto"/>
            </w:tcBorders>
          </w:tcPr>
          <w:p w:rsidR="00000000" w:rsidRDefault="00000000">
            <w:pPr>
              <w:keepNext/>
              <w:keepLines/>
              <w:tabs>
                <w:tab w:val="left" w:pos="475"/>
                <w:tab w:val="left" w:pos="965"/>
                <w:tab w:val="left" w:pos="1440"/>
                <w:tab w:val="left" w:pos="1915"/>
                <w:tab w:val="left" w:pos="2405"/>
              </w:tabs>
              <w:spacing w:after="120"/>
              <w:jc w:val="both"/>
              <w:rPr>
                <w:i/>
                <w:sz w:val="14"/>
              </w:rPr>
            </w:pPr>
          </w:p>
        </w:tc>
        <w:tc>
          <w:tcPr>
            <w:tcW w:w="1026" w:type="dxa"/>
            <w:tcBorders>
              <w:bottom w:val="single" w:sz="12" w:space="0" w:color="auto"/>
            </w:tcBorders>
          </w:tcPr>
          <w:p w:rsidR="00000000" w:rsidRDefault="00000000">
            <w:pPr>
              <w:keepNext/>
              <w:keepLines/>
              <w:tabs>
                <w:tab w:val="left" w:pos="475"/>
                <w:tab w:val="left" w:pos="965"/>
                <w:tab w:val="left" w:pos="1440"/>
                <w:tab w:val="left" w:pos="1915"/>
                <w:tab w:val="left" w:pos="2405"/>
              </w:tabs>
              <w:spacing w:after="120"/>
              <w:jc w:val="right"/>
              <w:rPr>
                <w:i/>
                <w:sz w:val="14"/>
              </w:rPr>
            </w:pPr>
            <w:r>
              <w:rPr>
                <w:i/>
                <w:sz w:val="14"/>
              </w:rPr>
              <w:t>Number of marriages</w:t>
            </w:r>
          </w:p>
        </w:tc>
        <w:tc>
          <w:tcPr>
            <w:tcW w:w="1039" w:type="dxa"/>
            <w:tcBorders>
              <w:bottom w:val="single" w:sz="12" w:space="0" w:color="auto"/>
            </w:tcBorders>
          </w:tcPr>
          <w:p w:rsidR="00000000" w:rsidRDefault="00000000">
            <w:pPr>
              <w:keepNext/>
              <w:keepLines/>
              <w:tabs>
                <w:tab w:val="left" w:pos="475"/>
                <w:tab w:val="left" w:pos="965"/>
                <w:tab w:val="left" w:pos="1440"/>
                <w:tab w:val="left" w:pos="1915"/>
                <w:tab w:val="left" w:pos="2405"/>
              </w:tabs>
              <w:spacing w:after="120"/>
              <w:jc w:val="right"/>
              <w:rPr>
                <w:i/>
                <w:sz w:val="14"/>
              </w:rPr>
            </w:pPr>
            <w:r>
              <w:rPr>
                <w:i/>
                <w:sz w:val="14"/>
              </w:rPr>
              <w:t>Number of divorces</w:t>
            </w:r>
          </w:p>
        </w:tc>
        <w:tc>
          <w:tcPr>
            <w:tcW w:w="1004" w:type="dxa"/>
            <w:tcBorders>
              <w:top w:val="single" w:sz="4" w:space="0" w:color="auto"/>
              <w:bottom w:val="single" w:sz="12" w:space="0" w:color="auto"/>
            </w:tcBorders>
          </w:tcPr>
          <w:p w:rsidR="00000000" w:rsidRDefault="00000000">
            <w:pPr>
              <w:keepNext/>
              <w:keepLines/>
              <w:tabs>
                <w:tab w:val="left" w:pos="475"/>
                <w:tab w:val="left" w:pos="965"/>
                <w:tab w:val="left" w:pos="1440"/>
                <w:tab w:val="left" w:pos="1915"/>
                <w:tab w:val="left" w:pos="2405"/>
              </w:tabs>
              <w:spacing w:after="120"/>
              <w:jc w:val="right"/>
              <w:rPr>
                <w:i/>
                <w:sz w:val="14"/>
              </w:rPr>
            </w:pPr>
            <w:r>
              <w:rPr>
                <w:i/>
                <w:sz w:val="14"/>
              </w:rPr>
              <w:t>Marriages</w:t>
            </w:r>
          </w:p>
        </w:tc>
        <w:tc>
          <w:tcPr>
            <w:tcW w:w="882" w:type="dxa"/>
            <w:tcBorders>
              <w:top w:val="single" w:sz="4" w:space="0" w:color="auto"/>
              <w:bottom w:val="single" w:sz="12" w:space="0" w:color="auto"/>
            </w:tcBorders>
          </w:tcPr>
          <w:p w:rsidR="00000000" w:rsidRDefault="00000000">
            <w:pPr>
              <w:keepNext/>
              <w:keepLines/>
              <w:tabs>
                <w:tab w:val="left" w:pos="475"/>
                <w:tab w:val="left" w:pos="965"/>
                <w:tab w:val="left" w:pos="1440"/>
                <w:tab w:val="left" w:pos="1915"/>
                <w:tab w:val="left" w:pos="2405"/>
              </w:tabs>
              <w:spacing w:after="120"/>
              <w:jc w:val="right"/>
              <w:rPr>
                <w:i/>
                <w:sz w:val="14"/>
              </w:rPr>
            </w:pPr>
            <w:r>
              <w:rPr>
                <w:i/>
                <w:sz w:val="14"/>
              </w:rPr>
              <w:t>Divorces</w:t>
            </w:r>
          </w:p>
        </w:tc>
      </w:tr>
      <w:tr w:rsidR="00000000">
        <w:tblPrEx>
          <w:tblCellMar>
            <w:top w:w="0" w:type="dxa"/>
            <w:bottom w:w="0" w:type="dxa"/>
          </w:tblCellMar>
        </w:tblPrEx>
        <w:tc>
          <w:tcPr>
            <w:tcW w:w="828" w:type="dxa"/>
            <w:tcBorders>
              <w:top w:val="single" w:sz="12" w:space="0" w:color="auto"/>
            </w:tcBorders>
          </w:tcPr>
          <w:p w:rsidR="00000000" w:rsidRDefault="00000000">
            <w:pPr>
              <w:keepNext/>
              <w:keepLines/>
              <w:tabs>
                <w:tab w:val="left" w:pos="475"/>
                <w:tab w:val="left" w:pos="965"/>
                <w:tab w:val="left" w:pos="1440"/>
                <w:tab w:val="left" w:pos="1915"/>
                <w:tab w:val="left" w:pos="2405"/>
              </w:tabs>
              <w:spacing w:after="120"/>
              <w:jc w:val="both"/>
              <w:rPr>
                <w:sz w:val="17"/>
              </w:rPr>
            </w:pPr>
            <w:r>
              <w:rPr>
                <w:sz w:val="17"/>
              </w:rPr>
              <w:t>1980</w:t>
            </w:r>
          </w:p>
        </w:tc>
        <w:tc>
          <w:tcPr>
            <w:tcW w:w="1026" w:type="dxa"/>
            <w:tcBorders>
              <w:top w:val="single" w:sz="12" w:space="0" w:color="auto"/>
            </w:tcBorders>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124 591</w:t>
            </w:r>
          </w:p>
        </w:tc>
        <w:tc>
          <w:tcPr>
            <w:tcW w:w="1039" w:type="dxa"/>
            <w:tcBorders>
              <w:top w:val="single" w:sz="12" w:space="0" w:color="auto"/>
            </w:tcBorders>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38 455</w:t>
            </w:r>
          </w:p>
        </w:tc>
        <w:tc>
          <w:tcPr>
            <w:tcW w:w="1004" w:type="dxa"/>
            <w:tcBorders>
              <w:top w:val="single" w:sz="12" w:space="0" w:color="auto"/>
            </w:tcBorders>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10.6</w:t>
            </w:r>
          </w:p>
        </w:tc>
        <w:tc>
          <w:tcPr>
            <w:tcW w:w="882" w:type="dxa"/>
            <w:tcBorders>
              <w:top w:val="single" w:sz="12" w:space="0" w:color="auto"/>
            </w:tcBorders>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2.6</w:t>
            </w:r>
          </w:p>
        </w:tc>
      </w:tr>
      <w:tr w:rsidR="00000000">
        <w:tblPrEx>
          <w:tblCellMar>
            <w:top w:w="0" w:type="dxa"/>
            <w:bottom w:w="0" w:type="dxa"/>
          </w:tblCellMar>
        </w:tblPrEx>
        <w:tc>
          <w:tcPr>
            <w:tcW w:w="828" w:type="dxa"/>
          </w:tcPr>
          <w:p w:rsidR="00000000" w:rsidRDefault="00000000">
            <w:pPr>
              <w:keepNext/>
              <w:keepLines/>
              <w:tabs>
                <w:tab w:val="left" w:pos="475"/>
                <w:tab w:val="left" w:pos="965"/>
                <w:tab w:val="left" w:pos="1440"/>
                <w:tab w:val="left" w:pos="1915"/>
                <w:tab w:val="left" w:pos="2405"/>
              </w:tabs>
              <w:spacing w:after="120"/>
              <w:jc w:val="both"/>
              <w:rPr>
                <w:sz w:val="17"/>
              </w:rPr>
            </w:pPr>
            <w:r>
              <w:rPr>
                <w:sz w:val="17"/>
              </w:rPr>
              <w:t>1985</w:t>
            </w:r>
          </w:p>
        </w:tc>
        <w:tc>
          <w:tcPr>
            <w:tcW w:w="1026"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158 585</w:t>
            </w:r>
          </w:p>
        </w:tc>
        <w:tc>
          <w:tcPr>
            <w:tcW w:w="1039"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41 263</w:t>
            </w:r>
          </w:p>
        </w:tc>
        <w:tc>
          <w:tcPr>
            <w:tcW w:w="1004"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10.1</w:t>
            </w:r>
          </w:p>
        </w:tc>
        <w:tc>
          <w:tcPr>
            <w:tcW w:w="882"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2.6</w:t>
            </w:r>
          </w:p>
        </w:tc>
      </w:tr>
      <w:tr w:rsidR="00000000">
        <w:tblPrEx>
          <w:tblCellMar>
            <w:top w:w="0" w:type="dxa"/>
            <w:bottom w:w="0" w:type="dxa"/>
          </w:tblCellMar>
        </w:tblPrEx>
        <w:tc>
          <w:tcPr>
            <w:tcW w:w="828" w:type="dxa"/>
          </w:tcPr>
          <w:p w:rsidR="00000000" w:rsidRDefault="00000000">
            <w:pPr>
              <w:keepNext/>
              <w:keepLines/>
              <w:tabs>
                <w:tab w:val="left" w:pos="475"/>
                <w:tab w:val="left" w:pos="965"/>
                <w:tab w:val="left" w:pos="1440"/>
                <w:tab w:val="left" w:pos="1915"/>
                <w:tab w:val="left" w:pos="2405"/>
              </w:tabs>
              <w:spacing w:after="120"/>
              <w:jc w:val="both"/>
              <w:rPr>
                <w:sz w:val="17"/>
              </w:rPr>
            </w:pPr>
            <w:r>
              <w:rPr>
                <w:sz w:val="17"/>
              </w:rPr>
              <w:t>1990</w:t>
            </w:r>
          </w:p>
        </w:tc>
        <w:tc>
          <w:tcPr>
            <w:tcW w:w="1026"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159 449</w:t>
            </w:r>
          </w:p>
        </w:tc>
        <w:tc>
          <w:tcPr>
            <w:tcW w:w="1039"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43 327</w:t>
            </w:r>
          </w:p>
        </w:tc>
        <w:tc>
          <w:tcPr>
            <w:tcW w:w="1004"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10.0</w:t>
            </w:r>
          </w:p>
        </w:tc>
        <w:tc>
          <w:tcPr>
            <w:tcW w:w="882"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2.7</w:t>
            </w:r>
          </w:p>
        </w:tc>
      </w:tr>
      <w:tr w:rsidR="00000000">
        <w:tblPrEx>
          <w:tblCellMar>
            <w:top w:w="0" w:type="dxa"/>
            <w:bottom w:w="0" w:type="dxa"/>
          </w:tblCellMar>
        </w:tblPrEx>
        <w:tc>
          <w:tcPr>
            <w:tcW w:w="828" w:type="dxa"/>
          </w:tcPr>
          <w:p w:rsidR="00000000" w:rsidRDefault="00000000">
            <w:pPr>
              <w:keepNext/>
              <w:keepLines/>
              <w:tabs>
                <w:tab w:val="left" w:pos="475"/>
                <w:tab w:val="left" w:pos="965"/>
                <w:tab w:val="left" w:pos="1440"/>
                <w:tab w:val="left" w:pos="1915"/>
                <w:tab w:val="left" w:pos="2405"/>
              </w:tabs>
              <w:spacing w:after="120"/>
              <w:jc w:val="both"/>
              <w:rPr>
                <w:sz w:val="17"/>
              </w:rPr>
            </w:pPr>
            <w:r>
              <w:rPr>
                <w:sz w:val="17"/>
              </w:rPr>
              <w:t>1991</w:t>
            </w:r>
          </w:p>
        </w:tc>
        <w:tc>
          <w:tcPr>
            <w:tcW w:w="1026"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164 051</w:t>
            </w:r>
          </w:p>
        </w:tc>
        <w:tc>
          <w:tcPr>
            <w:tcW w:w="1039"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48 494</w:t>
            </w:r>
          </w:p>
        </w:tc>
        <w:tc>
          <w:tcPr>
            <w:tcW w:w="1004"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10.1</w:t>
            </w:r>
          </w:p>
        </w:tc>
        <w:tc>
          <w:tcPr>
            <w:tcW w:w="882"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3.0</w:t>
            </w:r>
          </w:p>
        </w:tc>
      </w:tr>
      <w:tr w:rsidR="00000000">
        <w:tblPrEx>
          <w:tblCellMar>
            <w:top w:w="0" w:type="dxa"/>
            <w:bottom w:w="0" w:type="dxa"/>
          </w:tblCellMar>
        </w:tblPrEx>
        <w:tc>
          <w:tcPr>
            <w:tcW w:w="828" w:type="dxa"/>
          </w:tcPr>
          <w:p w:rsidR="00000000" w:rsidRDefault="00000000">
            <w:pPr>
              <w:keepNext/>
              <w:keepLines/>
              <w:tabs>
                <w:tab w:val="left" w:pos="475"/>
                <w:tab w:val="left" w:pos="965"/>
                <w:tab w:val="left" w:pos="1440"/>
                <w:tab w:val="left" w:pos="1915"/>
                <w:tab w:val="left" w:pos="2405"/>
              </w:tabs>
              <w:spacing w:after="120"/>
              <w:jc w:val="both"/>
              <w:rPr>
                <w:sz w:val="17"/>
              </w:rPr>
            </w:pPr>
            <w:r>
              <w:rPr>
                <w:sz w:val="17"/>
              </w:rPr>
              <w:t>1992</w:t>
            </w:r>
          </w:p>
        </w:tc>
        <w:tc>
          <w:tcPr>
            <w:tcW w:w="1026"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165 498</w:t>
            </w:r>
          </w:p>
        </w:tc>
        <w:tc>
          <w:tcPr>
            <w:tcW w:w="1039"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49 692</w:t>
            </w:r>
          </w:p>
        </w:tc>
        <w:tc>
          <w:tcPr>
            <w:tcW w:w="1004"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8.9</w:t>
            </w:r>
          </w:p>
        </w:tc>
        <w:tc>
          <w:tcPr>
            <w:tcW w:w="882"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3.0</w:t>
            </w:r>
          </w:p>
        </w:tc>
      </w:tr>
      <w:tr w:rsidR="00000000">
        <w:tblPrEx>
          <w:tblCellMar>
            <w:top w:w="0" w:type="dxa"/>
            <w:bottom w:w="0" w:type="dxa"/>
          </w:tblCellMar>
        </w:tblPrEx>
        <w:tc>
          <w:tcPr>
            <w:tcW w:w="828" w:type="dxa"/>
          </w:tcPr>
          <w:p w:rsidR="00000000" w:rsidRDefault="00000000">
            <w:pPr>
              <w:keepNext/>
              <w:keepLines/>
              <w:tabs>
                <w:tab w:val="left" w:pos="475"/>
                <w:tab w:val="left" w:pos="965"/>
                <w:tab w:val="left" w:pos="1440"/>
                <w:tab w:val="left" w:pos="1915"/>
                <w:tab w:val="left" w:pos="2405"/>
              </w:tabs>
              <w:spacing w:after="120"/>
              <w:jc w:val="both"/>
              <w:rPr>
                <w:sz w:val="17"/>
              </w:rPr>
            </w:pPr>
            <w:r>
              <w:rPr>
                <w:sz w:val="17"/>
              </w:rPr>
              <w:t>1993</w:t>
            </w:r>
          </w:p>
        </w:tc>
        <w:tc>
          <w:tcPr>
            <w:tcW w:w="1026"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147 045</w:t>
            </w:r>
          </w:p>
        </w:tc>
        <w:tc>
          <w:tcPr>
            <w:tcW w:w="1039"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45 180</w:t>
            </w:r>
          </w:p>
        </w:tc>
        <w:tc>
          <w:tcPr>
            <w:tcW w:w="1004"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8.8</w:t>
            </w:r>
          </w:p>
        </w:tc>
        <w:tc>
          <w:tcPr>
            <w:tcW w:w="882"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2.7</w:t>
            </w:r>
          </w:p>
        </w:tc>
      </w:tr>
      <w:tr w:rsidR="00000000">
        <w:tblPrEx>
          <w:tblCellMar>
            <w:top w:w="0" w:type="dxa"/>
            <w:bottom w:w="0" w:type="dxa"/>
          </w:tblCellMar>
        </w:tblPrEx>
        <w:tc>
          <w:tcPr>
            <w:tcW w:w="828" w:type="dxa"/>
          </w:tcPr>
          <w:p w:rsidR="00000000" w:rsidRDefault="00000000">
            <w:pPr>
              <w:keepNext/>
              <w:keepLines/>
              <w:tabs>
                <w:tab w:val="left" w:pos="475"/>
                <w:tab w:val="left" w:pos="965"/>
                <w:tab w:val="left" w:pos="1440"/>
                <w:tab w:val="left" w:pos="1915"/>
                <w:tab w:val="left" w:pos="2405"/>
              </w:tabs>
              <w:spacing w:after="120"/>
              <w:jc w:val="both"/>
              <w:rPr>
                <w:sz w:val="17"/>
              </w:rPr>
            </w:pPr>
            <w:r>
              <w:rPr>
                <w:sz w:val="17"/>
              </w:rPr>
              <w:t>1994</w:t>
            </w:r>
          </w:p>
        </w:tc>
        <w:tc>
          <w:tcPr>
            <w:tcW w:w="1026"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145 686</w:t>
            </w:r>
          </w:p>
        </w:tc>
        <w:tc>
          <w:tcPr>
            <w:tcW w:w="1039"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41 567</w:t>
            </w:r>
          </w:p>
        </w:tc>
        <w:tc>
          <w:tcPr>
            <w:tcW w:w="1004"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7.5</w:t>
            </w:r>
          </w:p>
        </w:tc>
        <w:tc>
          <w:tcPr>
            <w:tcW w:w="882"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2.6</w:t>
            </w:r>
          </w:p>
        </w:tc>
      </w:tr>
      <w:tr w:rsidR="00000000">
        <w:tblPrEx>
          <w:tblCellMar>
            <w:top w:w="0" w:type="dxa"/>
            <w:bottom w:w="0" w:type="dxa"/>
          </w:tblCellMar>
        </w:tblPrEx>
        <w:tc>
          <w:tcPr>
            <w:tcW w:w="828" w:type="dxa"/>
          </w:tcPr>
          <w:p w:rsidR="00000000" w:rsidRDefault="00000000">
            <w:pPr>
              <w:keepNext/>
              <w:keepLines/>
              <w:tabs>
                <w:tab w:val="left" w:pos="475"/>
                <w:tab w:val="left" w:pos="965"/>
                <w:tab w:val="left" w:pos="1440"/>
                <w:tab w:val="left" w:pos="1915"/>
                <w:tab w:val="left" w:pos="2405"/>
              </w:tabs>
              <w:spacing w:after="120"/>
              <w:jc w:val="both"/>
              <w:rPr>
                <w:sz w:val="17"/>
              </w:rPr>
            </w:pPr>
            <w:r>
              <w:rPr>
                <w:sz w:val="17"/>
              </w:rPr>
              <w:t>1995</w:t>
            </w:r>
          </w:p>
        </w:tc>
        <w:tc>
          <w:tcPr>
            <w:tcW w:w="1026"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115 881</w:t>
            </w:r>
          </w:p>
        </w:tc>
        <w:tc>
          <w:tcPr>
            <w:tcW w:w="1039"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38 651</w:t>
            </w:r>
          </w:p>
        </w:tc>
        <w:tc>
          <w:tcPr>
            <w:tcW w:w="1004"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7.3</w:t>
            </w:r>
          </w:p>
        </w:tc>
        <w:tc>
          <w:tcPr>
            <w:tcW w:w="882"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2.4</w:t>
            </w:r>
          </w:p>
        </w:tc>
      </w:tr>
      <w:tr w:rsidR="00000000">
        <w:tblPrEx>
          <w:tblCellMar>
            <w:top w:w="0" w:type="dxa"/>
            <w:bottom w:w="0" w:type="dxa"/>
          </w:tblCellMar>
        </w:tblPrEx>
        <w:tc>
          <w:tcPr>
            <w:tcW w:w="828" w:type="dxa"/>
          </w:tcPr>
          <w:p w:rsidR="00000000" w:rsidRDefault="00000000">
            <w:pPr>
              <w:keepNext/>
              <w:keepLines/>
              <w:tabs>
                <w:tab w:val="left" w:pos="475"/>
                <w:tab w:val="left" w:pos="965"/>
                <w:tab w:val="left" w:pos="1440"/>
                <w:tab w:val="left" w:pos="1915"/>
                <w:tab w:val="left" w:pos="2405"/>
              </w:tabs>
              <w:spacing w:after="120"/>
              <w:jc w:val="both"/>
              <w:rPr>
                <w:sz w:val="17"/>
              </w:rPr>
            </w:pPr>
            <w:r>
              <w:rPr>
                <w:sz w:val="17"/>
              </w:rPr>
              <w:t>1996</w:t>
            </w:r>
          </w:p>
        </w:tc>
        <w:tc>
          <w:tcPr>
            <w:tcW w:w="1026"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102 558</w:t>
            </w:r>
          </w:p>
        </w:tc>
        <w:tc>
          <w:tcPr>
            <w:tcW w:w="1039"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40 497</w:t>
            </w:r>
          </w:p>
        </w:tc>
        <w:tc>
          <w:tcPr>
            <w:tcW w:w="1004"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6.6</w:t>
            </w:r>
          </w:p>
        </w:tc>
        <w:tc>
          <w:tcPr>
            <w:tcW w:w="882"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2.6</w:t>
            </w:r>
          </w:p>
        </w:tc>
      </w:tr>
      <w:tr w:rsidR="00000000">
        <w:tblPrEx>
          <w:tblCellMar>
            <w:top w:w="0" w:type="dxa"/>
            <w:bottom w:w="0" w:type="dxa"/>
          </w:tblCellMar>
        </w:tblPrEx>
        <w:tc>
          <w:tcPr>
            <w:tcW w:w="828" w:type="dxa"/>
          </w:tcPr>
          <w:p w:rsidR="00000000" w:rsidRDefault="00000000">
            <w:pPr>
              <w:keepNext/>
              <w:keepLines/>
              <w:tabs>
                <w:tab w:val="left" w:pos="475"/>
                <w:tab w:val="left" w:pos="965"/>
                <w:tab w:val="left" w:pos="1440"/>
                <w:tab w:val="left" w:pos="1915"/>
                <w:tab w:val="left" w:pos="2405"/>
              </w:tabs>
              <w:spacing w:after="120"/>
              <w:jc w:val="both"/>
              <w:rPr>
                <w:sz w:val="17"/>
              </w:rPr>
            </w:pPr>
            <w:r>
              <w:rPr>
                <w:sz w:val="17"/>
              </w:rPr>
              <w:t>1997</w:t>
            </w:r>
          </w:p>
        </w:tc>
        <w:tc>
          <w:tcPr>
            <w:tcW w:w="1026"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101 874</w:t>
            </w:r>
          </w:p>
        </w:tc>
        <w:tc>
          <w:tcPr>
            <w:tcW w:w="1039"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35 736</w:t>
            </w:r>
          </w:p>
        </w:tc>
        <w:tc>
          <w:tcPr>
            <w:tcW w:w="1004"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6.6</w:t>
            </w:r>
          </w:p>
        </w:tc>
        <w:tc>
          <w:tcPr>
            <w:tcW w:w="882"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2.3</w:t>
            </w:r>
          </w:p>
        </w:tc>
      </w:tr>
      <w:tr w:rsidR="00000000">
        <w:tblPrEx>
          <w:tblCellMar>
            <w:top w:w="0" w:type="dxa"/>
            <w:bottom w:w="0" w:type="dxa"/>
          </w:tblCellMar>
        </w:tblPrEx>
        <w:tc>
          <w:tcPr>
            <w:tcW w:w="828" w:type="dxa"/>
            <w:tcBorders>
              <w:bottom w:val="single" w:sz="12" w:space="0" w:color="auto"/>
            </w:tcBorders>
          </w:tcPr>
          <w:p w:rsidR="00000000" w:rsidRDefault="00000000">
            <w:pPr>
              <w:keepNext/>
              <w:keepLines/>
              <w:tabs>
                <w:tab w:val="left" w:pos="475"/>
                <w:tab w:val="left" w:pos="965"/>
                <w:tab w:val="left" w:pos="1440"/>
                <w:tab w:val="left" w:pos="1915"/>
                <w:tab w:val="left" w:pos="2405"/>
              </w:tabs>
              <w:spacing w:after="120"/>
              <w:jc w:val="both"/>
              <w:rPr>
                <w:sz w:val="17"/>
              </w:rPr>
            </w:pPr>
            <w:r>
              <w:rPr>
                <w:sz w:val="17"/>
              </w:rPr>
              <w:t>1998</w:t>
            </w:r>
          </w:p>
        </w:tc>
        <w:tc>
          <w:tcPr>
            <w:tcW w:w="1026" w:type="dxa"/>
            <w:tcBorders>
              <w:bottom w:val="single" w:sz="12" w:space="0" w:color="auto"/>
            </w:tcBorders>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96 048</w:t>
            </w:r>
          </w:p>
        </w:tc>
        <w:tc>
          <w:tcPr>
            <w:tcW w:w="1039" w:type="dxa"/>
            <w:tcBorders>
              <w:bottom w:val="single" w:sz="12" w:space="0" w:color="auto"/>
            </w:tcBorders>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35 460</w:t>
            </w:r>
          </w:p>
        </w:tc>
        <w:tc>
          <w:tcPr>
            <w:tcW w:w="1004" w:type="dxa"/>
            <w:tcBorders>
              <w:bottom w:val="single" w:sz="12" w:space="0" w:color="auto"/>
            </w:tcBorders>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6.4</w:t>
            </w:r>
          </w:p>
        </w:tc>
        <w:tc>
          <w:tcPr>
            <w:tcW w:w="882" w:type="dxa"/>
            <w:tcBorders>
              <w:bottom w:val="single" w:sz="12" w:space="0" w:color="auto"/>
            </w:tcBorders>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2.4</w:t>
            </w:r>
          </w:p>
        </w:tc>
      </w:tr>
    </w:tbl>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p>
    <w:p w:rsidR="00000000" w:rsidRDefault="00000000">
      <w:pPr>
        <w:pStyle w:val="D12r"/>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r>
        <w:t>Table 9</w:t>
      </w:r>
    </w:p>
    <w:p w:rsidR="00000000" w:rsidRDefault="00000000">
      <w:pPr>
        <w:pStyle w:val="BodyText2"/>
        <w:spacing w:after="120"/>
      </w:pPr>
      <w:r>
        <w:t>Live children born in 1997 to women not registered as married</w:t>
      </w:r>
    </w:p>
    <w:p w:rsidR="00000000" w:rsidRDefault="00000000">
      <w:pPr>
        <w:pStyle w:val="D12r"/>
      </w:pPr>
    </w:p>
    <w:tbl>
      <w:tblPr>
        <w:tblW w:w="0" w:type="auto"/>
        <w:tblInd w:w="11" w:type="dxa"/>
        <w:tblLayout w:type="fixed"/>
        <w:tblLook w:val="0000" w:firstRow="0" w:lastRow="0" w:firstColumn="0" w:lastColumn="0" w:noHBand="0" w:noVBand="0"/>
      </w:tblPr>
      <w:tblGrid>
        <w:gridCol w:w="2052"/>
        <w:gridCol w:w="1017"/>
        <w:gridCol w:w="846"/>
        <w:gridCol w:w="876"/>
      </w:tblGrid>
      <w:tr w:rsidR="00000000">
        <w:tblPrEx>
          <w:tblCellMar>
            <w:top w:w="0" w:type="dxa"/>
            <w:bottom w:w="0" w:type="dxa"/>
          </w:tblCellMar>
        </w:tblPrEx>
        <w:tc>
          <w:tcPr>
            <w:tcW w:w="2052"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rPr>
                <w:i/>
                <w:sz w:val="14"/>
              </w:rPr>
            </w:pPr>
          </w:p>
        </w:tc>
        <w:tc>
          <w:tcPr>
            <w:tcW w:w="1017"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i/>
                <w:sz w:val="14"/>
              </w:rPr>
            </w:pPr>
            <w:r>
              <w:rPr>
                <w:i/>
                <w:sz w:val="14"/>
              </w:rPr>
              <w:t>Total population</w:t>
            </w:r>
          </w:p>
        </w:tc>
        <w:tc>
          <w:tcPr>
            <w:tcW w:w="846" w:type="dxa"/>
            <w:tcBorders>
              <w:top w:val="single" w:sz="4" w:space="0" w:color="auto"/>
              <w:bottom w:val="single" w:sz="12" w:space="0" w:color="auto"/>
            </w:tcBorders>
          </w:tcPr>
          <w:p w:rsidR="00000000" w:rsidRDefault="00000000">
            <w:pPr>
              <w:jc w:val="right"/>
              <w:rPr>
                <w:i/>
                <w:sz w:val="14"/>
              </w:rPr>
            </w:pPr>
            <w:r>
              <w:rPr>
                <w:i/>
                <w:sz w:val="14"/>
              </w:rPr>
              <w:t>Urban</w:t>
            </w:r>
          </w:p>
        </w:tc>
        <w:tc>
          <w:tcPr>
            <w:tcW w:w="876" w:type="dxa"/>
            <w:tcBorders>
              <w:top w:val="single" w:sz="4" w:space="0" w:color="auto"/>
              <w:bottom w:val="single" w:sz="12" w:space="0" w:color="auto"/>
            </w:tcBorders>
          </w:tcPr>
          <w:p w:rsidR="00000000" w:rsidRDefault="00000000">
            <w:pPr>
              <w:jc w:val="right"/>
              <w:rPr>
                <w:i/>
                <w:sz w:val="14"/>
              </w:rPr>
            </w:pPr>
            <w:r>
              <w:rPr>
                <w:i/>
                <w:sz w:val="14"/>
              </w:rPr>
              <w:t>Rural</w:t>
            </w:r>
          </w:p>
        </w:tc>
      </w:tr>
      <w:tr w:rsidR="00000000">
        <w:tblPrEx>
          <w:tblCellMar>
            <w:top w:w="0" w:type="dxa"/>
            <w:bottom w:w="0" w:type="dxa"/>
          </w:tblCellMar>
        </w:tblPrEx>
        <w:tc>
          <w:tcPr>
            <w:tcW w:w="2052" w:type="dxa"/>
            <w:tcBorders>
              <w:top w:val="single" w:sz="12" w:space="0" w:color="auto"/>
            </w:tcBorders>
          </w:tcPr>
          <w:p w:rsidR="00000000" w:rsidRDefault="00000000">
            <w:pPr>
              <w:tabs>
                <w:tab w:val="left" w:pos="475"/>
                <w:tab w:val="left" w:pos="965"/>
                <w:tab w:val="left" w:pos="1440"/>
                <w:tab w:val="left" w:pos="1915"/>
                <w:tab w:val="left" w:pos="2405"/>
              </w:tabs>
              <w:spacing w:after="120"/>
              <w:rPr>
                <w:sz w:val="17"/>
              </w:rPr>
            </w:pPr>
            <w:r>
              <w:rPr>
                <w:sz w:val="17"/>
              </w:rPr>
              <w:t>Live births</w:t>
            </w:r>
          </w:p>
        </w:tc>
        <w:tc>
          <w:tcPr>
            <w:tcW w:w="1017"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48 804</w:t>
            </w:r>
          </w:p>
        </w:tc>
        <w:tc>
          <w:tcPr>
            <w:tcW w:w="846"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26 920</w:t>
            </w:r>
          </w:p>
        </w:tc>
        <w:tc>
          <w:tcPr>
            <w:tcW w:w="876"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21 884</w:t>
            </w:r>
          </w:p>
        </w:tc>
      </w:tr>
      <w:tr w:rsidR="00000000">
        <w:tblPrEx>
          <w:tblCellMar>
            <w:top w:w="0" w:type="dxa"/>
            <w:bottom w:w="0" w:type="dxa"/>
          </w:tblCellMar>
        </w:tblPrEx>
        <w:tc>
          <w:tcPr>
            <w:tcW w:w="2052" w:type="dxa"/>
            <w:tcBorders>
              <w:bottom w:val="single" w:sz="12" w:space="0" w:color="auto"/>
            </w:tcBorders>
          </w:tcPr>
          <w:p w:rsidR="00000000" w:rsidRDefault="00000000">
            <w:pPr>
              <w:tabs>
                <w:tab w:val="left" w:pos="475"/>
                <w:tab w:val="left" w:pos="965"/>
                <w:tab w:val="left" w:pos="1440"/>
                <w:tab w:val="left" w:pos="1915"/>
                <w:tab w:val="left" w:pos="2405"/>
              </w:tabs>
              <w:spacing w:after="120"/>
              <w:rPr>
                <w:sz w:val="17"/>
              </w:rPr>
            </w:pPr>
            <w:r>
              <w:rPr>
                <w:sz w:val="17"/>
              </w:rPr>
              <w:t>Percentage of children born out of wedlock</w:t>
            </w:r>
          </w:p>
        </w:tc>
        <w:tc>
          <w:tcPr>
            <w:tcW w:w="1017" w:type="dxa"/>
            <w:tcBorders>
              <w:bottom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21.0</w:t>
            </w:r>
          </w:p>
        </w:tc>
        <w:tc>
          <w:tcPr>
            <w:tcW w:w="846" w:type="dxa"/>
            <w:tcBorders>
              <w:bottom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23.9</w:t>
            </w:r>
          </w:p>
        </w:tc>
        <w:tc>
          <w:tcPr>
            <w:tcW w:w="876" w:type="dxa"/>
            <w:tcBorders>
              <w:bottom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18.2</w:t>
            </w:r>
          </w:p>
        </w:tc>
      </w:tr>
    </w:tbl>
    <w:p w:rsidR="00000000" w:rsidRDefault="00000000">
      <w:pPr>
        <w:tabs>
          <w:tab w:val="left" w:pos="475"/>
          <w:tab w:val="left" w:pos="965"/>
          <w:tab w:val="left" w:pos="1440"/>
          <w:tab w:val="left" w:pos="1915"/>
          <w:tab w:val="left" w:pos="2405"/>
        </w:tabs>
        <w:spacing w:after="120"/>
        <w:jc w:val="both"/>
      </w:pPr>
    </w:p>
    <w:p w:rsidR="00000000" w:rsidRDefault="00000000">
      <w:pPr>
        <w:tabs>
          <w:tab w:val="left" w:pos="475"/>
          <w:tab w:val="left" w:pos="965"/>
          <w:tab w:val="left" w:pos="1440"/>
          <w:tab w:val="left" w:pos="1915"/>
          <w:tab w:val="left" w:pos="2405"/>
        </w:tabs>
        <w:spacing w:after="120"/>
        <w:jc w:val="both"/>
        <w:sectPr w:rsidR="00000000">
          <w:pgSz w:w="12240" w:h="15840"/>
          <w:pgMar w:top="1742" w:right="1195" w:bottom="1901" w:left="1195" w:header="576" w:footer="1037" w:gutter="0"/>
          <w:cols w:num="2" w:space="245"/>
          <w:docGrid w:linePitch="360"/>
        </w:sectPr>
      </w:pPr>
    </w:p>
    <w:p w:rsidR="00000000" w:rsidRDefault="00000000">
      <w:pPr>
        <w:pStyle w:val="DH2"/>
      </w:pPr>
      <w:r>
        <w:tab/>
        <w:t>Education</w:t>
      </w:r>
    </w:p>
    <w:p w:rsidR="00000000" w:rsidRDefault="00000000">
      <w:pPr>
        <w:pStyle w:val="D12r"/>
      </w:pPr>
    </w:p>
    <w:p w:rsidR="00000000" w:rsidRDefault="00000000">
      <w:pPr>
        <w:tabs>
          <w:tab w:val="left" w:pos="475"/>
          <w:tab w:val="left" w:pos="965"/>
          <w:tab w:val="left" w:pos="1440"/>
          <w:tab w:val="left" w:pos="1915"/>
          <w:tab w:val="left" w:pos="2405"/>
        </w:tabs>
      </w:pPr>
      <w:r>
        <w:t>18.</w:t>
      </w:r>
    </w:p>
    <w:p w:rsidR="00000000" w:rsidRDefault="00000000">
      <w:pPr>
        <w:tabs>
          <w:tab w:val="left" w:pos="475"/>
          <w:tab w:val="left" w:pos="965"/>
          <w:tab w:val="left" w:pos="1440"/>
          <w:tab w:val="left" w:pos="1915"/>
          <w:tab w:val="left" w:pos="2405"/>
        </w:tabs>
        <w:spacing w:after="120"/>
        <w:rPr>
          <w:b/>
        </w:rPr>
      </w:pPr>
      <w:r>
        <w:tab/>
        <w:t>Table 10</w:t>
      </w:r>
      <w:r>
        <w:br/>
      </w:r>
      <w:r>
        <w:tab/>
      </w:r>
      <w:r>
        <w:rPr>
          <w:b/>
        </w:rPr>
        <w:t>Pre-school establishments</w:t>
      </w:r>
    </w:p>
    <w:p w:rsidR="00000000" w:rsidRDefault="00000000">
      <w:pPr>
        <w:pStyle w:val="D12r"/>
      </w:pPr>
    </w:p>
    <w:tbl>
      <w:tblPr>
        <w:tblW w:w="0" w:type="auto"/>
        <w:tblInd w:w="488" w:type="dxa"/>
        <w:tblLayout w:type="fixed"/>
        <w:tblLook w:val="0000" w:firstRow="0" w:lastRow="0" w:firstColumn="0" w:lastColumn="0" w:noHBand="0" w:noVBand="0"/>
      </w:tblPr>
      <w:tblGrid>
        <w:gridCol w:w="1764"/>
        <w:gridCol w:w="810"/>
        <w:gridCol w:w="810"/>
        <w:gridCol w:w="810"/>
        <w:gridCol w:w="270"/>
        <w:gridCol w:w="810"/>
        <w:gridCol w:w="792"/>
        <w:gridCol w:w="774"/>
        <w:gridCol w:w="243"/>
        <w:gridCol w:w="801"/>
        <w:gridCol w:w="774"/>
        <w:gridCol w:w="702"/>
      </w:tblGrid>
      <w:tr w:rsidR="00000000">
        <w:tblPrEx>
          <w:tblCellMar>
            <w:top w:w="0" w:type="dxa"/>
            <w:bottom w:w="0" w:type="dxa"/>
          </w:tblCellMar>
        </w:tblPrEx>
        <w:trPr>
          <w:cantSplit/>
        </w:trPr>
        <w:tc>
          <w:tcPr>
            <w:tcW w:w="1764" w:type="dxa"/>
            <w:tcBorders>
              <w:top w:val="single" w:sz="4" w:space="0" w:color="auto"/>
            </w:tcBorders>
          </w:tcPr>
          <w:p w:rsidR="00000000" w:rsidRDefault="00000000">
            <w:pPr>
              <w:pStyle w:val="SingleTxt"/>
              <w:tabs>
                <w:tab w:val="clear" w:pos="1267"/>
                <w:tab w:val="left" w:pos="1170"/>
              </w:tabs>
              <w:spacing w:after="0"/>
              <w:ind w:left="0" w:right="-43"/>
              <w:jc w:val="left"/>
              <w:rPr>
                <w:i/>
                <w:sz w:val="14"/>
              </w:rPr>
            </w:pPr>
          </w:p>
        </w:tc>
        <w:tc>
          <w:tcPr>
            <w:tcW w:w="2430" w:type="dxa"/>
            <w:gridSpan w:val="3"/>
            <w:tcBorders>
              <w:top w:val="single" w:sz="4" w:space="0" w:color="auto"/>
              <w:bottom w:val="single" w:sz="4" w:space="0" w:color="auto"/>
            </w:tcBorders>
          </w:tcPr>
          <w:p w:rsidR="00000000" w:rsidRDefault="00000000">
            <w:pPr>
              <w:pStyle w:val="SingleTxt"/>
              <w:tabs>
                <w:tab w:val="clear" w:pos="1267"/>
                <w:tab w:val="left" w:pos="1170"/>
              </w:tabs>
              <w:spacing w:after="0"/>
              <w:ind w:left="0" w:right="-43"/>
              <w:jc w:val="center"/>
              <w:rPr>
                <w:i/>
                <w:sz w:val="14"/>
              </w:rPr>
            </w:pPr>
            <w:r>
              <w:rPr>
                <w:i/>
                <w:sz w:val="14"/>
              </w:rPr>
              <w:t>1994</w:t>
            </w:r>
          </w:p>
        </w:tc>
        <w:tc>
          <w:tcPr>
            <w:tcW w:w="270" w:type="dxa"/>
            <w:tcBorders>
              <w:top w:val="single" w:sz="4" w:space="0" w:color="auto"/>
            </w:tcBorders>
          </w:tcPr>
          <w:p w:rsidR="00000000" w:rsidRDefault="00000000">
            <w:pPr>
              <w:pStyle w:val="SingleTxt"/>
              <w:tabs>
                <w:tab w:val="clear" w:pos="1267"/>
                <w:tab w:val="left" w:pos="1170"/>
              </w:tabs>
              <w:spacing w:after="0"/>
              <w:ind w:left="0" w:right="-43"/>
              <w:jc w:val="center"/>
              <w:rPr>
                <w:i/>
                <w:sz w:val="14"/>
              </w:rPr>
            </w:pPr>
          </w:p>
        </w:tc>
        <w:tc>
          <w:tcPr>
            <w:tcW w:w="2376" w:type="dxa"/>
            <w:gridSpan w:val="3"/>
            <w:tcBorders>
              <w:top w:val="single" w:sz="4" w:space="0" w:color="auto"/>
              <w:bottom w:val="single" w:sz="4" w:space="0" w:color="auto"/>
            </w:tcBorders>
          </w:tcPr>
          <w:p w:rsidR="00000000" w:rsidRDefault="00000000">
            <w:pPr>
              <w:pStyle w:val="SingleTxt"/>
              <w:tabs>
                <w:tab w:val="clear" w:pos="1267"/>
                <w:tab w:val="left" w:pos="1170"/>
              </w:tabs>
              <w:spacing w:after="0"/>
              <w:ind w:left="0" w:right="-43"/>
              <w:jc w:val="center"/>
              <w:rPr>
                <w:i/>
                <w:sz w:val="14"/>
              </w:rPr>
            </w:pPr>
            <w:r>
              <w:rPr>
                <w:i/>
                <w:sz w:val="14"/>
              </w:rPr>
              <w:t>1995</w:t>
            </w:r>
          </w:p>
        </w:tc>
        <w:tc>
          <w:tcPr>
            <w:tcW w:w="243" w:type="dxa"/>
            <w:tcBorders>
              <w:top w:val="single" w:sz="4" w:space="0" w:color="auto"/>
            </w:tcBorders>
          </w:tcPr>
          <w:p w:rsidR="00000000" w:rsidRDefault="00000000">
            <w:pPr>
              <w:pStyle w:val="SingleTxt"/>
              <w:tabs>
                <w:tab w:val="clear" w:pos="1267"/>
                <w:tab w:val="left" w:pos="1170"/>
              </w:tabs>
              <w:spacing w:after="0"/>
              <w:ind w:left="0" w:right="-43"/>
              <w:jc w:val="center"/>
              <w:rPr>
                <w:i/>
                <w:sz w:val="14"/>
              </w:rPr>
            </w:pPr>
          </w:p>
        </w:tc>
        <w:tc>
          <w:tcPr>
            <w:tcW w:w="2277" w:type="dxa"/>
            <w:gridSpan w:val="3"/>
            <w:tcBorders>
              <w:top w:val="single" w:sz="4" w:space="0" w:color="auto"/>
              <w:bottom w:val="single" w:sz="4" w:space="0" w:color="auto"/>
            </w:tcBorders>
          </w:tcPr>
          <w:p w:rsidR="00000000" w:rsidRDefault="00000000">
            <w:pPr>
              <w:pStyle w:val="SingleTxt"/>
              <w:tabs>
                <w:tab w:val="clear" w:pos="1267"/>
                <w:tab w:val="left" w:pos="1170"/>
              </w:tabs>
              <w:spacing w:after="0"/>
              <w:ind w:left="0" w:right="-43"/>
              <w:jc w:val="center"/>
              <w:rPr>
                <w:i/>
                <w:sz w:val="14"/>
              </w:rPr>
            </w:pPr>
            <w:r>
              <w:rPr>
                <w:i/>
                <w:sz w:val="14"/>
              </w:rPr>
              <w:t>1997</w:t>
            </w:r>
          </w:p>
        </w:tc>
      </w:tr>
      <w:tr w:rsidR="00000000">
        <w:tblPrEx>
          <w:tblCellMar>
            <w:top w:w="0" w:type="dxa"/>
            <w:bottom w:w="0" w:type="dxa"/>
          </w:tblCellMar>
        </w:tblPrEx>
        <w:trPr>
          <w:cantSplit/>
        </w:trPr>
        <w:tc>
          <w:tcPr>
            <w:tcW w:w="1764" w:type="dxa"/>
          </w:tcPr>
          <w:p w:rsidR="00000000" w:rsidRDefault="00000000">
            <w:pPr>
              <w:pStyle w:val="SingleTxt"/>
              <w:tabs>
                <w:tab w:val="clear" w:pos="1267"/>
                <w:tab w:val="left" w:pos="1170"/>
              </w:tabs>
              <w:spacing w:after="0"/>
              <w:ind w:left="0" w:right="-43"/>
              <w:jc w:val="left"/>
              <w:rPr>
                <w:i/>
                <w:sz w:val="14"/>
              </w:rPr>
            </w:pPr>
          </w:p>
        </w:tc>
        <w:tc>
          <w:tcPr>
            <w:tcW w:w="810" w:type="dxa"/>
            <w:tcBorders>
              <w:top w:val="single" w:sz="4" w:space="0" w:color="auto"/>
            </w:tcBorders>
          </w:tcPr>
          <w:p w:rsidR="00000000" w:rsidRDefault="00000000">
            <w:pPr>
              <w:pStyle w:val="SingleTxt"/>
              <w:tabs>
                <w:tab w:val="clear" w:pos="1267"/>
                <w:tab w:val="left" w:pos="1170"/>
              </w:tabs>
              <w:spacing w:after="0"/>
              <w:ind w:left="0" w:right="-43"/>
              <w:jc w:val="right"/>
              <w:rPr>
                <w:i/>
                <w:sz w:val="14"/>
              </w:rPr>
            </w:pPr>
            <w:r>
              <w:rPr>
                <w:i/>
                <w:sz w:val="14"/>
              </w:rPr>
              <w:t>Total</w:t>
            </w:r>
          </w:p>
        </w:tc>
        <w:tc>
          <w:tcPr>
            <w:tcW w:w="1620" w:type="dxa"/>
            <w:gridSpan w:val="2"/>
            <w:tcBorders>
              <w:top w:val="single" w:sz="4" w:space="0" w:color="auto"/>
              <w:left w:val="nil"/>
              <w:bottom w:val="single" w:sz="4" w:space="0" w:color="auto"/>
            </w:tcBorders>
          </w:tcPr>
          <w:p w:rsidR="00000000" w:rsidRDefault="00000000">
            <w:pPr>
              <w:pStyle w:val="SingleTxt"/>
              <w:tabs>
                <w:tab w:val="left" w:pos="1170"/>
              </w:tabs>
              <w:spacing w:after="0"/>
              <w:ind w:left="0" w:right="-43"/>
              <w:jc w:val="center"/>
              <w:rPr>
                <w:i/>
                <w:sz w:val="14"/>
              </w:rPr>
            </w:pPr>
            <w:r>
              <w:rPr>
                <w:i/>
                <w:sz w:val="14"/>
              </w:rPr>
              <w:t>Of which</w:t>
            </w:r>
          </w:p>
        </w:tc>
        <w:tc>
          <w:tcPr>
            <w:tcW w:w="270" w:type="dxa"/>
          </w:tcPr>
          <w:p w:rsidR="00000000" w:rsidRDefault="00000000">
            <w:pPr>
              <w:pStyle w:val="SingleTxt"/>
              <w:tabs>
                <w:tab w:val="clear" w:pos="1267"/>
                <w:tab w:val="left" w:pos="1170"/>
              </w:tabs>
              <w:spacing w:after="0"/>
              <w:ind w:left="0" w:right="-43"/>
              <w:jc w:val="center"/>
              <w:rPr>
                <w:i/>
                <w:sz w:val="14"/>
              </w:rPr>
            </w:pPr>
          </w:p>
        </w:tc>
        <w:tc>
          <w:tcPr>
            <w:tcW w:w="810" w:type="dxa"/>
            <w:tcBorders>
              <w:top w:val="single" w:sz="4" w:space="0" w:color="auto"/>
            </w:tcBorders>
          </w:tcPr>
          <w:p w:rsidR="00000000" w:rsidRDefault="00000000">
            <w:pPr>
              <w:pStyle w:val="SingleTxt"/>
              <w:tabs>
                <w:tab w:val="clear" w:pos="1267"/>
                <w:tab w:val="left" w:pos="1170"/>
              </w:tabs>
              <w:spacing w:after="0"/>
              <w:ind w:left="0" w:right="-43"/>
              <w:jc w:val="right"/>
              <w:rPr>
                <w:i/>
                <w:sz w:val="14"/>
              </w:rPr>
            </w:pPr>
            <w:r>
              <w:rPr>
                <w:i/>
                <w:sz w:val="14"/>
              </w:rPr>
              <w:t>Total</w:t>
            </w:r>
          </w:p>
        </w:tc>
        <w:tc>
          <w:tcPr>
            <w:tcW w:w="1566" w:type="dxa"/>
            <w:gridSpan w:val="2"/>
            <w:tcBorders>
              <w:top w:val="single" w:sz="4" w:space="0" w:color="auto"/>
              <w:left w:val="nil"/>
              <w:bottom w:val="single" w:sz="4" w:space="0" w:color="auto"/>
            </w:tcBorders>
          </w:tcPr>
          <w:p w:rsidR="00000000" w:rsidRDefault="00000000">
            <w:pPr>
              <w:pStyle w:val="SingleTxt"/>
              <w:tabs>
                <w:tab w:val="left" w:pos="1170"/>
              </w:tabs>
              <w:spacing w:after="0"/>
              <w:ind w:left="0" w:right="-43"/>
              <w:jc w:val="center"/>
              <w:rPr>
                <w:i/>
                <w:sz w:val="14"/>
              </w:rPr>
            </w:pPr>
            <w:r>
              <w:rPr>
                <w:i/>
                <w:sz w:val="14"/>
              </w:rPr>
              <w:t>Of which</w:t>
            </w:r>
          </w:p>
        </w:tc>
        <w:tc>
          <w:tcPr>
            <w:tcW w:w="243" w:type="dxa"/>
          </w:tcPr>
          <w:p w:rsidR="00000000" w:rsidRDefault="00000000">
            <w:pPr>
              <w:pStyle w:val="SingleTxt"/>
              <w:tabs>
                <w:tab w:val="clear" w:pos="1267"/>
                <w:tab w:val="left" w:pos="1170"/>
              </w:tabs>
              <w:spacing w:after="0"/>
              <w:ind w:left="0" w:right="-43"/>
              <w:jc w:val="center"/>
              <w:rPr>
                <w:i/>
                <w:sz w:val="14"/>
              </w:rPr>
            </w:pPr>
          </w:p>
        </w:tc>
        <w:tc>
          <w:tcPr>
            <w:tcW w:w="801" w:type="dxa"/>
            <w:tcBorders>
              <w:top w:val="single" w:sz="4" w:space="0" w:color="auto"/>
            </w:tcBorders>
          </w:tcPr>
          <w:p w:rsidR="00000000" w:rsidRDefault="00000000">
            <w:pPr>
              <w:pStyle w:val="SingleTxt"/>
              <w:tabs>
                <w:tab w:val="clear" w:pos="1267"/>
                <w:tab w:val="left" w:pos="1170"/>
              </w:tabs>
              <w:spacing w:after="0"/>
              <w:ind w:left="0" w:right="-43"/>
              <w:jc w:val="right"/>
              <w:rPr>
                <w:i/>
                <w:sz w:val="14"/>
              </w:rPr>
            </w:pPr>
            <w:r>
              <w:rPr>
                <w:i/>
                <w:sz w:val="14"/>
              </w:rPr>
              <w:t>Total</w:t>
            </w:r>
          </w:p>
        </w:tc>
        <w:tc>
          <w:tcPr>
            <w:tcW w:w="1476" w:type="dxa"/>
            <w:gridSpan w:val="2"/>
            <w:tcBorders>
              <w:top w:val="single" w:sz="4" w:space="0" w:color="auto"/>
              <w:left w:val="nil"/>
              <w:bottom w:val="single" w:sz="4" w:space="0" w:color="auto"/>
            </w:tcBorders>
          </w:tcPr>
          <w:p w:rsidR="00000000" w:rsidRDefault="00000000">
            <w:pPr>
              <w:pStyle w:val="SingleTxt"/>
              <w:tabs>
                <w:tab w:val="left" w:pos="1170"/>
              </w:tabs>
              <w:spacing w:after="0"/>
              <w:ind w:left="0" w:right="-43"/>
              <w:jc w:val="center"/>
              <w:rPr>
                <w:i/>
                <w:sz w:val="14"/>
              </w:rPr>
            </w:pPr>
            <w:r>
              <w:rPr>
                <w:i/>
                <w:sz w:val="14"/>
              </w:rPr>
              <w:t>Of which</w:t>
            </w:r>
          </w:p>
        </w:tc>
      </w:tr>
      <w:tr w:rsidR="00000000">
        <w:tblPrEx>
          <w:tblCellMar>
            <w:top w:w="0" w:type="dxa"/>
            <w:bottom w:w="0" w:type="dxa"/>
          </w:tblCellMar>
        </w:tblPrEx>
        <w:tc>
          <w:tcPr>
            <w:tcW w:w="1764" w:type="dxa"/>
            <w:tcBorders>
              <w:bottom w:val="single" w:sz="12" w:space="0" w:color="auto"/>
            </w:tcBorders>
          </w:tcPr>
          <w:p w:rsidR="00000000" w:rsidRDefault="00000000">
            <w:pPr>
              <w:pStyle w:val="SingleTxt"/>
              <w:tabs>
                <w:tab w:val="clear" w:pos="1267"/>
                <w:tab w:val="left" w:pos="1170"/>
              </w:tabs>
              <w:spacing w:after="0"/>
              <w:ind w:left="0" w:right="-43"/>
              <w:jc w:val="left"/>
              <w:rPr>
                <w:i/>
                <w:sz w:val="14"/>
              </w:rPr>
            </w:pPr>
          </w:p>
        </w:tc>
        <w:tc>
          <w:tcPr>
            <w:tcW w:w="810" w:type="dxa"/>
            <w:tcBorders>
              <w:bottom w:val="single" w:sz="12" w:space="0" w:color="auto"/>
            </w:tcBorders>
          </w:tcPr>
          <w:p w:rsidR="00000000" w:rsidRDefault="00000000">
            <w:pPr>
              <w:pStyle w:val="SingleTxt"/>
              <w:tabs>
                <w:tab w:val="clear" w:pos="1267"/>
                <w:tab w:val="left" w:pos="1170"/>
              </w:tabs>
              <w:spacing w:after="0"/>
              <w:ind w:left="0" w:right="-43"/>
              <w:jc w:val="right"/>
              <w:rPr>
                <w:i/>
                <w:sz w:val="14"/>
              </w:rPr>
            </w:pPr>
          </w:p>
        </w:tc>
        <w:tc>
          <w:tcPr>
            <w:tcW w:w="810" w:type="dxa"/>
            <w:tcBorders>
              <w:bottom w:val="single" w:sz="12" w:space="0" w:color="auto"/>
            </w:tcBorders>
          </w:tcPr>
          <w:p w:rsidR="00000000" w:rsidRDefault="00000000">
            <w:pPr>
              <w:pStyle w:val="SingleTxt"/>
              <w:tabs>
                <w:tab w:val="clear" w:pos="1267"/>
                <w:tab w:val="left" w:pos="1170"/>
              </w:tabs>
              <w:spacing w:after="0"/>
              <w:ind w:left="0" w:right="-43"/>
              <w:jc w:val="right"/>
              <w:rPr>
                <w:i/>
                <w:sz w:val="14"/>
              </w:rPr>
            </w:pPr>
            <w:r>
              <w:rPr>
                <w:i/>
                <w:sz w:val="14"/>
              </w:rPr>
              <w:t>Urban</w:t>
            </w:r>
          </w:p>
        </w:tc>
        <w:tc>
          <w:tcPr>
            <w:tcW w:w="810" w:type="dxa"/>
            <w:tcBorders>
              <w:bottom w:val="single" w:sz="12" w:space="0" w:color="auto"/>
            </w:tcBorders>
          </w:tcPr>
          <w:p w:rsidR="00000000" w:rsidRDefault="00000000">
            <w:pPr>
              <w:pStyle w:val="SingleTxt"/>
              <w:tabs>
                <w:tab w:val="clear" w:pos="1267"/>
                <w:tab w:val="left" w:pos="1170"/>
              </w:tabs>
              <w:spacing w:after="0"/>
              <w:ind w:left="0" w:right="-43"/>
              <w:jc w:val="right"/>
              <w:rPr>
                <w:i/>
                <w:sz w:val="14"/>
              </w:rPr>
            </w:pPr>
            <w:r>
              <w:rPr>
                <w:i/>
                <w:sz w:val="14"/>
              </w:rPr>
              <w:t>Rural</w:t>
            </w:r>
          </w:p>
        </w:tc>
        <w:tc>
          <w:tcPr>
            <w:tcW w:w="270" w:type="dxa"/>
            <w:tcBorders>
              <w:bottom w:val="single" w:sz="12" w:space="0" w:color="auto"/>
            </w:tcBorders>
          </w:tcPr>
          <w:p w:rsidR="00000000" w:rsidRDefault="00000000">
            <w:pPr>
              <w:pStyle w:val="SingleTxt"/>
              <w:tabs>
                <w:tab w:val="clear" w:pos="1267"/>
                <w:tab w:val="left" w:pos="1170"/>
              </w:tabs>
              <w:spacing w:after="0"/>
              <w:ind w:left="0" w:right="-43"/>
              <w:jc w:val="right"/>
              <w:rPr>
                <w:i/>
                <w:sz w:val="14"/>
              </w:rPr>
            </w:pPr>
          </w:p>
        </w:tc>
        <w:tc>
          <w:tcPr>
            <w:tcW w:w="810" w:type="dxa"/>
            <w:tcBorders>
              <w:bottom w:val="single" w:sz="12" w:space="0" w:color="auto"/>
            </w:tcBorders>
          </w:tcPr>
          <w:p w:rsidR="00000000" w:rsidRDefault="00000000">
            <w:pPr>
              <w:pStyle w:val="SingleTxt"/>
              <w:tabs>
                <w:tab w:val="clear" w:pos="1267"/>
                <w:tab w:val="left" w:pos="1170"/>
              </w:tabs>
              <w:spacing w:after="0"/>
              <w:ind w:left="0" w:right="-43"/>
              <w:jc w:val="right"/>
              <w:rPr>
                <w:i/>
                <w:sz w:val="14"/>
              </w:rPr>
            </w:pPr>
          </w:p>
        </w:tc>
        <w:tc>
          <w:tcPr>
            <w:tcW w:w="792" w:type="dxa"/>
            <w:tcBorders>
              <w:left w:val="nil"/>
              <w:bottom w:val="single" w:sz="12" w:space="0" w:color="auto"/>
            </w:tcBorders>
          </w:tcPr>
          <w:p w:rsidR="00000000" w:rsidRDefault="00000000">
            <w:pPr>
              <w:pStyle w:val="SingleTxt"/>
              <w:tabs>
                <w:tab w:val="clear" w:pos="1267"/>
                <w:tab w:val="left" w:pos="1170"/>
              </w:tabs>
              <w:spacing w:after="0"/>
              <w:ind w:left="0" w:right="-43"/>
              <w:jc w:val="right"/>
              <w:rPr>
                <w:i/>
                <w:sz w:val="14"/>
              </w:rPr>
            </w:pPr>
            <w:r>
              <w:rPr>
                <w:i/>
                <w:sz w:val="14"/>
              </w:rPr>
              <w:t>Urban</w:t>
            </w:r>
          </w:p>
        </w:tc>
        <w:tc>
          <w:tcPr>
            <w:tcW w:w="774" w:type="dxa"/>
            <w:tcBorders>
              <w:bottom w:val="single" w:sz="12" w:space="0" w:color="auto"/>
            </w:tcBorders>
          </w:tcPr>
          <w:p w:rsidR="00000000" w:rsidRDefault="00000000">
            <w:pPr>
              <w:pStyle w:val="SingleTxt"/>
              <w:tabs>
                <w:tab w:val="clear" w:pos="1267"/>
                <w:tab w:val="left" w:pos="1170"/>
              </w:tabs>
              <w:spacing w:after="0"/>
              <w:ind w:left="0" w:right="-43"/>
              <w:jc w:val="right"/>
              <w:rPr>
                <w:i/>
                <w:sz w:val="14"/>
              </w:rPr>
            </w:pPr>
            <w:r>
              <w:rPr>
                <w:i/>
                <w:sz w:val="14"/>
              </w:rPr>
              <w:t>Rural</w:t>
            </w:r>
          </w:p>
        </w:tc>
        <w:tc>
          <w:tcPr>
            <w:tcW w:w="243" w:type="dxa"/>
            <w:tcBorders>
              <w:bottom w:val="single" w:sz="12" w:space="0" w:color="auto"/>
            </w:tcBorders>
          </w:tcPr>
          <w:p w:rsidR="00000000" w:rsidRDefault="00000000">
            <w:pPr>
              <w:pStyle w:val="SingleTxt"/>
              <w:tabs>
                <w:tab w:val="clear" w:pos="1267"/>
                <w:tab w:val="left" w:pos="1170"/>
              </w:tabs>
              <w:spacing w:after="0"/>
              <w:ind w:left="0" w:right="-43"/>
              <w:jc w:val="right"/>
              <w:rPr>
                <w:i/>
                <w:sz w:val="14"/>
              </w:rPr>
            </w:pPr>
          </w:p>
        </w:tc>
        <w:tc>
          <w:tcPr>
            <w:tcW w:w="801" w:type="dxa"/>
            <w:tcBorders>
              <w:bottom w:val="single" w:sz="12" w:space="0" w:color="auto"/>
            </w:tcBorders>
          </w:tcPr>
          <w:p w:rsidR="00000000" w:rsidRDefault="00000000">
            <w:pPr>
              <w:pStyle w:val="SingleTxt"/>
              <w:tabs>
                <w:tab w:val="clear" w:pos="1267"/>
                <w:tab w:val="left" w:pos="1170"/>
              </w:tabs>
              <w:spacing w:after="0"/>
              <w:ind w:left="0" w:right="-43"/>
              <w:jc w:val="right"/>
              <w:rPr>
                <w:i/>
                <w:sz w:val="14"/>
              </w:rPr>
            </w:pPr>
          </w:p>
        </w:tc>
        <w:tc>
          <w:tcPr>
            <w:tcW w:w="774" w:type="dxa"/>
            <w:tcBorders>
              <w:bottom w:val="single" w:sz="12" w:space="0" w:color="auto"/>
            </w:tcBorders>
          </w:tcPr>
          <w:p w:rsidR="00000000" w:rsidRDefault="00000000">
            <w:pPr>
              <w:pStyle w:val="SingleTxt"/>
              <w:tabs>
                <w:tab w:val="clear" w:pos="1267"/>
                <w:tab w:val="left" w:pos="1170"/>
              </w:tabs>
              <w:spacing w:after="0"/>
              <w:ind w:left="0" w:right="-43"/>
              <w:jc w:val="right"/>
              <w:rPr>
                <w:i/>
                <w:sz w:val="14"/>
              </w:rPr>
            </w:pPr>
            <w:r>
              <w:rPr>
                <w:i/>
                <w:sz w:val="14"/>
              </w:rPr>
              <w:t>Urban</w:t>
            </w:r>
          </w:p>
        </w:tc>
        <w:tc>
          <w:tcPr>
            <w:tcW w:w="702" w:type="dxa"/>
            <w:tcBorders>
              <w:bottom w:val="single" w:sz="12" w:space="0" w:color="auto"/>
            </w:tcBorders>
          </w:tcPr>
          <w:p w:rsidR="00000000" w:rsidRDefault="00000000">
            <w:pPr>
              <w:pStyle w:val="SingleTxt"/>
              <w:tabs>
                <w:tab w:val="clear" w:pos="1267"/>
                <w:tab w:val="left" w:pos="1170"/>
              </w:tabs>
              <w:spacing w:after="0"/>
              <w:ind w:left="0" w:right="-43"/>
              <w:jc w:val="right"/>
              <w:rPr>
                <w:i/>
                <w:sz w:val="14"/>
              </w:rPr>
            </w:pPr>
            <w:r>
              <w:rPr>
                <w:i/>
                <w:sz w:val="14"/>
              </w:rPr>
              <w:t>Rural</w:t>
            </w:r>
          </w:p>
        </w:tc>
      </w:tr>
      <w:tr w:rsidR="00000000">
        <w:tblPrEx>
          <w:tblCellMar>
            <w:top w:w="0" w:type="dxa"/>
            <w:bottom w:w="0" w:type="dxa"/>
          </w:tblCellMar>
        </w:tblPrEx>
        <w:tc>
          <w:tcPr>
            <w:tcW w:w="1764" w:type="dxa"/>
            <w:tcBorders>
              <w:top w:val="single" w:sz="12" w:space="0" w:color="auto"/>
            </w:tcBorders>
          </w:tcPr>
          <w:p w:rsidR="00000000" w:rsidRDefault="00000000">
            <w:pPr>
              <w:pStyle w:val="SingleTxt"/>
              <w:tabs>
                <w:tab w:val="clear" w:pos="1267"/>
                <w:tab w:val="left" w:pos="1170"/>
              </w:tabs>
              <w:ind w:left="0" w:right="-50"/>
              <w:jc w:val="left"/>
              <w:rPr>
                <w:sz w:val="17"/>
              </w:rPr>
            </w:pPr>
            <w:r>
              <w:rPr>
                <w:sz w:val="17"/>
              </w:rPr>
              <w:t>Total number of establishments</w:t>
            </w:r>
          </w:p>
        </w:tc>
        <w:tc>
          <w:tcPr>
            <w:tcW w:w="810"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6 551</w:t>
            </w:r>
          </w:p>
        </w:tc>
        <w:tc>
          <w:tcPr>
            <w:tcW w:w="810"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2 737</w:t>
            </w:r>
          </w:p>
        </w:tc>
        <w:tc>
          <w:tcPr>
            <w:tcW w:w="810"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3 814</w:t>
            </w:r>
          </w:p>
        </w:tc>
        <w:tc>
          <w:tcPr>
            <w:tcW w:w="270" w:type="dxa"/>
            <w:tcBorders>
              <w:top w:val="single" w:sz="12" w:space="0" w:color="auto"/>
            </w:tcBorders>
          </w:tcPr>
          <w:p w:rsidR="00000000" w:rsidRDefault="00000000">
            <w:pPr>
              <w:pStyle w:val="SingleTxt"/>
              <w:tabs>
                <w:tab w:val="clear" w:pos="1267"/>
                <w:tab w:val="left" w:pos="1170"/>
              </w:tabs>
              <w:ind w:left="0" w:right="-50"/>
              <w:jc w:val="right"/>
              <w:rPr>
                <w:sz w:val="17"/>
              </w:rPr>
            </w:pPr>
          </w:p>
        </w:tc>
        <w:tc>
          <w:tcPr>
            <w:tcW w:w="810"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5 058</w:t>
            </w:r>
          </w:p>
        </w:tc>
        <w:tc>
          <w:tcPr>
            <w:tcW w:w="792"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2 292</w:t>
            </w:r>
          </w:p>
        </w:tc>
        <w:tc>
          <w:tcPr>
            <w:tcW w:w="774"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2 766</w:t>
            </w:r>
          </w:p>
        </w:tc>
        <w:tc>
          <w:tcPr>
            <w:tcW w:w="243" w:type="dxa"/>
            <w:tcBorders>
              <w:top w:val="single" w:sz="12" w:space="0" w:color="auto"/>
            </w:tcBorders>
          </w:tcPr>
          <w:p w:rsidR="00000000" w:rsidRDefault="00000000">
            <w:pPr>
              <w:pStyle w:val="SingleTxt"/>
              <w:tabs>
                <w:tab w:val="clear" w:pos="1267"/>
                <w:tab w:val="left" w:pos="1170"/>
              </w:tabs>
              <w:ind w:left="0" w:right="-50"/>
              <w:jc w:val="right"/>
              <w:rPr>
                <w:sz w:val="17"/>
              </w:rPr>
            </w:pPr>
          </w:p>
        </w:tc>
        <w:tc>
          <w:tcPr>
            <w:tcW w:w="801"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1 533</w:t>
            </w:r>
          </w:p>
        </w:tc>
        <w:tc>
          <w:tcPr>
            <w:tcW w:w="774"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1 147</w:t>
            </w:r>
          </w:p>
        </w:tc>
        <w:tc>
          <w:tcPr>
            <w:tcW w:w="702"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386</w:t>
            </w:r>
          </w:p>
        </w:tc>
      </w:tr>
      <w:tr w:rsidR="00000000">
        <w:tblPrEx>
          <w:tblCellMar>
            <w:top w:w="0" w:type="dxa"/>
            <w:bottom w:w="0" w:type="dxa"/>
          </w:tblCellMar>
        </w:tblPrEx>
        <w:tc>
          <w:tcPr>
            <w:tcW w:w="1764" w:type="dxa"/>
            <w:tcBorders>
              <w:bottom w:val="single" w:sz="12" w:space="0" w:color="auto"/>
            </w:tcBorders>
          </w:tcPr>
          <w:p w:rsidR="00000000" w:rsidRDefault="00000000">
            <w:pPr>
              <w:pStyle w:val="SingleTxt"/>
              <w:tabs>
                <w:tab w:val="clear" w:pos="1267"/>
                <w:tab w:val="left" w:pos="1170"/>
              </w:tabs>
              <w:ind w:left="0" w:right="-50"/>
              <w:jc w:val="left"/>
              <w:rPr>
                <w:sz w:val="17"/>
              </w:rPr>
            </w:pPr>
            <w:r>
              <w:rPr>
                <w:sz w:val="17"/>
              </w:rPr>
              <w:t xml:space="preserve">Number of children </w:t>
            </w:r>
            <w:r>
              <w:rPr>
                <w:sz w:val="17"/>
              </w:rPr>
              <w:br/>
              <w:t>(in thousands)</w:t>
            </w:r>
          </w:p>
        </w:tc>
        <w:tc>
          <w:tcPr>
            <w:tcW w:w="810"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538 365</w:t>
            </w:r>
          </w:p>
        </w:tc>
        <w:tc>
          <w:tcPr>
            <w:tcW w:w="810"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346 482</w:t>
            </w:r>
          </w:p>
        </w:tc>
        <w:tc>
          <w:tcPr>
            <w:tcW w:w="810"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191 883</w:t>
            </w:r>
          </w:p>
        </w:tc>
        <w:tc>
          <w:tcPr>
            <w:tcW w:w="270" w:type="dxa"/>
            <w:tcBorders>
              <w:bottom w:val="single" w:sz="12" w:space="0" w:color="auto"/>
            </w:tcBorders>
          </w:tcPr>
          <w:p w:rsidR="00000000" w:rsidRDefault="00000000">
            <w:pPr>
              <w:pStyle w:val="SingleTxt"/>
              <w:tabs>
                <w:tab w:val="clear" w:pos="1267"/>
                <w:tab w:val="left" w:pos="1170"/>
              </w:tabs>
              <w:ind w:left="0" w:right="-50"/>
              <w:jc w:val="right"/>
              <w:rPr>
                <w:sz w:val="17"/>
              </w:rPr>
            </w:pPr>
          </w:p>
        </w:tc>
        <w:tc>
          <w:tcPr>
            <w:tcW w:w="810"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407 191</w:t>
            </w:r>
          </w:p>
        </w:tc>
        <w:tc>
          <w:tcPr>
            <w:tcW w:w="792"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291 470</w:t>
            </w:r>
          </w:p>
        </w:tc>
        <w:tc>
          <w:tcPr>
            <w:tcW w:w="774"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115 721</w:t>
            </w:r>
          </w:p>
        </w:tc>
        <w:tc>
          <w:tcPr>
            <w:tcW w:w="243" w:type="dxa"/>
            <w:tcBorders>
              <w:bottom w:val="single" w:sz="12" w:space="0" w:color="auto"/>
            </w:tcBorders>
          </w:tcPr>
          <w:p w:rsidR="00000000" w:rsidRDefault="00000000">
            <w:pPr>
              <w:pStyle w:val="SingleTxt"/>
              <w:tabs>
                <w:tab w:val="clear" w:pos="1267"/>
                <w:tab w:val="left" w:pos="1170"/>
              </w:tabs>
              <w:ind w:left="0" w:right="-50"/>
              <w:jc w:val="right"/>
              <w:rPr>
                <w:sz w:val="17"/>
              </w:rPr>
            </w:pPr>
          </w:p>
        </w:tc>
        <w:tc>
          <w:tcPr>
            <w:tcW w:w="801"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174 230</w:t>
            </w:r>
          </w:p>
        </w:tc>
        <w:tc>
          <w:tcPr>
            <w:tcW w:w="774"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156 080</w:t>
            </w:r>
          </w:p>
        </w:tc>
        <w:tc>
          <w:tcPr>
            <w:tcW w:w="702"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18 150</w:t>
            </w:r>
          </w:p>
        </w:tc>
      </w:tr>
    </w:tbl>
    <w:p w:rsidR="00000000" w:rsidRDefault="00000000">
      <w:pPr>
        <w:pStyle w:val="D12r"/>
      </w:pPr>
    </w:p>
    <w:p w:rsidR="00000000" w:rsidRDefault="00000000">
      <w:pPr>
        <w:pStyle w:val="D12r"/>
      </w:pPr>
    </w:p>
    <w:p w:rsidR="00000000" w:rsidRDefault="00000000">
      <w:pPr>
        <w:pStyle w:val="D12r"/>
      </w:pPr>
    </w:p>
    <w:p w:rsidR="00000000" w:rsidRDefault="00000000">
      <w:pPr>
        <w:pStyle w:val="D12r"/>
      </w:pPr>
    </w:p>
    <w:p w:rsidR="00000000" w:rsidRDefault="00000000">
      <w:pPr>
        <w:pStyle w:val="DualTxt"/>
        <w:keepNext/>
        <w:keepLines/>
        <w:tabs>
          <w:tab w:val="clear" w:pos="480"/>
          <w:tab w:val="clear" w:pos="960"/>
          <w:tab w:val="clear" w:pos="2880"/>
          <w:tab w:val="clear" w:pos="3355"/>
          <w:tab w:val="left" w:pos="475"/>
          <w:tab w:val="left" w:pos="965"/>
          <w:tab w:val="left" w:pos="1440"/>
          <w:tab w:val="left" w:pos="1915"/>
          <w:tab w:val="left" w:pos="2405"/>
        </w:tabs>
        <w:spacing w:after="0"/>
      </w:pPr>
      <w:r>
        <w:tab/>
        <w:t>Table 11</w:t>
      </w:r>
    </w:p>
    <w:p w:rsidR="00000000" w:rsidRDefault="00000000">
      <w:pPr>
        <w:pStyle w:val="Heading1"/>
        <w:keepLines/>
        <w:spacing w:after="120"/>
      </w:pPr>
      <w:r>
        <w:tab/>
        <w:t>State schools providing a general education</w:t>
      </w:r>
    </w:p>
    <w:p w:rsidR="00000000" w:rsidRDefault="00000000">
      <w:pPr>
        <w:pStyle w:val="D12r"/>
        <w:rPr>
          <w:lang w:val="en-US"/>
        </w:rPr>
      </w:pPr>
    </w:p>
    <w:tbl>
      <w:tblPr>
        <w:tblW w:w="0" w:type="auto"/>
        <w:tblInd w:w="479" w:type="dxa"/>
        <w:tblLayout w:type="fixed"/>
        <w:tblLook w:val="0000" w:firstRow="0" w:lastRow="0" w:firstColumn="0" w:lastColumn="0" w:noHBand="0" w:noVBand="0"/>
      </w:tblPr>
      <w:tblGrid>
        <w:gridCol w:w="5373"/>
        <w:gridCol w:w="1008"/>
        <w:gridCol w:w="1062"/>
        <w:gridCol w:w="1017"/>
        <w:gridCol w:w="909"/>
      </w:tblGrid>
      <w:tr w:rsidR="00000000">
        <w:tblPrEx>
          <w:tblCellMar>
            <w:top w:w="0" w:type="dxa"/>
            <w:bottom w:w="0" w:type="dxa"/>
          </w:tblCellMar>
        </w:tblPrEx>
        <w:tc>
          <w:tcPr>
            <w:tcW w:w="5373"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rPr>
                <w:i/>
                <w:sz w:val="14"/>
              </w:rPr>
            </w:pPr>
          </w:p>
        </w:tc>
        <w:tc>
          <w:tcPr>
            <w:tcW w:w="1008"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i/>
                <w:sz w:val="14"/>
              </w:rPr>
            </w:pPr>
            <w:r>
              <w:rPr>
                <w:i/>
                <w:sz w:val="14"/>
              </w:rPr>
              <w:t>1994/95</w:t>
            </w:r>
          </w:p>
        </w:tc>
        <w:tc>
          <w:tcPr>
            <w:tcW w:w="1062"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i/>
                <w:sz w:val="14"/>
              </w:rPr>
            </w:pPr>
            <w:r>
              <w:rPr>
                <w:i/>
                <w:sz w:val="14"/>
              </w:rPr>
              <w:t>1995/96</w:t>
            </w:r>
          </w:p>
        </w:tc>
        <w:tc>
          <w:tcPr>
            <w:tcW w:w="1017"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i/>
                <w:sz w:val="14"/>
              </w:rPr>
            </w:pPr>
            <w:r>
              <w:rPr>
                <w:i/>
                <w:sz w:val="14"/>
              </w:rPr>
              <w:t>1996/97</w:t>
            </w:r>
          </w:p>
        </w:tc>
        <w:tc>
          <w:tcPr>
            <w:tcW w:w="909"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i/>
                <w:sz w:val="14"/>
              </w:rPr>
            </w:pPr>
            <w:r>
              <w:rPr>
                <w:i/>
                <w:sz w:val="14"/>
              </w:rPr>
              <w:t>1997/98</w:t>
            </w:r>
          </w:p>
        </w:tc>
      </w:tr>
      <w:tr w:rsidR="00000000">
        <w:tblPrEx>
          <w:tblCellMar>
            <w:top w:w="0" w:type="dxa"/>
            <w:bottom w:w="0" w:type="dxa"/>
          </w:tblCellMar>
        </w:tblPrEx>
        <w:tc>
          <w:tcPr>
            <w:tcW w:w="5373" w:type="dxa"/>
            <w:tcBorders>
              <w:top w:val="single" w:sz="12" w:space="0" w:color="auto"/>
            </w:tcBorders>
          </w:tcPr>
          <w:p w:rsidR="00000000" w:rsidRDefault="00000000">
            <w:pPr>
              <w:tabs>
                <w:tab w:val="left" w:pos="475"/>
                <w:tab w:val="left" w:pos="965"/>
                <w:tab w:val="left" w:pos="1440"/>
                <w:tab w:val="left" w:pos="1915"/>
                <w:tab w:val="left" w:pos="2405"/>
              </w:tabs>
              <w:spacing w:after="120"/>
              <w:rPr>
                <w:sz w:val="17"/>
              </w:rPr>
            </w:pPr>
            <w:r>
              <w:rPr>
                <w:sz w:val="17"/>
              </w:rPr>
              <w:t>Number of State schools providing a general education</w:t>
            </w:r>
          </w:p>
        </w:tc>
        <w:tc>
          <w:tcPr>
            <w:tcW w:w="1008"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8 841</w:t>
            </w:r>
          </w:p>
        </w:tc>
        <w:tc>
          <w:tcPr>
            <w:tcW w:w="1062"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8 801</w:t>
            </w:r>
          </w:p>
        </w:tc>
        <w:tc>
          <w:tcPr>
            <w:tcW w:w="1017"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8 619</w:t>
            </w:r>
          </w:p>
        </w:tc>
        <w:tc>
          <w:tcPr>
            <w:tcW w:w="909"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8 134</w:t>
            </w:r>
          </w:p>
        </w:tc>
      </w:tr>
      <w:tr w:rsidR="00000000">
        <w:tblPrEx>
          <w:tblCellMar>
            <w:top w:w="0" w:type="dxa"/>
            <w:bottom w:w="0" w:type="dxa"/>
          </w:tblCellMar>
        </w:tblPrEx>
        <w:tc>
          <w:tcPr>
            <w:tcW w:w="5373" w:type="dxa"/>
            <w:tcBorders>
              <w:bottom w:val="single" w:sz="12" w:space="0" w:color="auto"/>
            </w:tcBorders>
          </w:tcPr>
          <w:p w:rsidR="00000000" w:rsidRDefault="00000000">
            <w:pPr>
              <w:tabs>
                <w:tab w:val="left" w:pos="475"/>
                <w:tab w:val="left" w:pos="965"/>
                <w:tab w:val="left" w:pos="1440"/>
                <w:tab w:val="left" w:pos="1915"/>
                <w:tab w:val="left" w:pos="2405"/>
              </w:tabs>
              <w:spacing w:after="120"/>
              <w:rPr>
                <w:sz w:val="17"/>
              </w:rPr>
            </w:pPr>
            <w:r>
              <w:rPr>
                <w:sz w:val="17"/>
              </w:rPr>
              <w:t>Number of pupils (in thousands)</w:t>
            </w:r>
          </w:p>
        </w:tc>
        <w:tc>
          <w:tcPr>
            <w:tcW w:w="1008" w:type="dxa"/>
            <w:tcBorders>
              <w:bottom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3 111.9</w:t>
            </w:r>
          </w:p>
        </w:tc>
        <w:tc>
          <w:tcPr>
            <w:tcW w:w="1062" w:type="dxa"/>
            <w:tcBorders>
              <w:bottom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3 088.5</w:t>
            </w:r>
          </w:p>
        </w:tc>
        <w:tc>
          <w:tcPr>
            <w:tcW w:w="1017" w:type="dxa"/>
            <w:tcBorders>
              <w:bottom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3 122.5</w:t>
            </w:r>
          </w:p>
        </w:tc>
        <w:tc>
          <w:tcPr>
            <w:tcW w:w="909" w:type="dxa"/>
            <w:tcBorders>
              <w:bottom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3 107.6</w:t>
            </w:r>
          </w:p>
        </w:tc>
      </w:tr>
    </w:tbl>
    <w:p w:rsidR="00000000" w:rsidRDefault="00000000">
      <w:pPr>
        <w:pStyle w:val="D12r"/>
      </w:pPr>
    </w:p>
    <w:p w:rsidR="00000000" w:rsidRDefault="00000000">
      <w:pPr>
        <w:pStyle w:val="D12r"/>
      </w:pPr>
    </w:p>
    <w:p w:rsidR="00000000" w:rsidRDefault="00000000">
      <w:pPr>
        <w:pStyle w:val="D12r"/>
      </w:pPr>
    </w:p>
    <w:p w:rsidR="00000000" w:rsidRDefault="00000000">
      <w:pPr>
        <w:pStyle w:val="D12r"/>
      </w:pPr>
    </w:p>
    <w:p w:rsidR="00000000" w:rsidRDefault="00000000">
      <w:pPr>
        <w:pStyle w:val="SingleTxt"/>
        <w:tabs>
          <w:tab w:val="clear" w:pos="1267"/>
          <w:tab w:val="left" w:pos="486"/>
        </w:tabs>
        <w:ind w:left="486" w:right="-50"/>
        <w:jc w:val="left"/>
        <w:rPr>
          <w:b/>
        </w:rPr>
      </w:pPr>
      <w:r>
        <w:t>Table 12</w:t>
      </w:r>
      <w:r>
        <w:rPr>
          <w:b/>
        </w:rPr>
        <w:br/>
        <w:t>Urban and rural population</w:t>
      </w:r>
    </w:p>
    <w:p w:rsidR="00000000" w:rsidRDefault="00000000">
      <w:pPr>
        <w:pStyle w:val="D12r"/>
      </w:pPr>
    </w:p>
    <w:tbl>
      <w:tblPr>
        <w:tblW w:w="0" w:type="auto"/>
        <w:tblInd w:w="479" w:type="dxa"/>
        <w:tblLayout w:type="fixed"/>
        <w:tblLook w:val="0000" w:firstRow="0" w:lastRow="0" w:firstColumn="0" w:lastColumn="0" w:noHBand="0" w:noVBand="0"/>
      </w:tblPr>
      <w:tblGrid>
        <w:gridCol w:w="1593"/>
        <w:gridCol w:w="1530"/>
        <w:gridCol w:w="1530"/>
        <w:gridCol w:w="1530"/>
        <w:gridCol w:w="270"/>
        <w:gridCol w:w="1440"/>
        <w:gridCol w:w="1449"/>
      </w:tblGrid>
      <w:tr w:rsidR="00000000">
        <w:tblPrEx>
          <w:tblCellMar>
            <w:top w:w="0" w:type="dxa"/>
            <w:bottom w:w="0" w:type="dxa"/>
          </w:tblCellMar>
        </w:tblPrEx>
        <w:trPr>
          <w:cantSplit/>
        </w:trPr>
        <w:tc>
          <w:tcPr>
            <w:tcW w:w="9342" w:type="dxa"/>
            <w:gridSpan w:val="7"/>
            <w:tcBorders>
              <w:top w:val="single" w:sz="4" w:space="0" w:color="auto"/>
              <w:bottom w:val="single" w:sz="4" w:space="0" w:color="auto"/>
            </w:tcBorders>
          </w:tcPr>
          <w:p w:rsidR="00000000" w:rsidRDefault="00000000">
            <w:pPr>
              <w:pStyle w:val="SingleTxt"/>
              <w:tabs>
                <w:tab w:val="clear" w:pos="1267"/>
                <w:tab w:val="left" w:pos="1170"/>
              </w:tabs>
              <w:spacing w:after="0"/>
              <w:ind w:left="0" w:right="-43"/>
              <w:jc w:val="center"/>
              <w:rPr>
                <w:i/>
                <w:sz w:val="14"/>
              </w:rPr>
            </w:pPr>
            <w:r>
              <w:rPr>
                <w:i/>
                <w:sz w:val="14"/>
              </w:rPr>
              <w:t>Number of people at the beginning of each year (in thousands)</w:t>
            </w:r>
          </w:p>
        </w:tc>
      </w:tr>
      <w:tr w:rsidR="00000000">
        <w:tblPrEx>
          <w:tblCellMar>
            <w:top w:w="0" w:type="dxa"/>
            <w:bottom w:w="0" w:type="dxa"/>
          </w:tblCellMar>
        </w:tblPrEx>
        <w:trPr>
          <w:cantSplit/>
        </w:trPr>
        <w:tc>
          <w:tcPr>
            <w:tcW w:w="1593" w:type="dxa"/>
            <w:tcBorders>
              <w:top w:val="single" w:sz="4" w:space="0" w:color="auto"/>
            </w:tcBorders>
          </w:tcPr>
          <w:p w:rsidR="00000000" w:rsidRDefault="00000000">
            <w:pPr>
              <w:pStyle w:val="SingleTxt"/>
              <w:tabs>
                <w:tab w:val="clear" w:pos="1267"/>
                <w:tab w:val="left" w:pos="1170"/>
              </w:tabs>
              <w:spacing w:after="0"/>
              <w:ind w:left="0" w:right="-43"/>
              <w:jc w:val="left"/>
              <w:rPr>
                <w:i/>
                <w:sz w:val="14"/>
              </w:rPr>
            </w:pPr>
          </w:p>
        </w:tc>
        <w:tc>
          <w:tcPr>
            <w:tcW w:w="1530" w:type="dxa"/>
            <w:tcBorders>
              <w:top w:val="single" w:sz="4" w:space="0" w:color="auto"/>
            </w:tcBorders>
          </w:tcPr>
          <w:p w:rsidR="00000000" w:rsidRDefault="00000000">
            <w:pPr>
              <w:pStyle w:val="SingleTxt"/>
              <w:tabs>
                <w:tab w:val="clear" w:pos="1267"/>
                <w:tab w:val="left" w:pos="1170"/>
              </w:tabs>
              <w:spacing w:after="0"/>
              <w:ind w:left="0" w:right="-43"/>
              <w:jc w:val="right"/>
              <w:rPr>
                <w:i/>
                <w:sz w:val="14"/>
              </w:rPr>
            </w:pPr>
            <w:r>
              <w:rPr>
                <w:i/>
                <w:sz w:val="14"/>
              </w:rPr>
              <w:t>Total population</w:t>
            </w:r>
          </w:p>
        </w:tc>
        <w:tc>
          <w:tcPr>
            <w:tcW w:w="3060" w:type="dxa"/>
            <w:gridSpan w:val="2"/>
            <w:tcBorders>
              <w:top w:val="single" w:sz="4" w:space="0" w:color="auto"/>
              <w:bottom w:val="single" w:sz="4" w:space="0" w:color="auto"/>
            </w:tcBorders>
          </w:tcPr>
          <w:p w:rsidR="00000000" w:rsidRDefault="00000000">
            <w:pPr>
              <w:pStyle w:val="SingleTxt"/>
              <w:tabs>
                <w:tab w:val="clear" w:pos="1267"/>
                <w:tab w:val="left" w:pos="1170"/>
              </w:tabs>
              <w:spacing w:after="0"/>
              <w:ind w:left="0" w:right="-43"/>
              <w:jc w:val="center"/>
              <w:rPr>
                <w:i/>
                <w:sz w:val="14"/>
              </w:rPr>
            </w:pPr>
            <w:r>
              <w:rPr>
                <w:i/>
                <w:sz w:val="14"/>
              </w:rPr>
              <w:t>Of which</w:t>
            </w:r>
          </w:p>
        </w:tc>
        <w:tc>
          <w:tcPr>
            <w:tcW w:w="270" w:type="dxa"/>
            <w:tcBorders>
              <w:top w:val="single" w:sz="4" w:space="0" w:color="auto"/>
            </w:tcBorders>
          </w:tcPr>
          <w:p w:rsidR="00000000" w:rsidRDefault="00000000">
            <w:pPr>
              <w:pStyle w:val="SingleTxt"/>
              <w:tabs>
                <w:tab w:val="clear" w:pos="1267"/>
                <w:tab w:val="left" w:pos="1170"/>
              </w:tabs>
              <w:spacing w:after="0"/>
              <w:ind w:left="0" w:right="-43"/>
              <w:jc w:val="right"/>
              <w:rPr>
                <w:i/>
                <w:sz w:val="14"/>
              </w:rPr>
            </w:pPr>
          </w:p>
        </w:tc>
        <w:tc>
          <w:tcPr>
            <w:tcW w:w="2889" w:type="dxa"/>
            <w:gridSpan w:val="2"/>
            <w:tcBorders>
              <w:top w:val="single" w:sz="4" w:space="0" w:color="auto"/>
              <w:bottom w:val="single" w:sz="4" w:space="0" w:color="auto"/>
            </w:tcBorders>
          </w:tcPr>
          <w:p w:rsidR="00000000" w:rsidRDefault="00000000">
            <w:pPr>
              <w:pStyle w:val="SingleTxt"/>
              <w:tabs>
                <w:tab w:val="clear" w:pos="1267"/>
                <w:tab w:val="left" w:pos="1170"/>
              </w:tabs>
              <w:spacing w:after="0"/>
              <w:ind w:left="0" w:right="-43"/>
              <w:jc w:val="center"/>
              <w:rPr>
                <w:i/>
                <w:sz w:val="14"/>
              </w:rPr>
            </w:pPr>
            <w:r>
              <w:rPr>
                <w:i/>
                <w:sz w:val="14"/>
              </w:rPr>
              <w:t>Share (%) of total population</w:t>
            </w:r>
          </w:p>
        </w:tc>
      </w:tr>
      <w:tr w:rsidR="00000000">
        <w:tblPrEx>
          <w:tblCellMar>
            <w:top w:w="0" w:type="dxa"/>
            <w:bottom w:w="0" w:type="dxa"/>
          </w:tblCellMar>
        </w:tblPrEx>
        <w:tc>
          <w:tcPr>
            <w:tcW w:w="1593" w:type="dxa"/>
            <w:tcBorders>
              <w:bottom w:val="single" w:sz="12" w:space="0" w:color="auto"/>
            </w:tcBorders>
          </w:tcPr>
          <w:p w:rsidR="00000000" w:rsidRDefault="00000000">
            <w:pPr>
              <w:pStyle w:val="SingleTxt"/>
              <w:tabs>
                <w:tab w:val="clear" w:pos="1267"/>
                <w:tab w:val="left" w:pos="1170"/>
              </w:tabs>
              <w:spacing w:after="0"/>
              <w:ind w:left="0" w:right="-43"/>
              <w:jc w:val="left"/>
              <w:rPr>
                <w:i/>
                <w:sz w:val="14"/>
              </w:rPr>
            </w:pPr>
            <w:r>
              <w:rPr>
                <w:i/>
                <w:sz w:val="14"/>
              </w:rPr>
              <w:t>Years</w:t>
            </w:r>
          </w:p>
        </w:tc>
        <w:tc>
          <w:tcPr>
            <w:tcW w:w="1530" w:type="dxa"/>
            <w:tcBorders>
              <w:bottom w:val="single" w:sz="12" w:space="0" w:color="auto"/>
            </w:tcBorders>
          </w:tcPr>
          <w:p w:rsidR="00000000" w:rsidRDefault="00000000">
            <w:pPr>
              <w:pStyle w:val="SingleTxt"/>
              <w:tabs>
                <w:tab w:val="clear" w:pos="1267"/>
                <w:tab w:val="left" w:pos="1170"/>
              </w:tabs>
              <w:spacing w:after="0"/>
              <w:ind w:left="0" w:right="-43"/>
              <w:jc w:val="right"/>
              <w:rPr>
                <w:i/>
                <w:sz w:val="14"/>
              </w:rPr>
            </w:pPr>
          </w:p>
        </w:tc>
        <w:tc>
          <w:tcPr>
            <w:tcW w:w="1530" w:type="dxa"/>
            <w:tcBorders>
              <w:bottom w:val="single" w:sz="12" w:space="0" w:color="auto"/>
            </w:tcBorders>
          </w:tcPr>
          <w:p w:rsidR="00000000" w:rsidRDefault="00000000">
            <w:pPr>
              <w:pStyle w:val="SingleTxt"/>
              <w:tabs>
                <w:tab w:val="clear" w:pos="1267"/>
                <w:tab w:val="left" w:pos="1170"/>
              </w:tabs>
              <w:spacing w:after="0"/>
              <w:ind w:left="0" w:right="-43"/>
              <w:jc w:val="right"/>
              <w:rPr>
                <w:i/>
                <w:sz w:val="14"/>
              </w:rPr>
            </w:pPr>
            <w:r>
              <w:rPr>
                <w:i/>
                <w:sz w:val="14"/>
              </w:rPr>
              <w:t>Urban</w:t>
            </w:r>
          </w:p>
        </w:tc>
        <w:tc>
          <w:tcPr>
            <w:tcW w:w="1530" w:type="dxa"/>
            <w:tcBorders>
              <w:bottom w:val="single" w:sz="12" w:space="0" w:color="auto"/>
            </w:tcBorders>
          </w:tcPr>
          <w:p w:rsidR="00000000" w:rsidRDefault="00000000">
            <w:pPr>
              <w:pStyle w:val="SingleTxt"/>
              <w:tabs>
                <w:tab w:val="clear" w:pos="1267"/>
                <w:tab w:val="left" w:pos="1170"/>
              </w:tabs>
              <w:spacing w:after="0"/>
              <w:ind w:left="0" w:right="-43"/>
              <w:jc w:val="right"/>
              <w:rPr>
                <w:i/>
                <w:sz w:val="14"/>
              </w:rPr>
            </w:pPr>
            <w:r>
              <w:rPr>
                <w:i/>
                <w:sz w:val="14"/>
              </w:rPr>
              <w:t>Rural</w:t>
            </w:r>
          </w:p>
        </w:tc>
        <w:tc>
          <w:tcPr>
            <w:tcW w:w="270" w:type="dxa"/>
            <w:tcBorders>
              <w:bottom w:val="single" w:sz="12" w:space="0" w:color="auto"/>
            </w:tcBorders>
          </w:tcPr>
          <w:p w:rsidR="00000000" w:rsidRDefault="00000000">
            <w:pPr>
              <w:pStyle w:val="SingleTxt"/>
              <w:tabs>
                <w:tab w:val="clear" w:pos="1267"/>
                <w:tab w:val="left" w:pos="1170"/>
              </w:tabs>
              <w:spacing w:after="0"/>
              <w:ind w:left="0" w:right="-43"/>
              <w:jc w:val="right"/>
              <w:rPr>
                <w:i/>
                <w:sz w:val="14"/>
              </w:rPr>
            </w:pPr>
          </w:p>
        </w:tc>
        <w:tc>
          <w:tcPr>
            <w:tcW w:w="1440" w:type="dxa"/>
            <w:tcBorders>
              <w:bottom w:val="single" w:sz="12" w:space="0" w:color="auto"/>
            </w:tcBorders>
          </w:tcPr>
          <w:p w:rsidR="00000000" w:rsidRDefault="00000000">
            <w:pPr>
              <w:pStyle w:val="SingleTxt"/>
              <w:tabs>
                <w:tab w:val="clear" w:pos="1267"/>
                <w:tab w:val="left" w:pos="1170"/>
              </w:tabs>
              <w:spacing w:after="0"/>
              <w:ind w:left="0" w:right="-43"/>
              <w:jc w:val="right"/>
              <w:rPr>
                <w:i/>
                <w:sz w:val="14"/>
              </w:rPr>
            </w:pPr>
            <w:r>
              <w:rPr>
                <w:i/>
                <w:sz w:val="14"/>
              </w:rPr>
              <w:t>Urban</w:t>
            </w:r>
          </w:p>
        </w:tc>
        <w:tc>
          <w:tcPr>
            <w:tcW w:w="1449" w:type="dxa"/>
            <w:tcBorders>
              <w:bottom w:val="single" w:sz="12" w:space="0" w:color="auto"/>
            </w:tcBorders>
          </w:tcPr>
          <w:p w:rsidR="00000000" w:rsidRDefault="00000000">
            <w:pPr>
              <w:pStyle w:val="SingleTxt"/>
              <w:tabs>
                <w:tab w:val="clear" w:pos="1267"/>
                <w:tab w:val="left" w:pos="1170"/>
              </w:tabs>
              <w:spacing w:after="0"/>
              <w:ind w:left="0" w:right="-43"/>
              <w:jc w:val="right"/>
              <w:rPr>
                <w:i/>
                <w:sz w:val="14"/>
              </w:rPr>
            </w:pPr>
            <w:r>
              <w:rPr>
                <w:i/>
                <w:sz w:val="14"/>
              </w:rPr>
              <w:t>Rural</w:t>
            </w:r>
          </w:p>
        </w:tc>
      </w:tr>
      <w:tr w:rsidR="00000000">
        <w:tblPrEx>
          <w:tblCellMar>
            <w:top w:w="0" w:type="dxa"/>
            <w:bottom w:w="0" w:type="dxa"/>
          </w:tblCellMar>
        </w:tblPrEx>
        <w:tc>
          <w:tcPr>
            <w:tcW w:w="1593" w:type="dxa"/>
            <w:tcBorders>
              <w:top w:val="single" w:sz="12" w:space="0" w:color="auto"/>
            </w:tcBorders>
          </w:tcPr>
          <w:p w:rsidR="00000000" w:rsidRDefault="00000000">
            <w:pPr>
              <w:pStyle w:val="SingleTxt"/>
              <w:tabs>
                <w:tab w:val="clear" w:pos="1267"/>
                <w:tab w:val="left" w:pos="1170"/>
              </w:tabs>
              <w:ind w:left="0" w:right="-50"/>
              <w:jc w:val="left"/>
              <w:rPr>
                <w:sz w:val="17"/>
              </w:rPr>
            </w:pPr>
            <w:r>
              <w:rPr>
                <w:sz w:val="17"/>
              </w:rPr>
              <w:t>1970</w:t>
            </w:r>
          </w:p>
        </w:tc>
        <w:tc>
          <w:tcPr>
            <w:tcW w:w="1530"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13 000.1</w:t>
            </w:r>
          </w:p>
        </w:tc>
        <w:tc>
          <w:tcPr>
            <w:tcW w:w="1530"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6 499.1</w:t>
            </w:r>
          </w:p>
        </w:tc>
        <w:tc>
          <w:tcPr>
            <w:tcW w:w="1530"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6 501.0</w:t>
            </w:r>
          </w:p>
        </w:tc>
        <w:tc>
          <w:tcPr>
            <w:tcW w:w="270" w:type="dxa"/>
            <w:tcBorders>
              <w:top w:val="single" w:sz="12" w:space="0" w:color="auto"/>
            </w:tcBorders>
          </w:tcPr>
          <w:p w:rsidR="00000000" w:rsidRDefault="00000000">
            <w:pPr>
              <w:pStyle w:val="SingleTxt"/>
              <w:tabs>
                <w:tab w:val="clear" w:pos="1267"/>
                <w:tab w:val="left" w:pos="1170"/>
              </w:tabs>
              <w:ind w:left="0" w:right="-50"/>
              <w:jc w:val="right"/>
              <w:rPr>
                <w:sz w:val="17"/>
              </w:rPr>
            </w:pPr>
          </w:p>
        </w:tc>
        <w:tc>
          <w:tcPr>
            <w:tcW w:w="1440"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50.0</w:t>
            </w:r>
          </w:p>
        </w:tc>
        <w:tc>
          <w:tcPr>
            <w:tcW w:w="1449"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50.0</w:t>
            </w:r>
          </w:p>
        </w:tc>
      </w:tr>
      <w:tr w:rsidR="00000000">
        <w:tblPrEx>
          <w:tblCellMar>
            <w:top w:w="0" w:type="dxa"/>
            <w:bottom w:w="0" w:type="dxa"/>
          </w:tblCellMar>
        </w:tblPrEx>
        <w:tc>
          <w:tcPr>
            <w:tcW w:w="1593" w:type="dxa"/>
          </w:tcPr>
          <w:p w:rsidR="00000000" w:rsidRDefault="00000000">
            <w:pPr>
              <w:pStyle w:val="SingleTxt"/>
              <w:tabs>
                <w:tab w:val="clear" w:pos="1267"/>
                <w:tab w:val="left" w:pos="1170"/>
              </w:tabs>
              <w:ind w:left="0" w:right="-50"/>
              <w:jc w:val="left"/>
              <w:rPr>
                <w:sz w:val="17"/>
              </w:rPr>
            </w:pPr>
            <w:r>
              <w:rPr>
                <w:sz w:val="17"/>
              </w:rPr>
              <w:t>1980</w:t>
            </w:r>
          </w:p>
        </w:tc>
        <w:tc>
          <w:tcPr>
            <w:tcW w:w="1530" w:type="dxa"/>
          </w:tcPr>
          <w:p w:rsidR="00000000" w:rsidRDefault="00000000">
            <w:pPr>
              <w:pStyle w:val="SingleTxt"/>
              <w:tabs>
                <w:tab w:val="clear" w:pos="1267"/>
                <w:tab w:val="left" w:pos="1170"/>
              </w:tabs>
              <w:ind w:left="0" w:right="-50"/>
              <w:jc w:val="right"/>
              <w:rPr>
                <w:sz w:val="17"/>
              </w:rPr>
            </w:pPr>
            <w:r>
              <w:rPr>
                <w:sz w:val="17"/>
              </w:rPr>
              <w:t>14 824.3</w:t>
            </w:r>
          </w:p>
        </w:tc>
        <w:tc>
          <w:tcPr>
            <w:tcW w:w="1530" w:type="dxa"/>
          </w:tcPr>
          <w:p w:rsidR="00000000" w:rsidRDefault="00000000">
            <w:pPr>
              <w:pStyle w:val="SingleTxt"/>
              <w:tabs>
                <w:tab w:val="clear" w:pos="1267"/>
                <w:tab w:val="left" w:pos="1170"/>
              </w:tabs>
              <w:ind w:left="0" w:right="-50"/>
              <w:jc w:val="right"/>
              <w:rPr>
                <w:sz w:val="17"/>
              </w:rPr>
            </w:pPr>
            <w:r>
              <w:rPr>
                <w:sz w:val="17"/>
              </w:rPr>
              <w:t>7 968.0</w:t>
            </w:r>
          </w:p>
        </w:tc>
        <w:tc>
          <w:tcPr>
            <w:tcW w:w="1530" w:type="dxa"/>
          </w:tcPr>
          <w:p w:rsidR="00000000" w:rsidRDefault="00000000">
            <w:pPr>
              <w:pStyle w:val="SingleTxt"/>
              <w:tabs>
                <w:tab w:val="clear" w:pos="1267"/>
                <w:tab w:val="left" w:pos="1170"/>
              </w:tabs>
              <w:ind w:left="0" w:right="-50"/>
              <w:jc w:val="right"/>
              <w:rPr>
                <w:sz w:val="17"/>
              </w:rPr>
            </w:pPr>
            <w:r>
              <w:rPr>
                <w:sz w:val="17"/>
              </w:rPr>
              <w:t>6 856.3</w:t>
            </w:r>
          </w:p>
        </w:tc>
        <w:tc>
          <w:tcPr>
            <w:tcW w:w="270" w:type="dxa"/>
          </w:tcPr>
          <w:p w:rsidR="00000000" w:rsidRDefault="00000000">
            <w:pPr>
              <w:pStyle w:val="SingleTxt"/>
              <w:tabs>
                <w:tab w:val="clear" w:pos="1267"/>
                <w:tab w:val="left" w:pos="1170"/>
              </w:tabs>
              <w:ind w:left="0" w:right="-50"/>
              <w:jc w:val="right"/>
              <w:rPr>
                <w:sz w:val="17"/>
              </w:rPr>
            </w:pPr>
          </w:p>
        </w:tc>
        <w:tc>
          <w:tcPr>
            <w:tcW w:w="1440" w:type="dxa"/>
          </w:tcPr>
          <w:p w:rsidR="00000000" w:rsidRDefault="00000000">
            <w:pPr>
              <w:pStyle w:val="SingleTxt"/>
              <w:tabs>
                <w:tab w:val="clear" w:pos="1267"/>
                <w:tab w:val="left" w:pos="1170"/>
              </w:tabs>
              <w:ind w:left="0" w:right="-50"/>
              <w:jc w:val="right"/>
              <w:rPr>
                <w:sz w:val="17"/>
              </w:rPr>
            </w:pPr>
            <w:r>
              <w:rPr>
                <w:sz w:val="17"/>
              </w:rPr>
              <w:t>53.7</w:t>
            </w:r>
          </w:p>
        </w:tc>
        <w:tc>
          <w:tcPr>
            <w:tcW w:w="1449" w:type="dxa"/>
          </w:tcPr>
          <w:p w:rsidR="00000000" w:rsidRDefault="00000000">
            <w:pPr>
              <w:pStyle w:val="SingleTxt"/>
              <w:tabs>
                <w:tab w:val="clear" w:pos="1267"/>
                <w:tab w:val="left" w:pos="1170"/>
              </w:tabs>
              <w:ind w:left="0" w:right="-50"/>
              <w:jc w:val="right"/>
              <w:rPr>
                <w:sz w:val="17"/>
              </w:rPr>
            </w:pPr>
            <w:r>
              <w:rPr>
                <w:sz w:val="17"/>
              </w:rPr>
              <w:t>46.3</w:t>
            </w:r>
          </w:p>
        </w:tc>
      </w:tr>
      <w:tr w:rsidR="00000000">
        <w:tblPrEx>
          <w:tblCellMar>
            <w:top w:w="0" w:type="dxa"/>
            <w:bottom w:w="0" w:type="dxa"/>
          </w:tblCellMar>
        </w:tblPrEx>
        <w:tc>
          <w:tcPr>
            <w:tcW w:w="1593" w:type="dxa"/>
          </w:tcPr>
          <w:p w:rsidR="00000000" w:rsidRDefault="00000000">
            <w:pPr>
              <w:pStyle w:val="SingleTxt"/>
              <w:tabs>
                <w:tab w:val="clear" w:pos="1267"/>
                <w:tab w:val="left" w:pos="1170"/>
              </w:tabs>
              <w:ind w:left="0" w:right="-50"/>
              <w:jc w:val="left"/>
              <w:rPr>
                <w:sz w:val="17"/>
              </w:rPr>
            </w:pPr>
            <w:r>
              <w:rPr>
                <w:sz w:val="17"/>
              </w:rPr>
              <w:t>1985</w:t>
            </w:r>
          </w:p>
        </w:tc>
        <w:tc>
          <w:tcPr>
            <w:tcW w:w="1530" w:type="dxa"/>
          </w:tcPr>
          <w:p w:rsidR="00000000" w:rsidRDefault="00000000">
            <w:pPr>
              <w:pStyle w:val="SingleTxt"/>
              <w:tabs>
                <w:tab w:val="clear" w:pos="1267"/>
                <w:tab w:val="left" w:pos="1170"/>
              </w:tabs>
              <w:ind w:left="0" w:right="-50"/>
              <w:jc w:val="right"/>
              <w:rPr>
                <w:sz w:val="17"/>
              </w:rPr>
            </w:pPr>
            <w:r>
              <w:rPr>
                <w:sz w:val="17"/>
              </w:rPr>
              <w:t>15 695.9</w:t>
            </w:r>
          </w:p>
        </w:tc>
        <w:tc>
          <w:tcPr>
            <w:tcW w:w="1530" w:type="dxa"/>
          </w:tcPr>
          <w:p w:rsidR="00000000" w:rsidRDefault="00000000">
            <w:pPr>
              <w:pStyle w:val="SingleTxt"/>
              <w:tabs>
                <w:tab w:val="clear" w:pos="1267"/>
                <w:tab w:val="left" w:pos="1170"/>
              </w:tabs>
              <w:ind w:left="0" w:right="-50"/>
              <w:jc w:val="right"/>
              <w:rPr>
                <w:sz w:val="17"/>
              </w:rPr>
            </w:pPr>
            <w:r>
              <w:rPr>
                <w:sz w:val="17"/>
              </w:rPr>
              <w:t>8 756.7</w:t>
            </w:r>
          </w:p>
        </w:tc>
        <w:tc>
          <w:tcPr>
            <w:tcW w:w="1530" w:type="dxa"/>
          </w:tcPr>
          <w:p w:rsidR="00000000" w:rsidRDefault="00000000">
            <w:pPr>
              <w:pStyle w:val="SingleTxt"/>
              <w:tabs>
                <w:tab w:val="clear" w:pos="1267"/>
                <w:tab w:val="left" w:pos="1170"/>
              </w:tabs>
              <w:ind w:left="0" w:right="-50"/>
              <w:jc w:val="right"/>
              <w:rPr>
                <w:sz w:val="17"/>
              </w:rPr>
            </w:pPr>
            <w:r>
              <w:rPr>
                <w:sz w:val="17"/>
              </w:rPr>
              <w:t>6 939.2</w:t>
            </w:r>
          </w:p>
        </w:tc>
        <w:tc>
          <w:tcPr>
            <w:tcW w:w="270" w:type="dxa"/>
          </w:tcPr>
          <w:p w:rsidR="00000000" w:rsidRDefault="00000000">
            <w:pPr>
              <w:pStyle w:val="SingleTxt"/>
              <w:tabs>
                <w:tab w:val="clear" w:pos="1267"/>
                <w:tab w:val="left" w:pos="1170"/>
              </w:tabs>
              <w:ind w:left="0" w:right="-50"/>
              <w:jc w:val="right"/>
              <w:rPr>
                <w:sz w:val="17"/>
              </w:rPr>
            </w:pPr>
          </w:p>
        </w:tc>
        <w:tc>
          <w:tcPr>
            <w:tcW w:w="1440" w:type="dxa"/>
          </w:tcPr>
          <w:p w:rsidR="00000000" w:rsidRDefault="00000000">
            <w:pPr>
              <w:pStyle w:val="SingleTxt"/>
              <w:tabs>
                <w:tab w:val="clear" w:pos="1267"/>
                <w:tab w:val="left" w:pos="1170"/>
              </w:tabs>
              <w:ind w:left="0" w:right="-50"/>
              <w:jc w:val="right"/>
              <w:rPr>
                <w:sz w:val="17"/>
              </w:rPr>
            </w:pPr>
            <w:r>
              <w:rPr>
                <w:sz w:val="17"/>
              </w:rPr>
              <w:t>55.8</w:t>
            </w:r>
          </w:p>
        </w:tc>
        <w:tc>
          <w:tcPr>
            <w:tcW w:w="1449" w:type="dxa"/>
          </w:tcPr>
          <w:p w:rsidR="00000000" w:rsidRDefault="00000000">
            <w:pPr>
              <w:pStyle w:val="SingleTxt"/>
              <w:tabs>
                <w:tab w:val="clear" w:pos="1267"/>
                <w:tab w:val="left" w:pos="1170"/>
              </w:tabs>
              <w:ind w:left="0" w:right="-50"/>
              <w:jc w:val="right"/>
              <w:rPr>
                <w:sz w:val="17"/>
              </w:rPr>
            </w:pPr>
            <w:r>
              <w:rPr>
                <w:sz w:val="17"/>
              </w:rPr>
              <w:t>44.2</w:t>
            </w:r>
          </w:p>
        </w:tc>
      </w:tr>
      <w:tr w:rsidR="00000000">
        <w:tblPrEx>
          <w:tblCellMar>
            <w:top w:w="0" w:type="dxa"/>
            <w:bottom w:w="0" w:type="dxa"/>
          </w:tblCellMar>
        </w:tblPrEx>
        <w:tc>
          <w:tcPr>
            <w:tcW w:w="1593" w:type="dxa"/>
          </w:tcPr>
          <w:p w:rsidR="00000000" w:rsidRDefault="00000000">
            <w:pPr>
              <w:pStyle w:val="SingleTxt"/>
              <w:tabs>
                <w:tab w:val="clear" w:pos="1267"/>
                <w:tab w:val="left" w:pos="1170"/>
              </w:tabs>
              <w:ind w:left="0" w:right="-50"/>
              <w:jc w:val="left"/>
              <w:rPr>
                <w:sz w:val="17"/>
              </w:rPr>
            </w:pPr>
            <w:r>
              <w:rPr>
                <w:sz w:val="17"/>
              </w:rPr>
              <w:t>1990</w:t>
            </w:r>
          </w:p>
        </w:tc>
        <w:tc>
          <w:tcPr>
            <w:tcW w:w="1530" w:type="dxa"/>
          </w:tcPr>
          <w:p w:rsidR="00000000" w:rsidRDefault="00000000">
            <w:pPr>
              <w:pStyle w:val="SingleTxt"/>
              <w:tabs>
                <w:tab w:val="clear" w:pos="1267"/>
                <w:tab w:val="left" w:pos="1170"/>
              </w:tabs>
              <w:ind w:left="0" w:right="-50"/>
              <w:jc w:val="right"/>
              <w:rPr>
                <w:sz w:val="17"/>
              </w:rPr>
            </w:pPr>
            <w:r>
              <w:rPr>
                <w:sz w:val="17"/>
              </w:rPr>
              <w:t>16 298.0</w:t>
            </w:r>
          </w:p>
        </w:tc>
        <w:tc>
          <w:tcPr>
            <w:tcW w:w="1530" w:type="dxa"/>
          </w:tcPr>
          <w:p w:rsidR="00000000" w:rsidRDefault="00000000">
            <w:pPr>
              <w:pStyle w:val="SingleTxt"/>
              <w:tabs>
                <w:tab w:val="clear" w:pos="1267"/>
                <w:tab w:val="left" w:pos="1170"/>
              </w:tabs>
              <w:ind w:left="0" w:right="-50"/>
              <w:jc w:val="right"/>
              <w:rPr>
                <w:sz w:val="17"/>
              </w:rPr>
            </w:pPr>
            <w:r>
              <w:rPr>
                <w:sz w:val="17"/>
              </w:rPr>
              <w:t>9 300.8</w:t>
            </w:r>
          </w:p>
        </w:tc>
        <w:tc>
          <w:tcPr>
            <w:tcW w:w="1530" w:type="dxa"/>
          </w:tcPr>
          <w:p w:rsidR="00000000" w:rsidRDefault="00000000">
            <w:pPr>
              <w:pStyle w:val="SingleTxt"/>
              <w:tabs>
                <w:tab w:val="clear" w:pos="1267"/>
                <w:tab w:val="left" w:pos="1170"/>
              </w:tabs>
              <w:ind w:left="0" w:right="-50"/>
              <w:jc w:val="right"/>
              <w:rPr>
                <w:sz w:val="17"/>
              </w:rPr>
            </w:pPr>
            <w:r>
              <w:rPr>
                <w:sz w:val="17"/>
              </w:rPr>
              <w:t>6 997.2</w:t>
            </w:r>
          </w:p>
        </w:tc>
        <w:tc>
          <w:tcPr>
            <w:tcW w:w="270" w:type="dxa"/>
          </w:tcPr>
          <w:p w:rsidR="00000000" w:rsidRDefault="00000000">
            <w:pPr>
              <w:pStyle w:val="SingleTxt"/>
              <w:tabs>
                <w:tab w:val="clear" w:pos="1267"/>
                <w:tab w:val="left" w:pos="1170"/>
              </w:tabs>
              <w:ind w:left="0" w:right="-50"/>
              <w:jc w:val="right"/>
              <w:rPr>
                <w:sz w:val="17"/>
              </w:rPr>
            </w:pPr>
          </w:p>
        </w:tc>
        <w:tc>
          <w:tcPr>
            <w:tcW w:w="1440" w:type="dxa"/>
          </w:tcPr>
          <w:p w:rsidR="00000000" w:rsidRDefault="00000000">
            <w:pPr>
              <w:pStyle w:val="SingleTxt"/>
              <w:tabs>
                <w:tab w:val="clear" w:pos="1267"/>
                <w:tab w:val="left" w:pos="1170"/>
              </w:tabs>
              <w:ind w:left="0" w:right="-50"/>
              <w:jc w:val="right"/>
              <w:rPr>
                <w:sz w:val="17"/>
              </w:rPr>
            </w:pPr>
            <w:r>
              <w:rPr>
                <w:sz w:val="17"/>
              </w:rPr>
              <w:t>57.1</w:t>
            </w:r>
          </w:p>
        </w:tc>
        <w:tc>
          <w:tcPr>
            <w:tcW w:w="1449" w:type="dxa"/>
          </w:tcPr>
          <w:p w:rsidR="00000000" w:rsidRDefault="00000000">
            <w:pPr>
              <w:pStyle w:val="SingleTxt"/>
              <w:tabs>
                <w:tab w:val="clear" w:pos="1267"/>
                <w:tab w:val="left" w:pos="1170"/>
              </w:tabs>
              <w:ind w:left="0" w:right="-50"/>
              <w:jc w:val="right"/>
              <w:rPr>
                <w:sz w:val="17"/>
              </w:rPr>
            </w:pPr>
            <w:r>
              <w:rPr>
                <w:sz w:val="17"/>
              </w:rPr>
              <w:t>42.9</w:t>
            </w:r>
          </w:p>
        </w:tc>
      </w:tr>
      <w:tr w:rsidR="00000000">
        <w:tblPrEx>
          <w:tblCellMar>
            <w:top w:w="0" w:type="dxa"/>
            <w:bottom w:w="0" w:type="dxa"/>
          </w:tblCellMar>
        </w:tblPrEx>
        <w:tc>
          <w:tcPr>
            <w:tcW w:w="1593" w:type="dxa"/>
          </w:tcPr>
          <w:p w:rsidR="00000000" w:rsidRDefault="00000000">
            <w:pPr>
              <w:pStyle w:val="SingleTxt"/>
              <w:tabs>
                <w:tab w:val="clear" w:pos="1267"/>
                <w:tab w:val="left" w:pos="1170"/>
              </w:tabs>
              <w:ind w:left="0" w:right="-50"/>
              <w:jc w:val="left"/>
              <w:rPr>
                <w:sz w:val="17"/>
              </w:rPr>
            </w:pPr>
            <w:r>
              <w:rPr>
                <w:sz w:val="17"/>
              </w:rPr>
              <w:t>1991</w:t>
            </w:r>
          </w:p>
        </w:tc>
        <w:tc>
          <w:tcPr>
            <w:tcW w:w="1530" w:type="dxa"/>
          </w:tcPr>
          <w:p w:rsidR="00000000" w:rsidRDefault="00000000">
            <w:pPr>
              <w:pStyle w:val="SingleTxt"/>
              <w:tabs>
                <w:tab w:val="clear" w:pos="1267"/>
                <w:tab w:val="left" w:pos="1170"/>
              </w:tabs>
              <w:ind w:left="0" w:right="-50"/>
              <w:jc w:val="right"/>
              <w:rPr>
                <w:sz w:val="17"/>
              </w:rPr>
            </w:pPr>
            <w:r>
              <w:rPr>
                <w:sz w:val="17"/>
              </w:rPr>
              <w:t>16 358.2</w:t>
            </w:r>
          </w:p>
        </w:tc>
        <w:tc>
          <w:tcPr>
            <w:tcW w:w="1530" w:type="dxa"/>
          </w:tcPr>
          <w:p w:rsidR="00000000" w:rsidRDefault="00000000">
            <w:pPr>
              <w:pStyle w:val="SingleTxt"/>
              <w:tabs>
                <w:tab w:val="clear" w:pos="1267"/>
                <w:tab w:val="left" w:pos="1170"/>
              </w:tabs>
              <w:ind w:left="0" w:right="-50"/>
              <w:jc w:val="right"/>
              <w:rPr>
                <w:sz w:val="17"/>
              </w:rPr>
            </w:pPr>
            <w:r>
              <w:rPr>
                <w:sz w:val="17"/>
              </w:rPr>
              <w:t>9 366.9</w:t>
            </w:r>
          </w:p>
        </w:tc>
        <w:tc>
          <w:tcPr>
            <w:tcW w:w="1530" w:type="dxa"/>
          </w:tcPr>
          <w:p w:rsidR="00000000" w:rsidRDefault="00000000">
            <w:pPr>
              <w:pStyle w:val="SingleTxt"/>
              <w:tabs>
                <w:tab w:val="clear" w:pos="1267"/>
                <w:tab w:val="left" w:pos="1170"/>
              </w:tabs>
              <w:ind w:left="0" w:right="-50"/>
              <w:jc w:val="right"/>
              <w:rPr>
                <w:sz w:val="17"/>
              </w:rPr>
            </w:pPr>
            <w:r>
              <w:rPr>
                <w:sz w:val="17"/>
              </w:rPr>
              <w:t>6 991.3</w:t>
            </w:r>
          </w:p>
        </w:tc>
        <w:tc>
          <w:tcPr>
            <w:tcW w:w="270" w:type="dxa"/>
          </w:tcPr>
          <w:p w:rsidR="00000000" w:rsidRDefault="00000000">
            <w:pPr>
              <w:pStyle w:val="SingleTxt"/>
              <w:tabs>
                <w:tab w:val="clear" w:pos="1267"/>
                <w:tab w:val="left" w:pos="1170"/>
              </w:tabs>
              <w:ind w:left="0" w:right="-50"/>
              <w:jc w:val="right"/>
              <w:rPr>
                <w:sz w:val="17"/>
              </w:rPr>
            </w:pPr>
          </w:p>
        </w:tc>
        <w:tc>
          <w:tcPr>
            <w:tcW w:w="1440" w:type="dxa"/>
          </w:tcPr>
          <w:p w:rsidR="00000000" w:rsidRDefault="00000000">
            <w:pPr>
              <w:pStyle w:val="SingleTxt"/>
              <w:tabs>
                <w:tab w:val="clear" w:pos="1267"/>
                <w:tab w:val="left" w:pos="1170"/>
              </w:tabs>
              <w:ind w:left="0" w:right="-50"/>
              <w:jc w:val="right"/>
              <w:rPr>
                <w:sz w:val="17"/>
              </w:rPr>
            </w:pPr>
            <w:r>
              <w:rPr>
                <w:sz w:val="17"/>
              </w:rPr>
              <w:t>57.3</w:t>
            </w:r>
          </w:p>
        </w:tc>
        <w:tc>
          <w:tcPr>
            <w:tcW w:w="1449" w:type="dxa"/>
          </w:tcPr>
          <w:p w:rsidR="00000000" w:rsidRDefault="00000000">
            <w:pPr>
              <w:pStyle w:val="SingleTxt"/>
              <w:tabs>
                <w:tab w:val="clear" w:pos="1267"/>
                <w:tab w:val="left" w:pos="1170"/>
              </w:tabs>
              <w:ind w:left="0" w:right="-50"/>
              <w:jc w:val="right"/>
              <w:rPr>
                <w:sz w:val="17"/>
              </w:rPr>
            </w:pPr>
            <w:r>
              <w:rPr>
                <w:sz w:val="17"/>
              </w:rPr>
              <w:t>42.7</w:t>
            </w:r>
          </w:p>
        </w:tc>
      </w:tr>
      <w:tr w:rsidR="00000000">
        <w:tblPrEx>
          <w:tblCellMar>
            <w:top w:w="0" w:type="dxa"/>
            <w:bottom w:w="0" w:type="dxa"/>
          </w:tblCellMar>
        </w:tblPrEx>
        <w:tc>
          <w:tcPr>
            <w:tcW w:w="1593" w:type="dxa"/>
          </w:tcPr>
          <w:p w:rsidR="00000000" w:rsidRDefault="00000000">
            <w:pPr>
              <w:pStyle w:val="SingleTxt"/>
              <w:tabs>
                <w:tab w:val="clear" w:pos="1267"/>
                <w:tab w:val="left" w:pos="1170"/>
              </w:tabs>
              <w:ind w:left="0" w:right="-50"/>
              <w:jc w:val="left"/>
              <w:rPr>
                <w:sz w:val="17"/>
              </w:rPr>
            </w:pPr>
            <w:r>
              <w:rPr>
                <w:sz w:val="17"/>
              </w:rPr>
              <w:t>1992</w:t>
            </w:r>
          </w:p>
        </w:tc>
        <w:tc>
          <w:tcPr>
            <w:tcW w:w="1530" w:type="dxa"/>
          </w:tcPr>
          <w:p w:rsidR="00000000" w:rsidRDefault="00000000">
            <w:pPr>
              <w:pStyle w:val="SingleTxt"/>
              <w:tabs>
                <w:tab w:val="clear" w:pos="1267"/>
                <w:tab w:val="left" w:pos="1170"/>
              </w:tabs>
              <w:ind w:left="0" w:right="-50"/>
              <w:jc w:val="right"/>
              <w:rPr>
                <w:sz w:val="17"/>
              </w:rPr>
            </w:pPr>
            <w:r>
              <w:rPr>
                <w:sz w:val="17"/>
              </w:rPr>
              <w:t>16 451.7</w:t>
            </w:r>
          </w:p>
        </w:tc>
        <w:tc>
          <w:tcPr>
            <w:tcW w:w="1530" w:type="dxa"/>
          </w:tcPr>
          <w:p w:rsidR="00000000" w:rsidRDefault="00000000">
            <w:pPr>
              <w:pStyle w:val="SingleTxt"/>
              <w:tabs>
                <w:tab w:val="clear" w:pos="1267"/>
                <w:tab w:val="left" w:pos="1170"/>
              </w:tabs>
              <w:ind w:left="0" w:right="-50"/>
              <w:jc w:val="right"/>
              <w:rPr>
                <w:sz w:val="17"/>
              </w:rPr>
            </w:pPr>
            <w:r>
              <w:rPr>
                <w:sz w:val="17"/>
              </w:rPr>
              <w:t>9 404.0</w:t>
            </w:r>
          </w:p>
        </w:tc>
        <w:tc>
          <w:tcPr>
            <w:tcW w:w="1530" w:type="dxa"/>
          </w:tcPr>
          <w:p w:rsidR="00000000" w:rsidRDefault="00000000">
            <w:pPr>
              <w:pStyle w:val="SingleTxt"/>
              <w:tabs>
                <w:tab w:val="clear" w:pos="1267"/>
                <w:tab w:val="left" w:pos="1170"/>
              </w:tabs>
              <w:ind w:left="0" w:right="-50"/>
              <w:jc w:val="right"/>
              <w:rPr>
                <w:sz w:val="17"/>
              </w:rPr>
            </w:pPr>
            <w:r>
              <w:rPr>
                <w:sz w:val="17"/>
              </w:rPr>
              <w:t>7 047.7</w:t>
            </w:r>
          </w:p>
        </w:tc>
        <w:tc>
          <w:tcPr>
            <w:tcW w:w="270" w:type="dxa"/>
          </w:tcPr>
          <w:p w:rsidR="00000000" w:rsidRDefault="00000000">
            <w:pPr>
              <w:pStyle w:val="SingleTxt"/>
              <w:tabs>
                <w:tab w:val="clear" w:pos="1267"/>
                <w:tab w:val="left" w:pos="1170"/>
              </w:tabs>
              <w:ind w:left="0" w:right="-50"/>
              <w:jc w:val="right"/>
              <w:rPr>
                <w:sz w:val="17"/>
              </w:rPr>
            </w:pPr>
          </w:p>
        </w:tc>
        <w:tc>
          <w:tcPr>
            <w:tcW w:w="1440" w:type="dxa"/>
          </w:tcPr>
          <w:p w:rsidR="00000000" w:rsidRDefault="00000000">
            <w:pPr>
              <w:pStyle w:val="SingleTxt"/>
              <w:tabs>
                <w:tab w:val="clear" w:pos="1267"/>
                <w:tab w:val="left" w:pos="1170"/>
              </w:tabs>
              <w:ind w:left="0" w:right="-50"/>
              <w:jc w:val="right"/>
              <w:rPr>
                <w:sz w:val="17"/>
              </w:rPr>
            </w:pPr>
            <w:r>
              <w:rPr>
                <w:sz w:val="17"/>
              </w:rPr>
              <w:t>57.2</w:t>
            </w:r>
          </w:p>
        </w:tc>
        <w:tc>
          <w:tcPr>
            <w:tcW w:w="1449" w:type="dxa"/>
          </w:tcPr>
          <w:p w:rsidR="00000000" w:rsidRDefault="00000000">
            <w:pPr>
              <w:pStyle w:val="SingleTxt"/>
              <w:tabs>
                <w:tab w:val="clear" w:pos="1267"/>
                <w:tab w:val="left" w:pos="1170"/>
              </w:tabs>
              <w:ind w:left="0" w:right="-50"/>
              <w:jc w:val="right"/>
              <w:rPr>
                <w:sz w:val="17"/>
              </w:rPr>
            </w:pPr>
            <w:r>
              <w:rPr>
                <w:sz w:val="17"/>
              </w:rPr>
              <w:t>42.8</w:t>
            </w:r>
          </w:p>
        </w:tc>
      </w:tr>
      <w:tr w:rsidR="00000000">
        <w:tblPrEx>
          <w:tblCellMar>
            <w:top w:w="0" w:type="dxa"/>
            <w:bottom w:w="0" w:type="dxa"/>
          </w:tblCellMar>
        </w:tblPrEx>
        <w:tc>
          <w:tcPr>
            <w:tcW w:w="1593" w:type="dxa"/>
          </w:tcPr>
          <w:p w:rsidR="00000000" w:rsidRDefault="00000000">
            <w:pPr>
              <w:pStyle w:val="SingleTxt"/>
              <w:tabs>
                <w:tab w:val="clear" w:pos="1267"/>
                <w:tab w:val="left" w:pos="1170"/>
              </w:tabs>
              <w:ind w:left="0" w:right="-50"/>
              <w:jc w:val="left"/>
              <w:rPr>
                <w:sz w:val="17"/>
              </w:rPr>
            </w:pPr>
            <w:r>
              <w:rPr>
                <w:sz w:val="17"/>
              </w:rPr>
              <w:t>1993</w:t>
            </w:r>
          </w:p>
        </w:tc>
        <w:tc>
          <w:tcPr>
            <w:tcW w:w="1530" w:type="dxa"/>
          </w:tcPr>
          <w:p w:rsidR="00000000" w:rsidRDefault="00000000">
            <w:pPr>
              <w:pStyle w:val="SingleTxt"/>
              <w:tabs>
                <w:tab w:val="clear" w:pos="1267"/>
                <w:tab w:val="left" w:pos="1170"/>
              </w:tabs>
              <w:ind w:left="0" w:right="-50"/>
              <w:jc w:val="right"/>
              <w:rPr>
                <w:sz w:val="17"/>
              </w:rPr>
            </w:pPr>
            <w:r>
              <w:rPr>
                <w:sz w:val="17"/>
              </w:rPr>
              <w:t>16 426.5</w:t>
            </w:r>
          </w:p>
        </w:tc>
        <w:tc>
          <w:tcPr>
            <w:tcW w:w="1530" w:type="dxa"/>
          </w:tcPr>
          <w:p w:rsidR="00000000" w:rsidRDefault="00000000">
            <w:pPr>
              <w:pStyle w:val="SingleTxt"/>
              <w:tabs>
                <w:tab w:val="clear" w:pos="1267"/>
                <w:tab w:val="left" w:pos="1170"/>
              </w:tabs>
              <w:ind w:left="0" w:right="-50"/>
              <w:jc w:val="right"/>
              <w:rPr>
                <w:sz w:val="17"/>
              </w:rPr>
            </w:pPr>
            <w:r>
              <w:rPr>
                <w:sz w:val="17"/>
              </w:rPr>
              <w:t>9 343.2</w:t>
            </w:r>
          </w:p>
        </w:tc>
        <w:tc>
          <w:tcPr>
            <w:tcW w:w="1530" w:type="dxa"/>
          </w:tcPr>
          <w:p w:rsidR="00000000" w:rsidRDefault="00000000">
            <w:pPr>
              <w:pStyle w:val="SingleTxt"/>
              <w:tabs>
                <w:tab w:val="clear" w:pos="1267"/>
                <w:tab w:val="left" w:pos="1170"/>
              </w:tabs>
              <w:ind w:left="0" w:right="-50"/>
              <w:jc w:val="right"/>
              <w:rPr>
                <w:sz w:val="17"/>
              </w:rPr>
            </w:pPr>
            <w:r>
              <w:rPr>
                <w:sz w:val="17"/>
              </w:rPr>
              <w:t>7 083.3</w:t>
            </w:r>
          </w:p>
        </w:tc>
        <w:tc>
          <w:tcPr>
            <w:tcW w:w="270" w:type="dxa"/>
          </w:tcPr>
          <w:p w:rsidR="00000000" w:rsidRDefault="00000000">
            <w:pPr>
              <w:pStyle w:val="SingleTxt"/>
              <w:tabs>
                <w:tab w:val="clear" w:pos="1267"/>
                <w:tab w:val="left" w:pos="1170"/>
              </w:tabs>
              <w:ind w:left="0" w:right="-50"/>
              <w:jc w:val="right"/>
              <w:rPr>
                <w:sz w:val="17"/>
              </w:rPr>
            </w:pPr>
          </w:p>
        </w:tc>
        <w:tc>
          <w:tcPr>
            <w:tcW w:w="1440" w:type="dxa"/>
          </w:tcPr>
          <w:p w:rsidR="00000000" w:rsidRDefault="00000000">
            <w:pPr>
              <w:pStyle w:val="SingleTxt"/>
              <w:tabs>
                <w:tab w:val="clear" w:pos="1267"/>
                <w:tab w:val="left" w:pos="1170"/>
              </w:tabs>
              <w:ind w:left="0" w:right="-50"/>
              <w:jc w:val="right"/>
              <w:rPr>
                <w:sz w:val="17"/>
              </w:rPr>
            </w:pPr>
            <w:r>
              <w:rPr>
                <w:sz w:val="17"/>
              </w:rPr>
              <w:t>56.9</w:t>
            </w:r>
          </w:p>
        </w:tc>
        <w:tc>
          <w:tcPr>
            <w:tcW w:w="1449" w:type="dxa"/>
          </w:tcPr>
          <w:p w:rsidR="00000000" w:rsidRDefault="00000000">
            <w:pPr>
              <w:pStyle w:val="SingleTxt"/>
              <w:tabs>
                <w:tab w:val="clear" w:pos="1267"/>
                <w:tab w:val="left" w:pos="1170"/>
              </w:tabs>
              <w:ind w:left="0" w:right="-50"/>
              <w:jc w:val="right"/>
              <w:rPr>
                <w:sz w:val="17"/>
              </w:rPr>
            </w:pPr>
            <w:r>
              <w:rPr>
                <w:sz w:val="17"/>
              </w:rPr>
              <w:t>43.1</w:t>
            </w:r>
          </w:p>
        </w:tc>
      </w:tr>
      <w:tr w:rsidR="00000000">
        <w:tblPrEx>
          <w:tblCellMar>
            <w:top w:w="0" w:type="dxa"/>
            <w:bottom w:w="0" w:type="dxa"/>
          </w:tblCellMar>
        </w:tblPrEx>
        <w:tc>
          <w:tcPr>
            <w:tcW w:w="1593" w:type="dxa"/>
          </w:tcPr>
          <w:p w:rsidR="00000000" w:rsidRDefault="00000000">
            <w:pPr>
              <w:pStyle w:val="SingleTxt"/>
              <w:tabs>
                <w:tab w:val="clear" w:pos="1267"/>
                <w:tab w:val="left" w:pos="1170"/>
              </w:tabs>
              <w:ind w:left="0" w:right="-50"/>
              <w:jc w:val="left"/>
              <w:rPr>
                <w:sz w:val="17"/>
              </w:rPr>
            </w:pPr>
            <w:r>
              <w:rPr>
                <w:sz w:val="17"/>
              </w:rPr>
              <w:t>1994</w:t>
            </w:r>
          </w:p>
        </w:tc>
        <w:tc>
          <w:tcPr>
            <w:tcW w:w="1530" w:type="dxa"/>
          </w:tcPr>
          <w:p w:rsidR="00000000" w:rsidRDefault="00000000">
            <w:pPr>
              <w:pStyle w:val="SingleTxt"/>
              <w:tabs>
                <w:tab w:val="clear" w:pos="1267"/>
                <w:tab w:val="left" w:pos="1170"/>
              </w:tabs>
              <w:ind w:left="0" w:right="-50"/>
              <w:jc w:val="right"/>
              <w:rPr>
                <w:sz w:val="17"/>
              </w:rPr>
            </w:pPr>
            <w:r>
              <w:rPr>
                <w:sz w:val="17"/>
              </w:rPr>
              <w:t>16 334.9</w:t>
            </w:r>
          </w:p>
        </w:tc>
        <w:tc>
          <w:tcPr>
            <w:tcW w:w="1530" w:type="dxa"/>
          </w:tcPr>
          <w:p w:rsidR="00000000" w:rsidRDefault="00000000">
            <w:pPr>
              <w:pStyle w:val="SingleTxt"/>
              <w:tabs>
                <w:tab w:val="clear" w:pos="1267"/>
                <w:tab w:val="left" w:pos="1170"/>
              </w:tabs>
              <w:ind w:left="0" w:right="-50"/>
              <w:jc w:val="right"/>
              <w:rPr>
                <w:sz w:val="17"/>
              </w:rPr>
            </w:pPr>
            <w:r>
              <w:rPr>
                <w:sz w:val="17"/>
              </w:rPr>
              <w:t>9 162.6</w:t>
            </w:r>
          </w:p>
        </w:tc>
        <w:tc>
          <w:tcPr>
            <w:tcW w:w="1530" w:type="dxa"/>
          </w:tcPr>
          <w:p w:rsidR="00000000" w:rsidRDefault="00000000">
            <w:pPr>
              <w:pStyle w:val="SingleTxt"/>
              <w:tabs>
                <w:tab w:val="clear" w:pos="1267"/>
                <w:tab w:val="left" w:pos="1170"/>
              </w:tabs>
              <w:ind w:left="0" w:right="-50"/>
              <w:jc w:val="right"/>
              <w:rPr>
                <w:sz w:val="17"/>
              </w:rPr>
            </w:pPr>
            <w:r>
              <w:rPr>
                <w:sz w:val="17"/>
              </w:rPr>
              <w:t>7 172.3</w:t>
            </w:r>
          </w:p>
        </w:tc>
        <w:tc>
          <w:tcPr>
            <w:tcW w:w="270" w:type="dxa"/>
          </w:tcPr>
          <w:p w:rsidR="00000000" w:rsidRDefault="00000000">
            <w:pPr>
              <w:pStyle w:val="SingleTxt"/>
              <w:tabs>
                <w:tab w:val="clear" w:pos="1267"/>
                <w:tab w:val="left" w:pos="1170"/>
              </w:tabs>
              <w:ind w:left="0" w:right="-50"/>
              <w:jc w:val="right"/>
              <w:rPr>
                <w:sz w:val="17"/>
              </w:rPr>
            </w:pPr>
          </w:p>
        </w:tc>
        <w:tc>
          <w:tcPr>
            <w:tcW w:w="1440" w:type="dxa"/>
          </w:tcPr>
          <w:p w:rsidR="00000000" w:rsidRDefault="00000000">
            <w:pPr>
              <w:pStyle w:val="SingleTxt"/>
              <w:tabs>
                <w:tab w:val="clear" w:pos="1267"/>
                <w:tab w:val="left" w:pos="1170"/>
              </w:tabs>
              <w:ind w:left="0" w:right="-50"/>
              <w:jc w:val="right"/>
              <w:rPr>
                <w:sz w:val="17"/>
              </w:rPr>
            </w:pPr>
            <w:r>
              <w:rPr>
                <w:sz w:val="17"/>
              </w:rPr>
              <w:t>56.1</w:t>
            </w:r>
          </w:p>
        </w:tc>
        <w:tc>
          <w:tcPr>
            <w:tcW w:w="1449" w:type="dxa"/>
          </w:tcPr>
          <w:p w:rsidR="00000000" w:rsidRDefault="00000000">
            <w:pPr>
              <w:pStyle w:val="SingleTxt"/>
              <w:tabs>
                <w:tab w:val="clear" w:pos="1267"/>
                <w:tab w:val="left" w:pos="1170"/>
              </w:tabs>
              <w:ind w:left="0" w:right="-50"/>
              <w:jc w:val="right"/>
              <w:rPr>
                <w:sz w:val="17"/>
              </w:rPr>
            </w:pPr>
            <w:r>
              <w:rPr>
                <w:sz w:val="17"/>
              </w:rPr>
              <w:t>43.9</w:t>
            </w:r>
          </w:p>
        </w:tc>
      </w:tr>
      <w:tr w:rsidR="00000000">
        <w:tblPrEx>
          <w:tblCellMar>
            <w:top w:w="0" w:type="dxa"/>
            <w:bottom w:w="0" w:type="dxa"/>
          </w:tblCellMar>
        </w:tblPrEx>
        <w:tc>
          <w:tcPr>
            <w:tcW w:w="1593" w:type="dxa"/>
          </w:tcPr>
          <w:p w:rsidR="00000000" w:rsidRDefault="00000000">
            <w:pPr>
              <w:pStyle w:val="SingleTxt"/>
              <w:tabs>
                <w:tab w:val="clear" w:pos="1267"/>
                <w:tab w:val="left" w:pos="1170"/>
              </w:tabs>
              <w:ind w:left="0" w:right="-50"/>
              <w:jc w:val="left"/>
              <w:rPr>
                <w:sz w:val="17"/>
              </w:rPr>
            </w:pPr>
            <w:r>
              <w:rPr>
                <w:sz w:val="17"/>
              </w:rPr>
              <w:t>1995</w:t>
            </w:r>
          </w:p>
        </w:tc>
        <w:tc>
          <w:tcPr>
            <w:tcW w:w="1530" w:type="dxa"/>
          </w:tcPr>
          <w:p w:rsidR="00000000" w:rsidRDefault="00000000">
            <w:pPr>
              <w:pStyle w:val="SingleTxt"/>
              <w:tabs>
                <w:tab w:val="clear" w:pos="1267"/>
                <w:tab w:val="left" w:pos="1170"/>
              </w:tabs>
              <w:ind w:left="0" w:right="-50"/>
              <w:jc w:val="right"/>
              <w:rPr>
                <w:sz w:val="17"/>
              </w:rPr>
            </w:pPr>
            <w:r>
              <w:rPr>
                <w:sz w:val="17"/>
              </w:rPr>
              <w:t>15 956.7</w:t>
            </w:r>
          </w:p>
        </w:tc>
        <w:tc>
          <w:tcPr>
            <w:tcW w:w="1530" w:type="dxa"/>
          </w:tcPr>
          <w:p w:rsidR="00000000" w:rsidRDefault="00000000">
            <w:pPr>
              <w:pStyle w:val="SingleTxt"/>
              <w:tabs>
                <w:tab w:val="clear" w:pos="1267"/>
                <w:tab w:val="left" w:pos="1170"/>
              </w:tabs>
              <w:ind w:left="0" w:right="-50"/>
              <w:jc w:val="right"/>
              <w:rPr>
                <w:sz w:val="17"/>
              </w:rPr>
            </w:pPr>
            <w:r>
              <w:rPr>
                <w:sz w:val="17"/>
              </w:rPr>
              <w:t>8 884.4</w:t>
            </w:r>
          </w:p>
        </w:tc>
        <w:tc>
          <w:tcPr>
            <w:tcW w:w="1530" w:type="dxa"/>
          </w:tcPr>
          <w:p w:rsidR="00000000" w:rsidRDefault="00000000">
            <w:pPr>
              <w:pStyle w:val="SingleTxt"/>
              <w:tabs>
                <w:tab w:val="clear" w:pos="1267"/>
                <w:tab w:val="left" w:pos="1170"/>
              </w:tabs>
              <w:ind w:left="0" w:right="-50"/>
              <w:jc w:val="right"/>
              <w:rPr>
                <w:sz w:val="17"/>
              </w:rPr>
            </w:pPr>
            <w:r>
              <w:rPr>
                <w:sz w:val="17"/>
              </w:rPr>
              <w:t>7 072.3</w:t>
            </w:r>
          </w:p>
        </w:tc>
        <w:tc>
          <w:tcPr>
            <w:tcW w:w="270" w:type="dxa"/>
          </w:tcPr>
          <w:p w:rsidR="00000000" w:rsidRDefault="00000000">
            <w:pPr>
              <w:pStyle w:val="SingleTxt"/>
              <w:tabs>
                <w:tab w:val="clear" w:pos="1267"/>
                <w:tab w:val="left" w:pos="1170"/>
              </w:tabs>
              <w:ind w:left="0" w:right="-50"/>
              <w:jc w:val="right"/>
              <w:rPr>
                <w:sz w:val="17"/>
              </w:rPr>
            </w:pPr>
          </w:p>
        </w:tc>
        <w:tc>
          <w:tcPr>
            <w:tcW w:w="1440" w:type="dxa"/>
          </w:tcPr>
          <w:p w:rsidR="00000000" w:rsidRDefault="00000000">
            <w:pPr>
              <w:pStyle w:val="SingleTxt"/>
              <w:tabs>
                <w:tab w:val="clear" w:pos="1267"/>
                <w:tab w:val="left" w:pos="1170"/>
              </w:tabs>
              <w:ind w:left="0" w:right="-50"/>
              <w:jc w:val="right"/>
              <w:rPr>
                <w:sz w:val="17"/>
              </w:rPr>
            </w:pPr>
            <w:r>
              <w:rPr>
                <w:sz w:val="17"/>
              </w:rPr>
              <w:t>55.7</w:t>
            </w:r>
          </w:p>
        </w:tc>
        <w:tc>
          <w:tcPr>
            <w:tcW w:w="1449" w:type="dxa"/>
          </w:tcPr>
          <w:p w:rsidR="00000000" w:rsidRDefault="00000000">
            <w:pPr>
              <w:pStyle w:val="SingleTxt"/>
              <w:tabs>
                <w:tab w:val="clear" w:pos="1267"/>
                <w:tab w:val="left" w:pos="1170"/>
              </w:tabs>
              <w:ind w:left="0" w:right="-50"/>
              <w:jc w:val="right"/>
              <w:rPr>
                <w:sz w:val="17"/>
              </w:rPr>
            </w:pPr>
            <w:r>
              <w:rPr>
                <w:sz w:val="17"/>
              </w:rPr>
              <w:t>44.3</w:t>
            </w:r>
          </w:p>
        </w:tc>
      </w:tr>
      <w:tr w:rsidR="00000000">
        <w:tblPrEx>
          <w:tblCellMar>
            <w:top w:w="0" w:type="dxa"/>
            <w:bottom w:w="0" w:type="dxa"/>
          </w:tblCellMar>
        </w:tblPrEx>
        <w:tc>
          <w:tcPr>
            <w:tcW w:w="1593" w:type="dxa"/>
          </w:tcPr>
          <w:p w:rsidR="00000000" w:rsidRDefault="00000000">
            <w:pPr>
              <w:pStyle w:val="SingleTxt"/>
              <w:tabs>
                <w:tab w:val="clear" w:pos="1267"/>
                <w:tab w:val="left" w:pos="1170"/>
              </w:tabs>
              <w:ind w:left="0" w:right="-50"/>
              <w:jc w:val="left"/>
              <w:rPr>
                <w:sz w:val="17"/>
              </w:rPr>
            </w:pPr>
            <w:r>
              <w:rPr>
                <w:sz w:val="17"/>
              </w:rPr>
              <w:t>1996</w:t>
            </w:r>
          </w:p>
        </w:tc>
        <w:tc>
          <w:tcPr>
            <w:tcW w:w="1530" w:type="dxa"/>
          </w:tcPr>
          <w:p w:rsidR="00000000" w:rsidRDefault="00000000">
            <w:pPr>
              <w:pStyle w:val="SingleTxt"/>
              <w:tabs>
                <w:tab w:val="clear" w:pos="1267"/>
                <w:tab w:val="left" w:pos="1170"/>
              </w:tabs>
              <w:ind w:left="0" w:right="-50"/>
              <w:jc w:val="right"/>
              <w:rPr>
                <w:sz w:val="17"/>
              </w:rPr>
            </w:pPr>
            <w:r>
              <w:rPr>
                <w:sz w:val="17"/>
              </w:rPr>
              <w:t>15 675.8</w:t>
            </w:r>
          </w:p>
        </w:tc>
        <w:tc>
          <w:tcPr>
            <w:tcW w:w="1530" w:type="dxa"/>
          </w:tcPr>
          <w:p w:rsidR="00000000" w:rsidRDefault="00000000">
            <w:pPr>
              <w:pStyle w:val="SingleTxt"/>
              <w:tabs>
                <w:tab w:val="clear" w:pos="1267"/>
                <w:tab w:val="left" w:pos="1170"/>
              </w:tabs>
              <w:ind w:left="0" w:right="-50"/>
              <w:jc w:val="right"/>
              <w:rPr>
                <w:sz w:val="17"/>
              </w:rPr>
            </w:pPr>
            <w:r>
              <w:rPr>
                <w:sz w:val="17"/>
              </w:rPr>
              <w:t>8 730.3</w:t>
            </w:r>
          </w:p>
        </w:tc>
        <w:tc>
          <w:tcPr>
            <w:tcW w:w="1530" w:type="dxa"/>
          </w:tcPr>
          <w:p w:rsidR="00000000" w:rsidRDefault="00000000">
            <w:pPr>
              <w:pStyle w:val="SingleTxt"/>
              <w:tabs>
                <w:tab w:val="clear" w:pos="1267"/>
                <w:tab w:val="left" w:pos="1170"/>
              </w:tabs>
              <w:ind w:left="0" w:right="-50"/>
              <w:jc w:val="right"/>
              <w:rPr>
                <w:sz w:val="17"/>
              </w:rPr>
            </w:pPr>
            <w:r>
              <w:rPr>
                <w:sz w:val="17"/>
              </w:rPr>
              <w:t>6 945.5</w:t>
            </w:r>
          </w:p>
        </w:tc>
        <w:tc>
          <w:tcPr>
            <w:tcW w:w="270" w:type="dxa"/>
          </w:tcPr>
          <w:p w:rsidR="00000000" w:rsidRDefault="00000000">
            <w:pPr>
              <w:pStyle w:val="SingleTxt"/>
              <w:tabs>
                <w:tab w:val="clear" w:pos="1267"/>
                <w:tab w:val="left" w:pos="1170"/>
              </w:tabs>
              <w:ind w:left="0" w:right="-50"/>
              <w:jc w:val="right"/>
              <w:rPr>
                <w:sz w:val="17"/>
              </w:rPr>
            </w:pPr>
          </w:p>
        </w:tc>
        <w:tc>
          <w:tcPr>
            <w:tcW w:w="1440" w:type="dxa"/>
          </w:tcPr>
          <w:p w:rsidR="00000000" w:rsidRDefault="00000000">
            <w:pPr>
              <w:pStyle w:val="SingleTxt"/>
              <w:tabs>
                <w:tab w:val="clear" w:pos="1267"/>
                <w:tab w:val="left" w:pos="1170"/>
              </w:tabs>
              <w:ind w:left="0" w:right="-50"/>
              <w:jc w:val="right"/>
              <w:rPr>
                <w:sz w:val="17"/>
              </w:rPr>
            </w:pPr>
            <w:r>
              <w:rPr>
                <w:sz w:val="17"/>
              </w:rPr>
              <w:t>55.7</w:t>
            </w:r>
          </w:p>
        </w:tc>
        <w:tc>
          <w:tcPr>
            <w:tcW w:w="1449" w:type="dxa"/>
          </w:tcPr>
          <w:p w:rsidR="00000000" w:rsidRDefault="00000000">
            <w:pPr>
              <w:pStyle w:val="SingleTxt"/>
              <w:tabs>
                <w:tab w:val="clear" w:pos="1267"/>
                <w:tab w:val="left" w:pos="1170"/>
              </w:tabs>
              <w:ind w:left="0" w:right="-50"/>
              <w:jc w:val="right"/>
              <w:rPr>
                <w:sz w:val="17"/>
              </w:rPr>
            </w:pPr>
            <w:r>
              <w:rPr>
                <w:sz w:val="17"/>
              </w:rPr>
              <w:t>44.3</w:t>
            </w:r>
          </w:p>
        </w:tc>
      </w:tr>
      <w:tr w:rsidR="00000000">
        <w:tblPrEx>
          <w:tblCellMar>
            <w:top w:w="0" w:type="dxa"/>
            <w:bottom w:w="0" w:type="dxa"/>
          </w:tblCellMar>
        </w:tblPrEx>
        <w:tc>
          <w:tcPr>
            <w:tcW w:w="1593" w:type="dxa"/>
          </w:tcPr>
          <w:p w:rsidR="00000000" w:rsidRDefault="00000000">
            <w:pPr>
              <w:pStyle w:val="SingleTxt"/>
              <w:tabs>
                <w:tab w:val="clear" w:pos="1267"/>
                <w:tab w:val="left" w:pos="1170"/>
              </w:tabs>
              <w:ind w:left="0" w:right="-50"/>
              <w:jc w:val="left"/>
              <w:rPr>
                <w:sz w:val="17"/>
              </w:rPr>
            </w:pPr>
            <w:r>
              <w:rPr>
                <w:sz w:val="17"/>
              </w:rPr>
              <w:t>1997</w:t>
            </w:r>
          </w:p>
        </w:tc>
        <w:tc>
          <w:tcPr>
            <w:tcW w:w="1530" w:type="dxa"/>
          </w:tcPr>
          <w:p w:rsidR="00000000" w:rsidRDefault="00000000">
            <w:pPr>
              <w:pStyle w:val="SingleTxt"/>
              <w:tabs>
                <w:tab w:val="clear" w:pos="1267"/>
                <w:tab w:val="left" w:pos="1170"/>
              </w:tabs>
              <w:ind w:left="0" w:right="-50"/>
              <w:jc w:val="right"/>
              <w:rPr>
                <w:sz w:val="17"/>
              </w:rPr>
            </w:pPr>
            <w:r>
              <w:rPr>
                <w:sz w:val="17"/>
              </w:rPr>
              <w:t>15 480.6</w:t>
            </w:r>
          </w:p>
        </w:tc>
        <w:tc>
          <w:tcPr>
            <w:tcW w:w="1530" w:type="dxa"/>
          </w:tcPr>
          <w:p w:rsidR="00000000" w:rsidRDefault="00000000">
            <w:pPr>
              <w:pStyle w:val="SingleTxt"/>
              <w:tabs>
                <w:tab w:val="clear" w:pos="1267"/>
                <w:tab w:val="left" w:pos="1170"/>
              </w:tabs>
              <w:ind w:left="0" w:right="-50"/>
              <w:jc w:val="right"/>
              <w:rPr>
                <w:sz w:val="17"/>
              </w:rPr>
            </w:pPr>
            <w:r>
              <w:rPr>
                <w:sz w:val="17"/>
              </w:rPr>
              <w:t>8 635.2</w:t>
            </w:r>
          </w:p>
        </w:tc>
        <w:tc>
          <w:tcPr>
            <w:tcW w:w="1530" w:type="dxa"/>
          </w:tcPr>
          <w:p w:rsidR="00000000" w:rsidRDefault="00000000">
            <w:pPr>
              <w:pStyle w:val="SingleTxt"/>
              <w:tabs>
                <w:tab w:val="clear" w:pos="1267"/>
                <w:tab w:val="left" w:pos="1170"/>
              </w:tabs>
              <w:ind w:left="0" w:right="-50"/>
              <w:jc w:val="right"/>
              <w:rPr>
                <w:sz w:val="17"/>
              </w:rPr>
            </w:pPr>
            <w:r>
              <w:rPr>
                <w:sz w:val="17"/>
              </w:rPr>
              <w:t>6 845.4</w:t>
            </w:r>
          </w:p>
        </w:tc>
        <w:tc>
          <w:tcPr>
            <w:tcW w:w="270" w:type="dxa"/>
          </w:tcPr>
          <w:p w:rsidR="00000000" w:rsidRDefault="00000000">
            <w:pPr>
              <w:pStyle w:val="SingleTxt"/>
              <w:tabs>
                <w:tab w:val="clear" w:pos="1267"/>
                <w:tab w:val="left" w:pos="1170"/>
              </w:tabs>
              <w:ind w:left="0" w:right="-50"/>
              <w:jc w:val="right"/>
              <w:rPr>
                <w:sz w:val="17"/>
              </w:rPr>
            </w:pPr>
          </w:p>
        </w:tc>
        <w:tc>
          <w:tcPr>
            <w:tcW w:w="1440" w:type="dxa"/>
          </w:tcPr>
          <w:p w:rsidR="00000000" w:rsidRDefault="00000000">
            <w:pPr>
              <w:pStyle w:val="SingleTxt"/>
              <w:tabs>
                <w:tab w:val="clear" w:pos="1267"/>
                <w:tab w:val="left" w:pos="1170"/>
              </w:tabs>
              <w:ind w:left="0" w:right="-50"/>
              <w:jc w:val="right"/>
              <w:rPr>
                <w:sz w:val="17"/>
              </w:rPr>
            </w:pPr>
            <w:r>
              <w:rPr>
                <w:sz w:val="17"/>
              </w:rPr>
              <w:t>55.8</w:t>
            </w:r>
          </w:p>
        </w:tc>
        <w:tc>
          <w:tcPr>
            <w:tcW w:w="1449" w:type="dxa"/>
          </w:tcPr>
          <w:p w:rsidR="00000000" w:rsidRDefault="00000000">
            <w:pPr>
              <w:pStyle w:val="SingleTxt"/>
              <w:tabs>
                <w:tab w:val="clear" w:pos="1267"/>
                <w:tab w:val="left" w:pos="1170"/>
              </w:tabs>
              <w:ind w:left="0" w:right="-50"/>
              <w:jc w:val="right"/>
              <w:rPr>
                <w:sz w:val="17"/>
              </w:rPr>
            </w:pPr>
            <w:r>
              <w:rPr>
                <w:sz w:val="17"/>
              </w:rPr>
              <w:t>44.2</w:t>
            </w:r>
          </w:p>
        </w:tc>
      </w:tr>
      <w:tr w:rsidR="00000000">
        <w:tblPrEx>
          <w:tblCellMar>
            <w:top w:w="0" w:type="dxa"/>
            <w:bottom w:w="0" w:type="dxa"/>
          </w:tblCellMar>
        </w:tblPrEx>
        <w:tc>
          <w:tcPr>
            <w:tcW w:w="1593" w:type="dxa"/>
          </w:tcPr>
          <w:p w:rsidR="00000000" w:rsidRDefault="00000000">
            <w:pPr>
              <w:pStyle w:val="SingleTxt"/>
              <w:tabs>
                <w:tab w:val="clear" w:pos="1267"/>
                <w:tab w:val="left" w:pos="1170"/>
              </w:tabs>
              <w:ind w:left="0" w:right="-50"/>
              <w:jc w:val="left"/>
              <w:rPr>
                <w:sz w:val="17"/>
              </w:rPr>
            </w:pPr>
            <w:r>
              <w:rPr>
                <w:sz w:val="17"/>
              </w:rPr>
              <w:t>1998</w:t>
            </w:r>
          </w:p>
        </w:tc>
        <w:tc>
          <w:tcPr>
            <w:tcW w:w="1530" w:type="dxa"/>
          </w:tcPr>
          <w:p w:rsidR="00000000" w:rsidRDefault="00000000">
            <w:pPr>
              <w:pStyle w:val="SingleTxt"/>
              <w:tabs>
                <w:tab w:val="clear" w:pos="1267"/>
                <w:tab w:val="left" w:pos="1170"/>
              </w:tabs>
              <w:ind w:left="0" w:right="-50"/>
              <w:jc w:val="right"/>
              <w:rPr>
                <w:sz w:val="17"/>
              </w:rPr>
            </w:pPr>
            <w:r>
              <w:rPr>
                <w:sz w:val="17"/>
              </w:rPr>
              <w:t>15 188.2</w:t>
            </w:r>
          </w:p>
        </w:tc>
        <w:tc>
          <w:tcPr>
            <w:tcW w:w="1530" w:type="dxa"/>
          </w:tcPr>
          <w:p w:rsidR="00000000" w:rsidRDefault="00000000">
            <w:pPr>
              <w:pStyle w:val="SingleTxt"/>
              <w:tabs>
                <w:tab w:val="clear" w:pos="1267"/>
                <w:tab w:val="left" w:pos="1170"/>
              </w:tabs>
              <w:ind w:left="0" w:right="-50"/>
              <w:jc w:val="right"/>
              <w:rPr>
                <w:sz w:val="17"/>
              </w:rPr>
            </w:pPr>
            <w:r>
              <w:rPr>
                <w:sz w:val="17"/>
              </w:rPr>
              <w:t>8 499.4</w:t>
            </w:r>
          </w:p>
        </w:tc>
        <w:tc>
          <w:tcPr>
            <w:tcW w:w="1530" w:type="dxa"/>
          </w:tcPr>
          <w:p w:rsidR="00000000" w:rsidRDefault="00000000">
            <w:pPr>
              <w:pStyle w:val="SingleTxt"/>
              <w:tabs>
                <w:tab w:val="clear" w:pos="1267"/>
                <w:tab w:val="left" w:pos="1170"/>
              </w:tabs>
              <w:ind w:left="0" w:right="-50"/>
              <w:jc w:val="right"/>
              <w:rPr>
                <w:sz w:val="17"/>
              </w:rPr>
            </w:pPr>
            <w:r>
              <w:rPr>
                <w:sz w:val="17"/>
              </w:rPr>
              <w:t>6 688.8</w:t>
            </w:r>
          </w:p>
        </w:tc>
        <w:tc>
          <w:tcPr>
            <w:tcW w:w="270" w:type="dxa"/>
          </w:tcPr>
          <w:p w:rsidR="00000000" w:rsidRDefault="00000000">
            <w:pPr>
              <w:pStyle w:val="SingleTxt"/>
              <w:tabs>
                <w:tab w:val="clear" w:pos="1267"/>
                <w:tab w:val="left" w:pos="1170"/>
              </w:tabs>
              <w:ind w:left="0" w:right="-50"/>
              <w:jc w:val="right"/>
              <w:rPr>
                <w:sz w:val="17"/>
              </w:rPr>
            </w:pPr>
          </w:p>
        </w:tc>
        <w:tc>
          <w:tcPr>
            <w:tcW w:w="1440" w:type="dxa"/>
          </w:tcPr>
          <w:p w:rsidR="00000000" w:rsidRDefault="00000000">
            <w:pPr>
              <w:pStyle w:val="SingleTxt"/>
              <w:tabs>
                <w:tab w:val="clear" w:pos="1267"/>
                <w:tab w:val="left" w:pos="1170"/>
              </w:tabs>
              <w:ind w:left="0" w:right="-50"/>
              <w:jc w:val="right"/>
              <w:rPr>
                <w:sz w:val="17"/>
              </w:rPr>
            </w:pPr>
            <w:r>
              <w:rPr>
                <w:sz w:val="17"/>
              </w:rPr>
              <w:t>56.0</w:t>
            </w:r>
          </w:p>
        </w:tc>
        <w:tc>
          <w:tcPr>
            <w:tcW w:w="1449" w:type="dxa"/>
          </w:tcPr>
          <w:p w:rsidR="00000000" w:rsidRDefault="00000000">
            <w:pPr>
              <w:pStyle w:val="SingleTxt"/>
              <w:tabs>
                <w:tab w:val="clear" w:pos="1267"/>
                <w:tab w:val="left" w:pos="1170"/>
              </w:tabs>
              <w:ind w:left="0" w:right="-50"/>
              <w:jc w:val="right"/>
              <w:rPr>
                <w:sz w:val="17"/>
              </w:rPr>
            </w:pPr>
            <w:r>
              <w:rPr>
                <w:sz w:val="17"/>
              </w:rPr>
              <w:t>44.0</w:t>
            </w:r>
          </w:p>
        </w:tc>
      </w:tr>
      <w:tr w:rsidR="00000000">
        <w:tblPrEx>
          <w:tblCellMar>
            <w:top w:w="0" w:type="dxa"/>
            <w:bottom w:w="0" w:type="dxa"/>
          </w:tblCellMar>
        </w:tblPrEx>
        <w:tc>
          <w:tcPr>
            <w:tcW w:w="1593" w:type="dxa"/>
            <w:tcBorders>
              <w:bottom w:val="single" w:sz="12" w:space="0" w:color="auto"/>
            </w:tcBorders>
          </w:tcPr>
          <w:p w:rsidR="00000000" w:rsidRDefault="00000000">
            <w:pPr>
              <w:pStyle w:val="SingleTxt"/>
              <w:tabs>
                <w:tab w:val="clear" w:pos="1267"/>
                <w:tab w:val="left" w:pos="1170"/>
              </w:tabs>
              <w:ind w:left="0" w:right="-50"/>
              <w:jc w:val="left"/>
              <w:rPr>
                <w:sz w:val="17"/>
              </w:rPr>
            </w:pPr>
            <w:r>
              <w:rPr>
                <w:sz w:val="17"/>
              </w:rPr>
              <w:t>1999</w:t>
            </w:r>
          </w:p>
        </w:tc>
        <w:tc>
          <w:tcPr>
            <w:tcW w:w="1530"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14 957.8</w:t>
            </w:r>
          </w:p>
        </w:tc>
        <w:tc>
          <w:tcPr>
            <w:tcW w:w="1530"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8 368.8</w:t>
            </w:r>
          </w:p>
        </w:tc>
        <w:tc>
          <w:tcPr>
            <w:tcW w:w="1530"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6 589.0</w:t>
            </w:r>
          </w:p>
        </w:tc>
        <w:tc>
          <w:tcPr>
            <w:tcW w:w="270" w:type="dxa"/>
            <w:tcBorders>
              <w:bottom w:val="single" w:sz="12" w:space="0" w:color="auto"/>
            </w:tcBorders>
          </w:tcPr>
          <w:p w:rsidR="00000000" w:rsidRDefault="00000000">
            <w:pPr>
              <w:pStyle w:val="SingleTxt"/>
              <w:tabs>
                <w:tab w:val="clear" w:pos="1267"/>
                <w:tab w:val="left" w:pos="1170"/>
              </w:tabs>
              <w:ind w:left="0" w:right="-50"/>
              <w:jc w:val="right"/>
              <w:rPr>
                <w:sz w:val="17"/>
              </w:rPr>
            </w:pPr>
          </w:p>
        </w:tc>
        <w:tc>
          <w:tcPr>
            <w:tcW w:w="1440"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55.9</w:t>
            </w:r>
          </w:p>
        </w:tc>
        <w:tc>
          <w:tcPr>
            <w:tcW w:w="1449"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44.1</w:t>
            </w:r>
          </w:p>
        </w:tc>
      </w:tr>
    </w:tbl>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line="20" w:lineRule="exact"/>
      </w:pPr>
    </w:p>
    <w:p w:rsidR="00000000" w:rsidRDefault="00000000">
      <w:pPr>
        <w:tabs>
          <w:tab w:val="left" w:pos="475"/>
          <w:tab w:val="left" w:pos="965"/>
          <w:tab w:val="left" w:pos="1440"/>
          <w:tab w:val="left" w:pos="1915"/>
          <w:tab w:val="left" w:pos="2405"/>
        </w:tabs>
        <w:spacing w:after="120"/>
        <w:jc w:val="both"/>
        <w:sectPr w:rsidR="00000000">
          <w:type w:val="continuous"/>
          <w:pgSz w:w="12240" w:h="15840"/>
          <w:pgMar w:top="1742" w:right="1195" w:bottom="1901" w:left="1195" w:header="576" w:footer="1037" w:gutter="0"/>
          <w:cols w:space="720"/>
          <w:docGrid w:linePitch="360"/>
        </w:sectPr>
      </w:pPr>
    </w:p>
    <w:p w:rsidR="00000000" w:rsidRDefault="00000000">
      <w:pPr>
        <w:pStyle w:val="DH2"/>
      </w:pPr>
      <w:r>
        <w:tab/>
        <w:t>Urban and rural population</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19.</w:t>
      </w:r>
      <w:r>
        <w:tab/>
        <w:t>The urban share of the population in 1999 was 55.9 per cent (8.4 million inhabitants) and the rural share 44.1 per cent (6.6 million inhabitants). Compared with the previous year, the urban population declined by 1.5 per cent and the rural population by 1.4 per cent.</w:t>
      </w:r>
    </w:p>
    <w:p w:rsidR="00000000" w:rsidRDefault="00000000">
      <w:pPr>
        <w:tabs>
          <w:tab w:val="left" w:pos="475"/>
          <w:tab w:val="left" w:pos="965"/>
          <w:tab w:val="left" w:pos="1440"/>
          <w:tab w:val="left" w:pos="1915"/>
          <w:tab w:val="left" w:pos="2405"/>
        </w:tabs>
        <w:spacing w:after="120"/>
        <w:jc w:val="both"/>
      </w:pPr>
      <w:r>
        <w:tab/>
        <w:t>As compared with men, women in Kazakhstan are more likely to migrate between regions and between town and village, abandoning regions becoming ecologically degraded, particularly in rural areas. As at 1 January 1998, the number of women per thousand men was as follows: in Qyzylorda region (ecological disaster zone — 1,045 (town) and 947 (village); in Atyrau region — 1,084 (town) and 987 (village). In the more highly developed regions the proportions were different: in Qostanay region — 1,147 (town) and 1,023 (village); in North Kazakhstan — 1,153 (town) and 1,015 (village). The largest number of women per thousand men was to be found in Almaty: 1,197.</w:t>
      </w:r>
    </w:p>
    <w:p w:rsidR="00000000" w:rsidRDefault="00000000">
      <w:pPr>
        <w:pStyle w:val="D12r"/>
      </w:pPr>
    </w:p>
    <w:p w:rsidR="00000000" w:rsidRDefault="00000000">
      <w:pPr>
        <w:pStyle w:val="DualTxt"/>
        <w:keepNext/>
        <w:keepLines/>
        <w:tabs>
          <w:tab w:val="clear" w:pos="480"/>
          <w:tab w:val="clear" w:pos="960"/>
          <w:tab w:val="clear" w:pos="2880"/>
          <w:tab w:val="clear" w:pos="3355"/>
          <w:tab w:val="left" w:pos="475"/>
          <w:tab w:val="left" w:pos="965"/>
          <w:tab w:val="left" w:pos="1440"/>
          <w:tab w:val="left" w:pos="1915"/>
          <w:tab w:val="left" w:pos="2405"/>
        </w:tabs>
        <w:spacing w:after="0"/>
      </w:pPr>
      <w:r>
        <w:t>Table 13</w:t>
      </w:r>
    </w:p>
    <w:p w:rsidR="00000000" w:rsidRDefault="00000000">
      <w:pPr>
        <w:pStyle w:val="BodyText2"/>
        <w:keepNext/>
        <w:keepLines/>
        <w:spacing w:after="120"/>
      </w:pPr>
      <w:r>
        <w:t>Number of urban and rural inhabitants by gender (at the beginning of each year)</w:t>
      </w:r>
    </w:p>
    <w:p w:rsidR="00000000" w:rsidRDefault="00000000">
      <w:pPr>
        <w:pStyle w:val="D12r"/>
      </w:pPr>
    </w:p>
    <w:tbl>
      <w:tblPr>
        <w:tblW w:w="0" w:type="auto"/>
        <w:jc w:val="right"/>
        <w:tblLayout w:type="fixed"/>
        <w:tblLook w:val="0000" w:firstRow="0" w:lastRow="0" w:firstColumn="0" w:lastColumn="0" w:noHBand="0" w:noVBand="0"/>
      </w:tblPr>
      <w:tblGrid>
        <w:gridCol w:w="864"/>
        <w:gridCol w:w="981"/>
        <w:gridCol w:w="880"/>
        <w:gridCol w:w="236"/>
        <w:gridCol w:w="900"/>
        <w:gridCol w:w="1013"/>
      </w:tblGrid>
      <w:tr w:rsidR="00000000">
        <w:tblPrEx>
          <w:tblCellMar>
            <w:top w:w="0" w:type="dxa"/>
            <w:bottom w:w="0" w:type="dxa"/>
          </w:tblCellMar>
        </w:tblPrEx>
        <w:trPr>
          <w:cantSplit/>
          <w:jc w:val="right"/>
        </w:trPr>
        <w:tc>
          <w:tcPr>
            <w:tcW w:w="4874" w:type="dxa"/>
            <w:gridSpan w:val="6"/>
            <w:tcBorders>
              <w:top w:val="single" w:sz="4" w:space="0" w:color="auto"/>
              <w:bottom w:val="single" w:sz="4" w:space="0" w:color="auto"/>
            </w:tcBorders>
          </w:tcPr>
          <w:p w:rsidR="00000000" w:rsidRDefault="00000000">
            <w:pPr>
              <w:keepNext/>
              <w:keepLines/>
              <w:tabs>
                <w:tab w:val="left" w:pos="475"/>
                <w:tab w:val="left" w:pos="965"/>
                <w:tab w:val="left" w:pos="1440"/>
                <w:tab w:val="left" w:pos="1915"/>
                <w:tab w:val="left" w:pos="2405"/>
              </w:tabs>
              <w:jc w:val="center"/>
              <w:rPr>
                <w:i/>
                <w:sz w:val="14"/>
              </w:rPr>
            </w:pPr>
            <w:r>
              <w:rPr>
                <w:i/>
                <w:sz w:val="14"/>
              </w:rPr>
              <w:t>People (in thousands)</w:t>
            </w:r>
          </w:p>
        </w:tc>
      </w:tr>
      <w:tr w:rsidR="00000000">
        <w:tblPrEx>
          <w:tblCellMar>
            <w:top w:w="0" w:type="dxa"/>
            <w:bottom w:w="0" w:type="dxa"/>
          </w:tblCellMar>
        </w:tblPrEx>
        <w:trPr>
          <w:cantSplit/>
          <w:jc w:val="right"/>
        </w:trPr>
        <w:tc>
          <w:tcPr>
            <w:tcW w:w="864" w:type="dxa"/>
            <w:tcBorders>
              <w:top w:val="single" w:sz="4" w:space="0" w:color="auto"/>
            </w:tcBorders>
          </w:tcPr>
          <w:p w:rsidR="00000000" w:rsidRDefault="00000000">
            <w:pPr>
              <w:pStyle w:val="Heading5"/>
              <w:keepLines/>
              <w:tabs>
                <w:tab w:val="left" w:pos="475"/>
                <w:tab w:val="left" w:pos="965"/>
                <w:tab w:val="left" w:pos="1440"/>
                <w:tab w:val="left" w:pos="1915"/>
                <w:tab w:val="left" w:pos="2405"/>
              </w:tabs>
              <w:jc w:val="left"/>
            </w:pPr>
            <w:r>
              <w:t>Years</w:t>
            </w:r>
          </w:p>
        </w:tc>
        <w:tc>
          <w:tcPr>
            <w:tcW w:w="1861" w:type="dxa"/>
            <w:gridSpan w:val="2"/>
            <w:tcBorders>
              <w:top w:val="single" w:sz="4" w:space="0" w:color="auto"/>
              <w:bottom w:val="single" w:sz="4" w:space="0" w:color="auto"/>
            </w:tcBorders>
          </w:tcPr>
          <w:p w:rsidR="00000000" w:rsidRDefault="00000000">
            <w:pPr>
              <w:keepNext/>
              <w:keepLines/>
              <w:tabs>
                <w:tab w:val="left" w:pos="475"/>
                <w:tab w:val="left" w:pos="965"/>
                <w:tab w:val="left" w:pos="1440"/>
                <w:tab w:val="left" w:pos="1915"/>
                <w:tab w:val="left" w:pos="2405"/>
              </w:tabs>
              <w:jc w:val="center"/>
              <w:rPr>
                <w:i/>
                <w:sz w:val="14"/>
              </w:rPr>
            </w:pPr>
            <w:r>
              <w:rPr>
                <w:i/>
                <w:sz w:val="14"/>
              </w:rPr>
              <w:t>Urban</w:t>
            </w:r>
          </w:p>
        </w:tc>
        <w:tc>
          <w:tcPr>
            <w:tcW w:w="236" w:type="dxa"/>
            <w:tcBorders>
              <w:top w:val="single" w:sz="4" w:space="0" w:color="auto"/>
            </w:tcBorders>
          </w:tcPr>
          <w:p w:rsidR="00000000" w:rsidRDefault="00000000">
            <w:pPr>
              <w:keepNext/>
              <w:keepLines/>
              <w:tabs>
                <w:tab w:val="left" w:pos="475"/>
                <w:tab w:val="left" w:pos="965"/>
                <w:tab w:val="left" w:pos="1440"/>
                <w:tab w:val="left" w:pos="1915"/>
                <w:tab w:val="left" w:pos="2405"/>
              </w:tabs>
              <w:jc w:val="center"/>
              <w:rPr>
                <w:i/>
                <w:sz w:val="14"/>
              </w:rPr>
            </w:pPr>
          </w:p>
        </w:tc>
        <w:tc>
          <w:tcPr>
            <w:tcW w:w="1913" w:type="dxa"/>
            <w:gridSpan w:val="2"/>
            <w:tcBorders>
              <w:top w:val="single" w:sz="4" w:space="0" w:color="auto"/>
              <w:bottom w:val="single" w:sz="4" w:space="0" w:color="auto"/>
            </w:tcBorders>
          </w:tcPr>
          <w:p w:rsidR="00000000" w:rsidRDefault="00000000">
            <w:pPr>
              <w:keepNext/>
              <w:keepLines/>
              <w:tabs>
                <w:tab w:val="left" w:pos="475"/>
                <w:tab w:val="left" w:pos="965"/>
                <w:tab w:val="left" w:pos="1440"/>
                <w:tab w:val="left" w:pos="1915"/>
                <w:tab w:val="left" w:pos="2405"/>
              </w:tabs>
              <w:jc w:val="center"/>
              <w:rPr>
                <w:i/>
                <w:sz w:val="14"/>
              </w:rPr>
            </w:pPr>
            <w:r>
              <w:rPr>
                <w:i/>
                <w:sz w:val="14"/>
              </w:rPr>
              <w:t>Rural</w:t>
            </w:r>
          </w:p>
        </w:tc>
      </w:tr>
      <w:tr w:rsidR="00000000">
        <w:tblPrEx>
          <w:tblCellMar>
            <w:top w:w="0" w:type="dxa"/>
            <w:bottom w:w="0" w:type="dxa"/>
          </w:tblCellMar>
        </w:tblPrEx>
        <w:trPr>
          <w:jc w:val="right"/>
        </w:trPr>
        <w:tc>
          <w:tcPr>
            <w:tcW w:w="864" w:type="dxa"/>
            <w:tcBorders>
              <w:bottom w:val="single" w:sz="12" w:space="0" w:color="auto"/>
            </w:tcBorders>
          </w:tcPr>
          <w:p w:rsidR="00000000" w:rsidRDefault="00000000">
            <w:pPr>
              <w:keepNext/>
              <w:keepLines/>
              <w:tabs>
                <w:tab w:val="left" w:pos="475"/>
                <w:tab w:val="left" w:pos="965"/>
                <w:tab w:val="left" w:pos="1440"/>
                <w:tab w:val="left" w:pos="1915"/>
                <w:tab w:val="left" w:pos="2405"/>
              </w:tabs>
              <w:jc w:val="right"/>
              <w:rPr>
                <w:i/>
                <w:sz w:val="14"/>
              </w:rPr>
            </w:pPr>
          </w:p>
        </w:tc>
        <w:tc>
          <w:tcPr>
            <w:tcW w:w="981" w:type="dxa"/>
            <w:tcBorders>
              <w:bottom w:val="single" w:sz="12" w:space="0" w:color="auto"/>
            </w:tcBorders>
          </w:tcPr>
          <w:p w:rsidR="00000000" w:rsidRDefault="00000000">
            <w:pPr>
              <w:keepNext/>
              <w:keepLines/>
              <w:tabs>
                <w:tab w:val="left" w:pos="475"/>
                <w:tab w:val="left" w:pos="965"/>
                <w:tab w:val="left" w:pos="1440"/>
                <w:tab w:val="left" w:pos="1915"/>
                <w:tab w:val="left" w:pos="2405"/>
              </w:tabs>
              <w:jc w:val="right"/>
              <w:rPr>
                <w:i/>
                <w:sz w:val="14"/>
              </w:rPr>
            </w:pPr>
            <w:r>
              <w:rPr>
                <w:i/>
                <w:sz w:val="14"/>
              </w:rPr>
              <w:t>Men</w:t>
            </w:r>
          </w:p>
        </w:tc>
        <w:tc>
          <w:tcPr>
            <w:tcW w:w="880" w:type="dxa"/>
            <w:tcBorders>
              <w:bottom w:val="single" w:sz="12" w:space="0" w:color="auto"/>
            </w:tcBorders>
          </w:tcPr>
          <w:p w:rsidR="00000000" w:rsidRDefault="00000000">
            <w:pPr>
              <w:pStyle w:val="Heading5"/>
            </w:pPr>
            <w:r>
              <w:t>Women</w:t>
            </w:r>
          </w:p>
        </w:tc>
        <w:tc>
          <w:tcPr>
            <w:tcW w:w="236" w:type="dxa"/>
            <w:tcBorders>
              <w:bottom w:val="single" w:sz="12" w:space="0" w:color="auto"/>
            </w:tcBorders>
          </w:tcPr>
          <w:p w:rsidR="00000000" w:rsidRDefault="00000000">
            <w:pPr>
              <w:keepNext/>
              <w:keepLines/>
              <w:tabs>
                <w:tab w:val="left" w:pos="475"/>
                <w:tab w:val="left" w:pos="965"/>
                <w:tab w:val="left" w:pos="1440"/>
                <w:tab w:val="left" w:pos="1915"/>
                <w:tab w:val="left" w:pos="2405"/>
              </w:tabs>
              <w:jc w:val="right"/>
              <w:rPr>
                <w:i/>
                <w:sz w:val="14"/>
              </w:rPr>
            </w:pPr>
          </w:p>
        </w:tc>
        <w:tc>
          <w:tcPr>
            <w:tcW w:w="900" w:type="dxa"/>
            <w:tcBorders>
              <w:bottom w:val="single" w:sz="12" w:space="0" w:color="auto"/>
            </w:tcBorders>
          </w:tcPr>
          <w:p w:rsidR="00000000" w:rsidRDefault="00000000">
            <w:pPr>
              <w:keepNext/>
              <w:keepLines/>
              <w:tabs>
                <w:tab w:val="left" w:pos="475"/>
                <w:tab w:val="left" w:pos="965"/>
                <w:tab w:val="left" w:pos="1440"/>
                <w:tab w:val="left" w:pos="1915"/>
                <w:tab w:val="left" w:pos="2405"/>
              </w:tabs>
              <w:jc w:val="right"/>
              <w:rPr>
                <w:i/>
                <w:sz w:val="14"/>
              </w:rPr>
            </w:pPr>
            <w:r>
              <w:rPr>
                <w:i/>
                <w:sz w:val="14"/>
              </w:rPr>
              <w:t>Men</w:t>
            </w:r>
          </w:p>
        </w:tc>
        <w:tc>
          <w:tcPr>
            <w:tcW w:w="1013" w:type="dxa"/>
            <w:tcBorders>
              <w:bottom w:val="single" w:sz="12" w:space="0" w:color="auto"/>
            </w:tcBorders>
          </w:tcPr>
          <w:p w:rsidR="00000000" w:rsidRDefault="00000000">
            <w:pPr>
              <w:keepNext/>
              <w:keepLines/>
              <w:tabs>
                <w:tab w:val="left" w:pos="475"/>
                <w:tab w:val="left" w:pos="965"/>
                <w:tab w:val="left" w:pos="1440"/>
                <w:tab w:val="left" w:pos="1915"/>
                <w:tab w:val="left" w:pos="2405"/>
              </w:tabs>
              <w:jc w:val="right"/>
              <w:rPr>
                <w:i/>
                <w:sz w:val="14"/>
              </w:rPr>
            </w:pPr>
            <w:r>
              <w:rPr>
                <w:i/>
                <w:sz w:val="14"/>
              </w:rPr>
              <w:t>Women</w:t>
            </w:r>
          </w:p>
        </w:tc>
      </w:tr>
      <w:tr w:rsidR="00000000">
        <w:tblPrEx>
          <w:tblCellMar>
            <w:top w:w="0" w:type="dxa"/>
            <w:bottom w:w="0" w:type="dxa"/>
          </w:tblCellMar>
        </w:tblPrEx>
        <w:trPr>
          <w:jc w:val="right"/>
        </w:trPr>
        <w:tc>
          <w:tcPr>
            <w:tcW w:w="864" w:type="dxa"/>
            <w:tcBorders>
              <w:top w:val="single" w:sz="12" w:space="0" w:color="auto"/>
            </w:tcBorders>
          </w:tcPr>
          <w:p w:rsidR="00000000" w:rsidRDefault="00000000">
            <w:pPr>
              <w:keepNext/>
              <w:keepLines/>
              <w:tabs>
                <w:tab w:val="left" w:pos="475"/>
                <w:tab w:val="left" w:pos="965"/>
                <w:tab w:val="left" w:pos="1440"/>
                <w:tab w:val="left" w:pos="1915"/>
                <w:tab w:val="left" w:pos="2405"/>
              </w:tabs>
              <w:spacing w:after="120"/>
              <w:rPr>
                <w:sz w:val="17"/>
              </w:rPr>
            </w:pPr>
            <w:r>
              <w:rPr>
                <w:sz w:val="17"/>
              </w:rPr>
              <w:t>1996</w:t>
            </w:r>
          </w:p>
        </w:tc>
        <w:tc>
          <w:tcPr>
            <w:tcW w:w="981" w:type="dxa"/>
            <w:tcBorders>
              <w:top w:val="single" w:sz="12" w:space="0" w:color="auto"/>
            </w:tcBorders>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4 101.5</w:t>
            </w:r>
          </w:p>
        </w:tc>
        <w:tc>
          <w:tcPr>
            <w:tcW w:w="880" w:type="dxa"/>
            <w:tcBorders>
              <w:top w:val="single" w:sz="12" w:space="0" w:color="auto"/>
            </w:tcBorders>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4 628.8</w:t>
            </w:r>
          </w:p>
        </w:tc>
        <w:tc>
          <w:tcPr>
            <w:tcW w:w="236" w:type="dxa"/>
            <w:tcBorders>
              <w:top w:val="single" w:sz="12" w:space="0" w:color="auto"/>
            </w:tcBorders>
          </w:tcPr>
          <w:p w:rsidR="00000000" w:rsidRDefault="00000000">
            <w:pPr>
              <w:keepNext/>
              <w:keepLines/>
              <w:tabs>
                <w:tab w:val="left" w:pos="475"/>
                <w:tab w:val="left" w:pos="965"/>
                <w:tab w:val="left" w:pos="1440"/>
                <w:tab w:val="left" w:pos="1915"/>
                <w:tab w:val="left" w:pos="2405"/>
              </w:tabs>
              <w:spacing w:after="120"/>
              <w:jc w:val="right"/>
              <w:rPr>
                <w:sz w:val="17"/>
              </w:rPr>
            </w:pPr>
          </w:p>
        </w:tc>
        <w:tc>
          <w:tcPr>
            <w:tcW w:w="900" w:type="dxa"/>
            <w:tcBorders>
              <w:top w:val="single" w:sz="12" w:space="0" w:color="auto"/>
            </w:tcBorders>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3 464.3</w:t>
            </w:r>
          </w:p>
        </w:tc>
        <w:tc>
          <w:tcPr>
            <w:tcW w:w="1013" w:type="dxa"/>
            <w:tcBorders>
              <w:top w:val="single" w:sz="12" w:space="0" w:color="auto"/>
            </w:tcBorders>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3 481.2</w:t>
            </w:r>
          </w:p>
        </w:tc>
      </w:tr>
      <w:tr w:rsidR="00000000">
        <w:tblPrEx>
          <w:tblCellMar>
            <w:top w:w="0" w:type="dxa"/>
            <w:bottom w:w="0" w:type="dxa"/>
          </w:tblCellMar>
        </w:tblPrEx>
        <w:trPr>
          <w:jc w:val="right"/>
        </w:trPr>
        <w:tc>
          <w:tcPr>
            <w:tcW w:w="864" w:type="dxa"/>
          </w:tcPr>
          <w:p w:rsidR="00000000" w:rsidRDefault="00000000">
            <w:pPr>
              <w:keepNext/>
              <w:keepLines/>
              <w:tabs>
                <w:tab w:val="left" w:pos="475"/>
                <w:tab w:val="left" w:pos="965"/>
                <w:tab w:val="left" w:pos="1440"/>
                <w:tab w:val="left" w:pos="1915"/>
                <w:tab w:val="left" w:pos="2405"/>
              </w:tabs>
              <w:spacing w:after="120"/>
              <w:rPr>
                <w:sz w:val="17"/>
              </w:rPr>
            </w:pPr>
            <w:r>
              <w:rPr>
                <w:sz w:val="17"/>
              </w:rPr>
              <w:t>1997</w:t>
            </w:r>
          </w:p>
        </w:tc>
        <w:tc>
          <w:tcPr>
            <w:tcW w:w="981"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4 049.8</w:t>
            </w:r>
          </w:p>
        </w:tc>
        <w:tc>
          <w:tcPr>
            <w:tcW w:w="880"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4 585.4</w:t>
            </w:r>
          </w:p>
        </w:tc>
        <w:tc>
          <w:tcPr>
            <w:tcW w:w="236" w:type="dxa"/>
          </w:tcPr>
          <w:p w:rsidR="00000000" w:rsidRDefault="00000000">
            <w:pPr>
              <w:keepNext/>
              <w:keepLines/>
              <w:tabs>
                <w:tab w:val="left" w:pos="475"/>
                <w:tab w:val="left" w:pos="965"/>
                <w:tab w:val="left" w:pos="1440"/>
                <w:tab w:val="left" w:pos="1915"/>
                <w:tab w:val="left" w:pos="2405"/>
              </w:tabs>
              <w:spacing w:after="120"/>
              <w:jc w:val="right"/>
              <w:rPr>
                <w:sz w:val="17"/>
              </w:rPr>
            </w:pPr>
          </w:p>
        </w:tc>
        <w:tc>
          <w:tcPr>
            <w:tcW w:w="900"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3 417.1</w:t>
            </w:r>
          </w:p>
        </w:tc>
        <w:tc>
          <w:tcPr>
            <w:tcW w:w="1013"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3 428.3</w:t>
            </w:r>
          </w:p>
        </w:tc>
      </w:tr>
      <w:tr w:rsidR="00000000">
        <w:tblPrEx>
          <w:tblCellMar>
            <w:top w:w="0" w:type="dxa"/>
            <w:bottom w:w="0" w:type="dxa"/>
          </w:tblCellMar>
        </w:tblPrEx>
        <w:trPr>
          <w:jc w:val="right"/>
        </w:trPr>
        <w:tc>
          <w:tcPr>
            <w:tcW w:w="864" w:type="dxa"/>
            <w:tcBorders>
              <w:bottom w:val="single" w:sz="12" w:space="0" w:color="auto"/>
            </w:tcBorders>
          </w:tcPr>
          <w:p w:rsidR="00000000" w:rsidRDefault="00000000">
            <w:pPr>
              <w:keepNext/>
              <w:keepLines/>
              <w:tabs>
                <w:tab w:val="left" w:pos="475"/>
                <w:tab w:val="left" w:pos="965"/>
                <w:tab w:val="left" w:pos="1440"/>
                <w:tab w:val="left" w:pos="1915"/>
                <w:tab w:val="left" w:pos="2405"/>
              </w:tabs>
              <w:spacing w:after="120"/>
              <w:rPr>
                <w:sz w:val="17"/>
              </w:rPr>
            </w:pPr>
            <w:r>
              <w:rPr>
                <w:sz w:val="17"/>
              </w:rPr>
              <w:t>1998</w:t>
            </w:r>
          </w:p>
        </w:tc>
        <w:tc>
          <w:tcPr>
            <w:tcW w:w="981" w:type="dxa"/>
            <w:tcBorders>
              <w:bottom w:val="single" w:sz="12" w:space="0" w:color="auto"/>
            </w:tcBorders>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3 979.2</w:t>
            </w:r>
          </w:p>
        </w:tc>
        <w:tc>
          <w:tcPr>
            <w:tcW w:w="880" w:type="dxa"/>
            <w:tcBorders>
              <w:bottom w:val="single" w:sz="12" w:space="0" w:color="auto"/>
            </w:tcBorders>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4 520.2</w:t>
            </w:r>
          </w:p>
        </w:tc>
        <w:tc>
          <w:tcPr>
            <w:tcW w:w="236" w:type="dxa"/>
            <w:tcBorders>
              <w:bottom w:val="single" w:sz="12" w:space="0" w:color="auto"/>
            </w:tcBorders>
          </w:tcPr>
          <w:p w:rsidR="00000000" w:rsidRDefault="00000000">
            <w:pPr>
              <w:keepNext/>
              <w:keepLines/>
              <w:tabs>
                <w:tab w:val="left" w:pos="475"/>
                <w:tab w:val="left" w:pos="965"/>
                <w:tab w:val="left" w:pos="1440"/>
                <w:tab w:val="left" w:pos="1915"/>
                <w:tab w:val="left" w:pos="2405"/>
              </w:tabs>
              <w:spacing w:after="120"/>
              <w:jc w:val="right"/>
              <w:rPr>
                <w:sz w:val="17"/>
              </w:rPr>
            </w:pPr>
          </w:p>
        </w:tc>
        <w:tc>
          <w:tcPr>
            <w:tcW w:w="900" w:type="dxa"/>
            <w:tcBorders>
              <w:bottom w:val="single" w:sz="12" w:space="0" w:color="auto"/>
            </w:tcBorders>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3 341.5</w:t>
            </w:r>
          </w:p>
        </w:tc>
        <w:tc>
          <w:tcPr>
            <w:tcW w:w="1013" w:type="dxa"/>
            <w:tcBorders>
              <w:bottom w:val="single" w:sz="12" w:space="0" w:color="auto"/>
            </w:tcBorders>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3 347.3</w:t>
            </w:r>
          </w:p>
        </w:tc>
      </w:tr>
    </w:tbl>
    <w:p w:rsidR="00000000" w:rsidRDefault="00000000">
      <w:pPr>
        <w:pStyle w:val="D12r"/>
      </w:pPr>
    </w:p>
    <w:p w:rsidR="00000000" w:rsidRDefault="00000000">
      <w:pPr>
        <w:pStyle w:val="D12r"/>
      </w:pPr>
    </w:p>
    <w:p w:rsidR="00000000" w:rsidRDefault="00000000">
      <w:pPr>
        <w:pStyle w:val="D12r"/>
      </w:pPr>
    </w:p>
    <w:p w:rsidR="00000000" w:rsidRDefault="00000000">
      <w:pPr>
        <w:pStyle w:val="DH2"/>
      </w:pPr>
      <w:r>
        <w:tab/>
        <w:t>Migration and refugees</w:t>
      </w:r>
    </w:p>
    <w:p w:rsidR="00000000" w:rsidRDefault="00000000">
      <w:pPr>
        <w:pStyle w:val="D12r"/>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pPr>
      <w:r>
        <w:t>20.</w:t>
      </w:r>
      <w:r>
        <w:tab/>
        <w:t>The Republic of Kazakhstan has a migration deficit. In 1998, 472,000 people departed from the Republic and 269,000 arrived; the migration deficit was minus 203,000. More women than men participated in migratory movements. As regards international migration, more women than men departed, and more women than men arrived. The total number of refugees in 1998 was 758: 453 men and 305 women.</w:t>
      </w: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pPr>
    </w:p>
    <w:p w:rsidR="00000000" w:rsidRDefault="00000000">
      <w:pPr>
        <w:pStyle w:val="DualTxt"/>
        <w:keepNext/>
        <w:keepLines/>
        <w:tabs>
          <w:tab w:val="clear" w:pos="480"/>
          <w:tab w:val="clear" w:pos="960"/>
          <w:tab w:val="clear" w:pos="2880"/>
          <w:tab w:val="clear" w:pos="3355"/>
          <w:tab w:val="left" w:pos="475"/>
          <w:tab w:val="left" w:pos="965"/>
          <w:tab w:val="left" w:pos="1440"/>
          <w:tab w:val="left" w:pos="1915"/>
          <w:tab w:val="left" w:pos="2405"/>
        </w:tabs>
        <w:spacing w:after="0"/>
      </w:pPr>
      <w:r>
        <w:t>Table 14</w:t>
      </w:r>
    </w:p>
    <w:p w:rsidR="00000000" w:rsidRDefault="00000000">
      <w:pPr>
        <w:pStyle w:val="Heading1"/>
        <w:keepLines/>
        <w:spacing w:after="120"/>
      </w:pPr>
      <w:r>
        <w:t>International migration of the population</w:t>
      </w:r>
    </w:p>
    <w:p w:rsidR="00000000" w:rsidRDefault="00000000">
      <w:pPr>
        <w:pStyle w:val="D12r"/>
        <w:keepNext/>
        <w:keepLines/>
      </w:pPr>
    </w:p>
    <w:tbl>
      <w:tblPr>
        <w:tblW w:w="0" w:type="auto"/>
        <w:jc w:val="right"/>
        <w:tblLayout w:type="fixed"/>
        <w:tblLook w:val="0000" w:firstRow="0" w:lastRow="0" w:firstColumn="0" w:lastColumn="0" w:noHBand="0" w:noVBand="0"/>
      </w:tblPr>
      <w:tblGrid>
        <w:gridCol w:w="985"/>
        <w:gridCol w:w="1170"/>
        <w:gridCol w:w="1255"/>
        <w:gridCol w:w="1405"/>
      </w:tblGrid>
      <w:tr w:rsidR="00000000">
        <w:tblPrEx>
          <w:tblCellMar>
            <w:top w:w="0" w:type="dxa"/>
            <w:bottom w:w="0" w:type="dxa"/>
          </w:tblCellMar>
        </w:tblPrEx>
        <w:trPr>
          <w:jc w:val="right"/>
        </w:trPr>
        <w:tc>
          <w:tcPr>
            <w:tcW w:w="985" w:type="dxa"/>
            <w:tcBorders>
              <w:top w:val="single" w:sz="4" w:space="0" w:color="auto"/>
              <w:bottom w:val="single" w:sz="12" w:space="0" w:color="auto"/>
            </w:tcBorders>
          </w:tcPr>
          <w:p w:rsidR="00000000" w:rsidRDefault="00000000">
            <w:pPr>
              <w:pStyle w:val="Heading7"/>
              <w:spacing w:line="200" w:lineRule="exact"/>
            </w:pPr>
            <w:r>
              <w:t>Year</w:t>
            </w:r>
          </w:p>
        </w:tc>
        <w:tc>
          <w:tcPr>
            <w:tcW w:w="1170" w:type="dxa"/>
            <w:tcBorders>
              <w:top w:val="single" w:sz="4" w:space="0" w:color="auto"/>
              <w:bottom w:val="single" w:sz="12" w:space="0" w:color="auto"/>
            </w:tcBorders>
          </w:tcPr>
          <w:p w:rsidR="00000000" w:rsidRDefault="00000000">
            <w:pPr>
              <w:keepNext/>
              <w:keepLines/>
              <w:tabs>
                <w:tab w:val="left" w:pos="475"/>
                <w:tab w:val="left" w:pos="965"/>
                <w:tab w:val="left" w:pos="1440"/>
                <w:tab w:val="left" w:pos="1915"/>
                <w:tab w:val="left" w:pos="2405"/>
              </w:tabs>
              <w:spacing w:after="120" w:line="200" w:lineRule="exact"/>
              <w:jc w:val="right"/>
              <w:rPr>
                <w:i/>
                <w:sz w:val="14"/>
              </w:rPr>
            </w:pPr>
            <w:r>
              <w:rPr>
                <w:i/>
                <w:sz w:val="14"/>
              </w:rPr>
              <w:t>Immigrants</w:t>
            </w:r>
          </w:p>
        </w:tc>
        <w:tc>
          <w:tcPr>
            <w:tcW w:w="1255" w:type="dxa"/>
            <w:tcBorders>
              <w:top w:val="single" w:sz="4" w:space="0" w:color="auto"/>
              <w:bottom w:val="single" w:sz="12" w:space="0" w:color="auto"/>
            </w:tcBorders>
          </w:tcPr>
          <w:p w:rsidR="00000000" w:rsidRDefault="00000000">
            <w:pPr>
              <w:keepNext/>
              <w:keepLines/>
              <w:tabs>
                <w:tab w:val="left" w:pos="475"/>
                <w:tab w:val="left" w:pos="965"/>
                <w:tab w:val="left" w:pos="1440"/>
                <w:tab w:val="left" w:pos="1915"/>
                <w:tab w:val="left" w:pos="2405"/>
              </w:tabs>
              <w:spacing w:after="120" w:line="200" w:lineRule="exact"/>
              <w:jc w:val="right"/>
              <w:rPr>
                <w:i/>
                <w:sz w:val="14"/>
              </w:rPr>
            </w:pPr>
            <w:r>
              <w:rPr>
                <w:i/>
                <w:sz w:val="14"/>
              </w:rPr>
              <w:t>Emigrants</w:t>
            </w:r>
          </w:p>
        </w:tc>
        <w:tc>
          <w:tcPr>
            <w:tcW w:w="1405" w:type="dxa"/>
            <w:tcBorders>
              <w:top w:val="single" w:sz="4" w:space="0" w:color="auto"/>
              <w:bottom w:val="single" w:sz="12" w:space="0" w:color="auto"/>
            </w:tcBorders>
          </w:tcPr>
          <w:p w:rsidR="00000000" w:rsidRDefault="00000000">
            <w:pPr>
              <w:keepNext/>
              <w:keepLines/>
              <w:tabs>
                <w:tab w:val="left" w:pos="475"/>
                <w:tab w:val="left" w:pos="965"/>
                <w:tab w:val="left" w:pos="1440"/>
                <w:tab w:val="left" w:pos="1915"/>
                <w:tab w:val="left" w:pos="2405"/>
              </w:tabs>
              <w:spacing w:after="120" w:line="200" w:lineRule="exact"/>
              <w:jc w:val="right"/>
              <w:rPr>
                <w:i/>
                <w:sz w:val="14"/>
              </w:rPr>
            </w:pPr>
            <w:r>
              <w:rPr>
                <w:i/>
                <w:sz w:val="14"/>
              </w:rPr>
              <w:t xml:space="preserve">Migration balance </w:t>
            </w:r>
            <w:r>
              <w:rPr>
                <w:i/>
                <w:sz w:val="14"/>
              </w:rPr>
              <w:br/>
              <w:t>(</w:t>
            </w:r>
            <w:r>
              <w:rPr>
                <w:b/>
                <w:i/>
                <w:sz w:val="14"/>
              </w:rPr>
              <w:t>+</w:t>
            </w:r>
            <w:r>
              <w:rPr>
                <w:i/>
                <w:sz w:val="14"/>
              </w:rPr>
              <w:t xml:space="preserve"> or -)</w:t>
            </w:r>
          </w:p>
        </w:tc>
      </w:tr>
      <w:tr w:rsidR="00000000">
        <w:tblPrEx>
          <w:tblCellMar>
            <w:top w:w="0" w:type="dxa"/>
            <w:bottom w:w="0" w:type="dxa"/>
          </w:tblCellMar>
        </w:tblPrEx>
        <w:trPr>
          <w:jc w:val="right"/>
        </w:trPr>
        <w:tc>
          <w:tcPr>
            <w:tcW w:w="985" w:type="dxa"/>
            <w:tcBorders>
              <w:top w:val="single" w:sz="12" w:space="0" w:color="auto"/>
            </w:tcBorders>
          </w:tcPr>
          <w:p w:rsidR="00000000" w:rsidRDefault="00000000">
            <w:pPr>
              <w:keepNext/>
              <w:keepLines/>
              <w:tabs>
                <w:tab w:val="left" w:pos="475"/>
                <w:tab w:val="left" w:pos="965"/>
                <w:tab w:val="left" w:pos="1440"/>
                <w:tab w:val="left" w:pos="1915"/>
                <w:tab w:val="left" w:pos="2405"/>
              </w:tabs>
              <w:spacing w:after="120"/>
              <w:rPr>
                <w:sz w:val="17"/>
              </w:rPr>
            </w:pPr>
            <w:r>
              <w:rPr>
                <w:sz w:val="17"/>
              </w:rPr>
              <w:t>1990</w:t>
            </w:r>
          </w:p>
        </w:tc>
        <w:tc>
          <w:tcPr>
            <w:tcW w:w="1170" w:type="dxa"/>
            <w:tcBorders>
              <w:top w:val="single" w:sz="12" w:space="0" w:color="auto"/>
            </w:tcBorders>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174 900</w:t>
            </w:r>
          </w:p>
        </w:tc>
        <w:tc>
          <w:tcPr>
            <w:tcW w:w="1255" w:type="dxa"/>
            <w:tcBorders>
              <w:top w:val="single" w:sz="12" w:space="0" w:color="auto"/>
            </w:tcBorders>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305 800</w:t>
            </w:r>
          </w:p>
        </w:tc>
        <w:tc>
          <w:tcPr>
            <w:tcW w:w="1405" w:type="dxa"/>
            <w:tcBorders>
              <w:top w:val="single" w:sz="12" w:space="0" w:color="auto"/>
            </w:tcBorders>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-130 900</w:t>
            </w:r>
          </w:p>
        </w:tc>
      </w:tr>
      <w:tr w:rsidR="00000000">
        <w:tblPrEx>
          <w:tblCellMar>
            <w:top w:w="0" w:type="dxa"/>
            <w:bottom w:w="0" w:type="dxa"/>
          </w:tblCellMar>
        </w:tblPrEx>
        <w:trPr>
          <w:jc w:val="right"/>
        </w:trPr>
        <w:tc>
          <w:tcPr>
            <w:tcW w:w="985" w:type="dxa"/>
          </w:tcPr>
          <w:p w:rsidR="00000000" w:rsidRDefault="00000000">
            <w:pPr>
              <w:keepNext/>
              <w:keepLines/>
              <w:tabs>
                <w:tab w:val="left" w:pos="475"/>
                <w:tab w:val="left" w:pos="965"/>
                <w:tab w:val="left" w:pos="1440"/>
                <w:tab w:val="left" w:pos="1915"/>
                <w:tab w:val="left" w:pos="2405"/>
              </w:tabs>
              <w:spacing w:after="120"/>
              <w:rPr>
                <w:sz w:val="17"/>
              </w:rPr>
            </w:pPr>
            <w:r>
              <w:rPr>
                <w:sz w:val="17"/>
              </w:rPr>
              <w:t>1991</w:t>
            </w:r>
          </w:p>
        </w:tc>
        <w:tc>
          <w:tcPr>
            <w:tcW w:w="1170"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206 094</w:t>
            </w:r>
          </w:p>
        </w:tc>
        <w:tc>
          <w:tcPr>
            <w:tcW w:w="1255"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255 015</w:t>
            </w:r>
          </w:p>
        </w:tc>
        <w:tc>
          <w:tcPr>
            <w:tcW w:w="1405"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-48 921</w:t>
            </w:r>
          </w:p>
        </w:tc>
      </w:tr>
      <w:tr w:rsidR="00000000">
        <w:tblPrEx>
          <w:tblCellMar>
            <w:top w:w="0" w:type="dxa"/>
            <w:bottom w:w="0" w:type="dxa"/>
          </w:tblCellMar>
        </w:tblPrEx>
        <w:trPr>
          <w:jc w:val="right"/>
        </w:trPr>
        <w:tc>
          <w:tcPr>
            <w:tcW w:w="985" w:type="dxa"/>
          </w:tcPr>
          <w:p w:rsidR="00000000" w:rsidRDefault="00000000">
            <w:pPr>
              <w:keepNext/>
              <w:keepLines/>
              <w:tabs>
                <w:tab w:val="left" w:pos="475"/>
                <w:tab w:val="left" w:pos="965"/>
                <w:tab w:val="left" w:pos="1440"/>
                <w:tab w:val="left" w:pos="1915"/>
                <w:tab w:val="left" w:pos="2405"/>
              </w:tabs>
              <w:spacing w:after="120"/>
              <w:rPr>
                <w:sz w:val="17"/>
              </w:rPr>
            </w:pPr>
            <w:r>
              <w:rPr>
                <w:sz w:val="17"/>
              </w:rPr>
              <w:t>1992</w:t>
            </w:r>
          </w:p>
        </w:tc>
        <w:tc>
          <w:tcPr>
            <w:tcW w:w="1170"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190 045</w:t>
            </w:r>
          </w:p>
        </w:tc>
        <w:tc>
          <w:tcPr>
            <w:tcW w:w="1255"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369 349</w:t>
            </w:r>
          </w:p>
        </w:tc>
        <w:tc>
          <w:tcPr>
            <w:tcW w:w="1405"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-179 304</w:t>
            </w:r>
          </w:p>
        </w:tc>
      </w:tr>
      <w:tr w:rsidR="00000000">
        <w:tblPrEx>
          <w:tblCellMar>
            <w:top w:w="0" w:type="dxa"/>
            <w:bottom w:w="0" w:type="dxa"/>
          </w:tblCellMar>
        </w:tblPrEx>
        <w:trPr>
          <w:jc w:val="right"/>
        </w:trPr>
        <w:tc>
          <w:tcPr>
            <w:tcW w:w="985" w:type="dxa"/>
          </w:tcPr>
          <w:p w:rsidR="00000000" w:rsidRDefault="00000000">
            <w:pPr>
              <w:keepNext/>
              <w:keepLines/>
              <w:tabs>
                <w:tab w:val="left" w:pos="475"/>
                <w:tab w:val="left" w:pos="965"/>
                <w:tab w:val="left" w:pos="1440"/>
                <w:tab w:val="left" w:pos="1915"/>
                <w:tab w:val="left" w:pos="2405"/>
              </w:tabs>
              <w:spacing w:after="120"/>
              <w:rPr>
                <w:sz w:val="17"/>
              </w:rPr>
            </w:pPr>
            <w:r>
              <w:rPr>
                <w:sz w:val="17"/>
              </w:rPr>
              <w:t>1993</w:t>
            </w:r>
          </w:p>
        </w:tc>
        <w:tc>
          <w:tcPr>
            <w:tcW w:w="1170"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111 274</w:t>
            </w:r>
          </w:p>
        </w:tc>
        <w:tc>
          <w:tcPr>
            <w:tcW w:w="1255"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333 375</w:t>
            </w:r>
          </w:p>
        </w:tc>
        <w:tc>
          <w:tcPr>
            <w:tcW w:w="1405"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-222 101</w:t>
            </w:r>
          </w:p>
        </w:tc>
      </w:tr>
      <w:tr w:rsidR="00000000">
        <w:tblPrEx>
          <w:tblCellMar>
            <w:top w:w="0" w:type="dxa"/>
            <w:bottom w:w="0" w:type="dxa"/>
          </w:tblCellMar>
        </w:tblPrEx>
        <w:trPr>
          <w:jc w:val="right"/>
        </w:trPr>
        <w:tc>
          <w:tcPr>
            <w:tcW w:w="985" w:type="dxa"/>
          </w:tcPr>
          <w:p w:rsidR="00000000" w:rsidRDefault="00000000">
            <w:pPr>
              <w:keepNext/>
              <w:keepLines/>
              <w:tabs>
                <w:tab w:val="left" w:pos="475"/>
                <w:tab w:val="left" w:pos="965"/>
                <w:tab w:val="left" w:pos="1440"/>
                <w:tab w:val="left" w:pos="1915"/>
                <w:tab w:val="left" w:pos="2405"/>
              </w:tabs>
              <w:spacing w:after="120"/>
              <w:rPr>
                <w:sz w:val="17"/>
              </w:rPr>
            </w:pPr>
            <w:r>
              <w:rPr>
                <w:sz w:val="17"/>
              </w:rPr>
              <w:t>1994</w:t>
            </w:r>
          </w:p>
        </w:tc>
        <w:tc>
          <w:tcPr>
            <w:tcW w:w="1170"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70 452</w:t>
            </w:r>
          </w:p>
        </w:tc>
        <w:tc>
          <w:tcPr>
            <w:tcW w:w="1255"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480 839</w:t>
            </w:r>
          </w:p>
        </w:tc>
        <w:tc>
          <w:tcPr>
            <w:tcW w:w="1405"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-410 387</w:t>
            </w:r>
          </w:p>
        </w:tc>
      </w:tr>
      <w:tr w:rsidR="00000000">
        <w:tblPrEx>
          <w:tblCellMar>
            <w:top w:w="0" w:type="dxa"/>
            <w:bottom w:w="0" w:type="dxa"/>
          </w:tblCellMar>
        </w:tblPrEx>
        <w:trPr>
          <w:jc w:val="right"/>
        </w:trPr>
        <w:tc>
          <w:tcPr>
            <w:tcW w:w="985" w:type="dxa"/>
          </w:tcPr>
          <w:p w:rsidR="00000000" w:rsidRDefault="00000000">
            <w:pPr>
              <w:keepNext/>
              <w:keepLines/>
              <w:tabs>
                <w:tab w:val="left" w:pos="475"/>
                <w:tab w:val="left" w:pos="965"/>
                <w:tab w:val="left" w:pos="1440"/>
                <w:tab w:val="left" w:pos="1915"/>
                <w:tab w:val="left" w:pos="2405"/>
              </w:tabs>
              <w:spacing w:after="120"/>
              <w:rPr>
                <w:sz w:val="17"/>
              </w:rPr>
            </w:pPr>
            <w:r>
              <w:rPr>
                <w:sz w:val="17"/>
              </w:rPr>
              <w:t>1995</w:t>
            </w:r>
          </w:p>
        </w:tc>
        <w:tc>
          <w:tcPr>
            <w:tcW w:w="1170"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71 137</w:t>
            </w:r>
          </w:p>
        </w:tc>
        <w:tc>
          <w:tcPr>
            <w:tcW w:w="1255"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309 632</w:t>
            </w:r>
          </w:p>
        </w:tc>
        <w:tc>
          <w:tcPr>
            <w:tcW w:w="1405"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-238 495</w:t>
            </w:r>
          </w:p>
        </w:tc>
      </w:tr>
      <w:tr w:rsidR="00000000">
        <w:tblPrEx>
          <w:tblCellMar>
            <w:top w:w="0" w:type="dxa"/>
            <w:bottom w:w="0" w:type="dxa"/>
          </w:tblCellMar>
        </w:tblPrEx>
        <w:trPr>
          <w:jc w:val="right"/>
        </w:trPr>
        <w:tc>
          <w:tcPr>
            <w:tcW w:w="985" w:type="dxa"/>
          </w:tcPr>
          <w:p w:rsidR="00000000" w:rsidRDefault="00000000">
            <w:pPr>
              <w:keepNext/>
              <w:keepLines/>
              <w:tabs>
                <w:tab w:val="left" w:pos="475"/>
                <w:tab w:val="left" w:pos="965"/>
                <w:tab w:val="left" w:pos="1440"/>
                <w:tab w:val="left" w:pos="1915"/>
                <w:tab w:val="left" w:pos="2405"/>
              </w:tabs>
              <w:spacing w:after="120"/>
              <w:rPr>
                <w:sz w:val="17"/>
              </w:rPr>
            </w:pPr>
            <w:r>
              <w:rPr>
                <w:sz w:val="17"/>
              </w:rPr>
              <w:t>1996</w:t>
            </w:r>
          </w:p>
        </w:tc>
        <w:tc>
          <w:tcPr>
            <w:tcW w:w="1170"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53 874</w:t>
            </w:r>
          </w:p>
        </w:tc>
        <w:tc>
          <w:tcPr>
            <w:tcW w:w="1255"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229 412</w:t>
            </w:r>
          </w:p>
        </w:tc>
        <w:tc>
          <w:tcPr>
            <w:tcW w:w="1405"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-175 538</w:t>
            </w:r>
          </w:p>
        </w:tc>
      </w:tr>
      <w:tr w:rsidR="00000000">
        <w:tblPrEx>
          <w:tblCellMar>
            <w:top w:w="0" w:type="dxa"/>
            <w:bottom w:w="0" w:type="dxa"/>
          </w:tblCellMar>
        </w:tblPrEx>
        <w:trPr>
          <w:jc w:val="right"/>
        </w:trPr>
        <w:tc>
          <w:tcPr>
            <w:tcW w:w="985" w:type="dxa"/>
          </w:tcPr>
          <w:p w:rsidR="00000000" w:rsidRDefault="00000000">
            <w:pPr>
              <w:keepNext/>
              <w:keepLines/>
              <w:tabs>
                <w:tab w:val="left" w:pos="475"/>
                <w:tab w:val="left" w:pos="965"/>
                <w:tab w:val="left" w:pos="1440"/>
                <w:tab w:val="left" w:pos="1915"/>
                <w:tab w:val="left" w:pos="2405"/>
              </w:tabs>
              <w:spacing w:after="120"/>
              <w:rPr>
                <w:sz w:val="17"/>
              </w:rPr>
            </w:pPr>
            <w:r>
              <w:rPr>
                <w:sz w:val="17"/>
              </w:rPr>
              <w:t>1997</w:t>
            </w:r>
          </w:p>
        </w:tc>
        <w:tc>
          <w:tcPr>
            <w:tcW w:w="1170"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38 067</w:t>
            </w:r>
          </w:p>
        </w:tc>
        <w:tc>
          <w:tcPr>
            <w:tcW w:w="1255"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299 455</w:t>
            </w:r>
          </w:p>
        </w:tc>
        <w:tc>
          <w:tcPr>
            <w:tcW w:w="1405" w:type="dxa"/>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-261 388</w:t>
            </w:r>
          </w:p>
        </w:tc>
      </w:tr>
      <w:tr w:rsidR="00000000">
        <w:tblPrEx>
          <w:tblCellMar>
            <w:top w:w="0" w:type="dxa"/>
            <w:bottom w:w="0" w:type="dxa"/>
          </w:tblCellMar>
        </w:tblPrEx>
        <w:trPr>
          <w:jc w:val="right"/>
        </w:trPr>
        <w:tc>
          <w:tcPr>
            <w:tcW w:w="985" w:type="dxa"/>
            <w:tcBorders>
              <w:bottom w:val="single" w:sz="12" w:space="0" w:color="auto"/>
            </w:tcBorders>
          </w:tcPr>
          <w:p w:rsidR="00000000" w:rsidRDefault="00000000">
            <w:pPr>
              <w:keepNext/>
              <w:keepLines/>
              <w:tabs>
                <w:tab w:val="left" w:pos="475"/>
                <w:tab w:val="left" w:pos="965"/>
                <w:tab w:val="left" w:pos="1440"/>
                <w:tab w:val="left" w:pos="1915"/>
                <w:tab w:val="left" w:pos="2405"/>
              </w:tabs>
              <w:spacing w:after="120"/>
              <w:rPr>
                <w:sz w:val="17"/>
              </w:rPr>
            </w:pPr>
            <w:r>
              <w:rPr>
                <w:sz w:val="17"/>
              </w:rPr>
              <w:t>1998</w:t>
            </w:r>
          </w:p>
        </w:tc>
        <w:tc>
          <w:tcPr>
            <w:tcW w:w="1170" w:type="dxa"/>
            <w:tcBorders>
              <w:bottom w:val="single" w:sz="12" w:space="0" w:color="auto"/>
            </w:tcBorders>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40 624</w:t>
            </w:r>
          </w:p>
        </w:tc>
        <w:tc>
          <w:tcPr>
            <w:tcW w:w="1255" w:type="dxa"/>
            <w:tcBorders>
              <w:bottom w:val="single" w:sz="12" w:space="0" w:color="auto"/>
            </w:tcBorders>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243 663</w:t>
            </w:r>
          </w:p>
        </w:tc>
        <w:tc>
          <w:tcPr>
            <w:tcW w:w="1405" w:type="dxa"/>
            <w:tcBorders>
              <w:bottom w:val="single" w:sz="12" w:space="0" w:color="auto"/>
            </w:tcBorders>
          </w:tcPr>
          <w:p w:rsidR="00000000" w:rsidRDefault="00000000">
            <w:pPr>
              <w:keepNext/>
              <w:keepLines/>
              <w:tabs>
                <w:tab w:val="left" w:pos="475"/>
                <w:tab w:val="left" w:pos="965"/>
                <w:tab w:val="left" w:pos="1440"/>
                <w:tab w:val="left" w:pos="1915"/>
                <w:tab w:val="left" w:pos="2405"/>
              </w:tabs>
              <w:spacing w:after="120"/>
              <w:jc w:val="right"/>
              <w:rPr>
                <w:sz w:val="17"/>
              </w:rPr>
            </w:pPr>
            <w:r>
              <w:rPr>
                <w:sz w:val="17"/>
              </w:rPr>
              <w:t>-203 039</w:t>
            </w:r>
          </w:p>
        </w:tc>
      </w:tr>
    </w:tbl>
    <w:p w:rsidR="00000000" w:rsidRDefault="00000000">
      <w:pPr>
        <w:tabs>
          <w:tab w:val="left" w:pos="475"/>
          <w:tab w:val="left" w:pos="965"/>
          <w:tab w:val="left" w:pos="1440"/>
          <w:tab w:val="left" w:pos="1915"/>
          <w:tab w:val="left" w:pos="2405"/>
        </w:tabs>
        <w:spacing w:after="120"/>
        <w:jc w:val="both"/>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r>
        <w:t>Table 15</w:t>
      </w:r>
    </w:p>
    <w:p w:rsidR="00000000" w:rsidRDefault="00000000">
      <w:pPr>
        <w:pStyle w:val="BodyText2"/>
        <w:spacing w:after="120"/>
      </w:pPr>
      <w:r>
        <w:t>Migration of the population by nationality/ethnic group in 1998</w:t>
      </w:r>
    </w:p>
    <w:p w:rsidR="00000000" w:rsidRDefault="00000000">
      <w:pPr>
        <w:pStyle w:val="D12r"/>
      </w:pPr>
    </w:p>
    <w:tbl>
      <w:tblPr>
        <w:tblW w:w="0" w:type="auto"/>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93"/>
        <w:gridCol w:w="1080"/>
        <w:gridCol w:w="1080"/>
        <w:gridCol w:w="1044"/>
      </w:tblGrid>
      <w:tr w:rsidR="00000000">
        <w:tblPrEx>
          <w:tblCellMar>
            <w:top w:w="0" w:type="dxa"/>
            <w:bottom w:w="0" w:type="dxa"/>
          </w:tblCellMar>
        </w:tblPrEx>
        <w:trPr>
          <w:tblHeader/>
        </w:trPr>
        <w:tc>
          <w:tcPr>
            <w:tcW w:w="1593" w:type="dxa"/>
            <w:tcBorders>
              <w:top w:val="single" w:sz="4" w:space="0" w:color="auto"/>
              <w:left w:val="nil"/>
              <w:bottom w:val="single" w:sz="12" w:space="0" w:color="auto"/>
              <w:right w:val="nil"/>
            </w:tcBorders>
          </w:tcPr>
          <w:p w:rsidR="00000000" w:rsidRDefault="00000000">
            <w:pPr>
              <w:tabs>
                <w:tab w:val="left" w:pos="475"/>
                <w:tab w:val="left" w:pos="965"/>
                <w:tab w:val="left" w:pos="1440"/>
                <w:tab w:val="left" w:pos="1915"/>
                <w:tab w:val="left" w:pos="2405"/>
              </w:tabs>
              <w:spacing w:after="120" w:line="200" w:lineRule="exact"/>
              <w:rPr>
                <w:i/>
                <w:sz w:val="14"/>
              </w:rPr>
            </w:pPr>
          </w:p>
        </w:tc>
        <w:tc>
          <w:tcPr>
            <w:tcW w:w="1080" w:type="dxa"/>
            <w:tcBorders>
              <w:top w:val="single" w:sz="4" w:space="0" w:color="auto"/>
              <w:left w:val="nil"/>
              <w:bottom w:val="single" w:sz="12" w:space="0" w:color="auto"/>
              <w:right w:val="nil"/>
            </w:tcBorders>
          </w:tcPr>
          <w:p w:rsidR="00000000" w:rsidRDefault="00000000">
            <w:pPr>
              <w:tabs>
                <w:tab w:val="left" w:pos="475"/>
                <w:tab w:val="left" w:pos="965"/>
                <w:tab w:val="left" w:pos="1440"/>
                <w:tab w:val="left" w:pos="1915"/>
                <w:tab w:val="left" w:pos="2405"/>
              </w:tabs>
              <w:spacing w:after="120" w:line="200" w:lineRule="exact"/>
              <w:jc w:val="right"/>
              <w:rPr>
                <w:i/>
                <w:sz w:val="14"/>
              </w:rPr>
            </w:pPr>
            <w:r>
              <w:rPr>
                <w:i/>
                <w:sz w:val="14"/>
              </w:rPr>
              <w:t>Number of people who arrived</w:t>
            </w:r>
          </w:p>
        </w:tc>
        <w:tc>
          <w:tcPr>
            <w:tcW w:w="1080" w:type="dxa"/>
            <w:tcBorders>
              <w:top w:val="single" w:sz="4" w:space="0" w:color="auto"/>
              <w:left w:val="nil"/>
              <w:bottom w:val="single" w:sz="12" w:space="0" w:color="auto"/>
              <w:right w:val="nil"/>
            </w:tcBorders>
          </w:tcPr>
          <w:p w:rsidR="00000000" w:rsidRDefault="00000000">
            <w:pPr>
              <w:tabs>
                <w:tab w:val="left" w:pos="475"/>
                <w:tab w:val="left" w:pos="965"/>
                <w:tab w:val="left" w:pos="1440"/>
                <w:tab w:val="left" w:pos="1915"/>
                <w:tab w:val="left" w:pos="2405"/>
              </w:tabs>
              <w:spacing w:after="120" w:line="200" w:lineRule="exact"/>
              <w:jc w:val="right"/>
              <w:rPr>
                <w:i/>
                <w:sz w:val="14"/>
              </w:rPr>
            </w:pPr>
            <w:r>
              <w:rPr>
                <w:i/>
                <w:sz w:val="14"/>
              </w:rPr>
              <w:t>Number of people who departed</w:t>
            </w:r>
          </w:p>
        </w:tc>
        <w:tc>
          <w:tcPr>
            <w:tcW w:w="1044" w:type="dxa"/>
            <w:tcBorders>
              <w:top w:val="single" w:sz="4" w:space="0" w:color="auto"/>
              <w:left w:val="nil"/>
              <w:bottom w:val="single" w:sz="12" w:space="0" w:color="auto"/>
              <w:right w:val="nil"/>
            </w:tcBorders>
          </w:tcPr>
          <w:p w:rsidR="00000000" w:rsidRDefault="00000000">
            <w:pPr>
              <w:tabs>
                <w:tab w:val="left" w:pos="475"/>
                <w:tab w:val="left" w:pos="965"/>
                <w:tab w:val="left" w:pos="1440"/>
                <w:tab w:val="left" w:pos="1915"/>
                <w:tab w:val="left" w:pos="2405"/>
              </w:tabs>
              <w:spacing w:after="120" w:line="200" w:lineRule="exact"/>
              <w:jc w:val="right"/>
              <w:rPr>
                <w:i/>
                <w:sz w:val="14"/>
              </w:rPr>
            </w:pPr>
            <w:r>
              <w:rPr>
                <w:i/>
                <w:sz w:val="14"/>
              </w:rPr>
              <w:t>Migration balance</w:t>
            </w:r>
            <w:r>
              <w:rPr>
                <w:i/>
                <w:sz w:val="14"/>
              </w:rPr>
              <w:br/>
              <w:t>(</w:t>
            </w:r>
            <w:r>
              <w:rPr>
                <w:b/>
                <w:i/>
                <w:sz w:val="14"/>
              </w:rPr>
              <w:t>+</w:t>
            </w:r>
            <w:r>
              <w:rPr>
                <w:i/>
                <w:sz w:val="14"/>
              </w:rPr>
              <w:t xml:space="preserve"> or -)</w:t>
            </w:r>
          </w:p>
        </w:tc>
      </w:tr>
      <w:tr w:rsidR="00000000">
        <w:tblPrEx>
          <w:tblCellMar>
            <w:top w:w="0" w:type="dxa"/>
            <w:bottom w:w="0" w:type="dxa"/>
          </w:tblCellMar>
        </w:tblPrEx>
        <w:tc>
          <w:tcPr>
            <w:tcW w:w="1593" w:type="dxa"/>
            <w:tcBorders>
              <w:top w:val="single" w:sz="12" w:space="0" w:color="auto"/>
              <w:left w:val="nil"/>
              <w:bottom w:val="nil"/>
              <w:right w:val="nil"/>
            </w:tcBorders>
          </w:tcPr>
          <w:p w:rsidR="00000000" w:rsidRDefault="00000000">
            <w:pPr>
              <w:tabs>
                <w:tab w:val="left" w:pos="475"/>
                <w:tab w:val="left" w:pos="965"/>
                <w:tab w:val="left" w:pos="1440"/>
                <w:tab w:val="left" w:pos="1915"/>
                <w:tab w:val="left" w:pos="2405"/>
              </w:tabs>
              <w:spacing w:after="120"/>
              <w:rPr>
                <w:b/>
                <w:sz w:val="17"/>
              </w:rPr>
            </w:pPr>
            <w:r>
              <w:rPr>
                <w:b/>
                <w:sz w:val="17"/>
              </w:rPr>
              <w:t>Republic of Kazakhstan</w:t>
            </w:r>
          </w:p>
        </w:tc>
        <w:tc>
          <w:tcPr>
            <w:tcW w:w="1080" w:type="dxa"/>
            <w:tcBorders>
              <w:top w:val="single" w:sz="12" w:space="0" w:color="auto"/>
              <w:left w:val="nil"/>
              <w:bottom w:val="nil"/>
              <w:right w:val="nil"/>
            </w:tcBorders>
          </w:tcPr>
          <w:p w:rsidR="00000000" w:rsidRDefault="00000000">
            <w:pPr>
              <w:tabs>
                <w:tab w:val="left" w:pos="475"/>
                <w:tab w:val="left" w:pos="965"/>
                <w:tab w:val="left" w:pos="1440"/>
                <w:tab w:val="left" w:pos="1915"/>
                <w:tab w:val="left" w:pos="2405"/>
              </w:tabs>
              <w:spacing w:after="120"/>
              <w:jc w:val="right"/>
              <w:rPr>
                <w:b/>
                <w:sz w:val="17"/>
              </w:rPr>
            </w:pPr>
            <w:r>
              <w:rPr>
                <w:b/>
                <w:sz w:val="17"/>
              </w:rPr>
              <w:t>269 234</w:t>
            </w:r>
          </w:p>
        </w:tc>
        <w:tc>
          <w:tcPr>
            <w:tcW w:w="1080" w:type="dxa"/>
            <w:tcBorders>
              <w:top w:val="single" w:sz="12" w:space="0" w:color="auto"/>
              <w:left w:val="nil"/>
              <w:bottom w:val="nil"/>
              <w:right w:val="nil"/>
            </w:tcBorders>
          </w:tcPr>
          <w:p w:rsidR="00000000" w:rsidRDefault="00000000">
            <w:pPr>
              <w:tabs>
                <w:tab w:val="left" w:pos="475"/>
                <w:tab w:val="left" w:pos="965"/>
                <w:tab w:val="left" w:pos="1440"/>
                <w:tab w:val="left" w:pos="1915"/>
                <w:tab w:val="left" w:pos="2405"/>
              </w:tabs>
              <w:spacing w:after="120"/>
              <w:jc w:val="right"/>
              <w:rPr>
                <w:b/>
                <w:sz w:val="17"/>
              </w:rPr>
            </w:pPr>
            <w:r>
              <w:rPr>
                <w:b/>
                <w:sz w:val="17"/>
              </w:rPr>
              <w:t>472 273</w:t>
            </w:r>
          </w:p>
        </w:tc>
        <w:tc>
          <w:tcPr>
            <w:tcW w:w="1044" w:type="dxa"/>
            <w:tcBorders>
              <w:top w:val="single" w:sz="12" w:space="0" w:color="auto"/>
              <w:left w:val="nil"/>
              <w:bottom w:val="nil"/>
              <w:right w:val="nil"/>
            </w:tcBorders>
          </w:tcPr>
          <w:p w:rsidR="00000000" w:rsidRDefault="00000000">
            <w:pPr>
              <w:tabs>
                <w:tab w:val="left" w:pos="475"/>
                <w:tab w:val="left" w:pos="965"/>
                <w:tab w:val="left" w:pos="1440"/>
                <w:tab w:val="left" w:pos="1915"/>
                <w:tab w:val="left" w:pos="2405"/>
              </w:tabs>
              <w:spacing w:after="120"/>
              <w:jc w:val="right"/>
              <w:rPr>
                <w:b/>
                <w:sz w:val="17"/>
              </w:rPr>
            </w:pPr>
            <w:r>
              <w:rPr>
                <w:b/>
                <w:sz w:val="17"/>
              </w:rPr>
              <w:t>-203 039</w:t>
            </w:r>
          </w:p>
        </w:tc>
      </w:tr>
      <w:tr w:rsidR="00000000">
        <w:tblPrEx>
          <w:tblCellMar>
            <w:top w:w="0" w:type="dxa"/>
            <w:bottom w:w="0" w:type="dxa"/>
          </w:tblCellMar>
        </w:tblPrEx>
        <w:tc>
          <w:tcPr>
            <w:tcW w:w="1593" w:type="dxa"/>
            <w:tcBorders>
              <w:top w:val="nil"/>
              <w:left w:val="nil"/>
              <w:bottom w:val="nil"/>
              <w:right w:val="nil"/>
            </w:tcBorders>
          </w:tcPr>
          <w:p w:rsidR="00000000" w:rsidRDefault="00000000">
            <w:pPr>
              <w:pStyle w:val="Header"/>
              <w:tabs>
                <w:tab w:val="clear" w:pos="4320"/>
                <w:tab w:val="clear" w:pos="8640"/>
                <w:tab w:val="left" w:pos="225"/>
                <w:tab w:val="left" w:pos="965"/>
                <w:tab w:val="left" w:pos="1440"/>
                <w:tab w:val="left" w:pos="1915"/>
                <w:tab w:val="left" w:pos="2405"/>
              </w:tabs>
              <w:suppressAutoHyphens/>
              <w:spacing w:after="120" w:line="240" w:lineRule="exact"/>
              <w:rPr>
                <w:noProof w:val="0"/>
                <w:spacing w:val="4"/>
                <w:w w:val="103"/>
                <w:kern w:val="14"/>
                <w:lang w:val="en-GB"/>
              </w:rPr>
            </w:pPr>
            <w:r>
              <w:rPr>
                <w:noProof w:val="0"/>
                <w:spacing w:val="4"/>
                <w:w w:val="103"/>
                <w:kern w:val="14"/>
                <w:lang w:val="en-GB"/>
              </w:rPr>
              <w:tab/>
              <w:t>of whom:</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p>
        </w:tc>
        <w:tc>
          <w:tcPr>
            <w:tcW w:w="1044"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p>
        </w:tc>
      </w:tr>
      <w:tr w:rsidR="00000000">
        <w:tblPrEx>
          <w:tblCellMar>
            <w:top w:w="0" w:type="dxa"/>
            <w:bottom w:w="0" w:type="dxa"/>
          </w:tblCellMar>
        </w:tblPrEx>
        <w:tc>
          <w:tcPr>
            <w:tcW w:w="1593"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rPr>
                <w:sz w:val="17"/>
              </w:rPr>
            </w:pPr>
            <w:r>
              <w:rPr>
                <w:sz w:val="17"/>
              </w:rPr>
              <w:t>Kazakhs</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172 447</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170 762</w:t>
            </w:r>
          </w:p>
        </w:tc>
        <w:tc>
          <w:tcPr>
            <w:tcW w:w="1044"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1 685</w:t>
            </w:r>
          </w:p>
        </w:tc>
      </w:tr>
      <w:tr w:rsidR="00000000">
        <w:tblPrEx>
          <w:tblCellMar>
            <w:top w:w="0" w:type="dxa"/>
            <w:bottom w:w="0" w:type="dxa"/>
          </w:tblCellMar>
        </w:tblPrEx>
        <w:tc>
          <w:tcPr>
            <w:tcW w:w="1593"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rPr>
                <w:sz w:val="17"/>
              </w:rPr>
            </w:pPr>
            <w:r>
              <w:rPr>
                <w:sz w:val="17"/>
              </w:rPr>
              <w:t>Russians</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61 903</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186 397</w:t>
            </w:r>
          </w:p>
        </w:tc>
        <w:tc>
          <w:tcPr>
            <w:tcW w:w="1044"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-124 494</w:t>
            </w:r>
          </w:p>
        </w:tc>
      </w:tr>
      <w:tr w:rsidR="00000000">
        <w:tblPrEx>
          <w:tblCellMar>
            <w:top w:w="0" w:type="dxa"/>
            <w:bottom w:w="0" w:type="dxa"/>
          </w:tblCellMar>
        </w:tblPrEx>
        <w:tc>
          <w:tcPr>
            <w:tcW w:w="1593"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rPr>
                <w:sz w:val="17"/>
              </w:rPr>
            </w:pPr>
            <w:r>
              <w:rPr>
                <w:sz w:val="17"/>
              </w:rPr>
              <w:t>Ukrainians</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9 642</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29 885</w:t>
            </w:r>
          </w:p>
        </w:tc>
        <w:tc>
          <w:tcPr>
            <w:tcW w:w="1044"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-20 243</w:t>
            </w:r>
          </w:p>
        </w:tc>
      </w:tr>
      <w:tr w:rsidR="00000000">
        <w:tblPrEx>
          <w:tblCellMar>
            <w:top w:w="0" w:type="dxa"/>
            <w:bottom w:w="0" w:type="dxa"/>
          </w:tblCellMar>
        </w:tblPrEx>
        <w:tc>
          <w:tcPr>
            <w:tcW w:w="1593"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rPr>
                <w:sz w:val="17"/>
              </w:rPr>
            </w:pPr>
            <w:r>
              <w:rPr>
                <w:sz w:val="17"/>
              </w:rPr>
              <w:t>Byelorussians</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1 844</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6 699</w:t>
            </w:r>
          </w:p>
        </w:tc>
        <w:tc>
          <w:tcPr>
            <w:tcW w:w="1044"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-4 855</w:t>
            </w:r>
          </w:p>
        </w:tc>
      </w:tr>
      <w:tr w:rsidR="00000000">
        <w:tblPrEx>
          <w:tblCellMar>
            <w:top w:w="0" w:type="dxa"/>
            <w:bottom w:w="0" w:type="dxa"/>
          </w:tblCellMar>
        </w:tblPrEx>
        <w:tc>
          <w:tcPr>
            <w:tcW w:w="1593"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rPr>
                <w:sz w:val="17"/>
              </w:rPr>
            </w:pPr>
            <w:r>
              <w:rPr>
                <w:sz w:val="17"/>
              </w:rPr>
              <w:t>Uzbeks</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1 180</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1 950</w:t>
            </w:r>
          </w:p>
        </w:tc>
        <w:tc>
          <w:tcPr>
            <w:tcW w:w="1044"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-770</w:t>
            </w:r>
          </w:p>
        </w:tc>
      </w:tr>
      <w:tr w:rsidR="00000000">
        <w:tblPrEx>
          <w:tblCellMar>
            <w:top w:w="0" w:type="dxa"/>
            <w:bottom w:w="0" w:type="dxa"/>
          </w:tblCellMar>
        </w:tblPrEx>
        <w:tc>
          <w:tcPr>
            <w:tcW w:w="1593"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rPr>
                <w:sz w:val="17"/>
              </w:rPr>
            </w:pPr>
            <w:r>
              <w:rPr>
                <w:sz w:val="17"/>
              </w:rPr>
              <w:t>Georgians</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109</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187</w:t>
            </w:r>
          </w:p>
        </w:tc>
        <w:tc>
          <w:tcPr>
            <w:tcW w:w="1044"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-78</w:t>
            </w:r>
          </w:p>
        </w:tc>
      </w:tr>
      <w:tr w:rsidR="00000000">
        <w:tblPrEx>
          <w:tblCellMar>
            <w:top w:w="0" w:type="dxa"/>
            <w:bottom w:w="0" w:type="dxa"/>
          </w:tblCellMar>
        </w:tblPrEx>
        <w:tc>
          <w:tcPr>
            <w:tcW w:w="1593"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rPr>
                <w:sz w:val="17"/>
              </w:rPr>
            </w:pPr>
            <w:r>
              <w:rPr>
                <w:sz w:val="17"/>
              </w:rPr>
              <w:t>Azerbaijanis</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1 183</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1 542</w:t>
            </w:r>
          </w:p>
        </w:tc>
        <w:tc>
          <w:tcPr>
            <w:tcW w:w="1044"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-359</w:t>
            </w:r>
          </w:p>
        </w:tc>
      </w:tr>
      <w:tr w:rsidR="00000000">
        <w:tblPrEx>
          <w:tblCellMar>
            <w:top w:w="0" w:type="dxa"/>
            <w:bottom w:w="0" w:type="dxa"/>
          </w:tblCellMar>
        </w:tblPrEx>
        <w:tc>
          <w:tcPr>
            <w:tcW w:w="1593"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rPr>
                <w:sz w:val="17"/>
              </w:rPr>
            </w:pPr>
            <w:r>
              <w:rPr>
                <w:sz w:val="17"/>
              </w:rPr>
              <w:t>Lithuanians</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132</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302</w:t>
            </w:r>
          </w:p>
        </w:tc>
        <w:tc>
          <w:tcPr>
            <w:tcW w:w="1044"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-170</w:t>
            </w:r>
          </w:p>
        </w:tc>
      </w:tr>
      <w:tr w:rsidR="00000000">
        <w:tblPrEx>
          <w:tblCellMar>
            <w:top w:w="0" w:type="dxa"/>
            <w:bottom w:w="0" w:type="dxa"/>
          </w:tblCellMar>
        </w:tblPrEx>
        <w:tc>
          <w:tcPr>
            <w:tcW w:w="1593"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rPr>
                <w:sz w:val="17"/>
              </w:rPr>
            </w:pPr>
            <w:r>
              <w:rPr>
                <w:sz w:val="17"/>
              </w:rPr>
              <w:t>Moldovans</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397</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1 042</w:t>
            </w:r>
          </w:p>
        </w:tc>
        <w:tc>
          <w:tcPr>
            <w:tcW w:w="1044"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-645</w:t>
            </w:r>
          </w:p>
        </w:tc>
      </w:tr>
      <w:tr w:rsidR="00000000">
        <w:tblPrEx>
          <w:tblCellMar>
            <w:top w:w="0" w:type="dxa"/>
            <w:bottom w:w="0" w:type="dxa"/>
          </w:tblCellMar>
        </w:tblPrEx>
        <w:tc>
          <w:tcPr>
            <w:tcW w:w="1593"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rPr>
                <w:sz w:val="17"/>
              </w:rPr>
            </w:pPr>
            <w:r>
              <w:rPr>
                <w:sz w:val="17"/>
              </w:rPr>
              <w:t>Latvians</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20</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75</w:t>
            </w:r>
          </w:p>
        </w:tc>
        <w:tc>
          <w:tcPr>
            <w:tcW w:w="1044"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-55</w:t>
            </w:r>
          </w:p>
        </w:tc>
      </w:tr>
      <w:tr w:rsidR="00000000">
        <w:tblPrEx>
          <w:tblCellMar>
            <w:top w:w="0" w:type="dxa"/>
            <w:bottom w:w="0" w:type="dxa"/>
          </w:tblCellMar>
        </w:tblPrEx>
        <w:tc>
          <w:tcPr>
            <w:tcW w:w="1593"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rPr>
                <w:sz w:val="17"/>
              </w:rPr>
            </w:pPr>
            <w:r>
              <w:rPr>
                <w:sz w:val="17"/>
              </w:rPr>
              <w:t>Kyrgyz</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249</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241</w:t>
            </w:r>
          </w:p>
        </w:tc>
        <w:tc>
          <w:tcPr>
            <w:tcW w:w="1044"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8</w:t>
            </w:r>
          </w:p>
        </w:tc>
      </w:tr>
      <w:tr w:rsidR="00000000">
        <w:tblPrEx>
          <w:tblCellMar>
            <w:top w:w="0" w:type="dxa"/>
            <w:bottom w:w="0" w:type="dxa"/>
          </w:tblCellMar>
        </w:tblPrEx>
        <w:tc>
          <w:tcPr>
            <w:tcW w:w="1593"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rPr>
                <w:sz w:val="17"/>
              </w:rPr>
            </w:pPr>
            <w:r>
              <w:rPr>
                <w:sz w:val="17"/>
              </w:rPr>
              <w:t>Tajiks</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248</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172</w:t>
            </w:r>
          </w:p>
        </w:tc>
        <w:tc>
          <w:tcPr>
            <w:tcW w:w="1044"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76</w:t>
            </w:r>
          </w:p>
        </w:tc>
      </w:tr>
      <w:tr w:rsidR="00000000">
        <w:tblPrEx>
          <w:tblCellMar>
            <w:top w:w="0" w:type="dxa"/>
            <w:bottom w:w="0" w:type="dxa"/>
          </w:tblCellMar>
        </w:tblPrEx>
        <w:tc>
          <w:tcPr>
            <w:tcW w:w="1593"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rPr>
                <w:sz w:val="17"/>
              </w:rPr>
            </w:pPr>
            <w:r>
              <w:rPr>
                <w:sz w:val="17"/>
              </w:rPr>
              <w:t>Armenians</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307</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603</w:t>
            </w:r>
          </w:p>
        </w:tc>
        <w:tc>
          <w:tcPr>
            <w:tcW w:w="1044"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-296</w:t>
            </w:r>
          </w:p>
        </w:tc>
      </w:tr>
      <w:tr w:rsidR="00000000">
        <w:tblPrEx>
          <w:tblCellMar>
            <w:top w:w="0" w:type="dxa"/>
            <w:bottom w:w="0" w:type="dxa"/>
          </w:tblCellMar>
        </w:tblPrEx>
        <w:tc>
          <w:tcPr>
            <w:tcW w:w="1593"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rPr>
                <w:sz w:val="17"/>
              </w:rPr>
            </w:pPr>
            <w:r>
              <w:rPr>
                <w:sz w:val="17"/>
              </w:rPr>
              <w:t>Turkmens</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32</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53</w:t>
            </w:r>
          </w:p>
        </w:tc>
        <w:tc>
          <w:tcPr>
            <w:tcW w:w="1044"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-21</w:t>
            </w:r>
          </w:p>
        </w:tc>
      </w:tr>
      <w:tr w:rsidR="00000000">
        <w:tblPrEx>
          <w:tblCellMar>
            <w:top w:w="0" w:type="dxa"/>
            <w:bottom w:w="0" w:type="dxa"/>
          </w:tblCellMar>
        </w:tblPrEx>
        <w:tc>
          <w:tcPr>
            <w:tcW w:w="1593"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rPr>
                <w:sz w:val="17"/>
              </w:rPr>
            </w:pPr>
            <w:r>
              <w:rPr>
                <w:sz w:val="17"/>
              </w:rPr>
              <w:t>Estonians</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41</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131</w:t>
            </w:r>
          </w:p>
        </w:tc>
        <w:tc>
          <w:tcPr>
            <w:tcW w:w="1044"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-90</w:t>
            </w:r>
          </w:p>
        </w:tc>
      </w:tr>
      <w:tr w:rsidR="00000000">
        <w:tblPrEx>
          <w:tblCellMar>
            <w:top w:w="0" w:type="dxa"/>
            <w:bottom w:w="0" w:type="dxa"/>
          </w:tblCellMar>
        </w:tblPrEx>
        <w:tc>
          <w:tcPr>
            <w:tcW w:w="1593"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rPr>
                <w:sz w:val="17"/>
              </w:rPr>
            </w:pPr>
            <w:r>
              <w:rPr>
                <w:sz w:val="17"/>
              </w:rPr>
              <w:t>Tatars</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4 127</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10 018</w:t>
            </w:r>
          </w:p>
        </w:tc>
        <w:tc>
          <w:tcPr>
            <w:tcW w:w="1044"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-38 460</w:t>
            </w:r>
          </w:p>
        </w:tc>
      </w:tr>
      <w:tr w:rsidR="00000000">
        <w:tblPrEx>
          <w:tblCellMar>
            <w:top w:w="0" w:type="dxa"/>
            <w:bottom w:w="0" w:type="dxa"/>
          </w:tblCellMar>
        </w:tblPrEx>
        <w:tc>
          <w:tcPr>
            <w:tcW w:w="1593"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rPr>
                <w:sz w:val="17"/>
              </w:rPr>
            </w:pPr>
            <w:r>
              <w:rPr>
                <w:sz w:val="17"/>
              </w:rPr>
              <w:t>Jews</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91</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882</w:t>
            </w:r>
          </w:p>
        </w:tc>
        <w:tc>
          <w:tcPr>
            <w:tcW w:w="1044"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-791</w:t>
            </w:r>
          </w:p>
        </w:tc>
      </w:tr>
      <w:tr w:rsidR="00000000">
        <w:tblPrEx>
          <w:tblCellMar>
            <w:top w:w="0" w:type="dxa"/>
            <w:bottom w:w="0" w:type="dxa"/>
          </w:tblCellMar>
        </w:tblPrEx>
        <w:tc>
          <w:tcPr>
            <w:tcW w:w="1593"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rPr>
                <w:sz w:val="17"/>
              </w:rPr>
            </w:pPr>
            <w:r>
              <w:rPr>
                <w:sz w:val="17"/>
              </w:rPr>
              <w:t>Germans</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6 309</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44 769</w:t>
            </w:r>
          </w:p>
        </w:tc>
        <w:tc>
          <w:tcPr>
            <w:tcW w:w="1044"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-38 460</w:t>
            </w:r>
          </w:p>
        </w:tc>
      </w:tr>
      <w:tr w:rsidR="00000000">
        <w:tblPrEx>
          <w:tblCellMar>
            <w:top w:w="0" w:type="dxa"/>
            <w:bottom w:w="0" w:type="dxa"/>
          </w:tblCellMar>
        </w:tblPrEx>
        <w:tc>
          <w:tcPr>
            <w:tcW w:w="1593"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rPr>
                <w:sz w:val="17"/>
              </w:rPr>
            </w:pPr>
            <w:r>
              <w:rPr>
                <w:sz w:val="17"/>
              </w:rPr>
              <w:t>Greeks</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171</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681</w:t>
            </w:r>
          </w:p>
        </w:tc>
        <w:tc>
          <w:tcPr>
            <w:tcW w:w="1044"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-510</w:t>
            </w:r>
          </w:p>
        </w:tc>
      </w:tr>
      <w:tr w:rsidR="00000000">
        <w:tblPrEx>
          <w:tblCellMar>
            <w:top w:w="0" w:type="dxa"/>
            <w:bottom w:w="0" w:type="dxa"/>
          </w:tblCellMar>
        </w:tblPrEx>
        <w:tc>
          <w:tcPr>
            <w:tcW w:w="1593"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rPr>
                <w:sz w:val="17"/>
              </w:rPr>
            </w:pPr>
            <w:r>
              <w:rPr>
                <w:sz w:val="17"/>
              </w:rPr>
              <w:t>Dungans</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142</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376</w:t>
            </w:r>
          </w:p>
        </w:tc>
        <w:tc>
          <w:tcPr>
            <w:tcW w:w="1044"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-234</w:t>
            </w:r>
          </w:p>
        </w:tc>
      </w:tr>
      <w:tr w:rsidR="00000000">
        <w:tblPrEx>
          <w:tblCellMar>
            <w:top w:w="0" w:type="dxa"/>
            <w:bottom w:w="0" w:type="dxa"/>
          </w:tblCellMar>
        </w:tblPrEx>
        <w:tc>
          <w:tcPr>
            <w:tcW w:w="1593"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rPr>
                <w:sz w:val="17"/>
              </w:rPr>
            </w:pPr>
            <w:r>
              <w:rPr>
                <w:sz w:val="17"/>
              </w:rPr>
              <w:t>Chinese</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89</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114</w:t>
            </w:r>
          </w:p>
        </w:tc>
        <w:tc>
          <w:tcPr>
            <w:tcW w:w="1044"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-25</w:t>
            </w:r>
          </w:p>
        </w:tc>
      </w:tr>
      <w:tr w:rsidR="00000000">
        <w:tblPrEx>
          <w:tblCellMar>
            <w:top w:w="0" w:type="dxa"/>
            <w:bottom w:w="0" w:type="dxa"/>
          </w:tblCellMar>
        </w:tblPrEx>
        <w:tc>
          <w:tcPr>
            <w:tcW w:w="1593"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rPr>
                <w:sz w:val="17"/>
              </w:rPr>
            </w:pPr>
            <w:r>
              <w:rPr>
                <w:sz w:val="17"/>
              </w:rPr>
              <w:t>Koreans</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2 216</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2 686</w:t>
            </w:r>
          </w:p>
        </w:tc>
        <w:tc>
          <w:tcPr>
            <w:tcW w:w="1044"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-470</w:t>
            </w:r>
          </w:p>
        </w:tc>
      </w:tr>
      <w:tr w:rsidR="00000000">
        <w:tblPrEx>
          <w:tblCellMar>
            <w:top w:w="0" w:type="dxa"/>
            <w:bottom w:w="0" w:type="dxa"/>
          </w:tblCellMar>
        </w:tblPrEx>
        <w:tc>
          <w:tcPr>
            <w:tcW w:w="1593"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rPr>
                <w:sz w:val="17"/>
              </w:rPr>
            </w:pPr>
            <w:r>
              <w:rPr>
                <w:sz w:val="17"/>
              </w:rPr>
              <w:t>Poles</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639</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2 294</w:t>
            </w:r>
          </w:p>
        </w:tc>
        <w:tc>
          <w:tcPr>
            <w:tcW w:w="1044"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-1 655</w:t>
            </w:r>
          </w:p>
        </w:tc>
      </w:tr>
      <w:tr w:rsidR="00000000">
        <w:tblPrEx>
          <w:tblCellMar>
            <w:top w:w="0" w:type="dxa"/>
            <w:bottom w:w="0" w:type="dxa"/>
          </w:tblCellMar>
        </w:tblPrEx>
        <w:tc>
          <w:tcPr>
            <w:tcW w:w="1593"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rPr>
                <w:sz w:val="17"/>
              </w:rPr>
            </w:pPr>
            <w:r>
              <w:rPr>
                <w:sz w:val="17"/>
              </w:rPr>
              <w:t>Turks</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236</w:t>
            </w:r>
          </w:p>
        </w:tc>
        <w:tc>
          <w:tcPr>
            <w:tcW w:w="1080"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270</w:t>
            </w:r>
          </w:p>
        </w:tc>
        <w:tc>
          <w:tcPr>
            <w:tcW w:w="1044" w:type="dxa"/>
            <w:tcBorders>
              <w:top w:val="nil"/>
              <w:left w:val="nil"/>
              <w:bottom w:val="nil"/>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-34</w:t>
            </w:r>
          </w:p>
        </w:tc>
      </w:tr>
      <w:tr w:rsidR="00000000">
        <w:tblPrEx>
          <w:tblCellMar>
            <w:top w:w="0" w:type="dxa"/>
            <w:bottom w:w="0" w:type="dxa"/>
          </w:tblCellMar>
        </w:tblPrEx>
        <w:tc>
          <w:tcPr>
            <w:tcW w:w="1593" w:type="dxa"/>
            <w:tcBorders>
              <w:top w:val="nil"/>
              <w:left w:val="nil"/>
              <w:bottom w:val="single" w:sz="12" w:space="0" w:color="auto"/>
              <w:right w:val="nil"/>
            </w:tcBorders>
          </w:tcPr>
          <w:p w:rsidR="00000000" w:rsidRDefault="00000000">
            <w:pPr>
              <w:tabs>
                <w:tab w:val="left" w:pos="475"/>
                <w:tab w:val="left" w:pos="965"/>
                <w:tab w:val="left" w:pos="1440"/>
                <w:tab w:val="left" w:pos="1915"/>
                <w:tab w:val="left" w:pos="2405"/>
              </w:tabs>
              <w:spacing w:after="120"/>
              <w:rPr>
                <w:sz w:val="17"/>
              </w:rPr>
            </w:pPr>
            <w:r>
              <w:rPr>
                <w:sz w:val="17"/>
              </w:rPr>
              <w:t>Ingushes</w:t>
            </w:r>
          </w:p>
        </w:tc>
        <w:tc>
          <w:tcPr>
            <w:tcW w:w="1080" w:type="dxa"/>
            <w:tcBorders>
              <w:top w:val="nil"/>
              <w:left w:val="nil"/>
              <w:bottom w:val="single" w:sz="12" w:space="0" w:color="auto"/>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293</w:t>
            </w:r>
          </w:p>
        </w:tc>
        <w:tc>
          <w:tcPr>
            <w:tcW w:w="1080" w:type="dxa"/>
            <w:tcBorders>
              <w:top w:val="nil"/>
              <w:left w:val="nil"/>
              <w:bottom w:val="single" w:sz="12" w:space="0" w:color="auto"/>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408</w:t>
            </w:r>
          </w:p>
        </w:tc>
        <w:tc>
          <w:tcPr>
            <w:tcW w:w="1044" w:type="dxa"/>
            <w:tcBorders>
              <w:top w:val="nil"/>
              <w:left w:val="nil"/>
              <w:bottom w:val="single" w:sz="12" w:space="0" w:color="auto"/>
              <w:right w:val="nil"/>
            </w:tcBorders>
          </w:tcPr>
          <w:p w:rsidR="00000000" w:rsidRDefault="00000000">
            <w:pPr>
              <w:tabs>
                <w:tab w:val="left" w:pos="475"/>
                <w:tab w:val="left" w:pos="965"/>
                <w:tab w:val="left" w:pos="1440"/>
                <w:tab w:val="left" w:pos="1915"/>
                <w:tab w:val="left" w:pos="2405"/>
              </w:tabs>
              <w:spacing w:after="120"/>
              <w:jc w:val="right"/>
              <w:rPr>
                <w:sz w:val="17"/>
              </w:rPr>
            </w:pPr>
            <w:r>
              <w:rPr>
                <w:sz w:val="17"/>
              </w:rPr>
              <w:t>-115</w:t>
            </w:r>
          </w:p>
        </w:tc>
      </w:tr>
    </w:tbl>
    <w:p w:rsidR="00000000" w:rsidRDefault="00000000">
      <w:pPr>
        <w:tabs>
          <w:tab w:val="left" w:pos="475"/>
          <w:tab w:val="left" w:pos="965"/>
          <w:tab w:val="left" w:pos="1440"/>
          <w:tab w:val="left" w:pos="1915"/>
          <w:tab w:val="left" w:pos="2405"/>
        </w:tabs>
        <w:spacing w:after="120"/>
        <w:jc w:val="both"/>
      </w:pPr>
    </w:p>
    <w:p w:rsidR="00000000" w:rsidRDefault="00000000">
      <w:pPr>
        <w:pStyle w:val="DH2"/>
        <w:ind w:left="475" w:hanging="475"/>
      </w:pPr>
      <w:r>
        <w:tab/>
        <w:t>Current situation as regards the reception and settlement of returnees (Oralmans)</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21.</w:t>
      </w:r>
      <w:r>
        <w:tab/>
        <w:t>Many of the immigrants are Oralmans, i.e., Kazakhs who have returned from other States. During the period 1991-1998, 41,000 families returned to Kazakhstan, or more than 176,000 people, of whom 63,500 arrived from Mongolia, 4,800 from Iran, 2,400 from Turkey and 103,000 (58.5 per cent) from CIS countries.</w:t>
      </w:r>
    </w:p>
    <w:p w:rsidR="00000000" w:rsidRDefault="00000000">
      <w:pPr>
        <w:pStyle w:val="D12r"/>
      </w:pPr>
    </w:p>
    <w:p w:rsidR="00000000" w:rsidRDefault="00000000">
      <w:pPr>
        <w:pStyle w:val="DH2"/>
      </w:pPr>
      <w:r>
        <w:tab/>
        <w:t>Basic repatriation problems</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ab/>
        <w:t>(a)</w:t>
      </w:r>
      <w:r>
        <w:tab/>
        <w:t>Citizenship. Only a little over 2,000 of the 63,500 returnees from Mongolia were naturalized in Kazakhstan; the low figure is due to the complicated formalities for relinquishing Mongolian citizenship.</w:t>
      </w:r>
    </w:p>
    <w:p w:rsidR="00000000" w:rsidRDefault="00000000">
      <w:pPr>
        <w:tabs>
          <w:tab w:val="left" w:pos="475"/>
          <w:tab w:val="left" w:pos="965"/>
          <w:tab w:val="left" w:pos="1440"/>
          <w:tab w:val="left" w:pos="1915"/>
          <w:tab w:val="left" w:pos="2405"/>
        </w:tabs>
        <w:spacing w:after="120"/>
        <w:jc w:val="both"/>
      </w:pPr>
      <w:r>
        <w:tab/>
        <w:t>(b)</w:t>
      </w:r>
      <w:r>
        <w:tab/>
        <w:t>Housing. Currently, 6,298 (15 per cent) of returnee families are without housing, the principal reason being that repatriation measures are systematically underfinanced.</w:t>
      </w:r>
    </w:p>
    <w:p w:rsidR="00000000" w:rsidRDefault="00000000">
      <w:pPr>
        <w:tabs>
          <w:tab w:val="left" w:pos="475"/>
          <w:tab w:val="left" w:pos="965"/>
          <w:tab w:val="left" w:pos="1440"/>
          <w:tab w:val="left" w:pos="1915"/>
          <w:tab w:val="left" w:pos="2405"/>
        </w:tabs>
        <w:spacing w:after="120"/>
        <w:jc w:val="both"/>
      </w:pPr>
      <w:r>
        <w:tab/>
        <w:t>(c)</w:t>
      </w:r>
      <w:r>
        <w:tab/>
        <w:t>Job placement. Only 46 per cent of the returnees have been placed in jobs, including 37 per cent of the women.</w:t>
      </w:r>
    </w:p>
    <w:p w:rsidR="00000000" w:rsidRDefault="00000000">
      <w:pPr>
        <w:tabs>
          <w:tab w:val="left" w:pos="475"/>
          <w:tab w:val="left" w:pos="965"/>
          <w:tab w:val="left" w:pos="1440"/>
          <w:tab w:val="left" w:pos="1915"/>
          <w:tab w:val="left" w:pos="2405"/>
        </w:tabs>
        <w:spacing w:after="120"/>
        <w:jc w:val="both"/>
      </w:pPr>
      <w:r>
        <w:tab/>
        <w:t>(d)</w:t>
      </w:r>
      <w:r>
        <w:tab/>
        <w:t>Loans. Only 107 returnees have been able to obtain small loans of US$ 400 from the more than 16,000 granted under the programme to provide small loans to citizens with the lowest income. This is principally due to a lack of collateral.</w:t>
      </w:r>
    </w:p>
    <w:p w:rsidR="00000000" w:rsidRDefault="00000000">
      <w:pPr>
        <w:tabs>
          <w:tab w:val="left" w:pos="475"/>
          <w:tab w:val="left" w:pos="965"/>
          <w:tab w:val="left" w:pos="1440"/>
          <w:tab w:val="left" w:pos="1915"/>
          <w:tab w:val="left" w:pos="2405"/>
        </w:tabs>
        <w:spacing w:after="120"/>
        <w:jc w:val="both"/>
      </w:pPr>
      <w:r>
        <w:tab/>
        <w:t>The legal status of the returnees (Oralmans) and refugees is regulated by the Migration of the Population Act and other enforceable enactments of the Republic. In December 1998, Kazakhstan acceded to the 1951 Convention relating to the Status of Refugees and the 1967 Protocol thereto. Returnees and migrants are afforded training and social welfare, including protection of their rights under international instruments.</w:t>
      </w:r>
    </w:p>
    <w:p w:rsidR="00000000" w:rsidRDefault="00000000">
      <w:pPr>
        <w:pStyle w:val="D12r"/>
      </w:pPr>
    </w:p>
    <w:p w:rsidR="00000000" w:rsidRDefault="00000000">
      <w:pPr>
        <w:pStyle w:val="D12r"/>
      </w:pPr>
    </w:p>
    <w:p w:rsidR="00000000" w:rsidRDefault="00000000">
      <w:pPr>
        <w:pStyle w:val="DH1"/>
      </w:pPr>
      <w:r>
        <w:tab/>
        <w:t>Political and legal systems</w:t>
      </w:r>
    </w:p>
    <w:p w:rsidR="00000000" w:rsidRDefault="00000000">
      <w:pPr>
        <w:pStyle w:val="D12r"/>
      </w:pPr>
    </w:p>
    <w:p w:rsidR="00000000" w:rsidRDefault="00000000">
      <w:pPr>
        <w:pStyle w:val="DH2"/>
      </w:pPr>
      <w:r>
        <w:tab/>
        <w:t>Constitution</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22.</w:t>
      </w:r>
      <w:r>
        <w:tab/>
        <w:t>The current Constitution is the second one in the eight years of Kazakhstan’s independence. The previous Constitution had been in force from 28 January 1993 to 30 August 1995. The Soviet Constitution of the Kazakh SSR was in force in Kazakhstan up to 1993.</w:t>
      </w:r>
    </w:p>
    <w:p w:rsidR="00000000" w:rsidRDefault="00000000">
      <w:pPr>
        <w:tabs>
          <w:tab w:val="left" w:pos="475"/>
          <w:tab w:val="left" w:pos="965"/>
          <w:tab w:val="left" w:pos="1440"/>
          <w:tab w:val="left" w:pos="1915"/>
          <w:tab w:val="left" w:pos="2405"/>
        </w:tabs>
        <w:spacing w:after="120"/>
        <w:jc w:val="both"/>
      </w:pPr>
      <w:r>
        <w:tab/>
        <w:t>The current Constitution was adopted by a referendum on 30 August 1995, following nation-wide discussion. On 7 October 1998 amendments were introduced, inter alia extending the terms of office of members of Parliament and the President.</w:t>
      </w:r>
    </w:p>
    <w:p w:rsidR="00000000" w:rsidRDefault="00000000">
      <w:pPr>
        <w:tabs>
          <w:tab w:val="left" w:pos="475"/>
          <w:tab w:val="left" w:pos="965"/>
          <w:tab w:val="left" w:pos="1440"/>
          <w:tab w:val="left" w:pos="1915"/>
          <w:tab w:val="left" w:pos="2405"/>
        </w:tabs>
        <w:spacing w:after="120"/>
        <w:jc w:val="both"/>
      </w:pPr>
      <w:r>
        <w:tab/>
        <w:t>The Constitution guarantees fundamental human rights and freedoms.</w:t>
      </w:r>
    </w:p>
    <w:p w:rsidR="00000000" w:rsidRDefault="00000000">
      <w:pPr>
        <w:tabs>
          <w:tab w:val="left" w:pos="475"/>
          <w:tab w:val="left" w:pos="965"/>
          <w:tab w:val="left" w:pos="1440"/>
          <w:tab w:val="left" w:pos="1915"/>
          <w:tab w:val="left" w:pos="2405"/>
        </w:tabs>
        <w:spacing w:after="120"/>
        <w:jc w:val="both"/>
      </w:pPr>
      <w:r>
        <w:tab/>
        <w:t>The Constitution may be changed and amended by Parliament on the proposal of the President or by a national referendum.</w:t>
      </w:r>
    </w:p>
    <w:p w:rsidR="00000000" w:rsidRDefault="00000000">
      <w:pPr>
        <w:pStyle w:val="D12r"/>
      </w:pPr>
    </w:p>
    <w:p w:rsidR="00000000" w:rsidRDefault="00000000">
      <w:pPr>
        <w:pStyle w:val="DH2"/>
      </w:pPr>
      <w:r>
        <w:tab/>
        <w:t>President</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23.</w:t>
      </w:r>
      <w:r>
        <w:tab/>
        <w:t>Kazakhstan maintains a presidential form of government.</w:t>
      </w:r>
    </w:p>
    <w:p w:rsidR="00000000" w:rsidRDefault="00000000">
      <w:pPr>
        <w:tabs>
          <w:tab w:val="left" w:pos="475"/>
          <w:tab w:val="left" w:pos="965"/>
          <w:tab w:val="left" w:pos="1440"/>
          <w:tab w:val="left" w:pos="1915"/>
          <w:tab w:val="left" w:pos="2405"/>
        </w:tabs>
        <w:spacing w:after="120"/>
        <w:jc w:val="both"/>
      </w:pPr>
      <w:r>
        <w:tab/>
        <w:t>The President decides on the basic directions of the domestic and foreign policy of the State, determines when elections to Parliament and referendums are to be held and signs laws, international treaties and instruments of ratification.</w:t>
      </w:r>
    </w:p>
    <w:p w:rsidR="00000000" w:rsidRDefault="00000000">
      <w:pPr>
        <w:tabs>
          <w:tab w:val="left" w:pos="475"/>
          <w:tab w:val="left" w:pos="965"/>
          <w:tab w:val="left" w:pos="1440"/>
          <w:tab w:val="left" w:pos="1915"/>
          <w:tab w:val="left" w:pos="2405"/>
        </w:tabs>
        <w:spacing w:after="120"/>
        <w:jc w:val="both"/>
      </w:pPr>
      <w:r>
        <w:tab/>
        <w:t xml:space="preserve">The President, with the consent of Parliament, appoints and dismisses the Prime Minister, members of the Government and the Chairman of the National Bank and, with the consent of the Senate, the Procurator-General, the President of the National Security Committee, all judges (with the exception of judges of the Supreme Court), the Chairman and members of the Supreme Court Council and the </w:t>
      </w:r>
      <w:r>
        <w:rPr>
          <w:i/>
        </w:rPr>
        <w:t>akims</w:t>
      </w:r>
      <w:r>
        <w:t xml:space="preserve"> (governors) of regions and of major cities, including the capital. The </w:t>
      </w:r>
      <w:r>
        <w:rPr>
          <w:i/>
        </w:rPr>
        <w:t>akims</w:t>
      </w:r>
      <w:r>
        <w:t xml:space="preserve"> of other administrative-territorial units are appointed or elected to their posts in the manner determined by the President. The President has the right, at his own discretion, to dismiss any of the </w:t>
      </w:r>
      <w:r>
        <w:rPr>
          <w:i/>
        </w:rPr>
        <w:t>akims</w:t>
      </w:r>
      <w:r>
        <w:t xml:space="preserve"> from their posts.</w:t>
      </w:r>
    </w:p>
    <w:p w:rsidR="00000000" w:rsidRDefault="00000000">
      <w:pPr>
        <w:tabs>
          <w:tab w:val="left" w:pos="475"/>
          <w:tab w:val="left" w:pos="965"/>
          <w:tab w:val="left" w:pos="1440"/>
          <w:tab w:val="left" w:pos="1915"/>
          <w:tab w:val="left" w:pos="2405"/>
        </w:tabs>
        <w:spacing w:after="120"/>
        <w:jc w:val="both"/>
      </w:pPr>
      <w:r>
        <w:tab/>
        <w:t>The President is the Supreme Commander-in-Chief of the Armed Forces of the Republic and presides over meetings of the Government on matters of special importance.</w:t>
      </w:r>
    </w:p>
    <w:p w:rsidR="00000000" w:rsidRDefault="00000000">
      <w:pPr>
        <w:tabs>
          <w:tab w:val="left" w:pos="475"/>
          <w:tab w:val="left" w:pos="965"/>
          <w:tab w:val="left" w:pos="1440"/>
          <w:tab w:val="left" w:pos="1915"/>
          <w:tab w:val="left" w:pos="2405"/>
        </w:tabs>
        <w:spacing w:after="120"/>
        <w:jc w:val="both"/>
      </w:pPr>
      <w:r>
        <w:tab/>
        <w:t>The President takes decisions relating to citizenship of the Republic and the granting of political asylum, grants pardon to citizens, presents State awards, confers honorary, higher military and other titles, civil and diplomatic ranks and professional titles, and exercises any other powers determined by the Constitution of the Republic of Kazakhstan.</w:t>
      </w:r>
    </w:p>
    <w:p w:rsidR="00000000" w:rsidRDefault="00000000">
      <w:pPr>
        <w:tabs>
          <w:tab w:val="left" w:pos="475"/>
          <w:tab w:val="left" w:pos="965"/>
          <w:tab w:val="left" w:pos="1440"/>
          <w:tab w:val="left" w:pos="1915"/>
          <w:tab w:val="left" w:pos="2405"/>
        </w:tabs>
        <w:spacing w:after="120"/>
        <w:jc w:val="both"/>
      </w:pPr>
      <w:r>
        <w:tab/>
        <w:t>The President has the right to veto laws adopted by Parliament and to repeal or suspend all normative acts of the Government and organs of executive authority. He may issue Orders and regulations which are binding in the territory of Kazakhstan and, in cases provided for in the Constitution of 30 August 1995, he may issue laws and orders having the force of law.</w:t>
      </w:r>
    </w:p>
    <w:p w:rsidR="00000000" w:rsidRDefault="00000000">
      <w:pPr>
        <w:tabs>
          <w:tab w:val="left" w:pos="475"/>
          <w:tab w:val="left" w:pos="965"/>
          <w:tab w:val="left" w:pos="1440"/>
          <w:tab w:val="left" w:pos="1915"/>
          <w:tab w:val="left" w:pos="2405"/>
        </w:tabs>
        <w:spacing w:after="120"/>
        <w:jc w:val="both"/>
      </w:pPr>
      <w:r>
        <w:tab/>
        <w:t>Other powers of the President are determined by the Constitutional Act of the Republic of Kazakhstan on the President of the Republic of Kazakhstan of 26 December 1995.</w:t>
      </w:r>
    </w:p>
    <w:p w:rsidR="00000000" w:rsidRDefault="00000000">
      <w:pPr>
        <w:tabs>
          <w:tab w:val="left" w:pos="475"/>
          <w:tab w:val="left" w:pos="965"/>
          <w:tab w:val="left" w:pos="1440"/>
          <w:tab w:val="left" w:pos="1915"/>
          <w:tab w:val="left" w:pos="2405"/>
        </w:tabs>
        <w:spacing w:after="120"/>
        <w:jc w:val="both"/>
      </w:pPr>
      <w:r>
        <w:tab/>
        <w:t>The President is elected on the basis of universal, equal and direct suffrage for a seven-year term, but for not more than two successive terms. The President may be relieved of his post by the Parliament only if he is found guilty of high treason. A final decision on the question is taken by a majority of not less than three quarters of the total number of votes of the deputies to each chamber, provided that the Supreme Court finds the accusation justified and the Constitutional Council finds that the established constitutional procedures have been observed.</w:t>
      </w:r>
    </w:p>
    <w:p w:rsidR="00000000" w:rsidRDefault="00000000">
      <w:pPr>
        <w:tabs>
          <w:tab w:val="left" w:pos="475"/>
          <w:tab w:val="left" w:pos="965"/>
          <w:tab w:val="left" w:pos="1440"/>
          <w:tab w:val="left" w:pos="1915"/>
          <w:tab w:val="left" w:pos="2405"/>
        </w:tabs>
        <w:spacing w:after="120"/>
        <w:jc w:val="both"/>
      </w:pPr>
      <w:r>
        <w:tab/>
        <w:t>The President may be relieved of his office before the end of his term if he is unable to carry out his duties owing to illness.</w:t>
      </w:r>
    </w:p>
    <w:p w:rsidR="00000000" w:rsidRDefault="00000000">
      <w:pPr>
        <w:pStyle w:val="DH2"/>
      </w:pPr>
      <w:r>
        <w:tab/>
        <w:t>Parliament</w:t>
      </w:r>
    </w:p>
    <w:p w:rsidR="00000000" w:rsidRDefault="00000000">
      <w:pPr>
        <w:pStyle w:val="D12r"/>
        <w:keepNext/>
        <w:keepLines/>
      </w:pPr>
    </w:p>
    <w:p w:rsidR="00000000" w:rsidRDefault="00000000">
      <w:pPr>
        <w:keepNext/>
        <w:keepLines/>
        <w:tabs>
          <w:tab w:val="left" w:pos="475"/>
          <w:tab w:val="left" w:pos="965"/>
          <w:tab w:val="left" w:pos="1440"/>
          <w:tab w:val="left" w:pos="1915"/>
          <w:tab w:val="left" w:pos="2405"/>
        </w:tabs>
        <w:spacing w:after="120"/>
        <w:jc w:val="both"/>
      </w:pPr>
      <w:r>
        <w:t>24.</w:t>
      </w:r>
      <w:r>
        <w:tab/>
        <w:t>The Parliament consists of two chambers: the Senate and the Majilis.</w:t>
      </w:r>
    </w:p>
    <w:p w:rsidR="00000000" w:rsidRDefault="00000000">
      <w:pPr>
        <w:tabs>
          <w:tab w:val="left" w:pos="475"/>
          <w:tab w:val="left" w:pos="965"/>
          <w:tab w:val="left" w:pos="1440"/>
          <w:tab w:val="left" w:pos="1915"/>
          <w:tab w:val="left" w:pos="2405"/>
        </w:tabs>
        <w:spacing w:after="120"/>
        <w:jc w:val="both"/>
      </w:pPr>
      <w:r>
        <w:tab/>
        <w:t>The Senate is composed of deputies, two being elected from each region and major city, including the capital, at a joint session of the deputies of all representative bodies of the respective region and major city, including the capital. Seven deputies to the Senate are appointed by the President.</w:t>
      </w: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pPr>
      <w:r>
        <w:tab/>
        <w:t>The Majilis consists of 77 deputies; 67 are elected from the territorial electoral districts and 10 are elected on the basis of party lists for a single national electoral district. Those political parties which receive not less than 7 per cent of the votes of those taking part in the election have access to the distribution of the deputies’ mandates on the basis of the party lists. The term of office of deputies to the Senate is six years and the term of office of deputies to the Majilis is five years.</w:t>
      </w:r>
    </w:p>
    <w:p w:rsidR="00000000" w:rsidRDefault="00000000">
      <w:pPr>
        <w:tabs>
          <w:tab w:val="left" w:pos="475"/>
          <w:tab w:val="left" w:pos="965"/>
          <w:tab w:val="left" w:pos="1440"/>
          <w:tab w:val="left" w:pos="1915"/>
          <w:tab w:val="left" w:pos="2405"/>
        </w:tabs>
        <w:spacing w:after="120"/>
        <w:jc w:val="both"/>
      </w:pPr>
      <w:r>
        <w:tab/>
        <w:t>Parliament adopts and amends laws and ratifies and denounces international treaties of the Republic.</w:t>
      </w:r>
    </w:p>
    <w:p w:rsidR="00000000" w:rsidRDefault="00000000">
      <w:pPr>
        <w:tabs>
          <w:tab w:val="left" w:pos="475"/>
          <w:tab w:val="left" w:pos="965"/>
          <w:tab w:val="left" w:pos="1440"/>
          <w:tab w:val="left" w:pos="1915"/>
          <w:tab w:val="left" w:pos="2405"/>
        </w:tabs>
        <w:spacing w:after="120"/>
        <w:jc w:val="both"/>
      </w:pPr>
      <w:r>
        <w:tab/>
        <w:t>The deputies to Parliament and the Government have the right of legislative initiative, which is exercised exclusively in the Majilis.</w:t>
      </w:r>
    </w:p>
    <w:p w:rsidR="00000000" w:rsidRDefault="00000000">
      <w:pPr>
        <w:tabs>
          <w:tab w:val="left" w:pos="475"/>
          <w:tab w:val="left" w:pos="965"/>
          <w:tab w:val="left" w:pos="1440"/>
          <w:tab w:val="left" w:pos="1915"/>
          <w:tab w:val="left" w:pos="2405"/>
        </w:tabs>
        <w:spacing w:after="120"/>
        <w:jc w:val="both"/>
      </w:pPr>
      <w:r>
        <w:tab/>
        <w:t>The Senate elects and dismisses (on the proposal of the President) the President of the Supreme Court, the chairmen of the panels of judges and the judges of the Supreme Court of the Republic, and gives its consent to the appointment by the President of the Procurator-General and the Chairman of the National Security Committee.</w:t>
      </w:r>
    </w:p>
    <w:p w:rsidR="00000000" w:rsidRDefault="00000000">
      <w:pPr>
        <w:tabs>
          <w:tab w:val="left" w:pos="475"/>
          <w:tab w:val="left" w:pos="965"/>
          <w:tab w:val="left" w:pos="1440"/>
          <w:tab w:val="left" w:pos="1915"/>
          <w:tab w:val="left" w:pos="2405"/>
        </w:tabs>
        <w:spacing w:after="120"/>
        <w:jc w:val="both"/>
      </w:pPr>
      <w:r>
        <w:tab/>
        <w:t>Parliament has the right to delegate legislative powers to the President, at his request, for a period of no more than one year.</w:t>
      </w:r>
    </w:p>
    <w:p w:rsidR="00000000" w:rsidRDefault="00000000">
      <w:pPr>
        <w:tabs>
          <w:tab w:val="left" w:pos="475"/>
          <w:tab w:val="left" w:pos="965"/>
          <w:tab w:val="left" w:pos="1440"/>
          <w:tab w:val="left" w:pos="1915"/>
          <w:tab w:val="left" w:pos="2405"/>
        </w:tabs>
        <w:spacing w:after="120"/>
        <w:jc w:val="both"/>
      </w:pPr>
      <w:r>
        <w:tab/>
        <w:t>The President may dissolve Parliament in the event of a vote of no confidence in the Government, repeated refusal by Parliament to give its consent to the appointment of a Prime Minister, or a political crisis resulting from insuperable disagreements between the chambers of Parliament or between Parliament and the other branches of Government.</w:t>
      </w:r>
    </w:p>
    <w:p w:rsidR="00000000" w:rsidRDefault="00000000">
      <w:pPr>
        <w:tabs>
          <w:tab w:val="left" w:pos="475"/>
          <w:tab w:val="left" w:pos="965"/>
          <w:tab w:val="left" w:pos="1440"/>
          <w:tab w:val="left" w:pos="1915"/>
          <w:tab w:val="left" w:pos="2405"/>
        </w:tabs>
        <w:spacing w:after="120"/>
        <w:jc w:val="both"/>
      </w:pPr>
      <w:r>
        <w:tab/>
        <w:t>The organization and activities of Parliament and the legal status of the deputies are determined by the Constitutional Act on the Parliament of the Republic of Kazakhstan and the status of its deputies of 16 October 1995.</w:t>
      </w:r>
    </w:p>
    <w:p w:rsidR="00000000" w:rsidRDefault="00000000">
      <w:pPr>
        <w:pStyle w:val="D12r"/>
      </w:pPr>
    </w:p>
    <w:p w:rsidR="00000000" w:rsidRDefault="00000000">
      <w:pPr>
        <w:pStyle w:val="DH2"/>
      </w:pPr>
      <w:r>
        <w:tab/>
        <w:t>Government</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25.</w:t>
      </w:r>
      <w:r>
        <w:tab/>
        <w:t>The Government is formed by the President of the Republic of Kazakhstan and is responsible to the President and accountable to Parliament.</w:t>
      </w:r>
    </w:p>
    <w:p w:rsidR="00000000" w:rsidRDefault="00000000">
      <w:pPr>
        <w:tabs>
          <w:tab w:val="left" w:pos="475"/>
          <w:tab w:val="left" w:pos="965"/>
          <w:tab w:val="left" w:pos="1440"/>
          <w:tab w:val="left" w:pos="1915"/>
          <w:tab w:val="left" w:pos="2405"/>
        </w:tabs>
        <w:spacing w:after="120"/>
        <w:jc w:val="both"/>
      </w:pPr>
      <w:r>
        <w:tab/>
        <w:t xml:space="preserve">The Prime Minister is appointed by the President, with the consent of Parliament. </w:t>
      </w:r>
    </w:p>
    <w:p w:rsidR="00000000" w:rsidRDefault="00000000">
      <w:pPr>
        <w:tabs>
          <w:tab w:val="left" w:pos="475"/>
          <w:tab w:val="left" w:pos="965"/>
          <w:tab w:val="left" w:pos="1440"/>
          <w:tab w:val="left" w:pos="1915"/>
          <w:tab w:val="left" w:pos="2405"/>
        </w:tabs>
        <w:spacing w:after="120"/>
        <w:jc w:val="both"/>
      </w:pPr>
      <w:r>
        <w:tab/>
        <w:t>Parliament hears the Government’s programme and approves or rejects it.</w:t>
      </w:r>
    </w:p>
    <w:p w:rsidR="00000000" w:rsidRDefault="00000000">
      <w:pPr>
        <w:tabs>
          <w:tab w:val="left" w:pos="475"/>
          <w:tab w:val="left" w:pos="965"/>
          <w:tab w:val="left" w:pos="1440"/>
          <w:tab w:val="left" w:pos="1915"/>
          <w:tab w:val="left" w:pos="2405"/>
        </w:tabs>
        <w:spacing w:after="120"/>
        <w:jc w:val="both"/>
      </w:pPr>
      <w:r>
        <w:tab/>
        <w:t>Parliament has the right, on the initiative of not less than one third of the total number of the deputies, to hear the reports of members of the Government.</w:t>
      </w:r>
    </w:p>
    <w:p w:rsidR="00000000" w:rsidRDefault="00000000">
      <w:pPr>
        <w:tabs>
          <w:tab w:val="left" w:pos="475"/>
          <w:tab w:val="left" w:pos="965"/>
          <w:tab w:val="left" w:pos="1440"/>
          <w:tab w:val="left" w:pos="1915"/>
          <w:tab w:val="left" w:pos="2405"/>
        </w:tabs>
        <w:spacing w:after="120"/>
        <w:jc w:val="both"/>
      </w:pPr>
      <w:r>
        <w:tab/>
        <w:t>On the initiative of not less than one fifth of the deputies, Parliament may express a vote of no confidence in the Government by a majority of two thirds of the votes. In that case, the Government must resign. If the President does not accept the resignation of the Government, he has the right to dissolve Parliament.</w:t>
      </w:r>
    </w:p>
    <w:p w:rsidR="00000000" w:rsidRDefault="00000000">
      <w:pPr>
        <w:tabs>
          <w:tab w:val="left" w:pos="475"/>
          <w:tab w:val="left" w:pos="965"/>
          <w:tab w:val="left" w:pos="1440"/>
          <w:tab w:val="left" w:pos="1915"/>
          <w:tab w:val="left" w:pos="2405"/>
        </w:tabs>
        <w:spacing w:after="120"/>
        <w:jc w:val="both"/>
      </w:pPr>
      <w:r>
        <w:tab/>
        <w:t>The Parliament has the right to take a decision on his own initiative to terminate the powers of the Government and to remove any of its members from their posts. Removal of the Prime Minister from his post means the termination of the powers of the entire Government.</w:t>
      </w:r>
    </w:p>
    <w:p w:rsidR="00000000" w:rsidRDefault="00000000">
      <w:pPr>
        <w:tabs>
          <w:tab w:val="left" w:pos="475"/>
          <w:tab w:val="left" w:pos="965"/>
          <w:tab w:val="left" w:pos="1440"/>
          <w:tab w:val="left" w:pos="1915"/>
          <w:tab w:val="left" w:pos="2405"/>
        </w:tabs>
        <w:spacing w:after="120"/>
        <w:jc w:val="both"/>
      </w:pPr>
      <w:r>
        <w:tab/>
        <w:t>The terms of reference, organization and activities of the Government are determined by the Constitutional Act on the Government of the Republic of Kazakhstan of 18 December 1995.</w:t>
      </w:r>
    </w:p>
    <w:p w:rsidR="00000000" w:rsidRDefault="00000000">
      <w:pPr>
        <w:pStyle w:val="D12r"/>
      </w:pPr>
    </w:p>
    <w:p w:rsidR="00000000" w:rsidRDefault="00000000">
      <w:pPr>
        <w:pStyle w:val="DH2"/>
      </w:pPr>
      <w:r>
        <w:tab/>
        <w:t>Constitutional Council</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26.</w:t>
      </w:r>
      <w:r>
        <w:tab/>
        <w:t>The Constitutional Council was created by the 1995 Constitution. It reviews the laws adopted by Parliament before the President signs them to ensure that they are in conformity with the Constitution of the Republic; reviews the international treaties of the Republic before their ratification to ensure that they are in conformity with the Constitution; in the event of a dispute, resolves issues relating to the validity of the election of the President of the Republic and of deputies to the Parliament and the validity of a national referendum; and carries out other functions determined by the Constitution.</w:t>
      </w:r>
    </w:p>
    <w:p w:rsidR="00000000" w:rsidRDefault="00000000">
      <w:pPr>
        <w:tabs>
          <w:tab w:val="left" w:pos="475"/>
          <w:tab w:val="left" w:pos="965"/>
          <w:tab w:val="left" w:pos="1440"/>
          <w:tab w:val="left" w:pos="1915"/>
          <w:tab w:val="left" w:pos="2405"/>
        </w:tabs>
        <w:spacing w:after="120"/>
        <w:jc w:val="both"/>
      </w:pPr>
      <w:r>
        <w:tab/>
        <w:t>The Constitutional Council considers these issues only at the request of the President, the Prime Minister, the President of the Senate, the President of the Majilis, or not less than one fifth of the total number of deputies to the Parliament.</w:t>
      </w:r>
    </w:p>
    <w:p w:rsidR="00000000" w:rsidRDefault="00000000">
      <w:pPr>
        <w:tabs>
          <w:tab w:val="left" w:pos="475"/>
          <w:tab w:val="left" w:pos="965"/>
          <w:tab w:val="left" w:pos="1440"/>
          <w:tab w:val="left" w:pos="1915"/>
          <w:tab w:val="left" w:pos="2405"/>
        </w:tabs>
        <w:spacing w:after="120"/>
        <w:jc w:val="both"/>
      </w:pPr>
      <w:r>
        <w:tab/>
        <w:t>Laws or other enforceable enactments that are found to encroach on the human and citizens’ rights guaranteed by the Constitution are declared null and void by the Constitutional Council and are not enforced.</w:t>
      </w:r>
    </w:p>
    <w:p w:rsidR="00000000" w:rsidRDefault="00000000">
      <w:pPr>
        <w:tabs>
          <w:tab w:val="left" w:pos="475"/>
          <w:tab w:val="left" w:pos="965"/>
          <w:tab w:val="left" w:pos="1440"/>
          <w:tab w:val="left" w:pos="1915"/>
          <w:tab w:val="left" w:pos="2405"/>
        </w:tabs>
        <w:spacing w:after="120"/>
        <w:jc w:val="both"/>
      </w:pPr>
      <w:r>
        <w:tab/>
        <w:t>The Constitutional Council consists of seven members with a term of office of six years. The President of the Senate and the President of the Majilis appoint two members each and the President of the Republic appoints two members and the President of the Constitutional Council.</w:t>
      </w:r>
    </w:p>
    <w:p w:rsidR="00000000" w:rsidRDefault="00000000">
      <w:pPr>
        <w:pStyle w:val="D12r"/>
      </w:pPr>
    </w:p>
    <w:p w:rsidR="00000000" w:rsidRDefault="00000000">
      <w:pPr>
        <w:pStyle w:val="DH2"/>
      </w:pPr>
      <w:r>
        <w:tab/>
        <w:t>Courts and justice</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27.</w:t>
      </w:r>
      <w:r>
        <w:tab/>
        <w:t>There are no jury courts in Kazakhstan. The courts consist of judges, whose independence is protected by the Constitution and by law.</w:t>
      </w:r>
    </w:p>
    <w:p w:rsidR="00000000" w:rsidRDefault="00000000">
      <w:pPr>
        <w:tabs>
          <w:tab w:val="left" w:pos="475"/>
          <w:tab w:val="left" w:pos="965"/>
          <w:tab w:val="left" w:pos="1440"/>
          <w:tab w:val="left" w:pos="1915"/>
          <w:tab w:val="left" w:pos="2405"/>
        </w:tabs>
        <w:spacing w:after="120"/>
        <w:jc w:val="both"/>
      </w:pPr>
      <w:r>
        <w:tab/>
        <w:t>The courts of the Republic of Kazakhstan are the Supreme Court and the local courts.</w:t>
      </w:r>
    </w:p>
    <w:p w:rsidR="00000000" w:rsidRDefault="00000000">
      <w:pPr>
        <w:tabs>
          <w:tab w:val="left" w:pos="475"/>
          <w:tab w:val="left" w:pos="965"/>
          <w:tab w:val="left" w:pos="1440"/>
          <w:tab w:val="left" w:pos="1915"/>
          <w:tab w:val="left" w:pos="2405"/>
        </w:tabs>
        <w:spacing w:after="120"/>
        <w:jc w:val="both"/>
      </w:pPr>
      <w:r>
        <w:tab/>
        <w:t>All judges are appointed by the President, with the exception of the members of the Supreme Court. The Supreme Court is the highest judicial organ of the Republic of Kazakhstan.</w:t>
      </w:r>
    </w:p>
    <w:p w:rsidR="00000000" w:rsidRDefault="00000000">
      <w:pPr>
        <w:tabs>
          <w:tab w:val="left" w:pos="475"/>
          <w:tab w:val="left" w:pos="965"/>
          <w:tab w:val="left" w:pos="1440"/>
          <w:tab w:val="left" w:pos="1915"/>
          <w:tab w:val="left" w:pos="2405"/>
        </w:tabs>
        <w:spacing w:after="120"/>
        <w:jc w:val="both"/>
      </w:pPr>
      <w:r>
        <w:tab/>
        <w:t>The courts are not entitled to apply laws and other enforceable enactments that encroach on the human and citizens’ rights and freedoms guaranteed by the Constitution. If a court sees that an applicable law or other enforceable enactment encroaches on the human and citizens’ rights and freedoms guaranteed by the Constitution, it is obliged to suspend it and refer it to the Constitutional Council with a request that the law or enactment should be declared unconstitutional.</w:t>
      </w:r>
    </w:p>
    <w:p w:rsidR="00000000" w:rsidRDefault="00000000">
      <w:pPr>
        <w:tabs>
          <w:tab w:val="left" w:pos="475"/>
          <w:tab w:val="left" w:pos="965"/>
          <w:tab w:val="left" w:pos="1440"/>
          <w:tab w:val="left" w:pos="1915"/>
          <w:tab w:val="left" w:pos="2405"/>
        </w:tabs>
        <w:spacing w:after="120"/>
        <w:jc w:val="both"/>
      </w:pPr>
      <w:r>
        <w:tab/>
        <w:t>The President of the Supreme Court, the chairmen of the panels of judges and the judges of the Supreme Court of the Republic of Kazakhstan are elected by the Senate upon nomination by the President of the Republic.</w:t>
      </w:r>
    </w:p>
    <w:p w:rsidR="00000000" w:rsidRDefault="00000000">
      <w:pPr>
        <w:tabs>
          <w:tab w:val="left" w:pos="475"/>
          <w:tab w:val="left" w:pos="965"/>
          <w:tab w:val="left" w:pos="1440"/>
          <w:tab w:val="left" w:pos="1915"/>
          <w:tab w:val="left" w:pos="2405"/>
        </w:tabs>
        <w:spacing w:after="120"/>
        <w:jc w:val="both"/>
      </w:pPr>
      <w:r>
        <w:tab/>
        <w:t>The status, procedure for the formation, and organization of the work of the courts and of the Supreme Court Council are determined by the Order of the President on the courts and status of judges in the Republic of Kazakhstan of 20 December 1995, which has the force of constitutional law.</w:t>
      </w:r>
    </w:p>
    <w:p w:rsidR="00000000" w:rsidRDefault="00000000">
      <w:pPr>
        <w:tabs>
          <w:tab w:val="left" w:pos="475"/>
          <w:tab w:val="left" w:pos="965"/>
          <w:tab w:val="left" w:pos="1440"/>
          <w:tab w:val="left" w:pos="1915"/>
          <w:tab w:val="left" w:pos="2405"/>
        </w:tabs>
        <w:spacing w:after="120"/>
        <w:jc w:val="both"/>
      </w:pPr>
      <w:r>
        <w:t>28.</w:t>
      </w:r>
      <w:r>
        <w:tab/>
        <w:t>The Office of the Procurator exercises overall supervision to ensure the exact and uniform application of laws, Presidential orders and other enforceable enactments, represents the interests of the State in the courts and, within the limits established by the law, conducts criminal prosecutions.</w:t>
      </w:r>
    </w:p>
    <w:p w:rsidR="00000000" w:rsidRDefault="00000000">
      <w:pPr>
        <w:tabs>
          <w:tab w:val="left" w:pos="475"/>
          <w:tab w:val="left" w:pos="965"/>
          <w:tab w:val="left" w:pos="1440"/>
          <w:tab w:val="left" w:pos="1915"/>
          <w:tab w:val="left" w:pos="2405"/>
        </w:tabs>
        <w:spacing w:after="120"/>
        <w:jc w:val="both"/>
      </w:pPr>
      <w:r>
        <w:tab/>
        <w:t>The Office of the Procurator of the Republic is a uniform centralized system in which procurators of lower ranks are subordinate to procurators of higher ranks and to the Procurator-General, who is appointed by the President for a five-year term. The Office of the Procurator is accountable only to the President.</w:t>
      </w:r>
    </w:p>
    <w:p w:rsidR="00000000" w:rsidRDefault="00000000">
      <w:pPr>
        <w:tabs>
          <w:tab w:val="left" w:pos="475"/>
          <w:tab w:val="left" w:pos="965"/>
          <w:tab w:val="left" w:pos="1440"/>
          <w:tab w:val="left" w:pos="1915"/>
          <w:tab w:val="left" w:pos="2405"/>
        </w:tabs>
        <w:spacing w:after="120"/>
        <w:jc w:val="both"/>
      </w:pPr>
      <w:r>
        <w:tab/>
        <w:t>The terms of reference, organization and operational procedures of the Office of the Procurator of the Republic are determined by the Order of the President on the Office of the Procurator of the Republic of Kazakhstan of 21 December 1995, which has the force of law.</w:t>
      </w:r>
    </w:p>
    <w:p w:rsidR="00000000" w:rsidRDefault="00000000">
      <w:pPr>
        <w:pStyle w:val="D12r"/>
      </w:pPr>
    </w:p>
    <w:p w:rsidR="00000000" w:rsidRDefault="00000000">
      <w:pPr>
        <w:pStyle w:val="DH2"/>
      </w:pPr>
      <w:r>
        <w:tab/>
        <w:t>Local authorities</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29.</w:t>
      </w:r>
      <w:r>
        <w:tab/>
        <w:t>Local State management is exercised by local representative and executive organs, which are responsible for the state of affairs in their respective territories.</w:t>
      </w:r>
    </w:p>
    <w:p w:rsidR="00000000" w:rsidRDefault="00000000">
      <w:pPr>
        <w:tabs>
          <w:tab w:val="left" w:pos="475"/>
          <w:tab w:val="left" w:pos="965"/>
          <w:tab w:val="left" w:pos="1440"/>
          <w:tab w:val="left" w:pos="1915"/>
          <w:tab w:val="left" w:pos="2405"/>
        </w:tabs>
        <w:spacing w:after="120"/>
        <w:jc w:val="both"/>
      </w:pPr>
      <w:r>
        <w:tab/>
        <w:t>The local representative organs (</w:t>
      </w:r>
      <w:r>
        <w:rPr>
          <w:i/>
        </w:rPr>
        <w:t>maslikhats</w:t>
      </w:r>
      <w:r>
        <w:t>) are elected by the population on the basis of universal, equal and direct suffrage for a four-year term.</w:t>
      </w:r>
    </w:p>
    <w:p w:rsidR="00000000" w:rsidRDefault="00000000">
      <w:pPr>
        <w:tabs>
          <w:tab w:val="left" w:pos="475"/>
          <w:tab w:val="left" w:pos="965"/>
          <w:tab w:val="left" w:pos="1440"/>
          <w:tab w:val="left" w:pos="1915"/>
          <w:tab w:val="left" w:pos="2405"/>
        </w:tabs>
        <w:spacing w:after="120"/>
        <w:jc w:val="both"/>
      </w:pPr>
      <w:r>
        <w:tab/>
        <w:t xml:space="preserve">The terms of reference of the </w:t>
      </w:r>
      <w:r>
        <w:rPr>
          <w:i/>
        </w:rPr>
        <w:t>maslikhats</w:t>
      </w:r>
      <w:r>
        <w:t xml:space="preserve"> include: the approval of plans, economic and social programmes for the development of the territory, local budgets and budget performance reports; decisions on matters relating to the local administrative-territorial structure; consideration of reports of the heads of local executive organs on matters within the competence of the </w:t>
      </w:r>
      <w:r>
        <w:rPr>
          <w:i/>
        </w:rPr>
        <w:t>maslikhat</w:t>
      </w:r>
      <w:r>
        <w:t>; and the exercise of any other powers to guarantee the rights and lawful interests of citizens.</w:t>
      </w:r>
    </w:p>
    <w:p w:rsidR="00000000" w:rsidRDefault="00000000">
      <w:pPr>
        <w:tabs>
          <w:tab w:val="left" w:pos="475"/>
          <w:tab w:val="left" w:pos="965"/>
          <w:tab w:val="left" w:pos="1440"/>
          <w:tab w:val="left" w:pos="1915"/>
          <w:tab w:val="left" w:pos="2405"/>
        </w:tabs>
        <w:spacing w:after="120"/>
        <w:jc w:val="both"/>
      </w:pPr>
      <w:r>
        <w:tab/>
        <w:t>The local executive organs form part of a uniform system of executive organs of the Republic of Kazakhstan, and ensure the carrying out of the general State policy of the executive in their respective areas.</w:t>
      </w:r>
    </w:p>
    <w:p w:rsidR="00000000" w:rsidRDefault="00000000">
      <w:pPr>
        <w:tabs>
          <w:tab w:val="left" w:pos="475"/>
          <w:tab w:val="left" w:pos="965"/>
          <w:tab w:val="left" w:pos="1440"/>
          <w:tab w:val="left" w:pos="1915"/>
          <w:tab w:val="left" w:pos="2405"/>
        </w:tabs>
        <w:spacing w:after="120"/>
        <w:jc w:val="both"/>
      </w:pPr>
      <w:r>
        <w:tab/>
        <w:t>The terms of reference of the local executive organs include: the drawing up of economic and social development programmes and the local budget; the management of communal property; and the exercise of other powers as determined by the Constitution and the legislation of the Republic of Kazakhstan.</w:t>
      </w:r>
    </w:p>
    <w:p w:rsidR="00000000" w:rsidRDefault="00000000">
      <w:pPr>
        <w:tabs>
          <w:tab w:val="left" w:pos="475"/>
          <w:tab w:val="left" w:pos="965"/>
          <w:tab w:val="left" w:pos="1440"/>
          <w:tab w:val="left" w:pos="1915"/>
          <w:tab w:val="left" w:pos="2405"/>
        </w:tabs>
        <w:spacing w:after="120"/>
        <w:jc w:val="both"/>
      </w:pPr>
      <w:r>
        <w:tab/>
        <w:t xml:space="preserve">The local executive organ is headed by an </w:t>
      </w:r>
      <w:r>
        <w:rPr>
          <w:i/>
        </w:rPr>
        <w:t>akim</w:t>
      </w:r>
      <w:r>
        <w:t>, who is appointed directly by the President or appointed or elected as determined by the President.</w:t>
      </w:r>
    </w:p>
    <w:p w:rsidR="00000000" w:rsidRDefault="00000000">
      <w:pPr>
        <w:tabs>
          <w:tab w:val="left" w:pos="475"/>
          <w:tab w:val="left" w:pos="965"/>
          <w:tab w:val="left" w:pos="1440"/>
          <w:tab w:val="left" w:pos="1915"/>
          <w:tab w:val="left" w:pos="2405"/>
        </w:tabs>
        <w:spacing w:after="120"/>
        <w:jc w:val="both"/>
      </w:pPr>
      <w:r>
        <w:tab/>
        <w:t xml:space="preserve">The authority of the </w:t>
      </w:r>
      <w:r>
        <w:rPr>
          <w:i/>
        </w:rPr>
        <w:t>akims</w:t>
      </w:r>
      <w:r>
        <w:t xml:space="preserve"> of regions and major cities, including the capital, are terminated with the inauguration of a newly elected President.</w:t>
      </w:r>
    </w:p>
    <w:p w:rsidR="00000000" w:rsidRDefault="00000000">
      <w:pPr>
        <w:pStyle w:val="D12r"/>
      </w:pPr>
    </w:p>
    <w:p w:rsidR="00000000" w:rsidRDefault="00000000">
      <w:pPr>
        <w:pStyle w:val="DH2"/>
        <w:ind w:left="475" w:hanging="475"/>
      </w:pPr>
      <w:r>
        <w:tab/>
        <w:t>Police. Service for the prevention of violence against women</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30.</w:t>
      </w:r>
      <w:r>
        <w:tab/>
        <w:t>The Republic of Kazakhstan, as a State party to the Convention on the Elimination of All Forms of Discrimination against Women, has taken measures to implement and ensure the effectiveness of legislation to eradicate violence against women, paying special attention to the prevention of violence and the prosecution of those guilty of committing it.</w:t>
      </w:r>
    </w:p>
    <w:p w:rsidR="00000000" w:rsidRDefault="00000000">
      <w:pPr>
        <w:tabs>
          <w:tab w:val="left" w:pos="475"/>
          <w:tab w:val="left" w:pos="965"/>
          <w:tab w:val="left" w:pos="1440"/>
          <w:tab w:val="left" w:pos="1915"/>
          <w:tab w:val="left" w:pos="2405"/>
        </w:tabs>
        <w:spacing w:after="120"/>
        <w:jc w:val="both"/>
      </w:pPr>
      <w:r>
        <w:tab/>
        <w:t>With a view to adopting effective measures for the prevention and suppression of all forms of violence against women, on 19 February 1999 subdivisions to combat violence against women were established within the system of internal affairs organs, as part of the administrative police.</w:t>
      </w:r>
    </w:p>
    <w:p w:rsidR="00000000" w:rsidRDefault="00000000">
      <w:pPr>
        <w:tabs>
          <w:tab w:val="left" w:pos="475"/>
          <w:tab w:val="left" w:pos="965"/>
          <w:tab w:val="left" w:pos="1440"/>
          <w:tab w:val="left" w:pos="1915"/>
          <w:tab w:val="left" w:pos="2405"/>
        </w:tabs>
        <w:spacing w:after="120"/>
        <w:jc w:val="both"/>
      </w:pPr>
      <w:r>
        <w:tab/>
        <w:t>Their activities are directed mainly towards protecting the constitutional rights and freedoms and the legal interests of women from unlawful encroachments, providing legal support to the population on questions relating to the prevention and suppression of acts of violence, and analysis and correlation of the data on violence against women.</w:t>
      </w:r>
    </w:p>
    <w:p w:rsidR="00000000" w:rsidRDefault="00000000">
      <w:pPr>
        <w:tabs>
          <w:tab w:val="left" w:pos="475"/>
          <w:tab w:val="left" w:pos="965"/>
          <w:tab w:val="left" w:pos="1440"/>
          <w:tab w:val="left" w:pos="1915"/>
          <w:tab w:val="left" w:pos="2405"/>
        </w:tabs>
        <w:spacing w:after="120"/>
        <w:jc w:val="both"/>
      </w:pPr>
      <w:r>
        <w:tab/>
        <w:t>An analysis of crimes against women involving violence shows that, during six months of 1999, 8,475 crimes were committed against women. These included 267 homicides, 24 cases of driving women to suicide, 153 cases of deliberate serious bodily harm, 2,923 cases of deliberate moderate to slight bodily harm, 1,020 cases of beating and torture, 98 threats, 913 rapes, 45 cases of women being kidnapped and lured into sexual or other forms of exploitation, 1,582 cases of women victims of robbery and 284 cases of women victims of armed robbery.</w:t>
      </w:r>
    </w:p>
    <w:p w:rsidR="00000000" w:rsidRDefault="00000000">
      <w:pPr>
        <w:tabs>
          <w:tab w:val="left" w:pos="475"/>
          <w:tab w:val="left" w:pos="965"/>
          <w:tab w:val="left" w:pos="1440"/>
          <w:tab w:val="left" w:pos="1915"/>
          <w:tab w:val="left" w:pos="2405"/>
        </w:tabs>
        <w:spacing w:after="120"/>
        <w:jc w:val="both"/>
      </w:pPr>
      <w:r>
        <w:tab/>
        <w:t>Ten women were victims of drug- and vice-related crimes. Seven people were brought to justice for inducing women to use narcotic and psychotropic substances and three for using violence to force women into prostitution.</w:t>
      </w:r>
    </w:p>
    <w:p w:rsidR="00000000" w:rsidRDefault="00000000">
      <w:pPr>
        <w:tabs>
          <w:tab w:val="left" w:pos="475"/>
          <w:tab w:val="left" w:pos="965"/>
          <w:tab w:val="left" w:pos="1440"/>
          <w:tab w:val="left" w:pos="1915"/>
          <w:tab w:val="left" w:pos="2405"/>
        </w:tabs>
        <w:spacing w:after="120"/>
        <w:jc w:val="both"/>
      </w:pPr>
      <w:r>
        <w:tab/>
        <w:t>162 people were brought to justice for persistent non-payment of a court-ordered subsistence allowance to a disabled mother, and 19 for non-payment of maintenance to a disabled wife.</w:t>
      </w:r>
    </w:p>
    <w:p w:rsidR="00000000" w:rsidRDefault="00000000">
      <w:pPr>
        <w:tabs>
          <w:tab w:val="left" w:pos="475"/>
          <w:tab w:val="left" w:pos="965"/>
          <w:tab w:val="left" w:pos="1440"/>
          <w:tab w:val="left" w:pos="1915"/>
          <w:tab w:val="left" w:pos="2405"/>
        </w:tabs>
        <w:spacing w:after="120"/>
        <w:jc w:val="both"/>
      </w:pPr>
      <w:r>
        <w:tab/>
        <w:t>The clearest manifestations of violence against women take such forms as homicide caused by alcoholism and drug abuse, rape, systematic beating, torture, forced cohabitation and prostitution.</w:t>
      </w:r>
    </w:p>
    <w:p w:rsidR="00000000" w:rsidRDefault="00000000">
      <w:pPr>
        <w:tabs>
          <w:tab w:val="left" w:pos="475"/>
          <w:tab w:val="left" w:pos="965"/>
          <w:tab w:val="left" w:pos="1440"/>
          <w:tab w:val="left" w:pos="1915"/>
          <w:tab w:val="left" w:pos="2405"/>
        </w:tabs>
        <w:spacing w:after="120"/>
        <w:jc w:val="both"/>
      </w:pPr>
      <w:r>
        <w:tab/>
        <w:t>The most widespread forms of violence against women are domestic violence, which causes physical, psychological, economic and moral harm and suffering to women, and the threat of such treatment.</w:t>
      </w:r>
    </w:p>
    <w:p w:rsidR="00000000" w:rsidRDefault="00000000">
      <w:pPr>
        <w:tabs>
          <w:tab w:val="left" w:pos="475"/>
          <w:tab w:val="left" w:pos="965"/>
          <w:tab w:val="left" w:pos="1440"/>
          <w:tab w:val="left" w:pos="1915"/>
          <w:tab w:val="left" w:pos="2405"/>
        </w:tabs>
        <w:spacing w:after="120"/>
        <w:jc w:val="both"/>
      </w:pPr>
      <w:r>
        <w:tab/>
        <w:t>During the first six months of the current year alone, 2,797 crimes involving violence were committed in family and domestic situations; that accounted for more than 33 per cent of the total number of crimes committed against women. Those crimes of domestic violence included 81 homicides, or 30 per cent of the total number of homicides, 67 per cent of the cases of women being driven to suicide, 44 per cent of the cases of deliberate harm to women, 29 per cent of the cases of deliberately causing moderate or slight bodily harm, 60 per cent of the cases of beating and torture, and 21 per cent of the cases of threats.</w:t>
      </w:r>
    </w:p>
    <w:p w:rsidR="00000000" w:rsidRDefault="00000000">
      <w:pPr>
        <w:tabs>
          <w:tab w:val="left" w:pos="475"/>
          <w:tab w:val="left" w:pos="965"/>
          <w:tab w:val="left" w:pos="1440"/>
          <w:tab w:val="left" w:pos="1915"/>
          <w:tab w:val="left" w:pos="2405"/>
        </w:tabs>
        <w:spacing w:after="120"/>
        <w:jc w:val="both"/>
      </w:pPr>
      <w:r>
        <w:tab/>
        <w:t>Further study of the problem of violence against women, the development of proposals to amend and add to the legislation in force and the improvement of types and methods of work with the victims of violence and those who perpetrate it will make it possible to achieve the goals that have been set.</w:t>
      </w:r>
    </w:p>
    <w:p w:rsidR="00000000" w:rsidRDefault="00000000">
      <w:pPr>
        <w:pStyle w:val="D12r"/>
      </w:pPr>
    </w:p>
    <w:p w:rsidR="00000000" w:rsidRDefault="00000000">
      <w:pPr>
        <w:pStyle w:val="DH2"/>
        <w:ind w:left="475" w:hanging="475"/>
      </w:pPr>
      <w:r>
        <w:tab/>
        <w:t>National Commission for Women and the Family attached to the Office of the President of the Republic of Kazakhstan</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31.</w:t>
      </w:r>
      <w:r>
        <w:tab/>
        <w:t>By an Order of the President of the Republic of Kazakhstan, N. A. Nazarbaev, of 22 December 1998, the National Commission for Women and the Family — an advisory consultative body attached to the Office of the President of the Republic of Kazakhstan (hereinafter referred to as the Commission) — was established to protect the interests of the family and ensure the necessary conditions for the participation of women in the political, social, economic and cultural life of the country. It is composed of 28 members representing scientific and cultural circles, industrial enterprises, small- and medium-sized businesses and office employees. The Commission is headed by A. B. Samakova, a Minister of the Republic of Kazakhstan and a member of the Government.</w:t>
      </w:r>
    </w:p>
    <w:p w:rsidR="00000000" w:rsidRDefault="00000000">
      <w:pPr>
        <w:tabs>
          <w:tab w:val="left" w:pos="475"/>
          <w:tab w:val="left" w:pos="965"/>
          <w:tab w:val="left" w:pos="1440"/>
          <w:tab w:val="left" w:pos="1915"/>
          <w:tab w:val="left" w:pos="2405"/>
        </w:tabs>
        <w:spacing w:after="120"/>
        <w:jc w:val="both"/>
      </w:pPr>
      <w:r>
        <w:tab/>
        <w:t xml:space="preserve">Similar commissions have been established under the </w:t>
      </w:r>
      <w:r>
        <w:rPr>
          <w:i/>
        </w:rPr>
        <w:t>akims</w:t>
      </w:r>
      <w:r>
        <w:t xml:space="preserve"> of the regions and the towns of Astana and Almaty. They are headed by deputy </w:t>
      </w:r>
      <w:r>
        <w:rPr>
          <w:i/>
        </w:rPr>
        <w:t>akims</w:t>
      </w:r>
      <w:r>
        <w:t>. This system makes it possible for active work to be done in resolving problems relating to the family and women throughout the country.</w:t>
      </w:r>
    </w:p>
    <w:p w:rsidR="00000000" w:rsidRDefault="00000000">
      <w:pPr>
        <w:tabs>
          <w:tab w:val="left" w:pos="475"/>
          <w:tab w:val="left" w:pos="965"/>
          <w:tab w:val="left" w:pos="1440"/>
          <w:tab w:val="left" w:pos="1915"/>
          <w:tab w:val="left" w:pos="2405"/>
        </w:tabs>
        <w:spacing w:after="120"/>
        <w:jc w:val="both"/>
      </w:pPr>
      <w:r>
        <w:tab/>
        <w:t>The main objectives of the Commission are:</w:t>
      </w:r>
    </w:p>
    <w:p w:rsidR="00000000" w:rsidRDefault="00000000">
      <w:pPr>
        <w:tabs>
          <w:tab w:val="left" w:pos="297"/>
          <w:tab w:val="left" w:pos="475"/>
          <w:tab w:val="left" w:pos="965"/>
          <w:tab w:val="left" w:pos="1440"/>
          <w:tab w:val="left" w:pos="1915"/>
          <w:tab w:val="left" w:pos="2405"/>
        </w:tabs>
        <w:spacing w:after="120"/>
        <w:ind w:left="475" w:hanging="475"/>
        <w:jc w:val="both"/>
      </w:pPr>
      <w:r>
        <w:tab/>
        <w:t>–</w:t>
      </w:r>
      <w:r>
        <w:tab/>
        <w:t>To formulate priorities and introduce proposals on problems relating to the family, women and children in State programmes developed on the basis of the Strategy “Kazakhstan — 2030”;</w:t>
      </w:r>
    </w:p>
    <w:p w:rsidR="00000000" w:rsidRDefault="00000000">
      <w:pPr>
        <w:tabs>
          <w:tab w:val="left" w:pos="297"/>
          <w:tab w:val="left" w:pos="475"/>
          <w:tab w:val="left" w:pos="965"/>
          <w:tab w:val="left" w:pos="1440"/>
          <w:tab w:val="left" w:pos="1915"/>
          <w:tab w:val="left" w:pos="2405"/>
        </w:tabs>
        <w:spacing w:after="120"/>
        <w:ind w:left="475" w:hanging="475"/>
        <w:jc w:val="both"/>
      </w:pPr>
      <w:r>
        <w:tab/>
        <w:t>–</w:t>
      </w:r>
      <w:r>
        <w:tab/>
        <w:t>To develop a system of complex measures on economic, social, psychological and legal support for families, women and children and assist in their implementation;</w:t>
      </w:r>
    </w:p>
    <w:p w:rsidR="00000000" w:rsidRDefault="00000000">
      <w:pPr>
        <w:tabs>
          <w:tab w:val="left" w:pos="297"/>
          <w:tab w:val="left" w:pos="475"/>
          <w:tab w:val="left" w:pos="965"/>
          <w:tab w:val="left" w:pos="1440"/>
          <w:tab w:val="left" w:pos="1915"/>
          <w:tab w:val="left" w:pos="2405"/>
        </w:tabs>
        <w:spacing w:after="120"/>
        <w:ind w:left="475" w:hanging="475"/>
        <w:jc w:val="both"/>
      </w:pPr>
      <w:r>
        <w:tab/>
        <w:t>–</w:t>
      </w:r>
      <w:r>
        <w:tab/>
        <w:t>To analyse the situation with regard to maternal and child welfare, the economic and social conditions of the family and the health of the people;</w:t>
      </w:r>
    </w:p>
    <w:p w:rsidR="00000000" w:rsidRDefault="00000000">
      <w:pPr>
        <w:tabs>
          <w:tab w:val="left" w:pos="297"/>
          <w:tab w:val="left" w:pos="475"/>
          <w:tab w:val="left" w:pos="965"/>
          <w:tab w:val="left" w:pos="1440"/>
          <w:tab w:val="left" w:pos="1915"/>
          <w:tab w:val="left" w:pos="2405"/>
        </w:tabs>
        <w:spacing w:after="120"/>
        <w:ind w:left="475" w:hanging="475"/>
        <w:jc w:val="both"/>
      </w:pPr>
      <w:r>
        <w:tab/>
        <w:t>–</w:t>
      </w:r>
      <w:r>
        <w:tab/>
        <w:t>To create an information base on the status of women in society and on their political, social, economic and cultural level;</w:t>
      </w:r>
    </w:p>
    <w:p w:rsidR="00000000" w:rsidRDefault="00000000">
      <w:pPr>
        <w:pStyle w:val="BodyTextIndent2"/>
        <w:tabs>
          <w:tab w:val="left" w:pos="297"/>
        </w:tabs>
        <w:suppressAutoHyphens/>
        <w:spacing w:after="120" w:line="240" w:lineRule="exact"/>
        <w:rPr>
          <w:lang w:val="en-GB"/>
        </w:rPr>
      </w:pPr>
      <w:r>
        <w:rPr>
          <w:lang w:val="en-GB"/>
        </w:rPr>
        <w:tab/>
        <w:t>–</w:t>
      </w:r>
      <w:r>
        <w:rPr>
          <w:lang w:val="en-GB"/>
        </w:rPr>
        <w:tab/>
        <w:t>To expand the representation of women in the organs of State government;</w:t>
      </w:r>
    </w:p>
    <w:p w:rsidR="00000000" w:rsidRDefault="00000000">
      <w:pPr>
        <w:tabs>
          <w:tab w:val="left" w:pos="297"/>
          <w:tab w:val="left" w:pos="475"/>
          <w:tab w:val="left" w:pos="965"/>
          <w:tab w:val="left" w:pos="1440"/>
          <w:tab w:val="left" w:pos="1915"/>
          <w:tab w:val="left" w:pos="2405"/>
        </w:tabs>
        <w:spacing w:after="120"/>
        <w:ind w:left="475" w:hanging="475"/>
        <w:jc w:val="both"/>
      </w:pPr>
      <w:r>
        <w:tab/>
        <w:t>–</w:t>
      </w:r>
      <w:r>
        <w:tab/>
        <w:t>To cooperate with international organizations and participate in conferences, meetings and seminars on questions relating to the situation of the family, women and children held at the international level, and so on.</w:t>
      </w:r>
    </w:p>
    <w:p w:rsidR="00000000" w:rsidRDefault="00000000">
      <w:pPr>
        <w:tabs>
          <w:tab w:val="left" w:pos="234"/>
          <w:tab w:val="left" w:pos="475"/>
          <w:tab w:val="left" w:pos="965"/>
          <w:tab w:val="left" w:pos="1440"/>
          <w:tab w:val="left" w:pos="1915"/>
          <w:tab w:val="left" w:pos="2405"/>
        </w:tabs>
        <w:spacing w:after="120"/>
        <w:jc w:val="both"/>
      </w:pPr>
      <w:r>
        <w:tab/>
      </w:r>
      <w:r>
        <w:tab/>
        <w:t>The Commission has been given wide power and has the right to hear at its meetings the leaders of State organs directly subordinate and accountable to the Head of State and the leaders of central and local executive organs on questions relating to the protection of the rights of the family, women and children.</w:t>
      </w:r>
    </w:p>
    <w:p w:rsidR="00000000" w:rsidRDefault="00000000">
      <w:pPr>
        <w:tabs>
          <w:tab w:val="left" w:pos="234"/>
          <w:tab w:val="left" w:pos="475"/>
          <w:tab w:val="left" w:pos="965"/>
          <w:tab w:val="left" w:pos="1440"/>
          <w:tab w:val="left" w:pos="1915"/>
          <w:tab w:val="left" w:pos="2405"/>
        </w:tabs>
        <w:spacing w:after="120"/>
        <w:jc w:val="both"/>
      </w:pPr>
      <w:r>
        <w:tab/>
      </w:r>
      <w:r>
        <w:tab/>
        <w:t>During the short period since it was established, the Commission has done the following work to improve the status of the family and women:</w:t>
      </w:r>
    </w:p>
    <w:p w:rsidR="00000000" w:rsidRDefault="00000000">
      <w:pPr>
        <w:pStyle w:val="BodyTextIndent2"/>
        <w:tabs>
          <w:tab w:val="left" w:pos="297"/>
        </w:tabs>
        <w:suppressAutoHyphens/>
        <w:spacing w:after="120" w:line="240" w:lineRule="exact"/>
        <w:rPr>
          <w:lang w:val="en-GB"/>
        </w:rPr>
      </w:pPr>
      <w:r>
        <w:rPr>
          <w:lang w:val="en-GB"/>
        </w:rPr>
        <w:tab/>
        <w:t>–</w:t>
      </w:r>
      <w:r>
        <w:rPr>
          <w:lang w:val="en-GB"/>
        </w:rPr>
        <w:tab/>
        <w:t>It developed a national plan of action for the improvement of the status of women in the Republic of Kazakhstan; after being approved by the Government, the plan of action was submitted to the United Nations as an official document;</w:t>
      </w:r>
    </w:p>
    <w:p w:rsidR="00000000" w:rsidRDefault="00000000">
      <w:pPr>
        <w:pStyle w:val="DualTxt"/>
        <w:tabs>
          <w:tab w:val="clear" w:pos="480"/>
          <w:tab w:val="clear" w:pos="960"/>
          <w:tab w:val="clear" w:pos="2880"/>
          <w:tab w:val="clear" w:pos="3355"/>
          <w:tab w:val="left" w:pos="297"/>
          <w:tab w:val="left" w:pos="475"/>
          <w:tab w:val="left" w:pos="965"/>
          <w:tab w:val="left" w:pos="1440"/>
          <w:tab w:val="left" w:pos="1915"/>
          <w:tab w:val="left" w:pos="2405"/>
        </w:tabs>
        <w:ind w:left="475" w:hanging="475"/>
      </w:pPr>
      <w:r>
        <w:tab/>
        <w:t>–</w:t>
      </w:r>
      <w:r>
        <w:tab/>
        <w:t>It prepared materials for the ratification of the Convention on the Nationality of a Married Woman, the Convention on the Political Rights of Women and the Protocol on the establishment of a group for cooperation between women of the Eurasian countries;</w:t>
      </w:r>
    </w:p>
    <w:p w:rsidR="00000000" w:rsidRDefault="00000000">
      <w:pPr>
        <w:pStyle w:val="BodyTextIndent2"/>
        <w:tabs>
          <w:tab w:val="left" w:pos="288"/>
        </w:tabs>
        <w:suppressAutoHyphens/>
        <w:spacing w:after="120" w:line="240" w:lineRule="exact"/>
        <w:rPr>
          <w:lang w:val="en-GB"/>
        </w:rPr>
      </w:pPr>
      <w:r>
        <w:rPr>
          <w:lang w:val="en-GB"/>
        </w:rPr>
        <w:tab/>
        <w:t>–</w:t>
      </w:r>
      <w:r>
        <w:rPr>
          <w:lang w:val="en-GB"/>
        </w:rPr>
        <w:tab/>
        <w:t>Jointly with the Office for Demographic Institutions and Human Rights (ODIHR), the Organization for Security and Cooperation in Europe (OSCE) and other international organizations, a seminar was held in Almaty to prepare women for the legislative elections. Similar seminars were held in various regions of the country;</w:t>
      </w:r>
    </w:p>
    <w:p w:rsidR="00000000" w:rsidRDefault="00000000">
      <w:pPr>
        <w:tabs>
          <w:tab w:val="left" w:pos="288"/>
          <w:tab w:val="left" w:pos="475"/>
          <w:tab w:val="left" w:pos="965"/>
          <w:tab w:val="left" w:pos="1440"/>
          <w:tab w:val="left" w:pos="1915"/>
          <w:tab w:val="left" w:pos="2405"/>
        </w:tabs>
        <w:spacing w:after="120"/>
        <w:ind w:left="475" w:hanging="475"/>
        <w:jc w:val="both"/>
      </w:pPr>
      <w:r>
        <w:tab/>
        <w:t>–</w:t>
      </w:r>
      <w:r>
        <w:tab/>
        <w:t>A meeting took place between leaders of the Commission and leaders of the political parties and movements, at which agreement was reached on cooperation to support the participation of women in the political life of the country, as well as to move women into leadership roles and to encourage them to participate in elections;</w:t>
      </w:r>
    </w:p>
    <w:p w:rsidR="00000000" w:rsidRDefault="00000000">
      <w:pPr>
        <w:tabs>
          <w:tab w:val="left" w:pos="288"/>
          <w:tab w:val="left" w:pos="475"/>
          <w:tab w:val="left" w:pos="965"/>
          <w:tab w:val="left" w:pos="1440"/>
          <w:tab w:val="left" w:pos="1915"/>
          <w:tab w:val="left" w:pos="2405"/>
        </w:tabs>
        <w:spacing w:after="120"/>
        <w:ind w:left="475" w:hanging="475"/>
        <w:jc w:val="both"/>
      </w:pPr>
      <w:r>
        <w:tab/>
        <w:t>–</w:t>
      </w:r>
      <w:r>
        <w:tab/>
        <w:t>Draft legislation is being prepared on equal rights and opportunities and on domestic violence;</w:t>
      </w:r>
    </w:p>
    <w:p w:rsidR="00000000" w:rsidRDefault="00000000">
      <w:pPr>
        <w:tabs>
          <w:tab w:val="left" w:pos="288"/>
          <w:tab w:val="left" w:pos="475"/>
          <w:tab w:val="left" w:pos="965"/>
          <w:tab w:val="left" w:pos="1440"/>
          <w:tab w:val="left" w:pos="1915"/>
          <w:tab w:val="left" w:pos="2405"/>
        </w:tabs>
        <w:spacing w:after="120"/>
        <w:ind w:left="475" w:hanging="475"/>
        <w:jc w:val="both"/>
      </w:pPr>
      <w:r>
        <w:tab/>
        <w:t>–</w:t>
      </w:r>
      <w:r>
        <w:tab/>
        <w:t xml:space="preserve">A women’s illustrated magazine is published entitled </w:t>
      </w:r>
      <w:r>
        <w:rPr>
          <w:i/>
        </w:rPr>
        <w:t>Woman: East — West</w:t>
      </w:r>
      <w:r>
        <w:t>;</w:t>
      </w:r>
    </w:p>
    <w:p w:rsidR="00000000" w:rsidRDefault="00000000">
      <w:pPr>
        <w:tabs>
          <w:tab w:val="left" w:pos="288"/>
          <w:tab w:val="left" w:pos="475"/>
          <w:tab w:val="left" w:pos="965"/>
          <w:tab w:val="left" w:pos="1440"/>
          <w:tab w:val="left" w:pos="1915"/>
          <w:tab w:val="left" w:pos="2405"/>
        </w:tabs>
        <w:spacing w:after="120"/>
        <w:ind w:left="475" w:hanging="475"/>
        <w:jc w:val="both"/>
      </w:pPr>
      <w:r>
        <w:tab/>
        <w:t>–</w:t>
      </w:r>
      <w:r>
        <w:tab/>
        <w:t>A working group established by order of the Prime Minister of Kazakhstan and headed by the Chairman of the Commission prepared this report.</w:t>
      </w:r>
    </w:p>
    <w:p w:rsidR="00000000" w:rsidRDefault="00000000">
      <w:pPr>
        <w:pStyle w:val="DualTxt"/>
        <w:tabs>
          <w:tab w:val="clear" w:pos="480"/>
          <w:tab w:val="clear" w:pos="960"/>
          <w:tab w:val="clear" w:pos="2880"/>
          <w:tab w:val="clear" w:pos="3355"/>
          <w:tab w:val="left" w:pos="0"/>
          <w:tab w:val="left" w:pos="504"/>
          <w:tab w:val="left" w:pos="965"/>
          <w:tab w:val="left" w:pos="1440"/>
          <w:tab w:val="left" w:pos="1915"/>
          <w:tab w:val="left" w:pos="2405"/>
        </w:tabs>
      </w:pPr>
      <w:r>
        <w:tab/>
        <w:t>The Commission reports regularly to the Head of State on the results of its work.</w:t>
      </w:r>
    </w:p>
    <w:p w:rsidR="00000000" w:rsidRDefault="00000000">
      <w:pPr>
        <w:pStyle w:val="D12r"/>
      </w:pPr>
    </w:p>
    <w:p w:rsidR="00000000" w:rsidRDefault="00000000">
      <w:pPr>
        <w:pStyle w:val="DH2"/>
        <w:ind w:left="475" w:hanging="475"/>
      </w:pPr>
      <w:r>
        <w:tab/>
        <w:t>Commission on Human Rights attached to the Office of the President of the Republic of Kazakhstan</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32.</w:t>
      </w:r>
      <w:r>
        <w:tab/>
        <w:t>The President of the Republic of Kazakhstan, by an Order dated 12 February 1994, established the Commission on Human Rights as a consultative advisory body attached to the Office of the Head of State. At present it consists of 17 members representative of various social and economic strata and the national, political, professional and departmental characteristics of our society.</w:t>
      </w:r>
    </w:p>
    <w:p w:rsidR="00000000" w:rsidRDefault="00000000">
      <w:pPr>
        <w:tabs>
          <w:tab w:val="left" w:pos="475"/>
          <w:tab w:val="left" w:pos="965"/>
          <w:tab w:val="left" w:pos="1440"/>
          <w:tab w:val="left" w:pos="1915"/>
          <w:tab w:val="left" w:pos="2405"/>
        </w:tabs>
        <w:spacing w:after="120"/>
        <w:jc w:val="both"/>
      </w:pPr>
      <w:r>
        <w:tab/>
        <w:t>Today Kazakhstan is in the course of undertaking new democratic reforms. The principle of the creation of a humane democratic State, proclaimed in October 1990 in the Declaration on State Sovereignty, requires the reorganization of the economic, political, social and spiritual life of society and the formation of an appropriate legal base.</w:t>
      </w:r>
    </w:p>
    <w:p w:rsidR="00000000" w:rsidRDefault="00000000">
      <w:pPr>
        <w:tabs>
          <w:tab w:val="left" w:pos="475"/>
          <w:tab w:val="left" w:pos="965"/>
          <w:tab w:val="left" w:pos="1440"/>
          <w:tab w:val="left" w:pos="1915"/>
          <w:tab w:val="left" w:pos="2405"/>
        </w:tabs>
        <w:spacing w:after="120"/>
        <w:jc w:val="both"/>
      </w:pPr>
      <w:r>
        <w:tab/>
        <w:t>One of the activities in the field of human rights is the adoption of enforceable enactments aimed at the introduction into the legal system of international standards and principles for the observance of human rights.</w:t>
      </w:r>
    </w:p>
    <w:p w:rsidR="00000000" w:rsidRDefault="00000000">
      <w:pPr>
        <w:tabs>
          <w:tab w:val="left" w:pos="475"/>
          <w:tab w:val="left" w:pos="965"/>
          <w:tab w:val="left" w:pos="1440"/>
          <w:tab w:val="left" w:pos="1915"/>
          <w:tab w:val="left" w:pos="2405"/>
        </w:tabs>
        <w:spacing w:after="120"/>
        <w:jc w:val="both"/>
      </w:pPr>
      <w:r>
        <w:tab/>
        <w:t>The legislation already adopted, including the laws on freedom of religion and religious associations (1993), on the rehabilitation of the victims of political repression, on psychiatric care and guarantees of the rights of citizens under such care (1992) and on population migration (1997), has to a large extent incorporated international human rights standards, and this has marked an important stage in the establishment of a national system for the defence of human rights.</w:t>
      </w:r>
    </w:p>
    <w:p w:rsidR="00000000" w:rsidRDefault="00000000">
      <w:pPr>
        <w:tabs>
          <w:tab w:val="left" w:pos="475"/>
          <w:tab w:val="left" w:pos="965"/>
          <w:tab w:val="left" w:pos="1440"/>
          <w:tab w:val="left" w:pos="1915"/>
          <w:tab w:val="left" w:pos="2405"/>
        </w:tabs>
        <w:spacing w:after="120"/>
        <w:jc w:val="both"/>
      </w:pPr>
      <w:r>
        <w:tab/>
        <w:t>However, the part of the Constitution of the Republic of Kazakhstan relating to human rights and freedoms is still not fully enforced and implemented. Strong and effective measures are required to bring national legislation into line with the international conventions and other legal acts adopted by Kazakhstan.</w:t>
      </w:r>
    </w:p>
    <w:p w:rsidR="00000000" w:rsidRDefault="00000000">
      <w:pPr>
        <w:tabs>
          <w:tab w:val="left" w:pos="475"/>
          <w:tab w:val="left" w:pos="965"/>
          <w:tab w:val="left" w:pos="1440"/>
          <w:tab w:val="left" w:pos="1915"/>
          <w:tab w:val="left" w:pos="2405"/>
        </w:tabs>
        <w:spacing w:after="120"/>
        <w:jc w:val="both"/>
      </w:pPr>
      <w:r>
        <w:tab/>
        <w:t>Owing to the difficulties of economic reform, the standard of living of the population and, consequently, the real level of observance of social and economic rights, is not rising.</w:t>
      </w:r>
    </w:p>
    <w:p w:rsidR="00000000" w:rsidRDefault="00000000">
      <w:pPr>
        <w:tabs>
          <w:tab w:val="left" w:pos="475"/>
          <w:tab w:val="left" w:pos="965"/>
          <w:tab w:val="left" w:pos="1440"/>
          <w:tab w:val="left" w:pos="1915"/>
          <w:tab w:val="left" w:pos="2405"/>
        </w:tabs>
        <w:spacing w:after="120"/>
        <w:jc w:val="both"/>
      </w:pPr>
      <w:r>
        <w:tab/>
        <w:t>The social and political stability achieved during the years of the Republic of Kazakhstan’s independence has created conditions for the comprehensive establishment of human rights and freedoms in society and for their observance and implementation.</w:t>
      </w:r>
    </w:p>
    <w:p w:rsidR="00000000" w:rsidRDefault="00000000">
      <w:pPr>
        <w:pStyle w:val="D12r"/>
      </w:pPr>
    </w:p>
    <w:p w:rsidR="00000000" w:rsidRDefault="00000000">
      <w:pPr>
        <w:pStyle w:val="D12r"/>
      </w:pPr>
    </w:p>
    <w:p w:rsidR="00000000" w:rsidRDefault="00000000">
      <w:pPr>
        <w:pStyle w:val="DH1"/>
      </w:pPr>
      <w:r>
        <w:tab/>
        <w:t>Economy</w:t>
      </w:r>
    </w:p>
    <w:p w:rsidR="00000000" w:rsidRDefault="00000000">
      <w:pPr>
        <w:pStyle w:val="D12r"/>
      </w:pPr>
    </w:p>
    <w:p w:rsidR="00000000" w:rsidRDefault="00000000">
      <w:pPr>
        <w:pStyle w:val="DH2"/>
      </w:pPr>
      <w:r>
        <w:tab/>
        <w:t>Gross domestic product</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33.</w:t>
      </w:r>
      <w:r>
        <w:tab/>
        <w:t>Gross domestic product (GDP) for 1990-1999:</w:t>
      </w:r>
    </w:p>
    <w:p w:rsidR="00000000" w:rsidRDefault="00000000">
      <w:pPr>
        <w:tabs>
          <w:tab w:val="left" w:pos="475"/>
          <w:tab w:val="left" w:pos="965"/>
          <w:tab w:val="left" w:pos="1440"/>
          <w:tab w:val="left" w:pos="1915"/>
          <w:tab w:val="left" w:pos="2405"/>
        </w:tabs>
        <w:jc w:val="both"/>
      </w:pPr>
      <w:r>
        <w:tab/>
        <w:t>1990 — 47,870.5 million roubles;</w:t>
      </w:r>
    </w:p>
    <w:p w:rsidR="00000000" w:rsidRDefault="00000000">
      <w:pPr>
        <w:tabs>
          <w:tab w:val="left" w:pos="475"/>
          <w:tab w:val="left" w:pos="965"/>
          <w:tab w:val="left" w:pos="1440"/>
          <w:tab w:val="left" w:pos="1915"/>
          <w:tab w:val="left" w:pos="2405"/>
        </w:tabs>
        <w:jc w:val="both"/>
      </w:pPr>
      <w:r>
        <w:tab/>
        <w:t>1991 — 85,863.1 million roubles;</w:t>
      </w:r>
    </w:p>
    <w:p w:rsidR="00000000" w:rsidRDefault="00000000">
      <w:pPr>
        <w:tabs>
          <w:tab w:val="left" w:pos="475"/>
          <w:tab w:val="left" w:pos="965"/>
          <w:tab w:val="left" w:pos="1440"/>
          <w:tab w:val="left" w:pos="1915"/>
          <w:tab w:val="left" w:pos="2405"/>
        </w:tabs>
        <w:jc w:val="both"/>
      </w:pPr>
      <w:r>
        <w:tab/>
        <w:t>1992 — 1,217,689.2 million roubles;</w:t>
      </w:r>
    </w:p>
    <w:p w:rsidR="00000000" w:rsidRDefault="00000000">
      <w:pPr>
        <w:tabs>
          <w:tab w:val="left" w:pos="475"/>
          <w:tab w:val="left" w:pos="965"/>
          <w:tab w:val="left" w:pos="1440"/>
          <w:tab w:val="left" w:pos="1915"/>
          <w:tab w:val="left" w:pos="2405"/>
        </w:tabs>
        <w:jc w:val="both"/>
      </w:pPr>
      <w:r>
        <w:tab/>
        <w:t>1993 — 29,423.1 million roubles;</w:t>
      </w:r>
    </w:p>
    <w:p w:rsidR="00000000" w:rsidRDefault="00000000">
      <w:pPr>
        <w:tabs>
          <w:tab w:val="left" w:pos="475"/>
          <w:tab w:val="left" w:pos="965"/>
          <w:tab w:val="left" w:pos="1440"/>
          <w:tab w:val="left" w:pos="1915"/>
          <w:tab w:val="left" w:pos="2405"/>
        </w:tabs>
        <w:jc w:val="both"/>
      </w:pPr>
      <w:r>
        <w:tab/>
        <w:t>1994 — 423,468.8 million tenge;</w:t>
      </w:r>
    </w:p>
    <w:p w:rsidR="00000000" w:rsidRDefault="00000000">
      <w:pPr>
        <w:tabs>
          <w:tab w:val="left" w:pos="475"/>
          <w:tab w:val="left" w:pos="965"/>
          <w:tab w:val="left" w:pos="1440"/>
          <w:tab w:val="left" w:pos="1915"/>
          <w:tab w:val="left" w:pos="2405"/>
        </w:tabs>
        <w:jc w:val="both"/>
      </w:pPr>
      <w:r>
        <w:tab/>
        <w:t>1995 — 1,014,190.0 million tenge;</w:t>
      </w: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r>
        <w:tab/>
        <w:t>1996 — 1,415,749.7 million tenge;</w:t>
      </w:r>
    </w:p>
    <w:p w:rsidR="00000000" w:rsidRDefault="00000000">
      <w:pPr>
        <w:tabs>
          <w:tab w:val="left" w:pos="475"/>
          <w:tab w:val="left" w:pos="965"/>
          <w:tab w:val="left" w:pos="1440"/>
          <w:tab w:val="left" w:pos="1915"/>
          <w:tab w:val="left" w:pos="2405"/>
        </w:tabs>
        <w:jc w:val="both"/>
      </w:pPr>
      <w:r>
        <w:tab/>
        <w:t>1997 — 1,672,142.5 million tenge;</w:t>
      </w:r>
    </w:p>
    <w:p w:rsidR="00000000" w:rsidRDefault="00000000">
      <w:pPr>
        <w:tabs>
          <w:tab w:val="left" w:pos="475"/>
          <w:tab w:val="left" w:pos="965"/>
          <w:tab w:val="left" w:pos="1440"/>
          <w:tab w:val="left" w:pos="1915"/>
          <w:tab w:val="left" w:pos="2405"/>
        </w:tabs>
        <w:jc w:val="both"/>
      </w:pPr>
      <w:r>
        <w:tab/>
        <w:t>1998 — 1,747.7 billion tenge;</w:t>
      </w: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r>
        <w:tab/>
        <w:t>1999 (estimate) — 1,824.1 billion tenge.</w:t>
      </w: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line="20" w:lineRule="exact"/>
      </w:pPr>
      <w:r>
        <w:rPr>
          <w:noProof/>
          <w:w w:val="100"/>
        </w:rPr>
        <w:pict>
          <v:shape id="_x0000_s2067" type="#_x0000_t202" style="position:absolute;left:0;text-align:left;margin-left:250.3pt;margin-top:3.1pt;width:252pt;height:279pt;z-index:11;mso-position-horizontal:absolute;mso-position-horizontal-relative:text;mso-position-vertical:absolute;mso-position-vertical-relative:text" o:allowincell="f" stroked="f">
            <v:textbox style="mso-next-textbox:#_x0000_s2067">
              <w:txbxContent>
                <w:p w:rsidR="00000000" w:rsidRDefault="00000000">
                  <w:pPr>
                    <w:pStyle w:val="DH2"/>
                  </w:pPr>
                  <w:r>
                    <w:tab/>
                    <w:t>Labour resources</w:t>
                  </w:r>
                </w:p>
                <w:p w:rsidR="00000000" w:rsidRDefault="00000000">
                  <w:pPr>
                    <w:pStyle w:val="D12r"/>
                  </w:pPr>
                </w:p>
                <w:p w:rsidR="00000000" w:rsidRDefault="00000000">
                  <w:pPr>
                    <w:pStyle w:val="BodyText"/>
                    <w:spacing w:after="120"/>
                  </w:pPr>
                  <w:r>
                    <w:t>36.</w:t>
                  </w:r>
                  <w:r>
                    <w:tab/>
                    <w:t>Before the independence of Kazakhstan, more women than men were gainfully employed. According to the National Statistical Agency, in 1991 the employment rate (total number gainfully employed as a percentage of population of working age) was 84.4 per cent for men and 85.8 per cent for women. After 1991, the number of working women began to decrease and the gap is constantly widening. In 1993: men — 78.4 per cent, women — 74.3 per cent. In 1995: men — 84.2 per cent, women — 80.5 per cent. In 1997: men — 87.3 per cent, women — 78.2 per cent.</w:t>
                  </w:r>
                </w:p>
                <w:p w:rsidR="00000000" w:rsidRDefault="00000000">
                  <w:pPr>
                    <w:pStyle w:val="DualTxt"/>
                    <w:tabs>
                      <w:tab w:val="clear" w:pos="480"/>
                      <w:tab w:val="clear" w:pos="960"/>
                      <w:tab w:val="clear" w:pos="1440"/>
                      <w:tab w:val="clear" w:pos="1915"/>
                      <w:tab w:val="clear" w:pos="2405"/>
                      <w:tab w:val="clear" w:pos="2880"/>
                      <w:tab w:val="clear" w:pos="3355"/>
                      <w:tab w:val="left" w:pos="486"/>
                    </w:tabs>
                    <w:spacing w:after="0"/>
                  </w:pPr>
                  <w:r>
                    <w:tab/>
                    <w:t>It should be noted that official data do not reflect the real employment picture. The number of women involved in the informal sector (street trading, shuttle trade, catering, etc.) is considerably higher than that of men.</w:t>
                  </w:r>
                </w:p>
              </w:txbxContent>
            </v:textbox>
          </v:shape>
        </w:pict>
      </w:r>
      <w:r>
        <w:rPr>
          <w:noProof/>
          <w:w w:val="100"/>
        </w:rPr>
        <w:pict>
          <v:shape id="_x0000_s2066" type="#_x0000_t202" style="position:absolute;left:0;text-align:left;margin-left:-1.7pt;margin-top:3.1pt;width:252pt;height:279pt;z-index:10;mso-position-horizontal:absolute;mso-position-horizontal-relative:text;mso-position-vertical:absolute;mso-position-vertical-relative:text" o:allowincell="f" stroked="f">
            <v:textbox style="mso-next-textbox:#_x0000_s2066">
              <w:txbxContent>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r>
                    <w:t>Table 16</w:t>
                  </w:r>
                </w:p>
                <w:p w:rsidR="00000000" w:rsidRDefault="00000000">
                  <w:pPr>
                    <w:pStyle w:val="BodyText2"/>
                    <w:spacing w:after="120"/>
                  </w:pPr>
                  <w:r>
                    <w:t>Per capita GDP in tenge, at constant prices (1993 = 100 per cent)</w:t>
                  </w:r>
                </w:p>
                <w:p w:rsidR="00000000" w:rsidRDefault="00000000">
                  <w:pPr>
                    <w:pStyle w:val="D12r"/>
                  </w:pPr>
                </w:p>
                <w:tbl>
                  <w:tblPr>
                    <w:tblW w:w="0" w:type="auto"/>
                    <w:tblInd w:w="2" w:type="dxa"/>
                    <w:tblLayout w:type="fixed"/>
                    <w:tblLook w:val="0000" w:firstRow="0" w:lastRow="0" w:firstColumn="0" w:lastColumn="0" w:noHBand="0" w:noVBand="0"/>
                  </w:tblPr>
                  <w:tblGrid>
                    <w:gridCol w:w="1035"/>
                    <w:gridCol w:w="1008"/>
                    <w:gridCol w:w="882"/>
                    <w:gridCol w:w="900"/>
                    <w:gridCol w:w="954"/>
                  </w:tblGrid>
                  <w:tr w:rsidR="00000000">
                    <w:tblPrEx>
                      <w:tblCellMar>
                        <w:top w:w="0" w:type="dxa"/>
                        <w:bottom w:w="0" w:type="dxa"/>
                      </w:tblCellMar>
                    </w:tblPrEx>
                    <w:trPr>
                      <w:trHeight w:val="144"/>
                    </w:trPr>
                    <w:tc>
                      <w:tcPr>
                        <w:tcW w:w="1035"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i/>
                            <w:sz w:val="14"/>
                          </w:rPr>
                        </w:pPr>
                        <w:r>
                          <w:rPr>
                            <w:i/>
                            <w:sz w:val="14"/>
                          </w:rPr>
                          <w:t>1993</w:t>
                        </w:r>
                      </w:p>
                    </w:tc>
                    <w:tc>
                      <w:tcPr>
                        <w:tcW w:w="1008"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i/>
                            <w:sz w:val="14"/>
                          </w:rPr>
                        </w:pPr>
                        <w:r>
                          <w:rPr>
                            <w:i/>
                            <w:sz w:val="14"/>
                          </w:rPr>
                          <w:t>1994</w:t>
                        </w:r>
                      </w:p>
                    </w:tc>
                    <w:tc>
                      <w:tcPr>
                        <w:tcW w:w="882"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i/>
                            <w:sz w:val="14"/>
                          </w:rPr>
                        </w:pPr>
                        <w:r>
                          <w:rPr>
                            <w:i/>
                            <w:sz w:val="14"/>
                          </w:rPr>
                          <w:t>1995</w:t>
                        </w:r>
                      </w:p>
                    </w:tc>
                    <w:tc>
                      <w:tcPr>
                        <w:tcW w:w="900"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i/>
                            <w:sz w:val="14"/>
                          </w:rPr>
                        </w:pPr>
                        <w:r>
                          <w:rPr>
                            <w:i/>
                            <w:sz w:val="14"/>
                          </w:rPr>
                          <w:t>1996</w:t>
                        </w:r>
                      </w:p>
                    </w:tc>
                    <w:tc>
                      <w:tcPr>
                        <w:tcW w:w="954"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i/>
                            <w:sz w:val="14"/>
                          </w:rPr>
                        </w:pPr>
                        <w:r>
                          <w:rPr>
                            <w:i/>
                            <w:sz w:val="14"/>
                          </w:rPr>
                          <w:t>1997</w:t>
                        </w:r>
                      </w:p>
                    </w:tc>
                  </w:tr>
                  <w:tr w:rsidR="00000000">
                    <w:tblPrEx>
                      <w:tblCellMar>
                        <w:top w:w="0" w:type="dxa"/>
                        <w:bottom w:w="0" w:type="dxa"/>
                      </w:tblCellMar>
                    </w:tblPrEx>
                    <w:trPr>
                      <w:trHeight w:val="288"/>
                    </w:trPr>
                    <w:tc>
                      <w:tcPr>
                        <w:tcW w:w="1035" w:type="dxa"/>
                        <w:tcBorders>
                          <w:top w:val="single" w:sz="12"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1 789.7</w:t>
                        </w:r>
                      </w:p>
                    </w:tc>
                    <w:tc>
                      <w:tcPr>
                        <w:tcW w:w="1008" w:type="dxa"/>
                        <w:tcBorders>
                          <w:top w:val="single" w:sz="12"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1 592.3</w:t>
                        </w:r>
                      </w:p>
                    </w:tc>
                    <w:tc>
                      <w:tcPr>
                        <w:tcW w:w="882" w:type="dxa"/>
                        <w:tcBorders>
                          <w:top w:val="single" w:sz="12"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1 477.3</w:t>
                        </w:r>
                      </w:p>
                    </w:tc>
                    <w:tc>
                      <w:tcPr>
                        <w:tcW w:w="900" w:type="dxa"/>
                        <w:tcBorders>
                          <w:top w:val="single" w:sz="12"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1 495.9</w:t>
                        </w:r>
                      </w:p>
                    </w:tc>
                    <w:tc>
                      <w:tcPr>
                        <w:tcW w:w="954" w:type="dxa"/>
                        <w:tcBorders>
                          <w:top w:val="single" w:sz="12"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1 542.7</w:t>
                        </w:r>
                      </w:p>
                    </w:tc>
                  </w:tr>
                </w:tbl>
                <w:p w:rsidR="00000000" w:rsidRDefault="00000000">
                  <w:pPr>
                    <w:pStyle w:val="D12r"/>
                  </w:pPr>
                </w:p>
                <w:p w:rsidR="00000000" w:rsidRDefault="00000000">
                  <w:pPr>
                    <w:pStyle w:val="D12r"/>
                  </w:pPr>
                </w:p>
                <w:p w:rsidR="00000000" w:rsidRDefault="00000000">
                  <w:pPr>
                    <w:pStyle w:val="DH2"/>
                  </w:pPr>
                  <w:r>
                    <w:tab/>
                    <w:t>Inflation</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34.</w:t>
                  </w:r>
                  <w:r>
                    <w:tab/>
                    <w:t>Inflation over the last five years (at the end of the period, as a per cent of December of the previous year): 1994 — 1,258.3 per cent; 1995 — 160.3 per cent; 1996 — 128.7 per cent; 1997 — 111.2 per cent; 1998 — 101.9 per cent.</w:t>
                  </w:r>
                </w:p>
                <w:p w:rsidR="00000000" w:rsidRDefault="00000000">
                  <w:pPr>
                    <w:pStyle w:val="D12r"/>
                  </w:pPr>
                </w:p>
                <w:p w:rsidR="00000000" w:rsidRDefault="00000000">
                  <w:pPr>
                    <w:pStyle w:val="DH2"/>
                  </w:pPr>
                  <w:r>
                    <w:tab/>
                    <w:t>External debt</w:t>
                  </w:r>
                </w:p>
                <w:p w:rsidR="00000000" w:rsidRDefault="00000000">
                  <w:pPr>
                    <w:pStyle w:val="D12r"/>
                  </w:pPr>
                </w:p>
                <w:p w:rsidR="00000000" w:rsidRDefault="00000000">
                  <w:pPr>
                    <w:tabs>
                      <w:tab w:val="left" w:pos="450"/>
                    </w:tabs>
                    <w:ind w:right="-12"/>
                    <w:jc w:val="both"/>
                  </w:pPr>
                  <w:r>
                    <w:t>35.</w:t>
                  </w:r>
                  <w:r>
                    <w:tab/>
                    <w:t>As at 1 January 1999, the gross external debt of the Republic was US$ 7,542.9 million, of which direct State debt constituted US$ 3,960.6 million, external debt not guaranteed by the Republic of Kazakhstan US$ 2,308.9 million and indebtedness under direct contracts US$ 1,273.4 million.</w:t>
                  </w:r>
                </w:p>
              </w:txbxContent>
            </v:textbox>
          </v:shape>
        </w:pict>
      </w: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sectPr w:rsidR="00000000">
          <w:type w:val="continuous"/>
          <w:pgSz w:w="12240" w:h="15840"/>
          <w:pgMar w:top="1742" w:right="1195" w:bottom="1901" w:left="1195" w:header="576" w:footer="1037" w:gutter="0"/>
          <w:cols w:num="2" w:space="245"/>
          <w:docGrid w:linePitch="360"/>
        </w:sectPr>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p>
    <w:p w:rsidR="00000000" w:rsidRDefault="00000000">
      <w:pPr>
        <w:pStyle w:val="D12r"/>
      </w:pPr>
    </w:p>
    <w:p w:rsidR="00000000" w:rsidRDefault="00000000">
      <w:pPr>
        <w:pStyle w:val="SingleTxt"/>
        <w:tabs>
          <w:tab w:val="clear" w:pos="1267"/>
          <w:tab w:val="left" w:pos="153"/>
        </w:tabs>
        <w:spacing w:after="0"/>
        <w:ind w:left="180" w:right="-43"/>
        <w:jc w:val="left"/>
      </w:pPr>
      <w:r>
        <w:t>Table 17</w:t>
      </w:r>
      <w:r>
        <w:br/>
      </w:r>
      <w:r>
        <w:rPr>
          <w:b/>
        </w:rPr>
        <w:t>Labour resources (annual average)</w:t>
      </w:r>
    </w:p>
    <w:p w:rsidR="00000000" w:rsidRDefault="00000000">
      <w:pPr>
        <w:pStyle w:val="SingleTxt"/>
        <w:tabs>
          <w:tab w:val="clear" w:pos="1267"/>
          <w:tab w:val="left" w:pos="1170"/>
        </w:tabs>
        <w:ind w:left="1170" w:right="4"/>
        <w:jc w:val="right"/>
      </w:pPr>
      <w:r>
        <w:t>thousands of people</w:t>
      </w:r>
    </w:p>
    <w:tbl>
      <w:tblPr>
        <w:tblW w:w="0" w:type="auto"/>
        <w:tblInd w:w="182" w:type="dxa"/>
        <w:tblLayout w:type="fixed"/>
        <w:tblLook w:val="0000" w:firstRow="0" w:lastRow="0" w:firstColumn="0" w:lastColumn="0" w:noHBand="0" w:noVBand="0"/>
      </w:tblPr>
      <w:tblGrid>
        <w:gridCol w:w="6120"/>
        <w:gridCol w:w="720"/>
        <w:gridCol w:w="990"/>
        <w:gridCol w:w="900"/>
        <w:gridCol w:w="900"/>
      </w:tblGrid>
      <w:tr w:rsidR="00000000">
        <w:tblPrEx>
          <w:tblCellMar>
            <w:top w:w="0" w:type="dxa"/>
            <w:bottom w:w="0" w:type="dxa"/>
          </w:tblCellMar>
        </w:tblPrEx>
        <w:tc>
          <w:tcPr>
            <w:tcW w:w="6120" w:type="dxa"/>
            <w:tcBorders>
              <w:top w:val="single" w:sz="4" w:space="0" w:color="auto"/>
              <w:bottom w:val="single" w:sz="12" w:space="0" w:color="auto"/>
            </w:tcBorders>
          </w:tcPr>
          <w:p w:rsidR="00000000" w:rsidRDefault="00000000">
            <w:pPr>
              <w:pStyle w:val="SingleTxt"/>
              <w:tabs>
                <w:tab w:val="clear" w:pos="1267"/>
                <w:tab w:val="left" w:pos="1170"/>
              </w:tabs>
              <w:ind w:left="0" w:right="-50"/>
              <w:jc w:val="left"/>
              <w:rPr>
                <w:i/>
                <w:sz w:val="14"/>
              </w:rPr>
            </w:pPr>
          </w:p>
        </w:tc>
        <w:tc>
          <w:tcPr>
            <w:tcW w:w="720" w:type="dxa"/>
            <w:tcBorders>
              <w:top w:val="single" w:sz="4" w:space="0" w:color="auto"/>
              <w:bottom w:val="single" w:sz="12" w:space="0" w:color="auto"/>
            </w:tcBorders>
          </w:tcPr>
          <w:p w:rsidR="00000000" w:rsidRDefault="00000000">
            <w:pPr>
              <w:pStyle w:val="SingleTxt"/>
              <w:tabs>
                <w:tab w:val="clear" w:pos="1267"/>
                <w:tab w:val="left" w:pos="1170"/>
              </w:tabs>
              <w:ind w:left="0" w:right="-50"/>
              <w:jc w:val="right"/>
              <w:rPr>
                <w:i/>
                <w:sz w:val="14"/>
              </w:rPr>
            </w:pPr>
            <w:r>
              <w:rPr>
                <w:i/>
                <w:sz w:val="14"/>
              </w:rPr>
              <w:t>1994</w:t>
            </w:r>
          </w:p>
        </w:tc>
        <w:tc>
          <w:tcPr>
            <w:tcW w:w="990" w:type="dxa"/>
            <w:tcBorders>
              <w:top w:val="single" w:sz="4" w:space="0" w:color="auto"/>
              <w:bottom w:val="single" w:sz="12" w:space="0" w:color="auto"/>
            </w:tcBorders>
          </w:tcPr>
          <w:p w:rsidR="00000000" w:rsidRDefault="00000000">
            <w:pPr>
              <w:pStyle w:val="SingleTxt"/>
              <w:tabs>
                <w:tab w:val="clear" w:pos="1267"/>
                <w:tab w:val="left" w:pos="1170"/>
              </w:tabs>
              <w:ind w:left="0" w:right="-50"/>
              <w:jc w:val="right"/>
              <w:rPr>
                <w:i/>
                <w:sz w:val="14"/>
              </w:rPr>
            </w:pPr>
            <w:r>
              <w:rPr>
                <w:i/>
                <w:sz w:val="14"/>
              </w:rPr>
              <w:t>1995</w:t>
            </w:r>
          </w:p>
        </w:tc>
        <w:tc>
          <w:tcPr>
            <w:tcW w:w="900" w:type="dxa"/>
            <w:tcBorders>
              <w:top w:val="single" w:sz="4" w:space="0" w:color="auto"/>
              <w:bottom w:val="single" w:sz="12" w:space="0" w:color="auto"/>
            </w:tcBorders>
          </w:tcPr>
          <w:p w:rsidR="00000000" w:rsidRDefault="00000000">
            <w:pPr>
              <w:pStyle w:val="SingleTxt"/>
              <w:tabs>
                <w:tab w:val="clear" w:pos="1267"/>
                <w:tab w:val="left" w:pos="1170"/>
              </w:tabs>
              <w:ind w:left="0" w:right="-50"/>
              <w:jc w:val="right"/>
              <w:rPr>
                <w:i/>
                <w:sz w:val="14"/>
              </w:rPr>
            </w:pPr>
            <w:r>
              <w:rPr>
                <w:i/>
                <w:sz w:val="14"/>
              </w:rPr>
              <w:t>1996</w:t>
            </w:r>
          </w:p>
        </w:tc>
        <w:tc>
          <w:tcPr>
            <w:tcW w:w="900" w:type="dxa"/>
            <w:tcBorders>
              <w:top w:val="single" w:sz="4" w:space="0" w:color="auto"/>
              <w:bottom w:val="single" w:sz="12" w:space="0" w:color="auto"/>
            </w:tcBorders>
          </w:tcPr>
          <w:p w:rsidR="00000000" w:rsidRDefault="00000000">
            <w:pPr>
              <w:pStyle w:val="SingleTxt"/>
              <w:tabs>
                <w:tab w:val="clear" w:pos="1267"/>
                <w:tab w:val="left" w:pos="1170"/>
              </w:tabs>
              <w:ind w:left="0" w:right="-50"/>
              <w:jc w:val="right"/>
              <w:rPr>
                <w:i/>
                <w:sz w:val="14"/>
              </w:rPr>
            </w:pPr>
            <w:r>
              <w:rPr>
                <w:i/>
                <w:sz w:val="14"/>
              </w:rPr>
              <w:t>1997</w:t>
            </w:r>
          </w:p>
        </w:tc>
      </w:tr>
      <w:tr w:rsidR="00000000">
        <w:tblPrEx>
          <w:tblCellMar>
            <w:top w:w="0" w:type="dxa"/>
            <w:bottom w:w="0" w:type="dxa"/>
          </w:tblCellMar>
        </w:tblPrEx>
        <w:tc>
          <w:tcPr>
            <w:tcW w:w="6120" w:type="dxa"/>
            <w:tcBorders>
              <w:top w:val="single" w:sz="12" w:space="0" w:color="auto"/>
            </w:tcBorders>
          </w:tcPr>
          <w:p w:rsidR="00000000" w:rsidRDefault="00000000">
            <w:pPr>
              <w:pStyle w:val="SingleTxt"/>
              <w:tabs>
                <w:tab w:val="clear" w:pos="1267"/>
                <w:tab w:val="left" w:pos="1170"/>
              </w:tabs>
              <w:ind w:left="0" w:right="-50"/>
              <w:jc w:val="left"/>
              <w:rPr>
                <w:sz w:val="17"/>
              </w:rPr>
            </w:pPr>
            <w:r>
              <w:rPr>
                <w:sz w:val="17"/>
              </w:rPr>
              <w:t>Labour resources</w:t>
            </w:r>
          </w:p>
        </w:tc>
        <w:tc>
          <w:tcPr>
            <w:tcW w:w="720"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9 240.5</w:t>
            </w:r>
          </w:p>
        </w:tc>
        <w:tc>
          <w:tcPr>
            <w:tcW w:w="990"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9 153</w:t>
            </w:r>
          </w:p>
        </w:tc>
        <w:tc>
          <w:tcPr>
            <w:tcW w:w="900"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9 140.1</w:t>
            </w:r>
          </w:p>
        </w:tc>
        <w:tc>
          <w:tcPr>
            <w:tcW w:w="900"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8 813.6</w:t>
            </w:r>
          </w:p>
        </w:tc>
      </w:tr>
      <w:tr w:rsidR="00000000">
        <w:tblPrEx>
          <w:tblCellMar>
            <w:top w:w="0" w:type="dxa"/>
            <w:bottom w:w="0" w:type="dxa"/>
          </w:tblCellMar>
        </w:tblPrEx>
        <w:tc>
          <w:tcPr>
            <w:tcW w:w="6120" w:type="dxa"/>
          </w:tcPr>
          <w:p w:rsidR="00000000" w:rsidRDefault="00000000">
            <w:pPr>
              <w:pStyle w:val="SingleTxt"/>
              <w:tabs>
                <w:tab w:val="clear" w:pos="1267"/>
                <w:tab w:val="left" w:pos="1170"/>
              </w:tabs>
              <w:ind w:left="0" w:right="-50"/>
              <w:jc w:val="left"/>
              <w:rPr>
                <w:sz w:val="17"/>
              </w:rPr>
            </w:pPr>
            <w:r>
              <w:rPr>
                <w:sz w:val="17"/>
              </w:rPr>
              <w:t>Per cent of the population</w:t>
            </w:r>
          </w:p>
        </w:tc>
        <w:tc>
          <w:tcPr>
            <w:tcW w:w="720" w:type="dxa"/>
          </w:tcPr>
          <w:p w:rsidR="00000000" w:rsidRDefault="00000000">
            <w:pPr>
              <w:pStyle w:val="SingleTxt"/>
              <w:tabs>
                <w:tab w:val="clear" w:pos="1267"/>
                <w:tab w:val="left" w:pos="1170"/>
              </w:tabs>
              <w:ind w:left="0" w:right="-50"/>
              <w:jc w:val="right"/>
              <w:rPr>
                <w:sz w:val="17"/>
              </w:rPr>
            </w:pPr>
            <w:r>
              <w:rPr>
                <w:sz w:val="17"/>
              </w:rPr>
              <w:t>56.7</w:t>
            </w:r>
          </w:p>
        </w:tc>
        <w:tc>
          <w:tcPr>
            <w:tcW w:w="990" w:type="dxa"/>
          </w:tcPr>
          <w:p w:rsidR="00000000" w:rsidRDefault="00000000">
            <w:pPr>
              <w:pStyle w:val="SingleTxt"/>
              <w:tabs>
                <w:tab w:val="clear" w:pos="1267"/>
                <w:tab w:val="left" w:pos="1170"/>
              </w:tabs>
              <w:ind w:left="0" w:right="-50"/>
              <w:jc w:val="right"/>
              <w:rPr>
                <w:sz w:val="17"/>
              </w:rPr>
            </w:pPr>
            <w:r>
              <w:rPr>
                <w:sz w:val="17"/>
              </w:rPr>
              <w:t>57</w:t>
            </w:r>
          </w:p>
        </w:tc>
        <w:tc>
          <w:tcPr>
            <w:tcW w:w="900" w:type="dxa"/>
          </w:tcPr>
          <w:p w:rsidR="00000000" w:rsidRDefault="00000000">
            <w:pPr>
              <w:pStyle w:val="SingleTxt"/>
              <w:tabs>
                <w:tab w:val="clear" w:pos="1267"/>
                <w:tab w:val="left" w:pos="1170"/>
              </w:tabs>
              <w:ind w:left="0" w:right="-50"/>
              <w:jc w:val="right"/>
              <w:rPr>
                <w:sz w:val="17"/>
              </w:rPr>
            </w:pPr>
            <w:r>
              <w:rPr>
                <w:sz w:val="17"/>
              </w:rPr>
              <w:t>57.4</w:t>
            </w:r>
          </w:p>
        </w:tc>
        <w:tc>
          <w:tcPr>
            <w:tcW w:w="900" w:type="dxa"/>
          </w:tcPr>
          <w:p w:rsidR="00000000" w:rsidRDefault="00000000">
            <w:pPr>
              <w:pStyle w:val="SingleTxt"/>
              <w:tabs>
                <w:tab w:val="clear" w:pos="1267"/>
                <w:tab w:val="left" w:pos="1170"/>
              </w:tabs>
              <w:ind w:left="0" w:right="-50"/>
              <w:jc w:val="right"/>
              <w:rPr>
                <w:sz w:val="17"/>
              </w:rPr>
            </w:pPr>
            <w:r>
              <w:rPr>
                <w:sz w:val="17"/>
              </w:rPr>
              <w:t>56</w:t>
            </w:r>
          </w:p>
        </w:tc>
      </w:tr>
      <w:tr w:rsidR="00000000">
        <w:tblPrEx>
          <w:tblCellMar>
            <w:top w:w="0" w:type="dxa"/>
            <w:bottom w:w="0" w:type="dxa"/>
          </w:tblCellMar>
        </w:tblPrEx>
        <w:tc>
          <w:tcPr>
            <w:tcW w:w="6120" w:type="dxa"/>
          </w:tcPr>
          <w:p w:rsidR="00000000" w:rsidRDefault="00000000">
            <w:pPr>
              <w:pStyle w:val="SingleTxt"/>
              <w:tabs>
                <w:tab w:val="clear" w:pos="1267"/>
                <w:tab w:val="left" w:pos="1170"/>
              </w:tabs>
              <w:ind w:left="0" w:right="-50"/>
              <w:jc w:val="left"/>
              <w:rPr>
                <w:sz w:val="17"/>
              </w:rPr>
            </w:pPr>
            <w:r>
              <w:rPr>
                <w:sz w:val="17"/>
              </w:rPr>
              <w:t>Number employed</w:t>
            </w:r>
          </w:p>
        </w:tc>
        <w:tc>
          <w:tcPr>
            <w:tcW w:w="720" w:type="dxa"/>
          </w:tcPr>
          <w:p w:rsidR="00000000" w:rsidRDefault="00000000">
            <w:pPr>
              <w:pStyle w:val="SingleTxt"/>
              <w:tabs>
                <w:tab w:val="clear" w:pos="1267"/>
                <w:tab w:val="left" w:pos="1170"/>
              </w:tabs>
              <w:ind w:left="0" w:right="-50"/>
              <w:jc w:val="right"/>
              <w:rPr>
                <w:sz w:val="17"/>
              </w:rPr>
            </w:pPr>
            <w:r>
              <w:rPr>
                <w:sz w:val="17"/>
              </w:rPr>
              <w:t>6 581.8</w:t>
            </w:r>
          </w:p>
        </w:tc>
        <w:tc>
          <w:tcPr>
            <w:tcW w:w="990" w:type="dxa"/>
          </w:tcPr>
          <w:p w:rsidR="00000000" w:rsidRDefault="00000000">
            <w:pPr>
              <w:pStyle w:val="SingleTxt"/>
              <w:tabs>
                <w:tab w:val="clear" w:pos="1267"/>
                <w:tab w:val="left" w:pos="1170"/>
              </w:tabs>
              <w:ind w:left="0" w:right="-50"/>
              <w:jc w:val="right"/>
              <w:rPr>
                <w:sz w:val="17"/>
              </w:rPr>
            </w:pPr>
            <w:r>
              <w:rPr>
                <w:sz w:val="17"/>
              </w:rPr>
              <w:t>6 551.5</w:t>
            </w:r>
          </w:p>
        </w:tc>
        <w:tc>
          <w:tcPr>
            <w:tcW w:w="900" w:type="dxa"/>
          </w:tcPr>
          <w:p w:rsidR="00000000" w:rsidRDefault="00000000">
            <w:pPr>
              <w:pStyle w:val="SingleTxt"/>
              <w:tabs>
                <w:tab w:val="clear" w:pos="1267"/>
                <w:tab w:val="left" w:pos="1170"/>
              </w:tabs>
              <w:ind w:left="0" w:right="-50"/>
              <w:jc w:val="right"/>
              <w:rPr>
                <w:sz w:val="17"/>
              </w:rPr>
            </w:pPr>
            <w:r>
              <w:rPr>
                <w:sz w:val="17"/>
              </w:rPr>
              <w:t>6 518.9</w:t>
            </w:r>
          </w:p>
        </w:tc>
        <w:tc>
          <w:tcPr>
            <w:tcW w:w="900" w:type="dxa"/>
          </w:tcPr>
          <w:p w:rsidR="00000000" w:rsidRDefault="00000000">
            <w:pPr>
              <w:pStyle w:val="SingleTxt"/>
              <w:tabs>
                <w:tab w:val="clear" w:pos="1267"/>
                <w:tab w:val="left" w:pos="1170"/>
              </w:tabs>
              <w:ind w:left="0" w:right="-50"/>
              <w:jc w:val="right"/>
              <w:rPr>
                <w:sz w:val="17"/>
              </w:rPr>
            </w:pPr>
            <w:r>
              <w:rPr>
                <w:sz w:val="17"/>
              </w:rPr>
              <w:t>6 472.3</w:t>
            </w:r>
          </w:p>
        </w:tc>
      </w:tr>
      <w:tr w:rsidR="00000000">
        <w:tblPrEx>
          <w:tblCellMar>
            <w:top w:w="0" w:type="dxa"/>
            <w:bottom w:w="0" w:type="dxa"/>
          </w:tblCellMar>
        </w:tblPrEx>
        <w:tc>
          <w:tcPr>
            <w:tcW w:w="6120" w:type="dxa"/>
          </w:tcPr>
          <w:p w:rsidR="00000000" w:rsidRDefault="00000000">
            <w:pPr>
              <w:pStyle w:val="SingleTxt"/>
              <w:tabs>
                <w:tab w:val="clear" w:pos="1267"/>
                <w:tab w:val="left" w:pos="1170"/>
              </w:tabs>
              <w:ind w:left="0" w:right="-50"/>
              <w:jc w:val="left"/>
              <w:rPr>
                <w:sz w:val="17"/>
              </w:rPr>
            </w:pPr>
            <w:r>
              <w:rPr>
                <w:sz w:val="17"/>
              </w:rPr>
              <w:t>Per cent of labour resources</w:t>
            </w:r>
          </w:p>
        </w:tc>
        <w:tc>
          <w:tcPr>
            <w:tcW w:w="720" w:type="dxa"/>
          </w:tcPr>
          <w:p w:rsidR="00000000" w:rsidRDefault="00000000">
            <w:pPr>
              <w:pStyle w:val="SingleTxt"/>
              <w:tabs>
                <w:tab w:val="clear" w:pos="1267"/>
                <w:tab w:val="left" w:pos="1170"/>
              </w:tabs>
              <w:ind w:left="0" w:right="-50"/>
              <w:jc w:val="right"/>
              <w:rPr>
                <w:sz w:val="17"/>
              </w:rPr>
            </w:pPr>
            <w:r>
              <w:rPr>
                <w:sz w:val="17"/>
              </w:rPr>
              <w:t>71.2</w:t>
            </w:r>
          </w:p>
        </w:tc>
        <w:tc>
          <w:tcPr>
            <w:tcW w:w="990" w:type="dxa"/>
          </w:tcPr>
          <w:p w:rsidR="00000000" w:rsidRDefault="00000000">
            <w:pPr>
              <w:pStyle w:val="SingleTxt"/>
              <w:tabs>
                <w:tab w:val="clear" w:pos="1267"/>
                <w:tab w:val="left" w:pos="1170"/>
              </w:tabs>
              <w:ind w:left="0" w:right="-50"/>
              <w:jc w:val="right"/>
              <w:rPr>
                <w:sz w:val="17"/>
              </w:rPr>
            </w:pPr>
            <w:r>
              <w:rPr>
                <w:sz w:val="17"/>
              </w:rPr>
              <w:t>71.6</w:t>
            </w:r>
          </w:p>
        </w:tc>
        <w:tc>
          <w:tcPr>
            <w:tcW w:w="900" w:type="dxa"/>
          </w:tcPr>
          <w:p w:rsidR="00000000" w:rsidRDefault="00000000">
            <w:pPr>
              <w:pStyle w:val="SingleTxt"/>
              <w:tabs>
                <w:tab w:val="clear" w:pos="1267"/>
                <w:tab w:val="left" w:pos="1170"/>
              </w:tabs>
              <w:ind w:left="0" w:right="-50"/>
              <w:jc w:val="right"/>
              <w:rPr>
                <w:sz w:val="17"/>
              </w:rPr>
            </w:pPr>
            <w:r>
              <w:rPr>
                <w:sz w:val="17"/>
              </w:rPr>
              <w:t>71.3</w:t>
            </w:r>
          </w:p>
        </w:tc>
        <w:tc>
          <w:tcPr>
            <w:tcW w:w="900" w:type="dxa"/>
          </w:tcPr>
          <w:p w:rsidR="00000000" w:rsidRDefault="00000000">
            <w:pPr>
              <w:pStyle w:val="SingleTxt"/>
              <w:tabs>
                <w:tab w:val="clear" w:pos="1267"/>
                <w:tab w:val="left" w:pos="1170"/>
              </w:tabs>
              <w:ind w:left="0" w:right="-50"/>
              <w:jc w:val="right"/>
              <w:rPr>
                <w:sz w:val="17"/>
              </w:rPr>
            </w:pPr>
            <w:r>
              <w:rPr>
                <w:sz w:val="17"/>
              </w:rPr>
              <w:t>73.4</w:t>
            </w:r>
          </w:p>
        </w:tc>
      </w:tr>
      <w:tr w:rsidR="00000000">
        <w:tblPrEx>
          <w:tblCellMar>
            <w:top w:w="0" w:type="dxa"/>
            <w:bottom w:w="0" w:type="dxa"/>
          </w:tblCellMar>
        </w:tblPrEx>
        <w:tc>
          <w:tcPr>
            <w:tcW w:w="6120" w:type="dxa"/>
          </w:tcPr>
          <w:p w:rsidR="00000000" w:rsidRDefault="00000000">
            <w:pPr>
              <w:pStyle w:val="SingleTxt"/>
              <w:tabs>
                <w:tab w:val="clear" w:pos="1267"/>
                <w:tab w:val="left" w:pos="1170"/>
              </w:tabs>
              <w:ind w:left="0" w:right="-50"/>
              <w:jc w:val="left"/>
              <w:rPr>
                <w:b/>
                <w:sz w:val="17"/>
              </w:rPr>
            </w:pPr>
            <w:r>
              <w:rPr>
                <w:b/>
                <w:sz w:val="17"/>
              </w:rPr>
              <w:t>Number of women</w:t>
            </w:r>
          </w:p>
        </w:tc>
        <w:tc>
          <w:tcPr>
            <w:tcW w:w="720" w:type="dxa"/>
          </w:tcPr>
          <w:p w:rsidR="00000000" w:rsidRDefault="00000000">
            <w:pPr>
              <w:pStyle w:val="SingleTxt"/>
              <w:tabs>
                <w:tab w:val="clear" w:pos="1267"/>
                <w:tab w:val="left" w:pos="1170"/>
              </w:tabs>
              <w:ind w:left="0" w:right="-50"/>
              <w:jc w:val="right"/>
              <w:rPr>
                <w:sz w:val="17"/>
              </w:rPr>
            </w:pPr>
            <w:r>
              <w:rPr>
                <w:sz w:val="17"/>
              </w:rPr>
              <w:t>3 139.5</w:t>
            </w:r>
          </w:p>
        </w:tc>
        <w:tc>
          <w:tcPr>
            <w:tcW w:w="990" w:type="dxa"/>
          </w:tcPr>
          <w:p w:rsidR="00000000" w:rsidRDefault="00000000">
            <w:pPr>
              <w:pStyle w:val="SingleTxt"/>
              <w:tabs>
                <w:tab w:val="clear" w:pos="1267"/>
                <w:tab w:val="left" w:pos="1170"/>
              </w:tabs>
              <w:ind w:left="0" w:right="-50"/>
              <w:jc w:val="right"/>
              <w:rPr>
                <w:sz w:val="17"/>
              </w:rPr>
            </w:pPr>
            <w:r>
              <w:rPr>
                <w:sz w:val="17"/>
              </w:rPr>
              <w:t>3 053</w:t>
            </w:r>
          </w:p>
        </w:tc>
        <w:tc>
          <w:tcPr>
            <w:tcW w:w="900" w:type="dxa"/>
          </w:tcPr>
          <w:p w:rsidR="00000000" w:rsidRDefault="00000000">
            <w:pPr>
              <w:pStyle w:val="SingleTxt"/>
              <w:tabs>
                <w:tab w:val="clear" w:pos="1267"/>
                <w:tab w:val="left" w:pos="1170"/>
              </w:tabs>
              <w:ind w:left="0" w:right="-50"/>
              <w:jc w:val="right"/>
              <w:rPr>
                <w:sz w:val="17"/>
              </w:rPr>
            </w:pPr>
            <w:r>
              <w:rPr>
                <w:sz w:val="17"/>
              </w:rPr>
              <w:t>3 024.8</w:t>
            </w:r>
          </w:p>
        </w:tc>
        <w:tc>
          <w:tcPr>
            <w:tcW w:w="900" w:type="dxa"/>
          </w:tcPr>
          <w:p w:rsidR="00000000" w:rsidRDefault="00000000">
            <w:pPr>
              <w:pStyle w:val="SingleTxt"/>
              <w:tabs>
                <w:tab w:val="clear" w:pos="1267"/>
                <w:tab w:val="left" w:pos="1170"/>
              </w:tabs>
              <w:ind w:left="0" w:right="-50"/>
              <w:jc w:val="right"/>
              <w:rPr>
                <w:sz w:val="17"/>
              </w:rPr>
            </w:pPr>
            <w:r>
              <w:rPr>
                <w:sz w:val="17"/>
              </w:rPr>
              <w:t>2 951.4</w:t>
            </w:r>
          </w:p>
        </w:tc>
      </w:tr>
      <w:tr w:rsidR="00000000">
        <w:tblPrEx>
          <w:tblCellMar>
            <w:top w:w="0" w:type="dxa"/>
            <w:bottom w:w="0" w:type="dxa"/>
          </w:tblCellMar>
        </w:tblPrEx>
        <w:tc>
          <w:tcPr>
            <w:tcW w:w="6120" w:type="dxa"/>
          </w:tcPr>
          <w:p w:rsidR="00000000" w:rsidRDefault="00000000">
            <w:pPr>
              <w:pStyle w:val="SingleTxt"/>
              <w:tabs>
                <w:tab w:val="clear" w:pos="1267"/>
                <w:tab w:val="left" w:pos="1170"/>
              </w:tabs>
              <w:ind w:left="0" w:right="-50"/>
              <w:jc w:val="left"/>
              <w:rPr>
                <w:sz w:val="17"/>
              </w:rPr>
            </w:pPr>
            <w:r>
              <w:rPr>
                <w:sz w:val="17"/>
              </w:rPr>
              <w:t>Per cent</w:t>
            </w:r>
          </w:p>
        </w:tc>
        <w:tc>
          <w:tcPr>
            <w:tcW w:w="720" w:type="dxa"/>
          </w:tcPr>
          <w:p w:rsidR="00000000" w:rsidRDefault="00000000">
            <w:pPr>
              <w:pStyle w:val="SingleTxt"/>
              <w:tabs>
                <w:tab w:val="clear" w:pos="1267"/>
                <w:tab w:val="left" w:pos="1170"/>
              </w:tabs>
              <w:ind w:left="0" w:right="-50"/>
              <w:jc w:val="right"/>
              <w:rPr>
                <w:sz w:val="17"/>
              </w:rPr>
            </w:pPr>
            <w:r>
              <w:rPr>
                <w:sz w:val="17"/>
              </w:rPr>
              <w:t>47.7</w:t>
            </w:r>
          </w:p>
        </w:tc>
        <w:tc>
          <w:tcPr>
            <w:tcW w:w="990" w:type="dxa"/>
          </w:tcPr>
          <w:p w:rsidR="00000000" w:rsidRDefault="00000000">
            <w:pPr>
              <w:pStyle w:val="SingleTxt"/>
              <w:tabs>
                <w:tab w:val="clear" w:pos="1267"/>
                <w:tab w:val="left" w:pos="1170"/>
              </w:tabs>
              <w:ind w:left="0" w:right="-50"/>
              <w:jc w:val="right"/>
              <w:rPr>
                <w:sz w:val="17"/>
              </w:rPr>
            </w:pPr>
            <w:r>
              <w:rPr>
                <w:sz w:val="17"/>
              </w:rPr>
              <w:t>46.6</w:t>
            </w:r>
          </w:p>
        </w:tc>
        <w:tc>
          <w:tcPr>
            <w:tcW w:w="900" w:type="dxa"/>
          </w:tcPr>
          <w:p w:rsidR="00000000" w:rsidRDefault="00000000">
            <w:pPr>
              <w:pStyle w:val="SingleTxt"/>
              <w:tabs>
                <w:tab w:val="clear" w:pos="1267"/>
                <w:tab w:val="left" w:pos="1170"/>
              </w:tabs>
              <w:ind w:left="0" w:right="-50"/>
              <w:jc w:val="right"/>
              <w:rPr>
                <w:sz w:val="17"/>
              </w:rPr>
            </w:pPr>
            <w:r>
              <w:rPr>
                <w:sz w:val="17"/>
              </w:rPr>
              <w:t>46.4</w:t>
            </w:r>
          </w:p>
        </w:tc>
        <w:tc>
          <w:tcPr>
            <w:tcW w:w="900" w:type="dxa"/>
          </w:tcPr>
          <w:p w:rsidR="00000000" w:rsidRDefault="00000000">
            <w:pPr>
              <w:pStyle w:val="SingleTxt"/>
              <w:tabs>
                <w:tab w:val="clear" w:pos="1267"/>
                <w:tab w:val="left" w:pos="1170"/>
              </w:tabs>
              <w:ind w:left="0" w:right="-50"/>
              <w:jc w:val="right"/>
              <w:rPr>
                <w:sz w:val="17"/>
              </w:rPr>
            </w:pPr>
            <w:r>
              <w:rPr>
                <w:sz w:val="17"/>
              </w:rPr>
              <w:t>45.6</w:t>
            </w:r>
          </w:p>
        </w:tc>
      </w:tr>
      <w:tr w:rsidR="00000000">
        <w:tblPrEx>
          <w:tblCellMar>
            <w:top w:w="0" w:type="dxa"/>
            <w:bottom w:w="0" w:type="dxa"/>
          </w:tblCellMar>
        </w:tblPrEx>
        <w:tc>
          <w:tcPr>
            <w:tcW w:w="6120" w:type="dxa"/>
          </w:tcPr>
          <w:p w:rsidR="00000000" w:rsidRDefault="00000000">
            <w:pPr>
              <w:pStyle w:val="SingleTxt"/>
              <w:tabs>
                <w:tab w:val="clear" w:pos="1267"/>
                <w:tab w:val="left" w:pos="1170"/>
              </w:tabs>
              <w:ind w:left="0" w:right="-50"/>
              <w:jc w:val="left"/>
              <w:rPr>
                <w:sz w:val="17"/>
              </w:rPr>
            </w:pPr>
            <w:r>
              <w:rPr>
                <w:sz w:val="17"/>
              </w:rPr>
              <w:t>Total number unemployed</w:t>
            </w:r>
          </w:p>
        </w:tc>
        <w:tc>
          <w:tcPr>
            <w:tcW w:w="720" w:type="dxa"/>
          </w:tcPr>
          <w:p w:rsidR="00000000" w:rsidRDefault="00000000">
            <w:pPr>
              <w:pStyle w:val="SingleTxt"/>
              <w:tabs>
                <w:tab w:val="clear" w:pos="1267"/>
                <w:tab w:val="left" w:pos="1170"/>
              </w:tabs>
              <w:ind w:left="0" w:right="-50"/>
              <w:jc w:val="right"/>
              <w:rPr>
                <w:sz w:val="17"/>
              </w:rPr>
            </w:pPr>
            <w:r>
              <w:rPr>
                <w:sz w:val="17"/>
              </w:rPr>
              <w:t>536.4</w:t>
            </w:r>
          </w:p>
        </w:tc>
        <w:tc>
          <w:tcPr>
            <w:tcW w:w="990" w:type="dxa"/>
          </w:tcPr>
          <w:p w:rsidR="00000000" w:rsidRDefault="00000000">
            <w:pPr>
              <w:pStyle w:val="SingleTxt"/>
              <w:tabs>
                <w:tab w:val="clear" w:pos="1267"/>
                <w:tab w:val="left" w:pos="1170"/>
              </w:tabs>
              <w:ind w:left="0" w:right="-50"/>
              <w:jc w:val="right"/>
              <w:rPr>
                <w:sz w:val="17"/>
              </w:rPr>
            </w:pPr>
            <w:r>
              <w:rPr>
                <w:sz w:val="17"/>
              </w:rPr>
              <w:t>808.3</w:t>
            </w:r>
          </w:p>
        </w:tc>
        <w:tc>
          <w:tcPr>
            <w:tcW w:w="900" w:type="dxa"/>
          </w:tcPr>
          <w:p w:rsidR="00000000" w:rsidRDefault="00000000">
            <w:pPr>
              <w:pStyle w:val="SingleTxt"/>
              <w:tabs>
                <w:tab w:val="clear" w:pos="1267"/>
                <w:tab w:val="left" w:pos="1170"/>
              </w:tabs>
              <w:ind w:left="0" w:right="-50"/>
              <w:jc w:val="right"/>
              <w:rPr>
                <w:sz w:val="17"/>
              </w:rPr>
            </w:pPr>
            <w:r>
              <w:rPr>
                <w:sz w:val="17"/>
              </w:rPr>
              <w:t>970.6</w:t>
            </w:r>
          </w:p>
        </w:tc>
        <w:tc>
          <w:tcPr>
            <w:tcW w:w="900" w:type="dxa"/>
          </w:tcPr>
          <w:p w:rsidR="00000000" w:rsidRDefault="00000000">
            <w:pPr>
              <w:pStyle w:val="SingleTxt"/>
              <w:tabs>
                <w:tab w:val="clear" w:pos="1267"/>
                <w:tab w:val="left" w:pos="1170"/>
              </w:tabs>
              <w:ind w:left="0" w:right="-50"/>
              <w:jc w:val="right"/>
              <w:rPr>
                <w:sz w:val="17"/>
              </w:rPr>
            </w:pPr>
            <w:r>
              <w:rPr>
                <w:sz w:val="17"/>
              </w:rPr>
              <w:t>967.8</w:t>
            </w:r>
          </w:p>
        </w:tc>
      </w:tr>
      <w:tr w:rsidR="00000000">
        <w:tblPrEx>
          <w:tblCellMar>
            <w:top w:w="0" w:type="dxa"/>
            <w:bottom w:w="0" w:type="dxa"/>
          </w:tblCellMar>
        </w:tblPrEx>
        <w:tc>
          <w:tcPr>
            <w:tcW w:w="6120" w:type="dxa"/>
          </w:tcPr>
          <w:p w:rsidR="00000000" w:rsidRDefault="00000000">
            <w:pPr>
              <w:pStyle w:val="SingleTxt"/>
              <w:tabs>
                <w:tab w:val="clear" w:pos="1267"/>
                <w:tab w:val="left" w:pos="1170"/>
              </w:tabs>
              <w:ind w:left="0" w:right="-50"/>
              <w:jc w:val="left"/>
              <w:rPr>
                <w:sz w:val="17"/>
              </w:rPr>
            </w:pPr>
            <w:r>
              <w:rPr>
                <w:sz w:val="17"/>
              </w:rPr>
              <w:t>Total (actual) unemployment, as per cent of the economically active population</w:t>
            </w:r>
          </w:p>
        </w:tc>
        <w:tc>
          <w:tcPr>
            <w:tcW w:w="720" w:type="dxa"/>
          </w:tcPr>
          <w:p w:rsidR="00000000" w:rsidRDefault="00000000">
            <w:pPr>
              <w:pStyle w:val="SingleTxt"/>
              <w:tabs>
                <w:tab w:val="clear" w:pos="1267"/>
                <w:tab w:val="left" w:pos="1170"/>
              </w:tabs>
              <w:ind w:left="0" w:right="-50"/>
              <w:jc w:val="right"/>
              <w:rPr>
                <w:sz w:val="17"/>
              </w:rPr>
            </w:pPr>
            <w:r>
              <w:rPr>
                <w:sz w:val="17"/>
              </w:rPr>
              <w:t>7.5</w:t>
            </w:r>
          </w:p>
        </w:tc>
        <w:tc>
          <w:tcPr>
            <w:tcW w:w="990" w:type="dxa"/>
          </w:tcPr>
          <w:p w:rsidR="00000000" w:rsidRDefault="00000000">
            <w:pPr>
              <w:pStyle w:val="SingleTxt"/>
              <w:tabs>
                <w:tab w:val="clear" w:pos="1267"/>
                <w:tab w:val="left" w:pos="1170"/>
              </w:tabs>
              <w:ind w:left="0" w:right="-50"/>
              <w:jc w:val="right"/>
              <w:rPr>
                <w:sz w:val="17"/>
              </w:rPr>
            </w:pPr>
            <w:r>
              <w:rPr>
                <w:sz w:val="17"/>
              </w:rPr>
              <w:t>11</w:t>
            </w:r>
          </w:p>
        </w:tc>
        <w:tc>
          <w:tcPr>
            <w:tcW w:w="900" w:type="dxa"/>
          </w:tcPr>
          <w:p w:rsidR="00000000" w:rsidRDefault="00000000">
            <w:pPr>
              <w:pStyle w:val="SingleTxt"/>
              <w:tabs>
                <w:tab w:val="clear" w:pos="1267"/>
                <w:tab w:val="left" w:pos="1170"/>
              </w:tabs>
              <w:ind w:left="0" w:right="-50"/>
              <w:jc w:val="right"/>
              <w:rPr>
                <w:sz w:val="17"/>
              </w:rPr>
            </w:pPr>
            <w:r>
              <w:rPr>
                <w:sz w:val="17"/>
              </w:rPr>
              <w:t>13</w:t>
            </w:r>
          </w:p>
        </w:tc>
        <w:tc>
          <w:tcPr>
            <w:tcW w:w="900" w:type="dxa"/>
          </w:tcPr>
          <w:p w:rsidR="00000000" w:rsidRDefault="00000000">
            <w:pPr>
              <w:pStyle w:val="SingleTxt"/>
              <w:tabs>
                <w:tab w:val="clear" w:pos="1267"/>
                <w:tab w:val="left" w:pos="1170"/>
              </w:tabs>
              <w:ind w:left="0" w:right="-50"/>
              <w:jc w:val="right"/>
              <w:rPr>
                <w:sz w:val="17"/>
              </w:rPr>
            </w:pPr>
            <w:r>
              <w:rPr>
                <w:sz w:val="17"/>
              </w:rPr>
              <w:t>13</w:t>
            </w:r>
          </w:p>
        </w:tc>
      </w:tr>
      <w:tr w:rsidR="00000000">
        <w:tblPrEx>
          <w:tblCellMar>
            <w:top w:w="0" w:type="dxa"/>
            <w:bottom w:w="0" w:type="dxa"/>
          </w:tblCellMar>
        </w:tblPrEx>
        <w:tc>
          <w:tcPr>
            <w:tcW w:w="6120" w:type="dxa"/>
          </w:tcPr>
          <w:p w:rsidR="00000000" w:rsidRDefault="00000000">
            <w:pPr>
              <w:pStyle w:val="SingleTxt"/>
              <w:tabs>
                <w:tab w:val="clear" w:pos="1267"/>
                <w:tab w:val="left" w:pos="1170"/>
              </w:tabs>
              <w:ind w:left="0" w:right="-50"/>
              <w:jc w:val="left"/>
              <w:rPr>
                <w:sz w:val="17"/>
              </w:rPr>
            </w:pPr>
            <w:r>
              <w:rPr>
                <w:sz w:val="17"/>
              </w:rPr>
              <w:t>Number of people registered as unemployed at employment agencies</w:t>
            </w:r>
          </w:p>
        </w:tc>
        <w:tc>
          <w:tcPr>
            <w:tcW w:w="720" w:type="dxa"/>
          </w:tcPr>
          <w:p w:rsidR="00000000" w:rsidRDefault="00000000">
            <w:pPr>
              <w:pStyle w:val="SingleTxt"/>
              <w:tabs>
                <w:tab w:val="clear" w:pos="1267"/>
                <w:tab w:val="left" w:pos="1170"/>
              </w:tabs>
              <w:ind w:left="0" w:right="-50"/>
              <w:jc w:val="right"/>
              <w:rPr>
                <w:sz w:val="17"/>
              </w:rPr>
            </w:pPr>
            <w:r>
              <w:rPr>
                <w:sz w:val="17"/>
              </w:rPr>
              <w:t>70.1</w:t>
            </w:r>
          </w:p>
        </w:tc>
        <w:tc>
          <w:tcPr>
            <w:tcW w:w="990" w:type="dxa"/>
          </w:tcPr>
          <w:p w:rsidR="00000000" w:rsidRDefault="00000000">
            <w:pPr>
              <w:pStyle w:val="SingleTxt"/>
              <w:tabs>
                <w:tab w:val="clear" w:pos="1267"/>
                <w:tab w:val="left" w:pos="1170"/>
              </w:tabs>
              <w:ind w:left="0" w:right="-50"/>
              <w:jc w:val="right"/>
              <w:rPr>
                <w:sz w:val="17"/>
              </w:rPr>
            </w:pPr>
            <w:r>
              <w:rPr>
                <w:sz w:val="17"/>
              </w:rPr>
              <w:t>139.6</w:t>
            </w:r>
          </w:p>
        </w:tc>
        <w:tc>
          <w:tcPr>
            <w:tcW w:w="900" w:type="dxa"/>
          </w:tcPr>
          <w:p w:rsidR="00000000" w:rsidRDefault="00000000">
            <w:pPr>
              <w:pStyle w:val="SingleTxt"/>
              <w:tabs>
                <w:tab w:val="clear" w:pos="1267"/>
                <w:tab w:val="left" w:pos="1170"/>
              </w:tabs>
              <w:ind w:left="0" w:right="-50"/>
              <w:jc w:val="right"/>
              <w:rPr>
                <w:sz w:val="17"/>
              </w:rPr>
            </w:pPr>
            <w:r>
              <w:rPr>
                <w:sz w:val="17"/>
              </w:rPr>
              <w:t>282.4</w:t>
            </w:r>
          </w:p>
        </w:tc>
        <w:tc>
          <w:tcPr>
            <w:tcW w:w="900" w:type="dxa"/>
          </w:tcPr>
          <w:p w:rsidR="00000000" w:rsidRDefault="00000000">
            <w:pPr>
              <w:pStyle w:val="SingleTxt"/>
              <w:tabs>
                <w:tab w:val="clear" w:pos="1267"/>
                <w:tab w:val="left" w:pos="1170"/>
              </w:tabs>
              <w:ind w:left="0" w:right="-50"/>
              <w:jc w:val="right"/>
              <w:rPr>
                <w:sz w:val="17"/>
              </w:rPr>
            </w:pPr>
            <w:r>
              <w:rPr>
                <w:sz w:val="17"/>
              </w:rPr>
              <w:t>257.5</w:t>
            </w:r>
          </w:p>
        </w:tc>
      </w:tr>
      <w:tr w:rsidR="00000000">
        <w:tblPrEx>
          <w:tblCellMar>
            <w:top w:w="0" w:type="dxa"/>
            <w:bottom w:w="0" w:type="dxa"/>
          </w:tblCellMar>
        </w:tblPrEx>
        <w:tc>
          <w:tcPr>
            <w:tcW w:w="6120" w:type="dxa"/>
          </w:tcPr>
          <w:p w:rsidR="00000000" w:rsidRDefault="00000000">
            <w:pPr>
              <w:pStyle w:val="SingleTxt"/>
              <w:tabs>
                <w:tab w:val="clear" w:pos="1267"/>
                <w:tab w:val="left" w:pos="1170"/>
              </w:tabs>
              <w:ind w:left="0" w:right="-50"/>
              <w:jc w:val="left"/>
              <w:rPr>
                <w:b/>
                <w:sz w:val="17"/>
              </w:rPr>
            </w:pPr>
            <w:r>
              <w:rPr>
                <w:b/>
                <w:sz w:val="17"/>
              </w:rPr>
              <w:t>Number of women</w:t>
            </w:r>
          </w:p>
        </w:tc>
        <w:tc>
          <w:tcPr>
            <w:tcW w:w="720" w:type="dxa"/>
          </w:tcPr>
          <w:p w:rsidR="00000000" w:rsidRDefault="00000000">
            <w:pPr>
              <w:pStyle w:val="SingleTxt"/>
              <w:tabs>
                <w:tab w:val="clear" w:pos="1267"/>
                <w:tab w:val="left" w:pos="1170"/>
              </w:tabs>
              <w:ind w:left="0" w:right="-50"/>
              <w:jc w:val="right"/>
              <w:rPr>
                <w:sz w:val="17"/>
              </w:rPr>
            </w:pPr>
            <w:r>
              <w:rPr>
                <w:sz w:val="17"/>
              </w:rPr>
              <w:t>45.4</w:t>
            </w:r>
          </w:p>
        </w:tc>
        <w:tc>
          <w:tcPr>
            <w:tcW w:w="990" w:type="dxa"/>
          </w:tcPr>
          <w:p w:rsidR="00000000" w:rsidRDefault="00000000">
            <w:pPr>
              <w:pStyle w:val="SingleTxt"/>
              <w:tabs>
                <w:tab w:val="clear" w:pos="1267"/>
                <w:tab w:val="left" w:pos="1170"/>
              </w:tabs>
              <w:ind w:left="0" w:right="-50"/>
              <w:jc w:val="right"/>
              <w:rPr>
                <w:sz w:val="17"/>
              </w:rPr>
            </w:pPr>
            <w:r>
              <w:rPr>
                <w:sz w:val="17"/>
              </w:rPr>
              <w:t>83.9</w:t>
            </w:r>
          </w:p>
        </w:tc>
        <w:tc>
          <w:tcPr>
            <w:tcW w:w="900" w:type="dxa"/>
          </w:tcPr>
          <w:p w:rsidR="00000000" w:rsidRDefault="00000000">
            <w:pPr>
              <w:pStyle w:val="SingleTxt"/>
              <w:tabs>
                <w:tab w:val="clear" w:pos="1267"/>
                <w:tab w:val="left" w:pos="1170"/>
              </w:tabs>
              <w:ind w:left="0" w:right="-50"/>
              <w:jc w:val="right"/>
              <w:rPr>
                <w:sz w:val="17"/>
              </w:rPr>
            </w:pPr>
            <w:r>
              <w:rPr>
                <w:sz w:val="17"/>
              </w:rPr>
              <w:t>178.4</w:t>
            </w:r>
          </w:p>
        </w:tc>
        <w:tc>
          <w:tcPr>
            <w:tcW w:w="900" w:type="dxa"/>
          </w:tcPr>
          <w:p w:rsidR="00000000" w:rsidRDefault="00000000">
            <w:pPr>
              <w:pStyle w:val="SingleTxt"/>
              <w:tabs>
                <w:tab w:val="clear" w:pos="1267"/>
                <w:tab w:val="left" w:pos="1170"/>
              </w:tabs>
              <w:ind w:left="0" w:right="-50"/>
              <w:jc w:val="right"/>
              <w:rPr>
                <w:sz w:val="17"/>
              </w:rPr>
            </w:pPr>
            <w:r>
              <w:rPr>
                <w:sz w:val="17"/>
              </w:rPr>
              <w:t>171.5</w:t>
            </w:r>
          </w:p>
        </w:tc>
      </w:tr>
      <w:tr w:rsidR="00000000">
        <w:tblPrEx>
          <w:tblCellMar>
            <w:top w:w="0" w:type="dxa"/>
            <w:bottom w:w="0" w:type="dxa"/>
          </w:tblCellMar>
        </w:tblPrEx>
        <w:tc>
          <w:tcPr>
            <w:tcW w:w="6120" w:type="dxa"/>
          </w:tcPr>
          <w:p w:rsidR="00000000" w:rsidRDefault="00000000">
            <w:pPr>
              <w:pStyle w:val="SingleTxt"/>
              <w:tabs>
                <w:tab w:val="clear" w:pos="1267"/>
                <w:tab w:val="left" w:pos="1170"/>
              </w:tabs>
              <w:ind w:left="0" w:right="-50"/>
              <w:jc w:val="left"/>
              <w:rPr>
                <w:sz w:val="17"/>
              </w:rPr>
            </w:pPr>
            <w:r>
              <w:rPr>
                <w:sz w:val="17"/>
              </w:rPr>
              <w:t>Per cent</w:t>
            </w:r>
          </w:p>
        </w:tc>
        <w:tc>
          <w:tcPr>
            <w:tcW w:w="720" w:type="dxa"/>
          </w:tcPr>
          <w:p w:rsidR="00000000" w:rsidRDefault="00000000">
            <w:pPr>
              <w:pStyle w:val="SingleTxt"/>
              <w:tabs>
                <w:tab w:val="clear" w:pos="1267"/>
                <w:tab w:val="left" w:pos="1170"/>
              </w:tabs>
              <w:ind w:left="0" w:right="-50"/>
              <w:jc w:val="right"/>
              <w:rPr>
                <w:sz w:val="17"/>
              </w:rPr>
            </w:pPr>
            <w:r>
              <w:rPr>
                <w:sz w:val="17"/>
              </w:rPr>
              <w:t>64.8</w:t>
            </w:r>
          </w:p>
        </w:tc>
        <w:tc>
          <w:tcPr>
            <w:tcW w:w="990" w:type="dxa"/>
          </w:tcPr>
          <w:p w:rsidR="00000000" w:rsidRDefault="00000000">
            <w:pPr>
              <w:pStyle w:val="SingleTxt"/>
              <w:tabs>
                <w:tab w:val="clear" w:pos="1267"/>
                <w:tab w:val="left" w:pos="1170"/>
              </w:tabs>
              <w:ind w:left="0" w:right="-50"/>
              <w:jc w:val="right"/>
              <w:rPr>
                <w:sz w:val="17"/>
              </w:rPr>
            </w:pPr>
            <w:r>
              <w:rPr>
                <w:sz w:val="17"/>
              </w:rPr>
              <w:t>60.1</w:t>
            </w:r>
          </w:p>
        </w:tc>
        <w:tc>
          <w:tcPr>
            <w:tcW w:w="900" w:type="dxa"/>
          </w:tcPr>
          <w:p w:rsidR="00000000" w:rsidRDefault="00000000">
            <w:pPr>
              <w:pStyle w:val="SingleTxt"/>
              <w:tabs>
                <w:tab w:val="clear" w:pos="1267"/>
                <w:tab w:val="left" w:pos="1170"/>
              </w:tabs>
              <w:ind w:left="0" w:right="-50"/>
              <w:jc w:val="right"/>
              <w:rPr>
                <w:sz w:val="17"/>
              </w:rPr>
            </w:pPr>
            <w:r>
              <w:rPr>
                <w:sz w:val="17"/>
              </w:rPr>
              <w:t>63.2</w:t>
            </w:r>
          </w:p>
        </w:tc>
        <w:tc>
          <w:tcPr>
            <w:tcW w:w="900" w:type="dxa"/>
          </w:tcPr>
          <w:p w:rsidR="00000000" w:rsidRDefault="00000000">
            <w:pPr>
              <w:pStyle w:val="SingleTxt"/>
              <w:tabs>
                <w:tab w:val="clear" w:pos="1267"/>
                <w:tab w:val="left" w:pos="1170"/>
              </w:tabs>
              <w:ind w:left="0" w:right="-50"/>
              <w:jc w:val="right"/>
              <w:rPr>
                <w:sz w:val="17"/>
              </w:rPr>
            </w:pPr>
            <w:r>
              <w:rPr>
                <w:sz w:val="17"/>
              </w:rPr>
              <w:t>66.6</w:t>
            </w:r>
          </w:p>
        </w:tc>
      </w:tr>
      <w:tr w:rsidR="00000000">
        <w:tblPrEx>
          <w:tblCellMar>
            <w:top w:w="0" w:type="dxa"/>
            <w:bottom w:w="0" w:type="dxa"/>
          </w:tblCellMar>
        </w:tblPrEx>
        <w:tc>
          <w:tcPr>
            <w:tcW w:w="6120" w:type="dxa"/>
            <w:tcBorders>
              <w:bottom w:val="single" w:sz="12" w:space="0" w:color="auto"/>
            </w:tcBorders>
          </w:tcPr>
          <w:p w:rsidR="00000000" w:rsidRDefault="00000000">
            <w:pPr>
              <w:pStyle w:val="SingleTxt"/>
              <w:tabs>
                <w:tab w:val="clear" w:pos="1267"/>
                <w:tab w:val="left" w:pos="1170"/>
              </w:tabs>
              <w:ind w:left="0" w:right="-50"/>
              <w:jc w:val="left"/>
              <w:rPr>
                <w:sz w:val="17"/>
              </w:rPr>
            </w:pPr>
            <w:r>
              <w:rPr>
                <w:sz w:val="17"/>
              </w:rPr>
              <w:t>Official unemployment level (per cent of economically active population)</w:t>
            </w:r>
          </w:p>
        </w:tc>
        <w:tc>
          <w:tcPr>
            <w:tcW w:w="720"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1.1</w:t>
            </w:r>
          </w:p>
        </w:tc>
        <w:tc>
          <w:tcPr>
            <w:tcW w:w="990"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2.1</w:t>
            </w:r>
          </w:p>
        </w:tc>
        <w:tc>
          <w:tcPr>
            <w:tcW w:w="900"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4.2</w:t>
            </w:r>
          </w:p>
        </w:tc>
        <w:tc>
          <w:tcPr>
            <w:tcW w:w="900"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3.8</w:t>
            </w:r>
          </w:p>
        </w:tc>
      </w:tr>
    </w:tbl>
    <w:p w:rsidR="00000000" w:rsidRDefault="00000000">
      <w:pPr>
        <w:pStyle w:val="SingleTxt"/>
        <w:tabs>
          <w:tab w:val="clear" w:pos="1267"/>
          <w:tab w:val="left" w:pos="0"/>
        </w:tabs>
        <w:spacing w:after="0"/>
        <w:ind w:left="0" w:right="-43"/>
        <w:jc w:val="left"/>
      </w:pPr>
    </w:p>
    <w:p w:rsidR="00000000" w:rsidRDefault="00000000">
      <w:pPr>
        <w:pStyle w:val="SingleTxt"/>
        <w:tabs>
          <w:tab w:val="clear" w:pos="1267"/>
          <w:tab w:val="left" w:pos="0"/>
        </w:tabs>
        <w:spacing w:after="0"/>
        <w:ind w:left="0" w:right="-43"/>
        <w:jc w:val="left"/>
      </w:pPr>
      <w:r>
        <w:t>Table 18</w:t>
      </w:r>
      <w:r>
        <w:br/>
      </w:r>
      <w:r>
        <w:rPr>
          <w:b/>
        </w:rPr>
        <w:t>Number of men and women working in various branches of the economy</w:t>
      </w:r>
    </w:p>
    <w:p w:rsidR="00000000" w:rsidRDefault="00000000">
      <w:pPr>
        <w:pStyle w:val="SingleTxt"/>
        <w:tabs>
          <w:tab w:val="clear" w:pos="1267"/>
          <w:tab w:val="left" w:pos="1170"/>
        </w:tabs>
        <w:ind w:left="1170" w:right="-50"/>
        <w:jc w:val="right"/>
      </w:pPr>
      <w:r>
        <w:t>thousands of people</w:t>
      </w:r>
    </w:p>
    <w:tbl>
      <w:tblPr>
        <w:tblW w:w="0" w:type="auto"/>
        <w:tblInd w:w="2" w:type="dxa"/>
        <w:tblLayout w:type="fixed"/>
        <w:tblLook w:val="0000" w:firstRow="0" w:lastRow="0" w:firstColumn="0" w:lastColumn="0" w:noHBand="0" w:noVBand="0"/>
      </w:tblPr>
      <w:tblGrid>
        <w:gridCol w:w="3411"/>
        <w:gridCol w:w="729"/>
        <w:gridCol w:w="774"/>
        <w:gridCol w:w="792"/>
        <w:gridCol w:w="801"/>
        <w:gridCol w:w="243"/>
        <w:gridCol w:w="810"/>
        <w:gridCol w:w="810"/>
        <w:gridCol w:w="810"/>
        <w:gridCol w:w="778"/>
      </w:tblGrid>
      <w:tr w:rsidR="00000000">
        <w:tblPrEx>
          <w:tblCellMar>
            <w:top w:w="0" w:type="dxa"/>
            <w:bottom w:w="0" w:type="dxa"/>
          </w:tblCellMar>
        </w:tblPrEx>
        <w:trPr>
          <w:cantSplit/>
          <w:tblHeader/>
        </w:trPr>
        <w:tc>
          <w:tcPr>
            <w:tcW w:w="3411" w:type="dxa"/>
            <w:tcBorders>
              <w:top w:val="single" w:sz="4" w:space="0" w:color="auto"/>
            </w:tcBorders>
          </w:tcPr>
          <w:p w:rsidR="00000000" w:rsidRDefault="00000000">
            <w:pPr>
              <w:pStyle w:val="SingleTxt"/>
              <w:tabs>
                <w:tab w:val="clear" w:pos="1267"/>
                <w:tab w:val="left" w:pos="1170"/>
              </w:tabs>
              <w:spacing w:after="0"/>
              <w:ind w:left="0" w:right="-43"/>
              <w:jc w:val="left"/>
              <w:rPr>
                <w:i/>
                <w:sz w:val="14"/>
              </w:rPr>
            </w:pPr>
          </w:p>
        </w:tc>
        <w:tc>
          <w:tcPr>
            <w:tcW w:w="3096" w:type="dxa"/>
            <w:gridSpan w:val="4"/>
            <w:tcBorders>
              <w:top w:val="single" w:sz="4" w:space="0" w:color="auto"/>
              <w:bottom w:val="single" w:sz="4" w:space="0" w:color="auto"/>
            </w:tcBorders>
          </w:tcPr>
          <w:p w:rsidR="00000000" w:rsidRDefault="00000000">
            <w:pPr>
              <w:pStyle w:val="SingleTxt"/>
              <w:tabs>
                <w:tab w:val="clear" w:pos="1267"/>
                <w:tab w:val="left" w:pos="1170"/>
              </w:tabs>
              <w:spacing w:after="0"/>
              <w:ind w:left="0" w:right="-43"/>
              <w:jc w:val="center"/>
              <w:rPr>
                <w:i/>
                <w:sz w:val="14"/>
              </w:rPr>
            </w:pPr>
            <w:r>
              <w:rPr>
                <w:i/>
                <w:sz w:val="14"/>
              </w:rPr>
              <w:t>1994</w:t>
            </w:r>
          </w:p>
        </w:tc>
        <w:tc>
          <w:tcPr>
            <w:tcW w:w="243" w:type="dxa"/>
            <w:tcBorders>
              <w:top w:val="single" w:sz="4" w:space="0" w:color="auto"/>
            </w:tcBorders>
          </w:tcPr>
          <w:p w:rsidR="00000000" w:rsidRDefault="00000000">
            <w:pPr>
              <w:pStyle w:val="SingleTxt"/>
              <w:tabs>
                <w:tab w:val="clear" w:pos="1267"/>
                <w:tab w:val="left" w:pos="1170"/>
              </w:tabs>
              <w:spacing w:after="0"/>
              <w:ind w:left="0" w:right="-43"/>
              <w:jc w:val="right"/>
              <w:rPr>
                <w:i/>
                <w:sz w:val="14"/>
              </w:rPr>
            </w:pPr>
          </w:p>
        </w:tc>
        <w:tc>
          <w:tcPr>
            <w:tcW w:w="3208" w:type="dxa"/>
            <w:gridSpan w:val="4"/>
            <w:tcBorders>
              <w:top w:val="single" w:sz="4" w:space="0" w:color="auto"/>
              <w:bottom w:val="single" w:sz="4" w:space="0" w:color="auto"/>
            </w:tcBorders>
          </w:tcPr>
          <w:p w:rsidR="00000000" w:rsidRDefault="00000000">
            <w:pPr>
              <w:pStyle w:val="SingleTxt"/>
              <w:tabs>
                <w:tab w:val="clear" w:pos="1267"/>
                <w:tab w:val="left" w:pos="1170"/>
              </w:tabs>
              <w:spacing w:after="0"/>
              <w:ind w:left="0" w:right="-43"/>
              <w:jc w:val="center"/>
              <w:rPr>
                <w:i/>
                <w:sz w:val="14"/>
              </w:rPr>
            </w:pPr>
            <w:r>
              <w:rPr>
                <w:i/>
                <w:sz w:val="14"/>
              </w:rPr>
              <w:t>1995</w:t>
            </w:r>
          </w:p>
        </w:tc>
      </w:tr>
      <w:tr w:rsidR="00000000">
        <w:tblPrEx>
          <w:tblCellMar>
            <w:top w:w="0" w:type="dxa"/>
            <w:bottom w:w="0" w:type="dxa"/>
          </w:tblCellMar>
        </w:tblPrEx>
        <w:trPr>
          <w:cantSplit/>
          <w:tblHeader/>
        </w:trPr>
        <w:tc>
          <w:tcPr>
            <w:tcW w:w="3411" w:type="dxa"/>
          </w:tcPr>
          <w:p w:rsidR="00000000" w:rsidRDefault="00000000">
            <w:pPr>
              <w:pStyle w:val="SingleTxt"/>
              <w:tabs>
                <w:tab w:val="clear" w:pos="1267"/>
                <w:tab w:val="left" w:pos="1170"/>
              </w:tabs>
              <w:spacing w:after="0"/>
              <w:ind w:left="0" w:right="-43"/>
              <w:jc w:val="left"/>
              <w:rPr>
                <w:i/>
                <w:sz w:val="14"/>
              </w:rPr>
            </w:pPr>
          </w:p>
        </w:tc>
        <w:tc>
          <w:tcPr>
            <w:tcW w:w="729" w:type="dxa"/>
            <w:tcBorders>
              <w:top w:val="single" w:sz="4" w:space="0" w:color="auto"/>
            </w:tcBorders>
          </w:tcPr>
          <w:p w:rsidR="00000000" w:rsidRDefault="00000000">
            <w:pPr>
              <w:pStyle w:val="SingleTxt"/>
              <w:tabs>
                <w:tab w:val="clear" w:pos="1267"/>
                <w:tab w:val="left" w:pos="1170"/>
              </w:tabs>
              <w:spacing w:after="0"/>
              <w:ind w:left="0" w:right="-43"/>
              <w:jc w:val="right"/>
              <w:rPr>
                <w:i/>
                <w:sz w:val="14"/>
              </w:rPr>
            </w:pPr>
            <w:r>
              <w:rPr>
                <w:i/>
                <w:sz w:val="14"/>
              </w:rPr>
              <w:t>Total</w:t>
            </w:r>
          </w:p>
        </w:tc>
        <w:tc>
          <w:tcPr>
            <w:tcW w:w="1566" w:type="dxa"/>
            <w:gridSpan w:val="2"/>
            <w:tcBorders>
              <w:top w:val="single" w:sz="4" w:space="0" w:color="auto"/>
              <w:bottom w:val="single" w:sz="4" w:space="0" w:color="auto"/>
            </w:tcBorders>
          </w:tcPr>
          <w:p w:rsidR="00000000" w:rsidRDefault="00000000">
            <w:pPr>
              <w:pStyle w:val="SingleTxt"/>
              <w:tabs>
                <w:tab w:val="clear" w:pos="1267"/>
                <w:tab w:val="left" w:pos="1170"/>
              </w:tabs>
              <w:spacing w:after="0"/>
              <w:ind w:left="0" w:right="-43"/>
              <w:jc w:val="center"/>
              <w:rPr>
                <w:i/>
                <w:sz w:val="14"/>
              </w:rPr>
            </w:pPr>
            <w:r>
              <w:rPr>
                <w:i/>
                <w:sz w:val="14"/>
              </w:rPr>
              <w:t>Including</w:t>
            </w:r>
          </w:p>
        </w:tc>
        <w:tc>
          <w:tcPr>
            <w:tcW w:w="801" w:type="dxa"/>
            <w:tcBorders>
              <w:top w:val="single" w:sz="4" w:space="0" w:color="auto"/>
            </w:tcBorders>
          </w:tcPr>
          <w:p w:rsidR="00000000" w:rsidRDefault="00000000">
            <w:pPr>
              <w:pStyle w:val="SingleTxt"/>
              <w:tabs>
                <w:tab w:val="clear" w:pos="1267"/>
                <w:tab w:val="left" w:pos="1170"/>
              </w:tabs>
              <w:spacing w:after="0"/>
              <w:ind w:left="0" w:right="-43"/>
              <w:jc w:val="right"/>
              <w:rPr>
                <w:i/>
                <w:sz w:val="14"/>
              </w:rPr>
            </w:pPr>
          </w:p>
        </w:tc>
        <w:tc>
          <w:tcPr>
            <w:tcW w:w="243" w:type="dxa"/>
          </w:tcPr>
          <w:p w:rsidR="00000000" w:rsidRDefault="00000000">
            <w:pPr>
              <w:pStyle w:val="SingleTxt"/>
              <w:tabs>
                <w:tab w:val="clear" w:pos="1267"/>
                <w:tab w:val="left" w:pos="1170"/>
              </w:tabs>
              <w:spacing w:after="0"/>
              <w:ind w:left="0" w:right="-43"/>
              <w:jc w:val="right"/>
              <w:rPr>
                <w:i/>
                <w:sz w:val="14"/>
              </w:rPr>
            </w:pPr>
          </w:p>
        </w:tc>
        <w:tc>
          <w:tcPr>
            <w:tcW w:w="810" w:type="dxa"/>
            <w:tcBorders>
              <w:top w:val="single" w:sz="4" w:space="0" w:color="auto"/>
            </w:tcBorders>
          </w:tcPr>
          <w:p w:rsidR="00000000" w:rsidRDefault="00000000">
            <w:pPr>
              <w:pStyle w:val="SingleTxt"/>
              <w:tabs>
                <w:tab w:val="clear" w:pos="1267"/>
                <w:tab w:val="left" w:pos="1170"/>
              </w:tabs>
              <w:spacing w:after="0"/>
              <w:ind w:left="0" w:right="-43"/>
              <w:jc w:val="right"/>
              <w:rPr>
                <w:i/>
                <w:sz w:val="14"/>
              </w:rPr>
            </w:pPr>
            <w:r>
              <w:rPr>
                <w:i/>
                <w:sz w:val="14"/>
              </w:rPr>
              <w:t>Total</w:t>
            </w:r>
          </w:p>
        </w:tc>
        <w:tc>
          <w:tcPr>
            <w:tcW w:w="1620" w:type="dxa"/>
            <w:gridSpan w:val="2"/>
            <w:tcBorders>
              <w:top w:val="single" w:sz="4" w:space="0" w:color="auto"/>
              <w:left w:val="nil"/>
              <w:bottom w:val="single" w:sz="4" w:space="0" w:color="auto"/>
            </w:tcBorders>
          </w:tcPr>
          <w:p w:rsidR="00000000" w:rsidRDefault="00000000">
            <w:pPr>
              <w:pStyle w:val="SingleTxt"/>
              <w:tabs>
                <w:tab w:val="clear" w:pos="1267"/>
                <w:tab w:val="left" w:pos="1170"/>
              </w:tabs>
              <w:spacing w:after="0"/>
              <w:ind w:left="0" w:right="-43"/>
              <w:jc w:val="center"/>
              <w:rPr>
                <w:i/>
                <w:sz w:val="14"/>
              </w:rPr>
            </w:pPr>
            <w:r>
              <w:rPr>
                <w:i/>
                <w:sz w:val="14"/>
              </w:rPr>
              <w:t>Including</w:t>
            </w:r>
          </w:p>
        </w:tc>
        <w:tc>
          <w:tcPr>
            <w:tcW w:w="778" w:type="dxa"/>
            <w:tcBorders>
              <w:top w:val="single" w:sz="4" w:space="0" w:color="auto"/>
            </w:tcBorders>
          </w:tcPr>
          <w:p w:rsidR="00000000" w:rsidRDefault="00000000">
            <w:pPr>
              <w:pStyle w:val="SingleTxt"/>
              <w:tabs>
                <w:tab w:val="clear" w:pos="1267"/>
                <w:tab w:val="left" w:pos="1170"/>
              </w:tabs>
              <w:spacing w:after="0"/>
              <w:ind w:left="0" w:right="-43"/>
              <w:jc w:val="right"/>
              <w:rPr>
                <w:i/>
                <w:sz w:val="14"/>
              </w:rPr>
            </w:pPr>
          </w:p>
        </w:tc>
      </w:tr>
      <w:tr w:rsidR="00000000">
        <w:tblPrEx>
          <w:tblCellMar>
            <w:top w:w="0" w:type="dxa"/>
            <w:bottom w:w="0" w:type="dxa"/>
          </w:tblCellMar>
        </w:tblPrEx>
        <w:trPr>
          <w:tblHeader/>
        </w:trPr>
        <w:tc>
          <w:tcPr>
            <w:tcW w:w="3411" w:type="dxa"/>
            <w:tcBorders>
              <w:bottom w:val="single" w:sz="12" w:space="0" w:color="auto"/>
            </w:tcBorders>
          </w:tcPr>
          <w:p w:rsidR="00000000" w:rsidRDefault="00000000">
            <w:pPr>
              <w:pStyle w:val="SingleTxt"/>
              <w:tabs>
                <w:tab w:val="clear" w:pos="1267"/>
                <w:tab w:val="left" w:pos="1170"/>
              </w:tabs>
              <w:spacing w:after="0"/>
              <w:ind w:left="0" w:right="-43"/>
              <w:jc w:val="left"/>
              <w:rPr>
                <w:i/>
                <w:sz w:val="14"/>
              </w:rPr>
            </w:pPr>
          </w:p>
        </w:tc>
        <w:tc>
          <w:tcPr>
            <w:tcW w:w="729" w:type="dxa"/>
            <w:tcBorders>
              <w:bottom w:val="single" w:sz="12" w:space="0" w:color="auto"/>
            </w:tcBorders>
          </w:tcPr>
          <w:p w:rsidR="00000000" w:rsidRDefault="00000000">
            <w:pPr>
              <w:pStyle w:val="SingleTxt"/>
              <w:tabs>
                <w:tab w:val="clear" w:pos="1267"/>
                <w:tab w:val="left" w:pos="1170"/>
              </w:tabs>
              <w:spacing w:after="0"/>
              <w:ind w:left="0" w:right="-43"/>
              <w:jc w:val="right"/>
              <w:rPr>
                <w:i/>
                <w:sz w:val="14"/>
              </w:rPr>
            </w:pPr>
          </w:p>
        </w:tc>
        <w:tc>
          <w:tcPr>
            <w:tcW w:w="774" w:type="dxa"/>
            <w:tcBorders>
              <w:top w:val="single" w:sz="4" w:space="0" w:color="auto"/>
              <w:bottom w:val="single" w:sz="12" w:space="0" w:color="auto"/>
            </w:tcBorders>
          </w:tcPr>
          <w:p w:rsidR="00000000" w:rsidRDefault="00000000">
            <w:pPr>
              <w:pStyle w:val="SingleTxt"/>
              <w:tabs>
                <w:tab w:val="clear" w:pos="1267"/>
                <w:tab w:val="left" w:pos="1170"/>
              </w:tabs>
              <w:spacing w:after="0"/>
              <w:ind w:left="0" w:right="-43"/>
              <w:jc w:val="right"/>
              <w:rPr>
                <w:i/>
                <w:sz w:val="14"/>
              </w:rPr>
            </w:pPr>
            <w:r>
              <w:rPr>
                <w:i/>
                <w:sz w:val="14"/>
              </w:rPr>
              <w:t>Men</w:t>
            </w:r>
          </w:p>
        </w:tc>
        <w:tc>
          <w:tcPr>
            <w:tcW w:w="792" w:type="dxa"/>
            <w:tcBorders>
              <w:top w:val="single" w:sz="4" w:space="0" w:color="auto"/>
              <w:bottom w:val="single" w:sz="12" w:space="0" w:color="auto"/>
            </w:tcBorders>
          </w:tcPr>
          <w:p w:rsidR="00000000" w:rsidRDefault="00000000">
            <w:pPr>
              <w:pStyle w:val="SingleTxt"/>
              <w:tabs>
                <w:tab w:val="clear" w:pos="1267"/>
                <w:tab w:val="left" w:pos="1170"/>
              </w:tabs>
              <w:spacing w:after="0"/>
              <w:ind w:left="0" w:right="-43"/>
              <w:jc w:val="right"/>
              <w:rPr>
                <w:i/>
                <w:sz w:val="14"/>
              </w:rPr>
            </w:pPr>
            <w:r>
              <w:rPr>
                <w:i/>
                <w:sz w:val="14"/>
              </w:rPr>
              <w:t>Women</w:t>
            </w:r>
          </w:p>
        </w:tc>
        <w:tc>
          <w:tcPr>
            <w:tcW w:w="801" w:type="dxa"/>
            <w:tcBorders>
              <w:bottom w:val="single" w:sz="12" w:space="0" w:color="auto"/>
            </w:tcBorders>
          </w:tcPr>
          <w:p w:rsidR="00000000" w:rsidRDefault="00000000">
            <w:pPr>
              <w:pStyle w:val="SingleTxt"/>
              <w:tabs>
                <w:tab w:val="clear" w:pos="1267"/>
                <w:tab w:val="left" w:pos="1170"/>
              </w:tabs>
              <w:spacing w:after="0"/>
              <w:ind w:left="0" w:right="-43"/>
              <w:jc w:val="right"/>
              <w:rPr>
                <w:i/>
                <w:sz w:val="14"/>
              </w:rPr>
            </w:pPr>
            <w:r>
              <w:rPr>
                <w:i/>
                <w:sz w:val="14"/>
              </w:rPr>
              <w:t>Women %</w:t>
            </w:r>
          </w:p>
        </w:tc>
        <w:tc>
          <w:tcPr>
            <w:tcW w:w="243" w:type="dxa"/>
            <w:tcBorders>
              <w:bottom w:val="single" w:sz="12" w:space="0" w:color="auto"/>
            </w:tcBorders>
          </w:tcPr>
          <w:p w:rsidR="00000000" w:rsidRDefault="00000000">
            <w:pPr>
              <w:pStyle w:val="SingleTxt"/>
              <w:tabs>
                <w:tab w:val="clear" w:pos="1267"/>
                <w:tab w:val="left" w:pos="1170"/>
              </w:tabs>
              <w:spacing w:after="0"/>
              <w:ind w:left="0" w:right="-43"/>
              <w:jc w:val="right"/>
              <w:rPr>
                <w:i/>
                <w:sz w:val="14"/>
              </w:rPr>
            </w:pPr>
          </w:p>
        </w:tc>
        <w:tc>
          <w:tcPr>
            <w:tcW w:w="810" w:type="dxa"/>
            <w:tcBorders>
              <w:bottom w:val="single" w:sz="12" w:space="0" w:color="auto"/>
            </w:tcBorders>
          </w:tcPr>
          <w:p w:rsidR="00000000" w:rsidRDefault="00000000">
            <w:pPr>
              <w:pStyle w:val="SingleTxt"/>
              <w:tabs>
                <w:tab w:val="clear" w:pos="1267"/>
                <w:tab w:val="left" w:pos="1170"/>
              </w:tabs>
              <w:spacing w:after="0"/>
              <w:ind w:left="0" w:right="-43"/>
              <w:jc w:val="right"/>
              <w:rPr>
                <w:i/>
                <w:sz w:val="14"/>
              </w:rPr>
            </w:pPr>
          </w:p>
        </w:tc>
        <w:tc>
          <w:tcPr>
            <w:tcW w:w="810" w:type="dxa"/>
            <w:tcBorders>
              <w:top w:val="single" w:sz="4" w:space="0" w:color="auto"/>
              <w:bottom w:val="single" w:sz="12" w:space="0" w:color="auto"/>
            </w:tcBorders>
          </w:tcPr>
          <w:p w:rsidR="00000000" w:rsidRDefault="00000000">
            <w:pPr>
              <w:pStyle w:val="SingleTxt"/>
              <w:tabs>
                <w:tab w:val="clear" w:pos="1267"/>
                <w:tab w:val="left" w:pos="1170"/>
              </w:tabs>
              <w:spacing w:after="0"/>
              <w:ind w:left="0" w:right="-43"/>
              <w:jc w:val="right"/>
              <w:rPr>
                <w:i/>
                <w:sz w:val="14"/>
              </w:rPr>
            </w:pPr>
            <w:r>
              <w:rPr>
                <w:i/>
                <w:sz w:val="14"/>
              </w:rPr>
              <w:t>Men</w:t>
            </w:r>
          </w:p>
        </w:tc>
        <w:tc>
          <w:tcPr>
            <w:tcW w:w="810" w:type="dxa"/>
            <w:tcBorders>
              <w:top w:val="single" w:sz="4" w:space="0" w:color="auto"/>
              <w:bottom w:val="single" w:sz="12" w:space="0" w:color="auto"/>
            </w:tcBorders>
          </w:tcPr>
          <w:p w:rsidR="00000000" w:rsidRDefault="00000000">
            <w:pPr>
              <w:pStyle w:val="SingleTxt"/>
              <w:tabs>
                <w:tab w:val="clear" w:pos="1267"/>
                <w:tab w:val="left" w:pos="1170"/>
              </w:tabs>
              <w:spacing w:after="0"/>
              <w:ind w:left="0" w:right="-43"/>
              <w:jc w:val="right"/>
              <w:rPr>
                <w:i/>
                <w:sz w:val="14"/>
              </w:rPr>
            </w:pPr>
            <w:r>
              <w:rPr>
                <w:i/>
                <w:sz w:val="14"/>
              </w:rPr>
              <w:t>Women</w:t>
            </w:r>
          </w:p>
        </w:tc>
        <w:tc>
          <w:tcPr>
            <w:tcW w:w="778" w:type="dxa"/>
            <w:tcBorders>
              <w:bottom w:val="single" w:sz="12" w:space="0" w:color="auto"/>
            </w:tcBorders>
          </w:tcPr>
          <w:p w:rsidR="00000000" w:rsidRDefault="00000000">
            <w:pPr>
              <w:pStyle w:val="SingleTxt"/>
              <w:tabs>
                <w:tab w:val="clear" w:pos="1267"/>
                <w:tab w:val="left" w:pos="1170"/>
              </w:tabs>
              <w:spacing w:after="0"/>
              <w:ind w:left="0" w:right="-43"/>
              <w:jc w:val="right"/>
              <w:rPr>
                <w:i/>
                <w:sz w:val="14"/>
              </w:rPr>
            </w:pPr>
            <w:r>
              <w:rPr>
                <w:i/>
                <w:sz w:val="14"/>
              </w:rPr>
              <w:t>Women %</w:t>
            </w:r>
          </w:p>
        </w:tc>
      </w:tr>
      <w:tr w:rsidR="00000000">
        <w:tblPrEx>
          <w:tblCellMar>
            <w:top w:w="0" w:type="dxa"/>
            <w:bottom w:w="0" w:type="dxa"/>
          </w:tblCellMar>
        </w:tblPrEx>
        <w:tc>
          <w:tcPr>
            <w:tcW w:w="3411" w:type="dxa"/>
            <w:tcBorders>
              <w:top w:val="single" w:sz="12" w:space="0" w:color="auto"/>
            </w:tcBorders>
          </w:tcPr>
          <w:p w:rsidR="00000000" w:rsidRDefault="00000000">
            <w:pPr>
              <w:pStyle w:val="SingleTxt"/>
              <w:tabs>
                <w:tab w:val="clear" w:pos="1267"/>
                <w:tab w:val="left" w:pos="1170"/>
              </w:tabs>
              <w:ind w:left="0" w:right="-50"/>
              <w:jc w:val="left"/>
              <w:rPr>
                <w:sz w:val="17"/>
              </w:rPr>
            </w:pPr>
            <w:r>
              <w:rPr>
                <w:sz w:val="17"/>
              </w:rPr>
              <w:t>Total, all branches of economy</w:t>
            </w:r>
          </w:p>
        </w:tc>
        <w:tc>
          <w:tcPr>
            <w:tcW w:w="729"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5 187.8</w:t>
            </w:r>
          </w:p>
        </w:tc>
        <w:tc>
          <w:tcPr>
            <w:tcW w:w="774"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2 713.9</w:t>
            </w:r>
          </w:p>
        </w:tc>
        <w:tc>
          <w:tcPr>
            <w:tcW w:w="792"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2 473.9</w:t>
            </w:r>
          </w:p>
        </w:tc>
        <w:tc>
          <w:tcPr>
            <w:tcW w:w="801"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47.7</w:t>
            </w:r>
          </w:p>
        </w:tc>
        <w:tc>
          <w:tcPr>
            <w:tcW w:w="243" w:type="dxa"/>
            <w:tcBorders>
              <w:top w:val="single" w:sz="12" w:space="0" w:color="auto"/>
            </w:tcBorders>
          </w:tcPr>
          <w:p w:rsidR="00000000" w:rsidRDefault="00000000">
            <w:pPr>
              <w:pStyle w:val="SingleTxt"/>
              <w:tabs>
                <w:tab w:val="clear" w:pos="1267"/>
                <w:tab w:val="left" w:pos="1170"/>
              </w:tabs>
              <w:ind w:left="0" w:right="-50"/>
              <w:jc w:val="right"/>
              <w:rPr>
                <w:sz w:val="17"/>
              </w:rPr>
            </w:pPr>
          </w:p>
        </w:tc>
        <w:tc>
          <w:tcPr>
            <w:tcW w:w="810"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4 847.6</w:t>
            </w:r>
          </w:p>
        </w:tc>
        <w:tc>
          <w:tcPr>
            <w:tcW w:w="810"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2 587.2</w:t>
            </w:r>
          </w:p>
        </w:tc>
        <w:tc>
          <w:tcPr>
            <w:tcW w:w="810"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2 260.4</w:t>
            </w:r>
          </w:p>
        </w:tc>
        <w:tc>
          <w:tcPr>
            <w:tcW w:w="778" w:type="dxa"/>
            <w:tcBorders>
              <w:top w:val="single" w:sz="12" w:space="0" w:color="auto"/>
            </w:tcBorders>
          </w:tcPr>
          <w:p w:rsidR="00000000" w:rsidRDefault="00000000">
            <w:pPr>
              <w:pStyle w:val="SingleTxt"/>
              <w:tabs>
                <w:tab w:val="clear" w:pos="1267"/>
                <w:tab w:val="left" w:pos="1170"/>
              </w:tabs>
              <w:ind w:left="0" w:right="-50"/>
              <w:jc w:val="right"/>
              <w:rPr>
                <w:sz w:val="17"/>
              </w:rPr>
            </w:pPr>
            <w:r>
              <w:rPr>
                <w:sz w:val="17"/>
              </w:rPr>
              <w:t>46.6</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b/>
                <w:sz w:val="17"/>
              </w:rPr>
              <w:t>Including:</w:t>
            </w:r>
            <w:r>
              <w:rPr>
                <w:sz w:val="17"/>
              </w:rPr>
              <w:t xml:space="preserve"> Industry</w:t>
            </w:r>
          </w:p>
        </w:tc>
        <w:tc>
          <w:tcPr>
            <w:tcW w:w="729" w:type="dxa"/>
          </w:tcPr>
          <w:p w:rsidR="00000000" w:rsidRDefault="00000000">
            <w:pPr>
              <w:pStyle w:val="SingleTxt"/>
              <w:tabs>
                <w:tab w:val="clear" w:pos="1267"/>
                <w:tab w:val="left" w:pos="1170"/>
              </w:tabs>
              <w:ind w:left="0" w:right="-50"/>
              <w:jc w:val="right"/>
              <w:rPr>
                <w:sz w:val="17"/>
              </w:rPr>
            </w:pPr>
            <w:r>
              <w:rPr>
                <w:sz w:val="17"/>
              </w:rPr>
              <w:t>1 133.5</w:t>
            </w:r>
          </w:p>
        </w:tc>
        <w:tc>
          <w:tcPr>
            <w:tcW w:w="774" w:type="dxa"/>
          </w:tcPr>
          <w:p w:rsidR="00000000" w:rsidRDefault="00000000">
            <w:pPr>
              <w:pStyle w:val="SingleTxt"/>
              <w:tabs>
                <w:tab w:val="clear" w:pos="1267"/>
                <w:tab w:val="left" w:pos="1170"/>
              </w:tabs>
              <w:ind w:left="0" w:right="-50"/>
              <w:jc w:val="right"/>
              <w:rPr>
                <w:sz w:val="17"/>
              </w:rPr>
            </w:pPr>
            <w:r>
              <w:rPr>
                <w:sz w:val="17"/>
              </w:rPr>
              <w:t>639.6</w:t>
            </w:r>
          </w:p>
        </w:tc>
        <w:tc>
          <w:tcPr>
            <w:tcW w:w="792" w:type="dxa"/>
          </w:tcPr>
          <w:p w:rsidR="00000000" w:rsidRDefault="00000000">
            <w:pPr>
              <w:pStyle w:val="SingleTxt"/>
              <w:tabs>
                <w:tab w:val="clear" w:pos="1267"/>
                <w:tab w:val="left" w:pos="1170"/>
              </w:tabs>
              <w:ind w:left="0" w:right="-50"/>
              <w:jc w:val="right"/>
              <w:rPr>
                <w:sz w:val="17"/>
              </w:rPr>
            </w:pPr>
            <w:r>
              <w:rPr>
                <w:sz w:val="17"/>
              </w:rPr>
              <w:t>493.9</w:t>
            </w:r>
          </w:p>
        </w:tc>
        <w:tc>
          <w:tcPr>
            <w:tcW w:w="801" w:type="dxa"/>
          </w:tcPr>
          <w:p w:rsidR="00000000" w:rsidRDefault="00000000">
            <w:pPr>
              <w:pStyle w:val="SingleTxt"/>
              <w:tabs>
                <w:tab w:val="clear" w:pos="1267"/>
                <w:tab w:val="left" w:pos="1170"/>
              </w:tabs>
              <w:ind w:left="0" w:right="-50"/>
              <w:jc w:val="right"/>
              <w:rPr>
                <w:sz w:val="17"/>
              </w:rPr>
            </w:pPr>
            <w:r>
              <w:rPr>
                <w:sz w:val="17"/>
              </w:rPr>
              <w:t>43.6</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1 019.2</w:t>
            </w:r>
          </w:p>
        </w:tc>
        <w:tc>
          <w:tcPr>
            <w:tcW w:w="810" w:type="dxa"/>
          </w:tcPr>
          <w:p w:rsidR="00000000" w:rsidRDefault="00000000">
            <w:pPr>
              <w:pStyle w:val="SingleTxt"/>
              <w:tabs>
                <w:tab w:val="clear" w:pos="1267"/>
                <w:tab w:val="left" w:pos="1170"/>
              </w:tabs>
              <w:ind w:left="0" w:right="-50"/>
              <w:jc w:val="right"/>
              <w:rPr>
                <w:sz w:val="17"/>
              </w:rPr>
            </w:pPr>
            <w:r>
              <w:rPr>
                <w:sz w:val="17"/>
              </w:rPr>
              <w:t>589.0</w:t>
            </w:r>
          </w:p>
        </w:tc>
        <w:tc>
          <w:tcPr>
            <w:tcW w:w="810" w:type="dxa"/>
          </w:tcPr>
          <w:p w:rsidR="00000000" w:rsidRDefault="00000000">
            <w:pPr>
              <w:pStyle w:val="SingleTxt"/>
              <w:tabs>
                <w:tab w:val="clear" w:pos="1267"/>
                <w:tab w:val="left" w:pos="1170"/>
              </w:tabs>
              <w:ind w:left="0" w:right="-50"/>
              <w:jc w:val="right"/>
              <w:rPr>
                <w:sz w:val="17"/>
              </w:rPr>
            </w:pPr>
            <w:r>
              <w:rPr>
                <w:sz w:val="17"/>
              </w:rPr>
              <w:t>430.2</w:t>
            </w:r>
          </w:p>
        </w:tc>
        <w:tc>
          <w:tcPr>
            <w:tcW w:w="778" w:type="dxa"/>
          </w:tcPr>
          <w:p w:rsidR="00000000" w:rsidRDefault="00000000">
            <w:pPr>
              <w:pStyle w:val="SingleTxt"/>
              <w:tabs>
                <w:tab w:val="clear" w:pos="1267"/>
                <w:tab w:val="left" w:pos="1170"/>
              </w:tabs>
              <w:ind w:left="0" w:right="-50"/>
              <w:jc w:val="right"/>
              <w:rPr>
                <w:sz w:val="17"/>
              </w:rPr>
            </w:pPr>
            <w:r>
              <w:rPr>
                <w:sz w:val="17"/>
              </w:rPr>
              <w:t>42.2</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Agriculture</w:t>
            </w:r>
          </w:p>
        </w:tc>
        <w:tc>
          <w:tcPr>
            <w:tcW w:w="729" w:type="dxa"/>
          </w:tcPr>
          <w:p w:rsidR="00000000" w:rsidRDefault="00000000">
            <w:pPr>
              <w:pStyle w:val="SingleTxt"/>
              <w:tabs>
                <w:tab w:val="clear" w:pos="1267"/>
                <w:tab w:val="left" w:pos="1170"/>
              </w:tabs>
              <w:ind w:left="0" w:right="-50"/>
              <w:jc w:val="right"/>
              <w:rPr>
                <w:sz w:val="17"/>
              </w:rPr>
            </w:pPr>
            <w:r>
              <w:rPr>
                <w:sz w:val="17"/>
              </w:rPr>
              <w:t>1 152.8</w:t>
            </w:r>
          </w:p>
        </w:tc>
        <w:tc>
          <w:tcPr>
            <w:tcW w:w="774" w:type="dxa"/>
          </w:tcPr>
          <w:p w:rsidR="00000000" w:rsidRDefault="00000000">
            <w:pPr>
              <w:pStyle w:val="SingleTxt"/>
              <w:tabs>
                <w:tab w:val="clear" w:pos="1267"/>
                <w:tab w:val="left" w:pos="1170"/>
              </w:tabs>
              <w:ind w:left="0" w:right="-50"/>
              <w:jc w:val="right"/>
              <w:rPr>
                <w:sz w:val="17"/>
              </w:rPr>
            </w:pPr>
            <w:r>
              <w:rPr>
                <w:sz w:val="17"/>
              </w:rPr>
              <w:t>789.8</w:t>
            </w:r>
          </w:p>
        </w:tc>
        <w:tc>
          <w:tcPr>
            <w:tcW w:w="792" w:type="dxa"/>
          </w:tcPr>
          <w:p w:rsidR="00000000" w:rsidRDefault="00000000">
            <w:pPr>
              <w:pStyle w:val="SingleTxt"/>
              <w:tabs>
                <w:tab w:val="clear" w:pos="1267"/>
                <w:tab w:val="left" w:pos="1170"/>
              </w:tabs>
              <w:ind w:left="0" w:right="-50"/>
              <w:jc w:val="right"/>
              <w:rPr>
                <w:sz w:val="17"/>
              </w:rPr>
            </w:pPr>
            <w:r>
              <w:rPr>
                <w:sz w:val="17"/>
              </w:rPr>
              <w:t>363.0</w:t>
            </w:r>
          </w:p>
        </w:tc>
        <w:tc>
          <w:tcPr>
            <w:tcW w:w="801" w:type="dxa"/>
          </w:tcPr>
          <w:p w:rsidR="00000000" w:rsidRDefault="00000000">
            <w:pPr>
              <w:pStyle w:val="SingleTxt"/>
              <w:tabs>
                <w:tab w:val="clear" w:pos="1267"/>
                <w:tab w:val="left" w:pos="1170"/>
              </w:tabs>
              <w:ind w:left="0" w:right="-50"/>
              <w:jc w:val="right"/>
              <w:rPr>
                <w:sz w:val="17"/>
              </w:rPr>
            </w:pPr>
            <w:r>
              <w:rPr>
                <w:sz w:val="17"/>
              </w:rPr>
              <w:t>31.5</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1 166.0</w:t>
            </w:r>
          </w:p>
        </w:tc>
        <w:tc>
          <w:tcPr>
            <w:tcW w:w="810" w:type="dxa"/>
          </w:tcPr>
          <w:p w:rsidR="00000000" w:rsidRDefault="00000000">
            <w:pPr>
              <w:pStyle w:val="SingleTxt"/>
              <w:tabs>
                <w:tab w:val="clear" w:pos="1267"/>
                <w:tab w:val="left" w:pos="1170"/>
              </w:tabs>
              <w:ind w:left="0" w:right="-50"/>
              <w:jc w:val="right"/>
              <w:rPr>
                <w:sz w:val="17"/>
              </w:rPr>
            </w:pPr>
            <w:r>
              <w:rPr>
                <w:sz w:val="17"/>
              </w:rPr>
              <w:t>821.7</w:t>
            </w:r>
          </w:p>
        </w:tc>
        <w:tc>
          <w:tcPr>
            <w:tcW w:w="810" w:type="dxa"/>
          </w:tcPr>
          <w:p w:rsidR="00000000" w:rsidRDefault="00000000">
            <w:pPr>
              <w:pStyle w:val="SingleTxt"/>
              <w:tabs>
                <w:tab w:val="clear" w:pos="1267"/>
                <w:tab w:val="left" w:pos="1170"/>
              </w:tabs>
              <w:ind w:left="0" w:right="-50"/>
              <w:jc w:val="right"/>
              <w:rPr>
                <w:sz w:val="17"/>
              </w:rPr>
            </w:pPr>
            <w:r>
              <w:rPr>
                <w:sz w:val="17"/>
              </w:rPr>
              <w:t>344.3</w:t>
            </w:r>
          </w:p>
        </w:tc>
        <w:tc>
          <w:tcPr>
            <w:tcW w:w="778" w:type="dxa"/>
          </w:tcPr>
          <w:p w:rsidR="00000000" w:rsidRDefault="00000000">
            <w:pPr>
              <w:pStyle w:val="SingleTxt"/>
              <w:tabs>
                <w:tab w:val="clear" w:pos="1267"/>
                <w:tab w:val="left" w:pos="1170"/>
              </w:tabs>
              <w:ind w:left="0" w:right="-50"/>
              <w:jc w:val="right"/>
              <w:rPr>
                <w:sz w:val="17"/>
              </w:rPr>
            </w:pPr>
            <w:r>
              <w:rPr>
                <w:sz w:val="17"/>
              </w:rPr>
              <w:t>29.5</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Forestry</w:t>
            </w:r>
          </w:p>
        </w:tc>
        <w:tc>
          <w:tcPr>
            <w:tcW w:w="729" w:type="dxa"/>
          </w:tcPr>
          <w:p w:rsidR="00000000" w:rsidRDefault="00000000">
            <w:pPr>
              <w:pStyle w:val="SingleTxt"/>
              <w:tabs>
                <w:tab w:val="clear" w:pos="1267"/>
                <w:tab w:val="left" w:pos="1170"/>
              </w:tabs>
              <w:ind w:left="0" w:right="-50"/>
              <w:jc w:val="right"/>
              <w:rPr>
                <w:sz w:val="17"/>
              </w:rPr>
            </w:pPr>
            <w:r>
              <w:rPr>
                <w:sz w:val="17"/>
              </w:rPr>
              <w:t>10.7</w:t>
            </w:r>
          </w:p>
        </w:tc>
        <w:tc>
          <w:tcPr>
            <w:tcW w:w="774" w:type="dxa"/>
          </w:tcPr>
          <w:p w:rsidR="00000000" w:rsidRDefault="00000000">
            <w:pPr>
              <w:pStyle w:val="SingleTxt"/>
              <w:tabs>
                <w:tab w:val="clear" w:pos="1267"/>
                <w:tab w:val="left" w:pos="1170"/>
              </w:tabs>
              <w:ind w:left="0" w:right="-50"/>
              <w:jc w:val="right"/>
              <w:rPr>
                <w:sz w:val="17"/>
              </w:rPr>
            </w:pPr>
            <w:r>
              <w:rPr>
                <w:sz w:val="17"/>
              </w:rPr>
              <w:t>8.7</w:t>
            </w:r>
          </w:p>
        </w:tc>
        <w:tc>
          <w:tcPr>
            <w:tcW w:w="792" w:type="dxa"/>
          </w:tcPr>
          <w:p w:rsidR="00000000" w:rsidRDefault="00000000">
            <w:pPr>
              <w:pStyle w:val="SingleTxt"/>
              <w:tabs>
                <w:tab w:val="clear" w:pos="1267"/>
                <w:tab w:val="left" w:pos="1170"/>
              </w:tabs>
              <w:ind w:left="0" w:right="-50"/>
              <w:jc w:val="right"/>
              <w:rPr>
                <w:sz w:val="17"/>
              </w:rPr>
            </w:pPr>
            <w:r>
              <w:rPr>
                <w:sz w:val="17"/>
              </w:rPr>
              <w:t>2.0</w:t>
            </w:r>
          </w:p>
        </w:tc>
        <w:tc>
          <w:tcPr>
            <w:tcW w:w="801" w:type="dxa"/>
          </w:tcPr>
          <w:p w:rsidR="00000000" w:rsidRDefault="00000000">
            <w:pPr>
              <w:pStyle w:val="SingleTxt"/>
              <w:tabs>
                <w:tab w:val="clear" w:pos="1267"/>
                <w:tab w:val="left" w:pos="1170"/>
              </w:tabs>
              <w:ind w:left="0" w:right="-50"/>
              <w:jc w:val="right"/>
              <w:rPr>
                <w:sz w:val="17"/>
              </w:rPr>
            </w:pPr>
            <w:r>
              <w:rPr>
                <w:sz w:val="17"/>
              </w:rPr>
              <w:t>18.7</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9.7</w:t>
            </w:r>
          </w:p>
        </w:tc>
        <w:tc>
          <w:tcPr>
            <w:tcW w:w="810" w:type="dxa"/>
          </w:tcPr>
          <w:p w:rsidR="00000000" w:rsidRDefault="00000000">
            <w:pPr>
              <w:pStyle w:val="SingleTxt"/>
              <w:tabs>
                <w:tab w:val="clear" w:pos="1267"/>
                <w:tab w:val="left" w:pos="1170"/>
              </w:tabs>
              <w:ind w:left="0" w:right="-50"/>
              <w:jc w:val="right"/>
              <w:rPr>
                <w:sz w:val="17"/>
              </w:rPr>
            </w:pPr>
            <w:r>
              <w:rPr>
                <w:sz w:val="17"/>
              </w:rPr>
              <w:t>7.9</w:t>
            </w:r>
          </w:p>
        </w:tc>
        <w:tc>
          <w:tcPr>
            <w:tcW w:w="810" w:type="dxa"/>
          </w:tcPr>
          <w:p w:rsidR="00000000" w:rsidRDefault="00000000">
            <w:pPr>
              <w:pStyle w:val="SingleTxt"/>
              <w:tabs>
                <w:tab w:val="clear" w:pos="1267"/>
                <w:tab w:val="left" w:pos="1170"/>
              </w:tabs>
              <w:ind w:left="0" w:right="-50"/>
              <w:jc w:val="right"/>
              <w:rPr>
                <w:sz w:val="17"/>
              </w:rPr>
            </w:pPr>
            <w:r>
              <w:rPr>
                <w:sz w:val="17"/>
              </w:rPr>
              <w:t>1.8</w:t>
            </w:r>
          </w:p>
        </w:tc>
        <w:tc>
          <w:tcPr>
            <w:tcW w:w="778" w:type="dxa"/>
          </w:tcPr>
          <w:p w:rsidR="00000000" w:rsidRDefault="00000000">
            <w:pPr>
              <w:pStyle w:val="SingleTxt"/>
              <w:tabs>
                <w:tab w:val="clear" w:pos="1267"/>
                <w:tab w:val="left" w:pos="1170"/>
              </w:tabs>
              <w:ind w:left="0" w:right="-50"/>
              <w:jc w:val="right"/>
              <w:rPr>
                <w:sz w:val="17"/>
              </w:rPr>
            </w:pPr>
            <w:r>
              <w:rPr>
                <w:sz w:val="17"/>
              </w:rPr>
              <w:t>18.6</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Fisheries</w:t>
            </w:r>
          </w:p>
        </w:tc>
        <w:tc>
          <w:tcPr>
            <w:tcW w:w="729" w:type="dxa"/>
          </w:tcPr>
          <w:p w:rsidR="00000000" w:rsidRDefault="00000000">
            <w:pPr>
              <w:pStyle w:val="SingleTxt"/>
              <w:tabs>
                <w:tab w:val="clear" w:pos="1267"/>
                <w:tab w:val="left" w:pos="1170"/>
              </w:tabs>
              <w:ind w:left="0" w:right="-50"/>
              <w:jc w:val="right"/>
              <w:rPr>
                <w:sz w:val="17"/>
              </w:rPr>
            </w:pPr>
            <w:r>
              <w:rPr>
                <w:sz w:val="17"/>
              </w:rPr>
              <w:t>2.3</w:t>
            </w:r>
          </w:p>
        </w:tc>
        <w:tc>
          <w:tcPr>
            <w:tcW w:w="774" w:type="dxa"/>
          </w:tcPr>
          <w:p w:rsidR="00000000" w:rsidRDefault="00000000">
            <w:pPr>
              <w:pStyle w:val="SingleTxt"/>
              <w:tabs>
                <w:tab w:val="clear" w:pos="1267"/>
                <w:tab w:val="left" w:pos="1170"/>
              </w:tabs>
              <w:ind w:left="0" w:right="-50"/>
              <w:jc w:val="right"/>
              <w:rPr>
                <w:sz w:val="17"/>
              </w:rPr>
            </w:pPr>
            <w:r>
              <w:rPr>
                <w:sz w:val="17"/>
              </w:rPr>
              <w:t>0.8</w:t>
            </w:r>
          </w:p>
        </w:tc>
        <w:tc>
          <w:tcPr>
            <w:tcW w:w="792" w:type="dxa"/>
          </w:tcPr>
          <w:p w:rsidR="00000000" w:rsidRDefault="00000000">
            <w:pPr>
              <w:pStyle w:val="SingleTxt"/>
              <w:tabs>
                <w:tab w:val="clear" w:pos="1267"/>
                <w:tab w:val="left" w:pos="1170"/>
              </w:tabs>
              <w:ind w:left="0" w:right="-50"/>
              <w:jc w:val="right"/>
              <w:rPr>
                <w:sz w:val="17"/>
              </w:rPr>
            </w:pPr>
            <w:r>
              <w:rPr>
                <w:sz w:val="17"/>
              </w:rPr>
              <w:t>1.5</w:t>
            </w:r>
          </w:p>
        </w:tc>
        <w:tc>
          <w:tcPr>
            <w:tcW w:w="801" w:type="dxa"/>
          </w:tcPr>
          <w:p w:rsidR="00000000" w:rsidRDefault="00000000">
            <w:pPr>
              <w:pStyle w:val="SingleTxt"/>
              <w:tabs>
                <w:tab w:val="clear" w:pos="1267"/>
                <w:tab w:val="left" w:pos="1170"/>
              </w:tabs>
              <w:ind w:left="0" w:right="-50"/>
              <w:jc w:val="right"/>
              <w:rPr>
                <w:sz w:val="17"/>
              </w:rPr>
            </w:pPr>
            <w:r>
              <w:rPr>
                <w:sz w:val="17"/>
              </w:rPr>
              <w:t>65.2</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2.5</w:t>
            </w:r>
          </w:p>
        </w:tc>
        <w:tc>
          <w:tcPr>
            <w:tcW w:w="810" w:type="dxa"/>
          </w:tcPr>
          <w:p w:rsidR="00000000" w:rsidRDefault="00000000">
            <w:pPr>
              <w:pStyle w:val="SingleTxt"/>
              <w:tabs>
                <w:tab w:val="clear" w:pos="1267"/>
                <w:tab w:val="left" w:pos="1170"/>
              </w:tabs>
              <w:ind w:left="0" w:right="-50"/>
              <w:jc w:val="right"/>
              <w:rPr>
                <w:sz w:val="17"/>
              </w:rPr>
            </w:pPr>
            <w:r>
              <w:rPr>
                <w:sz w:val="17"/>
              </w:rPr>
              <w:t>1.1</w:t>
            </w:r>
          </w:p>
        </w:tc>
        <w:tc>
          <w:tcPr>
            <w:tcW w:w="810" w:type="dxa"/>
          </w:tcPr>
          <w:p w:rsidR="00000000" w:rsidRDefault="00000000">
            <w:pPr>
              <w:pStyle w:val="SingleTxt"/>
              <w:tabs>
                <w:tab w:val="clear" w:pos="1267"/>
                <w:tab w:val="left" w:pos="1170"/>
              </w:tabs>
              <w:ind w:left="0" w:right="-50"/>
              <w:jc w:val="right"/>
              <w:rPr>
                <w:sz w:val="17"/>
              </w:rPr>
            </w:pPr>
            <w:r>
              <w:rPr>
                <w:sz w:val="17"/>
              </w:rPr>
              <w:t>1.4</w:t>
            </w:r>
          </w:p>
        </w:tc>
        <w:tc>
          <w:tcPr>
            <w:tcW w:w="778" w:type="dxa"/>
          </w:tcPr>
          <w:p w:rsidR="00000000" w:rsidRDefault="00000000">
            <w:pPr>
              <w:pStyle w:val="SingleTxt"/>
              <w:tabs>
                <w:tab w:val="clear" w:pos="1267"/>
                <w:tab w:val="left" w:pos="1170"/>
              </w:tabs>
              <w:ind w:left="0" w:right="-50"/>
              <w:jc w:val="right"/>
              <w:rPr>
                <w:sz w:val="17"/>
              </w:rPr>
            </w:pPr>
            <w:r>
              <w:rPr>
                <w:sz w:val="17"/>
              </w:rPr>
              <w:t>56.0</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Transport</w:t>
            </w:r>
          </w:p>
        </w:tc>
        <w:tc>
          <w:tcPr>
            <w:tcW w:w="729" w:type="dxa"/>
          </w:tcPr>
          <w:p w:rsidR="00000000" w:rsidRDefault="00000000">
            <w:pPr>
              <w:pStyle w:val="SingleTxt"/>
              <w:tabs>
                <w:tab w:val="clear" w:pos="1267"/>
                <w:tab w:val="left" w:pos="1170"/>
              </w:tabs>
              <w:ind w:left="0" w:right="-50"/>
              <w:jc w:val="right"/>
              <w:rPr>
                <w:sz w:val="17"/>
              </w:rPr>
            </w:pPr>
            <w:r>
              <w:rPr>
                <w:sz w:val="17"/>
              </w:rPr>
              <w:t>428.8</w:t>
            </w:r>
          </w:p>
        </w:tc>
        <w:tc>
          <w:tcPr>
            <w:tcW w:w="774" w:type="dxa"/>
          </w:tcPr>
          <w:p w:rsidR="00000000" w:rsidRDefault="00000000">
            <w:pPr>
              <w:pStyle w:val="SingleTxt"/>
              <w:tabs>
                <w:tab w:val="clear" w:pos="1267"/>
                <w:tab w:val="left" w:pos="1170"/>
              </w:tabs>
              <w:ind w:left="0" w:right="-50"/>
              <w:jc w:val="right"/>
              <w:rPr>
                <w:sz w:val="17"/>
              </w:rPr>
            </w:pPr>
            <w:r>
              <w:rPr>
                <w:sz w:val="17"/>
              </w:rPr>
              <w:t>328.2</w:t>
            </w:r>
          </w:p>
        </w:tc>
        <w:tc>
          <w:tcPr>
            <w:tcW w:w="792" w:type="dxa"/>
          </w:tcPr>
          <w:p w:rsidR="00000000" w:rsidRDefault="00000000">
            <w:pPr>
              <w:pStyle w:val="SingleTxt"/>
              <w:tabs>
                <w:tab w:val="clear" w:pos="1267"/>
                <w:tab w:val="left" w:pos="1170"/>
              </w:tabs>
              <w:ind w:left="0" w:right="-50"/>
              <w:jc w:val="right"/>
              <w:rPr>
                <w:sz w:val="17"/>
              </w:rPr>
            </w:pPr>
            <w:r>
              <w:rPr>
                <w:sz w:val="17"/>
              </w:rPr>
              <w:t>100.6</w:t>
            </w:r>
          </w:p>
        </w:tc>
        <w:tc>
          <w:tcPr>
            <w:tcW w:w="801" w:type="dxa"/>
          </w:tcPr>
          <w:p w:rsidR="00000000" w:rsidRDefault="00000000">
            <w:pPr>
              <w:pStyle w:val="SingleTxt"/>
              <w:tabs>
                <w:tab w:val="clear" w:pos="1267"/>
                <w:tab w:val="left" w:pos="1170"/>
              </w:tabs>
              <w:ind w:left="0" w:right="-50"/>
              <w:jc w:val="right"/>
              <w:rPr>
                <w:sz w:val="17"/>
              </w:rPr>
            </w:pPr>
            <w:r>
              <w:rPr>
                <w:sz w:val="17"/>
              </w:rPr>
              <w:t>23.5</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390.5</w:t>
            </w:r>
          </w:p>
        </w:tc>
        <w:tc>
          <w:tcPr>
            <w:tcW w:w="810" w:type="dxa"/>
          </w:tcPr>
          <w:p w:rsidR="00000000" w:rsidRDefault="00000000">
            <w:pPr>
              <w:pStyle w:val="SingleTxt"/>
              <w:tabs>
                <w:tab w:val="clear" w:pos="1267"/>
                <w:tab w:val="left" w:pos="1170"/>
              </w:tabs>
              <w:ind w:left="0" w:right="-50"/>
              <w:jc w:val="right"/>
              <w:rPr>
                <w:sz w:val="17"/>
              </w:rPr>
            </w:pPr>
            <w:r>
              <w:rPr>
                <w:sz w:val="17"/>
              </w:rPr>
              <w:t>284.8</w:t>
            </w:r>
          </w:p>
        </w:tc>
        <w:tc>
          <w:tcPr>
            <w:tcW w:w="810" w:type="dxa"/>
          </w:tcPr>
          <w:p w:rsidR="00000000" w:rsidRDefault="00000000">
            <w:pPr>
              <w:pStyle w:val="SingleTxt"/>
              <w:tabs>
                <w:tab w:val="clear" w:pos="1267"/>
                <w:tab w:val="left" w:pos="1170"/>
              </w:tabs>
              <w:ind w:left="0" w:right="-50"/>
              <w:jc w:val="right"/>
              <w:rPr>
                <w:sz w:val="17"/>
              </w:rPr>
            </w:pPr>
            <w:r>
              <w:rPr>
                <w:sz w:val="17"/>
              </w:rPr>
              <w:t>105.7</w:t>
            </w:r>
          </w:p>
        </w:tc>
        <w:tc>
          <w:tcPr>
            <w:tcW w:w="778" w:type="dxa"/>
          </w:tcPr>
          <w:p w:rsidR="00000000" w:rsidRDefault="00000000">
            <w:pPr>
              <w:pStyle w:val="SingleTxt"/>
              <w:tabs>
                <w:tab w:val="clear" w:pos="1267"/>
                <w:tab w:val="left" w:pos="1170"/>
              </w:tabs>
              <w:ind w:left="0" w:right="-50"/>
              <w:jc w:val="right"/>
              <w:rPr>
                <w:sz w:val="17"/>
              </w:rPr>
            </w:pPr>
            <w:r>
              <w:rPr>
                <w:sz w:val="17"/>
              </w:rPr>
              <w:t>27.1</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Communications</w:t>
            </w:r>
          </w:p>
        </w:tc>
        <w:tc>
          <w:tcPr>
            <w:tcW w:w="729" w:type="dxa"/>
          </w:tcPr>
          <w:p w:rsidR="00000000" w:rsidRDefault="00000000">
            <w:pPr>
              <w:pStyle w:val="SingleTxt"/>
              <w:tabs>
                <w:tab w:val="clear" w:pos="1267"/>
                <w:tab w:val="left" w:pos="1170"/>
              </w:tabs>
              <w:ind w:left="0" w:right="-50"/>
              <w:jc w:val="right"/>
              <w:rPr>
                <w:sz w:val="17"/>
              </w:rPr>
            </w:pPr>
            <w:r>
              <w:rPr>
                <w:sz w:val="17"/>
              </w:rPr>
              <w:t>81.4</w:t>
            </w:r>
          </w:p>
        </w:tc>
        <w:tc>
          <w:tcPr>
            <w:tcW w:w="774" w:type="dxa"/>
          </w:tcPr>
          <w:p w:rsidR="00000000" w:rsidRDefault="00000000">
            <w:pPr>
              <w:pStyle w:val="SingleTxt"/>
              <w:tabs>
                <w:tab w:val="clear" w:pos="1267"/>
                <w:tab w:val="left" w:pos="1170"/>
              </w:tabs>
              <w:ind w:left="0" w:right="-50"/>
              <w:jc w:val="right"/>
              <w:rPr>
                <w:sz w:val="17"/>
              </w:rPr>
            </w:pPr>
            <w:r>
              <w:rPr>
                <w:sz w:val="17"/>
              </w:rPr>
              <w:t>26.7</w:t>
            </w:r>
          </w:p>
        </w:tc>
        <w:tc>
          <w:tcPr>
            <w:tcW w:w="792" w:type="dxa"/>
          </w:tcPr>
          <w:p w:rsidR="00000000" w:rsidRDefault="00000000">
            <w:pPr>
              <w:pStyle w:val="SingleTxt"/>
              <w:tabs>
                <w:tab w:val="clear" w:pos="1267"/>
                <w:tab w:val="left" w:pos="1170"/>
              </w:tabs>
              <w:ind w:left="0" w:right="-50"/>
              <w:jc w:val="right"/>
              <w:rPr>
                <w:sz w:val="17"/>
              </w:rPr>
            </w:pPr>
            <w:r>
              <w:rPr>
                <w:sz w:val="17"/>
              </w:rPr>
              <w:t>54.7</w:t>
            </w:r>
          </w:p>
        </w:tc>
        <w:tc>
          <w:tcPr>
            <w:tcW w:w="801" w:type="dxa"/>
          </w:tcPr>
          <w:p w:rsidR="00000000" w:rsidRDefault="00000000">
            <w:pPr>
              <w:pStyle w:val="SingleTxt"/>
              <w:tabs>
                <w:tab w:val="clear" w:pos="1267"/>
                <w:tab w:val="left" w:pos="1170"/>
              </w:tabs>
              <w:ind w:left="0" w:right="-50"/>
              <w:jc w:val="right"/>
              <w:rPr>
                <w:sz w:val="17"/>
              </w:rPr>
            </w:pPr>
            <w:r>
              <w:rPr>
                <w:sz w:val="17"/>
              </w:rPr>
              <w:t>67.2</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80.9</w:t>
            </w:r>
          </w:p>
        </w:tc>
        <w:tc>
          <w:tcPr>
            <w:tcW w:w="810" w:type="dxa"/>
          </w:tcPr>
          <w:p w:rsidR="00000000" w:rsidRDefault="00000000">
            <w:pPr>
              <w:pStyle w:val="SingleTxt"/>
              <w:tabs>
                <w:tab w:val="clear" w:pos="1267"/>
                <w:tab w:val="left" w:pos="1170"/>
              </w:tabs>
              <w:ind w:left="0" w:right="-50"/>
              <w:jc w:val="right"/>
              <w:rPr>
                <w:sz w:val="17"/>
              </w:rPr>
            </w:pPr>
            <w:r>
              <w:rPr>
                <w:sz w:val="17"/>
              </w:rPr>
              <w:t>28.9</w:t>
            </w:r>
          </w:p>
        </w:tc>
        <w:tc>
          <w:tcPr>
            <w:tcW w:w="810" w:type="dxa"/>
          </w:tcPr>
          <w:p w:rsidR="00000000" w:rsidRDefault="00000000">
            <w:pPr>
              <w:pStyle w:val="SingleTxt"/>
              <w:tabs>
                <w:tab w:val="clear" w:pos="1267"/>
                <w:tab w:val="left" w:pos="1170"/>
              </w:tabs>
              <w:ind w:left="0" w:right="-50"/>
              <w:jc w:val="right"/>
              <w:rPr>
                <w:sz w:val="17"/>
              </w:rPr>
            </w:pPr>
            <w:r>
              <w:rPr>
                <w:sz w:val="17"/>
              </w:rPr>
              <w:t>52.0</w:t>
            </w:r>
          </w:p>
        </w:tc>
        <w:tc>
          <w:tcPr>
            <w:tcW w:w="778" w:type="dxa"/>
          </w:tcPr>
          <w:p w:rsidR="00000000" w:rsidRDefault="00000000">
            <w:pPr>
              <w:pStyle w:val="SingleTxt"/>
              <w:tabs>
                <w:tab w:val="clear" w:pos="1267"/>
                <w:tab w:val="left" w:pos="1170"/>
              </w:tabs>
              <w:ind w:left="0" w:right="-50"/>
              <w:jc w:val="right"/>
              <w:rPr>
                <w:sz w:val="17"/>
              </w:rPr>
            </w:pPr>
            <w:r>
              <w:rPr>
                <w:sz w:val="17"/>
              </w:rPr>
              <w:t>64.3</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Construction</w:t>
            </w:r>
          </w:p>
        </w:tc>
        <w:tc>
          <w:tcPr>
            <w:tcW w:w="729" w:type="dxa"/>
          </w:tcPr>
          <w:p w:rsidR="00000000" w:rsidRDefault="00000000">
            <w:pPr>
              <w:pStyle w:val="SingleTxt"/>
              <w:tabs>
                <w:tab w:val="clear" w:pos="1267"/>
                <w:tab w:val="left" w:pos="1170"/>
              </w:tabs>
              <w:ind w:left="0" w:right="-50"/>
              <w:jc w:val="right"/>
              <w:rPr>
                <w:sz w:val="17"/>
              </w:rPr>
            </w:pPr>
            <w:r>
              <w:rPr>
                <w:sz w:val="17"/>
              </w:rPr>
              <w:t>353.5</w:t>
            </w:r>
          </w:p>
        </w:tc>
        <w:tc>
          <w:tcPr>
            <w:tcW w:w="774" w:type="dxa"/>
          </w:tcPr>
          <w:p w:rsidR="00000000" w:rsidRDefault="00000000">
            <w:pPr>
              <w:pStyle w:val="SingleTxt"/>
              <w:tabs>
                <w:tab w:val="clear" w:pos="1267"/>
                <w:tab w:val="left" w:pos="1170"/>
              </w:tabs>
              <w:ind w:left="0" w:right="-50"/>
              <w:jc w:val="right"/>
              <w:rPr>
                <w:sz w:val="17"/>
              </w:rPr>
            </w:pPr>
            <w:r>
              <w:rPr>
                <w:sz w:val="17"/>
              </w:rPr>
              <w:t>266.2</w:t>
            </w:r>
          </w:p>
        </w:tc>
        <w:tc>
          <w:tcPr>
            <w:tcW w:w="792" w:type="dxa"/>
          </w:tcPr>
          <w:p w:rsidR="00000000" w:rsidRDefault="00000000">
            <w:pPr>
              <w:pStyle w:val="SingleTxt"/>
              <w:tabs>
                <w:tab w:val="clear" w:pos="1267"/>
                <w:tab w:val="left" w:pos="1170"/>
              </w:tabs>
              <w:ind w:left="0" w:right="-50"/>
              <w:jc w:val="right"/>
              <w:rPr>
                <w:sz w:val="17"/>
              </w:rPr>
            </w:pPr>
            <w:r>
              <w:rPr>
                <w:sz w:val="17"/>
              </w:rPr>
              <w:t>87.3</w:t>
            </w:r>
          </w:p>
        </w:tc>
        <w:tc>
          <w:tcPr>
            <w:tcW w:w="801" w:type="dxa"/>
          </w:tcPr>
          <w:p w:rsidR="00000000" w:rsidRDefault="00000000">
            <w:pPr>
              <w:pStyle w:val="SingleTxt"/>
              <w:tabs>
                <w:tab w:val="clear" w:pos="1267"/>
                <w:tab w:val="left" w:pos="1170"/>
              </w:tabs>
              <w:ind w:left="0" w:right="-50"/>
              <w:jc w:val="right"/>
              <w:rPr>
                <w:sz w:val="17"/>
              </w:rPr>
            </w:pPr>
            <w:r>
              <w:rPr>
                <w:sz w:val="17"/>
              </w:rPr>
              <w:t>24.7</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313.0</w:t>
            </w:r>
          </w:p>
        </w:tc>
        <w:tc>
          <w:tcPr>
            <w:tcW w:w="810" w:type="dxa"/>
          </w:tcPr>
          <w:p w:rsidR="00000000" w:rsidRDefault="00000000">
            <w:pPr>
              <w:pStyle w:val="SingleTxt"/>
              <w:tabs>
                <w:tab w:val="clear" w:pos="1267"/>
                <w:tab w:val="left" w:pos="1170"/>
              </w:tabs>
              <w:ind w:left="0" w:right="-50"/>
              <w:jc w:val="right"/>
              <w:rPr>
                <w:sz w:val="17"/>
              </w:rPr>
            </w:pPr>
            <w:r>
              <w:rPr>
                <w:sz w:val="17"/>
              </w:rPr>
              <w:t>233.0</w:t>
            </w:r>
          </w:p>
        </w:tc>
        <w:tc>
          <w:tcPr>
            <w:tcW w:w="810" w:type="dxa"/>
          </w:tcPr>
          <w:p w:rsidR="00000000" w:rsidRDefault="00000000">
            <w:pPr>
              <w:pStyle w:val="SingleTxt"/>
              <w:tabs>
                <w:tab w:val="clear" w:pos="1267"/>
                <w:tab w:val="left" w:pos="1170"/>
              </w:tabs>
              <w:ind w:left="0" w:right="-50"/>
              <w:jc w:val="right"/>
              <w:rPr>
                <w:sz w:val="17"/>
              </w:rPr>
            </w:pPr>
            <w:r>
              <w:rPr>
                <w:sz w:val="17"/>
              </w:rPr>
              <w:t>80.0</w:t>
            </w:r>
          </w:p>
        </w:tc>
        <w:tc>
          <w:tcPr>
            <w:tcW w:w="778" w:type="dxa"/>
          </w:tcPr>
          <w:p w:rsidR="00000000" w:rsidRDefault="00000000">
            <w:pPr>
              <w:pStyle w:val="SingleTxt"/>
              <w:tabs>
                <w:tab w:val="clear" w:pos="1267"/>
                <w:tab w:val="left" w:pos="1170"/>
              </w:tabs>
              <w:ind w:left="0" w:right="-50"/>
              <w:jc w:val="right"/>
              <w:rPr>
                <w:sz w:val="17"/>
              </w:rPr>
            </w:pPr>
            <w:r>
              <w:rPr>
                <w:sz w:val="17"/>
              </w:rPr>
              <w:t>25.6</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Trade</w:t>
            </w:r>
          </w:p>
        </w:tc>
        <w:tc>
          <w:tcPr>
            <w:tcW w:w="729" w:type="dxa"/>
          </w:tcPr>
          <w:p w:rsidR="00000000" w:rsidRDefault="00000000">
            <w:pPr>
              <w:pStyle w:val="SingleTxt"/>
              <w:tabs>
                <w:tab w:val="clear" w:pos="1267"/>
                <w:tab w:val="left" w:pos="1170"/>
              </w:tabs>
              <w:ind w:left="0" w:right="-50"/>
              <w:jc w:val="right"/>
              <w:rPr>
                <w:sz w:val="17"/>
              </w:rPr>
            </w:pPr>
            <w:r>
              <w:rPr>
                <w:sz w:val="17"/>
              </w:rPr>
              <w:t>186.5</w:t>
            </w:r>
          </w:p>
        </w:tc>
        <w:tc>
          <w:tcPr>
            <w:tcW w:w="774" w:type="dxa"/>
          </w:tcPr>
          <w:p w:rsidR="00000000" w:rsidRDefault="00000000">
            <w:pPr>
              <w:pStyle w:val="SingleTxt"/>
              <w:tabs>
                <w:tab w:val="clear" w:pos="1267"/>
                <w:tab w:val="left" w:pos="1170"/>
              </w:tabs>
              <w:ind w:left="0" w:right="-50"/>
              <w:jc w:val="right"/>
              <w:rPr>
                <w:sz w:val="17"/>
              </w:rPr>
            </w:pPr>
            <w:r>
              <w:rPr>
                <w:sz w:val="17"/>
              </w:rPr>
              <w:t>45.2</w:t>
            </w:r>
          </w:p>
        </w:tc>
        <w:tc>
          <w:tcPr>
            <w:tcW w:w="792" w:type="dxa"/>
          </w:tcPr>
          <w:p w:rsidR="00000000" w:rsidRDefault="00000000">
            <w:pPr>
              <w:pStyle w:val="SingleTxt"/>
              <w:tabs>
                <w:tab w:val="clear" w:pos="1267"/>
                <w:tab w:val="left" w:pos="1170"/>
              </w:tabs>
              <w:ind w:left="0" w:right="-50"/>
              <w:jc w:val="right"/>
              <w:rPr>
                <w:sz w:val="17"/>
              </w:rPr>
            </w:pPr>
            <w:r>
              <w:rPr>
                <w:sz w:val="17"/>
              </w:rPr>
              <w:t>141.3</w:t>
            </w:r>
          </w:p>
        </w:tc>
        <w:tc>
          <w:tcPr>
            <w:tcW w:w="801" w:type="dxa"/>
          </w:tcPr>
          <w:p w:rsidR="00000000" w:rsidRDefault="00000000">
            <w:pPr>
              <w:pStyle w:val="SingleTxt"/>
              <w:tabs>
                <w:tab w:val="clear" w:pos="1267"/>
                <w:tab w:val="left" w:pos="1170"/>
              </w:tabs>
              <w:ind w:left="0" w:right="-50"/>
              <w:jc w:val="right"/>
              <w:rPr>
                <w:sz w:val="17"/>
              </w:rPr>
            </w:pPr>
            <w:r>
              <w:rPr>
                <w:sz w:val="17"/>
              </w:rPr>
              <w:t>75.8</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179.4</w:t>
            </w:r>
          </w:p>
        </w:tc>
        <w:tc>
          <w:tcPr>
            <w:tcW w:w="810" w:type="dxa"/>
          </w:tcPr>
          <w:p w:rsidR="00000000" w:rsidRDefault="00000000">
            <w:pPr>
              <w:pStyle w:val="SingleTxt"/>
              <w:tabs>
                <w:tab w:val="clear" w:pos="1267"/>
                <w:tab w:val="left" w:pos="1170"/>
              </w:tabs>
              <w:ind w:left="0" w:right="-50"/>
              <w:jc w:val="right"/>
              <w:rPr>
                <w:sz w:val="17"/>
              </w:rPr>
            </w:pPr>
            <w:r>
              <w:rPr>
                <w:sz w:val="17"/>
              </w:rPr>
              <w:t>54.5</w:t>
            </w:r>
          </w:p>
        </w:tc>
        <w:tc>
          <w:tcPr>
            <w:tcW w:w="810" w:type="dxa"/>
          </w:tcPr>
          <w:p w:rsidR="00000000" w:rsidRDefault="00000000">
            <w:pPr>
              <w:pStyle w:val="SingleTxt"/>
              <w:tabs>
                <w:tab w:val="clear" w:pos="1267"/>
                <w:tab w:val="left" w:pos="1170"/>
              </w:tabs>
              <w:ind w:left="0" w:right="-50"/>
              <w:jc w:val="right"/>
              <w:rPr>
                <w:sz w:val="17"/>
              </w:rPr>
            </w:pPr>
            <w:r>
              <w:rPr>
                <w:sz w:val="17"/>
              </w:rPr>
              <w:t>124.9</w:t>
            </w:r>
          </w:p>
        </w:tc>
        <w:tc>
          <w:tcPr>
            <w:tcW w:w="778" w:type="dxa"/>
          </w:tcPr>
          <w:p w:rsidR="00000000" w:rsidRDefault="00000000">
            <w:pPr>
              <w:pStyle w:val="SingleTxt"/>
              <w:tabs>
                <w:tab w:val="clear" w:pos="1267"/>
                <w:tab w:val="left" w:pos="1170"/>
              </w:tabs>
              <w:ind w:left="0" w:right="-50"/>
              <w:jc w:val="right"/>
              <w:rPr>
                <w:sz w:val="17"/>
              </w:rPr>
            </w:pPr>
            <w:r>
              <w:rPr>
                <w:sz w:val="17"/>
              </w:rPr>
              <w:t>69.6</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Public catering</w:t>
            </w:r>
          </w:p>
        </w:tc>
        <w:tc>
          <w:tcPr>
            <w:tcW w:w="729" w:type="dxa"/>
          </w:tcPr>
          <w:p w:rsidR="00000000" w:rsidRDefault="00000000">
            <w:pPr>
              <w:pStyle w:val="SingleTxt"/>
              <w:tabs>
                <w:tab w:val="clear" w:pos="1267"/>
                <w:tab w:val="left" w:pos="1170"/>
              </w:tabs>
              <w:ind w:left="0" w:right="-50"/>
              <w:jc w:val="right"/>
              <w:rPr>
                <w:sz w:val="17"/>
              </w:rPr>
            </w:pPr>
            <w:r>
              <w:rPr>
                <w:sz w:val="17"/>
              </w:rPr>
              <w:t>48.9</w:t>
            </w:r>
          </w:p>
        </w:tc>
        <w:tc>
          <w:tcPr>
            <w:tcW w:w="774" w:type="dxa"/>
          </w:tcPr>
          <w:p w:rsidR="00000000" w:rsidRDefault="00000000">
            <w:pPr>
              <w:pStyle w:val="SingleTxt"/>
              <w:tabs>
                <w:tab w:val="clear" w:pos="1267"/>
                <w:tab w:val="left" w:pos="1170"/>
              </w:tabs>
              <w:ind w:left="0" w:right="-50"/>
              <w:jc w:val="right"/>
              <w:rPr>
                <w:sz w:val="17"/>
              </w:rPr>
            </w:pPr>
            <w:r>
              <w:rPr>
                <w:sz w:val="17"/>
              </w:rPr>
              <w:t>5.7</w:t>
            </w:r>
          </w:p>
        </w:tc>
        <w:tc>
          <w:tcPr>
            <w:tcW w:w="792" w:type="dxa"/>
          </w:tcPr>
          <w:p w:rsidR="00000000" w:rsidRDefault="00000000">
            <w:pPr>
              <w:pStyle w:val="SingleTxt"/>
              <w:tabs>
                <w:tab w:val="clear" w:pos="1267"/>
                <w:tab w:val="left" w:pos="1170"/>
              </w:tabs>
              <w:ind w:left="0" w:right="-50"/>
              <w:jc w:val="right"/>
              <w:rPr>
                <w:sz w:val="17"/>
              </w:rPr>
            </w:pPr>
            <w:r>
              <w:rPr>
                <w:sz w:val="17"/>
              </w:rPr>
              <w:t>43.2</w:t>
            </w:r>
          </w:p>
        </w:tc>
        <w:tc>
          <w:tcPr>
            <w:tcW w:w="801" w:type="dxa"/>
          </w:tcPr>
          <w:p w:rsidR="00000000" w:rsidRDefault="00000000">
            <w:pPr>
              <w:pStyle w:val="SingleTxt"/>
              <w:tabs>
                <w:tab w:val="clear" w:pos="1267"/>
                <w:tab w:val="left" w:pos="1170"/>
              </w:tabs>
              <w:ind w:left="0" w:right="-50"/>
              <w:jc w:val="right"/>
              <w:rPr>
                <w:sz w:val="17"/>
              </w:rPr>
            </w:pPr>
            <w:r>
              <w:rPr>
                <w:sz w:val="17"/>
              </w:rPr>
              <w:t>88.3</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19.3</w:t>
            </w:r>
          </w:p>
        </w:tc>
        <w:tc>
          <w:tcPr>
            <w:tcW w:w="810" w:type="dxa"/>
          </w:tcPr>
          <w:p w:rsidR="00000000" w:rsidRDefault="00000000">
            <w:pPr>
              <w:pStyle w:val="SingleTxt"/>
              <w:tabs>
                <w:tab w:val="clear" w:pos="1267"/>
                <w:tab w:val="left" w:pos="1170"/>
              </w:tabs>
              <w:ind w:left="0" w:right="-50"/>
              <w:jc w:val="right"/>
              <w:rPr>
                <w:sz w:val="17"/>
              </w:rPr>
            </w:pPr>
            <w:r>
              <w:rPr>
                <w:sz w:val="17"/>
              </w:rPr>
              <w:t>3.3</w:t>
            </w:r>
          </w:p>
        </w:tc>
        <w:tc>
          <w:tcPr>
            <w:tcW w:w="810" w:type="dxa"/>
          </w:tcPr>
          <w:p w:rsidR="00000000" w:rsidRDefault="00000000">
            <w:pPr>
              <w:pStyle w:val="SingleTxt"/>
              <w:tabs>
                <w:tab w:val="clear" w:pos="1267"/>
                <w:tab w:val="left" w:pos="1170"/>
              </w:tabs>
              <w:ind w:left="0" w:right="-50"/>
              <w:jc w:val="right"/>
              <w:rPr>
                <w:sz w:val="17"/>
              </w:rPr>
            </w:pPr>
            <w:r>
              <w:rPr>
                <w:sz w:val="17"/>
              </w:rPr>
              <w:t>16.0</w:t>
            </w:r>
          </w:p>
        </w:tc>
        <w:tc>
          <w:tcPr>
            <w:tcW w:w="778" w:type="dxa"/>
          </w:tcPr>
          <w:p w:rsidR="00000000" w:rsidRDefault="00000000">
            <w:pPr>
              <w:pStyle w:val="SingleTxt"/>
              <w:tabs>
                <w:tab w:val="clear" w:pos="1267"/>
                <w:tab w:val="left" w:pos="1170"/>
              </w:tabs>
              <w:ind w:left="0" w:right="-50"/>
              <w:jc w:val="right"/>
              <w:rPr>
                <w:sz w:val="17"/>
              </w:rPr>
            </w:pPr>
            <w:r>
              <w:rPr>
                <w:sz w:val="17"/>
              </w:rPr>
              <w:t>82.9</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Materials and machinery supplies and sales</w:t>
            </w:r>
          </w:p>
        </w:tc>
        <w:tc>
          <w:tcPr>
            <w:tcW w:w="729" w:type="dxa"/>
          </w:tcPr>
          <w:p w:rsidR="00000000" w:rsidRDefault="00000000">
            <w:pPr>
              <w:pStyle w:val="SingleTxt"/>
              <w:tabs>
                <w:tab w:val="clear" w:pos="1267"/>
                <w:tab w:val="left" w:pos="1170"/>
              </w:tabs>
              <w:ind w:left="0" w:right="-50"/>
              <w:jc w:val="right"/>
              <w:rPr>
                <w:sz w:val="17"/>
              </w:rPr>
            </w:pPr>
            <w:r>
              <w:rPr>
                <w:sz w:val="17"/>
              </w:rPr>
              <w:t>48.1</w:t>
            </w:r>
          </w:p>
        </w:tc>
        <w:tc>
          <w:tcPr>
            <w:tcW w:w="774" w:type="dxa"/>
          </w:tcPr>
          <w:p w:rsidR="00000000" w:rsidRDefault="00000000">
            <w:pPr>
              <w:pStyle w:val="SingleTxt"/>
              <w:tabs>
                <w:tab w:val="clear" w:pos="1267"/>
                <w:tab w:val="left" w:pos="1170"/>
              </w:tabs>
              <w:ind w:left="0" w:right="-50"/>
              <w:jc w:val="right"/>
              <w:rPr>
                <w:sz w:val="17"/>
              </w:rPr>
            </w:pPr>
            <w:r>
              <w:rPr>
                <w:sz w:val="17"/>
              </w:rPr>
              <w:t>28.1</w:t>
            </w:r>
          </w:p>
        </w:tc>
        <w:tc>
          <w:tcPr>
            <w:tcW w:w="792" w:type="dxa"/>
          </w:tcPr>
          <w:p w:rsidR="00000000" w:rsidRDefault="00000000">
            <w:pPr>
              <w:pStyle w:val="SingleTxt"/>
              <w:tabs>
                <w:tab w:val="clear" w:pos="1267"/>
                <w:tab w:val="left" w:pos="1170"/>
              </w:tabs>
              <w:ind w:left="0" w:right="-50"/>
              <w:jc w:val="right"/>
              <w:rPr>
                <w:sz w:val="17"/>
              </w:rPr>
            </w:pPr>
            <w:r>
              <w:rPr>
                <w:sz w:val="17"/>
              </w:rPr>
              <w:t>20.0</w:t>
            </w:r>
          </w:p>
        </w:tc>
        <w:tc>
          <w:tcPr>
            <w:tcW w:w="801" w:type="dxa"/>
          </w:tcPr>
          <w:p w:rsidR="00000000" w:rsidRDefault="00000000">
            <w:pPr>
              <w:pStyle w:val="SingleTxt"/>
              <w:tabs>
                <w:tab w:val="clear" w:pos="1267"/>
                <w:tab w:val="left" w:pos="1170"/>
              </w:tabs>
              <w:ind w:left="0" w:right="-50"/>
              <w:jc w:val="right"/>
              <w:rPr>
                <w:sz w:val="17"/>
              </w:rPr>
            </w:pPr>
            <w:r>
              <w:rPr>
                <w:sz w:val="17"/>
              </w:rPr>
              <w:t>41.6</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40.1</w:t>
            </w:r>
          </w:p>
        </w:tc>
        <w:tc>
          <w:tcPr>
            <w:tcW w:w="810" w:type="dxa"/>
          </w:tcPr>
          <w:p w:rsidR="00000000" w:rsidRDefault="00000000">
            <w:pPr>
              <w:pStyle w:val="SingleTxt"/>
              <w:tabs>
                <w:tab w:val="clear" w:pos="1267"/>
                <w:tab w:val="left" w:pos="1170"/>
              </w:tabs>
              <w:ind w:left="0" w:right="-50"/>
              <w:jc w:val="right"/>
              <w:rPr>
                <w:sz w:val="17"/>
              </w:rPr>
            </w:pPr>
            <w:r>
              <w:rPr>
                <w:sz w:val="17"/>
              </w:rPr>
              <w:t>24.0</w:t>
            </w:r>
          </w:p>
        </w:tc>
        <w:tc>
          <w:tcPr>
            <w:tcW w:w="810" w:type="dxa"/>
          </w:tcPr>
          <w:p w:rsidR="00000000" w:rsidRDefault="00000000">
            <w:pPr>
              <w:pStyle w:val="SingleTxt"/>
              <w:tabs>
                <w:tab w:val="clear" w:pos="1267"/>
                <w:tab w:val="left" w:pos="1170"/>
              </w:tabs>
              <w:ind w:left="0" w:right="-50"/>
              <w:jc w:val="right"/>
              <w:rPr>
                <w:sz w:val="17"/>
              </w:rPr>
            </w:pPr>
            <w:r>
              <w:rPr>
                <w:sz w:val="17"/>
              </w:rPr>
              <w:t>16.1</w:t>
            </w:r>
          </w:p>
        </w:tc>
        <w:tc>
          <w:tcPr>
            <w:tcW w:w="778" w:type="dxa"/>
          </w:tcPr>
          <w:p w:rsidR="00000000" w:rsidRDefault="00000000">
            <w:pPr>
              <w:pStyle w:val="SingleTxt"/>
              <w:tabs>
                <w:tab w:val="clear" w:pos="1267"/>
                <w:tab w:val="left" w:pos="1170"/>
              </w:tabs>
              <w:ind w:left="0" w:right="-50"/>
              <w:jc w:val="right"/>
              <w:rPr>
                <w:sz w:val="17"/>
              </w:rPr>
            </w:pPr>
            <w:r>
              <w:rPr>
                <w:sz w:val="17"/>
              </w:rPr>
              <w:t>40.1</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Procurement</w:t>
            </w:r>
          </w:p>
        </w:tc>
        <w:tc>
          <w:tcPr>
            <w:tcW w:w="729" w:type="dxa"/>
          </w:tcPr>
          <w:p w:rsidR="00000000" w:rsidRDefault="00000000">
            <w:pPr>
              <w:pStyle w:val="SingleTxt"/>
              <w:tabs>
                <w:tab w:val="clear" w:pos="1267"/>
                <w:tab w:val="left" w:pos="1170"/>
              </w:tabs>
              <w:ind w:left="0" w:right="-50"/>
              <w:jc w:val="right"/>
              <w:rPr>
                <w:sz w:val="17"/>
              </w:rPr>
            </w:pPr>
            <w:r>
              <w:rPr>
                <w:sz w:val="17"/>
              </w:rPr>
              <w:t>31.8</w:t>
            </w:r>
          </w:p>
        </w:tc>
        <w:tc>
          <w:tcPr>
            <w:tcW w:w="774" w:type="dxa"/>
          </w:tcPr>
          <w:p w:rsidR="00000000" w:rsidRDefault="00000000">
            <w:pPr>
              <w:pStyle w:val="SingleTxt"/>
              <w:tabs>
                <w:tab w:val="clear" w:pos="1267"/>
                <w:tab w:val="left" w:pos="1170"/>
              </w:tabs>
              <w:ind w:left="0" w:right="-50"/>
              <w:jc w:val="right"/>
              <w:rPr>
                <w:sz w:val="17"/>
              </w:rPr>
            </w:pPr>
            <w:r>
              <w:rPr>
                <w:sz w:val="17"/>
              </w:rPr>
              <w:t>18.6</w:t>
            </w:r>
          </w:p>
        </w:tc>
        <w:tc>
          <w:tcPr>
            <w:tcW w:w="792" w:type="dxa"/>
          </w:tcPr>
          <w:p w:rsidR="00000000" w:rsidRDefault="00000000">
            <w:pPr>
              <w:pStyle w:val="SingleTxt"/>
              <w:tabs>
                <w:tab w:val="clear" w:pos="1267"/>
                <w:tab w:val="left" w:pos="1170"/>
              </w:tabs>
              <w:ind w:left="0" w:right="-50"/>
              <w:jc w:val="right"/>
              <w:rPr>
                <w:sz w:val="17"/>
              </w:rPr>
            </w:pPr>
            <w:r>
              <w:rPr>
                <w:sz w:val="17"/>
              </w:rPr>
              <w:t>13.2</w:t>
            </w:r>
          </w:p>
        </w:tc>
        <w:tc>
          <w:tcPr>
            <w:tcW w:w="801" w:type="dxa"/>
          </w:tcPr>
          <w:p w:rsidR="00000000" w:rsidRDefault="00000000">
            <w:pPr>
              <w:pStyle w:val="SingleTxt"/>
              <w:tabs>
                <w:tab w:val="clear" w:pos="1267"/>
                <w:tab w:val="left" w:pos="1170"/>
              </w:tabs>
              <w:ind w:left="0" w:right="-50"/>
              <w:jc w:val="right"/>
              <w:rPr>
                <w:sz w:val="17"/>
              </w:rPr>
            </w:pPr>
            <w:r>
              <w:rPr>
                <w:sz w:val="17"/>
              </w:rPr>
              <w:t>41.5</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25.5</w:t>
            </w:r>
          </w:p>
        </w:tc>
        <w:tc>
          <w:tcPr>
            <w:tcW w:w="810" w:type="dxa"/>
          </w:tcPr>
          <w:p w:rsidR="00000000" w:rsidRDefault="00000000">
            <w:pPr>
              <w:pStyle w:val="SingleTxt"/>
              <w:tabs>
                <w:tab w:val="clear" w:pos="1267"/>
                <w:tab w:val="left" w:pos="1170"/>
              </w:tabs>
              <w:ind w:left="0" w:right="-50"/>
              <w:jc w:val="right"/>
              <w:rPr>
                <w:sz w:val="17"/>
              </w:rPr>
            </w:pPr>
            <w:r>
              <w:rPr>
                <w:sz w:val="17"/>
              </w:rPr>
              <w:t>15.5</w:t>
            </w:r>
          </w:p>
        </w:tc>
        <w:tc>
          <w:tcPr>
            <w:tcW w:w="810" w:type="dxa"/>
          </w:tcPr>
          <w:p w:rsidR="00000000" w:rsidRDefault="00000000">
            <w:pPr>
              <w:pStyle w:val="SingleTxt"/>
              <w:tabs>
                <w:tab w:val="clear" w:pos="1267"/>
                <w:tab w:val="left" w:pos="1170"/>
              </w:tabs>
              <w:ind w:left="0" w:right="-50"/>
              <w:jc w:val="right"/>
              <w:rPr>
                <w:sz w:val="17"/>
              </w:rPr>
            </w:pPr>
            <w:r>
              <w:rPr>
                <w:sz w:val="17"/>
              </w:rPr>
              <w:t>10.0</w:t>
            </w:r>
          </w:p>
        </w:tc>
        <w:tc>
          <w:tcPr>
            <w:tcW w:w="778" w:type="dxa"/>
          </w:tcPr>
          <w:p w:rsidR="00000000" w:rsidRDefault="00000000">
            <w:pPr>
              <w:pStyle w:val="SingleTxt"/>
              <w:tabs>
                <w:tab w:val="clear" w:pos="1267"/>
                <w:tab w:val="left" w:pos="1170"/>
              </w:tabs>
              <w:ind w:left="0" w:right="-50"/>
              <w:jc w:val="right"/>
              <w:rPr>
                <w:sz w:val="17"/>
              </w:rPr>
            </w:pPr>
            <w:r>
              <w:rPr>
                <w:sz w:val="17"/>
              </w:rPr>
              <w:t>39.2</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Information and computer technology</w:t>
            </w:r>
          </w:p>
        </w:tc>
        <w:tc>
          <w:tcPr>
            <w:tcW w:w="729" w:type="dxa"/>
          </w:tcPr>
          <w:p w:rsidR="00000000" w:rsidRDefault="00000000">
            <w:pPr>
              <w:pStyle w:val="SingleTxt"/>
              <w:tabs>
                <w:tab w:val="clear" w:pos="1267"/>
                <w:tab w:val="left" w:pos="1170"/>
              </w:tabs>
              <w:ind w:left="0" w:right="-50"/>
              <w:jc w:val="right"/>
              <w:rPr>
                <w:sz w:val="17"/>
              </w:rPr>
            </w:pPr>
            <w:r>
              <w:rPr>
                <w:sz w:val="17"/>
              </w:rPr>
              <w:t>7.8</w:t>
            </w:r>
          </w:p>
        </w:tc>
        <w:tc>
          <w:tcPr>
            <w:tcW w:w="774" w:type="dxa"/>
          </w:tcPr>
          <w:p w:rsidR="00000000" w:rsidRDefault="00000000">
            <w:pPr>
              <w:pStyle w:val="SingleTxt"/>
              <w:tabs>
                <w:tab w:val="clear" w:pos="1267"/>
                <w:tab w:val="left" w:pos="1170"/>
              </w:tabs>
              <w:ind w:left="0" w:right="-50"/>
              <w:jc w:val="right"/>
              <w:rPr>
                <w:sz w:val="17"/>
              </w:rPr>
            </w:pPr>
            <w:r>
              <w:rPr>
                <w:sz w:val="17"/>
              </w:rPr>
              <w:t>1.6</w:t>
            </w:r>
          </w:p>
        </w:tc>
        <w:tc>
          <w:tcPr>
            <w:tcW w:w="792" w:type="dxa"/>
          </w:tcPr>
          <w:p w:rsidR="00000000" w:rsidRDefault="00000000">
            <w:pPr>
              <w:pStyle w:val="SingleTxt"/>
              <w:tabs>
                <w:tab w:val="clear" w:pos="1267"/>
                <w:tab w:val="left" w:pos="1170"/>
              </w:tabs>
              <w:ind w:left="0" w:right="-50"/>
              <w:jc w:val="right"/>
              <w:rPr>
                <w:sz w:val="17"/>
              </w:rPr>
            </w:pPr>
            <w:r>
              <w:rPr>
                <w:sz w:val="17"/>
              </w:rPr>
              <w:t>6.2</w:t>
            </w:r>
          </w:p>
        </w:tc>
        <w:tc>
          <w:tcPr>
            <w:tcW w:w="801" w:type="dxa"/>
          </w:tcPr>
          <w:p w:rsidR="00000000" w:rsidRDefault="00000000">
            <w:pPr>
              <w:pStyle w:val="SingleTxt"/>
              <w:tabs>
                <w:tab w:val="clear" w:pos="1267"/>
                <w:tab w:val="left" w:pos="1170"/>
              </w:tabs>
              <w:ind w:left="0" w:right="-50"/>
              <w:jc w:val="right"/>
              <w:rPr>
                <w:sz w:val="17"/>
              </w:rPr>
            </w:pPr>
            <w:r>
              <w:rPr>
                <w:sz w:val="17"/>
              </w:rPr>
              <w:t>79.6</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5.5</w:t>
            </w:r>
          </w:p>
        </w:tc>
        <w:tc>
          <w:tcPr>
            <w:tcW w:w="810" w:type="dxa"/>
          </w:tcPr>
          <w:p w:rsidR="00000000" w:rsidRDefault="00000000">
            <w:pPr>
              <w:pStyle w:val="SingleTxt"/>
              <w:tabs>
                <w:tab w:val="clear" w:pos="1267"/>
                <w:tab w:val="left" w:pos="1170"/>
              </w:tabs>
              <w:ind w:left="0" w:right="-50"/>
              <w:jc w:val="right"/>
              <w:rPr>
                <w:sz w:val="17"/>
              </w:rPr>
            </w:pPr>
            <w:r>
              <w:rPr>
                <w:sz w:val="17"/>
              </w:rPr>
              <w:t>1.2</w:t>
            </w:r>
          </w:p>
        </w:tc>
        <w:tc>
          <w:tcPr>
            <w:tcW w:w="810" w:type="dxa"/>
          </w:tcPr>
          <w:p w:rsidR="00000000" w:rsidRDefault="00000000">
            <w:pPr>
              <w:pStyle w:val="SingleTxt"/>
              <w:tabs>
                <w:tab w:val="clear" w:pos="1267"/>
                <w:tab w:val="left" w:pos="1170"/>
              </w:tabs>
              <w:ind w:left="0" w:right="-50"/>
              <w:jc w:val="right"/>
              <w:rPr>
                <w:sz w:val="17"/>
              </w:rPr>
            </w:pPr>
            <w:r>
              <w:rPr>
                <w:sz w:val="17"/>
              </w:rPr>
              <w:t>4.3</w:t>
            </w:r>
          </w:p>
        </w:tc>
        <w:tc>
          <w:tcPr>
            <w:tcW w:w="778" w:type="dxa"/>
          </w:tcPr>
          <w:p w:rsidR="00000000" w:rsidRDefault="00000000">
            <w:pPr>
              <w:pStyle w:val="SingleTxt"/>
              <w:tabs>
                <w:tab w:val="clear" w:pos="1267"/>
                <w:tab w:val="left" w:pos="1170"/>
              </w:tabs>
              <w:ind w:left="0" w:right="-50"/>
              <w:jc w:val="right"/>
              <w:rPr>
                <w:sz w:val="17"/>
              </w:rPr>
            </w:pPr>
            <w:r>
              <w:rPr>
                <w:sz w:val="17"/>
              </w:rPr>
              <w:t>78.2</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Real estate operations</w:t>
            </w:r>
          </w:p>
        </w:tc>
        <w:tc>
          <w:tcPr>
            <w:tcW w:w="729" w:type="dxa"/>
          </w:tcPr>
          <w:p w:rsidR="00000000" w:rsidRDefault="00000000">
            <w:pPr>
              <w:pStyle w:val="SingleTxt"/>
              <w:tabs>
                <w:tab w:val="clear" w:pos="1267"/>
                <w:tab w:val="left" w:pos="1170"/>
              </w:tabs>
              <w:ind w:left="0" w:right="-50"/>
              <w:jc w:val="right"/>
              <w:rPr>
                <w:sz w:val="17"/>
              </w:rPr>
            </w:pPr>
            <w:r>
              <w:rPr>
                <w:sz w:val="17"/>
              </w:rPr>
              <w:t>0.2</w:t>
            </w:r>
          </w:p>
        </w:tc>
        <w:tc>
          <w:tcPr>
            <w:tcW w:w="774" w:type="dxa"/>
          </w:tcPr>
          <w:p w:rsidR="00000000" w:rsidRDefault="00000000">
            <w:pPr>
              <w:pStyle w:val="SingleTxt"/>
              <w:tabs>
                <w:tab w:val="clear" w:pos="1267"/>
                <w:tab w:val="left" w:pos="1170"/>
              </w:tabs>
              <w:ind w:left="0" w:right="-50"/>
              <w:jc w:val="right"/>
              <w:rPr>
                <w:sz w:val="17"/>
              </w:rPr>
            </w:pPr>
            <w:r>
              <w:rPr>
                <w:sz w:val="17"/>
              </w:rPr>
              <w:t>0.1</w:t>
            </w:r>
          </w:p>
        </w:tc>
        <w:tc>
          <w:tcPr>
            <w:tcW w:w="792" w:type="dxa"/>
          </w:tcPr>
          <w:p w:rsidR="00000000" w:rsidRDefault="00000000">
            <w:pPr>
              <w:pStyle w:val="SingleTxt"/>
              <w:tabs>
                <w:tab w:val="clear" w:pos="1267"/>
                <w:tab w:val="left" w:pos="1170"/>
              </w:tabs>
              <w:ind w:left="0" w:right="-50"/>
              <w:jc w:val="right"/>
              <w:rPr>
                <w:sz w:val="17"/>
              </w:rPr>
            </w:pPr>
            <w:r>
              <w:rPr>
                <w:sz w:val="17"/>
              </w:rPr>
              <w:t>0.1</w:t>
            </w:r>
          </w:p>
        </w:tc>
        <w:tc>
          <w:tcPr>
            <w:tcW w:w="801" w:type="dxa"/>
          </w:tcPr>
          <w:p w:rsidR="00000000" w:rsidRDefault="00000000">
            <w:pPr>
              <w:pStyle w:val="SingleTxt"/>
              <w:tabs>
                <w:tab w:val="clear" w:pos="1267"/>
                <w:tab w:val="left" w:pos="1170"/>
              </w:tabs>
              <w:ind w:left="0" w:right="-50"/>
              <w:jc w:val="right"/>
              <w:rPr>
                <w:sz w:val="17"/>
              </w:rPr>
            </w:pPr>
            <w:r>
              <w:rPr>
                <w:sz w:val="17"/>
              </w:rPr>
              <w:t>50.0</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0.6</w:t>
            </w:r>
          </w:p>
        </w:tc>
        <w:tc>
          <w:tcPr>
            <w:tcW w:w="810" w:type="dxa"/>
          </w:tcPr>
          <w:p w:rsidR="00000000" w:rsidRDefault="00000000">
            <w:pPr>
              <w:pStyle w:val="SingleTxt"/>
              <w:tabs>
                <w:tab w:val="clear" w:pos="1267"/>
                <w:tab w:val="left" w:pos="1170"/>
              </w:tabs>
              <w:ind w:left="0" w:right="-50"/>
              <w:jc w:val="right"/>
              <w:rPr>
                <w:sz w:val="17"/>
              </w:rPr>
            </w:pPr>
            <w:r>
              <w:rPr>
                <w:sz w:val="17"/>
              </w:rPr>
              <w:t>0.2</w:t>
            </w:r>
          </w:p>
        </w:tc>
        <w:tc>
          <w:tcPr>
            <w:tcW w:w="810" w:type="dxa"/>
          </w:tcPr>
          <w:p w:rsidR="00000000" w:rsidRDefault="00000000">
            <w:pPr>
              <w:pStyle w:val="SingleTxt"/>
              <w:tabs>
                <w:tab w:val="clear" w:pos="1267"/>
                <w:tab w:val="left" w:pos="1170"/>
              </w:tabs>
              <w:ind w:left="0" w:right="-50"/>
              <w:jc w:val="right"/>
              <w:rPr>
                <w:sz w:val="17"/>
              </w:rPr>
            </w:pPr>
            <w:r>
              <w:rPr>
                <w:sz w:val="17"/>
              </w:rPr>
              <w:t>0.4</w:t>
            </w:r>
          </w:p>
        </w:tc>
        <w:tc>
          <w:tcPr>
            <w:tcW w:w="778" w:type="dxa"/>
          </w:tcPr>
          <w:p w:rsidR="00000000" w:rsidRDefault="00000000">
            <w:pPr>
              <w:pStyle w:val="SingleTxt"/>
              <w:tabs>
                <w:tab w:val="clear" w:pos="1267"/>
                <w:tab w:val="left" w:pos="1170"/>
              </w:tabs>
              <w:ind w:left="0" w:right="-50"/>
              <w:jc w:val="right"/>
              <w:rPr>
                <w:sz w:val="17"/>
              </w:rPr>
            </w:pPr>
            <w:r>
              <w:rPr>
                <w:sz w:val="17"/>
              </w:rPr>
              <w:t>66.7</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General commercial activities for market operations</w:t>
            </w:r>
          </w:p>
        </w:tc>
        <w:tc>
          <w:tcPr>
            <w:tcW w:w="729" w:type="dxa"/>
          </w:tcPr>
          <w:p w:rsidR="00000000" w:rsidRDefault="00000000">
            <w:pPr>
              <w:pStyle w:val="SingleTxt"/>
              <w:tabs>
                <w:tab w:val="clear" w:pos="1267"/>
                <w:tab w:val="left" w:pos="1170"/>
              </w:tabs>
              <w:ind w:left="0" w:right="-50"/>
              <w:jc w:val="right"/>
              <w:rPr>
                <w:sz w:val="17"/>
              </w:rPr>
            </w:pPr>
            <w:r>
              <w:rPr>
                <w:sz w:val="17"/>
              </w:rPr>
              <w:t>0.5</w:t>
            </w:r>
          </w:p>
        </w:tc>
        <w:tc>
          <w:tcPr>
            <w:tcW w:w="774" w:type="dxa"/>
          </w:tcPr>
          <w:p w:rsidR="00000000" w:rsidRDefault="00000000">
            <w:pPr>
              <w:pStyle w:val="SingleTxt"/>
              <w:tabs>
                <w:tab w:val="clear" w:pos="1267"/>
                <w:tab w:val="left" w:pos="1170"/>
              </w:tabs>
              <w:ind w:left="0" w:right="-50"/>
              <w:jc w:val="right"/>
              <w:rPr>
                <w:sz w:val="17"/>
              </w:rPr>
            </w:pPr>
            <w:r>
              <w:rPr>
                <w:sz w:val="17"/>
              </w:rPr>
              <w:t>0.2</w:t>
            </w:r>
          </w:p>
        </w:tc>
        <w:tc>
          <w:tcPr>
            <w:tcW w:w="792" w:type="dxa"/>
          </w:tcPr>
          <w:p w:rsidR="00000000" w:rsidRDefault="00000000">
            <w:pPr>
              <w:pStyle w:val="SingleTxt"/>
              <w:tabs>
                <w:tab w:val="clear" w:pos="1267"/>
                <w:tab w:val="left" w:pos="1170"/>
              </w:tabs>
              <w:ind w:left="0" w:right="-50"/>
              <w:jc w:val="right"/>
              <w:rPr>
                <w:sz w:val="17"/>
              </w:rPr>
            </w:pPr>
            <w:r>
              <w:rPr>
                <w:sz w:val="17"/>
              </w:rPr>
              <w:t>0.3</w:t>
            </w:r>
          </w:p>
        </w:tc>
        <w:tc>
          <w:tcPr>
            <w:tcW w:w="801" w:type="dxa"/>
          </w:tcPr>
          <w:p w:rsidR="00000000" w:rsidRDefault="00000000">
            <w:pPr>
              <w:pStyle w:val="SingleTxt"/>
              <w:tabs>
                <w:tab w:val="clear" w:pos="1267"/>
                <w:tab w:val="left" w:pos="1170"/>
              </w:tabs>
              <w:ind w:left="0" w:right="-50"/>
              <w:jc w:val="right"/>
              <w:rPr>
                <w:sz w:val="17"/>
              </w:rPr>
            </w:pPr>
            <w:r>
              <w:rPr>
                <w:sz w:val="17"/>
              </w:rPr>
              <w:t>60.0</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3.0</w:t>
            </w:r>
          </w:p>
        </w:tc>
        <w:tc>
          <w:tcPr>
            <w:tcW w:w="810" w:type="dxa"/>
          </w:tcPr>
          <w:p w:rsidR="00000000" w:rsidRDefault="00000000">
            <w:pPr>
              <w:pStyle w:val="SingleTxt"/>
              <w:tabs>
                <w:tab w:val="clear" w:pos="1267"/>
                <w:tab w:val="left" w:pos="1170"/>
              </w:tabs>
              <w:ind w:left="0" w:right="-50"/>
              <w:jc w:val="right"/>
              <w:rPr>
                <w:sz w:val="17"/>
              </w:rPr>
            </w:pPr>
            <w:r>
              <w:rPr>
                <w:sz w:val="17"/>
              </w:rPr>
              <w:t>1.6</w:t>
            </w:r>
          </w:p>
        </w:tc>
        <w:tc>
          <w:tcPr>
            <w:tcW w:w="810" w:type="dxa"/>
          </w:tcPr>
          <w:p w:rsidR="00000000" w:rsidRDefault="00000000">
            <w:pPr>
              <w:pStyle w:val="SingleTxt"/>
              <w:tabs>
                <w:tab w:val="clear" w:pos="1267"/>
                <w:tab w:val="left" w:pos="1170"/>
              </w:tabs>
              <w:ind w:left="0" w:right="-50"/>
              <w:jc w:val="right"/>
              <w:rPr>
                <w:sz w:val="17"/>
              </w:rPr>
            </w:pPr>
            <w:r>
              <w:rPr>
                <w:sz w:val="17"/>
              </w:rPr>
              <w:t>1.4</w:t>
            </w:r>
          </w:p>
        </w:tc>
        <w:tc>
          <w:tcPr>
            <w:tcW w:w="778" w:type="dxa"/>
          </w:tcPr>
          <w:p w:rsidR="00000000" w:rsidRDefault="00000000">
            <w:pPr>
              <w:pStyle w:val="SingleTxt"/>
              <w:tabs>
                <w:tab w:val="clear" w:pos="1267"/>
                <w:tab w:val="left" w:pos="1170"/>
              </w:tabs>
              <w:ind w:left="0" w:right="-50"/>
              <w:jc w:val="right"/>
              <w:rPr>
                <w:sz w:val="17"/>
              </w:rPr>
            </w:pPr>
            <w:r>
              <w:rPr>
                <w:sz w:val="17"/>
              </w:rPr>
              <w:t>46.7</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Geology, prospecting, geodesy and hydro-meteorology</w:t>
            </w:r>
          </w:p>
        </w:tc>
        <w:tc>
          <w:tcPr>
            <w:tcW w:w="729" w:type="dxa"/>
          </w:tcPr>
          <w:p w:rsidR="00000000" w:rsidRDefault="00000000">
            <w:pPr>
              <w:pStyle w:val="SingleTxt"/>
              <w:tabs>
                <w:tab w:val="clear" w:pos="1267"/>
                <w:tab w:val="left" w:pos="1170"/>
              </w:tabs>
              <w:ind w:left="0" w:right="-50"/>
              <w:jc w:val="right"/>
              <w:rPr>
                <w:sz w:val="17"/>
              </w:rPr>
            </w:pPr>
            <w:r>
              <w:rPr>
                <w:sz w:val="17"/>
              </w:rPr>
              <w:t>24.5</w:t>
            </w:r>
          </w:p>
        </w:tc>
        <w:tc>
          <w:tcPr>
            <w:tcW w:w="774" w:type="dxa"/>
          </w:tcPr>
          <w:p w:rsidR="00000000" w:rsidRDefault="00000000">
            <w:pPr>
              <w:pStyle w:val="SingleTxt"/>
              <w:tabs>
                <w:tab w:val="clear" w:pos="1267"/>
                <w:tab w:val="left" w:pos="1170"/>
              </w:tabs>
              <w:ind w:left="0" w:right="-50"/>
              <w:jc w:val="right"/>
              <w:rPr>
                <w:sz w:val="17"/>
              </w:rPr>
            </w:pPr>
            <w:r>
              <w:rPr>
                <w:sz w:val="17"/>
              </w:rPr>
              <w:t>14.5</w:t>
            </w:r>
          </w:p>
        </w:tc>
        <w:tc>
          <w:tcPr>
            <w:tcW w:w="792" w:type="dxa"/>
          </w:tcPr>
          <w:p w:rsidR="00000000" w:rsidRDefault="00000000">
            <w:pPr>
              <w:pStyle w:val="SingleTxt"/>
              <w:tabs>
                <w:tab w:val="clear" w:pos="1267"/>
                <w:tab w:val="left" w:pos="1170"/>
              </w:tabs>
              <w:ind w:left="0" w:right="-50"/>
              <w:jc w:val="right"/>
              <w:rPr>
                <w:sz w:val="17"/>
              </w:rPr>
            </w:pPr>
            <w:r>
              <w:rPr>
                <w:sz w:val="17"/>
              </w:rPr>
              <w:t>10.0</w:t>
            </w:r>
          </w:p>
        </w:tc>
        <w:tc>
          <w:tcPr>
            <w:tcW w:w="801" w:type="dxa"/>
          </w:tcPr>
          <w:p w:rsidR="00000000" w:rsidRDefault="00000000">
            <w:pPr>
              <w:pStyle w:val="SingleTxt"/>
              <w:tabs>
                <w:tab w:val="clear" w:pos="1267"/>
                <w:tab w:val="left" w:pos="1170"/>
              </w:tabs>
              <w:ind w:left="0" w:right="-50"/>
              <w:jc w:val="right"/>
              <w:rPr>
                <w:sz w:val="17"/>
              </w:rPr>
            </w:pPr>
            <w:r>
              <w:rPr>
                <w:sz w:val="17"/>
              </w:rPr>
              <w:t>40.8</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23.0</w:t>
            </w:r>
          </w:p>
        </w:tc>
        <w:tc>
          <w:tcPr>
            <w:tcW w:w="810" w:type="dxa"/>
          </w:tcPr>
          <w:p w:rsidR="00000000" w:rsidRDefault="00000000">
            <w:pPr>
              <w:pStyle w:val="SingleTxt"/>
              <w:tabs>
                <w:tab w:val="clear" w:pos="1267"/>
                <w:tab w:val="left" w:pos="1170"/>
              </w:tabs>
              <w:ind w:left="0" w:right="-50"/>
              <w:jc w:val="right"/>
              <w:rPr>
                <w:sz w:val="17"/>
              </w:rPr>
            </w:pPr>
            <w:r>
              <w:rPr>
                <w:sz w:val="17"/>
              </w:rPr>
              <w:t>14.1</w:t>
            </w:r>
          </w:p>
        </w:tc>
        <w:tc>
          <w:tcPr>
            <w:tcW w:w="810" w:type="dxa"/>
          </w:tcPr>
          <w:p w:rsidR="00000000" w:rsidRDefault="00000000">
            <w:pPr>
              <w:pStyle w:val="SingleTxt"/>
              <w:tabs>
                <w:tab w:val="clear" w:pos="1267"/>
                <w:tab w:val="left" w:pos="1170"/>
              </w:tabs>
              <w:ind w:left="0" w:right="-50"/>
              <w:jc w:val="right"/>
              <w:rPr>
                <w:sz w:val="17"/>
              </w:rPr>
            </w:pPr>
            <w:r>
              <w:rPr>
                <w:sz w:val="17"/>
              </w:rPr>
              <w:t>8.9</w:t>
            </w:r>
          </w:p>
        </w:tc>
        <w:tc>
          <w:tcPr>
            <w:tcW w:w="778" w:type="dxa"/>
          </w:tcPr>
          <w:p w:rsidR="00000000" w:rsidRDefault="00000000">
            <w:pPr>
              <w:pStyle w:val="SingleTxt"/>
              <w:tabs>
                <w:tab w:val="clear" w:pos="1267"/>
                <w:tab w:val="left" w:pos="1170"/>
              </w:tabs>
              <w:ind w:left="0" w:right="-50"/>
              <w:jc w:val="right"/>
              <w:rPr>
                <w:sz w:val="17"/>
              </w:rPr>
            </w:pPr>
            <w:r>
              <w:rPr>
                <w:sz w:val="17"/>
              </w:rPr>
              <w:t>38.7</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Other activities in the materials production sphere</w:t>
            </w:r>
          </w:p>
        </w:tc>
        <w:tc>
          <w:tcPr>
            <w:tcW w:w="729" w:type="dxa"/>
          </w:tcPr>
          <w:p w:rsidR="00000000" w:rsidRDefault="00000000">
            <w:pPr>
              <w:pStyle w:val="SingleTxt"/>
              <w:tabs>
                <w:tab w:val="clear" w:pos="1267"/>
                <w:tab w:val="left" w:pos="1170"/>
              </w:tabs>
              <w:ind w:left="0" w:right="-50"/>
              <w:jc w:val="right"/>
              <w:rPr>
                <w:sz w:val="17"/>
              </w:rPr>
            </w:pPr>
            <w:r>
              <w:rPr>
                <w:sz w:val="17"/>
              </w:rPr>
              <w:t>69.1</w:t>
            </w:r>
          </w:p>
        </w:tc>
        <w:tc>
          <w:tcPr>
            <w:tcW w:w="774" w:type="dxa"/>
          </w:tcPr>
          <w:p w:rsidR="00000000" w:rsidRDefault="00000000">
            <w:pPr>
              <w:pStyle w:val="SingleTxt"/>
              <w:tabs>
                <w:tab w:val="clear" w:pos="1267"/>
                <w:tab w:val="left" w:pos="1170"/>
              </w:tabs>
              <w:ind w:left="0" w:right="-50"/>
              <w:jc w:val="right"/>
              <w:rPr>
                <w:sz w:val="17"/>
              </w:rPr>
            </w:pPr>
            <w:r>
              <w:rPr>
                <w:sz w:val="17"/>
              </w:rPr>
              <w:t>46.9</w:t>
            </w:r>
          </w:p>
        </w:tc>
        <w:tc>
          <w:tcPr>
            <w:tcW w:w="792" w:type="dxa"/>
          </w:tcPr>
          <w:p w:rsidR="00000000" w:rsidRDefault="00000000">
            <w:pPr>
              <w:pStyle w:val="SingleTxt"/>
              <w:tabs>
                <w:tab w:val="clear" w:pos="1267"/>
                <w:tab w:val="left" w:pos="1170"/>
              </w:tabs>
              <w:ind w:left="0" w:right="-50"/>
              <w:jc w:val="right"/>
              <w:rPr>
                <w:sz w:val="17"/>
              </w:rPr>
            </w:pPr>
            <w:r>
              <w:rPr>
                <w:sz w:val="17"/>
              </w:rPr>
              <w:t>22.3</w:t>
            </w:r>
          </w:p>
        </w:tc>
        <w:tc>
          <w:tcPr>
            <w:tcW w:w="801" w:type="dxa"/>
          </w:tcPr>
          <w:p w:rsidR="00000000" w:rsidRDefault="00000000">
            <w:pPr>
              <w:pStyle w:val="SingleTxt"/>
              <w:tabs>
                <w:tab w:val="clear" w:pos="1267"/>
                <w:tab w:val="left" w:pos="1170"/>
              </w:tabs>
              <w:ind w:left="0" w:right="-50"/>
              <w:jc w:val="right"/>
              <w:rPr>
                <w:sz w:val="17"/>
              </w:rPr>
            </w:pPr>
            <w:r>
              <w:rPr>
                <w:sz w:val="17"/>
              </w:rPr>
              <w:t>32.1</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55.5</w:t>
            </w:r>
          </w:p>
        </w:tc>
        <w:tc>
          <w:tcPr>
            <w:tcW w:w="810" w:type="dxa"/>
          </w:tcPr>
          <w:p w:rsidR="00000000" w:rsidRDefault="00000000">
            <w:pPr>
              <w:pStyle w:val="SingleTxt"/>
              <w:tabs>
                <w:tab w:val="clear" w:pos="1267"/>
                <w:tab w:val="left" w:pos="1170"/>
              </w:tabs>
              <w:ind w:left="0" w:right="-50"/>
              <w:jc w:val="right"/>
              <w:rPr>
                <w:sz w:val="17"/>
              </w:rPr>
            </w:pPr>
            <w:r>
              <w:rPr>
                <w:sz w:val="17"/>
              </w:rPr>
              <w:t>37.8</w:t>
            </w:r>
          </w:p>
        </w:tc>
        <w:tc>
          <w:tcPr>
            <w:tcW w:w="810" w:type="dxa"/>
          </w:tcPr>
          <w:p w:rsidR="00000000" w:rsidRDefault="00000000">
            <w:pPr>
              <w:pStyle w:val="SingleTxt"/>
              <w:tabs>
                <w:tab w:val="clear" w:pos="1267"/>
                <w:tab w:val="left" w:pos="1170"/>
              </w:tabs>
              <w:ind w:left="0" w:right="-50"/>
              <w:jc w:val="right"/>
              <w:rPr>
                <w:sz w:val="17"/>
              </w:rPr>
            </w:pPr>
            <w:r>
              <w:rPr>
                <w:sz w:val="17"/>
              </w:rPr>
              <w:t>17.7</w:t>
            </w:r>
          </w:p>
        </w:tc>
        <w:tc>
          <w:tcPr>
            <w:tcW w:w="778" w:type="dxa"/>
          </w:tcPr>
          <w:p w:rsidR="00000000" w:rsidRDefault="00000000">
            <w:pPr>
              <w:pStyle w:val="SingleTxt"/>
              <w:tabs>
                <w:tab w:val="clear" w:pos="1267"/>
                <w:tab w:val="left" w:pos="1170"/>
              </w:tabs>
              <w:ind w:left="0" w:right="-50"/>
              <w:jc w:val="right"/>
              <w:rPr>
                <w:sz w:val="17"/>
              </w:rPr>
            </w:pPr>
            <w:r>
              <w:rPr>
                <w:sz w:val="17"/>
              </w:rPr>
              <w:t>31.9</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Housing and utilities</w:t>
            </w:r>
          </w:p>
        </w:tc>
        <w:tc>
          <w:tcPr>
            <w:tcW w:w="729" w:type="dxa"/>
          </w:tcPr>
          <w:p w:rsidR="00000000" w:rsidRDefault="00000000">
            <w:pPr>
              <w:pStyle w:val="SingleTxt"/>
              <w:tabs>
                <w:tab w:val="clear" w:pos="1267"/>
                <w:tab w:val="left" w:pos="1170"/>
              </w:tabs>
              <w:ind w:left="0" w:right="-50"/>
              <w:jc w:val="right"/>
              <w:rPr>
                <w:sz w:val="17"/>
              </w:rPr>
            </w:pPr>
            <w:r>
              <w:rPr>
                <w:sz w:val="17"/>
              </w:rPr>
              <w:t>191.9</w:t>
            </w:r>
          </w:p>
        </w:tc>
        <w:tc>
          <w:tcPr>
            <w:tcW w:w="774" w:type="dxa"/>
          </w:tcPr>
          <w:p w:rsidR="00000000" w:rsidRDefault="00000000">
            <w:pPr>
              <w:pStyle w:val="SingleTxt"/>
              <w:tabs>
                <w:tab w:val="clear" w:pos="1267"/>
                <w:tab w:val="left" w:pos="1170"/>
              </w:tabs>
              <w:ind w:left="0" w:right="-50"/>
              <w:jc w:val="right"/>
              <w:rPr>
                <w:sz w:val="17"/>
              </w:rPr>
            </w:pPr>
            <w:r>
              <w:rPr>
                <w:sz w:val="17"/>
              </w:rPr>
              <w:t>118.2</w:t>
            </w:r>
          </w:p>
        </w:tc>
        <w:tc>
          <w:tcPr>
            <w:tcW w:w="792" w:type="dxa"/>
          </w:tcPr>
          <w:p w:rsidR="00000000" w:rsidRDefault="00000000">
            <w:pPr>
              <w:pStyle w:val="SingleTxt"/>
              <w:tabs>
                <w:tab w:val="clear" w:pos="1267"/>
                <w:tab w:val="left" w:pos="1170"/>
              </w:tabs>
              <w:ind w:left="0" w:right="-50"/>
              <w:jc w:val="right"/>
              <w:rPr>
                <w:sz w:val="17"/>
              </w:rPr>
            </w:pPr>
            <w:r>
              <w:rPr>
                <w:sz w:val="17"/>
              </w:rPr>
              <w:t>73.7</w:t>
            </w:r>
          </w:p>
        </w:tc>
        <w:tc>
          <w:tcPr>
            <w:tcW w:w="801" w:type="dxa"/>
          </w:tcPr>
          <w:p w:rsidR="00000000" w:rsidRDefault="00000000">
            <w:pPr>
              <w:pStyle w:val="SingleTxt"/>
              <w:tabs>
                <w:tab w:val="clear" w:pos="1267"/>
                <w:tab w:val="left" w:pos="1170"/>
              </w:tabs>
              <w:ind w:left="0" w:right="-50"/>
              <w:jc w:val="right"/>
              <w:rPr>
                <w:sz w:val="17"/>
              </w:rPr>
            </w:pPr>
            <w:r>
              <w:rPr>
                <w:sz w:val="17"/>
              </w:rPr>
              <w:t>38.4</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172.8</w:t>
            </w:r>
          </w:p>
        </w:tc>
        <w:tc>
          <w:tcPr>
            <w:tcW w:w="810" w:type="dxa"/>
          </w:tcPr>
          <w:p w:rsidR="00000000" w:rsidRDefault="00000000">
            <w:pPr>
              <w:pStyle w:val="SingleTxt"/>
              <w:tabs>
                <w:tab w:val="clear" w:pos="1267"/>
                <w:tab w:val="left" w:pos="1170"/>
              </w:tabs>
              <w:ind w:left="0" w:right="-50"/>
              <w:jc w:val="right"/>
              <w:rPr>
                <w:sz w:val="17"/>
              </w:rPr>
            </w:pPr>
            <w:r>
              <w:rPr>
                <w:sz w:val="17"/>
              </w:rPr>
              <w:t>107.2</w:t>
            </w:r>
          </w:p>
        </w:tc>
        <w:tc>
          <w:tcPr>
            <w:tcW w:w="810" w:type="dxa"/>
          </w:tcPr>
          <w:p w:rsidR="00000000" w:rsidRDefault="00000000">
            <w:pPr>
              <w:pStyle w:val="SingleTxt"/>
              <w:tabs>
                <w:tab w:val="clear" w:pos="1267"/>
                <w:tab w:val="left" w:pos="1170"/>
              </w:tabs>
              <w:ind w:left="0" w:right="-50"/>
              <w:jc w:val="right"/>
              <w:rPr>
                <w:sz w:val="17"/>
              </w:rPr>
            </w:pPr>
            <w:r>
              <w:rPr>
                <w:sz w:val="17"/>
              </w:rPr>
              <w:t>65.6</w:t>
            </w:r>
          </w:p>
        </w:tc>
        <w:tc>
          <w:tcPr>
            <w:tcW w:w="778" w:type="dxa"/>
          </w:tcPr>
          <w:p w:rsidR="00000000" w:rsidRDefault="00000000">
            <w:pPr>
              <w:pStyle w:val="SingleTxt"/>
              <w:tabs>
                <w:tab w:val="clear" w:pos="1267"/>
                <w:tab w:val="left" w:pos="1170"/>
              </w:tabs>
              <w:ind w:left="0" w:right="-50"/>
              <w:jc w:val="right"/>
              <w:rPr>
                <w:sz w:val="17"/>
              </w:rPr>
            </w:pPr>
            <w:r>
              <w:rPr>
                <w:sz w:val="17"/>
              </w:rPr>
              <w:t>38.0</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Personal consumer services</w:t>
            </w:r>
          </w:p>
        </w:tc>
        <w:tc>
          <w:tcPr>
            <w:tcW w:w="729" w:type="dxa"/>
          </w:tcPr>
          <w:p w:rsidR="00000000" w:rsidRDefault="00000000">
            <w:pPr>
              <w:pStyle w:val="SingleTxt"/>
              <w:tabs>
                <w:tab w:val="clear" w:pos="1267"/>
                <w:tab w:val="left" w:pos="1170"/>
              </w:tabs>
              <w:ind w:left="0" w:right="-50"/>
              <w:jc w:val="right"/>
              <w:rPr>
                <w:sz w:val="17"/>
              </w:rPr>
            </w:pPr>
            <w:r>
              <w:rPr>
                <w:sz w:val="17"/>
              </w:rPr>
              <w:t>30.5</w:t>
            </w:r>
          </w:p>
        </w:tc>
        <w:tc>
          <w:tcPr>
            <w:tcW w:w="774" w:type="dxa"/>
          </w:tcPr>
          <w:p w:rsidR="00000000" w:rsidRDefault="00000000">
            <w:pPr>
              <w:pStyle w:val="SingleTxt"/>
              <w:tabs>
                <w:tab w:val="clear" w:pos="1267"/>
                <w:tab w:val="left" w:pos="1170"/>
              </w:tabs>
              <w:ind w:left="0" w:right="-50"/>
              <w:jc w:val="right"/>
              <w:rPr>
                <w:sz w:val="17"/>
              </w:rPr>
            </w:pPr>
            <w:r>
              <w:rPr>
                <w:sz w:val="17"/>
              </w:rPr>
              <w:t>11.2</w:t>
            </w:r>
          </w:p>
        </w:tc>
        <w:tc>
          <w:tcPr>
            <w:tcW w:w="792" w:type="dxa"/>
          </w:tcPr>
          <w:p w:rsidR="00000000" w:rsidRDefault="00000000">
            <w:pPr>
              <w:pStyle w:val="SingleTxt"/>
              <w:tabs>
                <w:tab w:val="clear" w:pos="1267"/>
                <w:tab w:val="left" w:pos="1170"/>
              </w:tabs>
              <w:ind w:left="0" w:right="-50"/>
              <w:jc w:val="right"/>
              <w:rPr>
                <w:sz w:val="17"/>
              </w:rPr>
            </w:pPr>
            <w:r>
              <w:rPr>
                <w:sz w:val="17"/>
              </w:rPr>
              <w:t>19.3</w:t>
            </w:r>
          </w:p>
        </w:tc>
        <w:tc>
          <w:tcPr>
            <w:tcW w:w="801" w:type="dxa"/>
          </w:tcPr>
          <w:p w:rsidR="00000000" w:rsidRDefault="00000000">
            <w:pPr>
              <w:pStyle w:val="SingleTxt"/>
              <w:tabs>
                <w:tab w:val="clear" w:pos="1267"/>
                <w:tab w:val="left" w:pos="1170"/>
              </w:tabs>
              <w:ind w:left="0" w:right="-50"/>
              <w:jc w:val="right"/>
              <w:rPr>
                <w:sz w:val="17"/>
              </w:rPr>
            </w:pPr>
            <w:r>
              <w:rPr>
                <w:sz w:val="17"/>
              </w:rPr>
              <w:t>63.3</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35.0</w:t>
            </w:r>
          </w:p>
        </w:tc>
        <w:tc>
          <w:tcPr>
            <w:tcW w:w="810" w:type="dxa"/>
          </w:tcPr>
          <w:p w:rsidR="00000000" w:rsidRDefault="00000000">
            <w:pPr>
              <w:pStyle w:val="SingleTxt"/>
              <w:tabs>
                <w:tab w:val="clear" w:pos="1267"/>
                <w:tab w:val="left" w:pos="1170"/>
              </w:tabs>
              <w:ind w:left="0" w:right="-50"/>
              <w:jc w:val="right"/>
              <w:rPr>
                <w:sz w:val="17"/>
              </w:rPr>
            </w:pPr>
            <w:r>
              <w:rPr>
                <w:sz w:val="17"/>
              </w:rPr>
              <w:t>14.7</w:t>
            </w:r>
          </w:p>
        </w:tc>
        <w:tc>
          <w:tcPr>
            <w:tcW w:w="810" w:type="dxa"/>
          </w:tcPr>
          <w:p w:rsidR="00000000" w:rsidRDefault="00000000">
            <w:pPr>
              <w:pStyle w:val="SingleTxt"/>
              <w:tabs>
                <w:tab w:val="clear" w:pos="1267"/>
                <w:tab w:val="left" w:pos="1170"/>
              </w:tabs>
              <w:ind w:left="0" w:right="-50"/>
              <w:jc w:val="right"/>
              <w:rPr>
                <w:sz w:val="17"/>
              </w:rPr>
            </w:pPr>
            <w:r>
              <w:rPr>
                <w:sz w:val="17"/>
              </w:rPr>
              <w:t>20.3</w:t>
            </w:r>
          </w:p>
        </w:tc>
        <w:tc>
          <w:tcPr>
            <w:tcW w:w="778" w:type="dxa"/>
          </w:tcPr>
          <w:p w:rsidR="00000000" w:rsidRDefault="00000000">
            <w:pPr>
              <w:pStyle w:val="SingleTxt"/>
              <w:tabs>
                <w:tab w:val="clear" w:pos="1267"/>
                <w:tab w:val="left" w:pos="1170"/>
              </w:tabs>
              <w:ind w:left="0" w:right="-50"/>
              <w:jc w:val="right"/>
              <w:rPr>
                <w:sz w:val="17"/>
              </w:rPr>
            </w:pPr>
            <w:r>
              <w:rPr>
                <w:sz w:val="17"/>
              </w:rPr>
              <w:t>58.0</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Healthcare, physical education, social security</w:t>
            </w:r>
          </w:p>
        </w:tc>
        <w:tc>
          <w:tcPr>
            <w:tcW w:w="729" w:type="dxa"/>
          </w:tcPr>
          <w:p w:rsidR="00000000" w:rsidRDefault="00000000">
            <w:pPr>
              <w:pStyle w:val="SingleTxt"/>
              <w:tabs>
                <w:tab w:val="clear" w:pos="1267"/>
                <w:tab w:val="left" w:pos="1170"/>
              </w:tabs>
              <w:ind w:left="0" w:right="-50"/>
              <w:jc w:val="right"/>
              <w:rPr>
                <w:sz w:val="17"/>
              </w:rPr>
            </w:pPr>
            <w:r>
              <w:rPr>
                <w:sz w:val="17"/>
              </w:rPr>
              <w:t>418.8</w:t>
            </w:r>
          </w:p>
        </w:tc>
        <w:tc>
          <w:tcPr>
            <w:tcW w:w="774" w:type="dxa"/>
          </w:tcPr>
          <w:p w:rsidR="00000000" w:rsidRDefault="00000000">
            <w:pPr>
              <w:pStyle w:val="SingleTxt"/>
              <w:tabs>
                <w:tab w:val="clear" w:pos="1267"/>
                <w:tab w:val="left" w:pos="1170"/>
              </w:tabs>
              <w:ind w:left="0" w:right="-50"/>
              <w:jc w:val="right"/>
              <w:rPr>
                <w:sz w:val="17"/>
              </w:rPr>
            </w:pPr>
            <w:r>
              <w:rPr>
                <w:sz w:val="17"/>
              </w:rPr>
              <w:t>78.3</w:t>
            </w:r>
          </w:p>
        </w:tc>
        <w:tc>
          <w:tcPr>
            <w:tcW w:w="792" w:type="dxa"/>
          </w:tcPr>
          <w:p w:rsidR="00000000" w:rsidRDefault="00000000">
            <w:pPr>
              <w:pStyle w:val="SingleTxt"/>
              <w:tabs>
                <w:tab w:val="clear" w:pos="1267"/>
                <w:tab w:val="left" w:pos="1170"/>
              </w:tabs>
              <w:ind w:left="0" w:right="-50"/>
              <w:jc w:val="right"/>
              <w:rPr>
                <w:sz w:val="17"/>
              </w:rPr>
            </w:pPr>
            <w:r>
              <w:rPr>
                <w:sz w:val="17"/>
              </w:rPr>
              <w:t>340.5</w:t>
            </w:r>
          </w:p>
        </w:tc>
        <w:tc>
          <w:tcPr>
            <w:tcW w:w="801" w:type="dxa"/>
          </w:tcPr>
          <w:p w:rsidR="00000000" w:rsidRDefault="00000000">
            <w:pPr>
              <w:pStyle w:val="SingleTxt"/>
              <w:tabs>
                <w:tab w:val="clear" w:pos="1267"/>
                <w:tab w:val="left" w:pos="1170"/>
              </w:tabs>
              <w:ind w:left="0" w:right="-50"/>
              <w:jc w:val="right"/>
              <w:rPr>
                <w:sz w:val="17"/>
              </w:rPr>
            </w:pPr>
            <w:r>
              <w:rPr>
                <w:sz w:val="17"/>
              </w:rPr>
              <w:t>81.3</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380.4</w:t>
            </w:r>
          </w:p>
        </w:tc>
        <w:tc>
          <w:tcPr>
            <w:tcW w:w="810" w:type="dxa"/>
          </w:tcPr>
          <w:p w:rsidR="00000000" w:rsidRDefault="00000000">
            <w:pPr>
              <w:pStyle w:val="SingleTxt"/>
              <w:tabs>
                <w:tab w:val="clear" w:pos="1267"/>
                <w:tab w:val="left" w:pos="1170"/>
              </w:tabs>
              <w:ind w:left="0" w:right="-50"/>
              <w:jc w:val="right"/>
              <w:rPr>
                <w:sz w:val="17"/>
              </w:rPr>
            </w:pPr>
            <w:r>
              <w:rPr>
                <w:sz w:val="17"/>
              </w:rPr>
              <w:t>62.5</w:t>
            </w:r>
          </w:p>
        </w:tc>
        <w:tc>
          <w:tcPr>
            <w:tcW w:w="810" w:type="dxa"/>
          </w:tcPr>
          <w:p w:rsidR="00000000" w:rsidRDefault="00000000">
            <w:pPr>
              <w:pStyle w:val="SingleTxt"/>
              <w:tabs>
                <w:tab w:val="clear" w:pos="1267"/>
                <w:tab w:val="left" w:pos="1170"/>
              </w:tabs>
              <w:ind w:left="0" w:right="-50"/>
              <w:jc w:val="right"/>
              <w:rPr>
                <w:sz w:val="17"/>
              </w:rPr>
            </w:pPr>
            <w:r>
              <w:rPr>
                <w:sz w:val="17"/>
              </w:rPr>
              <w:t>317.9</w:t>
            </w:r>
          </w:p>
        </w:tc>
        <w:tc>
          <w:tcPr>
            <w:tcW w:w="778" w:type="dxa"/>
          </w:tcPr>
          <w:p w:rsidR="00000000" w:rsidRDefault="00000000">
            <w:pPr>
              <w:pStyle w:val="SingleTxt"/>
              <w:tabs>
                <w:tab w:val="clear" w:pos="1267"/>
                <w:tab w:val="left" w:pos="1170"/>
              </w:tabs>
              <w:ind w:left="0" w:right="-50"/>
              <w:jc w:val="right"/>
              <w:rPr>
                <w:sz w:val="17"/>
              </w:rPr>
            </w:pPr>
            <w:r>
              <w:rPr>
                <w:sz w:val="17"/>
              </w:rPr>
              <w:t>83.6</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Education</w:t>
            </w:r>
          </w:p>
        </w:tc>
        <w:tc>
          <w:tcPr>
            <w:tcW w:w="729" w:type="dxa"/>
          </w:tcPr>
          <w:p w:rsidR="00000000" w:rsidRDefault="00000000">
            <w:pPr>
              <w:pStyle w:val="SingleTxt"/>
              <w:tabs>
                <w:tab w:val="clear" w:pos="1267"/>
                <w:tab w:val="left" w:pos="1170"/>
              </w:tabs>
              <w:ind w:left="0" w:right="-50"/>
              <w:jc w:val="right"/>
              <w:rPr>
                <w:sz w:val="17"/>
              </w:rPr>
            </w:pPr>
            <w:r>
              <w:rPr>
                <w:sz w:val="17"/>
              </w:rPr>
              <w:t>657.9</w:t>
            </w:r>
          </w:p>
        </w:tc>
        <w:tc>
          <w:tcPr>
            <w:tcW w:w="774" w:type="dxa"/>
          </w:tcPr>
          <w:p w:rsidR="00000000" w:rsidRDefault="00000000">
            <w:pPr>
              <w:pStyle w:val="SingleTxt"/>
              <w:tabs>
                <w:tab w:val="clear" w:pos="1267"/>
                <w:tab w:val="left" w:pos="1170"/>
              </w:tabs>
              <w:ind w:left="0" w:right="-50"/>
              <w:jc w:val="right"/>
              <w:rPr>
                <w:sz w:val="17"/>
              </w:rPr>
            </w:pPr>
            <w:r>
              <w:rPr>
                <w:sz w:val="17"/>
              </w:rPr>
              <w:t>159.0</w:t>
            </w:r>
          </w:p>
        </w:tc>
        <w:tc>
          <w:tcPr>
            <w:tcW w:w="792" w:type="dxa"/>
          </w:tcPr>
          <w:p w:rsidR="00000000" w:rsidRDefault="00000000">
            <w:pPr>
              <w:pStyle w:val="SingleTxt"/>
              <w:tabs>
                <w:tab w:val="clear" w:pos="1267"/>
                <w:tab w:val="left" w:pos="1170"/>
              </w:tabs>
              <w:ind w:left="0" w:right="-50"/>
              <w:jc w:val="right"/>
              <w:rPr>
                <w:sz w:val="17"/>
              </w:rPr>
            </w:pPr>
            <w:r>
              <w:rPr>
                <w:sz w:val="17"/>
              </w:rPr>
              <w:t>498.9</w:t>
            </w:r>
          </w:p>
        </w:tc>
        <w:tc>
          <w:tcPr>
            <w:tcW w:w="801" w:type="dxa"/>
          </w:tcPr>
          <w:p w:rsidR="00000000" w:rsidRDefault="00000000">
            <w:pPr>
              <w:pStyle w:val="SingleTxt"/>
              <w:tabs>
                <w:tab w:val="clear" w:pos="1267"/>
                <w:tab w:val="left" w:pos="1170"/>
              </w:tabs>
              <w:ind w:left="0" w:right="-50"/>
              <w:jc w:val="right"/>
              <w:rPr>
                <w:sz w:val="17"/>
              </w:rPr>
            </w:pPr>
            <w:r>
              <w:rPr>
                <w:sz w:val="17"/>
              </w:rPr>
              <w:t>75.8</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640.3</w:t>
            </w:r>
          </w:p>
        </w:tc>
        <w:tc>
          <w:tcPr>
            <w:tcW w:w="810" w:type="dxa"/>
          </w:tcPr>
          <w:p w:rsidR="00000000" w:rsidRDefault="00000000">
            <w:pPr>
              <w:pStyle w:val="SingleTxt"/>
              <w:tabs>
                <w:tab w:val="clear" w:pos="1267"/>
                <w:tab w:val="left" w:pos="1170"/>
              </w:tabs>
              <w:ind w:left="0" w:right="-50"/>
              <w:jc w:val="right"/>
              <w:rPr>
                <w:sz w:val="17"/>
              </w:rPr>
            </w:pPr>
            <w:r>
              <w:rPr>
                <w:sz w:val="17"/>
              </w:rPr>
              <w:t>162.3</w:t>
            </w:r>
          </w:p>
        </w:tc>
        <w:tc>
          <w:tcPr>
            <w:tcW w:w="810" w:type="dxa"/>
          </w:tcPr>
          <w:p w:rsidR="00000000" w:rsidRDefault="00000000">
            <w:pPr>
              <w:pStyle w:val="SingleTxt"/>
              <w:tabs>
                <w:tab w:val="clear" w:pos="1267"/>
                <w:tab w:val="left" w:pos="1170"/>
              </w:tabs>
              <w:ind w:left="0" w:right="-50"/>
              <w:jc w:val="right"/>
              <w:rPr>
                <w:sz w:val="17"/>
              </w:rPr>
            </w:pPr>
            <w:r>
              <w:rPr>
                <w:sz w:val="17"/>
              </w:rPr>
              <w:t>478.0</w:t>
            </w:r>
          </w:p>
        </w:tc>
        <w:tc>
          <w:tcPr>
            <w:tcW w:w="778" w:type="dxa"/>
          </w:tcPr>
          <w:p w:rsidR="00000000" w:rsidRDefault="00000000">
            <w:pPr>
              <w:pStyle w:val="SingleTxt"/>
              <w:tabs>
                <w:tab w:val="clear" w:pos="1267"/>
                <w:tab w:val="left" w:pos="1170"/>
              </w:tabs>
              <w:ind w:left="0" w:right="-50"/>
              <w:jc w:val="right"/>
              <w:rPr>
                <w:sz w:val="17"/>
              </w:rPr>
            </w:pPr>
            <w:r>
              <w:rPr>
                <w:sz w:val="17"/>
              </w:rPr>
              <w:t>74.7</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Culture</w:t>
            </w:r>
          </w:p>
        </w:tc>
        <w:tc>
          <w:tcPr>
            <w:tcW w:w="729" w:type="dxa"/>
          </w:tcPr>
          <w:p w:rsidR="00000000" w:rsidRDefault="00000000">
            <w:pPr>
              <w:pStyle w:val="SingleTxt"/>
              <w:tabs>
                <w:tab w:val="clear" w:pos="1267"/>
                <w:tab w:val="left" w:pos="1170"/>
              </w:tabs>
              <w:ind w:left="0" w:right="-50"/>
              <w:jc w:val="right"/>
              <w:rPr>
                <w:sz w:val="17"/>
              </w:rPr>
            </w:pPr>
            <w:r>
              <w:rPr>
                <w:sz w:val="17"/>
              </w:rPr>
              <w:t>66.8</w:t>
            </w:r>
          </w:p>
        </w:tc>
        <w:tc>
          <w:tcPr>
            <w:tcW w:w="774" w:type="dxa"/>
          </w:tcPr>
          <w:p w:rsidR="00000000" w:rsidRDefault="00000000">
            <w:pPr>
              <w:pStyle w:val="SingleTxt"/>
              <w:tabs>
                <w:tab w:val="clear" w:pos="1267"/>
                <w:tab w:val="left" w:pos="1170"/>
              </w:tabs>
              <w:ind w:left="0" w:right="-50"/>
              <w:jc w:val="right"/>
              <w:rPr>
                <w:sz w:val="17"/>
              </w:rPr>
            </w:pPr>
            <w:r>
              <w:rPr>
                <w:sz w:val="17"/>
              </w:rPr>
              <w:t>19.5</w:t>
            </w:r>
          </w:p>
        </w:tc>
        <w:tc>
          <w:tcPr>
            <w:tcW w:w="792" w:type="dxa"/>
          </w:tcPr>
          <w:p w:rsidR="00000000" w:rsidRDefault="00000000">
            <w:pPr>
              <w:pStyle w:val="SingleTxt"/>
              <w:tabs>
                <w:tab w:val="clear" w:pos="1267"/>
                <w:tab w:val="left" w:pos="1170"/>
              </w:tabs>
              <w:ind w:left="0" w:right="-50"/>
              <w:jc w:val="right"/>
              <w:rPr>
                <w:sz w:val="17"/>
              </w:rPr>
            </w:pPr>
            <w:r>
              <w:rPr>
                <w:sz w:val="17"/>
              </w:rPr>
              <w:t>47.3</w:t>
            </w:r>
          </w:p>
        </w:tc>
        <w:tc>
          <w:tcPr>
            <w:tcW w:w="801" w:type="dxa"/>
          </w:tcPr>
          <w:p w:rsidR="00000000" w:rsidRDefault="00000000">
            <w:pPr>
              <w:pStyle w:val="SingleTxt"/>
              <w:tabs>
                <w:tab w:val="clear" w:pos="1267"/>
                <w:tab w:val="left" w:pos="1170"/>
              </w:tabs>
              <w:ind w:left="0" w:right="-50"/>
              <w:jc w:val="right"/>
              <w:rPr>
                <w:sz w:val="17"/>
              </w:rPr>
            </w:pPr>
            <w:r>
              <w:rPr>
                <w:sz w:val="17"/>
              </w:rPr>
              <w:t>70.8</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55.7</w:t>
            </w:r>
          </w:p>
        </w:tc>
        <w:tc>
          <w:tcPr>
            <w:tcW w:w="810" w:type="dxa"/>
          </w:tcPr>
          <w:p w:rsidR="00000000" w:rsidRDefault="00000000">
            <w:pPr>
              <w:pStyle w:val="SingleTxt"/>
              <w:tabs>
                <w:tab w:val="clear" w:pos="1267"/>
                <w:tab w:val="left" w:pos="1170"/>
              </w:tabs>
              <w:ind w:left="0" w:right="-50"/>
              <w:jc w:val="right"/>
              <w:rPr>
                <w:sz w:val="17"/>
              </w:rPr>
            </w:pPr>
            <w:r>
              <w:rPr>
                <w:sz w:val="17"/>
              </w:rPr>
              <w:t>16.5</w:t>
            </w:r>
          </w:p>
        </w:tc>
        <w:tc>
          <w:tcPr>
            <w:tcW w:w="810" w:type="dxa"/>
          </w:tcPr>
          <w:p w:rsidR="00000000" w:rsidRDefault="00000000">
            <w:pPr>
              <w:pStyle w:val="SingleTxt"/>
              <w:tabs>
                <w:tab w:val="clear" w:pos="1267"/>
                <w:tab w:val="left" w:pos="1170"/>
              </w:tabs>
              <w:ind w:left="0" w:right="-50"/>
              <w:jc w:val="right"/>
              <w:rPr>
                <w:sz w:val="17"/>
              </w:rPr>
            </w:pPr>
            <w:r>
              <w:rPr>
                <w:sz w:val="17"/>
              </w:rPr>
              <w:t>39.2</w:t>
            </w:r>
          </w:p>
        </w:tc>
        <w:tc>
          <w:tcPr>
            <w:tcW w:w="778" w:type="dxa"/>
          </w:tcPr>
          <w:p w:rsidR="00000000" w:rsidRDefault="00000000">
            <w:pPr>
              <w:pStyle w:val="SingleTxt"/>
              <w:tabs>
                <w:tab w:val="clear" w:pos="1267"/>
                <w:tab w:val="left" w:pos="1170"/>
              </w:tabs>
              <w:ind w:left="0" w:right="-50"/>
              <w:jc w:val="right"/>
              <w:rPr>
                <w:sz w:val="17"/>
              </w:rPr>
            </w:pPr>
            <w:r>
              <w:rPr>
                <w:sz w:val="17"/>
              </w:rPr>
              <w:t>70.4</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Arts</w:t>
            </w:r>
          </w:p>
        </w:tc>
        <w:tc>
          <w:tcPr>
            <w:tcW w:w="729" w:type="dxa"/>
          </w:tcPr>
          <w:p w:rsidR="00000000" w:rsidRDefault="00000000">
            <w:pPr>
              <w:pStyle w:val="SingleTxt"/>
              <w:tabs>
                <w:tab w:val="clear" w:pos="1267"/>
                <w:tab w:val="left" w:pos="1170"/>
              </w:tabs>
              <w:ind w:left="0" w:right="-50"/>
              <w:jc w:val="right"/>
              <w:rPr>
                <w:sz w:val="17"/>
              </w:rPr>
            </w:pPr>
            <w:r>
              <w:rPr>
                <w:sz w:val="17"/>
              </w:rPr>
              <w:t>12.4</w:t>
            </w:r>
          </w:p>
        </w:tc>
        <w:tc>
          <w:tcPr>
            <w:tcW w:w="774" w:type="dxa"/>
          </w:tcPr>
          <w:p w:rsidR="00000000" w:rsidRDefault="00000000">
            <w:pPr>
              <w:pStyle w:val="SingleTxt"/>
              <w:tabs>
                <w:tab w:val="clear" w:pos="1267"/>
                <w:tab w:val="left" w:pos="1170"/>
              </w:tabs>
              <w:ind w:left="0" w:right="-50"/>
              <w:jc w:val="right"/>
              <w:rPr>
                <w:sz w:val="17"/>
              </w:rPr>
            </w:pPr>
            <w:r>
              <w:rPr>
                <w:sz w:val="17"/>
              </w:rPr>
              <w:t>5.8</w:t>
            </w:r>
          </w:p>
        </w:tc>
        <w:tc>
          <w:tcPr>
            <w:tcW w:w="792" w:type="dxa"/>
          </w:tcPr>
          <w:p w:rsidR="00000000" w:rsidRDefault="00000000">
            <w:pPr>
              <w:pStyle w:val="SingleTxt"/>
              <w:tabs>
                <w:tab w:val="clear" w:pos="1267"/>
                <w:tab w:val="left" w:pos="1170"/>
              </w:tabs>
              <w:ind w:left="0" w:right="-50"/>
              <w:jc w:val="right"/>
              <w:rPr>
                <w:sz w:val="17"/>
              </w:rPr>
            </w:pPr>
            <w:r>
              <w:rPr>
                <w:sz w:val="17"/>
              </w:rPr>
              <w:t>6.6</w:t>
            </w:r>
          </w:p>
        </w:tc>
        <w:tc>
          <w:tcPr>
            <w:tcW w:w="801" w:type="dxa"/>
          </w:tcPr>
          <w:p w:rsidR="00000000" w:rsidRDefault="00000000">
            <w:pPr>
              <w:pStyle w:val="SingleTxt"/>
              <w:tabs>
                <w:tab w:val="clear" w:pos="1267"/>
                <w:tab w:val="left" w:pos="1170"/>
              </w:tabs>
              <w:ind w:left="0" w:right="-50"/>
              <w:jc w:val="right"/>
              <w:rPr>
                <w:sz w:val="17"/>
              </w:rPr>
            </w:pPr>
            <w:r>
              <w:rPr>
                <w:sz w:val="17"/>
              </w:rPr>
              <w:t>53.2</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7.5</w:t>
            </w:r>
          </w:p>
        </w:tc>
        <w:tc>
          <w:tcPr>
            <w:tcW w:w="810" w:type="dxa"/>
          </w:tcPr>
          <w:p w:rsidR="00000000" w:rsidRDefault="00000000">
            <w:pPr>
              <w:pStyle w:val="SingleTxt"/>
              <w:tabs>
                <w:tab w:val="clear" w:pos="1267"/>
                <w:tab w:val="left" w:pos="1170"/>
              </w:tabs>
              <w:ind w:left="0" w:right="-50"/>
              <w:jc w:val="right"/>
              <w:rPr>
                <w:sz w:val="17"/>
              </w:rPr>
            </w:pPr>
            <w:r>
              <w:rPr>
                <w:sz w:val="17"/>
              </w:rPr>
              <w:t>3.6</w:t>
            </w:r>
          </w:p>
        </w:tc>
        <w:tc>
          <w:tcPr>
            <w:tcW w:w="810" w:type="dxa"/>
          </w:tcPr>
          <w:p w:rsidR="00000000" w:rsidRDefault="00000000">
            <w:pPr>
              <w:pStyle w:val="SingleTxt"/>
              <w:tabs>
                <w:tab w:val="clear" w:pos="1267"/>
                <w:tab w:val="left" w:pos="1170"/>
              </w:tabs>
              <w:ind w:left="0" w:right="-50"/>
              <w:jc w:val="right"/>
              <w:rPr>
                <w:sz w:val="17"/>
              </w:rPr>
            </w:pPr>
            <w:r>
              <w:rPr>
                <w:sz w:val="17"/>
              </w:rPr>
              <w:t>3.9</w:t>
            </w:r>
          </w:p>
        </w:tc>
        <w:tc>
          <w:tcPr>
            <w:tcW w:w="778" w:type="dxa"/>
          </w:tcPr>
          <w:p w:rsidR="00000000" w:rsidRDefault="00000000">
            <w:pPr>
              <w:pStyle w:val="SingleTxt"/>
              <w:tabs>
                <w:tab w:val="clear" w:pos="1267"/>
                <w:tab w:val="left" w:pos="1170"/>
              </w:tabs>
              <w:ind w:left="0" w:right="-50"/>
              <w:jc w:val="right"/>
              <w:rPr>
                <w:sz w:val="17"/>
              </w:rPr>
            </w:pPr>
            <w:r>
              <w:rPr>
                <w:sz w:val="17"/>
              </w:rPr>
              <w:t>52.0</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Science, research and extension services</w:t>
            </w:r>
          </w:p>
        </w:tc>
        <w:tc>
          <w:tcPr>
            <w:tcW w:w="729" w:type="dxa"/>
          </w:tcPr>
          <w:p w:rsidR="00000000" w:rsidRDefault="00000000">
            <w:pPr>
              <w:pStyle w:val="SingleTxt"/>
              <w:tabs>
                <w:tab w:val="clear" w:pos="1267"/>
                <w:tab w:val="left" w:pos="1170"/>
              </w:tabs>
              <w:ind w:left="0" w:right="-50"/>
              <w:jc w:val="right"/>
              <w:rPr>
                <w:sz w:val="17"/>
              </w:rPr>
            </w:pPr>
            <w:r>
              <w:rPr>
                <w:sz w:val="17"/>
              </w:rPr>
              <w:t>37.4</w:t>
            </w:r>
          </w:p>
        </w:tc>
        <w:tc>
          <w:tcPr>
            <w:tcW w:w="774" w:type="dxa"/>
          </w:tcPr>
          <w:p w:rsidR="00000000" w:rsidRDefault="00000000">
            <w:pPr>
              <w:pStyle w:val="SingleTxt"/>
              <w:tabs>
                <w:tab w:val="clear" w:pos="1267"/>
                <w:tab w:val="left" w:pos="1170"/>
              </w:tabs>
              <w:ind w:left="0" w:right="-50"/>
              <w:jc w:val="right"/>
              <w:rPr>
                <w:sz w:val="17"/>
              </w:rPr>
            </w:pPr>
            <w:r>
              <w:rPr>
                <w:sz w:val="17"/>
              </w:rPr>
              <w:t>17.3</w:t>
            </w:r>
          </w:p>
        </w:tc>
        <w:tc>
          <w:tcPr>
            <w:tcW w:w="792" w:type="dxa"/>
          </w:tcPr>
          <w:p w:rsidR="00000000" w:rsidRDefault="00000000">
            <w:pPr>
              <w:pStyle w:val="SingleTxt"/>
              <w:tabs>
                <w:tab w:val="clear" w:pos="1267"/>
                <w:tab w:val="left" w:pos="1170"/>
              </w:tabs>
              <w:ind w:left="0" w:right="-50"/>
              <w:jc w:val="right"/>
              <w:rPr>
                <w:sz w:val="17"/>
              </w:rPr>
            </w:pPr>
            <w:r>
              <w:rPr>
                <w:sz w:val="17"/>
              </w:rPr>
              <w:t>20.1</w:t>
            </w:r>
          </w:p>
        </w:tc>
        <w:tc>
          <w:tcPr>
            <w:tcW w:w="801" w:type="dxa"/>
          </w:tcPr>
          <w:p w:rsidR="00000000" w:rsidRDefault="00000000">
            <w:pPr>
              <w:pStyle w:val="SingleTxt"/>
              <w:tabs>
                <w:tab w:val="clear" w:pos="1267"/>
                <w:tab w:val="left" w:pos="1170"/>
              </w:tabs>
              <w:ind w:left="0" w:right="-50"/>
              <w:jc w:val="right"/>
              <w:rPr>
                <w:sz w:val="17"/>
              </w:rPr>
            </w:pPr>
            <w:r>
              <w:rPr>
                <w:sz w:val="17"/>
              </w:rPr>
              <w:t>53.7</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34.1</w:t>
            </w:r>
          </w:p>
        </w:tc>
        <w:tc>
          <w:tcPr>
            <w:tcW w:w="810" w:type="dxa"/>
          </w:tcPr>
          <w:p w:rsidR="00000000" w:rsidRDefault="00000000">
            <w:pPr>
              <w:pStyle w:val="SingleTxt"/>
              <w:tabs>
                <w:tab w:val="clear" w:pos="1267"/>
                <w:tab w:val="left" w:pos="1170"/>
              </w:tabs>
              <w:ind w:left="0" w:right="-50"/>
              <w:jc w:val="right"/>
              <w:rPr>
                <w:sz w:val="17"/>
              </w:rPr>
            </w:pPr>
            <w:r>
              <w:rPr>
                <w:sz w:val="17"/>
              </w:rPr>
              <w:t>15.1</w:t>
            </w:r>
          </w:p>
        </w:tc>
        <w:tc>
          <w:tcPr>
            <w:tcW w:w="810" w:type="dxa"/>
          </w:tcPr>
          <w:p w:rsidR="00000000" w:rsidRDefault="00000000">
            <w:pPr>
              <w:pStyle w:val="SingleTxt"/>
              <w:tabs>
                <w:tab w:val="clear" w:pos="1267"/>
                <w:tab w:val="left" w:pos="1170"/>
              </w:tabs>
              <w:ind w:left="0" w:right="-50"/>
              <w:jc w:val="right"/>
              <w:rPr>
                <w:sz w:val="17"/>
              </w:rPr>
            </w:pPr>
            <w:r>
              <w:rPr>
                <w:sz w:val="17"/>
              </w:rPr>
              <w:t>19.0</w:t>
            </w:r>
          </w:p>
        </w:tc>
        <w:tc>
          <w:tcPr>
            <w:tcW w:w="778" w:type="dxa"/>
          </w:tcPr>
          <w:p w:rsidR="00000000" w:rsidRDefault="00000000">
            <w:pPr>
              <w:pStyle w:val="SingleTxt"/>
              <w:tabs>
                <w:tab w:val="clear" w:pos="1267"/>
                <w:tab w:val="left" w:pos="1170"/>
              </w:tabs>
              <w:ind w:left="0" w:right="-50"/>
              <w:jc w:val="right"/>
              <w:rPr>
                <w:sz w:val="17"/>
              </w:rPr>
            </w:pPr>
            <w:r>
              <w:rPr>
                <w:sz w:val="17"/>
              </w:rPr>
              <w:t>55.7</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Finance, credit, insurance</w:t>
            </w:r>
          </w:p>
        </w:tc>
        <w:tc>
          <w:tcPr>
            <w:tcW w:w="729" w:type="dxa"/>
          </w:tcPr>
          <w:p w:rsidR="00000000" w:rsidRDefault="00000000">
            <w:pPr>
              <w:pStyle w:val="SingleTxt"/>
              <w:tabs>
                <w:tab w:val="clear" w:pos="1267"/>
                <w:tab w:val="left" w:pos="1170"/>
              </w:tabs>
              <w:ind w:left="0" w:right="-50"/>
              <w:jc w:val="right"/>
              <w:rPr>
                <w:sz w:val="17"/>
              </w:rPr>
            </w:pPr>
            <w:r>
              <w:rPr>
                <w:sz w:val="17"/>
              </w:rPr>
              <w:t>47.4</w:t>
            </w:r>
          </w:p>
        </w:tc>
        <w:tc>
          <w:tcPr>
            <w:tcW w:w="774" w:type="dxa"/>
          </w:tcPr>
          <w:p w:rsidR="00000000" w:rsidRDefault="00000000">
            <w:pPr>
              <w:pStyle w:val="SingleTxt"/>
              <w:tabs>
                <w:tab w:val="clear" w:pos="1267"/>
                <w:tab w:val="left" w:pos="1170"/>
              </w:tabs>
              <w:ind w:left="0" w:right="-50"/>
              <w:jc w:val="right"/>
              <w:rPr>
                <w:sz w:val="17"/>
              </w:rPr>
            </w:pPr>
            <w:r>
              <w:rPr>
                <w:sz w:val="17"/>
              </w:rPr>
              <w:t>10.8</w:t>
            </w:r>
          </w:p>
        </w:tc>
        <w:tc>
          <w:tcPr>
            <w:tcW w:w="792" w:type="dxa"/>
          </w:tcPr>
          <w:p w:rsidR="00000000" w:rsidRDefault="00000000">
            <w:pPr>
              <w:pStyle w:val="SingleTxt"/>
              <w:tabs>
                <w:tab w:val="clear" w:pos="1267"/>
                <w:tab w:val="left" w:pos="1170"/>
              </w:tabs>
              <w:ind w:left="0" w:right="-50"/>
              <w:jc w:val="right"/>
              <w:rPr>
                <w:sz w:val="17"/>
              </w:rPr>
            </w:pPr>
            <w:r>
              <w:rPr>
                <w:sz w:val="17"/>
              </w:rPr>
              <w:t>36.6</w:t>
            </w:r>
          </w:p>
        </w:tc>
        <w:tc>
          <w:tcPr>
            <w:tcW w:w="801" w:type="dxa"/>
          </w:tcPr>
          <w:p w:rsidR="00000000" w:rsidRDefault="00000000">
            <w:pPr>
              <w:pStyle w:val="SingleTxt"/>
              <w:tabs>
                <w:tab w:val="clear" w:pos="1267"/>
                <w:tab w:val="left" w:pos="1170"/>
              </w:tabs>
              <w:ind w:left="0" w:right="-50"/>
              <w:jc w:val="right"/>
              <w:rPr>
                <w:sz w:val="17"/>
              </w:rPr>
            </w:pPr>
            <w:r>
              <w:rPr>
                <w:sz w:val="17"/>
              </w:rPr>
              <w:t>77.2</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45</w:t>
            </w:r>
          </w:p>
        </w:tc>
        <w:tc>
          <w:tcPr>
            <w:tcW w:w="810" w:type="dxa"/>
          </w:tcPr>
          <w:p w:rsidR="00000000" w:rsidRDefault="00000000">
            <w:pPr>
              <w:pStyle w:val="SingleTxt"/>
              <w:tabs>
                <w:tab w:val="clear" w:pos="1267"/>
                <w:tab w:val="left" w:pos="1170"/>
              </w:tabs>
              <w:ind w:left="0" w:right="-50"/>
              <w:jc w:val="right"/>
              <w:rPr>
                <w:sz w:val="17"/>
              </w:rPr>
            </w:pPr>
            <w:r>
              <w:rPr>
                <w:sz w:val="17"/>
              </w:rPr>
              <w:t>12.0</w:t>
            </w:r>
          </w:p>
        </w:tc>
        <w:tc>
          <w:tcPr>
            <w:tcW w:w="810" w:type="dxa"/>
          </w:tcPr>
          <w:p w:rsidR="00000000" w:rsidRDefault="00000000">
            <w:pPr>
              <w:pStyle w:val="SingleTxt"/>
              <w:tabs>
                <w:tab w:val="clear" w:pos="1267"/>
                <w:tab w:val="left" w:pos="1170"/>
              </w:tabs>
              <w:ind w:left="0" w:right="-50"/>
              <w:jc w:val="right"/>
              <w:rPr>
                <w:sz w:val="17"/>
              </w:rPr>
            </w:pPr>
            <w:r>
              <w:rPr>
                <w:sz w:val="17"/>
              </w:rPr>
              <w:t>33.0</w:t>
            </w:r>
          </w:p>
        </w:tc>
        <w:tc>
          <w:tcPr>
            <w:tcW w:w="778" w:type="dxa"/>
          </w:tcPr>
          <w:p w:rsidR="00000000" w:rsidRDefault="00000000">
            <w:pPr>
              <w:pStyle w:val="SingleTxt"/>
              <w:tabs>
                <w:tab w:val="clear" w:pos="1267"/>
                <w:tab w:val="left" w:pos="1170"/>
              </w:tabs>
              <w:ind w:left="0" w:right="-50"/>
              <w:jc w:val="right"/>
              <w:rPr>
                <w:sz w:val="17"/>
              </w:rPr>
            </w:pPr>
            <w:r>
              <w:rPr>
                <w:sz w:val="17"/>
              </w:rPr>
              <w:t>73.3</w:t>
            </w:r>
          </w:p>
        </w:tc>
      </w:tr>
      <w:tr w:rsidR="00000000">
        <w:tblPrEx>
          <w:tblCellMar>
            <w:top w:w="0" w:type="dxa"/>
            <w:bottom w:w="0" w:type="dxa"/>
          </w:tblCellMar>
        </w:tblPrEx>
        <w:tc>
          <w:tcPr>
            <w:tcW w:w="3411" w:type="dxa"/>
            <w:tcBorders>
              <w:bottom w:val="single" w:sz="12" w:space="0" w:color="auto"/>
            </w:tcBorders>
          </w:tcPr>
          <w:p w:rsidR="00000000" w:rsidRDefault="00000000">
            <w:pPr>
              <w:pStyle w:val="SingleTxt"/>
              <w:tabs>
                <w:tab w:val="clear" w:pos="1267"/>
                <w:tab w:val="left" w:pos="1170"/>
              </w:tabs>
              <w:ind w:left="0" w:right="-50"/>
              <w:jc w:val="left"/>
              <w:rPr>
                <w:sz w:val="17"/>
              </w:rPr>
            </w:pPr>
            <w:r>
              <w:rPr>
                <w:sz w:val="17"/>
              </w:rPr>
              <w:t>Staffing of government organs</w:t>
            </w:r>
          </w:p>
        </w:tc>
        <w:tc>
          <w:tcPr>
            <w:tcW w:w="729"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144.3</w:t>
            </w:r>
          </w:p>
        </w:tc>
        <w:tc>
          <w:tcPr>
            <w:tcW w:w="774"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72.9</w:t>
            </w:r>
          </w:p>
        </w:tc>
        <w:tc>
          <w:tcPr>
            <w:tcW w:w="792"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71.4</w:t>
            </w:r>
          </w:p>
        </w:tc>
        <w:tc>
          <w:tcPr>
            <w:tcW w:w="801"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49.5</w:t>
            </w:r>
          </w:p>
        </w:tc>
        <w:tc>
          <w:tcPr>
            <w:tcW w:w="243" w:type="dxa"/>
            <w:tcBorders>
              <w:bottom w:val="single" w:sz="12" w:space="0" w:color="auto"/>
            </w:tcBorders>
          </w:tcPr>
          <w:p w:rsidR="00000000" w:rsidRDefault="00000000">
            <w:pPr>
              <w:pStyle w:val="SingleTxt"/>
              <w:tabs>
                <w:tab w:val="clear" w:pos="1267"/>
                <w:tab w:val="left" w:pos="1170"/>
              </w:tabs>
              <w:ind w:left="0" w:right="-50"/>
              <w:jc w:val="right"/>
              <w:rPr>
                <w:sz w:val="17"/>
              </w:rPr>
            </w:pPr>
          </w:p>
        </w:tc>
        <w:tc>
          <w:tcPr>
            <w:tcW w:w="810"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143.1</w:t>
            </w:r>
          </w:p>
        </w:tc>
        <w:tc>
          <w:tcPr>
            <w:tcW w:w="810"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74.7</w:t>
            </w:r>
          </w:p>
        </w:tc>
        <w:tc>
          <w:tcPr>
            <w:tcW w:w="810"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68.4</w:t>
            </w:r>
          </w:p>
        </w:tc>
        <w:tc>
          <w:tcPr>
            <w:tcW w:w="778"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47.8</w:t>
            </w:r>
          </w:p>
        </w:tc>
      </w:tr>
    </w:tbl>
    <w:p w:rsidR="00000000" w:rsidRDefault="00000000">
      <w:pPr>
        <w:tabs>
          <w:tab w:val="left" w:pos="475"/>
          <w:tab w:val="left" w:pos="965"/>
          <w:tab w:val="left" w:pos="1440"/>
          <w:tab w:val="left" w:pos="1915"/>
          <w:tab w:val="left" w:pos="2405"/>
        </w:tabs>
        <w:spacing w:after="120"/>
        <w:jc w:val="both"/>
      </w:pPr>
    </w:p>
    <w:tbl>
      <w:tblPr>
        <w:tblW w:w="0" w:type="auto"/>
        <w:tblInd w:w="2" w:type="dxa"/>
        <w:tblLayout w:type="fixed"/>
        <w:tblLook w:val="0000" w:firstRow="0" w:lastRow="0" w:firstColumn="0" w:lastColumn="0" w:noHBand="0" w:noVBand="0"/>
      </w:tblPr>
      <w:tblGrid>
        <w:gridCol w:w="3411"/>
        <w:gridCol w:w="729"/>
        <w:gridCol w:w="774"/>
        <w:gridCol w:w="792"/>
        <w:gridCol w:w="801"/>
        <w:gridCol w:w="243"/>
        <w:gridCol w:w="810"/>
        <w:gridCol w:w="810"/>
        <w:gridCol w:w="810"/>
        <w:gridCol w:w="778"/>
      </w:tblGrid>
      <w:tr w:rsidR="00000000">
        <w:tblPrEx>
          <w:tblCellMar>
            <w:top w:w="0" w:type="dxa"/>
            <w:bottom w:w="0" w:type="dxa"/>
          </w:tblCellMar>
        </w:tblPrEx>
        <w:trPr>
          <w:cantSplit/>
          <w:tblHeader/>
        </w:trPr>
        <w:tc>
          <w:tcPr>
            <w:tcW w:w="3411" w:type="dxa"/>
            <w:tcBorders>
              <w:top w:val="single" w:sz="4" w:space="0" w:color="auto"/>
            </w:tcBorders>
          </w:tcPr>
          <w:p w:rsidR="00000000" w:rsidRDefault="00000000">
            <w:pPr>
              <w:pStyle w:val="SingleTxt"/>
              <w:tabs>
                <w:tab w:val="clear" w:pos="1267"/>
                <w:tab w:val="left" w:pos="1170"/>
              </w:tabs>
              <w:spacing w:after="0"/>
              <w:ind w:left="0" w:right="-43"/>
              <w:jc w:val="left"/>
              <w:rPr>
                <w:i/>
                <w:sz w:val="14"/>
              </w:rPr>
            </w:pPr>
          </w:p>
        </w:tc>
        <w:tc>
          <w:tcPr>
            <w:tcW w:w="3096" w:type="dxa"/>
            <w:gridSpan w:val="4"/>
            <w:tcBorders>
              <w:top w:val="single" w:sz="4" w:space="0" w:color="auto"/>
              <w:bottom w:val="single" w:sz="4" w:space="0" w:color="auto"/>
            </w:tcBorders>
          </w:tcPr>
          <w:p w:rsidR="00000000" w:rsidRDefault="00000000">
            <w:pPr>
              <w:pStyle w:val="SingleTxt"/>
              <w:tabs>
                <w:tab w:val="clear" w:pos="1267"/>
                <w:tab w:val="left" w:pos="1170"/>
              </w:tabs>
              <w:spacing w:after="0"/>
              <w:ind w:left="0" w:right="-43"/>
              <w:jc w:val="center"/>
              <w:rPr>
                <w:i/>
                <w:sz w:val="14"/>
              </w:rPr>
            </w:pPr>
            <w:r>
              <w:rPr>
                <w:i/>
                <w:sz w:val="14"/>
              </w:rPr>
              <w:t>1996</w:t>
            </w:r>
          </w:p>
        </w:tc>
        <w:tc>
          <w:tcPr>
            <w:tcW w:w="243" w:type="dxa"/>
            <w:tcBorders>
              <w:top w:val="single" w:sz="4" w:space="0" w:color="auto"/>
            </w:tcBorders>
          </w:tcPr>
          <w:p w:rsidR="00000000" w:rsidRDefault="00000000">
            <w:pPr>
              <w:pStyle w:val="SingleTxt"/>
              <w:tabs>
                <w:tab w:val="clear" w:pos="1267"/>
                <w:tab w:val="left" w:pos="1170"/>
              </w:tabs>
              <w:spacing w:after="0"/>
              <w:ind w:left="0" w:right="-43"/>
              <w:jc w:val="right"/>
              <w:rPr>
                <w:i/>
                <w:sz w:val="14"/>
              </w:rPr>
            </w:pPr>
          </w:p>
        </w:tc>
        <w:tc>
          <w:tcPr>
            <w:tcW w:w="3208" w:type="dxa"/>
            <w:gridSpan w:val="4"/>
            <w:tcBorders>
              <w:top w:val="single" w:sz="4" w:space="0" w:color="auto"/>
              <w:bottom w:val="single" w:sz="4" w:space="0" w:color="auto"/>
            </w:tcBorders>
          </w:tcPr>
          <w:p w:rsidR="00000000" w:rsidRDefault="00000000">
            <w:pPr>
              <w:pStyle w:val="SingleTxt"/>
              <w:tabs>
                <w:tab w:val="clear" w:pos="1267"/>
                <w:tab w:val="left" w:pos="1170"/>
              </w:tabs>
              <w:spacing w:after="0"/>
              <w:ind w:left="0" w:right="-43"/>
              <w:jc w:val="center"/>
              <w:rPr>
                <w:i/>
                <w:sz w:val="14"/>
              </w:rPr>
            </w:pPr>
            <w:r>
              <w:rPr>
                <w:i/>
                <w:sz w:val="14"/>
              </w:rPr>
              <w:t>1997</w:t>
            </w:r>
          </w:p>
        </w:tc>
      </w:tr>
      <w:tr w:rsidR="00000000">
        <w:tblPrEx>
          <w:tblCellMar>
            <w:top w:w="0" w:type="dxa"/>
            <w:bottom w:w="0" w:type="dxa"/>
          </w:tblCellMar>
        </w:tblPrEx>
        <w:trPr>
          <w:cantSplit/>
          <w:tblHeader/>
        </w:trPr>
        <w:tc>
          <w:tcPr>
            <w:tcW w:w="3411" w:type="dxa"/>
          </w:tcPr>
          <w:p w:rsidR="00000000" w:rsidRDefault="00000000">
            <w:pPr>
              <w:pStyle w:val="SingleTxt"/>
              <w:tabs>
                <w:tab w:val="clear" w:pos="1267"/>
                <w:tab w:val="left" w:pos="1170"/>
              </w:tabs>
              <w:spacing w:after="0"/>
              <w:ind w:left="0" w:right="-43"/>
              <w:jc w:val="left"/>
              <w:rPr>
                <w:i/>
                <w:sz w:val="14"/>
              </w:rPr>
            </w:pPr>
          </w:p>
        </w:tc>
        <w:tc>
          <w:tcPr>
            <w:tcW w:w="729" w:type="dxa"/>
            <w:tcBorders>
              <w:top w:val="single" w:sz="4" w:space="0" w:color="auto"/>
            </w:tcBorders>
          </w:tcPr>
          <w:p w:rsidR="00000000" w:rsidRDefault="00000000">
            <w:pPr>
              <w:pStyle w:val="SingleTxt"/>
              <w:tabs>
                <w:tab w:val="clear" w:pos="1267"/>
                <w:tab w:val="left" w:pos="1170"/>
              </w:tabs>
              <w:spacing w:after="0"/>
              <w:ind w:left="0" w:right="-43"/>
              <w:jc w:val="right"/>
              <w:rPr>
                <w:i/>
                <w:sz w:val="14"/>
              </w:rPr>
            </w:pPr>
            <w:r>
              <w:rPr>
                <w:i/>
                <w:sz w:val="14"/>
              </w:rPr>
              <w:t>Total</w:t>
            </w:r>
          </w:p>
        </w:tc>
        <w:tc>
          <w:tcPr>
            <w:tcW w:w="1566" w:type="dxa"/>
            <w:gridSpan w:val="2"/>
            <w:tcBorders>
              <w:top w:val="single" w:sz="4" w:space="0" w:color="auto"/>
              <w:bottom w:val="single" w:sz="4" w:space="0" w:color="auto"/>
            </w:tcBorders>
          </w:tcPr>
          <w:p w:rsidR="00000000" w:rsidRDefault="00000000">
            <w:pPr>
              <w:pStyle w:val="SingleTxt"/>
              <w:tabs>
                <w:tab w:val="clear" w:pos="1267"/>
                <w:tab w:val="left" w:pos="1170"/>
              </w:tabs>
              <w:spacing w:after="0"/>
              <w:ind w:left="0" w:right="-43"/>
              <w:jc w:val="center"/>
              <w:rPr>
                <w:i/>
                <w:sz w:val="14"/>
              </w:rPr>
            </w:pPr>
            <w:r>
              <w:rPr>
                <w:i/>
                <w:sz w:val="14"/>
              </w:rPr>
              <w:t>Including</w:t>
            </w:r>
          </w:p>
        </w:tc>
        <w:tc>
          <w:tcPr>
            <w:tcW w:w="801" w:type="dxa"/>
            <w:tcBorders>
              <w:top w:val="single" w:sz="4" w:space="0" w:color="auto"/>
            </w:tcBorders>
          </w:tcPr>
          <w:p w:rsidR="00000000" w:rsidRDefault="00000000">
            <w:pPr>
              <w:pStyle w:val="SingleTxt"/>
              <w:tabs>
                <w:tab w:val="clear" w:pos="1267"/>
                <w:tab w:val="left" w:pos="1170"/>
              </w:tabs>
              <w:spacing w:after="0"/>
              <w:ind w:left="0" w:right="-43"/>
              <w:jc w:val="right"/>
              <w:rPr>
                <w:i/>
                <w:sz w:val="14"/>
              </w:rPr>
            </w:pPr>
          </w:p>
        </w:tc>
        <w:tc>
          <w:tcPr>
            <w:tcW w:w="243" w:type="dxa"/>
          </w:tcPr>
          <w:p w:rsidR="00000000" w:rsidRDefault="00000000">
            <w:pPr>
              <w:pStyle w:val="SingleTxt"/>
              <w:tabs>
                <w:tab w:val="clear" w:pos="1267"/>
                <w:tab w:val="left" w:pos="1170"/>
              </w:tabs>
              <w:spacing w:after="0"/>
              <w:ind w:left="0" w:right="-43"/>
              <w:jc w:val="right"/>
              <w:rPr>
                <w:i/>
                <w:sz w:val="14"/>
              </w:rPr>
            </w:pPr>
          </w:p>
        </w:tc>
        <w:tc>
          <w:tcPr>
            <w:tcW w:w="810" w:type="dxa"/>
            <w:tcBorders>
              <w:top w:val="single" w:sz="4" w:space="0" w:color="auto"/>
            </w:tcBorders>
          </w:tcPr>
          <w:p w:rsidR="00000000" w:rsidRDefault="00000000">
            <w:pPr>
              <w:pStyle w:val="SingleTxt"/>
              <w:tabs>
                <w:tab w:val="clear" w:pos="1267"/>
                <w:tab w:val="left" w:pos="1170"/>
              </w:tabs>
              <w:spacing w:after="0"/>
              <w:ind w:left="0" w:right="-43"/>
              <w:jc w:val="right"/>
              <w:rPr>
                <w:i/>
                <w:sz w:val="14"/>
              </w:rPr>
            </w:pPr>
            <w:r>
              <w:rPr>
                <w:i/>
                <w:sz w:val="14"/>
              </w:rPr>
              <w:t>Total</w:t>
            </w:r>
          </w:p>
        </w:tc>
        <w:tc>
          <w:tcPr>
            <w:tcW w:w="1620" w:type="dxa"/>
            <w:gridSpan w:val="2"/>
            <w:tcBorders>
              <w:top w:val="single" w:sz="4" w:space="0" w:color="auto"/>
              <w:left w:val="nil"/>
              <w:bottom w:val="single" w:sz="4" w:space="0" w:color="auto"/>
            </w:tcBorders>
          </w:tcPr>
          <w:p w:rsidR="00000000" w:rsidRDefault="00000000">
            <w:pPr>
              <w:pStyle w:val="SingleTxt"/>
              <w:tabs>
                <w:tab w:val="clear" w:pos="1267"/>
                <w:tab w:val="left" w:pos="1170"/>
              </w:tabs>
              <w:spacing w:after="0"/>
              <w:ind w:left="0" w:right="-43"/>
              <w:jc w:val="center"/>
              <w:rPr>
                <w:i/>
                <w:sz w:val="14"/>
              </w:rPr>
            </w:pPr>
            <w:r>
              <w:rPr>
                <w:i/>
                <w:sz w:val="14"/>
              </w:rPr>
              <w:t>Including</w:t>
            </w:r>
          </w:p>
        </w:tc>
        <w:tc>
          <w:tcPr>
            <w:tcW w:w="778" w:type="dxa"/>
            <w:tcBorders>
              <w:top w:val="single" w:sz="4" w:space="0" w:color="auto"/>
            </w:tcBorders>
          </w:tcPr>
          <w:p w:rsidR="00000000" w:rsidRDefault="00000000">
            <w:pPr>
              <w:pStyle w:val="SingleTxt"/>
              <w:tabs>
                <w:tab w:val="clear" w:pos="1267"/>
                <w:tab w:val="left" w:pos="1170"/>
              </w:tabs>
              <w:spacing w:after="0"/>
              <w:ind w:left="0" w:right="-43"/>
              <w:jc w:val="right"/>
              <w:rPr>
                <w:i/>
                <w:sz w:val="14"/>
              </w:rPr>
            </w:pPr>
          </w:p>
        </w:tc>
      </w:tr>
      <w:tr w:rsidR="00000000">
        <w:tblPrEx>
          <w:tblCellMar>
            <w:top w:w="0" w:type="dxa"/>
            <w:bottom w:w="0" w:type="dxa"/>
          </w:tblCellMar>
        </w:tblPrEx>
        <w:trPr>
          <w:tblHeader/>
        </w:trPr>
        <w:tc>
          <w:tcPr>
            <w:tcW w:w="3411" w:type="dxa"/>
            <w:tcBorders>
              <w:bottom w:val="single" w:sz="12" w:space="0" w:color="auto"/>
            </w:tcBorders>
          </w:tcPr>
          <w:p w:rsidR="00000000" w:rsidRDefault="00000000">
            <w:pPr>
              <w:pStyle w:val="SingleTxt"/>
              <w:tabs>
                <w:tab w:val="clear" w:pos="1267"/>
                <w:tab w:val="left" w:pos="1170"/>
              </w:tabs>
              <w:spacing w:after="0"/>
              <w:ind w:left="0" w:right="-43"/>
              <w:jc w:val="left"/>
              <w:rPr>
                <w:i/>
                <w:sz w:val="14"/>
              </w:rPr>
            </w:pPr>
          </w:p>
        </w:tc>
        <w:tc>
          <w:tcPr>
            <w:tcW w:w="729" w:type="dxa"/>
            <w:tcBorders>
              <w:bottom w:val="single" w:sz="12" w:space="0" w:color="auto"/>
            </w:tcBorders>
          </w:tcPr>
          <w:p w:rsidR="00000000" w:rsidRDefault="00000000">
            <w:pPr>
              <w:pStyle w:val="SingleTxt"/>
              <w:tabs>
                <w:tab w:val="clear" w:pos="1267"/>
                <w:tab w:val="left" w:pos="1170"/>
              </w:tabs>
              <w:spacing w:after="0"/>
              <w:ind w:left="0" w:right="-43"/>
              <w:jc w:val="right"/>
              <w:rPr>
                <w:i/>
                <w:sz w:val="14"/>
              </w:rPr>
            </w:pPr>
          </w:p>
        </w:tc>
        <w:tc>
          <w:tcPr>
            <w:tcW w:w="774" w:type="dxa"/>
            <w:tcBorders>
              <w:top w:val="single" w:sz="4" w:space="0" w:color="auto"/>
              <w:bottom w:val="single" w:sz="12" w:space="0" w:color="auto"/>
            </w:tcBorders>
          </w:tcPr>
          <w:p w:rsidR="00000000" w:rsidRDefault="00000000">
            <w:pPr>
              <w:pStyle w:val="SingleTxt"/>
              <w:tabs>
                <w:tab w:val="clear" w:pos="1267"/>
                <w:tab w:val="left" w:pos="1170"/>
              </w:tabs>
              <w:spacing w:after="0"/>
              <w:ind w:left="0" w:right="-43"/>
              <w:jc w:val="right"/>
              <w:rPr>
                <w:i/>
                <w:sz w:val="14"/>
              </w:rPr>
            </w:pPr>
            <w:r>
              <w:rPr>
                <w:i/>
                <w:sz w:val="14"/>
              </w:rPr>
              <w:t>Men</w:t>
            </w:r>
          </w:p>
        </w:tc>
        <w:tc>
          <w:tcPr>
            <w:tcW w:w="792" w:type="dxa"/>
            <w:tcBorders>
              <w:top w:val="single" w:sz="4" w:space="0" w:color="auto"/>
              <w:bottom w:val="single" w:sz="12" w:space="0" w:color="auto"/>
            </w:tcBorders>
          </w:tcPr>
          <w:p w:rsidR="00000000" w:rsidRDefault="00000000">
            <w:pPr>
              <w:pStyle w:val="SingleTxt"/>
              <w:tabs>
                <w:tab w:val="clear" w:pos="1267"/>
                <w:tab w:val="left" w:pos="1170"/>
              </w:tabs>
              <w:spacing w:after="0"/>
              <w:ind w:left="0" w:right="-43"/>
              <w:jc w:val="right"/>
              <w:rPr>
                <w:i/>
                <w:sz w:val="14"/>
              </w:rPr>
            </w:pPr>
            <w:r>
              <w:rPr>
                <w:i/>
                <w:sz w:val="14"/>
              </w:rPr>
              <w:t>Women</w:t>
            </w:r>
          </w:p>
        </w:tc>
        <w:tc>
          <w:tcPr>
            <w:tcW w:w="801" w:type="dxa"/>
            <w:tcBorders>
              <w:bottom w:val="single" w:sz="12" w:space="0" w:color="auto"/>
            </w:tcBorders>
          </w:tcPr>
          <w:p w:rsidR="00000000" w:rsidRDefault="00000000">
            <w:pPr>
              <w:pStyle w:val="SingleTxt"/>
              <w:tabs>
                <w:tab w:val="clear" w:pos="1267"/>
                <w:tab w:val="left" w:pos="1170"/>
              </w:tabs>
              <w:spacing w:after="0"/>
              <w:ind w:left="0" w:right="-43"/>
              <w:jc w:val="right"/>
              <w:rPr>
                <w:i/>
                <w:sz w:val="14"/>
              </w:rPr>
            </w:pPr>
            <w:r>
              <w:rPr>
                <w:i/>
                <w:sz w:val="14"/>
              </w:rPr>
              <w:t>Women %</w:t>
            </w:r>
          </w:p>
        </w:tc>
        <w:tc>
          <w:tcPr>
            <w:tcW w:w="243" w:type="dxa"/>
            <w:tcBorders>
              <w:bottom w:val="single" w:sz="12" w:space="0" w:color="auto"/>
            </w:tcBorders>
          </w:tcPr>
          <w:p w:rsidR="00000000" w:rsidRDefault="00000000">
            <w:pPr>
              <w:pStyle w:val="SingleTxt"/>
              <w:tabs>
                <w:tab w:val="clear" w:pos="1267"/>
                <w:tab w:val="left" w:pos="1170"/>
              </w:tabs>
              <w:spacing w:after="0"/>
              <w:ind w:left="0" w:right="-43"/>
              <w:jc w:val="right"/>
              <w:rPr>
                <w:i/>
                <w:sz w:val="14"/>
              </w:rPr>
            </w:pPr>
          </w:p>
        </w:tc>
        <w:tc>
          <w:tcPr>
            <w:tcW w:w="810" w:type="dxa"/>
            <w:tcBorders>
              <w:bottom w:val="single" w:sz="12" w:space="0" w:color="auto"/>
            </w:tcBorders>
          </w:tcPr>
          <w:p w:rsidR="00000000" w:rsidRDefault="00000000">
            <w:pPr>
              <w:pStyle w:val="SingleTxt"/>
              <w:tabs>
                <w:tab w:val="clear" w:pos="1267"/>
                <w:tab w:val="left" w:pos="1170"/>
              </w:tabs>
              <w:spacing w:after="0"/>
              <w:ind w:left="0" w:right="-43"/>
              <w:jc w:val="right"/>
              <w:rPr>
                <w:i/>
                <w:sz w:val="14"/>
              </w:rPr>
            </w:pPr>
          </w:p>
        </w:tc>
        <w:tc>
          <w:tcPr>
            <w:tcW w:w="810" w:type="dxa"/>
            <w:tcBorders>
              <w:top w:val="single" w:sz="4" w:space="0" w:color="auto"/>
              <w:bottom w:val="single" w:sz="12" w:space="0" w:color="auto"/>
            </w:tcBorders>
          </w:tcPr>
          <w:p w:rsidR="00000000" w:rsidRDefault="00000000">
            <w:pPr>
              <w:pStyle w:val="SingleTxt"/>
              <w:tabs>
                <w:tab w:val="clear" w:pos="1267"/>
                <w:tab w:val="left" w:pos="1170"/>
              </w:tabs>
              <w:spacing w:after="0"/>
              <w:ind w:left="0" w:right="-43"/>
              <w:jc w:val="right"/>
              <w:rPr>
                <w:i/>
                <w:sz w:val="14"/>
              </w:rPr>
            </w:pPr>
            <w:r>
              <w:rPr>
                <w:i/>
                <w:sz w:val="14"/>
              </w:rPr>
              <w:t>Men</w:t>
            </w:r>
          </w:p>
        </w:tc>
        <w:tc>
          <w:tcPr>
            <w:tcW w:w="810" w:type="dxa"/>
            <w:tcBorders>
              <w:top w:val="single" w:sz="4" w:space="0" w:color="auto"/>
              <w:bottom w:val="single" w:sz="12" w:space="0" w:color="auto"/>
            </w:tcBorders>
          </w:tcPr>
          <w:p w:rsidR="00000000" w:rsidRDefault="00000000">
            <w:pPr>
              <w:pStyle w:val="SingleTxt"/>
              <w:tabs>
                <w:tab w:val="clear" w:pos="1267"/>
                <w:tab w:val="left" w:pos="1170"/>
              </w:tabs>
              <w:spacing w:after="0"/>
              <w:ind w:left="0" w:right="-43"/>
              <w:jc w:val="right"/>
              <w:rPr>
                <w:i/>
                <w:sz w:val="14"/>
              </w:rPr>
            </w:pPr>
            <w:r>
              <w:rPr>
                <w:i/>
                <w:sz w:val="14"/>
              </w:rPr>
              <w:t>Women</w:t>
            </w:r>
          </w:p>
        </w:tc>
        <w:tc>
          <w:tcPr>
            <w:tcW w:w="778" w:type="dxa"/>
            <w:tcBorders>
              <w:bottom w:val="single" w:sz="12" w:space="0" w:color="auto"/>
            </w:tcBorders>
          </w:tcPr>
          <w:p w:rsidR="00000000" w:rsidRDefault="00000000">
            <w:pPr>
              <w:pStyle w:val="SingleTxt"/>
              <w:tabs>
                <w:tab w:val="clear" w:pos="1267"/>
                <w:tab w:val="left" w:pos="1170"/>
              </w:tabs>
              <w:spacing w:after="0"/>
              <w:ind w:left="0" w:right="-43"/>
              <w:jc w:val="right"/>
              <w:rPr>
                <w:i/>
                <w:sz w:val="14"/>
              </w:rPr>
            </w:pPr>
            <w:r>
              <w:rPr>
                <w:i/>
                <w:sz w:val="14"/>
              </w:rPr>
              <w:t>Women %</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Total, all branches of economy</w:t>
            </w:r>
          </w:p>
        </w:tc>
        <w:tc>
          <w:tcPr>
            <w:tcW w:w="729" w:type="dxa"/>
          </w:tcPr>
          <w:p w:rsidR="00000000" w:rsidRDefault="00000000">
            <w:pPr>
              <w:pStyle w:val="SingleTxt"/>
              <w:tabs>
                <w:tab w:val="clear" w:pos="1267"/>
                <w:tab w:val="left" w:pos="1170"/>
              </w:tabs>
              <w:ind w:left="0" w:right="-50"/>
              <w:jc w:val="right"/>
              <w:rPr>
                <w:sz w:val="17"/>
              </w:rPr>
            </w:pPr>
            <w:r>
              <w:rPr>
                <w:sz w:val="17"/>
              </w:rPr>
              <w:t>4 112.2</w:t>
            </w:r>
          </w:p>
        </w:tc>
        <w:tc>
          <w:tcPr>
            <w:tcW w:w="774" w:type="dxa"/>
          </w:tcPr>
          <w:p w:rsidR="00000000" w:rsidRDefault="00000000">
            <w:pPr>
              <w:pStyle w:val="SingleTxt"/>
              <w:tabs>
                <w:tab w:val="clear" w:pos="1267"/>
                <w:tab w:val="left" w:pos="1170"/>
              </w:tabs>
              <w:ind w:left="0" w:right="-50"/>
              <w:jc w:val="right"/>
              <w:rPr>
                <w:sz w:val="17"/>
              </w:rPr>
            </w:pPr>
            <w:r>
              <w:rPr>
                <w:sz w:val="17"/>
              </w:rPr>
              <w:t>2 203.4</w:t>
            </w:r>
          </w:p>
        </w:tc>
        <w:tc>
          <w:tcPr>
            <w:tcW w:w="792" w:type="dxa"/>
          </w:tcPr>
          <w:p w:rsidR="00000000" w:rsidRDefault="00000000">
            <w:pPr>
              <w:pStyle w:val="SingleTxt"/>
              <w:tabs>
                <w:tab w:val="clear" w:pos="1267"/>
                <w:tab w:val="left" w:pos="1170"/>
              </w:tabs>
              <w:ind w:left="0" w:right="-50"/>
              <w:jc w:val="right"/>
              <w:rPr>
                <w:sz w:val="17"/>
              </w:rPr>
            </w:pPr>
            <w:r>
              <w:rPr>
                <w:sz w:val="17"/>
              </w:rPr>
              <w:t>1 908.8</w:t>
            </w:r>
          </w:p>
        </w:tc>
        <w:tc>
          <w:tcPr>
            <w:tcW w:w="801" w:type="dxa"/>
          </w:tcPr>
          <w:p w:rsidR="00000000" w:rsidRDefault="00000000">
            <w:pPr>
              <w:pStyle w:val="SingleTxt"/>
              <w:tabs>
                <w:tab w:val="clear" w:pos="1267"/>
                <w:tab w:val="left" w:pos="1170"/>
              </w:tabs>
              <w:ind w:left="0" w:right="-50"/>
              <w:jc w:val="right"/>
              <w:rPr>
                <w:sz w:val="17"/>
              </w:rPr>
            </w:pPr>
            <w:r>
              <w:rPr>
                <w:sz w:val="17"/>
              </w:rPr>
              <w:t>46.4</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3 395</w:t>
            </w:r>
          </w:p>
        </w:tc>
        <w:tc>
          <w:tcPr>
            <w:tcW w:w="810" w:type="dxa"/>
          </w:tcPr>
          <w:p w:rsidR="00000000" w:rsidRDefault="00000000">
            <w:pPr>
              <w:pStyle w:val="SingleTxt"/>
              <w:tabs>
                <w:tab w:val="clear" w:pos="1267"/>
                <w:tab w:val="left" w:pos="1170"/>
              </w:tabs>
              <w:ind w:left="0" w:right="-50"/>
              <w:jc w:val="right"/>
              <w:rPr>
                <w:sz w:val="17"/>
              </w:rPr>
            </w:pPr>
            <w:r>
              <w:rPr>
                <w:sz w:val="17"/>
              </w:rPr>
              <w:t>1 847.4</w:t>
            </w:r>
          </w:p>
        </w:tc>
        <w:tc>
          <w:tcPr>
            <w:tcW w:w="810" w:type="dxa"/>
          </w:tcPr>
          <w:p w:rsidR="00000000" w:rsidRDefault="00000000">
            <w:pPr>
              <w:pStyle w:val="SingleTxt"/>
              <w:tabs>
                <w:tab w:val="clear" w:pos="1267"/>
                <w:tab w:val="left" w:pos="1170"/>
              </w:tabs>
              <w:ind w:left="0" w:right="-50"/>
              <w:jc w:val="right"/>
              <w:rPr>
                <w:sz w:val="17"/>
              </w:rPr>
            </w:pPr>
            <w:r>
              <w:rPr>
                <w:sz w:val="17"/>
              </w:rPr>
              <w:t>1 547.6</w:t>
            </w:r>
          </w:p>
        </w:tc>
        <w:tc>
          <w:tcPr>
            <w:tcW w:w="778" w:type="dxa"/>
          </w:tcPr>
          <w:p w:rsidR="00000000" w:rsidRDefault="00000000">
            <w:pPr>
              <w:pStyle w:val="SingleTxt"/>
              <w:tabs>
                <w:tab w:val="clear" w:pos="1267"/>
                <w:tab w:val="left" w:pos="1170"/>
              </w:tabs>
              <w:ind w:left="0" w:right="-50"/>
              <w:jc w:val="right"/>
              <w:rPr>
                <w:sz w:val="17"/>
              </w:rPr>
            </w:pPr>
            <w:r>
              <w:rPr>
                <w:sz w:val="17"/>
              </w:rPr>
              <w:t>45.6</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b/>
                <w:sz w:val="17"/>
              </w:rPr>
              <w:t>Including:</w:t>
            </w:r>
            <w:r>
              <w:rPr>
                <w:sz w:val="17"/>
              </w:rPr>
              <w:t xml:space="preserve"> Industry</w:t>
            </w:r>
          </w:p>
        </w:tc>
        <w:tc>
          <w:tcPr>
            <w:tcW w:w="729" w:type="dxa"/>
          </w:tcPr>
          <w:p w:rsidR="00000000" w:rsidRDefault="00000000">
            <w:pPr>
              <w:pStyle w:val="SingleTxt"/>
              <w:tabs>
                <w:tab w:val="clear" w:pos="1267"/>
                <w:tab w:val="left" w:pos="1170"/>
              </w:tabs>
              <w:ind w:left="0" w:right="-50"/>
              <w:jc w:val="right"/>
              <w:rPr>
                <w:sz w:val="17"/>
              </w:rPr>
            </w:pPr>
            <w:r>
              <w:rPr>
                <w:sz w:val="17"/>
              </w:rPr>
              <w:t>864.3</w:t>
            </w:r>
          </w:p>
        </w:tc>
        <w:tc>
          <w:tcPr>
            <w:tcW w:w="774" w:type="dxa"/>
          </w:tcPr>
          <w:p w:rsidR="00000000" w:rsidRDefault="00000000">
            <w:pPr>
              <w:pStyle w:val="SingleTxt"/>
              <w:tabs>
                <w:tab w:val="clear" w:pos="1267"/>
                <w:tab w:val="left" w:pos="1170"/>
              </w:tabs>
              <w:ind w:left="0" w:right="-50"/>
              <w:jc w:val="right"/>
              <w:rPr>
                <w:sz w:val="17"/>
              </w:rPr>
            </w:pPr>
            <w:r>
              <w:rPr>
                <w:sz w:val="17"/>
              </w:rPr>
              <w:t>518.7</w:t>
            </w:r>
          </w:p>
        </w:tc>
        <w:tc>
          <w:tcPr>
            <w:tcW w:w="792" w:type="dxa"/>
          </w:tcPr>
          <w:p w:rsidR="00000000" w:rsidRDefault="00000000">
            <w:pPr>
              <w:pStyle w:val="SingleTxt"/>
              <w:tabs>
                <w:tab w:val="clear" w:pos="1267"/>
                <w:tab w:val="left" w:pos="1170"/>
              </w:tabs>
              <w:ind w:left="0" w:right="-50"/>
              <w:jc w:val="right"/>
              <w:rPr>
                <w:sz w:val="17"/>
              </w:rPr>
            </w:pPr>
            <w:r>
              <w:rPr>
                <w:sz w:val="17"/>
              </w:rPr>
              <w:t>345.6</w:t>
            </w:r>
          </w:p>
        </w:tc>
        <w:tc>
          <w:tcPr>
            <w:tcW w:w="801" w:type="dxa"/>
          </w:tcPr>
          <w:p w:rsidR="00000000" w:rsidRDefault="00000000">
            <w:pPr>
              <w:pStyle w:val="SingleTxt"/>
              <w:tabs>
                <w:tab w:val="clear" w:pos="1267"/>
                <w:tab w:val="left" w:pos="1170"/>
              </w:tabs>
              <w:ind w:left="0" w:right="-50"/>
              <w:jc w:val="right"/>
              <w:rPr>
                <w:sz w:val="17"/>
              </w:rPr>
            </w:pPr>
            <w:r>
              <w:rPr>
                <w:sz w:val="17"/>
              </w:rPr>
              <w:t>40.0</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762.7</w:t>
            </w:r>
          </w:p>
        </w:tc>
        <w:tc>
          <w:tcPr>
            <w:tcW w:w="810" w:type="dxa"/>
          </w:tcPr>
          <w:p w:rsidR="00000000" w:rsidRDefault="00000000">
            <w:pPr>
              <w:pStyle w:val="SingleTxt"/>
              <w:tabs>
                <w:tab w:val="clear" w:pos="1267"/>
                <w:tab w:val="left" w:pos="1170"/>
              </w:tabs>
              <w:ind w:left="0" w:right="-50"/>
              <w:jc w:val="right"/>
              <w:rPr>
                <w:sz w:val="17"/>
              </w:rPr>
            </w:pPr>
            <w:r>
              <w:rPr>
                <w:sz w:val="17"/>
              </w:rPr>
              <w:t>478.9</w:t>
            </w:r>
          </w:p>
        </w:tc>
        <w:tc>
          <w:tcPr>
            <w:tcW w:w="810" w:type="dxa"/>
          </w:tcPr>
          <w:p w:rsidR="00000000" w:rsidRDefault="00000000">
            <w:pPr>
              <w:pStyle w:val="SingleTxt"/>
              <w:tabs>
                <w:tab w:val="clear" w:pos="1267"/>
                <w:tab w:val="left" w:pos="1170"/>
              </w:tabs>
              <w:ind w:left="0" w:right="-50"/>
              <w:jc w:val="right"/>
              <w:rPr>
                <w:sz w:val="17"/>
              </w:rPr>
            </w:pPr>
            <w:r>
              <w:rPr>
                <w:sz w:val="17"/>
              </w:rPr>
              <w:t>283.8</w:t>
            </w:r>
          </w:p>
        </w:tc>
        <w:tc>
          <w:tcPr>
            <w:tcW w:w="778" w:type="dxa"/>
          </w:tcPr>
          <w:p w:rsidR="00000000" w:rsidRDefault="00000000">
            <w:pPr>
              <w:pStyle w:val="SingleTxt"/>
              <w:tabs>
                <w:tab w:val="clear" w:pos="1267"/>
                <w:tab w:val="left" w:pos="1170"/>
              </w:tabs>
              <w:ind w:left="0" w:right="-50"/>
              <w:jc w:val="right"/>
              <w:rPr>
                <w:sz w:val="17"/>
              </w:rPr>
            </w:pPr>
            <w:r>
              <w:rPr>
                <w:sz w:val="17"/>
              </w:rPr>
              <w:t>37.2</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Agriculture</w:t>
            </w:r>
          </w:p>
        </w:tc>
        <w:tc>
          <w:tcPr>
            <w:tcW w:w="729" w:type="dxa"/>
          </w:tcPr>
          <w:p w:rsidR="00000000" w:rsidRDefault="00000000">
            <w:pPr>
              <w:pStyle w:val="SingleTxt"/>
              <w:tabs>
                <w:tab w:val="clear" w:pos="1267"/>
                <w:tab w:val="left" w:pos="1170"/>
              </w:tabs>
              <w:ind w:left="0" w:right="-50"/>
              <w:jc w:val="right"/>
              <w:rPr>
                <w:sz w:val="17"/>
              </w:rPr>
            </w:pPr>
            <w:r>
              <w:rPr>
                <w:sz w:val="17"/>
              </w:rPr>
              <w:t>932.8</w:t>
            </w:r>
          </w:p>
        </w:tc>
        <w:tc>
          <w:tcPr>
            <w:tcW w:w="774" w:type="dxa"/>
          </w:tcPr>
          <w:p w:rsidR="00000000" w:rsidRDefault="00000000">
            <w:pPr>
              <w:pStyle w:val="SingleTxt"/>
              <w:tabs>
                <w:tab w:val="clear" w:pos="1267"/>
                <w:tab w:val="left" w:pos="1170"/>
              </w:tabs>
              <w:ind w:left="0" w:right="-50"/>
              <w:jc w:val="right"/>
              <w:rPr>
                <w:sz w:val="17"/>
              </w:rPr>
            </w:pPr>
            <w:r>
              <w:rPr>
                <w:sz w:val="17"/>
              </w:rPr>
              <w:t>661.6</w:t>
            </w:r>
          </w:p>
        </w:tc>
        <w:tc>
          <w:tcPr>
            <w:tcW w:w="792" w:type="dxa"/>
          </w:tcPr>
          <w:p w:rsidR="00000000" w:rsidRDefault="00000000">
            <w:pPr>
              <w:pStyle w:val="SingleTxt"/>
              <w:tabs>
                <w:tab w:val="clear" w:pos="1267"/>
                <w:tab w:val="left" w:pos="1170"/>
              </w:tabs>
              <w:ind w:left="0" w:right="-50"/>
              <w:jc w:val="right"/>
              <w:rPr>
                <w:sz w:val="17"/>
              </w:rPr>
            </w:pPr>
            <w:r>
              <w:rPr>
                <w:sz w:val="17"/>
              </w:rPr>
              <w:t>271.2</w:t>
            </w:r>
          </w:p>
        </w:tc>
        <w:tc>
          <w:tcPr>
            <w:tcW w:w="801" w:type="dxa"/>
          </w:tcPr>
          <w:p w:rsidR="00000000" w:rsidRDefault="00000000">
            <w:pPr>
              <w:pStyle w:val="SingleTxt"/>
              <w:tabs>
                <w:tab w:val="clear" w:pos="1267"/>
                <w:tab w:val="left" w:pos="1170"/>
              </w:tabs>
              <w:ind w:left="0" w:right="-50"/>
              <w:jc w:val="right"/>
              <w:rPr>
                <w:sz w:val="17"/>
              </w:rPr>
            </w:pPr>
            <w:r>
              <w:rPr>
                <w:sz w:val="17"/>
              </w:rPr>
              <w:t>29.1</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659.4</w:t>
            </w:r>
          </w:p>
        </w:tc>
        <w:tc>
          <w:tcPr>
            <w:tcW w:w="810" w:type="dxa"/>
          </w:tcPr>
          <w:p w:rsidR="00000000" w:rsidRDefault="00000000">
            <w:pPr>
              <w:pStyle w:val="SingleTxt"/>
              <w:tabs>
                <w:tab w:val="clear" w:pos="1267"/>
                <w:tab w:val="left" w:pos="1170"/>
              </w:tabs>
              <w:ind w:left="0" w:right="-50"/>
              <w:jc w:val="right"/>
              <w:rPr>
                <w:sz w:val="17"/>
              </w:rPr>
            </w:pPr>
            <w:r>
              <w:rPr>
                <w:sz w:val="17"/>
              </w:rPr>
              <w:t>492.7</w:t>
            </w:r>
          </w:p>
        </w:tc>
        <w:tc>
          <w:tcPr>
            <w:tcW w:w="810" w:type="dxa"/>
          </w:tcPr>
          <w:p w:rsidR="00000000" w:rsidRDefault="00000000">
            <w:pPr>
              <w:pStyle w:val="SingleTxt"/>
              <w:tabs>
                <w:tab w:val="clear" w:pos="1267"/>
                <w:tab w:val="left" w:pos="1170"/>
              </w:tabs>
              <w:ind w:left="0" w:right="-50"/>
              <w:jc w:val="right"/>
              <w:rPr>
                <w:sz w:val="17"/>
              </w:rPr>
            </w:pPr>
            <w:r>
              <w:rPr>
                <w:sz w:val="17"/>
              </w:rPr>
              <w:t>166.7</w:t>
            </w:r>
          </w:p>
        </w:tc>
        <w:tc>
          <w:tcPr>
            <w:tcW w:w="778" w:type="dxa"/>
          </w:tcPr>
          <w:p w:rsidR="00000000" w:rsidRDefault="00000000">
            <w:pPr>
              <w:pStyle w:val="SingleTxt"/>
              <w:tabs>
                <w:tab w:val="clear" w:pos="1267"/>
                <w:tab w:val="left" w:pos="1170"/>
              </w:tabs>
              <w:ind w:left="0" w:right="-50"/>
              <w:jc w:val="right"/>
              <w:rPr>
                <w:sz w:val="17"/>
              </w:rPr>
            </w:pPr>
            <w:r>
              <w:rPr>
                <w:sz w:val="17"/>
              </w:rPr>
              <w:t>25.3</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Forestry</w:t>
            </w:r>
          </w:p>
        </w:tc>
        <w:tc>
          <w:tcPr>
            <w:tcW w:w="729" w:type="dxa"/>
          </w:tcPr>
          <w:p w:rsidR="00000000" w:rsidRDefault="00000000">
            <w:pPr>
              <w:pStyle w:val="SingleTxt"/>
              <w:tabs>
                <w:tab w:val="clear" w:pos="1267"/>
                <w:tab w:val="left" w:pos="1170"/>
              </w:tabs>
              <w:ind w:left="0" w:right="-50"/>
              <w:jc w:val="right"/>
              <w:rPr>
                <w:sz w:val="17"/>
              </w:rPr>
            </w:pPr>
            <w:r>
              <w:rPr>
                <w:sz w:val="17"/>
              </w:rPr>
              <w:t>8.6</w:t>
            </w:r>
          </w:p>
        </w:tc>
        <w:tc>
          <w:tcPr>
            <w:tcW w:w="774" w:type="dxa"/>
          </w:tcPr>
          <w:p w:rsidR="00000000" w:rsidRDefault="00000000">
            <w:pPr>
              <w:pStyle w:val="SingleTxt"/>
              <w:tabs>
                <w:tab w:val="clear" w:pos="1267"/>
                <w:tab w:val="left" w:pos="1170"/>
              </w:tabs>
              <w:ind w:left="0" w:right="-50"/>
              <w:jc w:val="right"/>
              <w:rPr>
                <w:sz w:val="17"/>
              </w:rPr>
            </w:pPr>
            <w:r>
              <w:rPr>
                <w:sz w:val="17"/>
              </w:rPr>
              <w:t>7</w:t>
            </w:r>
          </w:p>
        </w:tc>
        <w:tc>
          <w:tcPr>
            <w:tcW w:w="792" w:type="dxa"/>
          </w:tcPr>
          <w:p w:rsidR="00000000" w:rsidRDefault="00000000">
            <w:pPr>
              <w:pStyle w:val="SingleTxt"/>
              <w:tabs>
                <w:tab w:val="clear" w:pos="1267"/>
                <w:tab w:val="left" w:pos="1170"/>
              </w:tabs>
              <w:ind w:left="0" w:right="-50"/>
              <w:jc w:val="right"/>
              <w:rPr>
                <w:sz w:val="17"/>
              </w:rPr>
            </w:pPr>
            <w:r>
              <w:rPr>
                <w:sz w:val="17"/>
              </w:rPr>
              <w:t>1.6</w:t>
            </w:r>
          </w:p>
        </w:tc>
        <w:tc>
          <w:tcPr>
            <w:tcW w:w="801" w:type="dxa"/>
          </w:tcPr>
          <w:p w:rsidR="00000000" w:rsidRDefault="00000000">
            <w:pPr>
              <w:pStyle w:val="SingleTxt"/>
              <w:tabs>
                <w:tab w:val="clear" w:pos="1267"/>
                <w:tab w:val="left" w:pos="1170"/>
              </w:tabs>
              <w:ind w:left="0" w:right="-50"/>
              <w:jc w:val="right"/>
              <w:rPr>
                <w:sz w:val="17"/>
              </w:rPr>
            </w:pPr>
            <w:r>
              <w:rPr>
                <w:sz w:val="17"/>
              </w:rPr>
              <w:t>18.6</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9.7</w:t>
            </w:r>
          </w:p>
        </w:tc>
        <w:tc>
          <w:tcPr>
            <w:tcW w:w="810" w:type="dxa"/>
          </w:tcPr>
          <w:p w:rsidR="00000000" w:rsidRDefault="00000000">
            <w:pPr>
              <w:pStyle w:val="SingleTxt"/>
              <w:tabs>
                <w:tab w:val="clear" w:pos="1267"/>
                <w:tab w:val="left" w:pos="1170"/>
              </w:tabs>
              <w:ind w:left="0" w:right="-50"/>
              <w:jc w:val="right"/>
              <w:rPr>
                <w:sz w:val="17"/>
              </w:rPr>
            </w:pPr>
            <w:r>
              <w:rPr>
                <w:sz w:val="17"/>
              </w:rPr>
              <w:t>7.9</w:t>
            </w:r>
          </w:p>
        </w:tc>
        <w:tc>
          <w:tcPr>
            <w:tcW w:w="810" w:type="dxa"/>
          </w:tcPr>
          <w:p w:rsidR="00000000" w:rsidRDefault="00000000">
            <w:pPr>
              <w:pStyle w:val="SingleTxt"/>
              <w:tabs>
                <w:tab w:val="clear" w:pos="1267"/>
                <w:tab w:val="left" w:pos="1170"/>
              </w:tabs>
              <w:ind w:left="0" w:right="-50"/>
              <w:jc w:val="right"/>
              <w:rPr>
                <w:sz w:val="17"/>
              </w:rPr>
            </w:pPr>
            <w:r>
              <w:rPr>
                <w:sz w:val="17"/>
              </w:rPr>
              <w:t>1.8</w:t>
            </w:r>
          </w:p>
        </w:tc>
        <w:tc>
          <w:tcPr>
            <w:tcW w:w="778" w:type="dxa"/>
          </w:tcPr>
          <w:p w:rsidR="00000000" w:rsidRDefault="00000000">
            <w:pPr>
              <w:pStyle w:val="SingleTxt"/>
              <w:tabs>
                <w:tab w:val="clear" w:pos="1267"/>
                <w:tab w:val="left" w:pos="1170"/>
              </w:tabs>
              <w:ind w:left="0" w:right="-50"/>
              <w:jc w:val="right"/>
              <w:rPr>
                <w:sz w:val="17"/>
              </w:rPr>
            </w:pPr>
            <w:r>
              <w:rPr>
                <w:sz w:val="17"/>
              </w:rPr>
              <w:t>18.6</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Fisheries</w:t>
            </w:r>
          </w:p>
        </w:tc>
        <w:tc>
          <w:tcPr>
            <w:tcW w:w="729" w:type="dxa"/>
          </w:tcPr>
          <w:p w:rsidR="00000000" w:rsidRDefault="00000000">
            <w:pPr>
              <w:pStyle w:val="SingleTxt"/>
              <w:tabs>
                <w:tab w:val="clear" w:pos="1267"/>
                <w:tab w:val="left" w:pos="1170"/>
              </w:tabs>
              <w:ind w:left="0" w:right="-50"/>
              <w:jc w:val="right"/>
              <w:rPr>
                <w:sz w:val="17"/>
              </w:rPr>
            </w:pPr>
            <w:r>
              <w:rPr>
                <w:sz w:val="17"/>
              </w:rPr>
              <w:t>3.9</w:t>
            </w:r>
          </w:p>
        </w:tc>
        <w:tc>
          <w:tcPr>
            <w:tcW w:w="774" w:type="dxa"/>
          </w:tcPr>
          <w:p w:rsidR="00000000" w:rsidRDefault="00000000">
            <w:pPr>
              <w:pStyle w:val="SingleTxt"/>
              <w:tabs>
                <w:tab w:val="clear" w:pos="1267"/>
                <w:tab w:val="left" w:pos="1170"/>
              </w:tabs>
              <w:ind w:left="0" w:right="-50"/>
              <w:jc w:val="right"/>
              <w:rPr>
                <w:sz w:val="17"/>
              </w:rPr>
            </w:pPr>
            <w:r>
              <w:rPr>
                <w:sz w:val="17"/>
              </w:rPr>
              <w:t>2.7</w:t>
            </w:r>
          </w:p>
        </w:tc>
        <w:tc>
          <w:tcPr>
            <w:tcW w:w="792" w:type="dxa"/>
          </w:tcPr>
          <w:p w:rsidR="00000000" w:rsidRDefault="00000000">
            <w:pPr>
              <w:pStyle w:val="SingleTxt"/>
              <w:tabs>
                <w:tab w:val="clear" w:pos="1267"/>
                <w:tab w:val="left" w:pos="1170"/>
              </w:tabs>
              <w:ind w:left="0" w:right="-50"/>
              <w:jc w:val="right"/>
              <w:rPr>
                <w:sz w:val="17"/>
              </w:rPr>
            </w:pPr>
            <w:r>
              <w:rPr>
                <w:sz w:val="17"/>
              </w:rPr>
              <w:t>1.2</w:t>
            </w:r>
          </w:p>
        </w:tc>
        <w:tc>
          <w:tcPr>
            <w:tcW w:w="801" w:type="dxa"/>
          </w:tcPr>
          <w:p w:rsidR="00000000" w:rsidRDefault="00000000">
            <w:pPr>
              <w:pStyle w:val="SingleTxt"/>
              <w:tabs>
                <w:tab w:val="clear" w:pos="1267"/>
                <w:tab w:val="left" w:pos="1170"/>
              </w:tabs>
              <w:ind w:left="0" w:right="-50"/>
              <w:jc w:val="right"/>
              <w:rPr>
                <w:sz w:val="17"/>
              </w:rPr>
            </w:pPr>
            <w:r>
              <w:rPr>
                <w:sz w:val="17"/>
              </w:rPr>
              <w:t>30.8</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4.2</w:t>
            </w:r>
          </w:p>
        </w:tc>
        <w:tc>
          <w:tcPr>
            <w:tcW w:w="810" w:type="dxa"/>
          </w:tcPr>
          <w:p w:rsidR="00000000" w:rsidRDefault="00000000">
            <w:pPr>
              <w:pStyle w:val="SingleTxt"/>
              <w:tabs>
                <w:tab w:val="clear" w:pos="1267"/>
                <w:tab w:val="left" w:pos="1170"/>
              </w:tabs>
              <w:ind w:left="0" w:right="-50"/>
              <w:jc w:val="right"/>
              <w:rPr>
                <w:sz w:val="17"/>
              </w:rPr>
            </w:pPr>
            <w:r>
              <w:rPr>
                <w:sz w:val="17"/>
              </w:rPr>
              <w:t>3.0</w:t>
            </w:r>
          </w:p>
        </w:tc>
        <w:tc>
          <w:tcPr>
            <w:tcW w:w="810" w:type="dxa"/>
          </w:tcPr>
          <w:p w:rsidR="00000000" w:rsidRDefault="00000000">
            <w:pPr>
              <w:pStyle w:val="SingleTxt"/>
              <w:tabs>
                <w:tab w:val="clear" w:pos="1267"/>
                <w:tab w:val="left" w:pos="1170"/>
              </w:tabs>
              <w:ind w:left="0" w:right="-50"/>
              <w:jc w:val="right"/>
              <w:rPr>
                <w:sz w:val="17"/>
              </w:rPr>
            </w:pPr>
            <w:r>
              <w:rPr>
                <w:sz w:val="17"/>
              </w:rPr>
              <w:t>1.2</w:t>
            </w:r>
          </w:p>
        </w:tc>
        <w:tc>
          <w:tcPr>
            <w:tcW w:w="778" w:type="dxa"/>
          </w:tcPr>
          <w:p w:rsidR="00000000" w:rsidRDefault="00000000">
            <w:pPr>
              <w:pStyle w:val="SingleTxt"/>
              <w:tabs>
                <w:tab w:val="clear" w:pos="1267"/>
                <w:tab w:val="left" w:pos="1170"/>
              </w:tabs>
              <w:ind w:left="0" w:right="-50"/>
              <w:jc w:val="right"/>
              <w:rPr>
                <w:sz w:val="17"/>
              </w:rPr>
            </w:pPr>
            <w:r>
              <w:rPr>
                <w:sz w:val="17"/>
              </w:rPr>
              <w:t>28.6</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Transport</w:t>
            </w:r>
          </w:p>
        </w:tc>
        <w:tc>
          <w:tcPr>
            <w:tcW w:w="729" w:type="dxa"/>
          </w:tcPr>
          <w:p w:rsidR="00000000" w:rsidRDefault="00000000">
            <w:pPr>
              <w:pStyle w:val="SingleTxt"/>
              <w:tabs>
                <w:tab w:val="clear" w:pos="1267"/>
                <w:tab w:val="left" w:pos="1170"/>
              </w:tabs>
              <w:ind w:left="0" w:right="-50"/>
              <w:jc w:val="right"/>
              <w:rPr>
                <w:sz w:val="17"/>
              </w:rPr>
            </w:pPr>
            <w:r>
              <w:rPr>
                <w:sz w:val="17"/>
              </w:rPr>
              <w:t>341.4</w:t>
            </w:r>
          </w:p>
        </w:tc>
        <w:tc>
          <w:tcPr>
            <w:tcW w:w="774" w:type="dxa"/>
          </w:tcPr>
          <w:p w:rsidR="00000000" w:rsidRDefault="00000000">
            <w:pPr>
              <w:pStyle w:val="SingleTxt"/>
              <w:tabs>
                <w:tab w:val="clear" w:pos="1267"/>
                <w:tab w:val="left" w:pos="1170"/>
              </w:tabs>
              <w:ind w:left="0" w:right="-50"/>
              <w:jc w:val="right"/>
              <w:rPr>
                <w:sz w:val="17"/>
              </w:rPr>
            </w:pPr>
            <w:r>
              <w:rPr>
                <w:sz w:val="17"/>
              </w:rPr>
              <w:t>251.9</w:t>
            </w:r>
          </w:p>
        </w:tc>
        <w:tc>
          <w:tcPr>
            <w:tcW w:w="792" w:type="dxa"/>
          </w:tcPr>
          <w:p w:rsidR="00000000" w:rsidRDefault="00000000">
            <w:pPr>
              <w:pStyle w:val="SingleTxt"/>
              <w:tabs>
                <w:tab w:val="clear" w:pos="1267"/>
                <w:tab w:val="left" w:pos="1170"/>
              </w:tabs>
              <w:ind w:left="0" w:right="-50"/>
              <w:jc w:val="right"/>
              <w:rPr>
                <w:sz w:val="17"/>
              </w:rPr>
            </w:pPr>
            <w:r>
              <w:rPr>
                <w:sz w:val="17"/>
              </w:rPr>
              <w:t>89.5</w:t>
            </w:r>
          </w:p>
        </w:tc>
        <w:tc>
          <w:tcPr>
            <w:tcW w:w="801" w:type="dxa"/>
          </w:tcPr>
          <w:p w:rsidR="00000000" w:rsidRDefault="00000000">
            <w:pPr>
              <w:pStyle w:val="SingleTxt"/>
              <w:tabs>
                <w:tab w:val="clear" w:pos="1267"/>
                <w:tab w:val="left" w:pos="1170"/>
              </w:tabs>
              <w:ind w:left="0" w:right="-50"/>
              <w:jc w:val="right"/>
              <w:rPr>
                <w:sz w:val="17"/>
              </w:rPr>
            </w:pPr>
            <w:r>
              <w:rPr>
                <w:sz w:val="17"/>
              </w:rPr>
              <w:t>26.2</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303.0</w:t>
            </w:r>
          </w:p>
        </w:tc>
        <w:tc>
          <w:tcPr>
            <w:tcW w:w="810" w:type="dxa"/>
          </w:tcPr>
          <w:p w:rsidR="00000000" w:rsidRDefault="00000000">
            <w:pPr>
              <w:pStyle w:val="SingleTxt"/>
              <w:tabs>
                <w:tab w:val="clear" w:pos="1267"/>
                <w:tab w:val="left" w:pos="1170"/>
              </w:tabs>
              <w:ind w:left="0" w:right="-50"/>
              <w:jc w:val="right"/>
              <w:rPr>
                <w:sz w:val="17"/>
              </w:rPr>
            </w:pPr>
            <w:r>
              <w:rPr>
                <w:sz w:val="17"/>
              </w:rPr>
              <w:t>223.3</w:t>
            </w:r>
          </w:p>
        </w:tc>
        <w:tc>
          <w:tcPr>
            <w:tcW w:w="810" w:type="dxa"/>
          </w:tcPr>
          <w:p w:rsidR="00000000" w:rsidRDefault="00000000">
            <w:pPr>
              <w:pStyle w:val="SingleTxt"/>
              <w:tabs>
                <w:tab w:val="clear" w:pos="1267"/>
                <w:tab w:val="left" w:pos="1170"/>
              </w:tabs>
              <w:ind w:left="0" w:right="-50"/>
              <w:jc w:val="right"/>
              <w:rPr>
                <w:sz w:val="17"/>
              </w:rPr>
            </w:pPr>
            <w:r>
              <w:rPr>
                <w:sz w:val="17"/>
              </w:rPr>
              <w:t>79.7</w:t>
            </w:r>
          </w:p>
        </w:tc>
        <w:tc>
          <w:tcPr>
            <w:tcW w:w="778" w:type="dxa"/>
          </w:tcPr>
          <w:p w:rsidR="00000000" w:rsidRDefault="00000000">
            <w:pPr>
              <w:pStyle w:val="SingleTxt"/>
              <w:tabs>
                <w:tab w:val="clear" w:pos="1267"/>
                <w:tab w:val="left" w:pos="1170"/>
              </w:tabs>
              <w:ind w:left="0" w:right="-50"/>
              <w:jc w:val="right"/>
              <w:rPr>
                <w:sz w:val="17"/>
              </w:rPr>
            </w:pPr>
            <w:r>
              <w:rPr>
                <w:sz w:val="17"/>
              </w:rPr>
              <w:t>26.3</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Communications</w:t>
            </w:r>
          </w:p>
        </w:tc>
        <w:tc>
          <w:tcPr>
            <w:tcW w:w="729" w:type="dxa"/>
          </w:tcPr>
          <w:p w:rsidR="00000000" w:rsidRDefault="00000000">
            <w:pPr>
              <w:pStyle w:val="SingleTxt"/>
              <w:tabs>
                <w:tab w:val="clear" w:pos="1267"/>
                <w:tab w:val="left" w:pos="1170"/>
              </w:tabs>
              <w:ind w:left="0" w:right="-50"/>
              <w:jc w:val="right"/>
              <w:rPr>
                <w:sz w:val="17"/>
              </w:rPr>
            </w:pPr>
            <w:r>
              <w:rPr>
                <w:sz w:val="17"/>
              </w:rPr>
              <w:t>74.4</w:t>
            </w:r>
          </w:p>
        </w:tc>
        <w:tc>
          <w:tcPr>
            <w:tcW w:w="774" w:type="dxa"/>
          </w:tcPr>
          <w:p w:rsidR="00000000" w:rsidRDefault="00000000">
            <w:pPr>
              <w:pStyle w:val="SingleTxt"/>
              <w:tabs>
                <w:tab w:val="clear" w:pos="1267"/>
                <w:tab w:val="left" w:pos="1170"/>
              </w:tabs>
              <w:ind w:left="0" w:right="-50"/>
              <w:jc w:val="right"/>
              <w:rPr>
                <w:sz w:val="17"/>
              </w:rPr>
            </w:pPr>
            <w:r>
              <w:rPr>
                <w:sz w:val="17"/>
              </w:rPr>
              <w:t>28.4</w:t>
            </w:r>
          </w:p>
        </w:tc>
        <w:tc>
          <w:tcPr>
            <w:tcW w:w="792" w:type="dxa"/>
          </w:tcPr>
          <w:p w:rsidR="00000000" w:rsidRDefault="00000000">
            <w:pPr>
              <w:pStyle w:val="SingleTxt"/>
              <w:tabs>
                <w:tab w:val="clear" w:pos="1267"/>
                <w:tab w:val="left" w:pos="1170"/>
              </w:tabs>
              <w:ind w:left="0" w:right="-50"/>
              <w:jc w:val="right"/>
              <w:rPr>
                <w:sz w:val="17"/>
              </w:rPr>
            </w:pPr>
            <w:r>
              <w:rPr>
                <w:sz w:val="17"/>
              </w:rPr>
              <w:t>46.0</w:t>
            </w:r>
          </w:p>
        </w:tc>
        <w:tc>
          <w:tcPr>
            <w:tcW w:w="801" w:type="dxa"/>
          </w:tcPr>
          <w:p w:rsidR="00000000" w:rsidRDefault="00000000">
            <w:pPr>
              <w:pStyle w:val="SingleTxt"/>
              <w:tabs>
                <w:tab w:val="clear" w:pos="1267"/>
                <w:tab w:val="left" w:pos="1170"/>
              </w:tabs>
              <w:ind w:left="0" w:right="-50"/>
              <w:jc w:val="right"/>
              <w:rPr>
                <w:sz w:val="17"/>
              </w:rPr>
            </w:pPr>
            <w:r>
              <w:rPr>
                <w:sz w:val="17"/>
              </w:rPr>
              <w:t>61.8</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63.4</w:t>
            </w:r>
          </w:p>
        </w:tc>
        <w:tc>
          <w:tcPr>
            <w:tcW w:w="810" w:type="dxa"/>
          </w:tcPr>
          <w:p w:rsidR="00000000" w:rsidRDefault="00000000">
            <w:pPr>
              <w:pStyle w:val="SingleTxt"/>
              <w:tabs>
                <w:tab w:val="clear" w:pos="1267"/>
                <w:tab w:val="left" w:pos="1170"/>
              </w:tabs>
              <w:ind w:left="0" w:right="-50"/>
              <w:jc w:val="right"/>
              <w:rPr>
                <w:sz w:val="17"/>
              </w:rPr>
            </w:pPr>
            <w:r>
              <w:rPr>
                <w:sz w:val="17"/>
              </w:rPr>
              <w:t>24.9</w:t>
            </w:r>
          </w:p>
        </w:tc>
        <w:tc>
          <w:tcPr>
            <w:tcW w:w="810" w:type="dxa"/>
          </w:tcPr>
          <w:p w:rsidR="00000000" w:rsidRDefault="00000000">
            <w:pPr>
              <w:pStyle w:val="SingleTxt"/>
              <w:tabs>
                <w:tab w:val="clear" w:pos="1267"/>
                <w:tab w:val="left" w:pos="1170"/>
              </w:tabs>
              <w:ind w:left="0" w:right="-50"/>
              <w:jc w:val="right"/>
              <w:rPr>
                <w:sz w:val="17"/>
              </w:rPr>
            </w:pPr>
            <w:r>
              <w:rPr>
                <w:sz w:val="17"/>
              </w:rPr>
              <w:t>38.5</w:t>
            </w:r>
          </w:p>
        </w:tc>
        <w:tc>
          <w:tcPr>
            <w:tcW w:w="778" w:type="dxa"/>
          </w:tcPr>
          <w:p w:rsidR="00000000" w:rsidRDefault="00000000">
            <w:pPr>
              <w:pStyle w:val="SingleTxt"/>
              <w:tabs>
                <w:tab w:val="clear" w:pos="1267"/>
                <w:tab w:val="left" w:pos="1170"/>
              </w:tabs>
              <w:ind w:left="0" w:right="-50"/>
              <w:jc w:val="right"/>
              <w:rPr>
                <w:sz w:val="17"/>
              </w:rPr>
            </w:pPr>
            <w:r>
              <w:rPr>
                <w:sz w:val="17"/>
              </w:rPr>
              <w:t>60.7</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Construction</w:t>
            </w:r>
          </w:p>
        </w:tc>
        <w:tc>
          <w:tcPr>
            <w:tcW w:w="729" w:type="dxa"/>
          </w:tcPr>
          <w:p w:rsidR="00000000" w:rsidRDefault="00000000">
            <w:pPr>
              <w:pStyle w:val="SingleTxt"/>
              <w:tabs>
                <w:tab w:val="clear" w:pos="1267"/>
                <w:tab w:val="left" w:pos="1170"/>
              </w:tabs>
              <w:ind w:left="0" w:right="-50"/>
              <w:jc w:val="right"/>
              <w:rPr>
                <w:sz w:val="17"/>
              </w:rPr>
            </w:pPr>
            <w:r>
              <w:rPr>
                <w:sz w:val="17"/>
              </w:rPr>
              <w:t>230.1</w:t>
            </w:r>
          </w:p>
        </w:tc>
        <w:tc>
          <w:tcPr>
            <w:tcW w:w="774" w:type="dxa"/>
          </w:tcPr>
          <w:p w:rsidR="00000000" w:rsidRDefault="00000000">
            <w:pPr>
              <w:pStyle w:val="SingleTxt"/>
              <w:tabs>
                <w:tab w:val="clear" w:pos="1267"/>
                <w:tab w:val="left" w:pos="1170"/>
              </w:tabs>
              <w:ind w:left="0" w:right="-50"/>
              <w:jc w:val="right"/>
              <w:rPr>
                <w:sz w:val="17"/>
              </w:rPr>
            </w:pPr>
            <w:r>
              <w:rPr>
                <w:sz w:val="17"/>
              </w:rPr>
              <w:t>172.5</w:t>
            </w:r>
          </w:p>
        </w:tc>
        <w:tc>
          <w:tcPr>
            <w:tcW w:w="792" w:type="dxa"/>
          </w:tcPr>
          <w:p w:rsidR="00000000" w:rsidRDefault="00000000">
            <w:pPr>
              <w:pStyle w:val="SingleTxt"/>
              <w:tabs>
                <w:tab w:val="clear" w:pos="1267"/>
                <w:tab w:val="left" w:pos="1170"/>
              </w:tabs>
              <w:ind w:left="0" w:right="-50"/>
              <w:jc w:val="right"/>
              <w:rPr>
                <w:sz w:val="17"/>
              </w:rPr>
            </w:pPr>
            <w:r>
              <w:rPr>
                <w:sz w:val="17"/>
              </w:rPr>
              <w:t>57.6</w:t>
            </w:r>
          </w:p>
        </w:tc>
        <w:tc>
          <w:tcPr>
            <w:tcW w:w="801" w:type="dxa"/>
          </w:tcPr>
          <w:p w:rsidR="00000000" w:rsidRDefault="00000000">
            <w:pPr>
              <w:pStyle w:val="SingleTxt"/>
              <w:tabs>
                <w:tab w:val="clear" w:pos="1267"/>
                <w:tab w:val="left" w:pos="1170"/>
              </w:tabs>
              <w:ind w:left="0" w:right="-50"/>
              <w:jc w:val="right"/>
              <w:rPr>
                <w:sz w:val="17"/>
              </w:rPr>
            </w:pPr>
            <w:r>
              <w:rPr>
                <w:sz w:val="17"/>
              </w:rPr>
              <w:t>25.0</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168.4</w:t>
            </w:r>
          </w:p>
        </w:tc>
        <w:tc>
          <w:tcPr>
            <w:tcW w:w="810" w:type="dxa"/>
          </w:tcPr>
          <w:p w:rsidR="00000000" w:rsidRDefault="00000000">
            <w:pPr>
              <w:pStyle w:val="SingleTxt"/>
              <w:tabs>
                <w:tab w:val="clear" w:pos="1267"/>
                <w:tab w:val="left" w:pos="1170"/>
              </w:tabs>
              <w:ind w:left="0" w:right="-50"/>
              <w:jc w:val="right"/>
              <w:rPr>
                <w:sz w:val="17"/>
              </w:rPr>
            </w:pPr>
            <w:r>
              <w:rPr>
                <w:sz w:val="17"/>
              </w:rPr>
              <w:t>128.3</w:t>
            </w:r>
          </w:p>
        </w:tc>
        <w:tc>
          <w:tcPr>
            <w:tcW w:w="810" w:type="dxa"/>
          </w:tcPr>
          <w:p w:rsidR="00000000" w:rsidRDefault="00000000">
            <w:pPr>
              <w:pStyle w:val="SingleTxt"/>
              <w:tabs>
                <w:tab w:val="clear" w:pos="1267"/>
                <w:tab w:val="left" w:pos="1170"/>
              </w:tabs>
              <w:ind w:left="0" w:right="-50"/>
              <w:jc w:val="right"/>
              <w:rPr>
                <w:sz w:val="17"/>
              </w:rPr>
            </w:pPr>
            <w:r>
              <w:rPr>
                <w:sz w:val="17"/>
              </w:rPr>
              <w:t>40.1</w:t>
            </w:r>
          </w:p>
        </w:tc>
        <w:tc>
          <w:tcPr>
            <w:tcW w:w="778" w:type="dxa"/>
          </w:tcPr>
          <w:p w:rsidR="00000000" w:rsidRDefault="00000000">
            <w:pPr>
              <w:pStyle w:val="SingleTxt"/>
              <w:tabs>
                <w:tab w:val="clear" w:pos="1267"/>
                <w:tab w:val="left" w:pos="1170"/>
              </w:tabs>
              <w:ind w:left="0" w:right="-50"/>
              <w:jc w:val="right"/>
              <w:rPr>
                <w:sz w:val="17"/>
              </w:rPr>
            </w:pPr>
            <w:r>
              <w:rPr>
                <w:sz w:val="17"/>
              </w:rPr>
              <w:t>23.8</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Trade</w:t>
            </w:r>
          </w:p>
        </w:tc>
        <w:tc>
          <w:tcPr>
            <w:tcW w:w="729" w:type="dxa"/>
          </w:tcPr>
          <w:p w:rsidR="00000000" w:rsidRDefault="00000000">
            <w:pPr>
              <w:pStyle w:val="SingleTxt"/>
              <w:tabs>
                <w:tab w:val="clear" w:pos="1267"/>
                <w:tab w:val="left" w:pos="1170"/>
              </w:tabs>
              <w:ind w:left="0" w:right="-50"/>
              <w:jc w:val="right"/>
              <w:rPr>
                <w:sz w:val="17"/>
              </w:rPr>
            </w:pPr>
            <w:r>
              <w:rPr>
                <w:sz w:val="17"/>
              </w:rPr>
              <w:t>115</w:t>
            </w:r>
          </w:p>
        </w:tc>
        <w:tc>
          <w:tcPr>
            <w:tcW w:w="774" w:type="dxa"/>
          </w:tcPr>
          <w:p w:rsidR="00000000" w:rsidRDefault="00000000">
            <w:pPr>
              <w:pStyle w:val="SingleTxt"/>
              <w:tabs>
                <w:tab w:val="clear" w:pos="1267"/>
                <w:tab w:val="left" w:pos="1170"/>
              </w:tabs>
              <w:ind w:left="0" w:right="-50"/>
              <w:jc w:val="right"/>
              <w:rPr>
                <w:sz w:val="17"/>
              </w:rPr>
            </w:pPr>
            <w:r>
              <w:rPr>
                <w:sz w:val="17"/>
              </w:rPr>
              <w:t>37.1</w:t>
            </w:r>
          </w:p>
        </w:tc>
        <w:tc>
          <w:tcPr>
            <w:tcW w:w="792" w:type="dxa"/>
          </w:tcPr>
          <w:p w:rsidR="00000000" w:rsidRDefault="00000000">
            <w:pPr>
              <w:pStyle w:val="SingleTxt"/>
              <w:tabs>
                <w:tab w:val="clear" w:pos="1267"/>
                <w:tab w:val="left" w:pos="1170"/>
              </w:tabs>
              <w:ind w:left="0" w:right="-50"/>
              <w:jc w:val="right"/>
              <w:rPr>
                <w:sz w:val="17"/>
              </w:rPr>
            </w:pPr>
            <w:r>
              <w:rPr>
                <w:sz w:val="17"/>
              </w:rPr>
              <w:t>77.9</w:t>
            </w:r>
          </w:p>
        </w:tc>
        <w:tc>
          <w:tcPr>
            <w:tcW w:w="801" w:type="dxa"/>
          </w:tcPr>
          <w:p w:rsidR="00000000" w:rsidRDefault="00000000">
            <w:pPr>
              <w:pStyle w:val="SingleTxt"/>
              <w:tabs>
                <w:tab w:val="clear" w:pos="1267"/>
                <w:tab w:val="left" w:pos="1170"/>
              </w:tabs>
              <w:ind w:left="0" w:right="-50"/>
              <w:jc w:val="right"/>
              <w:rPr>
                <w:sz w:val="17"/>
              </w:rPr>
            </w:pPr>
            <w:r>
              <w:rPr>
                <w:sz w:val="17"/>
              </w:rPr>
              <w:t>67.7</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84.4</w:t>
            </w:r>
          </w:p>
        </w:tc>
        <w:tc>
          <w:tcPr>
            <w:tcW w:w="810" w:type="dxa"/>
          </w:tcPr>
          <w:p w:rsidR="00000000" w:rsidRDefault="00000000">
            <w:pPr>
              <w:pStyle w:val="SingleTxt"/>
              <w:tabs>
                <w:tab w:val="clear" w:pos="1267"/>
                <w:tab w:val="left" w:pos="1170"/>
              </w:tabs>
              <w:ind w:left="0" w:right="-50"/>
              <w:jc w:val="right"/>
              <w:rPr>
                <w:sz w:val="17"/>
              </w:rPr>
            </w:pPr>
            <w:r>
              <w:rPr>
                <w:sz w:val="17"/>
              </w:rPr>
              <w:t>31.4</w:t>
            </w:r>
          </w:p>
        </w:tc>
        <w:tc>
          <w:tcPr>
            <w:tcW w:w="810" w:type="dxa"/>
          </w:tcPr>
          <w:p w:rsidR="00000000" w:rsidRDefault="00000000">
            <w:pPr>
              <w:pStyle w:val="SingleTxt"/>
              <w:tabs>
                <w:tab w:val="clear" w:pos="1267"/>
                <w:tab w:val="left" w:pos="1170"/>
              </w:tabs>
              <w:ind w:left="0" w:right="-50"/>
              <w:jc w:val="right"/>
              <w:rPr>
                <w:sz w:val="17"/>
              </w:rPr>
            </w:pPr>
            <w:r>
              <w:rPr>
                <w:sz w:val="17"/>
              </w:rPr>
              <w:t>53.0</w:t>
            </w:r>
          </w:p>
        </w:tc>
        <w:tc>
          <w:tcPr>
            <w:tcW w:w="778" w:type="dxa"/>
          </w:tcPr>
          <w:p w:rsidR="00000000" w:rsidRDefault="00000000">
            <w:pPr>
              <w:pStyle w:val="SingleTxt"/>
              <w:tabs>
                <w:tab w:val="clear" w:pos="1267"/>
                <w:tab w:val="left" w:pos="1170"/>
              </w:tabs>
              <w:ind w:left="0" w:right="-50"/>
              <w:jc w:val="right"/>
              <w:rPr>
                <w:sz w:val="17"/>
              </w:rPr>
            </w:pPr>
            <w:r>
              <w:rPr>
                <w:sz w:val="17"/>
              </w:rPr>
              <w:t>62.8</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Public catering</w:t>
            </w:r>
          </w:p>
        </w:tc>
        <w:tc>
          <w:tcPr>
            <w:tcW w:w="729" w:type="dxa"/>
          </w:tcPr>
          <w:p w:rsidR="00000000" w:rsidRDefault="00000000">
            <w:pPr>
              <w:pStyle w:val="SingleTxt"/>
              <w:tabs>
                <w:tab w:val="clear" w:pos="1267"/>
                <w:tab w:val="left" w:pos="1170"/>
              </w:tabs>
              <w:ind w:left="0" w:right="-50"/>
              <w:jc w:val="right"/>
              <w:rPr>
                <w:sz w:val="17"/>
              </w:rPr>
            </w:pPr>
            <w:r>
              <w:rPr>
                <w:sz w:val="17"/>
              </w:rPr>
              <w:t>20.9</w:t>
            </w:r>
          </w:p>
        </w:tc>
        <w:tc>
          <w:tcPr>
            <w:tcW w:w="774" w:type="dxa"/>
          </w:tcPr>
          <w:p w:rsidR="00000000" w:rsidRDefault="00000000">
            <w:pPr>
              <w:pStyle w:val="SingleTxt"/>
              <w:tabs>
                <w:tab w:val="clear" w:pos="1267"/>
                <w:tab w:val="left" w:pos="1170"/>
              </w:tabs>
              <w:ind w:left="0" w:right="-50"/>
              <w:jc w:val="right"/>
              <w:rPr>
                <w:sz w:val="17"/>
              </w:rPr>
            </w:pPr>
            <w:r>
              <w:rPr>
                <w:sz w:val="17"/>
              </w:rPr>
              <w:t>6.4</w:t>
            </w:r>
          </w:p>
        </w:tc>
        <w:tc>
          <w:tcPr>
            <w:tcW w:w="792" w:type="dxa"/>
          </w:tcPr>
          <w:p w:rsidR="00000000" w:rsidRDefault="00000000">
            <w:pPr>
              <w:pStyle w:val="SingleTxt"/>
              <w:tabs>
                <w:tab w:val="clear" w:pos="1267"/>
                <w:tab w:val="left" w:pos="1170"/>
              </w:tabs>
              <w:ind w:left="0" w:right="-50"/>
              <w:jc w:val="right"/>
              <w:rPr>
                <w:sz w:val="17"/>
              </w:rPr>
            </w:pPr>
            <w:r>
              <w:rPr>
                <w:sz w:val="17"/>
              </w:rPr>
              <w:t>14.5</w:t>
            </w:r>
          </w:p>
        </w:tc>
        <w:tc>
          <w:tcPr>
            <w:tcW w:w="801" w:type="dxa"/>
          </w:tcPr>
          <w:p w:rsidR="00000000" w:rsidRDefault="00000000">
            <w:pPr>
              <w:pStyle w:val="SingleTxt"/>
              <w:tabs>
                <w:tab w:val="clear" w:pos="1267"/>
                <w:tab w:val="left" w:pos="1170"/>
              </w:tabs>
              <w:ind w:left="0" w:right="-50"/>
              <w:jc w:val="right"/>
              <w:rPr>
                <w:sz w:val="17"/>
              </w:rPr>
            </w:pPr>
            <w:r>
              <w:rPr>
                <w:sz w:val="17"/>
              </w:rPr>
              <w:t>69.4</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8.9</w:t>
            </w:r>
          </w:p>
        </w:tc>
        <w:tc>
          <w:tcPr>
            <w:tcW w:w="810" w:type="dxa"/>
          </w:tcPr>
          <w:p w:rsidR="00000000" w:rsidRDefault="00000000">
            <w:pPr>
              <w:pStyle w:val="SingleTxt"/>
              <w:tabs>
                <w:tab w:val="clear" w:pos="1267"/>
                <w:tab w:val="left" w:pos="1170"/>
              </w:tabs>
              <w:ind w:left="0" w:right="-50"/>
              <w:jc w:val="right"/>
              <w:rPr>
                <w:sz w:val="17"/>
              </w:rPr>
            </w:pPr>
            <w:r>
              <w:rPr>
                <w:sz w:val="17"/>
              </w:rPr>
              <w:t>2.1</w:t>
            </w:r>
          </w:p>
        </w:tc>
        <w:tc>
          <w:tcPr>
            <w:tcW w:w="810" w:type="dxa"/>
          </w:tcPr>
          <w:p w:rsidR="00000000" w:rsidRDefault="00000000">
            <w:pPr>
              <w:pStyle w:val="SingleTxt"/>
              <w:tabs>
                <w:tab w:val="clear" w:pos="1267"/>
                <w:tab w:val="left" w:pos="1170"/>
              </w:tabs>
              <w:ind w:left="0" w:right="-50"/>
              <w:jc w:val="right"/>
              <w:rPr>
                <w:sz w:val="17"/>
              </w:rPr>
            </w:pPr>
            <w:r>
              <w:rPr>
                <w:sz w:val="17"/>
              </w:rPr>
              <w:t>6.8</w:t>
            </w:r>
          </w:p>
        </w:tc>
        <w:tc>
          <w:tcPr>
            <w:tcW w:w="778" w:type="dxa"/>
          </w:tcPr>
          <w:p w:rsidR="00000000" w:rsidRDefault="00000000">
            <w:pPr>
              <w:pStyle w:val="SingleTxt"/>
              <w:tabs>
                <w:tab w:val="clear" w:pos="1267"/>
                <w:tab w:val="left" w:pos="1170"/>
              </w:tabs>
              <w:ind w:left="0" w:right="-50"/>
              <w:jc w:val="right"/>
              <w:rPr>
                <w:sz w:val="17"/>
              </w:rPr>
            </w:pPr>
            <w:r>
              <w:rPr>
                <w:sz w:val="17"/>
              </w:rPr>
              <w:t>76.4</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Materials and machinery supplies and sales</w:t>
            </w:r>
          </w:p>
        </w:tc>
        <w:tc>
          <w:tcPr>
            <w:tcW w:w="729" w:type="dxa"/>
          </w:tcPr>
          <w:p w:rsidR="00000000" w:rsidRDefault="00000000">
            <w:pPr>
              <w:pStyle w:val="SingleTxt"/>
              <w:tabs>
                <w:tab w:val="clear" w:pos="1267"/>
                <w:tab w:val="left" w:pos="1170"/>
              </w:tabs>
              <w:ind w:left="0" w:right="-50"/>
              <w:jc w:val="right"/>
              <w:rPr>
                <w:sz w:val="17"/>
              </w:rPr>
            </w:pPr>
            <w:r>
              <w:rPr>
                <w:sz w:val="17"/>
              </w:rPr>
              <w:t>33.2</w:t>
            </w:r>
          </w:p>
        </w:tc>
        <w:tc>
          <w:tcPr>
            <w:tcW w:w="774" w:type="dxa"/>
          </w:tcPr>
          <w:p w:rsidR="00000000" w:rsidRDefault="00000000">
            <w:pPr>
              <w:pStyle w:val="SingleTxt"/>
              <w:tabs>
                <w:tab w:val="clear" w:pos="1267"/>
                <w:tab w:val="left" w:pos="1170"/>
              </w:tabs>
              <w:ind w:left="0" w:right="-50"/>
              <w:jc w:val="right"/>
              <w:rPr>
                <w:sz w:val="17"/>
              </w:rPr>
            </w:pPr>
            <w:r>
              <w:rPr>
                <w:sz w:val="17"/>
              </w:rPr>
              <w:t>20.9</w:t>
            </w:r>
          </w:p>
        </w:tc>
        <w:tc>
          <w:tcPr>
            <w:tcW w:w="792" w:type="dxa"/>
          </w:tcPr>
          <w:p w:rsidR="00000000" w:rsidRDefault="00000000">
            <w:pPr>
              <w:pStyle w:val="SingleTxt"/>
              <w:tabs>
                <w:tab w:val="clear" w:pos="1267"/>
                <w:tab w:val="left" w:pos="1170"/>
              </w:tabs>
              <w:ind w:left="0" w:right="-50"/>
              <w:jc w:val="right"/>
              <w:rPr>
                <w:sz w:val="17"/>
              </w:rPr>
            </w:pPr>
            <w:r>
              <w:rPr>
                <w:sz w:val="17"/>
              </w:rPr>
              <w:t>12.3</w:t>
            </w:r>
          </w:p>
        </w:tc>
        <w:tc>
          <w:tcPr>
            <w:tcW w:w="801" w:type="dxa"/>
          </w:tcPr>
          <w:p w:rsidR="00000000" w:rsidRDefault="00000000">
            <w:pPr>
              <w:pStyle w:val="SingleTxt"/>
              <w:tabs>
                <w:tab w:val="clear" w:pos="1267"/>
                <w:tab w:val="left" w:pos="1170"/>
              </w:tabs>
              <w:ind w:left="0" w:right="-50"/>
              <w:jc w:val="right"/>
              <w:rPr>
                <w:sz w:val="17"/>
              </w:rPr>
            </w:pPr>
            <w:r>
              <w:rPr>
                <w:sz w:val="17"/>
              </w:rPr>
              <w:t>37.0</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24.4</w:t>
            </w:r>
          </w:p>
        </w:tc>
        <w:tc>
          <w:tcPr>
            <w:tcW w:w="810" w:type="dxa"/>
          </w:tcPr>
          <w:p w:rsidR="00000000" w:rsidRDefault="00000000">
            <w:pPr>
              <w:pStyle w:val="SingleTxt"/>
              <w:tabs>
                <w:tab w:val="clear" w:pos="1267"/>
                <w:tab w:val="left" w:pos="1170"/>
              </w:tabs>
              <w:ind w:left="0" w:right="-50"/>
              <w:jc w:val="right"/>
              <w:rPr>
                <w:sz w:val="17"/>
              </w:rPr>
            </w:pPr>
            <w:r>
              <w:rPr>
                <w:sz w:val="17"/>
              </w:rPr>
              <w:t>16.1</w:t>
            </w:r>
          </w:p>
        </w:tc>
        <w:tc>
          <w:tcPr>
            <w:tcW w:w="810" w:type="dxa"/>
          </w:tcPr>
          <w:p w:rsidR="00000000" w:rsidRDefault="00000000">
            <w:pPr>
              <w:pStyle w:val="SingleTxt"/>
              <w:tabs>
                <w:tab w:val="clear" w:pos="1267"/>
                <w:tab w:val="left" w:pos="1170"/>
              </w:tabs>
              <w:ind w:left="0" w:right="-50"/>
              <w:jc w:val="right"/>
              <w:rPr>
                <w:sz w:val="17"/>
              </w:rPr>
            </w:pPr>
            <w:r>
              <w:rPr>
                <w:sz w:val="17"/>
              </w:rPr>
              <w:t>8.3</w:t>
            </w:r>
          </w:p>
        </w:tc>
        <w:tc>
          <w:tcPr>
            <w:tcW w:w="778" w:type="dxa"/>
          </w:tcPr>
          <w:p w:rsidR="00000000" w:rsidRDefault="00000000">
            <w:pPr>
              <w:pStyle w:val="SingleTxt"/>
              <w:tabs>
                <w:tab w:val="clear" w:pos="1267"/>
                <w:tab w:val="left" w:pos="1170"/>
              </w:tabs>
              <w:ind w:left="0" w:right="-50"/>
              <w:jc w:val="right"/>
              <w:rPr>
                <w:sz w:val="17"/>
              </w:rPr>
            </w:pPr>
            <w:r>
              <w:rPr>
                <w:sz w:val="17"/>
              </w:rPr>
              <w:t>34.0</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Procurement</w:t>
            </w:r>
          </w:p>
        </w:tc>
        <w:tc>
          <w:tcPr>
            <w:tcW w:w="729" w:type="dxa"/>
          </w:tcPr>
          <w:p w:rsidR="00000000" w:rsidRDefault="00000000">
            <w:pPr>
              <w:pStyle w:val="SingleTxt"/>
              <w:tabs>
                <w:tab w:val="clear" w:pos="1267"/>
                <w:tab w:val="left" w:pos="1170"/>
              </w:tabs>
              <w:ind w:left="0" w:right="-50"/>
              <w:jc w:val="right"/>
              <w:rPr>
                <w:sz w:val="17"/>
              </w:rPr>
            </w:pPr>
            <w:r>
              <w:rPr>
                <w:sz w:val="17"/>
              </w:rPr>
              <w:t>24.2</w:t>
            </w:r>
          </w:p>
        </w:tc>
        <w:tc>
          <w:tcPr>
            <w:tcW w:w="774" w:type="dxa"/>
          </w:tcPr>
          <w:p w:rsidR="00000000" w:rsidRDefault="00000000">
            <w:pPr>
              <w:pStyle w:val="SingleTxt"/>
              <w:tabs>
                <w:tab w:val="clear" w:pos="1267"/>
                <w:tab w:val="left" w:pos="1170"/>
              </w:tabs>
              <w:ind w:left="0" w:right="-50"/>
              <w:jc w:val="right"/>
              <w:rPr>
                <w:sz w:val="17"/>
              </w:rPr>
            </w:pPr>
            <w:r>
              <w:rPr>
                <w:sz w:val="17"/>
              </w:rPr>
              <w:t>14.8</w:t>
            </w:r>
          </w:p>
        </w:tc>
        <w:tc>
          <w:tcPr>
            <w:tcW w:w="792" w:type="dxa"/>
          </w:tcPr>
          <w:p w:rsidR="00000000" w:rsidRDefault="00000000">
            <w:pPr>
              <w:pStyle w:val="SingleTxt"/>
              <w:tabs>
                <w:tab w:val="clear" w:pos="1267"/>
                <w:tab w:val="left" w:pos="1170"/>
              </w:tabs>
              <w:ind w:left="0" w:right="-50"/>
              <w:jc w:val="right"/>
              <w:rPr>
                <w:sz w:val="17"/>
              </w:rPr>
            </w:pPr>
            <w:r>
              <w:rPr>
                <w:sz w:val="17"/>
              </w:rPr>
              <w:t>9.4</w:t>
            </w:r>
          </w:p>
        </w:tc>
        <w:tc>
          <w:tcPr>
            <w:tcW w:w="801" w:type="dxa"/>
          </w:tcPr>
          <w:p w:rsidR="00000000" w:rsidRDefault="00000000">
            <w:pPr>
              <w:pStyle w:val="SingleTxt"/>
              <w:tabs>
                <w:tab w:val="clear" w:pos="1267"/>
                <w:tab w:val="left" w:pos="1170"/>
              </w:tabs>
              <w:ind w:left="0" w:right="-50"/>
              <w:jc w:val="right"/>
              <w:rPr>
                <w:sz w:val="17"/>
              </w:rPr>
            </w:pPr>
            <w:r>
              <w:rPr>
                <w:sz w:val="17"/>
              </w:rPr>
              <w:t>38.8</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22.9</w:t>
            </w:r>
          </w:p>
        </w:tc>
        <w:tc>
          <w:tcPr>
            <w:tcW w:w="810" w:type="dxa"/>
          </w:tcPr>
          <w:p w:rsidR="00000000" w:rsidRDefault="00000000">
            <w:pPr>
              <w:pStyle w:val="SingleTxt"/>
              <w:tabs>
                <w:tab w:val="clear" w:pos="1267"/>
                <w:tab w:val="left" w:pos="1170"/>
              </w:tabs>
              <w:ind w:left="0" w:right="-50"/>
              <w:jc w:val="right"/>
              <w:rPr>
                <w:sz w:val="17"/>
              </w:rPr>
            </w:pPr>
            <w:r>
              <w:rPr>
                <w:sz w:val="17"/>
              </w:rPr>
              <w:t>14.4</w:t>
            </w:r>
          </w:p>
        </w:tc>
        <w:tc>
          <w:tcPr>
            <w:tcW w:w="810" w:type="dxa"/>
          </w:tcPr>
          <w:p w:rsidR="00000000" w:rsidRDefault="00000000">
            <w:pPr>
              <w:pStyle w:val="SingleTxt"/>
              <w:tabs>
                <w:tab w:val="clear" w:pos="1267"/>
                <w:tab w:val="left" w:pos="1170"/>
              </w:tabs>
              <w:ind w:left="0" w:right="-50"/>
              <w:jc w:val="right"/>
              <w:rPr>
                <w:sz w:val="17"/>
              </w:rPr>
            </w:pPr>
            <w:r>
              <w:rPr>
                <w:sz w:val="17"/>
              </w:rPr>
              <w:t>8.5</w:t>
            </w:r>
          </w:p>
        </w:tc>
        <w:tc>
          <w:tcPr>
            <w:tcW w:w="778" w:type="dxa"/>
          </w:tcPr>
          <w:p w:rsidR="00000000" w:rsidRDefault="00000000">
            <w:pPr>
              <w:pStyle w:val="SingleTxt"/>
              <w:tabs>
                <w:tab w:val="clear" w:pos="1267"/>
                <w:tab w:val="left" w:pos="1170"/>
              </w:tabs>
              <w:ind w:left="0" w:right="-50"/>
              <w:jc w:val="right"/>
              <w:rPr>
                <w:sz w:val="17"/>
              </w:rPr>
            </w:pPr>
            <w:r>
              <w:rPr>
                <w:sz w:val="17"/>
              </w:rPr>
              <w:t>37.1</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Information and computer technology</w:t>
            </w:r>
          </w:p>
        </w:tc>
        <w:tc>
          <w:tcPr>
            <w:tcW w:w="729" w:type="dxa"/>
          </w:tcPr>
          <w:p w:rsidR="00000000" w:rsidRDefault="00000000">
            <w:pPr>
              <w:pStyle w:val="SingleTxt"/>
              <w:tabs>
                <w:tab w:val="clear" w:pos="1267"/>
                <w:tab w:val="left" w:pos="1170"/>
              </w:tabs>
              <w:ind w:left="0" w:right="-50"/>
              <w:jc w:val="right"/>
              <w:rPr>
                <w:sz w:val="17"/>
              </w:rPr>
            </w:pPr>
            <w:r>
              <w:rPr>
                <w:sz w:val="17"/>
              </w:rPr>
              <w:t>4.4</w:t>
            </w:r>
          </w:p>
        </w:tc>
        <w:tc>
          <w:tcPr>
            <w:tcW w:w="774" w:type="dxa"/>
          </w:tcPr>
          <w:p w:rsidR="00000000" w:rsidRDefault="00000000">
            <w:pPr>
              <w:pStyle w:val="SingleTxt"/>
              <w:tabs>
                <w:tab w:val="clear" w:pos="1267"/>
                <w:tab w:val="left" w:pos="1170"/>
              </w:tabs>
              <w:ind w:left="0" w:right="-50"/>
              <w:jc w:val="right"/>
              <w:rPr>
                <w:sz w:val="17"/>
              </w:rPr>
            </w:pPr>
            <w:r>
              <w:rPr>
                <w:sz w:val="17"/>
              </w:rPr>
              <w:t>1.0</w:t>
            </w:r>
          </w:p>
        </w:tc>
        <w:tc>
          <w:tcPr>
            <w:tcW w:w="792" w:type="dxa"/>
          </w:tcPr>
          <w:p w:rsidR="00000000" w:rsidRDefault="00000000">
            <w:pPr>
              <w:pStyle w:val="SingleTxt"/>
              <w:tabs>
                <w:tab w:val="clear" w:pos="1267"/>
                <w:tab w:val="left" w:pos="1170"/>
              </w:tabs>
              <w:ind w:left="0" w:right="-50"/>
              <w:jc w:val="right"/>
              <w:rPr>
                <w:sz w:val="17"/>
              </w:rPr>
            </w:pPr>
            <w:r>
              <w:rPr>
                <w:sz w:val="17"/>
              </w:rPr>
              <w:t>3.4</w:t>
            </w:r>
          </w:p>
        </w:tc>
        <w:tc>
          <w:tcPr>
            <w:tcW w:w="801" w:type="dxa"/>
          </w:tcPr>
          <w:p w:rsidR="00000000" w:rsidRDefault="00000000">
            <w:pPr>
              <w:pStyle w:val="SingleTxt"/>
              <w:tabs>
                <w:tab w:val="clear" w:pos="1267"/>
                <w:tab w:val="left" w:pos="1170"/>
              </w:tabs>
              <w:ind w:left="0" w:right="-50"/>
              <w:jc w:val="right"/>
              <w:rPr>
                <w:sz w:val="17"/>
              </w:rPr>
            </w:pPr>
            <w:r>
              <w:rPr>
                <w:sz w:val="17"/>
              </w:rPr>
              <w:t>77.3</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3.7</w:t>
            </w:r>
          </w:p>
        </w:tc>
        <w:tc>
          <w:tcPr>
            <w:tcW w:w="810" w:type="dxa"/>
          </w:tcPr>
          <w:p w:rsidR="00000000" w:rsidRDefault="00000000">
            <w:pPr>
              <w:pStyle w:val="SingleTxt"/>
              <w:tabs>
                <w:tab w:val="clear" w:pos="1267"/>
                <w:tab w:val="left" w:pos="1170"/>
              </w:tabs>
              <w:ind w:left="0" w:right="-50"/>
              <w:jc w:val="right"/>
              <w:rPr>
                <w:sz w:val="17"/>
              </w:rPr>
            </w:pPr>
            <w:r>
              <w:rPr>
                <w:sz w:val="17"/>
              </w:rPr>
              <w:t>0.9</w:t>
            </w:r>
          </w:p>
        </w:tc>
        <w:tc>
          <w:tcPr>
            <w:tcW w:w="810" w:type="dxa"/>
          </w:tcPr>
          <w:p w:rsidR="00000000" w:rsidRDefault="00000000">
            <w:pPr>
              <w:pStyle w:val="SingleTxt"/>
              <w:tabs>
                <w:tab w:val="clear" w:pos="1267"/>
                <w:tab w:val="left" w:pos="1170"/>
              </w:tabs>
              <w:ind w:left="0" w:right="-50"/>
              <w:jc w:val="right"/>
              <w:rPr>
                <w:sz w:val="17"/>
              </w:rPr>
            </w:pPr>
            <w:r>
              <w:rPr>
                <w:sz w:val="17"/>
              </w:rPr>
              <w:t>2.8</w:t>
            </w:r>
          </w:p>
        </w:tc>
        <w:tc>
          <w:tcPr>
            <w:tcW w:w="778" w:type="dxa"/>
          </w:tcPr>
          <w:p w:rsidR="00000000" w:rsidRDefault="00000000">
            <w:pPr>
              <w:pStyle w:val="SingleTxt"/>
              <w:tabs>
                <w:tab w:val="clear" w:pos="1267"/>
                <w:tab w:val="left" w:pos="1170"/>
              </w:tabs>
              <w:ind w:left="0" w:right="-50"/>
              <w:jc w:val="right"/>
              <w:rPr>
                <w:sz w:val="17"/>
              </w:rPr>
            </w:pPr>
            <w:r>
              <w:rPr>
                <w:sz w:val="17"/>
              </w:rPr>
              <w:t>75.7</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Real estate operations</w:t>
            </w:r>
          </w:p>
        </w:tc>
        <w:tc>
          <w:tcPr>
            <w:tcW w:w="729" w:type="dxa"/>
          </w:tcPr>
          <w:p w:rsidR="00000000" w:rsidRDefault="00000000">
            <w:pPr>
              <w:pStyle w:val="SingleTxt"/>
              <w:tabs>
                <w:tab w:val="clear" w:pos="1267"/>
                <w:tab w:val="left" w:pos="1170"/>
              </w:tabs>
              <w:ind w:left="0" w:right="-50"/>
              <w:jc w:val="right"/>
              <w:rPr>
                <w:sz w:val="17"/>
              </w:rPr>
            </w:pPr>
            <w:r>
              <w:rPr>
                <w:sz w:val="17"/>
              </w:rPr>
              <w:t>0.9</w:t>
            </w:r>
          </w:p>
        </w:tc>
        <w:tc>
          <w:tcPr>
            <w:tcW w:w="774" w:type="dxa"/>
          </w:tcPr>
          <w:p w:rsidR="00000000" w:rsidRDefault="00000000">
            <w:pPr>
              <w:pStyle w:val="SingleTxt"/>
              <w:tabs>
                <w:tab w:val="clear" w:pos="1267"/>
                <w:tab w:val="left" w:pos="1170"/>
              </w:tabs>
              <w:ind w:left="0" w:right="-50"/>
              <w:jc w:val="right"/>
              <w:rPr>
                <w:sz w:val="17"/>
              </w:rPr>
            </w:pPr>
            <w:r>
              <w:rPr>
                <w:sz w:val="17"/>
              </w:rPr>
              <w:t>0.3</w:t>
            </w:r>
          </w:p>
        </w:tc>
        <w:tc>
          <w:tcPr>
            <w:tcW w:w="792" w:type="dxa"/>
          </w:tcPr>
          <w:p w:rsidR="00000000" w:rsidRDefault="00000000">
            <w:pPr>
              <w:pStyle w:val="SingleTxt"/>
              <w:tabs>
                <w:tab w:val="clear" w:pos="1267"/>
                <w:tab w:val="left" w:pos="1170"/>
              </w:tabs>
              <w:ind w:left="0" w:right="-50"/>
              <w:jc w:val="right"/>
              <w:rPr>
                <w:sz w:val="17"/>
              </w:rPr>
            </w:pPr>
            <w:r>
              <w:rPr>
                <w:sz w:val="17"/>
              </w:rPr>
              <w:t>0.6</w:t>
            </w:r>
          </w:p>
        </w:tc>
        <w:tc>
          <w:tcPr>
            <w:tcW w:w="801" w:type="dxa"/>
          </w:tcPr>
          <w:p w:rsidR="00000000" w:rsidRDefault="00000000">
            <w:pPr>
              <w:pStyle w:val="SingleTxt"/>
              <w:tabs>
                <w:tab w:val="clear" w:pos="1267"/>
                <w:tab w:val="left" w:pos="1170"/>
              </w:tabs>
              <w:ind w:left="0" w:right="-50"/>
              <w:jc w:val="right"/>
              <w:rPr>
                <w:sz w:val="17"/>
              </w:rPr>
            </w:pPr>
            <w:r>
              <w:rPr>
                <w:sz w:val="17"/>
              </w:rPr>
              <w:t>66.7</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1.1</w:t>
            </w:r>
          </w:p>
        </w:tc>
        <w:tc>
          <w:tcPr>
            <w:tcW w:w="810" w:type="dxa"/>
          </w:tcPr>
          <w:p w:rsidR="00000000" w:rsidRDefault="00000000">
            <w:pPr>
              <w:pStyle w:val="SingleTxt"/>
              <w:tabs>
                <w:tab w:val="clear" w:pos="1267"/>
                <w:tab w:val="left" w:pos="1170"/>
              </w:tabs>
              <w:ind w:left="0" w:right="-50"/>
              <w:jc w:val="right"/>
              <w:rPr>
                <w:sz w:val="17"/>
              </w:rPr>
            </w:pPr>
            <w:r>
              <w:rPr>
                <w:sz w:val="17"/>
              </w:rPr>
              <w:t>0.3</w:t>
            </w:r>
          </w:p>
        </w:tc>
        <w:tc>
          <w:tcPr>
            <w:tcW w:w="810" w:type="dxa"/>
          </w:tcPr>
          <w:p w:rsidR="00000000" w:rsidRDefault="00000000">
            <w:pPr>
              <w:pStyle w:val="SingleTxt"/>
              <w:tabs>
                <w:tab w:val="clear" w:pos="1267"/>
                <w:tab w:val="left" w:pos="1170"/>
              </w:tabs>
              <w:ind w:left="0" w:right="-50"/>
              <w:jc w:val="right"/>
              <w:rPr>
                <w:sz w:val="17"/>
              </w:rPr>
            </w:pPr>
            <w:r>
              <w:rPr>
                <w:sz w:val="17"/>
              </w:rPr>
              <w:t>0.8</w:t>
            </w:r>
          </w:p>
        </w:tc>
        <w:tc>
          <w:tcPr>
            <w:tcW w:w="778" w:type="dxa"/>
          </w:tcPr>
          <w:p w:rsidR="00000000" w:rsidRDefault="00000000">
            <w:pPr>
              <w:pStyle w:val="SingleTxt"/>
              <w:tabs>
                <w:tab w:val="clear" w:pos="1267"/>
                <w:tab w:val="left" w:pos="1170"/>
              </w:tabs>
              <w:ind w:left="0" w:right="-50"/>
              <w:jc w:val="right"/>
              <w:rPr>
                <w:sz w:val="17"/>
              </w:rPr>
            </w:pPr>
            <w:r>
              <w:rPr>
                <w:sz w:val="17"/>
              </w:rPr>
              <w:t>72.7</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General commercial activity for market operations</w:t>
            </w:r>
          </w:p>
        </w:tc>
        <w:tc>
          <w:tcPr>
            <w:tcW w:w="729" w:type="dxa"/>
          </w:tcPr>
          <w:p w:rsidR="00000000" w:rsidRDefault="00000000">
            <w:pPr>
              <w:pStyle w:val="SingleTxt"/>
              <w:tabs>
                <w:tab w:val="clear" w:pos="1267"/>
                <w:tab w:val="left" w:pos="1170"/>
              </w:tabs>
              <w:ind w:left="0" w:right="-50"/>
              <w:jc w:val="right"/>
              <w:rPr>
                <w:sz w:val="17"/>
              </w:rPr>
            </w:pPr>
            <w:r>
              <w:rPr>
                <w:sz w:val="17"/>
              </w:rPr>
              <w:t>2.8</w:t>
            </w:r>
          </w:p>
        </w:tc>
        <w:tc>
          <w:tcPr>
            <w:tcW w:w="774" w:type="dxa"/>
          </w:tcPr>
          <w:p w:rsidR="00000000" w:rsidRDefault="00000000">
            <w:pPr>
              <w:pStyle w:val="SingleTxt"/>
              <w:tabs>
                <w:tab w:val="clear" w:pos="1267"/>
                <w:tab w:val="left" w:pos="1170"/>
              </w:tabs>
              <w:ind w:left="0" w:right="-50"/>
              <w:jc w:val="right"/>
              <w:rPr>
                <w:sz w:val="17"/>
              </w:rPr>
            </w:pPr>
            <w:r>
              <w:rPr>
                <w:sz w:val="17"/>
              </w:rPr>
              <w:t>1.6</w:t>
            </w:r>
          </w:p>
        </w:tc>
        <w:tc>
          <w:tcPr>
            <w:tcW w:w="792" w:type="dxa"/>
          </w:tcPr>
          <w:p w:rsidR="00000000" w:rsidRDefault="00000000">
            <w:pPr>
              <w:pStyle w:val="SingleTxt"/>
              <w:tabs>
                <w:tab w:val="clear" w:pos="1267"/>
                <w:tab w:val="left" w:pos="1170"/>
              </w:tabs>
              <w:ind w:left="0" w:right="-50"/>
              <w:jc w:val="right"/>
              <w:rPr>
                <w:sz w:val="17"/>
              </w:rPr>
            </w:pPr>
            <w:r>
              <w:rPr>
                <w:sz w:val="17"/>
              </w:rPr>
              <w:t>1.2</w:t>
            </w:r>
          </w:p>
        </w:tc>
        <w:tc>
          <w:tcPr>
            <w:tcW w:w="801" w:type="dxa"/>
          </w:tcPr>
          <w:p w:rsidR="00000000" w:rsidRDefault="00000000">
            <w:pPr>
              <w:pStyle w:val="SingleTxt"/>
              <w:tabs>
                <w:tab w:val="clear" w:pos="1267"/>
                <w:tab w:val="left" w:pos="1170"/>
              </w:tabs>
              <w:ind w:left="0" w:right="-50"/>
              <w:jc w:val="right"/>
              <w:rPr>
                <w:sz w:val="17"/>
              </w:rPr>
            </w:pPr>
            <w:r>
              <w:rPr>
                <w:sz w:val="17"/>
              </w:rPr>
              <w:t>42.9</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4.2</w:t>
            </w:r>
          </w:p>
        </w:tc>
        <w:tc>
          <w:tcPr>
            <w:tcW w:w="810" w:type="dxa"/>
          </w:tcPr>
          <w:p w:rsidR="00000000" w:rsidRDefault="00000000">
            <w:pPr>
              <w:pStyle w:val="SingleTxt"/>
              <w:tabs>
                <w:tab w:val="clear" w:pos="1267"/>
                <w:tab w:val="left" w:pos="1170"/>
              </w:tabs>
              <w:ind w:left="0" w:right="-50"/>
              <w:jc w:val="right"/>
              <w:rPr>
                <w:sz w:val="17"/>
              </w:rPr>
            </w:pPr>
            <w:r>
              <w:rPr>
                <w:sz w:val="17"/>
              </w:rPr>
              <w:t>2.0</w:t>
            </w:r>
          </w:p>
        </w:tc>
        <w:tc>
          <w:tcPr>
            <w:tcW w:w="810" w:type="dxa"/>
          </w:tcPr>
          <w:p w:rsidR="00000000" w:rsidRDefault="00000000">
            <w:pPr>
              <w:pStyle w:val="SingleTxt"/>
              <w:tabs>
                <w:tab w:val="clear" w:pos="1267"/>
                <w:tab w:val="left" w:pos="1170"/>
              </w:tabs>
              <w:ind w:left="0" w:right="-50"/>
              <w:jc w:val="right"/>
              <w:rPr>
                <w:sz w:val="17"/>
              </w:rPr>
            </w:pPr>
            <w:r>
              <w:rPr>
                <w:sz w:val="17"/>
              </w:rPr>
              <w:t>2.2</w:t>
            </w:r>
          </w:p>
        </w:tc>
        <w:tc>
          <w:tcPr>
            <w:tcW w:w="778" w:type="dxa"/>
          </w:tcPr>
          <w:p w:rsidR="00000000" w:rsidRDefault="00000000">
            <w:pPr>
              <w:pStyle w:val="SingleTxt"/>
              <w:tabs>
                <w:tab w:val="clear" w:pos="1267"/>
                <w:tab w:val="left" w:pos="1170"/>
              </w:tabs>
              <w:ind w:left="0" w:right="-50"/>
              <w:jc w:val="right"/>
              <w:rPr>
                <w:sz w:val="17"/>
              </w:rPr>
            </w:pPr>
            <w:r>
              <w:rPr>
                <w:sz w:val="17"/>
              </w:rPr>
              <w:t>52.4</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Geology, prospecting, geodesy and hydro-meteorology</w:t>
            </w:r>
          </w:p>
        </w:tc>
        <w:tc>
          <w:tcPr>
            <w:tcW w:w="729" w:type="dxa"/>
          </w:tcPr>
          <w:p w:rsidR="00000000" w:rsidRDefault="00000000">
            <w:pPr>
              <w:pStyle w:val="SingleTxt"/>
              <w:tabs>
                <w:tab w:val="clear" w:pos="1267"/>
                <w:tab w:val="left" w:pos="1170"/>
              </w:tabs>
              <w:ind w:left="0" w:right="-50"/>
              <w:jc w:val="right"/>
              <w:rPr>
                <w:sz w:val="17"/>
              </w:rPr>
            </w:pPr>
            <w:r>
              <w:rPr>
                <w:sz w:val="17"/>
              </w:rPr>
              <w:t>20.5</w:t>
            </w:r>
          </w:p>
        </w:tc>
        <w:tc>
          <w:tcPr>
            <w:tcW w:w="774" w:type="dxa"/>
          </w:tcPr>
          <w:p w:rsidR="00000000" w:rsidRDefault="00000000">
            <w:pPr>
              <w:pStyle w:val="SingleTxt"/>
              <w:tabs>
                <w:tab w:val="clear" w:pos="1267"/>
                <w:tab w:val="left" w:pos="1170"/>
              </w:tabs>
              <w:ind w:left="0" w:right="-50"/>
              <w:jc w:val="right"/>
              <w:rPr>
                <w:sz w:val="17"/>
              </w:rPr>
            </w:pPr>
            <w:r>
              <w:rPr>
                <w:sz w:val="17"/>
              </w:rPr>
              <w:t>12.9</w:t>
            </w:r>
          </w:p>
        </w:tc>
        <w:tc>
          <w:tcPr>
            <w:tcW w:w="792" w:type="dxa"/>
          </w:tcPr>
          <w:p w:rsidR="00000000" w:rsidRDefault="00000000">
            <w:pPr>
              <w:pStyle w:val="SingleTxt"/>
              <w:tabs>
                <w:tab w:val="clear" w:pos="1267"/>
                <w:tab w:val="left" w:pos="1170"/>
              </w:tabs>
              <w:ind w:left="0" w:right="-50"/>
              <w:jc w:val="right"/>
              <w:rPr>
                <w:sz w:val="17"/>
              </w:rPr>
            </w:pPr>
            <w:r>
              <w:rPr>
                <w:sz w:val="17"/>
              </w:rPr>
              <w:t>7.6</w:t>
            </w:r>
          </w:p>
        </w:tc>
        <w:tc>
          <w:tcPr>
            <w:tcW w:w="801" w:type="dxa"/>
          </w:tcPr>
          <w:p w:rsidR="00000000" w:rsidRDefault="00000000">
            <w:pPr>
              <w:pStyle w:val="SingleTxt"/>
              <w:tabs>
                <w:tab w:val="clear" w:pos="1267"/>
                <w:tab w:val="left" w:pos="1170"/>
              </w:tabs>
              <w:ind w:left="0" w:right="-50"/>
              <w:jc w:val="right"/>
              <w:rPr>
                <w:sz w:val="17"/>
              </w:rPr>
            </w:pPr>
            <w:r>
              <w:rPr>
                <w:sz w:val="17"/>
              </w:rPr>
              <w:t>37.1</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16.4</w:t>
            </w:r>
          </w:p>
        </w:tc>
        <w:tc>
          <w:tcPr>
            <w:tcW w:w="810" w:type="dxa"/>
          </w:tcPr>
          <w:p w:rsidR="00000000" w:rsidRDefault="00000000">
            <w:pPr>
              <w:pStyle w:val="SingleTxt"/>
              <w:tabs>
                <w:tab w:val="clear" w:pos="1267"/>
                <w:tab w:val="left" w:pos="1170"/>
              </w:tabs>
              <w:ind w:left="0" w:right="-50"/>
              <w:jc w:val="right"/>
              <w:rPr>
                <w:sz w:val="17"/>
              </w:rPr>
            </w:pPr>
            <w:r>
              <w:rPr>
                <w:sz w:val="17"/>
              </w:rPr>
              <w:t>9.9</w:t>
            </w:r>
          </w:p>
        </w:tc>
        <w:tc>
          <w:tcPr>
            <w:tcW w:w="810" w:type="dxa"/>
          </w:tcPr>
          <w:p w:rsidR="00000000" w:rsidRDefault="00000000">
            <w:pPr>
              <w:pStyle w:val="SingleTxt"/>
              <w:tabs>
                <w:tab w:val="clear" w:pos="1267"/>
                <w:tab w:val="left" w:pos="1170"/>
              </w:tabs>
              <w:ind w:left="0" w:right="-50"/>
              <w:jc w:val="right"/>
              <w:rPr>
                <w:sz w:val="17"/>
              </w:rPr>
            </w:pPr>
            <w:r>
              <w:rPr>
                <w:sz w:val="17"/>
              </w:rPr>
              <w:t>6.5</w:t>
            </w:r>
          </w:p>
        </w:tc>
        <w:tc>
          <w:tcPr>
            <w:tcW w:w="778" w:type="dxa"/>
          </w:tcPr>
          <w:p w:rsidR="00000000" w:rsidRDefault="00000000">
            <w:pPr>
              <w:pStyle w:val="SingleTxt"/>
              <w:tabs>
                <w:tab w:val="clear" w:pos="1267"/>
                <w:tab w:val="left" w:pos="1170"/>
              </w:tabs>
              <w:ind w:left="0" w:right="-50"/>
              <w:jc w:val="right"/>
              <w:rPr>
                <w:sz w:val="17"/>
              </w:rPr>
            </w:pPr>
            <w:r>
              <w:rPr>
                <w:sz w:val="17"/>
              </w:rPr>
              <w:t>39.6</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Other activities in the materials production sphere</w:t>
            </w:r>
          </w:p>
        </w:tc>
        <w:tc>
          <w:tcPr>
            <w:tcW w:w="729" w:type="dxa"/>
          </w:tcPr>
          <w:p w:rsidR="00000000" w:rsidRDefault="00000000">
            <w:pPr>
              <w:pStyle w:val="SingleTxt"/>
              <w:tabs>
                <w:tab w:val="clear" w:pos="1267"/>
                <w:tab w:val="left" w:pos="1170"/>
              </w:tabs>
              <w:ind w:left="0" w:right="-50"/>
              <w:jc w:val="right"/>
              <w:rPr>
                <w:sz w:val="17"/>
              </w:rPr>
            </w:pPr>
            <w:r>
              <w:rPr>
                <w:sz w:val="17"/>
              </w:rPr>
              <w:t>45</w:t>
            </w:r>
          </w:p>
        </w:tc>
        <w:tc>
          <w:tcPr>
            <w:tcW w:w="774" w:type="dxa"/>
          </w:tcPr>
          <w:p w:rsidR="00000000" w:rsidRDefault="00000000">
            <w:pPr>
              <w:pStyle w:val="SingleTxt"/>
              <w:tabs>
                <w:tab w:val="clear" w:pos="1267"/>
                <w:tab w:val="left" w:pos="1170"/>
              </w:tabs>
              <w:ind w:left="0" w:right="-50"/>
              <w:jc w:val="right"/>
              <w:rPr>
                <w:sz w:val="17"/>
              </w:rPr>
            </w:pPr>
            <w:r>
              <w:rPr>
                <w:sz w:val="17"/>
              </w:rPr>
              <w:t>31.2</w:t>
            </w:r>
          </w:p>
        </w:tc>
        <w:tc>
          <w:tcPr>
            <w:tcW w:w="792" w:type="dxa"/>
          </w:tcPr>
          <w:p w:rsidR="00000000" w:rsidRDefault="00000000">
            <w:pPr>
              <w:pStyle w:val="SingleTxt"/>
              <w:tabs>
                <w:tab w:val="clear" w:pos="1267"/>
                <w:tab w:val="left" w:pos="1170"/>
              </w:tabs>
              <w:ind w:left="0" w:right="-50"/>
              <w:jc w:val="right"/>
              <w:rPr>
                <w:sz w:val="17"/>
              </w:rPr>
            </w:pPr>
            <w:r>
              <w:rPr>
                <w:sz w:val="17"/>
              </w:rPr>
              <w:t>13.8</w:t>
            </w:r>
          </w:p>
        </w:tc>
        <w:tc>
          <w:tcPr>
            <w:tcW w:w="801" w:type="dxa"/>
          </w:tcPr>
          <w:p w:rsidR="00000000" w:rsidRDefault="00000000">
            <w:pPr>
              <w:pStyle w:val="SingleTxt"/>
              <w:tabs>
                <w:tab w:val="clear" w:pos="1267"/>
                <w:tab w:val="left" w:pos="1170"/>
              </w:tabs>
              <w:ind w:left="0" w:right="-50"/>
              <w:jc w:val="right"/>
              <w:rPr>
                <w:sz w:val="17"/>
              </w:rPr>
            </w:pPr>
            <w:r>
              <w:rPr>
                <w:sz w:val="17"/>
              </w:rPr>
              <w:t>30.7</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34.9</w:t>
            </w:r>
          </w:p>
        </w:tc>
        <w:tc>
          <w:tcPr>
            <w:tcW w:w="810" w:type="dxa"/>
          </w:tcPr>
          <w:p w:rsidR="00000000" w:rsidRDefault="00000000">
            <w:pPr>
              <w:pStyle w:val="SingleTxt"/>
              <w:tabs>
                <w:tab w:val="clear" w:pos="1267"/>
                <w:tab w:val="left" w:pos="1170"/>
              </w:tabs>
              <w:ind w:left="0" w:right="-50"/>
              <w:jc w:val="right"/>
              <w:rPr>
                <w:sz w:val="17"/>
              </w:rPr>
            </w:pPr>
            <w:r>
              <w:rPr>
                <w:sz w:val="17"/>
              </w:rPr>
              <w:t>24.5</w:t>
            </w:r>
          </w:p>
        </w:tc>
        <w:tc>
          <w:tcPr>
            <w:tcW w:w="810" w:type="dxa"/>
          </w:tcPr>
          <w:p w:rsidR="00000000" w:rsidRDefault="00000000">
            <w:pPr>
              <w:pStyle w:val="SingleTxt"/>
              <w:tabs>
                <w:tab w:val="clear" w:pos="1267"/>
                <w:tab w:val="left" w:pos="1170"/>
              </w:tabs>
              <w:ind w:left="0" w:right="-50"/>
              <w:jc w:val="right"/>
              <w:rPr>
                <w:sz w:val="17"/>
              </w:rPr>
            </w:pPr>
            <w:r>
              <w:rPr>
                <w:sz w:val="17"/>
              </w:rPr>
              <w:t>10.4</w:t>
            </w:r>
          </w:p>
        </w:tc>
        <w:tc>
          <w:tcPr>
            <w:tcW w:w="778" w:type="dxa"/>
          </w:tcPr>
          <w:p w:rsidR="00000000" w:rsidRDefault="00000000">
            <w:pPr>
              <w:pStyle w:val="SingleTxt"/>
              <w:tabs>
                <w:tab w:val="clear" w:pos="1267"/>
                <w:tab w:val="left" w:pos="1170"/>
              </w:tabs>
              <w:ind w:left="0" w:right="-50"/>
              <w:jc w:val="right"/>
              <w:rPr>
                <w:sz w:val="17"/>
              </w:rPr>
            </w:pPr>
            <w:r>
              <w:rPr>
                <w:sz w:val="17"/>
              </w:rPr>
              <w:t>29.8</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Housing and utilities</w:t>
            </w:r>
          </w:p>
        </w:tc>
        <w:tc>
          <w:tcPr>
            <w:tcW w:w="729" w:type="dxa"/>
          </w:tcPr>
          <w:p w:rsidR="00000000" w:rsidRDefault="00000000">
            <w:pPr>
              <w:pStyle w:val="SingleTxt"/>
              <w:tabs>
                <w:tab w:val="clear" w:pos="1267"/>
                <w:tab w:val="left" w:pos="1170"/>
              </w:tabs>
              <w:ind w:left="0" w:right="-50"/>
              <w:jc w:val="right"/>
              <w:rPr>
                <w:sz w:val="17"/>
              </w:rPr>
            </w:pPr>
            <w:r>
              <w:rPr>
                <w:sz w:val="17"/>
              </w:rPr>
              <w:t>146.3</w:t>
            </w:r>
          </w:p>
        </w:tc>
        <w:tc>
          <w:tcPr>
            <w:tcW w:w="774" w:type="dxa"/>
          </w:tcPr>
          <w:p w:rsidR="00000000" w:rsidRDefault="00000000">
            <w:pPr>
              <w:pStyle w:val="SingleTxt"/>
              <w:tabs>
                <w:tab w:val="clear" w:pos="1267"/>
                <w:tab w:val="left" w:pos="1170"/>
              </w:tabs>
              <w:ind w:left="0" w:right="-50"/>
              <w:jc w:val="right"/>
              <w:rPr>
                <w:sz w:val="17"/>
              </w:rPr>
            </w:pPr>
            <w:r>
              <w:rPr>
                <w:sz w:val="17"/>
              </w:rPr>
              <w:t>100.5</w:t>
            </w:r>
          </w:p>
        </w:tc>
        <w:tc>
          <w:tcPr>
            <w:tcW w:w="792" w:type="dxa"/>
          </w:tcPr>
          <w:p w:rsidR="00000000" w:rsidRDefault="00000000">
            <w:pPr>
              <w:pStyle w:val="SingleTxt"/>
              <w:tabs>
                <w:tab w:val="clear" w:pos="1267"/>
                <w:tab w:val="left" w:pos="1170"/>
              </w:tabs>
              <w:ind w:left="0" w:right="-50"/>
              <w:jc w:val="right"/>
              <w:rPr>
                <w:sz w:val="17"/>
              </w:rPr>
            </w:pPr>
            <w:r>
              <w:rPr>
                <w:sz w:val="17"/>
              </w:rPr>
              <w:t>45.8</w:t>
            </w:r>
          </w:p>
        </w:tc>
        <w:tc>
          <w:tcPr>
            <w:tcW w:w="801" w:type="dxa"/>
          </w:tcPr>
          <w:p w:rsidR="00000000" w:rsidRDefault="00000000">
            <w:pPr>
              <w:pStyle w:val="SingleTxt"/>
              <w:tabs>
                <w:tab w:val="clear" w:pos="1267"/>
                <w:tab w:val="left" w:pos="1170"/>
              </w:tabs>
              <w:ind w:left="0" w:right="-50"/>
              <w:jc w:val="right"/>
              <w:rPr>
                <w:sz w:val="17"/>
              </w:rPr>
            </w:pPr>
            <w:r>
              <w:rPr>
                <w:sz w:val="17"/>
              </w:rPr>
              <w:t>31.3</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135.2</w:t>
            </w:r>
          </w:p>
        </w:tc>
        <w:tc>
          <w:tcPr>
            <w:tcW w:w="810" w:type="dxa"/>
          </w:tcPr>
          <w:p w:rsidR="00000000" w:rsidRDefault="00000000">
            <w:pPr>
              <w:pStyle w:val="SingleTxt"/>
              <w:tabs>
                <w:tab w:val="clear" w:pos="1267"/>
                <w:tab w:val="left" w:pos="1170"/>
              </w:tabs>
              <w:ind w:left="0" w:right="-50"/>
              <w:jc w:val="right"/>
              <w:rPr>
                <w:sz w:val="17"/>
              </w:rPr>
            </w:pPr>
            <w:r>
              <w:rPr>
                <w:sz w:val="17"/>
              </w:rPr>
              <w:t>91.0</w:t>
            </w:r>
          </w:p>
        </w:tc>
        <w:tc>
          <w:tcPr>
            <w:tcW w:w="810" w:type="dxa"/>
          </w:tcPr>
          <w:p w:rsidR="00000000" w:rsidRDefault="00000000">
            <w:pPr>
              <w:pStyle w:val="SingleTxt"/>
              <w:tabs>
                <w:tab w:val="clear" w:pos="1267"/>
                <w:tab w:val="left" w:pos="1170"/>
              </w:tabs>
              <w:ind w:left="0" w:right="-50"/>
              <w:jc w:val="right"/>
              <w:rPr>
                <w:sz w:val="17"/>
              </w:rPr>
            </w:pPr>
            <w:r>
              <w:rPr>
                <w:sz w:val="17"/>
              </w:rPr>
              <w:t>44.2</w:t>
            </w:r>
          </w:p>
        </w:tc>
        <w:tc>
          <w:tcPr>
            <w:tcW w:w="778" w:type="dxa"/>
          </w:tcPr>
          <w:p w:rsidR="00000000" w:rsidRDefault="00000000">
            <w:pPr>
              <w:pStyle w:val="SingleTxt"/>
              <w:tabs>
                <w:tab w:val="clear" w:pos="1267"/>
                <w:tab w:val="left" w:pos="1170"/>
              </w:tabs>
              <w:ind w:left="0" w:right="-50"/>
              <w:jc w:val="right"/>
              <w:rPr>
                <w:sz w:val="17"/>
              </w:rPr>
            </w:pPr>
            <w:r>
              <w:rPr>
                <w:sz w:val="17"/>
              </w:rPr>
              <w:t>32.7</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Personal consumer services</w:t>
            </w:r>
          </w:p>
        </w:tc>
        <w:tc>
          <w:tcPr>
            <w:tcW w:w="729" w:type="dxa"/>
          </w:tcPr>
          <w:p w:rsidR="00000000" w:rsidRDefault="00000000">
            <w:pPr>
              <w:pStyle w:val="SingleTxt"/>
              <w:tabs>
                <w:tab w:val="clear" w:pos="1267"/>
                <w:tab w:val="left" w:pos="1170"/>
              </w:tabs>
              <w:ind w:left="0" w:right="-50"/>
              <w:jc w:val="right"/>
              <w:rPr>
                <w:sz w:val="17"/>
              </w:rPr>
            </w:pPr>
            <w:r>
              <w:rPr>
                <w:sz w:val="17"/>
              </w:rPr>
              <w:t>26.5</w:t>
            </w:r>
          </w:p>
        </w:tc>
        <w:tc>
          <w:tcPr>
            <w:tcW w:w="774" w:type="dxa"/>
          </w:tcPr>
          <w:p w:rsidR="00000000" w:rsidRDefault="00000000">
            <w:pPr>
              <w:pStyle w:val="SingleTxt"/>
              <w:tabs>
                <w:tab w:val="clear" w:pos="1267"/>
                <w:tab w:val="left" w:pos="1170"/>
              </w:tabs>
              <w:ind w:left="0" w:right="-50"/>
              <w:jc w:val="right"/>
              <w:rPr>
                <w:sz w:val="17"/>
              </w:rPr>
            </w:pPr>
            <w:r>
              <w:rPr>
                <w:sz w:val="17"/>
              </w:rPr>
              <w:t>10.6</w:t>
            </w:r>
          </w:p>
        </w:tc>
        <w:tc>
          <w:tcPr>
            <w:tcW w:w="792" w:type="dxa"/>
          </w:tcPr>
          <w:p w:rsidR="00000000" w:rsidRDefault="00000000">
            <w:pPr>
              <w:pStyle w:val="SingleTxt"/>
              <w:tabs>
                <w:tab w:val="clear" w:pos="1267"/>
                <w:tab w:val="left" w:pos="1170"/>
              </w:tabs>
              <w:ind w:left="0" w:right="-50"/>
              <w:jc w:val="right"/>
              <w:rPr>
                <w:sz w:val="17"/>
              </w:rPr>
            </w:pPr>
            <w:r>
              <w:rPr>
                <w:sz w:val="17"/>
              </w:rPr>
              <w:t>15.9</w:t>
            </w:r>
          </w:p>
        </w:tc>
        <w:tc>
          <w:tcPr>
            <w:tcW w:w="801" w:type="dxa"/>
          </w:tcPr>
          <w:p w:rsidR="00000000" w:rsidRDefault="00000000">
            <w:pPr>
              <w:pStyle w:val="SingleTxt"/>
              <w:tabs>
                <w:tab w:val="clear" w:pos="1267"/>
                <w:tab w:val="left" w:pos="1170"/>
              </w:tabs>
              <w:ind w:left="0" w:right="-50"/>
              <w:jc w:val="right"/>
              <w:rPr>
                <w:sz w:val="17"/>
              </w:rPr>
            </w:pPr>
            <w:r>
              <w:rPr>
                <w:sz w:val="17"/>
              </w:rPr>
              <w:t>60.0</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20.6</w:t>
            </w:r>
          </w:p>
        </w:tc>
        <w:tc>
          <w:tcPr>
            <w:tcW w:w="810" w:type="dxa"/>
          </w:tcPr>
          <w:p w:rsidR="00000000" w:rsidRDefault="00000000">
            <w:pPr>
              <w:pStyle w:val="SingleTxt"/>
              <w:tabs>
                <w:tab w:val="clear" w:pos="1267"/>
                <w:tab w:val="left" w:pos="1170"/>
              </w:tabs>
              <w:ind w:left="0" w:right="-50"/>
              <w:jc w:val="right"/>
              <w:rPr>
                <w:sz w:val="17"/>
              </w:rPr>
            </w:pPr>
            <w:r>
              <w:rPr>
                <w:sz w:val="17"/>
              </w:rPr>
              <w:t>9.0</w:t>
            </w:r>
          </w:p>
        </w:tc>
        <w:tc>
          <w:tcPr>
            <w:tcW w:w="810" w:type="dxa"/>
          </w:tcPr>
          <w:p w:rsidR="00000000" w:rsidRDefault="00000000">
            <w:pPr>
              <w:pStyle w:val="SingleTxt"/>
              <w:tabs>
                <w:tab w:val="clear" w:pos="1267"/>
                <w:tab w:val="left" w:pos="1170"/>
              </w:tabs>
              <w:ind w:left="0" w:right="-50"/>
              <w:jc w:val="right"/>
              <w:rPr>
                <w:sz w:val="17"/>
              </w:rPr>
            </w:pPr>
            <w:r>
              <w:rPr>
                <w:sz w:val="17"/>
              </w:rPr>
              <w:t>11.6</w:t>
            </w:r>
          </w:p>
        </w:tc>
        <w:tc>
          <w:tcPr>
            <w:tcW w:w="778" w:type="dxa"/>
          </w:tcPr>
          <w:p w:rsidR="00000000" w:rsidRDefault="00000000">
            <w:pPr>
              <w:pStyle w:val="SingleTxt"/>
              <w:tabs>
                <w:tab w:val="clear" w:pos="1267"/>
                <w:tab w:val="left" w:pos="1170"/>
              </w:tabs>
              <w:ind w:left="0" w:right="-50"/>
              <w:jc w:val="right"/>
              <w:rPr>
                <w:sz w:val="17"/>
              </w:rPr>
            </w:pPr>
            <w:r>
              <w:rPr>
                <w:sz w:val="17"/>
              </w:rPr>
              <w:t>56.3</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Health care, physical education and social security</w:t>
            </w:r>
          </w:p>
        </w:tc>
        <w:tc>
          <w:tcPr>
            <w:tcW w:w="729" w:type="dxa"/>
          </w:tcPr>
          <w:p w:rsidR="00000000" w:rsidRDefault="00000000">
            <w:pPr>
              <w:pStyle w:val="SingleTxt"/>
              <w:tabs>
                <w:tab w:val="clear" w:pos="1267"/>
                <w:tab w:val="left" w:pos="1170"/>
              </w:tabs>
              <w:ind w:left="0" w:right="-50"/>
              <w:jc w:val="right"/>
              <w:rPr>
                <w:sz w:val="17"/>
              </w:rPr>
            </w:pPr>
            <w:r>
              <w:rPr>
                <w:sz w:val="17"/>
              </w:rPr>
              <w:t>354.5</w:t>
            </w:r>
          </w:p>
        </w:tc>
        <w:tc>
          <w:tcPr>
            <w:tcW w:w="774" w:type="dxa"/>
          </w:tcPr>
          <w:p w:rsidR="00000000" w:rsidRDefault="00000000">
            <w:pPr>
              <w:pStyle w:val="SingleTxt"/>
              <w:tabs>
                <w:tab w:val="clear" w:pos="1267"/>
                <w:tab w:val="left" w:pos="1170"/>
              </w:tabs>
              <w:ind w:left="0" w:right="-50"/>
              <w:jc w:val="right"/>
              <w:rPr>
                <w:sz w:val="17"/>
              </w:rPr>
            </w:pPr>
            <w:r>
              <w:rPr>
                <w:sz w:val="17"/>
              </w:rPr>
              <w:t>59.7</w:t>
            </w:r>
          </w:p>
        </w:tc>
        <w:tc>
          <w:tcPr>
            <w:tcW w:w="792" w:type="dxa"/>
          </w:tcPr>
          <w:p w:rsidR="00000000" w:rsidRDefault="00000000">
            <w:pPr>
              <w:pStyle w:val="SingleTxt"/>
              <w:tabs>
                <w:tab w:val="clear" w:pos="1267"/>
                <w:tab w:val="left" w:pos="1170"/>
              </w:tabs>
              <w:ind w:left="0" w:right="-50"/>
              <w:jc w:val="right"/>
              <w:rPr>
                <w:sz w:val="17"/>
              </w:rPr>
            </w:pPr>
            <w:r>
              <w:rPr>
                <w:sz w:val="17"/>
              </w:rPr>
              <w:t>294.8</w:t>
            </w:r>
          </w:p>
        </w:tc>
        <w:tc>
          <w:tcPr>
            <w:tcW w:w="801" w:type="dxa"/>
          </w:tcPr>
          <w:p w:rsidR="00000000" w:rsidRDefault="00000000">
            <w:pPr>
              <w:pStyle w:val="SingleTxt"/>
              <w:tabs>
                <w:tab w:val="clear" w:pos="1267"/>
                <w:tab w:val="left" w:pos="1170"/>
              </w:tabs>
              <w:ind w:left="0" w:right="-50"/>
              <w:jc w:val="right"/>
              <w:rPr>
                <w:sz w:val="17"/>
              </w:rPr>
            </w:pPr>
            <w:r>
              <w:rPr>
                <w:sz w:val="17"/>
              </w:rPr>
              <w:t>83.2</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295.0</w:t>
            </w:r>
          </w:p>
        </w:tc>
        <w:tc>
          <w:tcPr>
            <w:tcW w:w="810" w:type="dxa"/>
          </w:tcPr>
          <w:p w:rsidR="00000000" w:rsidRDefault="00000000">
            <w:pPr>
              <w:pStyle w:val="SingleTxt"/>
              <w:tabs>
                <w:tab w:val="clear" w:pos="1267"/>
                <w:tab w:val="left" w:pos="1170"/>
              </w:tabs>
              <w:ind w:left="0" w:right="-50"/>
              <w:jc w:val="right"/>
              <w:rPr>
                <w:sz w:val="17"/>
              </w:rPr>
            </w:pPr>
            <w:r>
              <w:rPr>
                <w:sz w:val="17"/>
              </w:rPr>
              <w:t>52.4</w:t>
            </w:r>
          </w:p>
        </w:tc>
        <w:tc>
          <w:tcPr>
            <w:tcW w:w="810" w:type="dxa"/>
          </w:tcPr>
          <w:p w:rsidR="00000000" w:rsidRDefault="00000000">
            <w:pPr>
              <w:pStyle w:val="SingleTxt"/>
              <w:tabs>
                <w:tab w:val="clear" w:pos="1267"/>
                <w:tab w:val="left" w:pos="1170"/>
              </w:tabs>
              <w:ind w:left="0" w:right="-50"/>
              <w:jc w:val="right"/>
              <w:rPr>
                <w:sz w:val="17"/>
              </w:rPr>
            </w:pPr>
            <w:r>
              <w:rPr>
                <w:sz w:val="17"/>
              </w:rPr>
              <w:t>242.6</w:t>
            </w:r>
          </w:p>
        </w:tc>
        <w:tc>
          <w:tcPr>
            <w:tcW w:w="778" w:type="dxa"/>
          </w:tcPr>
          <w:p w:rsidR="00000000" w:rsidRDefault="00000000">
            <w:pPr>
              <w:pStyle w:val="SingleTxt"/>
              <w:tabs>
                <w:tab w:val="clear" w:pos="1267"/>
                <w:tab w:val="left" w:pos="1170"/>
              </w:tabs>
              <w:ind w:left="0" w:right="-50"/>
              <w:jc w:val="right"/>
              <w:rPr>
                <w:sz w:val="17"/>
              </w:rPr>
            </w:pPr>
            <w:r>
              <w:rPr>
                <w:sz w:val="17"/>
              </w:rPr>
              <w:t>82.2</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Education</w:t>
            </w:r>
          </w:p>
        </w:tc>
        <w:tc>
          <w:tcPr>
            <w:tcW w:w="729" w:type="dxa"/>
          </w:tcPr>
          <w:p w:rsidR="00000000" w:rsidRDefault="00000000">
            <w:pPr>
              <w:pStyle w:val="SingleTxt"/>
              <w:tabs>
                <w:tab w:val="clear" w:pos="1267"/>
                <w:tab w:val="left" w:pos="1170"/>
              </w:tabs>
              <w:ind w:left="0" w:right="-50"/>
              <w:jc w:val="right"/>
              <w:rPr>
                <w:sz w:val="17"/>
              </w:rPr>
            </w:pPr>
            <w:r>
              <w:rPr>
                <w:sz w:val="17"/>
              </w:rPr>
              <w:t>595.4</w:t>
            </w:r>
          </w:p>
        </w:tc>
        <w:tc>
          <w:tcPr>
            <w:tcW w:w="774" w:type="dxa"/>
          </w:tcPr>
          <w:p w:rsidR="00000000" w:rsidRDefault="00000000">
            <w:pPr>
              <w:pStyle w:val="SingleTxt"/>
              <w:tabs>
                <w:tab w:val="clear" w:pos="1267"/>
                <w:tab w:val="left" w:pos="1170"/>
              </w:tabs>
              <w:ind w:left="0" w:right="-50"/>
              <w:jc w:val="right"/>
              <w:rPr>
                <w:sz w:val="17"/>
              </w:rPr>
            </w:pPr>
            <w:r>
              <w:rPr>
                <w:sz w:val="17"/>
              </w:rPr>
              <w:t>143.7</w:t>
            </w:r>
          </w:p>
        </w:tc>
        <w:tc>
          <w:tcPr>
            <w:tcW w:w="792" w:type="dxa"/>
          </w:tcPr>
          <w:p w:rsidR="00000000" w:rsidRDefault="00000000">
            <w:pPr>
              <w:pStyle w:val="SingleTxt"/>
              <w:tabs>
                <w:tab w:val="clear" w:pos="1267"/>
                <w:tab w:val="left" w:pos="1170"/>
              </w:tabs>
              <w:ind w:left="0" w:right="-50"/>
              <w:jc w:val="right"/>
              <w:rPr>
                <w:sz w:val="17"/>
              </w:rPr>
            </w:pPr>
            <w:r>
              <w:rPr>
                <w:sz w:val="17"/>
              </w:rPr>
              <w:t>451.7</w:t>
            </w:r>
          </w:p>
        </w:tc>
        <w:tc>
          <w:tcPr>
            <w:tcW w:w="801" w:type="dxa"/>
          </w:tcPr>
          <w:p w:rsidR="00000000" w:rsidRDefault="00000000">
            <w:pPr>
              <w:pStyle w:val="SingleTxt"/>
              <w:tabs>
                <w:tab w:val="clear" w:pos="1267"/>
                <w:tab w:val="left" w:pos="1170"/>
              </w:tabs>
              <w:ind w:left="0" w:right="-50"/>
              <w:jc w:val="right"/>
              <w:rPr>
                <w:sz w:val="17"/>
              </w:rPr>
            </w:pPr>
            <w:r>
              <w:rPr>
                <w:sz w:val="17"/>
              </w:rPr>
              <w:t>75.9</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514.7</w:t>
            </w:r>
          </w:p>
        </w:tc>
        <w:tc>
          <w:tcPr>
            <w:tcW w:w="810" w:type="dxa"/>
          </w:tcPr>
          <w:p w:rsidR="00000000" w:rsidRDefault="00000000">
            <w:pPr>
              <w:pStyle w:val="SingleTxt"/>
              <w:tabs>
                <w:tab w:val="clear" w:pos="1267"/>
                <w:tab w:val="left" w:pos="1170"/>
              </w:tabs>
              <w:ind w:left="0" w:right="-50"/>
              <w:jc w:val="right"/>
              <w:rPr>
                <w:sz w:val="17"/>
              </w:rPr>
            </w:pPr>
            <w:r>
              <w:rPr>
                <w:sz w:val="17"/>
              </w:rPr>
              <w:t>120.4</w:t>
            </w:r>
          </w:p>
        </w:tc>
        <w:tc>
          <w:tcPr>
            <w:tcW w:w="810" w:type="dxa"/>
          </w:tcPr>
          <w:p w:rsidR="00000000" w:rsidRDefault="00000000">
            <w:pPr>
              <w:pStyle w:val="SingleTxt"/>
              <w:tabs>
                <w:tab w:val="clear" w:pos="1267"/>
                <w:tab w:val="left" w:pos="1170"/>
              </w:tabs>
              <w:ind w:left="0" w:right="-50"/>
              <w:jc w:val="right"/>
              <w:rPr>
                <w:sz w:val="17"/>
              </w:rPr>
            </w:pPr>
            <w:r>
              <w:rPr>
                <w:sz w:val="17"/>
              </w:rPr>
              <w:t>394.3</w:t>
            </w:r>
          </w:p>
        </w:tc>
        <w:tc>
          <w:tcPr>
            <w:tcW w:w="778" w:type="dxa"/>
          </w:tcPr>
          <w:p w:rsidR="00000000" w:rsidRDefault="00000000">
            <w:pPr>
              <w:pStyle w:val="SingleTxt"/>
              <w:tabs>
                <w:tab w:val="clear" w:pos="1267"/>
                <w:tab w:val="left" w:pos="1170"/>
              </w:tabs>
              <w:ind w:left="0" w:right="-50"/>
              <w:jc w:val="right"/>
              <w:rPr>
                <w:sz w:val="17"/>
              </w:rPr>
            </w:pPr>
            <w:r>
              <w:rPr>
                <w:sz w:val="17"/>
              </w:rPr>
              <w:t>76.6</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Arts</w:t>
            </w:r>
          </w:p>
        </w:tc>
        <w:tc>
          <w:tcPr>
            <w:tcW w:w="729" w:type="dxa"/>
          </w:tcPr>
          <w:p w:rsidR="00000000" w:rsidRDefault="00000000">
            <w:pPr>
              <w:pStyle w:val="SingleTxt"/>
              <w:tabs>
                <w:tab w:val="clear" w:pos="1267"/>
                <w:tab w:val="left" w:pos="1170"/>
              </w:tabs>
              <w:ind w:left="0" w:right="-50"/>
              <w:jc w:val="right"/>
              <w:rPr>
                <w:sz w:val="17"/>
              </w:rPr>
            </w:pPr>
            <w:r>
              <w:rPr>
                <w:sz w:val="17"/>
              </w:rPr>
              <w:t>7.3</w:t>
            </w:r>
          </w:p>
        </w:tc>
        <w:tc>
          <w:tcPr>
            <w:tcW w:w="774" w:type="dxa"/>
          </w:tcPr>
          <w:p w:rsidR="00000000" w:rsidRDefault="00000000">
            <w:pPr>
              <w:pStyle w:val="SingleTxt"/>
              <w:tabs>
                <w:tab w:val="clear" w:pos="1267"/>
                <w:tab w:val="left" w:pos="1170"/>
              </w:tabs>
              <w:ind w:left="0" w:right="-50"/>
              <w:jc w:val="right"/>
              <w:rPr>
                <w:sz w:val="17"/>
              </w:rPr>
            </w:pPr>
            <w:r>
              <w:rPr>
                <w:sz w:val="17"/>
              </w:rPr>
              <w:t>3.6</w:t>
            </w:r>
          </w:p>
        </w:tc>
        <w:tc>
          <w:tcPr>
            <w:tcW w:w="792" w:type="dxa"/>
          </w:tcPr>
          <w:p w:rsidR="00000000" w:rsidRDefault="00000000">
            <w:pPr>
              <w:pStyle w:val="SingleTxt"/>
              <w:tabs>
                <w:tab w:val="clear" w:pos="1267"/>
                <w:tab w:val="left" w:pos="1170"/>
              </w:tabs>
              <w:ind w:left="0" w:right="-50"/>
              <w:jc w:val="right"/>
              <w:rPr>
                <w:sz w:val="17"/>
              </w:rPr>
            </w:pPr>
            <w:r>
              <w:rPr>
                <w:sz w:val="17"/>
              </w:rPr>
              <w:t>3.7</w:t>
            </w:r>
          </w:p>
        </w:tc>
        <w:tc>
          <w:tcPr>
            <w:tcW w:w="801" w:type="dxa"/>
          </w:tcPr>
          <w:p w:rsidR="00000000" w:rsidRDefault="00000000">
            <w:pPr>
              <w:pStyle w:val="SingleTxt"/>
              <w:tabs>
                <w:tab w:val="clear" w:pos="1267"/>
                <w:tab w:val="left" w:pos="1170"/>
              </w:tabs>
              <w:ind w:left="0" w:right="-50"/>
              <w:jc w:val="right"/>
              <w:rPr>
                <w:sz w:val="17"/>
              </w:rPr>
            </w:pPr>
            <w:r>
              <w:rPr>
                <w:sz w:val="17"/>
              </w:rPr>
              <w:t>50.7</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6.2</w:t>
            </w:r>
          </w:p>
        </w:tc>
        <w:tc>
          <w:tcPr>
            <w:tcW w:w="810" w:type="dxa"/>
          </w:tcPr>
          <w:p w:rsidR="00000000" w:rsidRDefault="00000000">
            <w:pPr>
              <w:pStyle w:val="SingleTxt"/>
              <w:tabs>
                <w:tab w:val="clear" w:pos="1267"/>
                <w:tab w:val="left" w:pos="1170"/>
              </w:tabs>
              <w:ind w:left="0" w:right="-50"/>
              <w:jc w:val="right"/>
              <w:rPr>
                <w:sz w:val="17"/>
              </w:rPr>
            </w:pPr>
            <w:r>
              <w:rPr>
                <w:sz w:val="17"/>
              </w:rPr>
              <w:t>3.2</w:t>
            </w:r>
          </w:p>
        </w:tc>
        <w:tc>
          <w:tcPr>
            <w:tcW w:w="810" w:type="dxa"/>
          </w:tcPr>
          <w:p w:rsidR="00000000" w:rsidRDefault="00000000">
            <w:pPr>
              <w:pStyle w:val="SingleTxt"/>
              <w:tabs>
                <w:tab w:val="clear" w:pos="1267"/>
                <w:tab w:val="left" w:pos="1170"/>
              </w:tabs>
              <w:ind w:left="0" w:right="-50"/>
              <w:jc w:val="right"/>
              <w:rPr>
                <w:sz w:val="17"/>
              </w:rPr>
            </w:pPr>
            <w:r>
              <w:rPr>
                <w:sz w:val="17"/>
              </w:rPr>
              <w:t>3.0</w:t>
            </w:r>
          </w:p>
        </w:tc>
        <w:tc>
          <w:tcPr>
            <w:tcW w:w="778" w:type="dxa"/>
          </w:tcPr>
          <w:p w:rsidR="00000000" w:rsidRDefault="00000000">
            <w:pPr>
              <w:pStyle w:val="SingleTxt"/>
              <w:tabs>
                <w:tab w:val="clear" w:pos="1267"/>
                <w:tab w:val="left" w:pos="1170"/>
              </w:tabs>
              <w:ind w:left="0" w:right="-50"/>
              <w:jc w:val="right"/>
              <w:rPr>
                <w:sz w:val="17"/>
              </w:rPr>
            </w:pPr>
            <w:r>
              <w:rPr>
                <w:sz w:val="17"/>
              </w:rPr>
              <w:t>48.4</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Science, research and extension services</w:t>
            </w:r>
          </w:p>
        </w:tc>
        <w:tc>
          <w:tcPr>
            <w:tcW w:w="729" w:type="dxa"/>
          </w:tcPr>
          <w:p w:rsidR="00000000" w:rsidRDefault="00000000">
            <w:pPr>
              <w:pStyle w:val="SingleTxt"/>
              <w:tabs>
                <w:tab w:val="clear" w:pos="1267"/>
                <w:tab w:val="left" w:pos="1170"/>
              </w:tabs>
              <w:ind w:left="0" w:right="-50"/>
              <w:jc w:val="right"/>
              <w:rPr>
                <w:sz w:val="17"/>
              </w:rPr>
            </w:pPr>
            <w:r>
              <w:rPr>
                <w:sz w:val="17"/>
              </w:rPr>
              <w:t>29</w:t>
            </w:r>
          </w:p>
        </w:tc>
        <w:tc>
          <w:tcPr>
            <w:tcW w:w="774" w:type="dxa"/>
          </w:tcPr>
          <w:p w:rsidR="00000000" w:rsidRDefault="00000000">
            <w:pPr>
              <w:pStyle w:val="SingleTxt"/>
              <w:tabs>
                <w:tab w:val="clear" w:pos="1267"/>
                <w:tab w:val="left" w:pos="1170"/>
              </w:tabs>
              <w:ind w:left="0" w:right="-50"/>
              <w:jc w:val="right"/>
              <w:rPr>
                <w:sz w:val="17"/>
              </w:rPr>
            </w:pPr>
            <w:r>
              <w:rPr>
                <w:sz w:val="17"/>
              </w:rPr>
              <w:t>13.1</w:t>
            </w:r>
          </w:p>
        </w:tc>
        <w:tc>
          <w:tcPr>
            <w:tcW w:w="792" w:type="dxa"/>
          </w:tcPr>
          <w:p w:rsidR="00000000" w:rsidRDefault="00000000">
            <w:pPr>
              <w:pStyle w:val="SingleTxt"/>
              <w:tabs>
                <w:tab w:val="clear" w:pos="1267"/>
                <w:tab w:val="left" w:pos="1170"/>
              </w:tabs>
              <w:ind w:left="0" w:right="-50"/>
              <w:jc w:val="right"/>
              <w:rPr>
                <w:sz w:val="17"/>
              </w:rPr>
            </w:pPr>
            <w:r>
              <w:rPr>
                <w:sz w:val="17"/>
              </w:rPr>
              <w:t>15.9</w:t>
            </w:r>
          </w:p>
        </w:tc>
        <w:tc>
          <w:tcPr>
            <w:tcW w:w="801" w:type="dxa"/>
          </w:tcPr>
          <w:p w:rsidR="00000000" w:rsidRDefault="00000000">
            <w:pPr>
              <w:pStyle w:val="SingleTxt"/>
              <w:tabs>
                <w:tab w:val="clear" w:pos="1267"/>
                <w:tab w:val="left" w:pos="1170"/>
              </w:tabs>
              <w:ind w:left="0" w:right="-50"/>
              <w:jc w:val="right"/>
              <w:rPr>
                <w:sz w:val="17"/>
              </w:rPr>
            </w:pPr>
            <w:r>
              <w:rPr>
                <w:sz w:val="17"/>
              </w:rPr>
              <w:t>54.8</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25.5</w:t>
            </w:r>
          </w:p>
        </w:tc>
        <w:tc>
          <w:tcPr>
            <w:tcW w:w="810" w:type="dxa"/>
          </w:tcPr>
          <w:p w:rsidR="00000000" w:rsidRDefault="00000000">
            <w:pPr>
              <w:pStyle w:val="SingleTxt"/>
              <w:tabs>
                <w:tab w:val="clear" w:pos="1267"/>
                <w:tab w:val="left" w:pos="1170"/>
              </w:tabs>
              <w:ind w:left="0" w:right="-50"/>
              <w:jc w:val="right"/>
              <w:rPr>
                <w:sz w:val="17"/>
              </w:rPr>
            </w:pPr>
            <w:r>
              <w:rPr>
                <w:sz w:val="17"/>
              </w:rPr>
              <w:t>11.7</w:t>
            </w:r>
          </w:p>
        </w:tc>
        <w:tc>
          <w:tcPr>
            <w:tcW w:w="810" w:type="dxa"/>
          </w:tcPr>
          <w:p w:rsidR="00000000" w:rsidRDefault="00000000">
            <w:pPr>
              <w:pStyle w:val="SingleTxt"/>
              <w:tabs>
                <w:tab w:val="clear" w:pos="1267"/>
                <w:tab w:val="left" w:pos="1170"/>
              </w:tabs>
              <w:ind w:left="0" w:right="-50"/>
              <w:jc w:val="right"/>
              <w:rPr>
                <w:sz w:val="17"/>
              </w:rPr>
            </w:pPr>
            <w:r>
              <w:rPr>
                <w:sz w:val="17"/>
              </w:rPr>
              <w:t>13.8</w:t>
            </w:r>
          </w:p>
        </w:tc>
        <w:tc>
          <w:tcPr>
            <w:tcW w:w="778" w:type="dxa"/>
          </w:tcPr>
          <w:p w:rsidR="00000000" w:rsidRDefault="00000000">
            <w:pPr>
              <w:pStyle w:val="SingleTxt"/>
              <w:tabs>
                <w:tab w:val="clear" w:pos="1267"/>
                <w:tab w:val="left" w:pos="1170"/>
              </w:tabs>
              <w:ind w:left="0" w:right="-50"/>
              <w:jc w:val="right"/>
              <w:rPr>
                <w:sz w:val="17"/>
              </w:rPr>
            </w:pPr>
            <w:r>
              <w:rPr>
                <w:sz w:val="17"/>
              </w:rPr>
              <w:t>54.1</w:t>
            </w:r>
          </w:p>
        </w:tc>
      </w:tr>
      <w:tr w:rsidR="00000000">
        <w:tblPrEx>
          <w:tblCellMar>
            <w:top w:w="0" w:type="dxa"/>
            <w:bottom w:w="0" w:type="dxa"/>
          </w:tblCellMar>
        </w:tblPrEx>
        <w:tc>
          <w:tcPr>
            <w:tcW w:w="3411" w:type="dxa"/>
          </w:tcPr>
          <w:p w:rsidR="00000000" w:rsidRDefault="00000000">
            <w:pPr>
              <w:pStyle w:val="SingleTxt"/>
              <w:tabs>
                <w:tab w:val="clear" w:pos="1267"/>
                <w:tab w:val="left" w:pos="1170"/>
              </w:tabs>
              <w:ind w:left="0" w:right="-50"/>
              <w:jc w:val="left"/>
              <w:rPr>
                <w:sz w:val="17"/>
              </w:rPr>
            </w:pPr>
            <w:r>
              <w:rPr>
                <w:sz w:val="17"/>
              </w:rPr>
              <w:t>Finance, credit, insurance</w:t>
            </w:r>
          </w:p>
        </w:tc>
        <w:tc>
          <w:tcPr>
            <w:tcW w:w="729" w:type="dxa"/>
          </w:tcPr>
          <w:p w:rsidR="00000000" w:rsidRDefault="00000000">
            <w:pPr>
              <w:pStyle w:val="SingleTxt"/>
              <w:tabs>
                <w:tab w:val="clear" w:pos="1267"/>
                <w:tab w:val="left" w:pos="1170"/>
              </w:tabs>
              <w:ind w:left="0" w:right="-50"/>
              <w:jc w:val="right"/>
              <w:rPr>
                <w:sz w:val="17"/>
              </w:rPr>
            </w:pPr>
            <w:r>
              <w:rPr>
                <w:sz w:val="17"/>
              </w:rPr>
              <w:t>39.6</w:t>
            </w:r>
          </w:p>
        </w:tc>
        <w:tc>
          <w:tcPr>
            <w:tcW w:w="774" w:type="dxa"/>
          </w:tcPr>
          <w:p w:rsidR="00000000" w:rsidRDefault="00000000">
            <w:pPr>
              <w:pStyle w:val="SingleTxt"/>
              <w:tabs>
                <w:tab w:val="clear" w:pos="1267"/>
                <w:tab w:val="left" w:pos="1170"/>
              </w:tabs>
              <w:ind w:left="0" w:right="-50"/>
              <w:jc w:val="right"/>
              <w:rPr>
                <w:sz w:val="17"/>
              </w:rPr>
            </w:pPr>
            <w:r>
              <w:rPr>
                <w:sz w:val="17"/>
              </w:rPr>
              <w:t>11.2</w:t>
            </w:r>
          </w:p>
        </w:tc>
        <w:tc>
          <w:tcPr>
            <w:tcW w:w="792" w:type="dxa"/>
          </w:tcPr>
          <w:p w:rsidR="00000000" w:rsidRDefault="00000000">
            <w:pPr>
              <w:pStyle w:val="SingleTxt"/>
              <w:tabs>
                <w:tab w:val="clear" w:pos="1267"/>
                <w:tab w:val="left" w:pos="1170"/>
              </w:tabs>
              <w:ind w:left="0" w:right="-50"/>
              <w:jc w:val="right"/>
              <w:rPr>
                <w:sz w:val="17"/>
              </w:rPr>
            </w:pPr>
            <w:r>
              <w:rPr>
                <w:sz w:val="17"/>
              </w:rPr>
              <w:t>28.4</w:t>
            </w:r>
          </w:p>
        </w:tc>
        <w:tc>
          <w:tcPr>
            <w:tcW w:w="801" w:type="dxa"/>
          </w:tcPr>
          <w:p w:rsidR="00000000" w:rsidRDefault="00000000">
            <w:pPr>
              <w:pStyle w:val="SingleTxt"/>
              <w:tabs>
                <w:tab w:val="clear" w:pos="1267"/>
                <w:tab w:val="left" w:pos="1170"/>
              </w:tabs>
              <w:ind w:left="0" w:right="-50"/>
              <w:jc w:val="right"/>
              <w:rPr>
                <w:sz w:val="17"/>
              </w:rPr>
            </w:pPr>
            <w:r>
              <w:rPr>
                <w:sz w:val="17"/>
              </w:rPr>
              <w:t>71.7</w:t>
            </w:r>
          </w:p>
        </w:tc>
        <w:tc>
          <w:tcPr>
            <w:tcW w:w="243" w:type="dxa"/>
          </w:tcPr>
          <w:p w:rsidR="00000000" w:rsidRDefault="00000000">
            <w:pPr>
              <w:pStyle w:val="SingleTxt"/>
              <w:tabs>
                <w:tab w:val="clear" w:pos="1267"/>
                <w:tab w:val="left" w:pos="1170"/>
              </w:tabs>
              <w:ind w:left="0" w:right="-50"/>
              <w:jc w:val="right"/>
              <w:rPr>
                <w:sz w:val="17"/>
              </w:rPr>
            </w:pPr>
          </w:p>
        </w:tc>
        <w:tc>
          <w:tcPr>
            <w:tcW w:w="810" w:type="dxa"/>
          </w:tcPr>
          <w:p w:rsidR="00000000" w:rsidRDefault="00000000">
            <w:pPr>
              <w:pStyle w:val="SingleTxt"/>
              <w:tabs>
                <w:tab w:val="clear" w:pos="1267"/>
                <w:tab w:val="left" w:pos="1170"/>
              </w:tabs>
              <w:ind w:left="0" w:right="-50"/>
              <w:jc w:val="right"/>
              <w:rPr>
                <w:sz w:val="17"/>
              </w:rPr>
            </w:pPr>
            <w:r>
              <w:rPr>
                <w:sz w:val="17"/>
              </w:rPr>
              <w:t>33.5</w:t>
            </w:r>
          </w:p>
        </w:tc>
        <w:tc>
          <w:tcPr>
            <w:tcW w:w="810" w:type="dxa"/>
          </w:tcPr>
          <w:p w:rsidR="00000000" w:rsidRDefault="00000000">
            <w:pPr>
              <w:pStyle w:val="SingleTxt"/>
              <w:tabs>
                <w:tab w:val="clear" w:pos="1267"/>
                <w:tab w:val="left" w:pos="1170"/>
              </w:tabs>
              <w:ind w:left="0" w:right="-50"/>
              <w:jc w:val="right"/>
              <w:rPr>
                <w:sz w:val="17"/>
              </w:rPr>
            </w:pPr>
            <w:r>
              <w:rPr>
                <w:sz w:val="17"/>
              </w:rPr>
              <w:t>11.3</w:t>
            </w:r>
          </w:p>
        </w:tc>
        <w:tc>
          <w:tcPr>
            <w:tcW w:w="810" w:type="dxa"/>
          </w:tcPr>
          <w:p w:rsidR="00000000" w:rsidRDefault="00000000">
            <w:pPr>
              <w:pStyle w:val="SingleTxt"/>
              <w:tabs>
                <w:tab w:val="clear" w:pos="1267"/>
                <w:tab w:val="left" w:pos="1170"/>
              </w:tabs>
              <w:ind w:left="0" w:right="-50"/>
              <w:jc w:val="right"/>
              <w:rPr>
                <w:sz w:val="17"/>
              </w:rPr>
            </w:pPr>
            <w:r>
              <w:rPr>
                <w:sz w:val="17"/>
              </w:rPr>
              <w:t>22.2</w:t>
            </w:r>
          </w:p>
        </w:tc>
        <w:tc>
          <w:tcPr>
            <w:tcW w:w="778" w:type="dxa"/>
          </w:tcPr>
          <w:p w:rsidR="00000000" w:rsidRDefault="00000000">
            <w:pPr>
              <w:pStyle w:val="SingleTxt"/>
              <w:tabs>
                <w:tab w:val="clear" w:pos="1267"/>
                <w:tab w:val="left" w:pos="1170"/>
              </w:tabs>
              <w:ind w:left="0" w:right="-50"/>
              <w:jc w:val="right"/>
              <w:rPr>
                <w:sz w:val="17"/>
              </w:rPr>
            </w:pPr>
            <w:r>
              <w:rPr>
                <w:sz w:val="17"/>
              </w:rPr>
              <w:t>66.3</w:t>
            </w:r>
          </w:p>
        </w:tc>
      </w:tr>
      <w:tr w:rsidR="00000000">
        <w:tblPrEx>
          <w:tblCellMar>
            <w:top w:w="0" w:type="dxa"/>
            <w:bottom w:w="0" w:type="dxa"/>
          </w:tblCellMar>
        </w:tblPrEx>
        <w:tc>
          <w:tcPr>
            <w:tcW w:w="3411" w:type="dxa"/>
            <w:tcBorders>
              <w:bottom w:val="single" w:sz="12" w:space="0" w:color="auto"/>
            </w:tcBorders>
          </w:tcPr>
          <w:p w:rsidR="00000000" w:rsidRDefault="00000000">
            <w:pPr>
              <w:pStyle w:val="SingleTxt"/>
              <w:tabs>
                <w:tab w:val="clear" w:pos="1267"/>
                <w:tab w:val="left" w:pos="1170"/>
              </w:tabs>
              <w:ind w:left="0" w:right="-50"/>
              <w:jc w:val="left"/>
              <w:rPr>
                <w:sz w:val="17"/>
              </w:rPr>
            </w:pPr>
            <w:r>
              <w:rPr>
                <w:sz w:val="17"/>
              </w:rPr>
              <w:t>Staffing of government organs</w:t>
            </w:r>
          </w:p>
        </w:tc>
        <w:tc>
          <w:tcPr>
            <w:tcW w:w="729"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147.5</w:t>
            </w:r>
          </w:p>
        </w:tc>
        <w:tc>
          <w:tcPr>
            <w:tcW w:w="774"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78.9</w:t>
            </w:r>
          </w:p>
        </w:tc>
        <w:tc>
          <w:tcPr>
            <w:tcW w:w="792"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68.6</w:t>
            </w:r>
          </w:p>
        </w:tc>
        <w:tc>
          <w:tcPr>
            <w:tcW w:w="801"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46.5</w:t>
            </w:r>
          </w:p>
        </w:tc>
        <w:tc>
          <w:tcPr>
            <w:tcW w:w="243" w:type="dxa"/>
            <w:tcBorders>
              <w:bottom w:val="single" w:sz="12" w:space="0" w:color="auto"/>
            </w:tcBorders>
          </w:tcPr>
          <w:p w:rsidR="00000000" w:rsidRDefault="00000000">
            <w:pPr>
              <w:pStyle w:val="SingleTxt"/>
              <w:tabs>
                <w:tab w:val="clear" w:pos="1267"/>
                <w:tab w:val="left" w:pos="1170"/>
              </w:tabs>
              <w:ind w:left="0" w:right="-50"/>
              <w:jc w:val="right"/>
              <w:rPr>
                <w:sz w:val="17"/>
              </w:rPr>
            </w:pPr>
          </w:p>
        </w:tc>
        <w:tc>
          <w:tcPr>
            <w:tcW w:w="810"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160.4</w:t>
            </w:r>
          </w:p>
        </w:tc>
        <w:tc>
          <w:tcPr>
            <w:tcW w:w="810"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78.0</w:t>
            </w:r>
          </w:p>
        </w:tc>
        <w:tc>
          <w:tcPr>
            <w:tcW w:w="810"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82.4</w:t>
            </w:r>
          </w:p>
        </w:tc>
        <w:tc>
          <w:tcPr>
            <w:tcW w:w="778" w:type="dxa"/>
            <w:tcBorders>
              <w:bottom w:val="single" w:sz="12" w:space="0" w:color="auto"/>
            </w:tcBorders>
          </w:tcPr>
          <w:p w:rsidR="00000000" w:rsidRDefault="00000000">
            <w:pPr>
              <w:pStyle w:val="SingleTxt"/>
              <w:tabs>
                <w:tab w:val="clear" w:pos="1267"/>
                <w:tab w:val="left" w:pos="1170"/>
              </w:tabs>
              <w:ind w:left="0" w:right="-50"/>
              <w:jc w:val="right"/>
              <w:rPr>
                <w:sz w:val="17"/>
              </w:rPr>
            </w:pPr>
            <w:r>
              <w:rPr>
                <w:sz w:val="17"/>
              </w:rPr>
              <w:t>51.4</w:t>
            </w:r>
          </w:p>
        </w:tc>
      </w:tr>
    </w:tbl>
    <w:p w:rsidR="00000000" w:rsidRDefault="00000000">
      <w:pPr>
        <w:tabs>
          <w:tab w:val="left" w:pos="475"/>
          <w:tab w:val="left" w:pos="965"/>
          <w:tab w:val="left" w:pos="1440"/>
          <w:tab w:val="left" w:pos="1915"/>
          <w:tab w:val="left" w:pos="2405"/>
        </w:tabs>
        <w:spacing w:after="120"/>
        <w:jc w:val="both"/>
      </w:pPr>
    </w:p>
    <w:p w:rsidR="00000000" w:rsidRDefault="00000000">
      <w:pPr>
        <w:tabs>
          <w:tab w:val="left" w:pos="475"/>
          <w:tab w:val="left" w:pos="965"/>
          <w:tab w:val="left" w:pos="1440"/>
          <w:tab w:val="left" w:pos="1915"/>
          <w:tab w:val="left" w:pos="2405"/>
        </w:tabs>
        <w:spacing w:after="120"/>
        <w:jc w:val="both"/>
      </w:pPr>
    </w:p>
    <w:p w:rsidR="00000000" w:rsidRDefault="00000000">
      <w:pPr>
        <w:tabs>
          <w:tab w:val="left" w:pos="475"/>
          <w:tab w:val="left" w:pos="965"/>
          <w:tab w:val="left" w:pos="1440"/>
          <w:tab w:val="left" w:pos="1915"/>
          <w:tab w:val="left" w:pos="2405"/>
        </w:tabs>
        <w:spacing w:after="120"/>
        <w:jc w:val="both"/>
      </w:pPr>
    </w:p>
    <w:p w:rsidR="00000000" w:rsidRDefault="00000000">
      <w:pPr>
        <w:tabs>
          <w:tab w:val="left" w:pos="475"/>
          <w:tab w:val="left" w:pos="965"/>
          <w:tab w:val="left" w:pos="1440"/>
          <w:tab w:val="left" w:pos="1915"/>
          <w:tab w:val="left" w:pos="2405"/>
        </w:tabs>
        <w:spacing w:after="120"/>
        <w:rPr>
          <w:b/>
        </w:rPr>
      </w:pPr>
      <w:r>
        <w:rPr>
          <w:b/>
        </w:rPr>
        <w:t>Number of men and women employed in the various branches of the economy, for 1998</w:t>
      </w:r>
      <w:r>
        <w:rPr>
          <w:vertAlign w:val="superscript"/>
        </w:rPr>
        <w:t>3</w:t>
      </w:r>
      <w:r>
        <w:rPr>
          <w:b/>
        </w:rPr>
        <w:t xml:space="preserve"> </w:t>
      </w:r>
    </w:p>
    <w:p w:rsidR="00000000" w:rsidRDefault="00000000">
      <w:pPr>
        <w:tabs>
          <w:tab w:val="left" w:pos="475"/>
          <w:tab w:val="left" w:pos="965"/>
          <w:tab w:val="left" w:pos="1440"/>
          <w:tab w:val="left" w:pos="1915"/>
          <w:tab w:val="left" w:pos="2405"/>
        </w:tabs>
        <w:spacing w:after="120"/>
        <w:jc w:val="right"/>
      </w:pPr>
      <w:r>
        <w:t>(average for the year)</w:t>
      </w:r>
    </w:p>
    <w:tbl>
      <w:tblPr>
        <w:tblW w:w="0" w:type="auto"/>
        <w:tblInd w:w="2" w:type="dxa"/>
        <w:tblLayout w:type="fixed"/>
        <w:tblLook w:val="0000" w:firstRow="0" w:lastRow="0" w:firstColumn="0" w:lastColumn="0" w:noHBand="0" w:noVBand="0"/>
      </w:tblPr>
      <w:tblGrid>
        <w:gridCol w:w="4320"/>
        <w:gridCol w:w="1620"/>
        <w:gridCol w:w="1350"/>
        <w:gridCol w:w="1260"/>
        <w:gridCol w:w="1260"/>
      </w:tblGrid>
      <w:tr w:rsidR="00000000">
        <w:tblPrEx>
          <w:tblCellMar>
            <w:top w:w="0" w:type="dxa"/>
            <w:bottom w:w="0" w:type="dxa"/>
          </w:tblCellMar>
        </w:tblPrEx>
        <w:trPr>
          <w:cantSplit/>
        </w:trPr>
        <w:tc>
          <w:tcPr>
            <w:tcW w:w="4320" w:type="dxa"/>
            <w:tcBorders>
              <w:top w:val="single" w:sz="4" w:space="0" w:color="auto"/>
            </w:tcBorders>
          </w:tcPr>
          <w:p w:rsidR="00000000" w:rsidRDefault="00000000">
            <w:pPr>
              <w:tabs>
                <w:tab w:val="left" w:pos="475"/>
                <w:tab w:val="left" w:pos="965"/>
                <w:tab w:val="left" w:pos="1440"/>
                <w:tab w:val="left" w:pos="1915"/>
                <w:tab w:val="left" w:pos="2405"/>
              </w:tabs>
              <w:spacing w:after="120" w:line="200" w:lineRule="exact"/>
              <w:rPr>
                <w:i/>
                <w:sz w:val="14"/>
              </w:rPr>
            </w:pPr>
          </w:p>
        </w:tc>
        <w:tc>
          <w:tcPr>
            <w:tcW w:w="1620" w:type="dxa"/>
            <w:tcBorders>
              <w:top w:val="single" w:sz="4" w:space="0" w:color="auto"/>
            </w:tcBorders>
          </w:tcPr>
          <w:p w:rsidR="00000000" w:rsidRDefault="00000000">
            <w:pPr>
              <w:tabs>
                <w:tab w:val="left" w:pos="475"/>
                <w:tab w:val="left" w:pos="965"/>
                <w:tab w:val="left" w:pos="1440"/>
                <w:tab w:val="left" w:pos="1915"/>
                <w:tab w:val="left" w:pos="2405"/>
              </w:tabs>
              <w:spacing w:after="120" w:line="200" w:lineRule="exact"/>
              <w:jc w:val="right"/>
              <w:rPr>
                <w:i/>
                <w:sz w:val="14"/>
              </w:rPr>
            </w:pPr>
            <w:r>
              <w:rPr>
                <w:i/>
                <w:sz w:val="14"/>
              </w:rPr>
              <w:t>Total number of employees (thousands)</w:t>
            </w:r>
          </w:p>
        </w:tc>
        <w:tc>
          <w:tcPr>
            <w:tcW w:w="2610" w:type="dxa"/>
            <w:gridSpan w:val="2"/>
            <w:tcBorders>
              <w:top w:val="single" w:sz="4" w:space="0" w:color="auto"/>
              <w:bottom w:val="single" w:sz="4" w:space="0" w:color="auto"/>
            </w:tcBorders>
            <w:vAlign w:val="bottom"/>
          </w:tcPr>
          <w:p w:rsidR="00000000" w:rsidRDefault="00000000">
            <w:pPr>
              <w:pStyle w:val="Heading5"/>
              <w:tabs>
                <w:tab w:val="left" w:pos="475"/>
                <w:tab w:val="left" w:pos="965"/>
                <w:tab w:val="left" w:pos="1440"/>
                <w:tab w:val="left" w:pos="1915"/>
                <w:tab w:val="left" w:pos="2405"/>
              </w:tabs>
              <w:spacing w:after="120" w:line="200" w:lineRule="exact"/>
              <w:jc w:val="center"/>
            </w:pPr>
            <w:r>
              <w:t>Including</w:t>
            </w:r>
          </w:p>
        </w:tc>
        <w:tc>
          <w:tcPr>
            <w:tcW w:w="1260" w:type="dxa"/>
            <w:tcBorders>
              <w:top w:val="single" w:sz="4" w:space="0" w:color="auto"/>
            </w:tcBorders>
          </w:tcPr>
          <w:p w:rsidR="00000000" w:rsidRDefault="00000000">
            <w:pPr>
              <w:tabs>
                <w:tab w:val="left" w:pos="475"/>
                <w:tab w:val="left" w:pos="965"/>
                <w:tab w:val="left" w:pos="1440"/>
                <w:tab w:val="left" w:pos="1915"/>
                <w:tab w:val="left" w:pos="2405"/>
              </w:tabs>
              <w:spacing w:after="120" w:line="200" w:lineRule="exact"/>
              <w:jc w:val="right"/>
              <w:rPr>
                <w:i/>
                <w:sz w:val="14"/>
              </w:rPr>
            </w:pPr>
          </w:p>
        </w:tc>
      </w:tr>
      <w:tr w:rsidR="00000000">
        <w:tblPrEx>
          <w:tblCellMar>
            <w:top w:w="0" w:type="dxa"/>
            <w:bottom w:w="0" w:type="dxa"/>
          </w:tblCellMar>
        </w:tblPrEx>
        <w:tc>
          <w:tcPr>
            <w:tcW w:w="4320" w:type="dxa"/>
            <w:tcBorders>
              <w:bottom w:val="single" w:sz="12" w:space="0" w:color="auto"/>
            </w:tcBorders>
          </w:tcPr>
          <w:p w:rsidR="00000000" w:rsidRDefault="00000000">
            <w:pPr>
              <w:tabs>
                <w:tab w:val="left" w:pos="475"/>
                <w:tab w:val="left" w:pos="965"/>
                <w:tab w:val="left" w:pos="1440"/>
                <w:tab w:val="left" w:pos="1915"/>
                <w:tab w:val="left" w:pos="2405"/>
              </w:tabs>
              <w:spacing w:after="120"/>
              <w:rPr>
                <w:i/>
                <w:sz w:val="14"/>
              </w:rPr>
            </w:pPr>
          </w:p>
        </w:tc>
        <w:tc>
          <w:tcPr>
            <w:tcW w:w="1620" w:type="dxa"/>
            <w:tcBorders>
              <w:bottom w:val="single" w:sz="12" w:space="0" w:color="auto"/>
            </w:tcBorders>
          </w:tcPr>
          <w:p w:rsidR="00000000" w:rsidRDefault="00000000">
            <w:pPr>
              <w:tabs>
                <w:tab w:val="left" w:pos="475"/>
                <w:tab w:val="left" w:pos="965"/>
                <w:tab w:val="left" w:pos="1440"/>
                <w:tab w:val="left" w:pos="1915"/>
                <w:tab w:val="left" w:pos="2405"/>
              </w:tabs>
              <w:spacing w:after="120"/>
              <w:jc w:val="right"/>
              <w:rPr>
                <w:i/>
                <w:sz w:val="14"/>
              </w:rPr>
            </w:pPr>
          </w:p>
        </w:tc>
        <w:tc>
          <w:tcPr>
            <w:tcW w:w="1350"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i/>
                <w:sz w:val="14"/>
              </w:rPr>
            </w:pPr>
            <w:r>
              <w:rPr>
                <w:i/>
                <w:sz w:val="14"/>
              </w:rPr>
              <w:t>Men</w:t>
            </w:r>
          </w:p>
        </w:tc>
        <w:tc>
          <w:tcPr>
            <w:tcW w:w="1260"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i/>
                <w:sz w:val="14"/>
              </w:rPr>
            </w:pPr>
            <w:r>
              <w:rPr>
                <w:i/>
                <w:sz w:val="14"/>
              </w:rPr>
              <w:t>Women</w:t>
            </w:r>
          </w:p>
        </w:tc>
        <w:tc>
          <w:tcPr>
            <w:tcW w:w="1260" w:type="dxa"/>
            <w:tcBorders>
              <w:bottom w:val="single" w:sz="12" w:space="0" w:color="auto"/>
            </w:tcBorders>
          </w:tcPr>
          <w:p w:rsidR="00000000" w:rsidRDefault="00000000">
            <w:pPr>
              <w:tabs>
                <w:tab w:val="left" w:pos="475"/>
                <w:tab w:val="left" w:pos="965"/>
                <w:tab w:val="left" w:pos="1440"/>
                <w:tab w:val="left" w:pos="1915"/>
                <w:tab w:val="left" w:pos="2405"/>
              </w:tabs>
              <w:spacing w:after="120"/>
              <w:jc w:val="right"/>
              <w:rPr>
                <w:i/>
                <w:sz w:val="14"/>
              </w:rPr>
            </w:pPr>
            <w:r>
              <w:rPr>
                <w:i/>
                <w:sz w:val="14"/>
              </w:rPr>
              <w:t>Women %</w:t>
            </w:r>
          </w:p>
        </w:tc>
      </w:tr>
      <w:tr w:rsidR="00000000">
        <w:tblPrEx>
          <w:tblCellMar>
            <w:top w:w="0" w:type="dxa"/>
            <w:bottom w:w="0" w:type="dxa"/>
          </w:tblCellMar>
        </w:tblPrEx>
        <w:tc>
          <w:tcPr>
            <w:tcW w:w="4320" w:type="dxa"/>
            <w:tcBorders>
              <w:top w:val="single" w:sz="12" w:space="0" w:color="auto"/>
            </w:tcBorders>
          </w:tcPr>
          <w:p w:rsidR="00000000" w:rsidRDefault="00000000">
            <w:pPr>
              <w:tabs>
                <w:tab w:val="left" w:pos="252"/>
                <w:tab w:val="left" w:pos="965"/>
                <w:tab w:val="left" w:pos="1440"/>
                <w:tab w:val="left" w:pos="1915"/>
                <w:tab w:val="left" w:pos="2405"/>
              </w:tabs>
              <w:spacing w:after="120"/>
              <w:rPr>
                <w:sz w:val="17"/>
              </w:rPr>
            </w:pPr>
            <w:r>
              <w:rPr>
                <w:sz w:val="17"/>
              </w:rPr>
              <w:t>Total, for all kinds of activities</w:t>
            </w:r>
          </w:p>
        </w:tc>
        <w:tc>
          <w:tcPr>
            <w:tcW w:w="1620" w:type="dxa"/>
            <w:tcBorders>
              <w:top w:val="single" w:sz="12" w:space="0" w:color="auto"/>
            </w:tcBorders>
          </w:tcPr>
          <w:p w:rsidR="00000000" w:rsidRDefault="00000000">
            <w:pPr>
              <w:tabs>
                <w:tab w:val="left" w:pos="252"/>
                <w:tab w:val="left" w:pos="965"/>
                <w:tab w:val="left" w:pos="1440"/>
                <w:tab w:val="left" w:pos="1915"/>
                <w:tab w:val="left" w:pos="2405"/>
              </w:tabs>
              <w:spacing w:after="120"/>
              <w:jc w:val="right"/>
              <w:rPr>
                <w:sz w:val="17"/>
              </w:rPr>
            </w:pPr>
            <w:r>
              <w:rPr>
                <w:sz w:val="17"/>
              </w:rPr>
              <w:t>3 070.6</w:t>
            </w:r>
          </w:p>
        </w:tc>
        <w:tc>
          <w:tcPr>
            <w:tcW w:w="1350" w:type="dxa"/>
            <w:tcBorders>
              <w:top w:val="single" w:sz="12" w:space="0" w:color="auto"/>
            </w:tcBorders>
          </w:tcPr>
          <w:p w:rsidR="00000000" w:rsidRDefault="00000000">
            <w:pPr>
              <w:tabs>
                <w:tab w:val="left" w:pos="252"/>
                <w:tab w:val="left" w:pos="965"/>
                <w:tab w:val="left" w:pos="1440"/>
                <w:tab w:val="left" w:pos="1915"/>
                <w:tab w:val="left" w:pos="2405"/>
              </w:tabs>
              <w:spacing w:after="120"/>
              <w:jc w:val="right"/>
              <w:rPr>
                <w:sz w:val="17"/>
              </w:rPr>
            </w:pPr>
            <w:r>
              <w:rPr>
                <w:sz w:val="17"/>
              </w:rPr>
              <w:t>1 665.2</w:t>
            </w:r>
          </w:p>
        </w:tc>
        <w:tc>
          <w:tcPr>
            <w:tcW w:w="1260" w:type="dxa"/>
            <w:tcBorders>
              <w:top w:val="single" w:sz="12" w:space="0" w:color="auto"/>
            </w:tcBorders>
          </w:tcPr>
          <w:p w:rsidR="00000000" w:rsidRDefault="00000000">
            <w:pPr>
              <w:tabs>
                <w:tab w:val="left" w:pos="252"/>
                <w:tab w:val="left" w:pos="965"/>
                <w:tab w:val="left" w:pos="1440"/>
                <w:tab w:val="left" w:pos="1915"/>
                <w:tab w:val="left" w:pos="2405"/>
              </w:tabs>
              <w:spacing w:after="120"/>
              <w:jc w:val="right"/>
              <w:rPr>
                <w:sz w:val="17"/>
              </w:rPr>
            </w:pPr>
            <w:r>
              <w:rPr>
                <w:sz w:val="17"/>
              </w:rPr>
              <w:t>1 405.0</w:t>
            </w:r>
          </w:p>
        </w:tc>
        <w:tc>
          <w:tcPr>
            <w:tcW w:w="1260" w:type="dxa"/>
            <w:tcBorders>
              <w:top w:val="single" w:sz="12" w:space="0" w:color="auto"/>
            </w:tcBorders>
          </w:tcPr>
          <w:p w:rsidR="00000000" w:rsidRDefault="00000000">
            <w:pPr>
              <w:tabs>
                <w:tab w:val="left" w:pos="252"/>
                <w:tab w:val="left" w:pos="965"/>
                <w:tab w:val="left" w:pos="1440"/>
                <w:tab w:val="left" w:pos="1915"/>
                <w:tab w:val="left" w:pos="2405"/>
              </w:tabs>
              <w:spacing w:after="120"/>
              <w:jc w:val="right"/>
              <w:rPr>
                <w:sz w:val="17"/>
              </w:rPr>
            </w:pPr>
            <w:r>
              <w:rPr>
                <w:sz w:val="17"/>
              </w:rPr>
              <w:t>45.8</w:t>
            </w:r>
          </w:p>
        </w:tc>
      </w:tr>
      <w:tr w:rsidR="00000000">
        <w:tblPrEx>
          <w:tblCellMar>
            <w:top w:w="0" w:type="dxa"/>
            <w:bottom w:w="0" w:type="dxa"/>
          </w:tblCellMar>
        </w:tblPrEx>
        <w:tc>
          <w:tcPr>
            <w:tcW w:w="4320" w:type="dxa"/>
          </w:tcPr>
          <w:p w:rsidR="00000000" w:rsidRDefault="00000000">
            <w:pPr>
              <w:tabs>
                <w:tab w:val="left" w:pos="252"/>
                <w:tab w:val="left" w:pos="965"/>
                <w:tab w:val="left" w:pos="1440"/>
                <w:tab w:val="left" w:pos="1915"/>
                <w:tab w:val="left" w:pos="2405"/>
              </w:tabs>
              <w:spacing w:after="120"/>
              <w:rPr>
                <w:sz w:val="17"/>
              </w:rPr>
            </w:pPr>
            <w:r>
              <w:rPr>
                <w:sz w:val="17"/>
              </w:rPr>
              <w:t>Including:</w:t>
            </w:r>
          </w:p>
        </w:tc>
        <w:tc>
          <w:tcPr>
            <w:tcW w:w="1620" w:type="dxa"/>
          </w:tcPr>
          <w:p w:rsidR="00000000" w:rsidRDefault="00000000">
            <w:pPr>
              <w:tabs>
                <w:tab w:val="left" w:pos="252"/>
                <w:tab w:val="left" w:pos="965"/>
                <w:tab w:val="left" w:pos="1440"/>
                <w:tab w:val="left" w:pos="1915"/>
                <w:tab w:val="left" w:pos="2405"/>
              </w:tabs>
              <w:spacing w:after="120"/>
              <w:jc w:val="right"/>
              <w:rPr>
                <w:sz w:val="17"/>
              </w:rPr>
            </w:pPr>
          </w:p>
        </w:tc>
        <w:tc>
          <w:tcPr>
            <w:tcW w:w="1350" w:type="dxa"/>
          </w:tcPr>
          <w:p w:rsidR="00000000" w:rsidRDefault="00000000">
            <w:pPr>
              <w:tabs>
                <w:tab w:val="left" w:pos="252"/>
                <w:tab w:val="left" w:pos="965"/>
                <w:tab w:val="left" w:pos="1440"/>
                <w:tab w:val="left" w:pos="1915"/>
                <w:tab w:val="left" w:pos="2405"/>
              </w:tabs>
              <w:spacing w:after="120"/>
              <w:jc w:val="right"/>
              <w:rPr>
                <w:sz w:val="17"/>
              </w:rPr>
            </w:pPr>
          </w:p>
        </w:tc>
        <w:tc>
          <w:tcPr>
            <w:tcW w:w="1260" w:type="dxa"/>
          </w:tcPr>
          <w:p w:rsidR="00000000" w:rsidRDefault="00000000">
            <w:pPr>
              <w:tabs>
                <w:tab w:val="left" w:pos="252"/>
                <w:tab w:val="left" w:pos="965"/>
                <w:tab w:val="left" w:pos="1440"/>
                <w:tab w:val="left" w:pos="1915"/>
                <w:tab w:val="left" w:pos="2405"/>
              </w:tabs>
              <w:spacing w:after="120"/>
              <w:jc w:val="right"/>
              <w:rPr>
                <w:sz w:val="17"/>
              </w:rPr>
            </w:pPr>
          </w:p>
        </w:tc>
        <w:tc>
          <w:tcPr>
            <w:tcW w:w="1260" w:type="dxa"/>
          </w:tcPr>
          <w:p w:rsidR="00000000" w:rsidRDefault="00000000">
            <w:pPr>
              <w:tabs>
                <w:tab w:val="left" w:pos="252"/>
                <w:tab w:val="left" w:pos="965"/>
                <w:tab w:val="left" w:pos="1440"/>
                <w:tab w:val="left" w:pos="1915"/>
                <w:tab w:val="left" w:pos="2405"/>
              </w:tabs>
              <w:spacing w:after="120"/>
              <w:jc w:val="right"/>
              <w:rPr>
                <w:sz w:val="17"/>
              </w:rPr>
            </w:pPr>
          </w:p>
        </w:tc>
      </w:tr>
      <w:tr w:rsidR="00000000">
        <w:tblPrEx>
          <w:tblCellMar>
            <w:top w:w="0" w:type="dxa"/>
            <w:bottom w:w="0" w:type="dxa"/>
          </w:tblCellMar>
        </w:tblPrEx>
        <w:tc>
          <w:tcPr>
            <w:tcW w:w="4320" w:type="dxa"/>
          </w:tcPr>
          <w:p w:rsidR="00000000" w:rsidRDefault="00000000">
            <w:pPr>
              <w:tabs>
                <w:tab w:val="left" w:pos="252"/>
                <w:tab w:val="left" w:pos="965"/>
                <w:tab w:val="left" w:pos="1440"/>
                <w:tab w:val="left" w:pos="1915"/>
                <w:tab w:val="left" w:pos="2405"/>
              </w:tabs>
              <w:spacing w:after="120"/>
              <w:rPr>
                <w:sz w:val="17"/>
              </w:rPr>
            </w:pPr>
            <w:r>
              <w:rPr>
                <w:sz w:val="17"/>
              </w:rPr>
              <w:t>Agriculture, hunting and forestry</w:t>
            </w:r>
          </w:p>
        </w:tc>
        <w:tc>
          <w:tcPr>
            <w:tcW w:w="1620" w:type="dxa"/>
          </w:tcPr>
          <w:p w:rsidR="00000000" w:rsidRDefault="00000000">
            <w:pPr>
              <w:tabs>
                <w:tab w:val="left" w:pos="252"/>
                <w:tab w:val="left" w:pos="965"/>
                <w:tab w:val="left" w:pos="1440"/>
                <w:tab w:val="left" w:pos="1915"/>
                <w:tab w:val="left" w:pos="2405"/>
              </w:tabs>
              <w:spacing w:after="120"/>
              <w:jc w:val="right"/>
              <w:rPr>
                <w:sz w:val="17"/>
              </w:rPr>
            </w:pPr>
            <w:r>
              <w:rPr>
                <w:sz w:val="17"/>
              </w:rPr>
              <w:t>494.4</w:t>
            </w:r>
          </w:p>
        </w:tc>
        <w:tc>
          <w:tcPr>
            <w:tcW w:w="1350" w:type="dxa"/>
          </w:tcPr>
          <w:p w:rsidR="00000000" w:rsidRDefault="00000000">
            <w:pPr>
              <w:tabs>
                <w:tab w:val="left" w:pos="252"/>
                <w:tab w:val="left" w:pos="965"/>
                <w:tab w:val="left" w:pos="1440"/>
                <w:tab w:val="left" w:pos="1915"/>
                <w:tab w:val="left" w:pos="2405"/>
              </w:tabs>
              <w:spacing w:after="120"/>
              <w:jc w:val="right"/>
              <w:rPr>
                <w:sz w:val="17"/>
              </w:rPr>
            </w:pPr>
            <w:r>
              <w:rPr>
                <w:sz w:val="17"/>
              </w:rPr>
              <w:t>371.6</w:t>
            </w:r>
          </w:p>
        </w:tc>
        <w:tc>
          <w:tcPr>
            <w:tcW w:w="1260" w:type="dxa"/>
          </w:tcPr>
          <w:p w:rsidR="00000000" w:rsidRDefault="00000000">
            <w:pPr>
              <w:tabs>
                <w:tab w:val="left" w:pos="252"/>
                <w:tab w:val="left" w:pos="965"/>
                <w:tab w:val="left" w:pos="1440"/>
                <w:tab w:val="left" w:pos="1915"/>
                <w:tab w:val="left" w:pos="2405"/>
              </w:tabs>
              <w:spacing w:after="120"/>
              <w:jc w:val="right"/>
              <w:rPr>
                <w:sz w:val="17"/>
              </w:rPr>
            </w:pPr>
            <w:r>
              <w:rPr>
                <w:sz w:val="17"/>
              </w:rPr>
              <w:t>122.8</w:t>
            </w:r>
          </w:p>
        </w:tc>
        <w:tc>
          <w:tcPr>
            <w:tcW w:w="1260" w:type="dxa"/>
          </w:tcPr>
          <w:p w:rsidR="00000000" w:rsidRDefault="00000000">
            <w:pPr>
              <w:tabs>
                <w:tab w:val="left" w:pos="252"/>
                <w:tab w:val="left" w:pos="965"/>
                <w:tab w:val="left" w:pos="1440"/>
                <w:tab w:val="left" w:pos="1915"/>
                <w:tab w:val="left" w:pos="2405"/>
              </w:tabs>
              <w:spacing w:after="120"/>
              <w:jc w:val="right"/>
              <w:rPr>
                <w:sz w:val="17"/>
              </w:rPr>
            </w:pPr>
            <w:r>
              <w:rPr>
                <w:sz w:val="17"/>
              </w:rPr>
              <w:t>24.8</w:t>
            </w:r>
          </w:p>
        </w:tc>
      </w:tr>
      <w:tr w:rsidR="00000000">
        <w:tblPrEx>
          <w:tblCellMar>
            <w:top w:w="0" w:type="dxa"/>
            <w:bottom w:w="0" w:type="dxa"/>
          </w:tblCellMar>
        </w:tblPrEx>
        <w:tc>
          <w:tcPr>
            <w:tcW w:w="4320" w:type="dxa"/>
          </w:tcPr>
          <w:p w:rsidR="00000000" w:rsidRDefault="00000000">
            <w:pPr>
              <w:tabs>
                <w:tab w:val="left" w:pos="252"/>
                <w:tab w:val="left" w:pos="965"/>
                <w:tab w:val="left" w:pos="1440"/>
                <w:tab w:val="left" w:pos="1915"/>
                <w:tab w:val="left" w:pos="2405"/>
              </w:tabs>
              <w:spacing w:after="120"/>
              <w:rPr>
                <w:sz w:val="17"/>
              </w:rPr>
            </w:pPr>
            <w:r>
              <w:rPr>
                <w:sz w:val="17"/>
              </w:rPr>
              <w:t>Fishing and pisciculture</w:t>
            </w:r>
          </w:p>
        </w:tc>
        <w:tc>
          <w:tcPr>
            <w:tcW w:w="1620" w:type="dxa"/>
          </w:tcPr>
          <w:p w:rsidR="00000000" w:rsidRDefault="00000000">
            <w:pPr>
              <w:tabs>
                <w:tab w:val="left" w:pos="252"/>
                <w:tab w:val="left" w:pos="965"/>
                <w:tab w:val="left" w:pos="1440"/>
                <w:tab w:val="left" w:pos="1915"/>
                <w:tab w:val="left" w:pos="2405"/>
              </w:tabs>
              <w:spacing w:after="120"/>
              <w:jc w:val="right"/>
              <w:rPr>
                <w:sz w:val="17"/>
              </w:rPr>
            </w:pPr>
            <w:r>
              <w:rPr>
                <w:sz w:val="17"/>
              </w:rPr>
              <w:t>5.2</w:t>
            </w:r>
          </w:p>
        </w:tc>
        <w:tc>
          <w:tcPr>
            <w:tcW w:w="1350" w:type="dxa"/>
          </w:tcPr>
          <w:p w:rsidR="00000000" w:rsidRDefault="00000000">
            <w:pPr>
              <w:tabs>
                <w:tab w:val="left" w:pos="252"/>
                <w:tab w:val="left" w:pos="965"/>
                <w:tab w:val="left" w:pos="1440"/>
                <w:tab w:val="left" w:pos="1915"/>
                <w:tab w:val="left" w:pos="2405"/>
              </w:tabs>
              <w:spacing w:after="120"/>
              <w:jc w:val="right"/>
              <w:rPr>
                <w:sz w:val="17"/>
              </w:rPr>
            </w:pPr>
            <w:r>
              <w:rPr>
                <w:sz w:val="17"/>
              </w:rPr>
              <w:t>3.8</w:t>
            </w:r>
          </w:p>
        </w:tc>
        <w:tc>
          <w:tcPr>
            <w:tcW w:w="1260" w:type="dxa"/>
          </w:tcPr>
          <w:p w:rsidR="00000000" w:rsidRDefault="00000000">
            <w:pPr>
              <w:tabs>
                <w:tab w:val="left" w:pos="252"/>
                <w:tab w:val="left" w:pos="965"/>
                <w:tab w:val="left" w:pos="1440"/>
                <w:tab w:val="left" w:pos="1915"/>
                <w:tab w:val="left" w:pos="2405"/>
              </w:tabs>
              <w:spacing w:after="120"/>
              <w:jc w:val="right"/>
              <w:rPr>
                <w:sz w:val="17"/>
              </w:rPr>
            </w:pPr>
            <w:r>
              <w:rPr>
                <w:sz w:val="17"/>
              </w:rPr>
              <w:t>1.4</w:t>
            </w:r>
          </w:p>
        </w:tc>
        <w:tc>
          <w:tcPr>
            <w:tcW w:w="1260" w:type="dxa"/>
          </w:tcPr>
          <w:p w:rsidR="00000000" w:rsidRDefault="00000000">
            <w:pPr>
              <w:tabs>
                <w:tab w:val="left" w:pos="252"/>
                <w:tab w:val="left" w:pos="965"/>
                <w:tab w:val="left" w:pos="1440"/>
                <w:tab w:val="left" w:pos="1915"/>
                <w:tab w:val="left" w:pos="2405"/>
              </w:tabs>
              <w:spacing w:after="120"/>
              <w:jc w:val="right"/>
              <w:rPr>
                <w:sz w:val="17"/>
              </w:rPr>
            </w:pPr>
            <w:r>
              <w:rPr>
                <w:sz w:val="17"/>
              </w:rPr>
              <w:t>26.9</w:t>
            </w:r>
          </w:p>
        </w:tc>
      </w:tr>
      <w:tr w:rsidR="00000000">
        <w:tblPrEx>
          <w:tblCellMar>
            <w:top w:w="0" w:type="dxa"/>
            <w:bottom w:w="0" w:type="dxa"/>
          </w:tblCellMar>
        </w:tblPrEx>
        <w:tc>
          <w:tcPr>
            <w:tcW w:w="4320" w:type="dxa"/>
          </w:tcPr>
          <w:p w:rsidR="00000000" w:rsidRDefault="00000000">
            <w:pPr>
              <w:tabs>
                <w:tab w:val="left" w:pos="252"/>
                <w:tab w:val="left" w:pos="965"/>
                <w:tab w:val="left" w:pos="1440"/>
                <w:tab w:val="left" w:pos="1915"/>
                <w:tab w:val="left" w:pos="2405"/>
              </w:tabs>
              <w:spacing w:after="120"/>
              <w:rPr>
                <w:sz w:val="17"/>
              </w:rPr>
            </w:pPr>
            <w:r>
              <w:rPr>
                <w:sz w:val="17"/>
              </w:rPr>
              <w:t>Industry</w:t>
            </w:r>
          </w:p>
        </w:tc>
        <w:tc>
          <w:tcPr>
            <w:tcW w:w="1620" w:type="dxa"/>
          </w:tcPr>
          <w:p w:rsidR="00000000" w:rsidRDefault="00000000">
            <w:pPr>
              <w:tabs>
                <w:tab w:val="left" w:pos="252"/>
                <w:tab w:val="left" w:pos="965"/>
                <w:tab w:val="left" w:pos="1440"/>
                <w:tab w:val="left" w:pos="1915"/>
                <w:tab w:val="left" w:pos="2405"/>
              </w:tabs>
              <w:spacing w:after="120"/>
              <w:jc w:val="right"/>
              <w:rPr>
                <w:sz w:val="17"/>
              </w:rPr>
            </w:pPr>
            <w:r>
              <w:rPr>
                <w:sz w:val="17"/>
              </w:rPr>
              <w:t>756.3</w:t>
            </w:r>
          </w:p>
        </w:tc>
        <w:tc>
          <w:tcPr>
            <w:tcW w:w="1350" w:type="dxa"/>
          </w:tcPr>
          <w:p w:rsidR="00000000" w:rsidRDefault="00000000">
            <w:pPr>
              <w:tabs>
                <w:tab w:val="left" w:pos="252"/>
                <w:tab w:val="left" w:pos="965"/>
                <w:tab w:val="left" w:pos="1440"/>
                <w:tab w:val="left" w:pos="1915"/>
                <w:tab w:val="left" w:pos="2405"/>
              </w:tabs>
              <w:spacing w:after="120"/>
              <w:jc w:val="right"/>
              <w:rPr>
                <w:sz w:val="17"/>
              </w:rPr>
            </w:pPr>
            <w:r>
              <w:rPr>
                <w:sz w:val="17"/>
              </w:rPr>
              <w:t>501.3</w:t>
            </w:r>
          </w:p>
        </w:tc>
        <w:tc>
          <w:tcPr>
            <w:tcW w:w="1260" w:type="dxa"/>
          </w:tcPr>
          <w:p w:rsidR="00000000" w:rsidRDefault="00000000">
            <w:pPr>
              <w:tabs>
                <w:tab w:val="left" w:pos="252"/>
                <w:tab w:val="left" w:pos="965"/>
                <w:tab w:val="left" w:pos="1440"/>
                <w:tab w:val="left" w:pos="1915"/>
                <w:tab w:val="left" w:pos="2405"/>
              </w:tabs>
              <w:spacing w:after="120"/>
              <w:jc w:val="right"/>
              <w:rPr>
                <w:sz w:val="17"/>
              </w:rPr>
            </w:pPr>
            <w:r>
              <w:rPr>
                <w:sz w:val="17"/>
              </w:rPr>
              <w:t>255.0</w:t>
            </w:r>
          </w:p>
        </w:tc>
        <w:tc>
          <w:tcPr>
            <w:tcW w:w="1260" w:type="dxa"/>
          </w:tcPr>
          <w:p w:rsidR="00000000" w:rsidRDefault="00000000">
            <w:pPr>
              <w:tabs>
                <w:tab w:val="left" w:pos="252"/>
                <w:tab w:val="left" w:pos="965"/>
                <w:tab w:val="left" w:pos="1440"/>
                <w:tab w:val="left" w:pos="1915"/>
                <w:tab w:val="left" w:pos="2405"/>
              </w:tabs>
              <w:spacing w:after="120"/>
              <w:jc w:val="right"/>
              <w:rPr>
                <w:sz w:val="17"/>
              </w:rPr>
            </w:pPr>
            <w:r>
              <w:rPr>
                <w:sz w:val="17"/>
              </w:rPr>
              <w:t>33.7</w:t>
            </w:r>
          </w:p>
        </w:tc>
      </w:tr>
      <w:tr w:rsidR="00000000">
        <w:tblPrEx>
          <w:tblCellMar>
            <w:top w:w="0" w:type="dxa"/>
            <w:bottom w:w="0" w:type="dxa"/>
          </w:tblCellMar>
        </w:tblPrEx>
        <w:tc>
          <w:tcPr>
            <w:tcW w:w="4320" w:type="dxa"/>
          </w:tcPr>
          <w:p w:rsidR="00000000" w:rsidRDefault="00000000">
            <w:pPr>
              <w:tabs>
                <w:tab w:val="left" w:pos="252"/>
                <w:tab w:val="left" w:pos="965"/>
                <w:tab w:val="left" w:pos="1440"/>
                <w:tab w:val="left" w:pos="1915"/>
                <w:tab w:val="left" w:pos="2405"/>
              </w:tabs>
              <w:spacing w:after="120"/>
              <w:rPr>
                <w:sz w:val="17"/>
              </w:rPr>
            </w:pPr>
            <w:r>
              <w:rPr>
                <w:sz w:val="17"/>
              </w:rPr>
              <w:t>Including:</w:t>
            </w:r>
          </w:p>
        </w:tc>
        <w:tc>
          <w:tcPr>
            <w:tcW w:w="1620" w:type="dxa"/>
          </w:tcPr>
          <w:p w:rsidR="00000000" w:rsidRDefault="00000000">
            <w:pPr>
              <w:tabs>
                <w:tab w:val="left" w:pos="252"/>
                <w:tab w:val="left" w:pos="965"/>
                <w:tab w:val="left" w:pos="1440"/>
                <w:tab w:val="left" w:pos="1915"/>
                <w:tab w:val="left" w:pos="2405"/>
              </w:tabs>
              <w:spacing w:after="120"/>
              <w:jc w:val="right"/>
              <w:rPr>
                <w:sz w:val="17"/>
              </w:rPr>
            </w:pPr>
          </w:p>
        </w:tc>
        <w:tc>
          <w:tcPr>
            <w:tcW w:w="1350" w:type="dxa"/>
          </w:tcPr>
          <w:p w:rsidR="00000000" w:rsidRDefault="00000000">
            <w:pPr>
              <w:tabs>
                <w:tab w:val="left" w:pos="252"/>
                <w:tab w:val="left" w:pos="965"/>
                <w:tab w:val="left" w:pos="1440"/>
                <w:tab w:val="left" w:pos="1915"/>
                <w:tab w:val="left" w:pos="2405"/>
              </w:tabs>
              <w:spacing w:after="120"/>
              <w:jc w:val="right"/>
              <w:rPr>
                <w:sz w:val="17"/>
              </w:rPr>
            </w:pPr>
          </w:p>
        </w:tc>
        <w:tc>
          <w:tcPr>
            <w:tcW w:w="1260" w:type="dxa"/>
          </w:tcPr>
          <w:p w:rsidR="00000000" w:rsidRDefault="00000000">
            <w:pPr>
              <w:tabs>
                <w:tab w:val="left" w:pos="252"/>
                <w:tab w:val="left" w:pos="965"/>
                <w:tab w:val="left" w:pos="1440"/>
                <w:tab w:val="left" w:pos="1915"/>
                <w:tab w:val="left" w:pos="2405"/>
              </w:tabs>
              <w:spacing w:after="120"/>
              <w:jc w:val="right"/>
              <w:rPr>
                <w:sz w:val="17"/>
              </w:rPr>
            </w:pPr>
          </w:p>
        </w:tc>
        <w:tc>
          <w:tcPr>
            <w:tcW w:w="1260" w:type="dxa"/>
          </w:tcPr>
          <w:p w:rsidR="00000000" w:rsidRDefault="00000000">
            <w:pPr>
              <w:tabs>
                <w:tab w:val="left" w:pos="252"/>
                <w:tab w:val="left" w:pos="965"/>
                <w:tab w:val="left" w:pos="1440"/>
                <w:tab w:val="left" w:pos="1915"/>
                <w:tab w:val="left" w:pos="2405"/>
              </w:tabs>
              <w:spacing w:after="120"/>
              <w:jc w:val="right"/>
              <w:rPr>
                <w:sz w:val="17"/>
              </w:rPr>
            </w:pPr>
          </w:p>
        </w:tc>
      </w:tr>
      <w:tr w:rsidR="00000000">
        <w:tblPrEx>
          <w:tblCellMar>
            <w:top w:w="0" w:type="dxa"/>
            <w:bottom w:w="0" w:type="dxa"/>
          </w:tblCellMar>
        </w:tblPrEx>
        <w:tc>
          <w:tcPr>
            <w:tcW w:w="4320" w:type="dxa"/>
          </w:tcPr>
          <w:p w:rsidR="00000000" w:rsidRDefault="00000000">
            <w:pPr>
              <w:tabs>
                <w:tab w:val="left" w:pos="252"/>
                <w:tab w:val="left" w:pos="965"/>
                <w:tab w:val="left" w:pos="1440"/>
                <w:tab w:val="left" w:pos="1915"/>
                <w:tab w:val="left" w:pos="2405"/>
              </w:tabs>
              <w:spacing w:after="120"/>
              <w:rPr>
                <w:sz w:val="17"/>
              </w:rPr>
            </w:pPr>
            <w:r>
              <w:rPr>
                <w:sz w:val="17"/>
              </w:rPr>
              <w:t>Mining</w:t>
            </w:r>
          </w:p>
        </w:tc>
        <w:tc>
          <w:tcPr>
            <w:tcW w:w="1620" w:type="dxa"/>
          </w:tcPr>
          <w:p w:rsidR="00000000" w:rsidRDefault="00000000">
            <w:pPr>
              <w:tabs>
                <w:tab w:val="left" w:pos="252"/>
                <w:tab w:val="left" w:pos="965"/>
                <w:tab w:val="left" w:pos="1440"/>
                <w:tab w:val="left" w:pos="1915"/>
                <w:tab w:val="left" w:pos="2405"/>
              </w:tabs>
              <w:spacing w:after="120"/>
              <w:jc w:val="right"/>
              <w:rPr>
                <w:sz w:val="17"/>
              </w:rPr>
            </w:pPr>
            <w:r>
              <w:rPr>
                <w:sz w:val="17"/>
              </w:rPr>
              <w:t>120.0</w:t>
            </w:r>
          </w:p>
        </w:tc>
        <w:tc>
          <w:tcPr>
            <w:tcW w:w="1350" w:type="dxa"/>
          </w:tcPr>
          <w:p w:rsidR="00000000" w:rsidRDefault="00000000">
            <w:pPr>
              <w:tabs>
                <w:tab w:val="left" w:pos="252"/>
                <w:tab w:val="left" w:pos="965"/>
                <w:tab w:val="left" w:pos="1440"/>
                <w:tab w:val="left" w:pos="1915"/>
                <w:tab w:val="left" w:pos="2405"/>
              </w:tabs>
              <w:spacing w:after="120"/>
              <w:jc w:val="right"/>
              <w:rPr>
                <w:sz w:val="17"/>
              </w:rPr>
            </w:pPr>
            <w:r>
              <w:rPr>
                <w:sz w:val="17"/>
              </w:rPr>
              <w:t>90.0</w:t>
            </w:r>
          </w:p>
        </w:tc>
        <w:tc>
          <w:tcPr>
            <w:tcW w:w="1260" w:type="dxa"/>
          </w:tcPr>
          <w:p w:rsidR="00000000" w:rsidRDefault="00000000">
            <w:pPr>
              <w:tabs>
                <w:tab w:val="left" w:pos="252"/>
                <w:tab w:val="left" w:pos="965"/>
                <w:tab w:val="left" w:pos="1440"/>
                <w:tab w:val="left" w:pos="1915"/>
                <w:tab w:val="left" w:pos="2405"/>
              </w:tabs>
              <w:spacing w:after="120"/>
              <w:jc w:val="right"/>
              <w:rPr>
                <w:sz w:val="17"/>
              </w:rPr>
            </w:pPr>
            <w:r>
              <w:rPr>
                <w:sz w:val="17"/>
              </w:rPr>
              <w:t>30.0</w:t>
            </w:r>
          </w:p>
        </w:tc>
        <w:tc>
          <w:tcPr>
            <w:tcW w:w="1260" w:type="dxa"/>
          </w:tcPr>
          <w:p w:rsidR="00000000" w:rsidRDefault="00000000">
            <w:pPr>
              <w:tabs>
                <w:tab w:val="left" w:pos="252"/>
                <w:tab w:val="left" w:pos="965"/>
                <w:tab w:val="left" w:pos="1440"/>
                <w:tab w:val="left" w:pos="1915"/>
                <w:tab w:val="left" w:pos="2405"/>
              </w:tabs>
              <w:spacing w:after="120"/>
              <w:jc w:val="right"/>
              <w:rPr>
                <w:sz w:val="17"/>
              </w:rPr>
            </w:pPr>
            <w:r>
              <w:rPr>
                <w:sz w:val="17"/>
              </w:rPr>
              <w:t>25.0</w:t>
            </w:r>
          </w:p>
        </w:tc>
      </w:tr>
      <w:tr w:rsidR="00000000">
        <w:tblPrEx>
          <w:tblCellMar>
            <w:top w:w="0" w:type="dxa"/>
            <w:bottom w:w="0" w:type="dxa"/>
          </w:tblCellMar>
        </w:tblPrEx>
        <w:tc>
          <w:tcPr>
            <w:tcW w:w="4320" w:type="dxa"/>
          </w:tcPr>
          <w:p w:rsidR="00000000" w:rsidRDefault="00000000">
            <w:pPr>
              <w:tabs>
                <w:tab w:val="left" w:pos="252"/>
                <w:tab w:val="left" w:pos="965"/>
                <w:tab w:val="left" w:pos="1440"/>
                <w:tab w:val="left" w:pos="1915"/>
                <w:tab w:val="left" w:pos="2405"/>
              </w:tabs>
              <w:spacing w:after="120"/>
              <w:rPr>
                <w:sz w:val="17"/>
              </w:rPr>
            </w:pPr>
            <w:r>
              <w:rPr>
                <w:sz w:val="17"/>
              </w:rPr>
              <w:t>Manufacturing</w:t>
            </w:r>
          </w:p>
        </w:tc>
        <w:tc>
          <w:tcPr>
            <w:tcW w:w="1620" w:type="dxa"/>
          </w:tcPr>
          <w:p w:rsidR="00000000" w:rsidRDefault="00000000">
            <w:pPr>
              <w:tabs>
                <w:tab w:val="left" w:pos="252"/>
                <w:tab w:val="left" w:pos="965"/>
                <w:tab w:val="left" w:pos="1440"/>
                <w:tab w:val="left" w:pos="1915"/>
                <w:tab w:val="left" w:pos="2405"/>
              </w:tabs>
              <w:spacing w:after="120"/>
              <w:jc w:val="right"/>
              <w:rPr>
                <w:sz w:val="17"/>
              </w:rPr>
            </w:pPr>
            <w:r>
              <w:rPr>
                <w:sz w:val="17"/>
              </w:rPr>
              <w:t>491.8</w:t>
            </w:r>
          </w:p>
        </w:tc>
        <w:tc>
          <w:tcPr>
            <w:tcW w:w="1350" w:type="dxa"/>
          </w:tcPr>
          <w:p w:rsidR="00000000" w:rsidRDefault="00000000">
            <w:pPr>
              <w:tabs>
                <w:tab w:val="left" w:pos="252"/>
                <w:tab w:val="left" w:pos="965"/>
                <w:tab w:val="left" w:pos="1440"/>
                <w:tab w:val="left" w:pos="1915"/>
                <w:tab w:val="left" w:pos="2405"/>
              </w:tabs>
              <w:spacing w:after="120"/>
              <w:jc w:val="right"/>
              <w:rPr>
                <w:sz w:val="17"/>
              </w:rPr>
            </w:pPr>
            <w:r>
              <w:rPr>
                <w:sz w:val="17"/>
              </w:rPr>
              <w:t>309.1</w:t>
            </w:r>
          </w:p>
        </w:tc>
        <w:tc>
          <w:tcPr>
            <w:tcW w:w="1260" w:type="dxa"/>
          </w:tcPr>
          <w:p w:rsidR="00000000" w:rsidRDefault="00000000">
            <w:pPr>
              <w:tabs>
                <w:tab w:val="left" w:pos="252"/>
                <w:tab w:val="left" w:pos="965"/>
                <w:tab w:val="left" w:pos="1440"/>
                <w:tab w:val="left" w:pos="1915"/>
                <w:tab w:val="left" w:pos="2405"/>
              </w:tabs>
              <w:spacing w:after="120"/>
              <w:jc w:val="right"/>
              <w:rPr>
                <w:sz w:val="17"/>
              </w:rPr>
            </w:pPr>
            <w:r>
              <w:rPr>
                <w:sz w:val="17"/>
              </w:rPr>
              <w:t>182.7</w:t>
            </w:r>
          </w:p>
        </w:tc>
        <w:tc>
          <w:tcPr>
            <w:tcW w:w="1260" w:type="dxa"/>
          </w:tcPr>
          <w:p w:rsidR="00000000" w:rsidRDefault="00000000">
            <w:pPr>
              <w:tabs>
                <w:tab w:val="left" w:pos="252"/>
                <w:tab w:val="left" w:pos="965"/>
                <w:tab w:val="left" w:pos="1440"/>
                <w:tab w:val="left" w:pos="1915"/>
                <w:tab w:val="left" w:pos="2405"/>
              </w:tabs>
              <w:spacing w:after="120"/>
              <w:jc w:val="right"/>
              <w:rPr>
                <w:sz w:val="17"/>
              </w:rPr>
            </w:pPr>
            <w:r>
              <w:rPr>
                <w:sz w:val="17"/>
              </w:rPr>
              <w:t>37.1</w:t>
            </w:r>
          </w:p>
        </w:tc>
      </w:tr>
      <w:tr w:rsidR="00000000">
        <w:tblPrEx>
          <w:tblCellMar>
            <w:top w:w="0" w:type="dxa"/>
            <w:bottom w:w="0" w:type="dxa"/>
          </w:tblCellMar>
        </w:tblPrEx>
        <w:tc>
          <w:tcPr>
            <w:tcW w:w="4320" w:type="dxa"/>
          </w:tcPr>
          <w:p w:rsidR="00000000" w:rsidRDefault="00000000">
            <w:pPr>
              <w:tabs>
                <w:tab w:val="left" w:pos="252"/>
                <w:tab w:val="left" w:pos="965"/>
                <w:tab w:val="left" w:pos="1440"/>
                <w:tab w:val="left" w:pos="1915"/>
                <w:tab w:val="left" w:pos="2405"/>
              </w:tabs>
              <w:spacing w:after="120"/>
              <w:rPr>
                <w:sz w:val="17"/>
              </w:rPr>
            </w:pPr>
            <w:r>
              <w:rPr>
                <w:sz w:val="17"/>
              </w:rPr>
              <w:t>Electricity, gas and water production and supply</w:t>
            </w:r>
          </w:p>
        </w:tc>
        <w:tc>
          <w:tcPr>
            <w:tcW w:w="1620" w:type="dxa"/>
          </w:tcPr>
          <w:p w:rsidR="00000000" w:rsidRDefault="00000000">
            <w:pPr>
              <w:tabs>
                <w:tab w:val="left" w:pos="252"/>
                <w:tab w:val="left" w:pos="965"/>
                <w:tab w:val="left" w:pos="1440"/>
                <w:tab w:val="left" w:pos="1915"/>
                <w:tab w:val="left" w:pos="2405"/>
              </w:tabs>
              <w:spacing w:after="120"/>
              <w:jc w:val="right"/>
              <w:rPr>
                <w:sz w:val="17"/>
              </w:rPr>
            </w:pPr>
            <w:r>
              <w:rPr>
                <w:sz w:val="17"/>
              </w:rPr>
              <w:t>144.5</w:t>
            </w:r>
          </w:p>
        </w:tc>
        <w:tc>
          <w:tcPr>
            <w:tcW w:w="1350" w:type="dxa"/>
          </w:tcPr>
          <w:p w:rsidR="00000000" w:rsidRDefault="00000000">
            <w:pPr>
              <w:tabs>
                <w:tab w:val="left" w:pos="252"/>
                <w:tab w:val="left" w:pos="965"/>
                <w:tab w:val="left" w:pos="1440"/>
                <w:tab w:val="left" w:pos="1915"/>
                <w:tab w:val="left" w:pos="2405"/>
              </w:tabs>
              <w:spacing w:after="120"/>
              <w:jc w:val="right"/>
              <w:rPr>
                <w:sz w:val="17"/>
              </w:rPr>
            </w:pPr>
            <w:r>
              <w:rPr>
                <w:sz w:val="17"/>
              </w:rPr>
              <w:t>102.2</w:t>
            </w:r>
          </w:p>
        </w:tc>
        <w:tc>
          <w:tcPr>
            <w:tcW w:w="1260" w:type="dxa"/>
          </w:tcPr>
          <w:p w:rsidR="00000000" w:rsidRDefault="00000000">
            <w:pPr>
              <w:tabs>
                <w:tab w:val="left" w:pos="252"/>
                <w:tab w:val="left" w:pos="965"/>
                <w:tab w:val="left" w:pos="1440"/>
                <w:tab w:val="left" w:pos="1915"/>
                <w:tab w:val="left" w:pos="2405"/>
              </w:tabs>
              <w:spacing w:after="120"/>
              <w:jc w:val="right"/>
              <w:rPr>
                <w:sz w:val="17"/>
              </w:rPr>
            </w:pPr>
            <w:r>
              <w:rPr>
                <w:sz w:val="17"/>
              </w:rPr>
              <w:t>42.3</w:t>
            </w:r>
          </w:p>
        </w:tc>
        <w:tc>
          <w:tcPr>
            <w:tcW w:w="1260" w:type="dxa"/>
          </w:tcPr>
          <w:p w:rsidR="00000000" w:rsidRDefault="00000000">
            <w:pPr>
              <w:tabs>
                <w:tab w:val="left" w:pos="252"/>
                <w:tab w:val="left" w:pos="965"/>
                <w:tab w:val="left" w:pos="1440"/>
                <w:tab w:val="left" w:pos="1915"/>
                <w:tab w:val="left" w:pos="2405"/>
              </w:tabs>
              <w:spacing w:after="120"/>
              <w:jc w:val="right"/>
              <w:rPr>
                <w:sz w:val="17"/>
              </w:rPr>
            </w:pPr>
            <w:r>
              <w:rPr>
                <w:sz w:val="17"/>
              </w:rPr>
              <w:t>29.3</w:t>
            </w:r>
          </w:p>
        </w:tc>
      </w:tr>
      <w:tr w:rsidR="00000000">
        <w:tblPrEx>
          <w:tblCellMar>
            <w:top w:w="0" w:type="dxa"/>
            <w:bottom w:w="0" w:type="dxa"/>
          </w:tblCellMar>
        </w:tblPrEx>
        <w:tc>
          <w:tcPr>
            <w:tcW w:w="4320" w:type="dxa"/>
          </w:tcPr>
          <w:p w:rsidR="00000000" w:rsidRDefault="00000000">
            <w:pPr>
              <w:tabs>
                <w:tab w:val="left" w:pos="252"/>
                <w:tab w:val="left" w:pos="965"/>
                <w:tab w:val="left" w:pos="1440"/>
                <w:tab w:val="left" w:pos="1915"/>
                <w:tab w:val="left" w:pos="2405"/>
              </w:tabs>
              <w:spacing w:after="120"/>
              <w:rPr>
                <w:sz w:val="17"/>
              </w:rPr>
            </w:pPr>
            <w:r>
              <w:rPr>
                <w:sz w:val="17"/>
              </w:rPr>
              <w:t>Construction</w:t>
            </w:r>
          </w:p>
        </w:tc>
        <w:tc>
          <w:tcPr>
            <w:tcW w:w="1620" w:type="dxa"/>
          </w:tcPr>
          <w:p w:rsidR="00000000" w:rsidRDefault="00000000">
            <w:pPr>
              <w:tabs>
                <w:tab w:val="left" w:pos="252"/>
                <w:tab w:val="left" w:pos="965"/>
                <w:tab w:val="left" w:pos="1440"/>
                <w:tab w:val="left" w:pos="1915"/>
                <w:tab w:val="left" w:pos="2405"/>
              </w:tabs>
              <w:spacing w:after="120"/>
              <w:jc w:val="right"/>
              <w:rPr>
                <w:sz w:val="17"/>
              </w:rPr>
            </w:pPr>
            <w:r>
              <w:rPr>
                <w:sz w:val="17"/>
              </w:rPr>
              <w:t>133.2</w:t>
            </w:r>
          </w:p>
        </w:tc>
        <w:tc>
          <w:tcPr>
            <w:tcW w:w="1350" w:type="dxa"/>
          </w:tcPr>
          <w:p w:rsidR="00000000" w:rsidRDefault="00000000">
            <w:pPr>
              <w:tabs>
                <w:tab w:val="left" w:pos="252"/>
                <w:tab w:val="left" w:pos="965"/>
                <w:tab w:val="left" w:pos="1440"/>
                <w:tab w:val="left" w:pos="1915"/>
                <w:tab w:val="left" w:pos="2405"/>
              </w:tabs>
              <w:spacing w:after="120"/>
              <w:jc w:val="right"/>
              <w:rPr>
                <w:sz w:val="17"/>
              </w:rPr>
            </w:pPr>
            <w:r>
              <w:rPr>
                <w:sz w:val="17"/>
              </w:rPr>
              <w:t>106.3</w:t>
            </w:r>
          </w:p>
        </w:tc>
        <w:tc>
          <w:tcPr>
            <w:tcW w:w="1260" w:type="dxa"/>
          </w:tcPr>
          <w:p w:rsidR="00000000" w:rsidRDefault="00000000">
            <w:pPr>
              <w:tabs>
                <w:tab w:val="left" w:pos="252"/>
                <w:tab w:val="left" w:pos="965"/>
                <w:tab w:val="left" w:pos="1440"/>
                <w:tab w:val="left" w:pos="1915"/>
                <w:tab w:val="left" w:pos="2405"/>
              </w:tabs>
              <w:spacing w:after="120"/>
              <w:jc w:val="right"/>
              <w:rPr>
                <w:sz w:val="17"/>
              </w:rPr>
            </w:pPr>
            <w:r>
              <w:rPr>
                <w:sz w:val="17"/>
              </w:rPr>
              <w:t>26.9</w:t>
            </w:r>
          </w:p>
        </w:tc>
        <w:tc>
          <w:tcPr>
            <w:tcW w:w="1260" w:type="dxa"/>
          </w:tcPr>
          <w:p w:rsidR="00000000" w:rsidRDefault="00000000">
            <w:pPr>
              <w:tabs>
                <w:tab w:val="left" w:pos="252"/>
                <w:tab w:val="left" w:pos="965"/>
                <w:tab w:val="left" w:pos="1440"/>
                <w:tab w:val="left" w:pos="1915"/>
                <w:tab w:val="left" w:pos="2405"/>
              </w:tabs>
              <w:spacing w:after="120"/>
              <w:jc w:val="right"/>
              <w:rPr>
                <w:sz w:val="17"/>
              </w:rPr>
            </w:pPr>
            <w:r>
              <w:rPr>
                <w:sz w:val="17"/>
              </w:rPr>
              <w:t>20.2</w:t>
            </w:r>
          </w:p>
        </w:tc>
      </w:tr>
      <w:tr w:rsidR="00000000">
        <w:tblPrEx>
          <w:tblCellMar>
            <w:top w:w="0" w:type="dxa"/>
            <w:bottom w:w="0" w:type="dxa"/>
          </w:tblCellMar>
        </w:tblPrEx>
        <w:tc>
          <w:tcPr>
            <w:tcW w:w="4320" w:type="dxa"/>
          </w:tcPr>
          <w:p w:rsidR="00000000" w:rsidRDefault="00000000">
            <w:pPr>
              <w:tabs>
                <w:tab w:val="left" w:pos="252"/>
                <w:tab w:val="left" w:pos="965"/>
                <w:tab w:val="left" w:pos="1440"/>
                <w:tab w:val="left" w:pos="1915"/>
                <w:tab w:val="left" w:pos="2405"/>
              </w:tabs>
              <w:spacing w:after="120"/>
              <w:rPr>
                <w:sz w:val="17"/>
              </w:rPr>
            </w:pPr>
            <w:r>
              <w:rPr>
                <w:sz w:val="17"/>
              </w:rPr>
              <w:t>Trade: repair of motor vehicles and household goods</w:t>
            </w:r>
          </w:p>
        </w:tc>
        <w:tc>
          <w:tcPr>
            <w:tcW w:w="1620" w:type="dxa"/>
          </w:tcPr>
          <w:p w:rsidR="00000000" w:rsidRDefault="00000000">
            <w:pPr>
              <w:tabs>
                <w:tab w:val="left" w:pos="252"/>
                <w:tab w:val="left" w:pos="965"/>
                <w:tab w:val="left" w:pos="1440"/>
                <w:tab w:val="left" w:pos="1915"/>
                <w:tab w:val="left" w:pos="2405"/>
              </w:tabs>
              <w:spacing w:after="120"/>
              <w:jc w:val="right"/>
              <w:rPr>
                <w:sz w:val="17"/>
              </w:rPr>
            </w:pPr>
            <w:r>
              <w:rPr>
                <w:sz w:val="17"/>
              </w:rPr>
              <w:t>79.0</w:t>
            </w:r>
          </w:p>
        </w:tc>
        <w:tc>
          <w:tcPr>
            <w:tcW w:w="1350" w:type="dxa"/>
          </w:tcPr>
          <w:p w:rsidR="00000000" w:rsidRDefault="00000000">
            <w:pPr>
              <w:tabs>
                <w:tab w:val="left" w:pos="252"/>
                <w:tab w:val="left" w:pos="965"/>
                <w:tab w:val="left" w:pos="1440"/>
                <w:tab w:val="left" w:pos="1915"/>
                <w:tab w:val="left" w:pos="2405"/>
              </w:tabs>
              <w:spacing w:after="120"/>
              <w:jc w:val="right"/>
              <w:rPr>
                <w:sz w:val="17"/>
              </w:rPr>
            </w:pPr>
            <w:r>
              <w:rPr>
                <w:sz w:val="17"/>
              </w:rPr>
              <w:t>38.8</w:t>
            </w:r>
          </w:p>
        </w:tc>
        <w:tc>
          <w:tcPr>
            <w:tcW w:w="1260" w:type="dxa"/>
          </w:tcPr>
          <w:p w:rsidR="00000000" w:rsidRDefault="00000000">
            <w:pPr>
              <w:tabs>
                <w:tab w:val="left" w:pos="252"/>
                <w:tab w:val="left" w:pos="965"/>
                <w:tab w:val="left" w:pos="1440"/>
                <w:tab w:val="left" w:pos="1915"/>
                <w:tab w:val="left" w:pos="2405"/>
              </w:tabs>
              <w:spacing w:after="120"/>
              <w:jc w:val="right"/>
              <w:rPr>
                <w:sz w:val="17"/>
              </w:rPr>
            </w:pPr>
            <w:r>
              <w:rPr>
                <w:sz w:val="17"/>
              </w:rPr>
              <w:t>40.2</w:t>
            </w:r>
          </w:p>
        </w:tc>
        <w:tc>
          <w:tcPr>
            <w:tcW w:w="1260" w:type="dxa"/>
          </w:tcPr>
          <w:p w:rsidR="00000000" w:rsidRDefault="00000000">
            <w:pPr>
              <w:tabs>
                <w:tab w:val="left" w:pos="252"/>
                <w:tab w:val="left" w:pos="965"/>
                <w:tab w:val="left" w:pos="1440"/>
                <w:tab w:val="left" w:pos="1915"/>
                <w:tab w:val="left" w:pos="2405"/>
              </w:tabs>
              <w:spacing w:after="120"/>
              <w:jc w:val="right"/>
              <w:rPr>
                <w:sz w:val="17"/>
              </w:rPr>
            </w:pPr>
            <w:r>
              <w:rPr>
                <w:sz w:val="17"/>
              </w:rPr>
              <w:t>50.9</w:t>
            </w:r>
          </w:p>
        </w:tc>
      </w:tr>
      <w:tr w:rsidR="00000000">
        <w:tblPrEx>
          <w:tblCellMar>
            <w:top w:w="0" w:type="dxa"/>
            <w:bottom w:w="0" w:type="dxa"/>
          </w:tblCellMar>
        </w:tblPrEx>
        <w:tc>
          <w:tcPr>
            <w:tcW w:w="4320" w:type="dxa"/>
          </w:tcPr>
          <w:p w:rsidR="00000000" w:rsidRDefault="00000000">
            <w:pPr>
              <w:tabs>
                <w:tab w:val="left" w:pos="252"/>
                <w:tab w:val="left" w:pos="965"/>
                <w:tab w:val="left" w:pos="1440"/>
                <w:tab w:val="left" w:pos="1915"/>
                <w:tab w:val="left" w:pos="2405"/>
              </w:tabs>
              <w:spacing w:after="120"/>
              <w:rPr>
                <w:sz w:val="17"/>
              </w:rPr>
            </w:pPr>
            <w:r>
              <w:rPr>
                <w:sz w:val="17"/>
              </w:rPr>
              <w:t>Hotels and restaurants</w:t>
            </w:r>
          </w:p>
        </w:tc>
        <w:tc>
          <w:tcPr>
            <w:tcW w:w="1620" w:type="dxa"/>
          </w:tcPr>
          <w:p w:rsidR="00000000" w:rsidRDefault="00000000">
            <w:pPr>
              <w:tabs>
                <w:tab w:val="left" w:pos="252"/>
                <w:tab w:val="left" w:pos="965"/>
                <w:tab w:val="left" w:pos="1440"/>
                <w:tab w:val="left" w:pos="1915"/>
                <w:tab w:val="left" w:pos="2405"/>
              </w:tabs>
              <w:spacing w:after="120"/>
              <w:jc w:val="right"/>
              <w:rPr>
                <w:sz w:val="17"/>
              </w:rPr>
            </w:pPr>
            <w:r>
              <w:rPr>
                <w:sz w:val="17"/>
              </w:rPr>
              <w:t>24.1</w:t>
            </w:r>
          </w:p>
        </w:tc>
        <w:tc>
          <w:tcPr>
            <w:tcW w:w="1350" w:type="dxa"/>
          </w:tcPr>
          <w:p w:rsidR="00000000" w:rsidRDefault="00000000">
            <w:pPr>
              <w:tabs>
                <w:tab w:val="left" w:pos="252"/>
                <w:tab w:val="left" w:pos="965"/>
                <w:tab w:val="left" w:pos="1440"/>
                <w:tab w:val="left" w:pos="1915"/>
                <w:tab w:val="left" w:pos="2405"/>
              </w:tabs>
              <w:spacing w:after="120"/>
              <w:jc w:val="right"/>
              <w:rPr>
                <w:sz w:val="17"/>
              </w:rPr>
            </w:pPr>
            <w:r>
              <w:rPr>
                <w:sz w:val="17"/>
              </w:rPr>
              <w:t>5.6</w:t>
            </w:r>
          </w:p>
        </w:tc>
        <w:tc>
          <w:tcPr>
            <w:tcW w:w="1260" w:type="dxa"/>
          </w:tcPr>
          <w:p w:rsidR="00000000" w:rsidRDefault="00000000">
            <w:pPr>
              <w:tabs>
                <w:tab w:val="left" w:pos="252"/>
                <w:tab w:val="left" w:pos="965"/>
                <w:tab w:val="left" w:pos="1440"/>
                <w:tab w:val="left" w:pos="1915"/>
                <w:tab w:val="left" w:pos="2405"/>
              </w:tabs>
              <w:spacing w:after="120"/>
              <w:jc w:val="right"/>
              <w:rPr>
                <w:sz w:val="17"/>
              </w:rPr>
            </w:pPr>
            <w:r>
              <w:rPr>
                <w:sz w:val="17"/>
              </w:rPr>
              <w:t>18.5</w:t>
            </w:r>
          </w:p>
        </w:tc>
        <w:tc>
          <w:tcPr>
            <w:tcW w:w="1260" w:type="dxa"/>
          </w:tcPr>
          <w:p w:rsidR="00000000" w:rsidRDefault="00000000">
            <w:pPr>
              <w:tabs>
                <w:tab w:val="left" w:pos="252"/>
                <w:tab w:val="left" w:pos="965"/>
                <w:tab w:val="left" w:pos="1440"/>
                <w:tab w:val="left" w:pos="1915"/>
                <w:tab w:val="left" w:pos="2405"/>
              </w:tabs>
              <w:spacing w:after="120"/>
              <w:jc w:val="right"/>
              <w:rPr>
                <w:sz w:val="17"/>
              </w:rPr>
            </w:pPr>
            <w:r>
              <w:rPr>
                <w:sz w:val="17"/>
              </w:rPr>
              <w:t>76.8</w:t>
            </w:r>
          </w:p>
        </w:tc>
      </w:tr>
      <w:tr w:rsidR="00000000">
        <w:tblPrEx>
          <w:tblCellMar>
            <w:top w:w="0" w:type="dxa"/>
            <w:bottom w:w="0" w:type="dxa"/>
          </w:tblCellMar>
        </w:tblPrEx>
        <w:tc>
          <w:tcPr>
            <w:tcW w:w="4320" w:type="dxa"/>
          </w:tcPr>
          <w:p w:rsidR="00000000" w:rsidRDefault="00000000">
            <w:pPr>
              <w:tabs>
                <w:tab w:val="left" w:pos="252"/>
                <w:tab w:val="left" w:pos="965"/>
                <w:tab w:val="left" w:pos="1440"/>
                <w:tab w:val="left" w:pos="1915"/>
                <w:tab w:val="left" w:pos="2405"/>
              </w:tabs>
              <w:spacing w:after="120"/>
              <w:rPr>
                <w:sz w:val="17"/>
              </w:rPr>
            </w:pPr>
            <w:r>
              <w:rPr>
                <w:sz w:val="17"/>
              </w:rPr>
              <w:t>Transport and communications</w:t>
            </w:r>
          </w:p>
        </w:tc>
        <w:tc>
          <w:tcPr>
            <w:tcW w:w="1620" w:type="dxa"/>
          </w:tcPr>
          <w:p w:rsidR="00000000" w:rsidRDefault="00000000">
            <w:pPr>
              <w:tabs>
                <w:tab w:val="left" w:pos="252"/>
                <w:tab w:val="left" w:pos="965"/>
                <w:tab w:val="left" w:pos="1440"/>
                <w:tab w:val="left" w:pos="1915"/>
                <w:tab w:val="left" w:pos="2405"/>
              </w:tabs>
              <w:spacing w:after="120"/>
              <w:jc w:val="right"/>
              <w:rPr>
                <w:sz w:val="17"/>
              </w:rPr>
            </w:pPr>
            <w:r>
              <w:rPr>
                <w:sz w:val="17"/>
              </w:rPr>
              <w:t>332.5</w:t>
            </w:r>
          </w:p>
        </w:tc>
        <w:tc>
          <w:tcPr>
            <w:tcW w:w="1350" w:type="dxa"/>
          </w:tcPr>
          <w:p w:rsidR="00000000" w:rsidRDefault="00000000">
            <w:pPr>
              <w:tabs>
                <w:tab w:val="left" w:pos="252"/>
                <w:tab w:val="left" w:pos="965"/>
                <w:tab w:val="left" w:pos="1440"/>
                <w:tab w:val="left" w:pos="1915"/>
                <w:tab w:val="left" w:pos="2405"/>
              </w:tabs>
              <w:spacing w:after="120"/>
              <w:jc w:val="right"/>
              <w:rPr>
                <w:sz w:val="17"/>
              </w:rPr>
            </w:pPr>
            <w:r>
              <w:rPr>
                <w:sz w:val="17"/>
              </w:rPr>
              <w:t>228.9</w:t>
            </w:r>
          </w:p>
        </w:tc>
        <w:tc>
          <w:tcPr>
            <w:tcW w:w="1260" w:type="dxa"/>
          </w:tcPr>
          <w:p w:rsidR="00000000" w:rsidRDefault="00000000">
            <w:pPr>
              <w:tabs>
                <w:tab w:val="left" w:pos="252"/>
                <w:tab w:val="left" w:pos="965"/>
                <w:tab w:val="left" w:pos="1440"/>
                <w:tab w:val="left" w:pos="1915"/>
                <w:tab w:val="left" w:pos="2405"/>
              </w:tabs>
              <w:spacing w:after="120"/>
              <w:jc w:val="right"/>
              <w:rPr>
                <w:sz w:val="17"/>
              </w:rPr>
            </w:pPr>
            <w:r>
              <w:rPr>
                <w:sz w:val="17"/>
              </w:rPr>
              <w:t>103.6</w:t>
            </w:r>
          </w:p>
        </w:tc>
        <w:tc>
          <w:tcPr>
            <w:tcW w:w="1260" w:type="dxa"/>
          </w:tcPr>
          <w:p w:rsidR="00000000" w:rsidRDefault="00000000">
            <w:pPr>
              <w:tabs>
                <w:tab w:val="left" w:pos="252"/>
                <w:tab w:val="left" w:pos="965"/>
                <w:tab w:val="left" w:pos="1440"/>
                <w:tab w:val="left" w:pos="1915"/>
                <w:tab w:val="left" w:pos="2405"/>
              </w:tabs>
              <w:spacing w:after="120"/>
              <w:jc w:val="right"/>
              <w:rPr>
                <w:sz w:val="17"/>
              </w:rPr>
            </w:pPr>
            <w:r>
              <w:rPr>
                <w:sz w:val="17"/>
              </w:rPr>
              <w:t>31.2</w:t>
            </w:r>
          </w:p>
        </w:tc>
      </w:tr>
      <w:tr w:rsidR="00000000">
        <w:tblPrEx>
          <w:tblCellMar>
            <w:top w:w="0" w:type="dxa"/>
            <w:bottom w:w="0" w:type="dxa"/>
          </w:tblCellMar>
        </w:tblPrEx>
        <w:tc>
          <w:tcPr>
            <w:tcW w:w="4320" w:type="dxa"/>
          </w:tcPr>
          <w:p w:rsidR="00000000" w:rsidRDefault="00000000">
            <w:pPr>
              <w:tabs>
                <w:tab w:val="left" w:pos="252"/>
                <w:tab w:val="left" w:pos="965"/>
                <w:tab w:val="left" w:pos="1440"/>
                <w:tab w:val="left" w:pos="1915"/>
                <w:tab w:val="left" w:pos="2405"/>
              </w:tabs>
              <w:spacing w:after="120"/>
              <w:rPr>
                <w:sz w:val="17"/>
              </w:rPr>
            </w:pPr>
            <w:r>
              <w:rPr>
                <w:sz w:val="17"/>
              </w:rPr>
              <w:t>Financial activity</w:t>
            </w:r>
          </w:p>
        </w:tc>
        <w:tc>
          <w:tcPr>
            <w:tcW w:w="1620" w:type="dxa"/>
          </w:tcPr>
          <w:p w:rsidR="00000000" w:rsidRDefault="00000000">
            <w:pPr>
              <w:tabs>
                <w:tab w:val="left" w:pos="252"/>
                <w:tab w:val="left" w:pos="965"/>
                <w:tab w:val="left" w:pos="1440"/>
                <w:tab w:val="left" w:pos="1915"/>
                <w:tab w:val="left" w:pos="2405"/>
              </w:tabs>
              <w:spacing w:after="120"/>
              <w:jc w:val="right"/>
              <w:rPr>
                <w:sz w:val="17"/>
              </w:rPr>
            </w:pPr>
            <w:r>
              <w:rPr>
                <w:sz w:val="17"/>
              </w:rPr>
              <w:t>35.6</w:t>
            </w:r>
          </w:p>
        </w:tc>
        <w:tc>
          <w:tcPr>
            <w:tcW w:w="1350" w:type="dxa"/>
          </w:tcPr>
          <w:p w:rsidR="00000000" w:rsidRDefault="00000000">
            <w:pPr>
              <w:tabs>
                <w:tab w:val="left" w:pos="252"/>
                <w:tab w:val="left" w:pos="965"/>
                <w:tab w:val="left" w:pos="1440"/>
                <w:tab w:val="left" w:pos="1915"/>
                <w:tab w:val="left" w:pos="2405"/>
              </w:tabs>
              <w:spacing w:after="120"/>
              <w:jc w:val="right"/>
              <w:rPr>
                <w:sz w:val="17"/>
              </w:rPr>
            </w:pPr>
            <w:r>
              <w:rPr>
                <w:sz w:val="17"/>
              </w:rPr>
              <w:t>12.0</w:t>
            </w:r>
          </w:p>
        </w:tc>
        <w:tc>
          <w:tcPr>
            <w:tcW w:w="1260" w:type="dxa"/>
          </w:tcPr>
          <w:p w:rsidR="00000000" w:rsidRDefault="00000000">
            <w:pPr>
              <w:tabs>
                <w:tab w:val="left" w:pos="252"/>
                <w:tab w:val="left" w:pos="965"/>
                <w:tab w:val="left" w:pos="1440"/>
                <w:tab w:val="left" w:pos="1915"/>
                <w:tab w:val="left" w:pos="2405"/>
              </w:tabs>
              <w:spacing w:after="120"/>
              <w:jc w:val="right"/>
              <w:rPr>
                <w:sz w:val="17"/>
              </w:rPr>
            </w:pPr>
            <w:r>
              <w:rPr>
                <w:sz w:val="17"/>
              </w:rPr>
              <w:t>23.6</w:t>
            </w:r>
          </w:p>
        </w:tc>
        <w:tc>
          <w:tcPr>
            <w:tcW w:w="1260" w:type="dxa"/>
          </w:tcPr>
          <w:p w:rsidR="00000000" w:rsidRDefault="00000000">
            <w:pPr>
              <w:tabs>
                <w:tab w:val="left" w:pos="252"/>
                <w:tab w:val="left" w:pos="965"/>
                <w:tab w:val="left" w:pos="1440"/>
                <w:tab w:val="left" w:pos="1915"/>
                <w:tab w:val="left" w:pos="2405"/>
              </w:tabs>
              <w:spacing w:after="120"/>
              <w:jc w:val="right"/>
              <w:rPr>
                <w:sz w:val="17"/>
              </w:rPr>
            </w:pPr>
            <w:r>
              <w:rPr>
                <w:sz w:val="17"/>
              </w:rPr>
              <w:t>66.3</w:t>
            </w:r>
          </w:p>
        </w:tc>
      </w:tr>
      <w:tr w:rsidR="00000000">
        <w:tblPrEx>
          <w:tblCellMar>
            <w:top w:w="0" w:type="dxa"/>
            <w:bottom w:w="0" w:type="dxa"/>
          </w:tblCellMar>
        </w:tblPrEx>
        <w:tc>
          <w:tcPr>
            <w:tcW w:w="4320" w:type="dxa"/>
          </w:tcPr>
          <w:p w:rsidR="00000000" w:rsidRDefault="00000000">
            <w:pPr>
              <w:tabs>
                <w:tab w:val="left" w:pos="252"/>
                <w:tab w:val="left" w:pos="965"/>
                <w:tab w:val="left" w:pos="1440"/>
                <w:tab w:val="left" w:pos="1915"/>
                <w:tab w:val="left" w:pos="2405"/>
              </w:tabs>
              <w:spacing w:after="120"/>
              <w:rPr>
                <w:sz w:val="17"/>
              </w:rPr>
            </w:pPr>
            <w:r>
              <w:rPr>
                <w:sz w:val="17"/>
              </w:rPr>
              <w:t>Real estate, renting and business activities</w:t>
            </w:r>
          </w:p>
        </w:tc>
        <w:tc>
          <w:tcPr>
            <w:tcW w:w="1620" w:type="dxa"/>
          </w:tcPr>
          <w:p w:rsidR="00000000" w:rsidRDefault="00000000">
            <w:pPr>
              <w:tabs>
                <w:tab w:val="left" w:pos="252"/>
                <w:tab w:val="left" w:pos="965"/>
                <w:tab w:val="left" w:pos="1440"/>
                <w:tab w:val="left" w:pos="1915"/>
                <w:tab w:val="left" w:pos="2405"/>
              </w:tabs>
              <w:spacing w:after="120"/>
              <w:jc w:val="right"/>
              <w:rPr>
                <w:sz w:val="17"/>
              </w:rPr>
            </w:pPr>
            <w:r>
              <w:rPr>
                <w:sz w:val="17"/>
              </w:rPr>
              <w:t>135.8</w:t>
            </w:r>
          </w:p>
        </w:tc>
        <w:tc>
          <w:tcPr>
            <w:tcW w:w="1350" w:type="dxa"/>
          </w:tcPr>
          <w:p w:rsidR="00000000" w:rsidRDefault="00000000">
            <w:pPr>
              <w:tabs>
                <w:tab w:val="left" w:pos="252"/>
                <w:tab w:val="left" w:pos="965"/>
                <w:tab w:val="left" w:pos="1440"/>
                <w:tab w:val="left" w:pos="1915"/>
                <w:tab w:val="left" w:pos="2405"/>
              </w:tabs>
              <w:spacing w:after="120"/>
              <w:jc w:val="right"/>
              <w:rPr>
                <w:sz w:val="17"/>
              </w:rPr>
            </w:pPr>
            <w:r>
              <w:rPr>
                <w:sz w:val="17"/>
              </w:rPr>
              <w:t>73.0</w:t>
            </w:r>
          </w:p>
        </w:tc>
        <w:tc>
          <w:tcPr>
            <w:tcW w:w="1260" w:type="dxa"/>
          </w:tcPr>
          <w:p w:rsidR="00000000" w:rsidRDefault="00000000">
            <w:pPr>
              <w:tabs>
                <w:tab w:val="left" w:pos="252"/>
                <w:tab w:val="left" w:pos="965"/>
                <w:tab w:val="left" w:pos="1440"/>
                <w:tab w:val="left" w:pos="1915"/>
                <w:tab w:val="left" w:pos="2405"/>
              </w:tabs>
              <w:spacing w:after="120"/>
              <w:jc w:val="right"/>
              <w:rPr>
                <w:sz w:val="17"/>
              </w:rPr>
            </w:pPr>
            <w:r>
              <w:rPr>
                <w:sz w:val="17"/>
              </w:rPr>
              <w:t>62.8</w:t>
            </w:r>
          </w:p>
        </w:tc>
        <w:tc>
          <w:tcPr>
            <w:tcW w:w="1260" w:type="dxa"/>
          </w:tcPr>
          <w:p w:rsidR="00000000" w:rsidRDefault="00000000">
            <w:pPr>
              <w:tabs>
                <w:tab w:val="left" w:pos="252"/>
                <w:tab w:val="left" w:pos="965"/>
                <w:tab w:val="left" w:pos="1440"/>
                <w:tab w:val="left" w:pos="1915"/>
                <w:tab w:val="left" w:pos="2405"/>
              </w:tabs>
              <w:spacing w:after="120"/>
              <w:jc w:val="right"/>
              <w:rPr>
                <w:sz w:val="17"/>
              </w:rPr>
            </w:pPr>
            <w:r>
              <w:rPr>
                <w:sz w:val="17"/>
              </w:rPr>
              <w:t>46.2</w:t>
            </w:r>
          </w:p>
        </w:tc>
      </w:tr>
      <w:tr w:rsidR="00000000">
        <w:tblPrEx>
          <w:tblCellMar>
            <w:top w:w="0" w:type="dxa"/>
            <w:bottom w:w="0" w:type="dxa"/>
          </w:tblCellMar>
        </w:tblPrEx>
        <w:tc>
          <w:tcPr>
            <w:tcW w:w="4320" w:type="dxa"/>
          </w:tcPr>
          <w:p w:rsidR="00000000" w:rsidRDefault="00000000">
            <w:pPr>
              <w:tabs>
                <w:tab w:val="left" w:pos="252"/>
                <w:tab w:val="left" w:pos="965"/>
                <w:tab w:val="left" w:pos="1440"/>
                <w:tab w:val="left" w:pos="1915"/>
                <w:tab w:val="left" w:pos="2405"/>
              </w:tabs>
              <w:spacing w:after="120"/>
              <w:rPr>
                <w:sz w:val="17"/>
              </w:rPr>
            </w:pPr>
            <w:r>
              <w:rPr>
                <w:sz w:val="17"/>
              </w:rPr>
              <w:t>Public administration</w:t>
            </w:r>
          </w:p>
        </w:tc>
        <w:tc>
          <w:tcPr>
            <w:tcW w:w="1620" w:type="dxa"/>
          </w:tcPr>
          <w:p w:rsidR="00000000" w:rsidRDefault="00000000">
            <w:pPr>
              <w:tabs>
                <w:tab w:val="left" w:pos="252"/>
                <w:tab w:val="left" w:pos="965"/>
                <w:tab w:val="left" w:pos="1440"/>
                <w:tab w:val="left" w:pos="1915"/>
                <w:tab w:val="left" w:pos="2405"/>
              </w:tabs>
              <w:spacing w:after="120"/>
              <w:jc w:val="right"/>
              <w:rPr>
                <w:sz w:val="17"/>
              </w:rPr>
            </w:pPr>
            <w:r>
              <w:rPr>
                <w:sz w:val="17"/>
              </w:rPr>
              <w:t>177.2</w:t>
            </w:r>
          </w:p>
        </w:tc>
        <w:tc>
          <w:tcPr>
            <w:tcW w:w="1350" w:type="dxa"/>
          </w:tcPr>
          <w:p w:rsidR="00000000" w:rsidRDefault="00000000">
            <w:pPr>
              <w:tabs>
                <w:tab w:val="left" w:pos="252"/>
                <w:tab w:val="left" w:pos="965"/>
                <w:tab w:val="left" w:pos="1440"/>
                <w:tab w:val="left" w:pos="1915"/>
                <w:tab w:val="left" w:pos="2405"/>
              </w:tabs>
              <w:spacing w:after="120"/>
              <w:jc w:val="right"/>
              <w:rPr>
                <w:sz w:val="17"/>
              </w:rPr>
            </w:pPr>
            <w:r>
              <w:rPr>
                <w:sz w:val="17"/>
              </w:rPr>
              <w:t>106.2</w:t>
            </w:r>
          </w:p>
        </w:tc>
        <w:tc>
          <w:tcPr>
            <w:tcW w:w="1260" w:type="dxa"/>
          </w:tcPr>
          <w:p w:rsidR="00000000" w:rsidRDefault="00000000">
            <w:pPr>
              <w:tabs>
                <w:tab w:val="left" w:pos="252"/>
                <w:tab w:val="left" w:pos="965"/>
                <w:tab w:val="left" w:pos="1440"/>
                <w:tab w:val="left" w:pos="1915"/>
                <w:tab w:val="left" w:pos="2405"/>
              </w:tabs>
              <w:spacing w:after="120"/>
              <w:jc w:val="right"/>
              <w:rPr>
                <w:sz w:val="17"/>
              </w:rPr>
            </w:pPr>
            <w:r>
              <w:rPr>
                <w:sz w:val="17"/>
              </w:rPr>
              <w:t>71.0</w:t>
            </w:r>
          </w:p>
        </w:tc>
        <w:tc>
          <w:tcPr>
            <w:tcW w:w="1260" w:type="dxa"/>
          </w:tcPr>
          <w:p w:rsidR="00000000" w:rsidRDefault="00000000">
            <w:pPr>
              <w:tabs>
                <w:tab w:val="left" w:pos="252"/>
                <w:tab w:val="left" w:pos="965"/>
                <w:tab w:val="left" w:pos="1440"/>
                <w:tab w:val="left" w:pos="1915"/>
                <w:tab w:val="left" w:pos="2405"/>
              </w:tabs>
              <w:spacing w:after="120"/>
              <w:jc w:val="right"/>
              <w:rPr>
                <w:sz w:val="17"/>
              </w:rPr>
            </w:pPr>
            <w:r>
              <w:rPr>
                <w:sz w:val="17"/>
              </w:rPr>
              <w:t>40.1</w:t>
            </w:r>
          </w:p>
        </w:tc>
      </w:tr>
      <w:tr w:rsidR="00000000">
        <w:tblPrEx>
          <w:tblCellMar>
            <w:top w:w="0" w:type="dxa"/>
            <w:bottom w:w="0" w:type="dxa"/>
          </w:tblCellMar>
        </w:tblPrEx>
        <w:tc>
          <w:tcPr>
            <w:tcW w:w="4320" w:type="dxa"/>
          </w:tcPr>
          <w:p w:rsidR="00000000" w:rsidRDefault="00000000">
            <w:pPr>
              <w:tabs>
                <w:tab w:val="left" w:pos="252"/>
                <w:tab w:val="left" w:pos="965"/>
                <w:tab w:val="left" w:pos="1440"/>
                <w:tab w:val="left" w:pos="1915"/>
                <w:tab w:val="left" w:pos="2405"/>
              </w:tabs>
              <w:spacing w:after="120"/>
              <w:rPr>
                <w:sz w:val="17"/>
              </w:rPr>
            </w:pPr>
            <w:r>
              <w:rPr>
                <w:sz w:val="17"/>
              </w:rPr>
              <w:t>Education</w:t>
            </w:r>
          </w:p>
        </w:tc>
        <w:tc>
          <w:tcPr>
            <w:tcW w:w="1620" w:type="dxa"/>
          </w:tcPr>
          <w:p w:rsidR="00000000" w:rsidRDefault="00000000">
            <w:pPr>
              <w:tabs>
                <w:tab w:val="left" w:pos="252"/>
                <w:tab w:val="left" w:pos="965"/>
                <w:tab w:val="left" w:pos="1440"/>
                <w:tab w:val="left" w:pos="1915"/>
                <w:tab w:val="left" w:pos="2405"/>
              </w:tabs>
              <w:spacing w:after="120"/>
              <w:jc w:val="right"/>
              <w:rPr>
                <w:sz w:val="17"/>
              </w:rPr>
            </w:pPr>
            <w:r>
              <w:rPr>
                <w:sz w:val="17"/>
              </w:rPr>
              <w:t>510.4</w:t>
            </w:r>
          </w:p>
        </w:tc>
        <w:tc>
          <w:tcPr>
            <w:tcW w:w="1350" w:type="dxa"/>
          </w:tcPr>
          <w:p w:rsidR="00000000" w:rsidRDefault="00000000">
            <w:pPr>
              <w:tabs>
                <w:tab w:val="left" w:pos="252"/>
                <w:tab w:val="left" w:pos="965"/>
                <w:tab w:val="left" w:pos="1440"/>
                <w:tab w:val="left" w:pos="1915"/>
                <w:tab w:val="left" w:pos="2405"/>
              </w:tabs>
              <w:spacing w:after="120"/>
              <w:jc w:val="right"/>
              <w:rPr>
                <w:sz w:val="17"/>
              </w:rPr>
            </w:pPr>
            <w:r>
              <w:rPr>
                <w:sz w:val="17"/>
              </w:rPr>
              <w:t>127.2</w:t>
            </w:r>
          </w:p>
        </w:tc>
        <w:tc>
          <w:tcPr>
            <w:tcW w:w="1260" w:type="dxa"/>
          </w:tcPr>
          <w:p w:rsidR="00000000" w:rsidRDefault="00000000">
            <w:pPr>
              <w:tabs>
                <w:tab w:val="left" w:pos="252"/>
                <w:tab w:val="left" w:pos="965"/>
                <w:tab w:val="left" w:pos="1440"/>
                <w:tab w:val="left" w:pos="1915"/>
                <w:tab w:val="left" w:pos="2405"/>
              </w:tabs>
              <w:spacing w:after="120"/>
              <w:jc w:val="right"/>
              <w:rPr>
                <w:sz w:val="17"/>
              </w:rPr>
            </w:pPr>
            <w:r>
              <w:rPr>
                <w:sz w:val="17"/>
              </w:rPr>
              <w:t>383.2</w:t>
            </w:r>
          </w:p>
        </w:tc>
        <w:tc>
          <w:tcPr>
            <w:tcW w:w="1260" w:type="dxa"/>
          </w:tcPr>
          <w:p w:rsidR="00000000" w:rsidRDefault="00000000">
            <w:pPr>
              <w:tabs>
                <w:tab w:val="left" w:pos="252"/>
                <w:tab w:val="left" w:pos="965"/>
                <w:tab w:val="left" w:pos="1440"/>
                <w:tab w:val="left" w:pos="1915"/>
                <w:tab w:val="left" w:pos="2405"/>
              </w:tabs>
              <w:spacing w:after="120"/>
              <w:jc w:val="right"/>
              <w:rPr>
                <w:sz w:val="17"/>
              </w:rPr>
            </w:pPr>
            <w:r>
              <w:rPr>
                <w:sz w:val="17"/>
              </w:rPr>
              <w:t>75.1</w:t>
            </w:r>
          </w:p>
        </w:tc>
      </w:tr>
      <w:tr w:rsidR="00000000">
        <w:tblPrEx>
          <w:tblCellMar>
            <w:top w:w="0" w:type="dxa"/>
            <w:bottom w:w="0" w:type="dxa"/>
          </w:tblCellMar>
        </w:tblPrEx>
        <w:tc>
          <w:tcPr>
            <w:tcW w:w="4320" w:type="dxa"/>
          </w:tcPr>
          <w:p w:rsidR="00000000" w:rsidRDefault="00000000">
            <w:pPr>
              <w:tabs>
                <w:tab w:val="left" w:pos="252"/>
                <w:tab w:val="left" w:pos="965"/>
                <w:tab w:val="left" w:pos="1440"/>
                <w:tab w:val="left" w:pos="1915"/>
                <w:tab w:val="left" w:pos="2405"/>
              </w:tabs>
              <w:spacing w:after="120"/>
              <w:rPr>
                <w:sz w:val="17"/>
              </w:rPr>
            </w:pPr>
            <w:r>
              <w:rPr>
                <w:sz w:val="17"/>
              </w:rPr>
              <w:t>Health and social work</w:t>
            </w:r>
          </w:p>
        </w:tc>
        <w:tc>
          <w:tcPr>
            <w:tcW w:w="1620" w:type="dxa"/>
          </w:tcPr>
          <w:p w:rsidR="00000000" w:rsidRDefault="00000000">
            <w:pPr>
              <w:tabs>
                <w:tab w:val="left" w:pos="252"/>
                <w:tab w:val="left" w:pos="965"/>
                <w:tab w:val="left" w:pos="1440"/>
                <w:tab w:val="left" w:pos="1915"/>
                <w:tab w:val="left" w:pos="2405"/>
              </w:tabs>
              <w:spacing w:after="120"/>
              <w:jc w:val="right"/>
              <w:rPr>
                <w:sz w:val="17"/>
              </w:rPr>
            </w:pPr>
            <w:r>
              <w:rPr>
                <w:sz w:val="17"/>
              </w:rPr>
              <w:t>312.6</w:t>
            </w:r>
          </w:p>
        </w:tc>
        <w:tc>
          <w:tcPr>
            <w:tcW w:w="1350" w:type="dxa"/>
          </w:tcPr>
          <w:p w:rsidR="00000000" w:rsidRDefault="00000000">
            <w:pPr>
              <w:tabs>
                <w:tab w:val="left" w:pos="252"/>
                <w:tab w:val="left" w:pos="965"/>
                <w:tab w:val="left" w:pos="1440"/>
                <w:tab w:val="left" w:pos="1915"/>
                <w:tab w:val="left" w:pos="2405"/>
              </w:tabs>
              <w:spacing w:after="120"/>
              <w:jc w:val="right"/>
              <w:rPr>
                <w:sz w:val="17"/>
              </w:rPr>
            </w:pPr>
            <w:r>
              <w:rPr>
                <w:sz w:val="17"/>
              </w:rPr>
              <w:t>56.2</w:t>
            </w:r>
          </w:p>
        </w:tc>
        <w:tc>
          <w:tcPr>
            <w:tcW w:w="1260" w:type="dxa"/>
          </w:tcPr>
          <w:p w:rsidR="00000000" w:rsidRDefault="00000000">
            <w:pPr>
              <w:tabs>
                <w:tab w:val="left" w:pos="252"/>
                <w:tab w:val="left" w:pos="965"/>
                <w:tab w:val="left" w:pos="1440"/>
                <w:tab w:val="left" w:pos="1915"/>
                <w:tab w:val="left" w:pos="2405"/>
              </w:tabs>
              <w:spacing w:after="120"/>
              <w:jc w:val="right"/>
              <w:rPr>
                <w:sz w:val="17"/>
              </w:rPr>
            </w:pPr>
            <w:r>
              <w:rPr>
                <w:sz w:val="17"/>
              </w:rPr>
              <w:t>256.4</w:t>
            </w:r>
          </w:p>
        </w:tc>
        <w:tc>
          <w:tcPr>
            <w:tcW w:w="1260" w:type="dxa"/>
          </w:tcPr>
          <w:p w:rsidR="00000000" w:rsidRDefault="00000000">
            <w:pPr>
              <w:tabs>
                <w:tab w:val="left" w:pos="252"/>
                <w:tab w:val="left" w:pos="965"/>
                <w:tab w:val="left" w:pos="1440"/>
                <w:tab w:val="left" w:pos="1915"/>
                <w:tab w:val="left" w:pos="2405"/>
              </w:tabs>
              <w:spacing w:after="120"/>
              <w:jc w:val="right"/>
              <w:rPr>
                <w:sz w:val="17"/>
              </w:rPr>
            </w:pPr>
            <w:r>
              <w:rPr>
                <w:sz w:val="17"/>
              </w:rPr>
              <w:t>82.0</w:t>
            </w:r>
          </w:p>
        </w:tc>
      </w:tr>
      <w:tr w:rsidR="00000000">
        <w:tblPrEx>
          <w:tblCellMar>
            <w:top w:w="0" w:type="dxa"/>
            <w:bottom w:w="0" w:type="dxa"/>
          </w:tblCellMar>
        </w:tblPrEx>
        <w:tc>
          <w:tcPr>
            <w:tcW w:w="4320" w:type="dxa"/>
            <w:tcBorders>
              <w:bottom w:val="single" w:sz="12" w:space="0" w:color="auto"/>
            </w:tcBorders>
          </w:tcPr>
          <w:p w:rsidR="00000000" w:rsidRDefault="00000000">
            <w:pPr>
              <w:tabs>
                <w:tab w:val="left" w:pos="252"/>
                <w:tab w:val="left" w:pos="965"/>
                <w:tab w:val="left" w:pos="1440"/>
                <w:tab w:val="left" w:pos="1915"/>
                <w:tab w:val="left" w:pos="2405"/>
              </w:tabs>
              <w:spacing w:after="120"/>
              <w:rPr>
                <w:sz w:val="17"/>
              </w:rPr>
            </w:pPr>
            <w:r>
              <w:rPr>
                <w:sz w:val="17"/>
              </w:rPr>
              <w:t>Other community, social and personal service activities</w:t>
            </w:r>
          </w:p>
        </w:tc>
        <w:tc>
          <w:tcPr>
            <w:tcW w:w="1620" w:type="dxa"/>
            <w:tcBorders>
              <w:bottom w:val="single" w:sz="12" w:space="0" w:color="auto"/>
            </w:tcBorders>
          </w:tcPr>
          <w:p w:rsidR="00000000" w:rsidRDefault="00000000">
            <w:pPr>
              <w:tabs>
                <w:tab w:val="left" w:pos="252"/>
                <w:tab w:val="left" w:pos="965"/>
                <w:tab w:val="left" w:pos="1440"/>
                <w:tab w:val="left" w:pos="1915"/>
                <w:tab w:val="left" w:pos="2405"/>
              </w:tabs>
              <w:spacing w:after="120"/>
              <w:jc w:val="right"/>
              <w:rPr>
                <w:sz w:val="17"/>
              </w:rPr>
            </w:pPr>
            <w:r>
              <w:rPr>
                <w:sz w:val="17"/>
              </w:rPr>
              <w:t>74.2</w:t>
            </w:r>
          </w:p>
        </w:tc>
        <w:tc>
          <w:tcPr>
            <w:tcW w:w="1350" w:type="dxa"/>
            <w:tcBorders>
              <w:bottom w:val="single" w:sz="12" w:space="0" w:color="auto"/>
            </w:tcBorders>
          </w:tcPr>
          <w:p w:rsidR="00000000" w:rsidRDefault="00000000">
            <w:pPr>
              <w:tabs>
                <w:tab w:val="left" w:pos="252"/>
                <w:tab w:val="left" w:pos="965"/>
                <w:tab w:val="left" w:pos="1440"/>
                <w:tab w:val="left" w:pos="1915"/>
                <w:tab w:val="left" w:pos="2405"/>
              </w:tabs>
              <w:spacing w:after="120"/>
              <w:jc w:val="right"/>
              <w:rPr>
                <w:sz w:val="17"/>
              </w:rPr>
            </w:pPr>
            <w:r>
              <w:rPr>
                <w:sz w:val="17"/>
              </w:rPr>
              <w:t>34.8</w:t>
            </w:r>
          </w:p>
        </w:tc>
        <w:tc>
          <w:tcPr>
            <w:tcW w:w="1260" w:type="dxa"/>
            <w:tcBorders>
              <w:bottom w:val="single" w:sz="12" w:space="0" w:color="auto"/>
            </w:tcBorders>
          </w:tcPr>
          <w:p w:rsidR="00000000" w:rsidRDefault="00000000">
            <w:pPr>
              <w:tabs>
                <w:tab w:val="left" w:pos="252"/>
                <w:tab w:val="left" w:pos="965"/>
                <w:tab w:val="left" w:pos="1440"/>
                <w:tab w:val="left" w:pos="1915"/>
                <w:tab w:val="left" w:pos="2405"/>
              </w:tabs>
              <w:spacing w:after="120"/>
              <w:jc w:val="right"/>
              <w:rPr>
                <w:sz w:val="17"/>
              </w:rPr>
            </w:pPr>
            <w:r>
              <w:rPr>
                <w:sz w:val="17"/>
              </w:rPr>
              <w:t>39.4</w:t>
            </w:r>
          </w:p>
        </w:tc>
        <w:tc>
          <w:tcPr>
            <w:tcW w:w="1260" w:type="dxa"/>
            <w:tcBorders>
              <w:bottom w:val="single" w:sz="12" w:space="0" w:color="auto"/>
            </w:tcBorders>
          </w:tcPr>
          <w:p w:rsidR="00000000" w:rsidRDefault="00000000">
            <w:pPr>
              <w:tabs>
                <w:tab w:val="left" w:pos="252"/>
                <w:tab w:val="left" w:pos="965"/>
                <w:tab w:val="left" w:pos="1440"/>
                <w:tab w:val="left" w:pos="1915"/>
                <w:tab w:val="left" w:pos="2405"/>
              </w:tabs>
              <w:spacing w:after="120"/>
              <w:jc w:val="right"/>
              <w:rPr>
                <w:sz w:val="17"/>
              </w:rPr>
            </w:pPr>
            <w:r>
              <w:rPr>
                <w:sz w:val="17"/>
              </w:rPr>
              <w:t>53.1</w:t>
            </w:r>
          </w:p>
        </w:tc>
      </w:tr>
    </w:tbl>
    <w:p w:rsidR="00000000" w:rsidRDefault="00000000">
      <w:pPr>
        <w:pStyle w:val="D12r"/>
      </w:pPr>
    </w:p>
    <w:p w:rsidR="00000000" w:rsidRDefault="00000000">
      <w:pPr>
        <w:tabs>
          <w:tab w:val="left" w:pos="475"/>
          <w:tab w:val="left" w:pos="965"/>
          <w:tab w:val="left" w:pos="1440"/>
          <w:tab w:val="left" w:pos="1915"/>
          <w:tab w:val="left" w:pos="2405"/>
        </w:tabs>
        <w:spacing w:after="120"/>
        <w:ind w:left="475" w:hanging="475"/>
        <w:rPr>
          <w:sz w:val="17"/>
        </w:rPr>
      </w:pPr>
    </w:p>
    <w:p w:rsidR="00000000" w:rsidRDefault="00000000">
      <w:pPr>
        <w:tabs>
          <w:tab w:val="left" w:pos="475"/>
          <w:tab w:val="left" w:pos="965"/>
          <w:tab w:val="left" w:pos="1440"/>
          <w:tab w:val="left" w:pos="1915"/>
          <w:tab w:val="left" w:pos="2405"/>
        </w:tabs>
        <w:spacing w:after="120"/>
        <w:jc w:val="both"/>
      </w:pPr>
    </w:p>
    <w:p w:rsidR="00000000" w:rsidRDefault="00000000">
      <w:pPr>
        <w:tabs>
          <w:tab w:val="left" w:pos="475"/>
          <w:tab w:val="left" w:pos="965"/>
          <w:tab w:val="left" w:pos="1440"/>
          <w:tab w:val="left" w:pos="1915"/>
          <w:tab w:val="left" w:pos="2405"/>
        </w:tabs>
        <w:spacing w:after="120"/>
        <w:jc w:val="both"/>
      </w:pPr>
    </w:p>
    <w:p w:rsidR="00000000" w:rsidRDefault="00000000">
      <w:pPr>
        <w:tabs>
          <w:tab w:val="left" w:pos="475"/>
          <w:tab w:val="left" w:pos="965"/>
          <w:tab w:val="left" w:pos="1440"/>
          <w:tab w:val="left" w:pos="1915"/>
          <w:tab w:val="left" w:pos="2405"/>
        </w:tabs>
        <w:spacing w:after="120"/>
        <w:jc w:val="both"/>
      </w:pPr>
    </w:p>
    <w:p w:rsidR="00000000" w:rsidRDefault="00000000">
      <w:pPr>
        <w:tabs>
          <w:tab w:val="left" w:pos="475"/>
          <w:tab w:val="left" w:pos="965"/>
          <w:tab w:val="left" w:pos="1440"/>
          <w:tab w:val="left" w:pos="1915"/>
          <w:tab w:val="left" w:pos="2405"/>
        </w:tabs>
        <w:spacing w:after="120"/>
        <w:jc w:val="both"/>
      </w:pPr>
    </w:p>
    <w:p w:rsidR="00000000" w:rsidRDefault="00000000">
      <w:pPr>
        <w:tabs>
          <w:tab w:val="left" w:pos="475"/>
          <w:tab w:val="left" w:pos="965"/>
          <w:tab w:val="left" w:pos="1440"/>
          <w:tab w:val="left" w:pos="1915"/>
          <w:tab w:val="left" w:pos="2405"/>
        </w:tabs>
        <w:spacing w:after="120"/>
        <w:jc w:val="both"/>
      </w:pPr>
    </w:p>
    <w:p w:rsidR="00000000" w:rsidRDefault="00000000">
      <w:pPr>
        <w:tabs>
          <w:tab w:val="left" w:pos="475"/>
          <w:tab w:val="left" w:pos="965"/>
          <w:tab w:val="left" w:pos="1440"/>
          <w:tab w:val="left" w:pos="1915"/>
          <w:tab w:val="left" w:pos="2405"/>
        </w:tabs>
        <w:spacing w:after="120"/>
        <w:jc w:val="both"/>
      </w:pPr>
    </w:p>
    <w:p w:rsidR="00000000" w:rsidRDefault="00000000">
      <w:pPr>
        <w:tabs>
          <w:tab w:val="left" w:pos="475"/>
          <w:tab w:val="left" w:pos="965"/>
          <w:tab w:val="left" w:pos="1440"/>
          <w:tab w:val="left" w:pos="1915"/>
          <w:tab w:val="left" w:pos="2405"/>
        </w:tabs>
        <w:spacing w:after="120"/>
        <w:jc w:val="both"/>
      </w:pPr>
    </w:p>
    <w:p w:rsidR="00000000" w:rsidRDefault="00000000">
      <w:pPr>
        <w:tabs>
          <w:tab w:val="left" w:pos="475"/>
          <w:tab w:val="left" w:pos="965"/>
          <w:tab w:val="left" w:pos="1440"/>
          <w:tab w:val="left" w:pos="1915"/>
          <w:tab w:val="left" w:pos="2405"/>
        </w:tabs>
        <w:spacing w:after="120"/>
        <w:jc w:val="both"/>
      </w:pPr>
      <w:r>
        <w:rPr>
          <w:noProof/>
          <w:w w:val="100"/>
        </w:rPr>
        <w:pict>
          <v:shape id="_x0000_s2068" type="#_x0000_t202" style="position:absolute;left:0;text-align:left;margin-left:7.3pt;margin-top:5.6pt;width:459pt;height:45pt;z-index:12;mso-position-horizontal:absolute;mso-position-horizontal-relative:text;mso-position-vertical:absolute;mso-position-vertical-relative:text" o:allowincell="f" stroked="f">
            <v:textbox>
              <w:txbxContent>
                <w:p w:rsidR="00000000" w:rsidRDefault="00000000">
                  <w:r>
                    <w:t>________________</w:t>
                  </w:r>
                </w:p>
                <w:p w:rsidR="00000000" w:rsidRDefault="00000000">
                  <w:pPr>
                    <w:tabs>
                      <w:tab w:val="left" w:pos="504"/>
                    </w:tabs>
                    <w:ind w:left="504" w:hanging="504"/>
                  </w:pPr>
                  <w:r>
                    <w:rPr>
                      <w:sz w:val="17"/>
                      <w:vertAlign w:val="superscript"/>
                    </w:rPr>
                    <w:t xml:space="preserve">          3</w:t>
                  </w:r>
                  <w:r>
                    <w:rPr>
                      <w:sz w:val="17"/>
                    </w:rPr>
                    <w:tab/>
                    <w:t>Since 1998, the International Standard Industrial Classification of All Types of Economic Activities has been used for the statistics; prior to 1998, the Classification of Branches of the National Economy (CBNE) was used.</w:t>
                  </w:r>
                </w:p>
              </w:txbxContent>
            </v:textbox>
          </v:shape>
        </w:pict>
      </w:r>
    </w:p>
    <w:p w:rsidR="00000000" w:rsidRDefault="00000000">
      <w:pPr>
        <w:tabs>
          <w:tab w:val="left" w:pos="475"/>
          <w:tab w:val="left" w:pos="965"/>
          <w:tab w:val="left" w:pos="1440"/>
          <w:tab w:val="left" w:pos="1915"/>
          <w:tab w:val="left" w:pos="2405"/>
        </w:tabs>
        <w:spacing w:after="120"/>
        <w:jc w:val="both"/>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line="20" w:lineRule="exact"/>
      </w:pPr>
    </w:p>
    <w:p w:rsidR="00000000" w:rsidRDefault="00000000">
      <w:pPr>
        <w:tabs>
          <w:tab w:val="left" w:pos="475"/>
          <w:tab w:val="left" w:pos="965"/>
          <w:tab w:val="left" w:pos="1440"/>
          <w:tab w:val="left" w:pos="1915"/>
          <w:tab w:val="left" w:pos="2405"/>
        </w:tabs>
        <w:spacing w:after="120"/>
        <w:jc w:val="both"/>
        <w:sectPr w:rsidR="00000000">
          <w:type w:val="continuous"/>
          <w:pgSz w:w="12240" w:h="15840"/>
          <w:pgMar w:top="1742" w:right="1195" w:bottom="1901" w:left="1195" w:header="576" w:footer="1037" w:gutter="0"/>
          <w:cols w:space="720"/>
          <w:docGrid w:linePitch="360"/>
        </w:sectPr>
      </w:pPr>
    </w:p>
    <w:p w:rsidR="00000000" w:rsidRDefault="00000000">
      <w:pPr>
        <w:tabs>
          <w:tab w:val="left" w:pos="475"/>
          <w:tab w:val="left" w:pos="965"/>
          <w:tab w:val="left" w:pos="1440"/>
          <w:tab w:val="left" w:pos="1915"/>
          <w:tab w:val="left" w:pos="2405"/>
        </w:tabs>
        <w:spacing w:after="120"/>
        <w:jc w:val="both"/>
      </w:pPr>
      <w:r>
        <w:t>37.</w:t>
      </w:r>
      <w:r>
        <w:tab/>
        <w:t>In 1997, a new budgetary classification of income and expenditure was approved for the Republic’s budget. Table 19 shows State budget expenditure according to this classification.</w:t>
      </w:r>
    </w:p>
    <w:p w:rsidR="00000000" w:rsidRDefault="00000000">
      <w:pPr>
        <w:pStyle w:val="D12r"/>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r>
        <w:t>Table 19</w:t>
      </w:r>
    </w:p>
    <w:p w:rsidR="00000000" w:rsidRDefault="00000000">
      <w:pPr>
        <w:pStyle w:val="BodyText3"/>
      </w:pPr>
      <w:r>
        <w:t>State budget expenditure on education, healthcare and social security, as per cent of total expenditure</w:t>
      </w:r>
    </w:p>
    <w:p w:rsidR="00000000" w:rsidRDefault="00000000">
      <w:pPr>
        <w:pStyle w:val="D12r"/>
      </w:pPr>
    </w:p>
    <w:tbl>
      <w:tblPr>
        <w:tblW w:w="0" w:type="auto"/>
        <w:tblInd w:w="29" w:type="dxa"/>
        <w:tblLayout w:type="fixed"/>
        <w:tblLook w:val="0000" w:firstRow="0" w:lastRow="0" w:firstColumn="0" w:lastColumn="0" w:noHBand="0" w:noVBand="0"/>
      </w:tblPr>
      <w:tblGrid>
        <w:gridCol w:w="2403"/>
        <w:gridCol w:w="630"/>
        <w:gridCol w:w="810"/>
        <w:gridCol w:w="1040"/>
      </w:tblGrid>
      <w:tr w:rsidR="00000000">
        <w:tblPrEx>
          <w:tblCellMar>
            <w:top w:w="0" w:type="dxa"/>
            <w:bottom w:w="0" w:type="dxa"/>
          </w:tblCellMar>
        </w:tblPrEx>
        <w:tc>
          <w:tcPr>
            <w:tcW w:w="2403" w:type="dxa"/>
            <w:tcBorders>
              <w:top w:val="single" w:sz="4" w:space="0" w:color="auto"/>
              <w:bottom w:val="single" w:sz="12" w:space="0" w:color="auto"/>
            </w:tcBorders>
            <w:vAlign w:val="bottom"/>
          </w:tcPr>
          <w:p w:rsidR="00000000" w:rsidRDefault="00000000">
            <w:pPr>
              <w:tabs>
                <w:tab w:val="left" w:pos="475"/>
                <w:tab w:val="left" w:pos="965"/>
                <w:tab w:val="left" w:pos="1440"/>
                <w:tab w:val="left" w:pos="1915"/>
                <w:tab w:val="left" w:pos="2405"/>
              </w:tabs>
              <w:spacing w:after="120" w:line="200" w:lineRule="exact"/>
              <w:jc w:val="right"/>
              <w:rPr>
                <w:i/>
                <w:sz w:val="14"/>
              </w:rPr>
            </w:pPr>
          </w:p>
        </w:tc>
        <w:tc>
          <w:tcPr>
            <w:tcW w:w="630" w:type="dxa"/>
            <w:tcBorders>
              <w:top w:val="single" w:sz="4" w:space="0" w:color="auto"/>
              <w:bottom w:val="single" w:sz="12" w:space="0" w:color="auto"/>
            </w:tcBorders>
            <w:vAlign w:val="bottom"/>
          </w:tcPr>
          <w:p w:rsidR="00000000" w:rsidRDefault="00000000">
            <w:pPr>
              <w:tabs>
                <w:tab w:val="left" w:pos="475"/>
                <w:tab w:val="left" w:pos="965"/>
                <w:tab w:val="left" w:pos="1440"/>
                <w:tab w:val="left" w:pos="1915"/>
                <w:tab w:val="left" w:pos="2405"/>
              </w:tabs>
              <w:spacing w:after="120" w:line="200" w:lineRule="exact"/>
              <w:jc w:val="right"/>
              <w:rPr>
                <w:i/>
                <w:sz w:val="14"/>
              </w:rPr>
            </w:pPr>
            <w:r>
              <w:rPr>
                <w:i/>
                <w:sz w:val="14"/>
              </w:rPr>
              <w:t>1997</w:t>
            </w:r>
          </w:p>
        </w:tc>
        <w:tc>
          <w:tcPr>
            <w:tcW w:w="810" w:type="dxa"/>
            <w:tcBorders>
              <w:top w:val="single" w:sz="4" w:space="0" w:color="auto"/>
              <w:bottom w:val="single" w:sz="12" w:space="0" w:color="auto"/>
            </w:tcBorders>
            <w:vAlign w:val="bottom"/>
          </w:tcPr>
          <w:p w:rsidR="00000000" w:rsidRDefault="00000000">
            <w:pPr>
              <w:tabs>
                <w:tab w:val="left" w:pos="475"/>
                <w:tab w:val="left" w:pos="965"/>
                <w:tab w:val="left" w:pos="1440"/>
                <w:tab w:val="left" w:pos="1915"/>
                <w:tab w:val="left" w:pos="2405"/>
              </w:tabs>
              <w:spacing w:after="120" w:line="200" w:lineRule="exact"/>
              <w:jc w:val="right"/>
              <w:rPr>
                <w:i/>
                <w:sz w:val="14"/>
              </w:rPr>
            </w:pPr>
            <w:r>
              <w:rPr>
                <w:i/>
                <w:sz w:val="14"/>
              </w:rPr>
              <w:t>1998</w:t>
            </w:r>
          </w:p>
        </w:tc>
        <w:tc>
          <w:tcPr>
            <w:tcW w:w="1040" w:type="dxa"/>
            <w:tcBorders>
              <w:top w:val="single" w:sz="4" w:space="0" w:color="auto"/>
              <w:bottom w:val="single" w:sz="12" w:space="0" w:color="auto"/>
            </w:tcBorders>
            <w:vAlign w:val="bottom"/>
          </w:tcPr>
          <w:p w:rsidR="00000000" w:rsidRDefault="00000000">
            <w:pPr>
              <w:tabs>
                <w:tab w:val="left" w:pos="475"/>
                <w:tab w:val="left" w:pos="965"/>
                <w:tab w:val="left" w:pos="1440"/>
                <w:tab w:val="left" w:pos="1915"/>
                <w:tab w:val="left" w:pos="2405"/>
              </w:tabs>
              <w:spacing w:after="120" w:line="200" w:lineRule="exact"/>
              <w:jc w:val="right"/>
              <w:rPr>
                <w:i/>
                <w:sz w:val="14"/>
              </w:rPr>
            </w:pPr>
            <w:r>
              <w:rPr>
                <w:i/>
                <w:sz w:val="14"/>
              </w:rPr>
              <w:t>On 1 September 1999</w:t>
            </w:r>
          </w:p>
        </w:tc>
      </w:tr>
      <w:tr w:rsidR="00000000">
        <w:tblPrEx>
          <w:tblCellMar>
            <w:top w:w="0" w:type="dxa"/>
            <w:bottom w:w="0" w:type="dxa"/>
          </w:tblCellMar>
        </w:tblPrEx>
        <w:tc>
          <w:tcPr>
            <w:tcW w:w="2403" w:type="dxa"/>
            <w:tcBorders>
              <w:top w:val="single" w:sz="12" w:space="0" w:color="auto"/>
            </w:tcBorders>
          </w:tcPr>
          <w:p w:rsidR="00000000" w:rsidRDefault="00000000">
            <w:pPr>
              <w:tabs>
                <w:tab w:val="left" w:pos="475"/>
                <w:tab w:val="left" w:pos="965"/>
                <w:tab w:val="left" w:pos="1440"/>
                <w:tab w:val="left" w:pos="1915"/>
                <w:tab w:val="left" w:pos="2405"/>
              </w:tabs>
              <w:spacing w:after="120"/>
              <w:rPr>
                <w:sz w:val="17"/>
              </w:rPr>
            </w:pPr>
            <w:r>
              <w:rPr>
                <w:sz w:val="17"/>
              </w:rPr>
              <w:t>Total expenditure</w:t>
            </w:r>
          </w:p>
        </w:tc>
        <w:tc>
          <w:tcPr>
            <w:tcW w:w="630"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100</w:t>
            </w:r>
          </w:p>
        </w:tc>
        <w:tc>
          <w:tcPr>
            <w:tcW w:w="810"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100</w:t>
            </w:r>
          </w:p>
        </w:tc>
        <w:tc>
          <w:tcPr>
            <w:tcW w:w="1040"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100</w:t>
            </w:r>
          </w:p>
        </w:tc>
      </w:tr>
      <w:tr w:rsidR="00000000">
        <w:tblPrEx>
          <w:tblCellMar>
            <w:top w:w="0" w:type="dxa"/>
            <w:bottom w:w="0" w:type="dxa"/>
          </w:tblCellMar>
        </w:tblPrEx>
        <w:tc>
          <w:tcPr>
            <w:tcW w:w="2403" w:type="dxa"/>
          </w:tcPr>
          <w:p w:rsidR="00000000" w:rsidRDefault="00000000">
            <w:pPr>
              <w:tabs>
                <w:tab w:val="left" w:pos="475"/>
                <w:tab w:val="left" w:pos="965"/>
                <w:tab w:val="left" w:pos="1440"/>
                <w:tab w:val="left" w:pos="1915"/>
                <w:tab w:val="left" w:pos="2405"/>
              </w:tabs>
              <w:spacing w:after="120"/>
              <w:rPr>
                <w:sz w:val="17"/>
              </w:rPr>
            </w:pPr>
            <w:r>
              <w:rPr>
                <w:sz w:val="17"/>
              </w:rPr>
              <w:t>Education</w:t>
            </w:r>
          </w:p>
        </w:tc>
        <w:tc>
          <w:tcPr>
            <w:tcW w:w="630" w:type="dxa"/>
          </w:tcPr>
          <w:p w:rsidR="00000000" w:rsidRDefault="00000000">
            <w:pPr>
              <w:tabs>
                <w:tab w:val="left" w:pos="475"/>
                <w:tab w:val="left" w:pos="965"/>
                <w:tab w:val="left" w:pos="1440"/>
                <w:tab w:val="left" w:pos="1915"/>
                <w:tab w:val="left" w:pos="2405"/>
              </w:tabs>
              <w:spacing w:after="120"/>
              <w:jc w:val="right"/>
              <w:rPr>
                <w:sz w:val="17"/>
              </w:rPr>
            </w:pPr>
            <w:r>
              <w:rPr>
                <w:sz w:val="17"/>
              </w:rPr>
              <w:t>23</w:t>
            </w:r>
          </w:p>
        </w:tc>
        <w:tc>
          <w:tcPr>
            <w:tcW w:w="810" w:type="dxa"/>
          </w:tcPr>
          <w:p w:rsidR="00000000" w:rsidRDefault="00000000">
            <w:pPr>
              <w:tabs>
                <w:tab w:val="left" w:pos="475"/>
                <w:tab w:val="left" w:pos="965"/>
                <w:tab w:val="left" w:pos="1440"/>
                <w:tab w:val="left" w:pos="1915"/>
                <w:tab w:val="left" w:pos="2405"/>
              </w:tabs>
              <w:spacing w:after="120"/>
              <w:jc w:val="right"/>
              <w:rPr>
                <w:sz w:val="17"/>
              </w:rPr>
            </w:pPr>
            <w:r>
              <w:rPr>
                <w:sz w:val="17"/>
              </w:rPr>
              <w:t>19.7</w:t>
            </w:r>
          </w:p>
        </w:tc>
        <w:tc>
          <w:tcPr>
            <w:tcW w:w="1040" w:type="dxa"/>
          </w:tcPr>
          <w:p w:rsidR="00000000" w:rsidRDefault="00000000">
            <w:pPr>
              <w:tabs>
                <w:tab w:val="left" w:pos="475"/>
                <w:tab w:val="left" w:pos="965"/>
                <w:tab w:val="left" w:pos="1440"/>
                <w:tab w:val="left" w:pos="1915"/>
                <w:tab w:val="left" w:pos="2405"/>
              </w:tabs>
              <w:spacing w:after="120"/>
              <w:jc w:val="right"/>
              <w:rPr>
                <w:sz w:val="17"/>
              </w:rPr>
            </w:pPr>
            <w:r>
              <w:rPr>
                <w:sz w:val="17"/>
              </w:rPr>
              <w:t>19.9</w:t>
            </w:r>
          </w:p>
        </w:tc>
      </w:tr>
      <w:tr w:rsidR="00000000">
        <w:tblPrEx>
          <w:tblCellMar>
            <w:top w:w="0" w:type="dxa"/>
            <w:bottom w:w="0" w:type="dxa"/>
          </w:tblCellMar>
        </w:tblPrEx>
        <w:tc>
          <w:tcPr>
            <w:tcW w:w="2403" w:type="dxa"/>
          </w:tcPr>
          <w:p w:rsidR="00000000" w:rsidRDefault="00000000">
            <w:pPr>
              <w:tabs>
                <w:tab w:val="left" w:pos="475"/>
                <w:tab w:val="left" w:pos="965"/>
                <w:tab w:val="left" w:pos="1440"/>
                <w:tab w:val="left" w:pos="1915"/>
                <w:tab w:val="left" w:pos="2405"/>
              </w:tabs>
              <w:spacing w:after="120"/>
              <w:rPr>
                <w:sz w:val="17"/>
              </w:rPr>
            </w:pPr>
            <w:r>
              <w:rPr>
                <w:sz w:val="17"/>
              </w:rPr>
              <w:t>Health</w:t>
            </w:r>
          </w:p>
        </w:tc>
        <w:tc>
          <w:tcPr>
            <w:tcW w:w="630" w:type="dxa"/>
          </w:tcPr>
          <w:p w:rsidR="00000000" w:rsidRDefault="00000000">
            <w:pPr>
              <w:tabs>
                <w:tab w:val="left" w:pos="475"/>
                <w:tab w:val="left" w:pos="965"/>
                <w:tab w:val="left" w:pos="1440"/>
                <w:tab w:val="left" w:pos="1915"/>
                <w:tab w:val="left" w:pos="2405"/>
              </w:tabs>
              <w:spacing w:after="120"/>
              <w:jc w:val="right"/>
              <w:rPr>
                <w:sz w:val="17"/>
              </w:rPr>
            </w:pPr>
            <w:r>
              <w:rPr>
                <w:sz w:val="17"/>
              </w:rPr>
              <w:t>13.1</w:t>
            </w:r>
          </w:p>
        </w:tc>
        <w:tc>
          <w:tcPr>
            <w:tcW w:w="810" w:type="dxa"/>
          </w:tcPr>
          <w:p w:rsidR="00000000" w:rsidRDefault="00000000">
            <w:pPr>
              <w:tabs>
                <w:tab w:val="left" w:pos="475"/>
                <w:tab w:val="left" w:pos="965"/>
                <w:tab w:val="left" w:pos="1440"/>
                <w:tab w:val="left" w:pos="1915"/>
                <w:tab w:val="left" w:pos="2405"/>
              </w:tabs>
              <w:spacing w:after="120"/>
              <w:jc w:val="right"/>
              <w:rPr>
                <w:sz w:val="17"/>
              </w:rPr>
            </w:pPr>
            <w:r>
              <w:rPr>
                <w:sz w:val="17"/>
              </w:rPr>
              <w:t>10.6</w:t>
            </w:r>
          </w:p>
        </w:tc>
        <w:tc>
          <w:tcPr>
            <w:tcW w:w="1040" w:type="dxa"/>
          </w:tcPr>
          <w:p w:rsidR="00000000" w:rsidRDefault="00000000">
            <w:pPr>
              <w:tabs>
                <w:tab w:val="left" w:pos="475"/>
                <w:tab w:val="left" w:pos="965"/>
                <w:tab w:val="left" w:pos="1440"/>
                <w:tab w:val="left" w:pos="1915"/>
                <w:tab w:val="left" w:pos="2405"/>
              </w:tabs>
              <w:spacing w:after="120"/>
              <w:jc w:val="right"/>
              <w:rPr>
                <w:sz w:val="17"/>
              </w:rPr>
            </w:pPr>
            <w:r>
              <w:rPr>
                <w:sz w:val="17"/>
              </w:rPr>
              <w:t>9.7</w:t>
            </w:r>
          </w:p>
        </w:tc>
      </w:tr>
      <w:tr w:rsidR="00000000">
        <w:tblPrEx>
          <w:tblCellMar>
            <w:top w:w="0" w:type="dxa"/>
            <w:bottom w:w="0" w:type="dxa"/>
          </w:tblCellMar>
        </w:tblPrEx>
        <w:tc>
          <w:tcPr>
            <w:tcW w:w="2403" w:type="dxa"/>
            <w:tcBorders>
              <w:bottom w:val="single" w:sz="12" w:space="0" w:color="auto"/>
            </w:tcBorders>
          </w:tcPr>
          <w:p w:rsidR="00000000" w:rsidRDefault="00000000">
            <w:pPr>
              <w:tabs>
                <w:tab w:val="left" w:pos="475"/>
                <w:tab w:val="left" w:pos="965"/>
                <w:tab w:val="left" w:pos="1440"/>
                <w:tab w:val="left" w:pos="1915"/>
                <w:tab w:val="left" w:pos="2405"/>
              </w:tabs>
              <w:spacing w:after="120"/>
              <w:rPr>
                <w:sz w:val="17"/>
              </w:rPr>
            </w:pPr>
            <w:r>
              <w:rPr>
                <w:sz w:val="17"/>
              </w:rPr>
              <w:t>Social insurance and security</w:t>
            </w:r>
          </w:p>
        </w:tc>
        <w:tc>
          <w:tcPr>
            <w:tcW w:w="630" w:type="dxa"/>
            <w:tcBorders>
              <w:bottom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8.3</w:t>
            </w:r>
          </w:p>
        </w:tc>
        <w:tc>
          <w:tcPr>
            <w:tcW w:w="810" w:type="dxa"/>
            <w:tcBorders>
              <w:bottom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15.2</w:t>
            </w:r>
          </w:p>
        </w:tc>
        <w:tc>
          <w:tcPr>
            <w:tcW w:w="1040" w:type="dxa"/>
            <w:tcBorders>
              <w:bottom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37.7</w:t>
            </w:r>
          </w:p>
        </w:tc>
      </w:tr>
    </w:tbl>
    <w:p w:rsidR="00000000" w:rsidRDefault="00000000">
      <w:pPr>
        <w:tabs>
          <w:tab w:val="left" w:pos="475"/>
          <w:tab w:val="left" w:pos="965"/>
          <w:tab w:val="left" w:pos="1440"/>
          <w:tab w:val="left" w:pos="1915"/>
          <w:tab w:val="left" w:pos="2405"/>
        </w:tabs>
        <w:spacing w:after="120"/>
        <w:jc w:val="both"/>
      </w:pPr>
    </w:p>
    <w:p w:rsidR="00000000" w:rsidRDefault="00000000">
      <w:pPr>
        <w:pStyle w:val="D12r"/>
      </w:pPr>
    </w:p>
    <w:p w:rsidR="00000000" w:rsidRDefault="00000000">
      <w:pPr>
        <w:pStyle w:val="DCh"/>
        <w:ind w:left="475" w:hanging="475"/>
      </w:pPr>
      <w:r>
        <w:tab/>
        <w:t>Information on the implementation of the provisions of the Convention</w:t>
      </w:r>
    </w:p>
    <w:p w:rsidR="00000000" w:rsidRDefault="00000000">
      <w:pPr>
        <w:pStyle w:val="D12r"/>
      </w:pPr>
    </w:p>
    <w:p w:rsidR="00000000" w:rsidRDefault="00000000">
      <w:pPr>
        <w:pStyle w:val="D12r"/>
      </w:pPr>
    </w:p>
    <w:p w:rsidR="00000000" w:rsidRDefault="00000000">
      <w:pPr>
        <w:pStyle w:val="DH1"/>
      </w:pPr>
      <w:r>
        <w:tab/>
        <w:t>Part I</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rPr>
          <w:b/>
        </w:rPr>
      </w:pPr>
      <w:r>
        <w:rPr>
          <w:b/>
        </w:rPr>
        <w:tab/>
        <w:t>Article 1</w:t>
      </w:r>
    </w:p>
    <w:p w:rsidR="00000000" w:rsidRDefault="00000000">
      <w:pPr>
        <w:tabs>
          <w:tab w:val="left" w:pos="475"/>
          <w:tab w:val="left" w:pos="965"/>
          <w:tab w:val="left" w:pos="1440"/>
          <w:tab w:val="left" w:pos="1915"/>
          <w:tab w:val="left" w:pos="2405"/>
        </w:tabs>
        <w:spacing w:after="120"/>
        <w:jc w:val="both"/>
      </w:pPr>
      <w:r>
        <w:rPr>
          <w:b/>
        </w:rPr>
        <w:tab/>
        <w:t>For the purposes of the present Convention, the term “discrimination against women”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rsidR="00000000" w:rsidRDefault="00000000">
      <w:pPr>
        <w:tabs>
          <w:tab w:val="left" w:pos="475"/>
          <w:tab w:val="left" w:pos="965"/>
          <w:tab w:val="left" w:pos="1440"/>
          <w:tab w:val="left" w:pos="1915"/>
          <w:tab w:val="left" w:pos="2405"/>
        </w:tabs>
        <w:spacing w:after="120"/>
        <w:jc w:val="both"/>
      </w:pPr>
      <w:r>
        <w:t>38.</w:t>
      </w:r>
      <w:r>
        <w:tab/>
        <w:t>The term “discrimination against women” is not actually defined in the legislation of the Republic of Kazakhstan. However, this term is widely used in juridical practice and is found in the Constitution and other normative acts.</w:t>
      </w:r>
    </w:p>
    <w:p w:rsidR="00000000" w:rsidRDefault="00000000">
      <w:pPr>
        <w:tabs>
          <w:tab w:val="left" w:pos="475"/>
          <w:tab w:val="left" w:pos="965"/>
          <w:tab w:val="left" w:pos="1440"/>
          <w:tab w:val="left" w:pos="1915"/>
          <w:tab w:val="left" w:pos="2405"/>
        </w:tabs>
        <w:spacing w:after="120"/>
        <w:jc w:val="both"/>
      </w:pPr>
      <w:r>
        <w:tab/>
        <w:t>Article 14 of the Constitution of 30 August 1995 states:</w:t>
      </w:r>
    </w:p>
    <w:p w:rsidR="00000000" w:rsidRDefault="00000000">
      <w:pPr>
        <w:tabs>
          <w:tab w:val="left" w:pos="475"/>
          <w:tab w:val="left" w:pos="965"/>
          <w:tab w:val="left" w:pos="1440"/>
          <w:tab w:val="left" w:pos="1915"/>
          <w:tab w:val="left" w:pos="2405"/>
        </w:tabs>
        <w:spacing w:after="120"/>
        <w:jc w:val="both"/>
      </w:pPr>
      <w:r>
        <w:tab/>
        <w:t>1.</w:t>
      </w:r>
      <w:r>
        <w:tab/>
        <w:t>All persons are equal before the law and the courts.</w:t>
      </w:r>
    </w:p>
    <w:p w:rsidR="00000000" w:rsidRDefault="00000000">
      <w:pPr>
        <w:tabs>
          <w:tab w:val="left" w:pos="475"/>
          <w:tab w:val="left" w:pos="965"/>
          <w:tab w:val="left" w:pos="1440"/>
          <w:tab w:val="left" w:pos="1915"/>
          <w:tab w:val="left" w:pos="2405"/>
        </w:tabs>
        <w:spacing w:after="120"/>
        <w:jc w:val="both"/>
      </w:pPr>
      <w:r>
        <w:tab/>
        <w:t>2.</w:t>
      </w:r>
      <w:r>
        <w:tab/>
        <w:t>No one may be subjected to discrimination of any form on grounds of origin, social, official and property status, sex, race, nationality, language, attitude to religion, belief, place of residence or any other circumstance.</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rPr>
          <w:b/>
        </w:rPr>
      </w:pPr>
      <w:r>
        <w:rPr>
          <w:b/>
        </w:rPr>
        <w:t>Article 2</w:t>
      </w:r>
    </w:p>
    <w:p w:rsidR="00000000" w:rsidRDefault="00000000">
      <w:pPr>
        <w:tabs>
          <w:tab w:val="left" w:pos="475"/>
          <w:tab w:val="left" w:pos="965"/>
          <w:tab w:val="left" w:pos="1440"/>
          <w:tab w:val="left" w:pos="1915"/>
          <w:tab w:val="left" w:pos="2405"/>
        </w:tabs>
        <w:spacing w:after="120"/>
        <w:jc w:val="both"/>
        <w:rPr>
          <w:b/>
        </w:rPr>
      </w:pPr>
      <w:r>
        <w:rPr>
          <w:b/>
        </w:rPr>
        <w:tab/>
        <w:t>State Parties condemn discrimination against women in all its forms, agree to pursue, by all appropriate means and without delay a policy of eliminating discrimination against women and, to this end, undertake:</w:t>
      </w:r>
    </w:p>
    <w:p w:rsidR="00000000" w:rsidRDefault="00000000">
      <w:pPr>
        <w:tabs>
          <w:tab w:val="left" w:pos="475"/>
          <w:tab w:val="left" w:pos="965"/>
          <w:tab w:val="left" w:pos="1440"/>
          <w:tab w:val="left" w:pos="1915"/>
          <w:tab w:val="left" w:pos="2405"/>
        </w:tabs>
        <w:spacing w:after="120"/>
        <w:jc w:val="both"/>
        <w:rPr>
          <w:b/>
        </w:rPr>
      </w:pPr>
      <w:r>
        <w:rPr>
          <w:b/>
        </w:rPr>
        <w:tab/>
        <w:t>(a)</w:t>
      </w:r>
      <w:r>
        <w:rPr>
          <w:b/>
        </w:rPr>
        <w:tab/>
        <w:t>To embody the principle of equality of men and women in their national constitutions or other appropriate legislation if not yet incorporated therein and to ensure, through law and other appropriate means, the practical realization of this principle;</w:t>
      </w:r>
    </w:p>
    <w:p w:rsidR="00000000" w:rsidRDefault="00000000">
      <w:pPr>
        <w:tabs>
          <w:tab w:val="left" w:pos="475"/>
          <w:tab w:val="left" w:pos="965"/>
          <w:tab w:val="left" w:pos="1440"/>
          <w:tab w:val="left" w:pos="1915"/>
          <w:tab w:val="left" w:pos="2405"/>
        </w:tabs>
        <w:spacing w:after="120"/>
        <w:jc w:val="both"/>
        <w:rPr>
          <w:b/>
        </w:rPr>
      </w:pPr>
      <w:r>
        <w:rPr>
          <w:b/>
        </w:rPr>
        <w:tab/>
        <w:t>(b)</w:t>
      </w:r>
      <w:r>
        <w:rPr>
          <w:b/>
        </w:rPr>
        <w:tab/>
        <w:t>To adopt appropriate legislative and other measures, including sanctions where appropriate, prohibiting all discrimination against women;</w:t>
      </w:r>
    </w:p>
    <w:p w:rsidR="00000000" w:rsidRDefault="00000000">
      <w:pPr>
        <w:tabs>
          <w:tab w:val="left" w:pos="475"/>
          <w:tab w:val="left" w:pos="965"/>
          <w:tab w:val="left" w:pos="1440"/>
          <w:tab w:val="left" w:pos="1915"/>
          <w:tab w:val="left" w:pos="2405"/>
        </w:tabs>
        <w:spacing w:after="120"/>
        <w:jc w:val="both"/>
        <w:rPr>
          <w:b/>
        </w:rPr>
      </w:pPr>
      <w:r>
        <w:rPr>
          <w:b/>
        </w:rPr>
        <w:tab/>
        <w:t>(c)</w:t>
      </w:r>
      <w:r>
        <w:rPr>
          <w:b/>
        </w:rPr>
        <w:tab/>
        <w:t>To establish legal protection of the rights of women on an equal basis with men and to ensure through competent national tribunals and other public institutions the effective protection of women against any act of discrimination;</w:t>
      </w:r>
    </w:p>
    <w:p w:rsidR="00000000" w:rsidRDefault="00000000">
      <w:pPr>
        <w:tabs>
          <w:tab w:val="left" w:pos="475"/>
          <w:tab w:val="left" w:pos="965"/>
          <w:tab w:val="left" w:pos="1440"/>
          <w:tab w:val="left" w:pos="1915"/>
          <w:tab w:val="left" w:pos="2405"/>
        </w:tabs>
        <w:spacing w:after="120"/>
        <w:jc w:val="both"/>
        <w:rPr>
          <w:b/>
        </w:rPr>
      </w:pPr>
      <w:r>
        <w:rPr>
          <w:b/>
        </w:rPr>
        <w:tab/>
        <w:t>(d)</w:t>
      </w:r>
      <w:r>
        <w:rPr>
          <w:b/>
        </w:rPr>
        <w:tab/>
        <w:t>To refrain from engaging in any act or practice of discrimination against women and to ensure that public authorities and institutions shall act in conformity with this obligation;</w:t>
      </w:r>
    </w:p>
    <w:p w:rsidR="00000000" w:rsidRDefault="00000000">
      <w:pPr>
        <w:tabs>
          <w:tab w:val="left" w:pos="475"/>
          <w:tab w:val="left" w:pos="965"/>
          <w:tab w:val="left" w:pos="1440"/>
          <w:tab w:val="left" w:pos="1915"/>
          <w:tab w:val="left" w:pos="2405"/>
        </w:tabs>
        <w:spacing w:after="120"/>
        <w:jc w:val="both"/>
        <w:rPr>
          <w:b/>
        </w:rPr>
      </w:pPr>
      <w:r>
        <w:rPr>
          <w:b/>
        </w:rPr>
        <w:tab/>
        <w:t>(e)</w:t>
      </w:r>
      <w:r>
        <w:rPr>
          <w:b/>
        </w:rPr>
        <w:tab/>
        <w:t>To take all appropriate measures to eliminate discrimination against women by any person, organization or enterprise;</w:t>
      </w:r>
    </w:p>
    <w:p w:rsidR="00000000" w:rsidRDefault="00000000">
      <w:pPr>
        <w:tabs>
          <w:tab w:val="left" w:pos="475"/>
          <w:tab w:val="left" w:pos="965"/>
          <w:tab w:val="left" w:pos="1440"/>
          <w:tab w:val="left" w:pos="1915"/>
          <w:tab w:val="left" w:pos="2405"/>
        </w:tabs>
        <w:spacing w:after="120"/>
        <w:jc w:val="both"/>
        <w:rPr>
          <w:b/>
        </w:rPr>
      </w:pPr>
      <w:r>
        <w:rPr>
          <w:b/>
        </w:rPr>
        <w:tab/>
        <w:t>(f)</w:t>
      </w:r>
      <w:r>
        <w:rPr>
          <w:b/>
        </w:rPr>
        <w:tab/>
        <w:t>To take all appropriate measures, including legislation, to modify or abolish existing laws, regulations, customs and practices which constitute discrimination against women;</w:t>
      </w:r>
    </w:p>
    <w:p w:rsidR="00000000" w:rsidRDefault="00000000">
      <w:pPr>
        <w:tabs>
          <w:tab w:val="left" w:pos="475"/>
          <w:tab w:val="left" w:pos="965"/>
          <w:tab w:val="left" w:pos="1440"/>
          <w:tab w:val="left" w:pos="1915"/>
          <w:tab w:val="left" w:pos="2405"/>
        </w:tabs>
        <w:spacing w:after="120"/>
        <w:jc w:val="both"/>
      </w:pPr>
      <w:r>
        <w:rPr>
          <w:b/>
        </w:rPr>
        <w:tab/>
        <w:t>(g)</w:t>
      </w:r>
      <w:r>
        <w:rPr>
          <w:b/>
        </w:rPr>
        <w:tab/>
        <w:t>To repeal all national penal provisions which constitute discrimination against women.</w:t>
      </w:r>
    </w:p>
    <w:p w:rsidR="00000000" w:rsidRDefault="00000000">
      <w:pPr>
        <w:pStyle w:val="D12r"/>
        <w:rPr>
          <w:b/>
        </w:rPr>
      </w:pPr>
    </w:p>
    <w:p w:rsidR="00000000" w:rsidRDefault="00000000">
      <w:pPr>
        <w:keepNext/>
        <w:keepLines/>
        <w:tabs>
          <w:tab w:val="left" w:pos="475"/>
          <w:tab w:val="left" w:pos="965"/>
          <w:tab w:val="left" w:pos="1440"/>
          <w:tab w:val="left" w:pos="1915"/>
          <w:tab w:val="left" w:pos="2405"/>
        </w:tabs>
        <w:spacing w:after="120"/>
        <w:jc w:val="both"/>
      </w:pPr>
      <w:r>
        <w:rPr>
          <w:b/>
        </w:rPr>
        <w:tab/>
        <w:t>(a)</w:t>
      </w:r>
      <w:r>
        <w:rPr>
          <w:b/>
        </w:rPr>
        <w:tab/>
        <w:t>To embody the principle of the equality of men and women in their national constitutions or other appropriate legislation if not yet incorporated therein and to ensure, through law and other appropriate means, the practical realization of this principle;</w:t>
      </w:r>
    </w:p>
    <w:p w:rsidR="00000000" w:rsidRDefault="00000000">
      <w:pPr>
        <w:pStyle w:val="DualTxt"/>
        <w:keepNext/>
        <w:keepLines/>
        <w:tabs>
          <w:tab w:val="clear" w:pos="480"/>
          <w:tab w:val="clear" w:pos="960"/>
          <w:tab w:val="clear" w:pos="2880"/>
          <w:tab w:val="clear" w:pos="3355"/>
          <w:tab w:val="left" w:pos="475"/>
          <w:tab w:val="left" w:pos="965"/>
          <w:tab w:val="left" w:pos="1440"/>
          <w:tab w:val="left" w:pos="1915"/>
          <w:tab w:val="left" w:pos="2405"/>
        </w:tabs>
      </w:pPr>
      <w:r>
        <w:t>39.</w:t>
      </w:r>
      <w:r>
        <w:tab/>
        <w:t>As pointed out in the explanations on article 1, the principle of equal rights is included in the Constitution of the Republic of Kazakhstan adopted on 30 August 1995.</w:t>
      </w:r>
    </w:p>
    <w:p w:rsidR="00000000" w:rsidRDefault="00000000">
      <w:pPr>
        <w:tabs>
          <w:tab w:val="left" w:pos="475"/>
          <w:tab w:val="left" w:pos="965"/>
          <w:tab w:val="left" w:pos="1440"/>
          <w:tab w:val="left" w:pos="1915"/>
          <w:tab w:val="left" w:pos="2405"/>
        </w:tabs>
        <w:spacing w:after="120"/>
        <w:jc w:val="both"/>
      </w:pPr>
      <w:r>
        <w:tab/>
        <w:t>In the Criminal Code in force prior to 1 January 1998, article 120 stated that preventing women from participating in State, public and cultural activity, or other actions violating the equal rights of women, involving the use of force, threats, economic or other dependence, were punishable by a term of imprisonment of up to three years.</w:t>
      </w:r>
    </w:p>
    <w:p w:rsidR="00000000" w:rsidRDefault="00000000">
      <w:pPr>
        <w:tabs>
          <w:tab w:val="left" w:pos="475"/>
          <w:tab w:val="left" w:pos="965"/>
          <w:tab w:val="left" w:pos="1440"/>
          <w:tab w:val="left" w:pos="1915"/>
          <w:tab w:val="left" w:pos="2405"/>
        </w:tabs>
        <w:spacing w:after="120"/>
        <w:jc w:val="both"/>
      </w:pPr>
      <w:r>
        <w:tab/>
        <w:t>The new Criminal Code, which came into force on 1 January 1998, does not give separate consideration to the violation of women’s equal rights. However, a similar crime — violation of the equal rights of citizens (article 141) — encompasses direct or indirect limitations of human rights and freedoms, including on grounds of gender, for which the penalty is detention for up to three months, or imprisonment for one year, or a fine of up to one thousand average monthly indices. The same crime, committed by a person using official status, is punishable by detention for up to six months, or imprisonment for a term up to two years, or a fine of two thousand times the average monthly wage indexes.</w:t>
      </w:r>
    </w:p>
    <w:p w:rsidR="00000000" w:rsidRDefault="00000000">
      <w:pPr>
        <w:tabs>
          <w:tab w:val="left" w:pos="475"/>
          <w:tab w:val="left" w:pos="965"/>
          <w:tab w:val="left" w:pos="1440"/>
          <w:tab w:val="left" w:pos="1915"/>
          <w:tab w:val="left" w:pos="2405"/>
        </w:tabs>
        <w:spacing w:after="120"/>
        <w:jc w:val="both"/>
      </w:pPr>
      <w:r>
        <w:t>40.</w:t>
      </w:r>
      <w:r>
        <w:tab/>
        <w:t>There is no special legislative act embodying the principle of the equal rights of men and women in the legislation of Kazakhstan.</w:t>
      </w:r>
    </w:p>
    <w:p w:rsidR="00000000" w:rsidRDefault="00000000">
      <w:pPr>
        <w:tabs>
          <w:tab w:val="left" w:pos="475"/>
          <w:tab w:val="left" w:pos="965"/>
          <w:tab w:val="left" w:pos="1440"/>
          <w:tab w:val="left" w:pos="1915"/>
          <w:tab w:val="left" w:pos="2405"/>
        </w:tabs>
        <w:spacing w:after="120"/>
        <w:jc w:val="both"/>
      </w:pPr>
      <w:r>
        <w:tab/>
        <w:t>The National Plan of Action to improve the status of women in the Republic of Kazakhstan, approved by the Government on 19 July 1999, envisages for 2000 the formulation of a draft law “On equal rights and opportunities”.</w:t>
      </w:r>
    </w:p>
    <w:p w:rsidR="00000000" w:rsidRDefault="00000000">
      <w:pPr>
        <w:pStyle w:val="D12r"/>
      </w:pPr>
    </w:p>
    <w:p w:rsidR="00000000" w:rsidRDefault="00000000">
      <w:pPr>
        <w:pStyle w:val="BodyText3"/>
      </w:pPr>
      <w:r>
        <w:tab/>
        <w:t>(b)</w:t>
      </w:r>
      <w:r>
        <w:tab/>
        <w:t>To adopt appropriate legislative and other measures, including sanctions where appropriate, prohibiting all discrimination against women;</w:t>
      </w:r>
    </w:p>
    <w:p w:rsidR="00000000" w:rsidRDefault="00000000">
      <w:pPr>
        <w:tabs>
          <w:tab w:val="left" w:pos="475"/>
          <w:tab w:val="left" w:pos="965"/>
          <w:tab w:val="left" w:pos="1440"/>
          <w:tab w:val="left" w:pos="1915"/>
          <w:tab w:val="left" w:pos="2405"/>
        </w:tabs>
        <w:spacing w:after="120"/>
        <w:jc w:val="both"/>
      </w:pPr>
      <w:r>
        <w:t>41.</w:t>
      </w:r>
      <w:r>
        <w:tab/>
        <w:t>Gender-based legislative discrimination is contrary to the Constitution of the Republic of Kazakhstan; accordingly, normative acts containing discriminatory provisions are considered illegal and the organs of the Procurator’s Office transmits complaints to the State organ or official that issued them.</w:t>
      </w:r>
    </w:p>
    <w:p w:rsidR="00000000" w:rsidRDefault="00000000">
      <w:pPr>
        <w:tabs>
          <w:tab w:val="left" w:pos="475"/>
          <w:tab w:val="left" w:pos="965"/>
          <w:tab w:val="left" w:pos="1440"/>
          <w:tab w:val="left" w:pos="1915"/>
          <w:tab w:val="left" w:pos="2405"/>
        </w:tabs>
        <w:spacing w:after="120"/>
        <w:jc w:val="both"/>
      </w:pPr>
      <w:r>
        <w:tab/>
        <w:t>For example, in September 1996, the Procurator-General’s Office transmitted a complaint to Parliament aimed at the repeal of paragraph 4 of article 17 of the Law “On labour protection” as being contrary to the Constitution of the Republic of Kazakhstan. This article stated that all women starting work who are under 45 years of age are obliged to have an annual medical examination.</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rPr>
          <w:b/>
        </w:rPr>
      </w:pPr>
      <w:r>
        <w:tab/>
      </w:r>
      <w:r>
        <w:rPr>
          <w:b/>
        </w:rPr>
        <w:t>(c)</w:t>
      </w:r>
      <w:r>
        <w:rPr>
          <w:b/>
        </w:rPr>
        <w:tab/>
        <w:t xml:space="preserve">To establish legal protection of the rights of women on an equal basis with men and to ensure through competent national tribunals and other public institutions the effective protection of women against any act of discrimination; </w:t>
      </w:r>
    </w:p>
    <w:p w:rsidR="00000000" w:rsidRDefault="00000000">
      <w:pPr>
        <w:tabs>
          <w:tab w:val="left" w:pos="475"/>
          <w:tab w:val="left" w:pos="965"/>
          <w:tab w:val="left" w:pos="1440"/>
          <w:tab w:val="left" w:pos="1915"/>
          <w:tab w:val="left" w:pos="2405"/>
        </w:tabs>
        <w:spacing w:after="120"/>
        <w:jc w:val="both"/>
      </w:pPr>
      <w:r>
        <w:t>42.</w:t>
      </w:r>
      <w:r>
        <w:tab/>
        <w:t>Under Kazakh legislation, juridical protection is provided on an equal footing regardless of sex.</w:t>
      </w:r>
    </w:p>
    <w:p w:rsidR="00000000" w:rsidRDefault="00000000">
      <w:pPr>
        <w:tabs>
          <w:tab w:val="left" w:pos="475"/>
          <w:tab w:val="left" w:pos="965"/>
          <w:tab w:val="left" w:pos="1440"/>
          <w:tab w:val="left" w:pos="1915"/>
          <w:tab w:val="left" w:pos="2405"/>
        </w:tabs>
        <w:spacing w:after="120"/>
        <w:jc w:val="both"/>
      </w:pPr>
      <w:r>
        <w:tab/>
        <w:t>Article 13 of the Constitution of 30 August 1995 recognizes every person’s right to legal personality, to judicial defence of his or her rights and freedoms and to qualified legal assistance. In the cases envisaged by law, legal assistance is provided without charge.</w:t>
      </w:r>
    </w:p>
    <w:p w:rsidR="00000000" w:rsidRDefault="00000000">
      <w:pPr>
        <w:tabs>
          <w:tab w:val="left" w:pos="475"/>
          <w:tab w:val="left" w:pos="965"/>
          <w:tab w:val="left" w:pos="1440"/>
          <w:tab w:val="left" w:pos="1915"/>
          <w:tab w:val="left" w:pos="2405"/>
        </w:tabs>
        <w:spacing w:after="120"/>
        <w:jc w:val="both"/>
      </w:pPr>
      <w:r>
        <w:tab/>
        <w:t>Article 14 of the Constitution states:</w:t>
      </w:r>
    </w:p>
    <w:p w:rsidR="00000000" w:rsidRDefault="00000000">
      <w:pPr>
        <w:tabs>
          <w:tab w:val="left" w:pos="475"/>
          <w:tab w:val="left" w:pos="965"/>
          <w:tab w:val="left" w:pos="1440"/>
          <w:tab w:val="left" w:pos="1915"/>
          <w:tab w:val="left" w:pos="2405"/>
        </w:tabs>
        <w:spacing w:after="120"/>
        <w:jc w:val="both"/>
      </w:pPr>
      <w:r>
        <w:tab/>
        <w:t>“All persons are equal before the law and the courts”.</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rPr>
          <w:b/>
        </w:rPr>
      </w:pPr>
      <w:r>
        <w:tab/>
      </w:r>
      <w:r>
        <w:rPr>
          <w:b/>
        </w:rPr>
        <w:t>(d)</w:t>
      </w:r>
      <w:r>
        <w:rPr>
          <w:b/>
        </w:rPr>
        <w:tab/>
        <w:t xml:space="preserve">To refrain from engaging in any act or practice of discrimination against women and to ensure that public authorities and institutions shall act in conformity with this obligation; </w:t>
      </w:r>
    </w:p>
    <w:p w:rsidR="00000000" w:rsidRDefault="00000000">
      <w:pPr>
        <w:tabs>
          <w:tab w:val="left" w:pos="475"/>
          <w:tab w:val="left" w:pos="965"/>
          <w:tab w:val="left" w:pos="1440"/>
          <w:tab w:val="left" w:pos="1915"/>
          <w:tab w:val="left" w:pos="2405"/>
        </w:tabs>
        <w:spacing w:after="120"/>
        <w:jc w:val="both"/>
      </w:pPr>
      <w:r>
        <w:t>43.</w:t>
      </w:r>
      <w:r>
        <w:tab/>
        <w:t>On 29 June 1998, Kazakhstan became a party to the Convention against Torture and Other Cruel, Inhuman or Degrading Treatment or Punishment and, having assumed the obligation to observe the norms of this Convention, has confirmed its adherence to human rights protection.</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rPr>
          <w:b/>
        </w:rPr>
      </w:pPr>
      <w:r>
        <w:tab/>
      </w:r>
      <w:r>
        <w:rPr>
          <w:b/>
        </w:rPr>
        <w:t>(e)</w:t>
      </w:r>
      <w:r>
        <w:rPr>
          <w:b/>
        </w:rPr>
        <w:tab/>
        <w:t xml:space="preserve">To take all appropriate measures to eliminate discrimination against women by any person, organization or enterprise; </w:t>
      </w:r>
    </w:p>
    <w:p w:rsidR="00000000" w:rsidRDefault="00000000">
      <w:pPr>
        <w:tabs>
          <w:tab w:val="left" w:pos="475"/>
          <w:tab w:val="left" w:pos="965"/>
          <w:tab w:val="left" w:pos="1440"/>
          <w:tab w:val="left" w:pos="1915"/>
          <w:tab w:val="left" w:pos="2405"/>
        </w:tabs>
        <w:spacing w:after="120"/>
        <w:jc w:val="both"/>
      </w:pPr>
      <w:r>
        <w:t>44.</w:t>
      </w:r>
      <w:r>
        <w:tab/>
        <w:t>The Law on the special State social security in the Republic of Kazakhstan of 5 April 1999 abolished the social security levy of 1.5 per cent of the payroll, which was formerly part of the State budget. This 1.5 per cent now remains with the tax payers and is included in taxable income. When social security benefits are paid, the amount paid is deducted from taxable income, in the amount of not more than 1.5 per cent of the payroll.</w:t>
      </w:r>
    </w:p>
    <w:p w:rsidR="00000000" w:rsidRDefault="00000000">
      <w:pPr>
        <w:tabs>
          <w:tab w:val="left" w:pos="475"/>
          <w:tab w:val="left" w:pos="965"/>
          <w:tab w:val="left" w:pos="1440"/>
          <w:tab w:val="left" w:pos="1915"/>
          <w:tab w:val="left" w:pos="2405"/>
        </w:tabs>
        <w:spacing w:after="120"/>
        <w:jc w:val="both"/>
      </w:pPr>
      <w:r>
        <w:tab/>
        <w:t>Research conducted by a non-governmental organization, the “Women’s League” has shown that, following adoption of the new law, a considerable number of enterprises found it unprofitable to employ women of child-bearing age.</w:t>
      </w:r>
    </w:p>
    <w:p w:rsidR="00000000" w:rsidRDefault="00000000">
      <w:pPr>
        <w:tabs>
          <w:tab w:val="left" w:pos="475"/>
          <w:tab w:val="left" w:pos="965"/>
          <w:tab w:val="left" w:pos="1440"/>
          <w:tab w:val="left" w:pos="1915"/>
          <w:tab w:val="left" w:pos="2405"/>
        </w:tabs>
        <w:spacing w:after="120"/>
        <w:jc w:val="both"/>
      </w:pPr>
      <w:r>
        <w:tab/>
        <w:t>These enterprises include the following:</w:t>
      </w:r>
    </w:p>
    <w:p w:rsidR="00000000" w:rsidRDefault="00000000">
      <w:pPr>
        <w:tabs>
          <w:tab w:val="left" w:pos="475"/>
          <w:tab w:val="left" w:pos="965"/>
          <w:tab w:val="left" w:pos="1440"/>
          <w:tab w:val="left" w:pos="1915"/>
          <w:tab w:val="left" w:pos="2405"/>
        </w:tabs>
        <w:spacing w:after="120"/>
        <w:jc w:val="both"/>
      </w:pPr>
      <w:r>
        <w:tab/>
        <w:t>Enterprises with a small number of employees are quite unable to pay maternity and child benefits (see commentary on the article 11 (e)), especially as the enterprise is forced to pay a large amount of tax from this sum.</w:t>
      </w:r>
    </w:p>
    <w:p w:rsidR="00000000" w:rsidRDefault="00000000">
      <w:pPr>
        <w:tabs>
          <w:tab w:val="left" w:pos="475"/>
          <w:tab w:val="left" w:pos="965"/>
          <w:tab w:val="left" w:pos="1440"/>
          <w:tab w:val="left" w:pos="1915"/>
          <w:tab w:val="left" w:pos="2405"/>
        </w:tabs>
        <w:spacing w:after="120"/>
        <w:jc w:val="both"/>
      </w:pPr>
      <w:r>
        <w:tab/>
        <w:t>Enterprises with a large number of women employees.</w:t>
      </w:r>
    </w:p>
    <w:p w:rsidR="00000000" w:rsidRDefault="00000000">
      <w:pPr>
        <w:tabs>
          <w:tab w:val="left" w:pos="475"/>
          <w:tab w:val="left" w:pos="965"/>
          <w:tab w:val="left" w:pos="1440"/>
          <w:tab w:val="left" w:pos="1915"/>
          <w:tab w:val="left" w:pos="2405"/>
        </w:tabs>
        <w:spacing w:after="120"/>
        <w:jc w:val="both"/>
      </w:pPr>
      <w:r>
        <w:tab/>
        <w:t>The highest proportion of women employees is found in health care, physical education and social security — 82.2 per cent of the total number of employed. And it is precisely in these branches of the economy that wages are lowest. The average monthly wage is 5,824 tenge (here and later in the text 1997 figures are used).</w:t>
      </w:r>
    </w:p>
    <w:p w:rsidR="00000000" w:rsidRDefault="00000000">
      <w:pPr>
        <w:tabs>
          <w:tab w:val="left" w:pos="475"/>
          <w:tab w:val="left" w:pos="965"/>
          <w:tab w:val="left" w:pos="1440"/>
          <w:tab w:val="left" w:pos="1915"/>
          <w:tab w:val="left" w:pos="2405"/>
        </w:tabs>
        <w:spacing w:after="120"/>
        <w:jc w:val="both"/>
      </w:pPr>
      <w:r>
        <w:tab/>
        <w:t>Next come: education —76.6 per cent (6,320 tenge), public catering — 76.4 per cent (6,237 tenge), information and computer technology — 75.7 per cent (11,237 tenge), finance, credit, insurance — 66.1 per cent (17,004 tenge), culture — 69.6 per cent (5,571 tenge), communications — 60.7 per cent per cent (10,209 tenge), trade — 62.8 per cent (6,223 tenge), personal consumer services — 56.5 per cent (4,711 tenge).</w:t>
      </w:r>
    </w:p>
    <w:p w:rsidR="00000000" w:rsidRDefault="00000000">
      <w:pPr>
        <w:tabs>
          <w:tab w:val="left" w:pos="475"/>
          <w:tab w:val="left" w:pos="965"/>
          <w:tab w:val="left" w:pos="1440"/>
          <w:tab w:val="left" w:pos="1915"/>
          <w:tab w:val="left" w:pos="2405"/>
        </w:tabs>
        <w:spacing w:after="120"/>
        <w:jc w:val="both"/>
      </w:pPr>
      <w:r>
        <w:tab/>
        <w:t>In some industries where women form an absolute majority of the staff employed, wages are even lower (1997 figures): light industry — 5,405 tenge, clothing industry — 4,232 tenge, tanning, fur and footwear industry — 4,671 tenge, medical industry — 2,867 tenge.</w:t>
      </w:r>
    </w:p>
    <w:p w:rsidR="00000000" w:rsidRDefault="00000000">
      <w:pPr>
        <w:tabs>
          <w:tab w:val="left" w:pos="475"/>
          <w:tab w:val="left" w:pos="965"/>
          <w:tab w:val="left" w:pos="1440"/>
          <w:tab w:val="left" w:pos="1915"/>
          <w:tab w:val="left" w:pos="2405"/>
        </w:tabs>
        <w:spacing w:after="120"/>
        <w:jc w:val="both"/>
      </w:pPr>
      <w:r>
        <w:tab/>
        <w:t>The number of women (out of the total number of employees) who are on maternity and child care leave in these branches is considerably higher than the average (4 per cent): health care — 8.4 per cent, education — 5.9 per cent, public catering — 8.2 per cent, information and computer technology — 8.4 per cent, finance, credit and insurance — 5.2 per cent, trade — 7.1 per cent, etc.</w:t>
      </w:r>
    </w:p>
    <w:p w:rsidR="00000000" w:rsidRDefault="00000000">
      <w:pPr>
        <w:tabs>
          <w:tab w:val="left" w:pos="475"/>
          <w:tab w:val="left" w:pos="965"/>
          <w:tab w:val="left" w:pos="1440"/>
          <w:tab w:val="left" w:pos="1915"/>
          <w:tab w:val="left" w:pos="2405"/>
        </w:tabs>
        <w:spacing w:after="120"/>
        <w:jc w:val="both"/>
      </w:pPr>
      <w:r>
        <w:tab/>
        <w:t>The above figures show that in these branches the amount of benefits paid considerably exceeds the non-taxable annual social security fund.</w:t>
      </w:r>
    </w:p>
    <w:p w:rsidR="00000000" w:rsidRDefault="00000000">
      <w:pPr>
        <w:tabs>
          <w:tab w:val="left" w:pos="475"/>
          <w:tab w:val="left" w:pos="965"/>
          <w:tab w:val="left" w:pos="1440"/>
          <w:tab w:val="left" w:pos="1915"/>
          <w:tab w:val="left" w:pos="2405"/>
        </w:tabs>
        <w:spacing w:after="120"/>
        <w:jc w:val="both"/>
      </w:pPr>
      <w:r>
        <w:tab/>
        <w:t>Enterprises employing fewer women are more profitable. These include: industry — 37.2 per cent (average monthly wage of 12,135 tenge), transport — 26.3 per cent (10,974 tenge), construction — 23.8 per cent (11,319 tenge), housing and utilities — 38 per cent (8,184 tenge) geology, geodesy, hydro-meteorology — 38.7 per cent (14,269 tenge), other kinds of material production — 29.8 per cent (7,731 tenge).</w:t>
      </w:r>
    </w:p>
    <w:p w:rsidR="00000000" w:rsidRDefault="00000000">
      <w:pPr>
        <w:tabs>
          <w:tab w:val="left" w:pos="475"/>
          <w:tab w:val="left" w:pos="965"/>
          <w:tab w:val="left" w:pos="1440"/>
          <w:tab w:val="left" w:pos="1915"/>
          <w:tab w:val="left" w:pos="2405"/>
        </w:tabs>
        <w:spacing w:after="120"/>
        <w:jc w:val="both"/>
      </w:pPr>
      <w:r>
        <w:tab/>
        <w:t>In these enterprises, the amount of compulsory social benefits paid is lower than the amount collected before 5 April 1999 from the budget for these purposes, so that the profits of enterprises employing fewer women are increasing.</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rPr>
          <w:b/>
        </w:rPr>
      </w:pPr>
      <w:r>
        <w:tab/>
      </w:r>
      <w:r>
        <w:rPr>
          <w:b/>
        </w:rPr>
        <w:t>(f)</w:t>
      </w:r>
      <w:r>
        <w:rPr>
          <w:b/>
        </w:rPr>
        <w:tab/>
        <w:t xml:space="preserve">To take all appropriate measures, including legislative, to change or abolish existing laws, regulations, customs and practices which constitute discrimination against women; </w:t>
      </w:r>
    </w:p>
    <w:p w:rsidR="00000000" w:rsidRDefault="00000000">
      <w:pPr>
        <w:tabs>
          <w:tab w:val="left" w:pos="475"/>
          <w:tab w:val="left" w:pos="965"/>
          <w:tab w:val="left" w:pos="1440"/>
          <w:tab w:val="left" w:pos="1915"/>
          <w:tab w:val="left" w:pos="2405"/>
        </w:tabs>
        <w:spacing w:after="120"/>
        <w:jc w:val="both"/>
      </w:pPr>
      <w:r>
        <w:t>45.</w:t>
      </w:r>
      <w:r>
        <w:tab/>
        <w:t>A number of measures are mentioned in connection with other articles of the Convention. A list is given below of the basic legislative and other normative legal acts in the interests of women adopted after Kazakhstan’s accession to independence in 1991.</w:t>
      </w:r>
    </w:p>
    <w:p w:rsidR="00000000" w:rsidRDefault="00000000">
      <w:pPr>
        <w:tabs>
          <w:tab w:val="left" w:pos="475"/>
          <w:tab w:val="left" w:pos="965"/>
          <w:tab w:val="left" w:pos="1440"/>
          <w:tab w:val="left" w:pos="1915"/>
          <w:tab w:val="left" w:pos="2405"/>
        </w:tabs>
        <w:spacing w:after="120"/>
        <w:jc w:val="both"/>
      </w:pPr>
      <w:r>
        <w:tab/>
        <w:t>Law on special protection of the victims of the ecological disaster in the Aral Sea zone of 30 June 1992.</w:t>
      </w:r>
    </w:p>
    <w:p w:rsidR="00000000" w:rsidRDefault="00000000">
      <w:pPr>
        <w:tabs>
          <w:tab w:val="left" w:pos="475"/>
          <w:tab w:val="left" w:pos="965"/>
          <w:tab w:val="left" w:pos="1440"/>
          <w:tab w:val="left" w:pos="1915"/>
          <w:tab w:val="left" w:pos="2405"/>
        </w:tabs>
        <w:spacing w:after="120"/>
        <w:jc w:val="both"/>
      </w:pPr>
      <w:r>
        <w:tab/>
        <w:t>See commentary on article 4.2 of the Convention.</w:t>
      </w:r>
    </w:p>
    <w:p w:rsidR="00000000" w:rsidRDefault="00000000">
      <w:pPr>
        <w:tabs>
          <w:tab w:val="left" w:pos="475"/>
          <w:tab w:val="left" w:pos="965"/>
          <w:tab w:val="left" w:pos="1440"/>
          <w:tab w:val="left" w:pos="1915"/>
          <w:tab w:val="left" w:pos="2405"/>
        </w:tabs>
        <w:spacing w:after="120"/>
        <w:jc w:val="both"/>
      </w:pPr>
      <w:r>
        <w:tab/>
        <w:t>Law on social protection of the victims of nuclear testing at the Semipalatinsk test site of 18 December 1992.</w:t>
      </w:r>
    </w:p>
    <w:p w:rsidR="00000000" w:rsidRDefault="00000000">
      <w:pPr>
        <w:tabs>
          <w:tab w:val="left" w:pos="475"/>
          <w:tab w:val="left" w:pos="965"/>
          <w:tab w:val="left" w:pos="1440"/>
          <w:tab w:val="left" w:pos="1915"/>
          <w:tab w:val="left" w:pos="2405"/>
        </w:tabs>
        <w:spacing w:after="120"/>
        <w:jc w:val="both"/>
      </w:pPr>
      <w:r>
        <w:tab/>
        <w:t>Law on labour protection of 22 January 1993.</w:t>
      </w:r>
    </w:p>
    <w:p w:rsidR="00000000" w:rsidRDefault="00000000">
      <w:pPr>
        <w:tabs>
          <w:tab w:val="left" w:pos="475"/>
          <w:tab w:val="left" w:pos="965"/>
          <w:tab w:val="left" w:pos="1440"/>
          <w:tab w:val="left" w:pos="1915"/>
          <w:tab w:val="left" w:pos="2405"/>
        </w:tabs>
        <w:spacing w:after="120"/>
        <w:jc w:val="both"/>
      </w:pPr>
      <w:r>
        <w:tab/>
        <w:t>Order of the President of the Republic of Kazakhstan on measures of social support for large families of 4 December 1992.</w:t>
      </w:r>
    </w:p>
    <w:p w:rsidR="00000000" w:rsidRDefault="00000000">
      <w:pPr>
        <w:tabs>
          <w:tab w:val="left" w:pos="475"/>
          <w:tab w:val="left" w:pos="965"/>
          <w:tab w:val="left" w:pos="1440"/>
          <w:tab w:val="left" w:pos="1915"/>
          <w:tab w:val="left" w:pos="2405"/>
        </w:tabs>
        <w:spacing w:after="120"/>
        <w:jc w:val="both"/>
      </w:pPr>
      <w:r>
        <w:tab/>
        <w:t>See commentary on article 4.2 of the Convention.</w:t>
      </w:r>
    </w:p>
    <w:p w:rsidR="00000000" w:rsidRDefault="00000000">
      <w:pPr>
        <w:tabs>
          <w:tab w:val="left" w:pos="475"/>
          <w:tab w:val="left" w:pos="965"/>
          <w:tab w:val="left" w:pos="1440"/>
          <w:tab w:val="left" w:pos="1915"/>
          <w:tab w:val="left" w:pos="2405"/>
        </w:tabs>
        <w:spacing w:after="120"/>
        <w:jc w:val="both"/>
      </w:pPr>
      <w:r>
        <w:tab/>
        <w:t>Government resolution on new standards for maximum allowable weights to be manually lifted and moved by women of 20 January 1994 (with amendments and additions of 20 August 1996).</w:t>
      </w:r>
    </w:p>
    <w:p w:rsidR="00000000" w:rsidRDefault="00000000">
      <w:pPr>
        <w:tabs>
          <w:tab w:val="left" w:pos="475"/>
          <w:tab w:val="left" w:pos="965"/>
          <w:tab w:val="left" w:pos="1440"/>
          <w:tab w:val="left" w:pos="1915"/>
          <w:tab w:val="left" w:pos="2405"/>
        </w:tabs>
        <w:spacing w:after="120"/>
        <w:jc w:val="both"/>
      </w:pPr>
      <w:r>
        <w:tab/>
        <w:t>Presidential regulations on State awards in the Republic of Kazakhstan of 12 December 1995.</w:t>
      </w:r>
    </w:p>
    <w:p w:rsidR="00000000" w:rsidRDefault="00000000">
      <w:pPr>
        <w:tabs>
          <w:tab w:val="left" w:pos="475"/>
          <w:tab w:val="left" w:pos="965"/>
          <w:tab w:val="left" w:pos="1440"/>
          <w:tab w:val="left" w:pos="1915"/>
          <w:tab w:val="left" w:pos="2405"/>
        </w:tabs>
        <w:spacing w:after="120"/>
        <w:jc w:val="both"/>
      </w:pPr>
      <w:r>
        <w:tab/>
        <w:t>Government Directive on guidelines for the improvement of labour conditions and labour protection in the branches of the economy of the Republic of Kazakhstan for 1997-2000 of 21 January 1997.</w:t>
      </w:r>
    </w:p>
    <w:p w:rsidR="00000000" w:rsidRDefault="00000000">
      <w:pPr>
        <w:tabs>
          <w:tab w:val="left" w:pos="475"/>
          <w:tab w:val="left" w:pos="965"/>
          <w:tab w:val="left" w:pos="1440"/>
          <w:tab w:val="left" w:pos="1915"/>
          <w:tab w:val="left" w:pos="2405"/>
        </w:tabs>
        <w:spacing w:after="120"/>
        <w:jc w:val="both"/>
      </w:pPr>
      <w:r>
        <w:tab/>
        <w:t>Presidential Order on the concept of State policy for the improvement of the status of women in the Republic of Kazakhstan of 5 March 1997.</w:t>
      </w:r>
    </w:p>
    <w:p w:rsidR="00000000" w:rsidRDefault="00000000">
      <w:pPr>
        <w:tabs>
          <w:tab w:val="left" w:pos="475"/>
          <w:tab w:val="left" w:pos="965"/>
          <w:tab w:val="left" w:pos="1440"/>
          <w:tab w:val="left" w:pos="1915"/>
          <w:tab w:val="left" w:pos="2405"/>
        </w:tabs>
        <w:spacing w:after="120"/>
        <w:jc w:val="both"/>
      </w:pPr>
      <w:r>
        <w:tab/>
        <w:t>Regulation on assistance to families and children, approved by Directive of the Government of the Republic of Kazakhstan of 21 March 1997. Under the regulation, the following benefits were paid to families with children:</w:t>
      </w:r>
    </w:p>
    <w:p w:rsidR="00000000" w:rsidRDefault="00000000">
      <w:pPr>
        <w:tabs>
          <w:tab w:val="left" w:pos="475"/>
          <w:tab w:val="left" w:pos="965"/>
          <w:tab w:val="left" w:pos="1440"/>
          <w:tab w:val="left" w:pos="1915"/>
          <w:tab w:val="left" w:pos="2405"/>
        </w:tabs>
        <w:spacing w:after="120"/>
        <w:jc w:val="both"/>
      </w:pPr>
      <w:r>
        <w:tab/>
        <w:t>Single benefit for families with children;</w:t>
      </w:r>
    </w:p>
    <w:p w:rsidR="00000000" w:rsidRDefault="00000000">
      <w:pPr>
        <w:tabs>
          <w:tab w:val="left" w:pos="475"/>
          <w:tab w:val="left" w:pos="965"/>
          <w:tab w:val="left" w:pos="1440"/>
          <w:tab w:val="left" w:pos="1915"/>
          <w:tab w:val="left" w:pos="2405"/>
        </w:tabs>
        <w:spacing w:after="120"/>
        <w:jc w:val="both"/>
      </w:pPr>
      <w:r>
        <w:tab/>
        <w:t>Benefit for unemployed mothers with four or more children under seven years of age;</w:t>
      </w:r>
    </w:p>
    <w:p w:rsidR="00000000" w:rsidRDefault="00000000">
      <w:pPr>
        <w:tabs>
          <w:tab w:val="left" w:pos="475"/>
          <w:tab w:val="left" w:pos="965"/>
          <w:tab w:val="left" w:pos="1440"/>
          <w:tab w:val="left" w:pos="1915"/>
          <w:tab w:val="left" w:pos="2405"/>
        </w:tabs>
        <w:spacing w:after="120"/>
        <w:jc w:val="both"/>
      </w:pPr>
      <w:r>
        <w:tab/>
        <w:t>Benefit for children of military personnel serving for a fixed period;</w:t>
      </w:r>
    </w:p>
    <w:p w:rsidR="00000000" w:rsidRDefault="00000000">
      <w:pPr>
        <w:tabs>
          <w:tab w:val="left" w:pos="475"/>
          <w:tab w:val="left" w:pos="965"/>
          <w:tab w:val="left" w:pos="1440"/>
          <w:tab w:val="left" w:pos="1915"/>
          <w:tab w:val="left" w:pos="2405"/>
        </w:tabs>
        <w:spacing w:after="120"/>
        <w:jc w:val="both"/>
      </w:pPr>
      <w:r>
        <w:tab/>
        <w:t>Benefit for HIV-infected children and children with AIDS;</w:t>
      </w:r>
    </w:p>
    <w:p w:rsidR="00000000" w:rsidRDefault="00000000">
      <w:pPr>
        <w:tabs>
          <w:tab w:val="left" w:pos="475"/>
          <w:tab w:val="left" w:pos="965"/>
          <w:tab w:val="left" w:pos="1440"/>
          <w:tab w:val="left" w:pos="1915"/>
          <w:tab w:val="left" w:pos="2405"/>
        </w:tabs>
        <w:spacing w:after="120"/>
        <w:jc w:val="both"/>
      </w:pPr>
      <w:r>
        <w:tab/>
        <w:t>Benefit for children disabled since childhood.</w:t>
      </w:r>
    </w:p>
    <w:p w:rsidR="00000000" w:rsidRDefault="00000000">
      <w:pPr>
        <w:tabs>
          <w:tab w:val="left" w:pos="475"/>
          <w:tab w:val="left" w:pos="965"/>
          <w:tab w:val="left" w:pos="1440"/>
          <w:tab w:val="left" w:pos="1915"/>
          <w:tab w:val="left" w:pos="2405"/>
        </w:tabs>
        <w:spacing w:after="120"/>
        <w:jc w:val="both"/>
      </w:pPr>
      <w:r>
        <w:tab/>
        <w:t>See commentary on article 4.2 of the Convention.</w:t>
      </w:r>
    </w:p>
    <w:p w:rsidR="00000000" w:rsidRDefault="00000000">
      <w:pPr>
        <w:tabs>
          <w:tab w:val="left" w:pos="475"/>
          <w:tab w:val="left" w:pos="965"/>
          <w:tab w:val="left" w:pos="1440"/>
          <w:tab w:val="left" w:pos="1915"/>
          <w:tab w:val="left" w:pos="2405"/>
        </w:tabs>
        <w:spacing w:after="120"/>
        <w:jc w:val="both"/>
      </w:pPr>
      <w:r>
        <w:tab/>
        <w:t>Law on health care for citizens in the Republic of Kazakhstan of 19 May 1997.</w:t>
      </w:r>
    </w:p>
    <w:p w:rsidR="00000000" w:rsidRDefault="00000000">
      <w:pPr>
        <w:tabs>
          <w:tab w:val="left" w:pos="475"/>
          <w:tab w:val="left" w:pos="965"/>
          <w:tab w:val="left" w:pos="1440"/>
          <w:tab w:val="left" w:pos="1915"/>
          <w:tab w:val="left" w:pos="2405"/>
        </w:tabs>
        <w:spacing w:after="120"/>
        <w:jc w:val="both"/>
      </w:pPr>
      <w:r>
        <w:tab/>
        <w:t>In accordance with the law, maternity is protected through a broad network of specialized medical organizations, childbirth benefits, rational job placement for pregnant women allowing them to follow doctor’s orders, granting working women maternity leave and childcare benefits.</w:t>
      </w:r>
    </w:p>
    <w:p w:rsidR="00000000" w:rsidRDefault="00000000">
      <w:pPr>
        <w:tabs>
          <w:tab w:val="left" w:pos="475"/>
          <w:tab w:val="left" w:pos="965"/>
          <w:tab w:val="left" w:pos="1440"/>
          <w:tab w:val="left" w:pos="1915"/>
          <w:tab w:val="left" w:pos="2405"/>
        </w:tabs>
        <w:spacing w:after="120"/>
        <w:jc w:val="both"/>
      </w:pPr>
      <w:r>
        <w:tab/>
        <w:t>Decree of the President of the Republic of Kazakhstan on the State programme “Health of the people” of 16 November 1998.</w:t>
      </w:r>
    </w:p>
    <w:p w:rsidR="00000000" w:rsidRDefault="00000000">
      <w:pPr>
        <w:tabs>
          <w:tab w:val="left" w:pos="475"/>
          <w:tab w:val="left" w:pos="965"/>
          <w:tab w:val="left" w:pos="1440"/>
          <w:tab w:val="left" w:pos="1915"/>
          <w:tab w:val="left" w:pos="2405"/>
        </w:tabs>
        <w:spacing w:after="120"/>
        <w:jc w:val="both"/>
      </w:pPr>
      <w:r>
        <w:tab/>
        <w:t>Law on marriage and the family, which entered into force on 17 December 1998 to replace the former Code “On marriage and the family” of 1969.</w:t>
      </w:r>
    </w:p>
    <w:p w:rsidR="00000000" w:rsidRDefault="00000000">
      <w:pPr>
        <w:tabs>
          <w:tab w:val="left" w:pos="475"/>
          <w:tab w:val="left" w:pos="965"/>
          <w:tab w:val="left" w:pos="1440"/>
          <w:tab w:val="left" w:pos="1915"/>
          <w:tab w:val="left" w:pos="2405"/>
        </w:tabs>
        <w:spacing w:after="120"/>
        <w:jc w:val="both"/>
      </w:pPr>
      <w:r>
        <w:tab/>
        <w:t>Article 2 of the Law establishes the principle of the voluntary nature of the conjugal union of man and woman, equality of the spouses in the family, solution of family issues by mutual agreement, prohibition of any form of limitation of civil rights at the time of marriage and in family relations on social, racial, national, linguistic or religious grounds.</w:t>
      </w:r>
    </w:p>
    <w:p w:rsidR="00000000" w:rsidRDefault="00000000">
      <w:pPr>
        <w:tabs>
          <w:tab w:val="left" w:pos="475"/>
          <w:tab w:val="left" w:pos="965"/>
          <w:tab w:val="left" w:pos="1440"/>
          <w:tab w:val="left" w:pos="1915"/>
          <w:tab w:val="left" w:pos="2405"/>
        </w:tabs>
        <w:spacing w:after="120"/>
        <w:jc w:val="both"/>
      </w:pPr>
      <w:r>
        <w:tab/>
        <w:t>The Law also contains a provision on the medico-genetic examination of persons entering into marriage. The examination is designed to ascertain the genetic compatibility of the persons, and their health, in order to avoid undesirable social and legal consequences in the future, in particular a breakdown of the family or birth of defective progeny. The medical examination is carried out only with the consent of both parties.</w:t>
      </w:r>
    </w:p>
    <w:p w:rsidR="00000000" w:rsidRDefault="00000000">
      <w:pPr>
        <w:tabs>
          <w:tab w:val="left" w:pos="475"/>
          <w:tab w:val="left" w:pos="965"/>
          <w:tab w:val="left" w:pos="1440"/>
          <w:tab w:val="left" w:pos="1915"/>
          <w:tab w:val="left" w:pos="2405"/>
        </w:tabs>
        <w:spacing w:after="120"/>
        <w:jc w:val="both"/>
      </w:pPr>
      <w:r>
        <w:tab/>
        <w:t>The Law on marriage and the family provides that spouses are obliged to support each other financially. The Law also provides that the wife shall have the right to receive maintenance from her husband, not only during the marriage but also after its dissolution, both during the wife’s pregnancy and for three years after the birth of a child.</w:t>
      </w:r>
    </w:p>
    <w:p w:rsidR="00000000" w:rsidRDefault="00000000">
      <w:pPr>
        <w:tabs>
          <w:tab w:val="left" w:pos="475"/>
          <w:tab w:val="left" w:pos="965"/>
          <w:tab w:val="left" w:pos="1440"/>
          <w:tab w:val="left" w:pos="1915"/>
          <w:tab w:val="left" w:pos="2405"/>
        </w:tabs>
        <w:spacing w:after="120"/>
        <w:jc w:val="both"/>
      </w:pPr>
      <w:r>
        <w:tab/>
        <w:t>For more details, see the commentaries on article 16 of the Convention.</w:t>
      </w:r>
    </w:p>
    <w:p w:rsidR="00000000" w:rsidRDefault="00000000">
      <w:pPr>
        <w:tabs>
          <w:tab w:val="left" w:pos="475"/>
          <w:tab w:val="left" w:pos="965"/>
          <w:tab w:val="left" w:pos="1440"/>
          <w:tab w:val="left" w:pos="1915"/>
          <w:tab w:val="left" w:pos="2405"/>
        </w:tabs>
        <w:spacing w:after="120"/>
        <w:jc w:val="both"/>
      </w:pPr>
      <w:r>
        <w:tab/>
        <w:t>Law on employment of 30 December 1998.</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rPr>
          <w:b/>
        </w:rPr>
      </w:pPr>
      <w:r>
        <w:tab/>
      </w:r>
      <w:r>
        <w:rPr>
          <w:b/>
        </w:rPr>
        <w:t>(g)</w:t>
      </w:r>
      <w:r>
        <w:rPr>
          <w:b/>
        </w:rPr>
        <w:tab/>
        <w:t>To repeal all national penal provisions which constitute discrimination against women.</w:t>
      </w:r>
    </w:p>
    <w:p w:rsidR="00000000" w:rsidRDefault="00000000">
      <w:pPr>
        <w:tabs>
          <w:tab w:val="left" w:pos="475"/>
          <w:tab w:val="left" w:pos="965"/>
          <w:tab w:val="left" w:pos="1440"/>
          <w:tab w:val="left" w:pos="1915"/>
          <w:tab w:val="left" w:pos="2405"/>
        </w:tabs>
        <w:spacing w:after="120"/>
        <w:jc w:val="both"/>
      </w:pPr>
      <w:r>
        <w:t>46.</w:t>
      </w:r>
      <w:r>
        <w:tab/>
        <w:t>In the Criminal Code of the Republic of Kazakhstan, there is affirmative discrimination towards women as regards the serving of sentences by them. According to the new Criminal Code (article 72), the serving of sentences may be deferred for pregnant women and women with children under eight years of age, except for those who committed serious crimes against persons, both at the time of sentencing and while a sentence is being served. Under the previous legislation, a similar provision concerned women serving terms of imprisonment but the new legislation makes this provision applicable to women sentenced to any form of punishment.</w:t>
      </w:r>
    </w:p>
    <w:p w:rsidR="00000000" w:rsidRDefault="00000000">
      <w:pPr>
        <w:tabs>
          <w:tab w:val="left" w:pos="475"/>
          <w:tab w:val="left" w:pos="965"/>
          <w:tab w:val="left" w:pos="1440"/>
          <w:tab w:val="left" w:pos="1915"/>
          <w:tab w:val="left" w:pos="2405"/>
        </w:tabs>
        <w:spacing w:after="120"/>
        <w:jc w:val="both"/>
      </w:pPr>
      <w:r>
        <w:tab/>
        <w:t>In accordance with the new Criminal Code, women may not be sentenced to capital punishment or life imprisonment.</w:t>
      </w:r>
    </w:p>
    <w:p w:rsidR="00000000" w:rsidRDefault="00000000">
      <w:pPr>
        <w:tabs>
          <w:tab w:val="left" w:pos="475"/>
          <w:tab w:val="left" w:pos="965"/>
          <w:tab w:val="left" w:pos="1440"/>
          <w:tab w:val="left" w:pos="1915"/>
          <w:tab w:val="left" w:pos="2405"/>
        </w:tabs>
        <w:spacing w:after="120"/>
        <w:jc w:val="both"/>
      </w:pPr>
      <w:r>
        <w:t>47.</w:t>
      </w:r>
      <w:r>
        <w:tab/>
        <w:t>A number of articles in the former Criminal Code specially protecting the rights of women were abolished by the new Criminal Code (see commentary on articles 2 (a) and 16 (a), (b) and (e) of the Convention).</w:t>
      </w:r>
    </w:p>
    <w:p w:rsidR="00000000" w:rsidRDefault="00000000">
      <w:pPr>
        <w:tabs>
          <w:tab w:val="left" w:pos="475"/>
          <w:tab w:val="left" w:pos="965"/>
          <w:tab w:val="left" w:pos="1440"/>
          <w:tab w:val="left" w:pos="1915"/>
          <w:tab w:val="left" w:pos="2405"/>
        </w:tabs>
        <w:spacing w:after="120"/>
        <w:jc w:val="both"/>
      </w:pPr>
      <w:r>
        <w:rPr>
          <w:noProof/>
          <w:w w:val="100"/>
        </w:rPr>
        <w:pict>
          <v:shape id="_x0000_s2070" type="#_x0000_t202" style="position:absolute;left:0;text-align:left;margin-left:250.3pt;margin-top:-5.9pt;width:252pt;height:198pt;z-index:13;mso-position-horizontal:absolute;mso-position-horizontal-relative:text;mso-position-vertical:absolute;mso-position-vertical-relative:text" o:allowincell="f" stroked="f">
            <v:textbox>
              <w:txbxContent>
                <w:p w:rsidR="00000000" w:rsidRDefault="00000000">
                  <w:pPr>
                    <w:tabs>
                      <w:tab w:val="left" w:pos="475"/>
                      <w:tab w:val="left" w:pos="965"/>
                      <w:tab w:val="left" w:pos="1440"/>
                      <w:tab w:val="left" w:pos="1915"/>
                      <w:tab w:val="left" w:pos="2405"/>
                    </w:tabs>
                    <w:spacing w:after="120"/>
                    <w:jc w:val="both"/>
                  </w:pPr>
                  <w:r>
                    <w:t>crimes. The New Criminal and Criminal Procedure Codes give victims more rights and opportunities to independently collect evidence, bring the criminal before the court, as well as to reach an out-of-court settlement with the criminal.</w:t>
                  </w:r>
                </w:p>
                <w:p w:rsidR="00000000" w:rsidRDefault="00000000">
                  <w:pPr>
                    <w:tabs>
                      <w:tab w:val="left" w:pos="475"/>
                      <w:tab w:val="left" w:pos="965"/>
                      <w:tab w:val="left" w:pos="1440"/>
                      <w:tab w:val="left" w:pos="1915"/>
                      <w:tab w:val="left" w:pos="2405"/>
                    </w:tabs>
                    <w:spacing w:after="120"/>
                    <w:jc w:val="both"/>
                  </w:pPr>
                  <w:r>
                    <w:tab/>
                    <w:t>The national action plan to improve the status of women in the Republic of Kazakhstan, approved by the Government on 19 July 1999, envisages amendment of the Criminal and Criminal Procedure Codes in 2000, in order to make persons who commit criminally punishable actions against women more accountable.</w:t>
                  </w:r>
                </w:p>
                <w:p w:rsidR="00000000" w:rsidRDefault="00000000">
                  <w:pPr>
                    <w:tabs>
                      <w:tab w:val="left" w:pos="504"/>
                    </w:tabs>
                  </w:pPr>
                  <w:r>
                    <w:tab/>
                    <w:t>This plan provides for the formulation in 2001 of a draft law on domestic violence.</w:t>
                  </w:r>
                </w:p>
              </w:txbxContent>
            </v:textbox>
          </v:shape>
        </w:pict>
      </w:r>
      <w:r>
        <w:tab/>
        <w:t>At the same time, new articles appeared — for crimes related to the sexual exploitation of women (see commentary on article 6 of the Convention).</w:t>
      </w: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pPr>
      <w:r>
        <w:t>48.</w:t>
      </w:r>
      <w:r>
        <w:tab/>
        <w:t xml:space="preserve">The New Criminal Procedure Code, which came into effect on 1 January 1998, in articles 32, 33 and 45 refers the majority of cases of rapes, forced acts of a sexual nature, forced sexual intercourse, sodomy and lesbianism (respectively, articles 120, part 1, 121, part 1 and 123 of the Criminal Code) for private prosecution, in which the proceedings are instituted and terminated by the victims. </w:t>
      </w: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pPr>
      <w:r>
        <w:tab/>
        <w:t xml:space="preserve">This abolished the previous arrangement under which the organs of internal affairs were obliged to accept for consideration all applications relating to sex </w:t>
      </w: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pPr>
    </w:p>
    <w:p w:rsidR="00000000" w:rsidRDefault="00000000">
      <w:pPr>
        <w:tabs>
          <w:tab w:val="left" w:pos="475"/>
          <w:tab w:val="left" w:pos="965"/>
          <w:tab w:val="left" w:pos="1440"/>
          <w:tab w:val="left" w:pos="1915"/>
          <w:tab w:val="left" w:pos="2405"/>
        </w:tabs>
        <w:spacing w:after="120"/>
        <w:jc w:val="both"/>
        <w:sectPr w:rsidR="00000000">
          <w:type w:val="continuous"/>
          <w:pgSz w:w="12240" w:h="15840"/>
          <w:pgMar w:top="1742" w:right="1195" w:bottom="1901" w:left="1195" w:header="576" w:footer="1037" w:gutter="0"/>
          <w:cols w:num="2" w:space="245"/>
          <w:docGrid w:linePitch="360"/>
        </w:sectPr>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r>
        <w:t>Table 20</w:t>
      </w:r>
    </w:p>
    <w:p w:rsidR="00000000" w:rsidRDefault="00000000">
      <w:pPr>
        <w:pStyle w:val="BodyText3"/>
      </w:pPr>
      <w:r>
        <w:t>Crime rates (cases per 10,000 inhabitants)</w:t>
      </w:r>
    </w:p>
    <w:tbl>
      <w:tblPr>
        <w:tblW w:w="0" w:type="auto"/>
        <w:tblInd w:w="2" w:type="dxa"/>
        <w:tblLayout w:type="fixed"/>
        <w:tblLook w:val="0000" w:firstRow="0" w:lastRow="0" w:firstColumn="0" w:lastColumn="0" w:noHBand="0" w:noVBand="0"/>
      </w:tblPr>
      <w:tblGrid>
        <w:gridCol w:w="3780"/>
        <w:gridCol w:w="783"/>
        <w:gridCol w:w="792"/>
        <w:gridCol w:w="765"/>
        <w:gridCol w:w="810"/>
        <w:gridCol w:w="702"/>
        <w:gridCol w:w="738"/>
        <w:gridCol w:w="720"/>
        <w:gridCol w:w="720"/>
      </w:tblGrid>
      <w:tr w:rsidR="00000000">
        <w:tblPrEx>
          <w:tblCellMar>
            <w:top w:w="0" w:type="dxa"/>
            <w:bottom w:w="0" w:type="dxa"/>
          </w:tblCellMar>
        </w:tblPrEx>
        <w:tc>
          <w:tcPr>
            <w:tcW w:w="3780"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rPr>
                <w:i/>
                <w:sz w:val="14"/>
              </w:rPr>
            </w:pPr>
          </w:p>
        </w:tc>
        <w:tc>
          <w:tcPr>
            <w:tcW w:w="783"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i/>
                <w:sz w:val="14"/>
              </w:rPr>
            </w:pPr>
            <w:r>
              <w:rPr>
                <w:i/>
                <w:sz w:val="14"/>
              </w:rPr>
              <w:t>1990</w:t>
            </w:r>
          </w:p>
        </w:tc>
        <w:tc>
          <w:tcPr>
            <w:tcW w:w="792"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i/>
                <w:sz w:val="14"/>
              </w:rPr>
            </w:pPr>
            <w:r>
              <w:rPr>
                <w:i/>
                <w:sz w:val="14"/>
              </w:rPr>
              <w:t>1991</w:t>
            </w:r>
          </w:p>
        </w:tc>
        <w:tc>
          <w:tcPr>
            <w:tcW w:w="765"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i/>
                <w:sz w:val="14"/>
              </w:rPr>
            </w:pPr>
            <w:r>
              <w:rPr>
                <w:i/>
                <w:sz w:val="14"/>
              </w:rPr>
              <w:t>1992</w:t>
            </w:r>
          </w:p>
        </w:tc>
        <w:tc>
          <w:tcPr>
            <w:tcW w:w="810"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i/>
                <w:sz w:val="14"/>
              </w:rPr>
            </w:pPr>
            <w:r>
              <w:rPr>
                <w:i/>
                <w:sz w:val="14"/>
              </w:rPr>
              <w:t>1993</w:t>
            </w:r>
          </w:p>
        </w:tc>
        <w:tc>
          <w:tcPr>
            <w:tcW w:w="702"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i/>
                <w:sz w:val="14"/>
              </w:rPr>
            </w:pPr>
            <w:r>
              <w:rPr>
                <w:i/>
                <w:sz w:val="14"/>
              </w:rPr>
              <w:t>1994</w:t>
            </w:r>
          </w:p>
        </w:tc>
        <w:tc>
          <w:tcPr>
            <w:tcW w:w="738"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i/>
                <w:sz w:val="14"/>
              </w:rPr>
            </w:pPr>
            <w:r>
              <w:rPr>
                <w:i/>
                <w:sz w:val="14"/>
              </w:rPr>
              <w:t>1995</w:t>
            </w:r>
          </w:p>
        </w:tc>
        <w:tc>
          <w:tcPr>
            <w:tcW w:w="720"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i/>
                <w:sz w:val="14"/>
              </w:rPr>
            </w:pPr>
            <w:r>
              <w:rPr>
                <w:i/>
                <w:sz w:val="14"/>
              </w:rPr>
              <w:t>1996</w:t>
            </w:r>
          </w:p>
        </w:tc>
        <w:tc>
          <w:tcPr>
            <w:tcW w:w="720"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i/>
                <w:sz w:val="14"/>
              </w:rPr>
            </w:pPr>
            <w:r>
              <w:rPr>
                <w:i/>
                <w:sz w:val="14"/>
              </w:rPr>
              <w:t>1997</w:t>
            </w:r>
          </w:p>
        </w:tc>
      </w:tr>
      <w:tr w:rsidR="00000000">
        <w:tblPrEx>
          <w:tblCellMar>
            <w:top w:w="0" w:type="dxa"/>
            <w:bottom w:w="0" w:type="dxa"/>
          </w:tblCellMar>
        </w:tblPrEx>
        <w:tc>
          <w:tcPr>
            <w:tcW w:w="3780" w:type="dxa"/>
            <w:tcBorders>
              <w:top w:val="single" w:sz="12" w:space="0" w:color="auto"/>
            </w:tcBorders>
          </w:tcPr>
          <w:p w:rsidR="00000000" w:rsidRDefault="00000000">
            <w:pPr>
              <w:tabs>
                <w:tab w:val="left" w:pos="475"/>
                <w:tab w:val="left" w:pos="965"/>
                <w:tab w:val="left" w:pos="1440"/>
                <w:tab w:val="left" w:pos="1915"/>
                <w:tab w:val="left" w:pos="2405"/>
              </w:tabs>
              <w:spacing w:after="120"/>
              <w:rPr>
                <w:sz w:val="17"/>
              </w:rPr>
            </w:pPr>
            <w:r>
              <w:rPr>
                <w:sz w:val="17"/>
              </w:rPr>
              <w:t>Premeditated homicide and attempted homicide</w:t>
            </w:r>
          </w:p>
        </w:tc>
        <w:tc>
          <w:tcPr>
            <w:tcW w:w="783"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1.04</w:t>
            </w:r>
          </w:p>
        </w:tc>
        <w:tc>
          <w:tcPr>
            <w:tcW w:w="792"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1.05</w:t>
            </w:r>
          </w:p>
        </w:tc>
        <w:tc>
          <w:tcPr>
            <w:tcW w:w="765"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1.25</w:t>
            </w:r>
          </w:p>
        </w:tc>
        <w:tc>
          <w:tcPr>
            <w:tcW w:w="810"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1.6</w:t>
            </w:r>
          </w:p>
        </w:tc>
        <w:tc>
          <w:tcPr>
            <w:tcW w:w="702"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1.6</w:t>
            </w:r>
          </w:p>
        </w:tc>
        <w:tc>
          <w:tcPr>
            <w:tcW w:w="738"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1.5</w:t>
            </w:r>
          </w:p>
        </w:tc>
        <w:tc>
          <w:tcPr>
            <w:tcW w:w="720"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1.6</w:t>
            </w:r>
          </w:p>
        </w:tc>
        <w:tc>
          <w:tcPr>
            <w:tcW w:w="720"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1.6</w:t>
            </w:r>
          </w:p>
        </w:tc>
      </w:tr>
      <w:tr w:rsidR="00000000">
        <w:tblPrEx>
          <w:tblCellMar>
            <w:top w:w="0" w:type="dxa"/>
            <w:bottom w:w="0" w:type="dxa"/>
          </w:tblCellMar>
        </w:tblPrEx>
        <w:tc>
          <w:tcPr>
            <w:tcW w:w="3780" w:type="dxa"/>
          </w:tcPr>
          <w:p w:rsidR="00000000" w:rsidRDefault="00000000">
            <w:pPr>
              <w:tabs>
                <w:tab w:val="left" w:pos="475"/>
                <w:tab w:val="left" w:pos="965"/>
                <w:tab w:val="left" w:pos="1440"/>
                <w:tab w:val="left" w:pos="1915"/>
                <w:tab w:val="left" w:pos="2405"/>
              </w:tabs>
              <w:spacing w:after="120"/>
              <w:rPr>
                <w:sz w:val="17"/>
              </w:rPr>
            </w:pPr>
            <w:r>
              <w:rPr>
                <w:sz w:val="17"/>
              </w:rPr>
              <w:t>Brigandage</w:t>
            </w:r>
          </w:p>
        </w:tc>
        <w:tc>
          <w:tcPr>
            <w:tcW w:w="783" w:type="dxa"/>
          </w:tcPr>
          <w:p w:rsidR="00000000" w:rsidRDefault="00000000">
            <w:pPr>
              <w:tabs>
                <w:tab w:val="left" w:pos="475"/>
                <w:tab w:val="left" w:pos="965"/>
                <w:tab w:val="left" w:pos="1440"/>
                <w:tab w:val="left" w:pos="1915"/>
                <w:tab w:val="left" w:pos="2405"/>
              </w:tabs>
              <w:spacing w:after="120"/>
              <w:jc w:val="right"/>
              <w:rPr>
                <w:sz w:val="17"/>
              </w:rPr>
            </w:pPr>
            <w:r>
              <w:rPr>
                <w:sz w:val="17"/>
              </w:rPr>
              <w:t>0.8</w:t>
            </w:r>
          </w:p>
        </w:tc>
        <w:tc>
          <w:tcPr>
            <w:tcW w:w="792" w:type="dxa"/>
          </w:tcPr>
          <w:p w:rsidR="00000000" w:rsidRDefault="00000000">
            <w:pPr>
              <w:tabs>
                <w:tab w:val="left" w:pos="475"/>
                <w:tab w:val="left" w:pos="965"/>
                <w:tab w:val="left" w:pos="1440"/>
                <w:tab w:val="left" w:pos="1915"/>
                <w:tab w:val="left" w:pos="2405"/>
              </w:tabs>
              <w:spacing w:after="120"/>
              <w:jc w:val="right"/>
              <w:rPr>
                <w:sz w:val="17"/>
              </w:rPr>
            </w:pPr>
            <w:r>
              <w:rPr>
                <w:sz w:val="17"/>
              </w:rPr>
              <w:t>0.9</w:t>
            </w:r>
          </w:p>
        </w:tc>
        <w:tc>
          <w:tcPr>
            <w:tcW w:w="765" w:type="dxa"/>
          </w:tcPr>
          <w:p w:rsidR="00000000" w:rsidRDefault="00000000">
            <w:pPr>
              <w:tabs>
                <w:tab w:val="left" w:pos="475"/>
                <w:tab w:val="left" w:pos="965"/>
                <w:tab w:val="left" w:pos="1440"/>
                <w:tab w:val="left" w:pos="1915"/>
                <w:tab w:val="left" w:pos="2405"/>
              </w:tabs>
              <w:spacing w:after="120"/>
              <w:jc w:val="right"/>
              <w:rPr>
                <w:sz w:val="17"/>
              </w:rPr>
            </w:pPr>
            <w:r>
              <w:rPr>
                <w:sz w:val="17"/>
              </w:rPr>
              <w:t>1.4</w:t>
            </w:r>
          </w:p>
        </w:tc>
        <w:tc>
          <w:tcPr>
            <w:tcW w:w="810" w:type="dxa"/>
          </w:tcPr>
          <w:p w:rsidR="00000000" w:rsidRDefault="00000000">
            <w:pPr>
              <w:tabs>
                <w:tab w:val="left" w:pos="475"/>
                <w:tab w:val="left" w:pos="965"/>
                <w:tab w:val="left" w:pos="1440"/>
                <w:tab w:val="left" w:pos="1915"/>
                <w:tab w:val="left" w:pos="2405"/>
              </w:tabs>
              <w:spacing w:after="120"/>
              <w:jc w:val="right"/>
              <w:rPr>
                <w:sz w:val="17"/>
              </w:rPr>
            </w:pPr>
            <w:r>
              <w:rPr>
                <w:sz w:val="17"/>
              </w:rPr>
              <w:t>1.4</w:t>
            </w:r>
          </w:p>
        </w:tc>
        <w:tc>
          <w:tcPr>
            <w:tcW w:w="702" w:type="dxa"/>
          </w:tcPr>
          <w:p w:rsidR="00000000" w:rsidRDefault="00000000">
            <w:pPr>
              <w:tabs>
                <w:tab w:val="left" w:pos="475"/>
                <w:tab w:val="left" w:pos="965"/>
                <w:tab w:val="left" w:pos="1440"/>
                <w:tab w:val="left" w:pos="1915"/>
                <w:tab w:val="left" w:pos="2405"/>
              </w:tabs>
              <w:spacing w:after="120"/>
              <w:jc w:val="right"/>
              <w:rPr>
                <w:sz w:val="17"/>
              </w:rPr>
            </w:pPr>
            <w:r>
              <w:rPr>
                <w:sz w:val="17"/>
              </w:rPr>
              <w:t>1.3</w:t>
            </w:r>
          </w:p>
        </w:tc>
        <w:tc>
          <w:tcPr>
            <w:tcW w:w="738" w:type="dxa"/>
          </w:tcPr>
          <w:p w:rsidR="00000000" w:rsidRDefault="00000000">
            <w:pPr>
              <w:tabs>
                <w:tab w:val="left" w:pos="475"/>
                <w:tab w:val="left" w:pos="965"/>
                <w:tab w:val="left" w:pos="1440"/>
                <w:tab w:val="left" w:pos="1915"/>
                <w:tab w:val="left" w:pos="2405"/>
              </w:tabs>
              <w:spacing w:after="120"/>
              <w:jc w:val="right"/>
              <w:rPr>
                <w:sz w:val="17"/>
              </w:rPr>
            </w:pPr>
            <w:r>
              <w:rPr>
                <w:sz w:val="17"/>
              </w:rPr>
              <w:t>1.3</w:t>
            </w:r>
          </w:p>
        </w:tc>
        <w:tc>
          <w:tcPr>
            <w:tcW w:w="720" w:type="dxa"/>
          </w:tcPr>
          <w:p w:rsidR="00000000" w:rsidRDefault="00000000">
            <w:pPr>
              <w:tabs>
                <w:tab w:val="left" w:pos="475"/>
                <w:tab w:val="left" w:pos="965"/>
                <w:tab w:val="left" w:pos="1440"/>
                <w:tab w:val="left" w:pos="1915"/>
                <w:tab w:val="left" w:pos="2405"/>
              </w:tabs>
              <w:spacing w:after="120"/>
              <w:jc w:val="right"/>
              <w:rPr>
                <w:sz w:val="17"/>
              </w:rPr>
            </w:pPr>
            <w:r>
              <w:rPr>
                <w:sz w:val="17"/>
              </w:rPr>
              <w:t>1.6</w:t>
            </w:r>
          </w:p>
        </w:tc>
        <w:tc>
          <w:tcPr>
            <w:tcW w:w="720" w:type="dxa"/>
          </w:tcPr>
          <w:p w:rsidR="00000000" w:rsidRDefault="00000000">
            <w:pPr>
              <w:tabs>
                <w:tab w:val="left" w:pos="475"/>
                <w:tab w:val="left" w:pos="965"/>
                <w:tab w:val="left" w:pos="1440"/>
                <w:tab w:val="left" w:pos="1915"/>
                <w:tab w:val="left" w:pos="2405"/>
              </w:tabs>
              <w:spacing w:after="120"/>
              <w:jc w:val="right"/>
              <w:rPr>
                <w:sz w:val="17"/>
              </w:rPr>
            </w:pPr>
            <w:r>
              <w:rPr>
                <w:sz w:val="17"/>
              </w:rPr>
              <w:t>1.8</w:t>
            </w:r>
          </w:p>
        </w:tc>
      </w:tr>
      <w:tr w:rsidR="00000000">
        <w:tblPrEx>
          <w:tblCellMar>
            <w:top w:w="0" w:type="dxa"/>
            <w:bottom w:w="0" w:type="dxa"/>
          </w:tblCellMar>
        </w:tblPrEx>
        <w:tc>
          <w:tcPr>
            <w:tcW w:w="3780" w:type="dxa"/>
          </w:tcPr>
          <w:p w:rsidR="00000000" w:rsidRDefault="00000000">
            <w:pPr>
              <w:tabs>
                <w:tab w:val="left" w:pos="475"/>
                <w:tab w:val="left" w:pos="965"/>
                <w:tab w:val="left" w:pos="1440"/>
                <w:tab w:val="left" w:pos="1915"/>
                <w:tab w:val="left" w:pos="2405"/>
              </w:tabs>
              <w:spacing w:after="120"/>
              <w:rPr>
                <w:sz w:val="17"/>
              </w:rPr>
            </w:pPr>
            <w:r>
              <w:rPr>
                <w:sz w:val="17"/>
              </w:rPr>
              <w:t>Rape and attempted rape</w:t>
            </w:r>
          </w:p>
        </w:tc>
        <w:tc>
          <w:tcPr>
            <w:tcW w:w="783" w:type="dxa"/>
          </w:tcPr>
          <w:p w:rsidR="00000000" w:rsidRDefault="00000000">
            <w:pPr>
              <w:tabs>
                <w:tab w:val="left" w:pos="475"/>
                <w:tab w:val="left" w:pos="965"/>
                <w:tab w:val="left" w:pos="1440"/>
                <w:tab w:val="left" w:pos="1915"/>
                <w:tab w:val="left" w:pos="2405"/>
              </w:tabs>
              <w:spacing w:after="120"/>
              <w:jc w:val="right"/>
              <w:rPr>
                <w:sz w:val="17"/>
              </w:rPr>
            </w:pPr>
            <w:r>
              <w:rPr>
                <w:sz w:val="17"/>
              </w:rPr>
              <w:t>1.1</w:t>
            </w:r>
          </w:p>
        </w:tc>
        <w:tc>
          <w:tcPr>
            <w:tcW w:w="792" w:type="dxa"/>
          </w:tcPr>
          <w:p w:rsidR="00000000" w:rsidRDefault="00000000">
            <w:pPr>
              <w:tabs>
                <w:tab w:val="left" w:pos="475"/>
                <w:tab w:val="left" w:pos="965"/>
                <w:tab w:val="left" w:pos="1440"/>
                <w:tab w:val="left" w:pos="1915"/>
                <w:tab w:val="left" w:pos="2405"/>
              </w:tabs>
              <w:spacing w:after="120"/>
              <w:jc w:val="right"/>
              <w:rPr>
                <w:sz w:val="17"/>
              </w:rPr>
            </w:pPr>
            <w:r>
              <w:rPr>
                <w:sz w:val="17"/>
              </w:rPr>
              <w:t>1.0</w:t>
            </w:r>
          </w:p>
        </w:tc>
        <w:tc>
          <w:tcPr>
            <w:tcW w:w="765" w:type="dxa"/>
          </w:tcPr>
          <w:p w:rsidR="00000000" w:rsidRDefault="00000000">
            <w:pPr>
              <w:tabs>
                <w:tab w:val="left" w:pos="475"/>
                <w:tab w:val="left" w:pos="965"/>
                <w:tab w:val="left" w:pos="1440"/>
                <w:tab w:val="left" w:pos="1915"/>
                <w:tab w:val="left" w:pos="2405"/>
              </w:tabs>
              <w:spacing w:after="120"/>
              <w:jc w:val="right"/>
              <w:rPr>
                <w:sz w:val="17"/>
              </w:rPr>
            </w:pPr>
            <w:r>
              <w:rPr>
                <w:sz w:val="17"/>
              </w:rPr>
              <w:t>1.0</w:t>
            </w:r>
          </w:p>
        </w:tc>
        <w:tc>
          <w:tcPr>
            <w:tcW w:w="810" w:type="dxa"/>
          </w:tcPr>
          <w:p w:rsidR="00000000" w:rsidRDefault="00000000">
            <w:pPr>
              <w:tabs>
                <w:tab w:val="left" w:pos="475"/>
                <w:tab w:val="left" w:pos="965"/>
                <w:tab w:val="left" w:pos="1440"/>
                <w:tab w:val="left" w:pos="1915"/>
                <w:tab w:val="left" w:pos="2405"/>
              </w:tabs>
              <w:spacing w:after="120"/>
              <w:jc w:val="right"/>
              <w:rPr>
                <w:sz w:val="17"/>
              </w:rPr>
            </w:pPr>
            <w:r>
              <w:rPr>
                <w:sz w:val="17"/>
              </w:rPr>
              <w:t>1.4</w:t>
            </w:r>
          </w:p>
        </w:tc>
        <w:tc>
          <w:tcPr>
            <w:tcW w:w="702" w:type="dxa"/>
          </w:tcPr>
          <w:p w:rsidR="00000000" w:rsidRDefault="00000000">
            <w:pPr>
              <w:tabs>
                <w:tab w:val="left" w:pos="475"/>
                <w:tab w:val="left" w:pos="965"/>
                <w:tab w:val="left" w:pos="1440"/>
                <w:tab w:val="left" w:pos="1915"/>
                <w:tab w:val="left" w:pos="2405"/>
              </w:tabs>
              <w:spacing w:after="120"/>
              <w:jc w:val="right"/>
              <w:rPr>
                <w:sz w:val="17"/>
              </w:rPr>
            </w:pPr>
            <w:r>
              <w:rPr>
                <w:sz w:val="17"/>
              </w:rPr>
              <w:t>1.1</w:t>
            </w:r>
          </w:p>
        </w:tc>
        <w:tc>
          <w:tcPr>
            <w:tcW w:w="738" w:type="dxa"/>
          </w:tcPr>
          <w:p w:rsidR="00000000" w:rsidRDefault="00000000">
            <w:pPr>
              <w:tabs>
                <w:tab w:val="left" w:pos="475"/>
                <w:tab w:val="left" w:pos="965"/>
                <w:tab w:val="left" w:pos="1440"/>
                <w:tab w:val="left" w:pos="1915"/>
                <w:tab w:val="left" w:pos="2405"/>
              </w:tabs>
              <w:spacing w:after="120"/>
              <w:jc w:val="right"/>
              <w:rPr>
                <w:sz w:val="17"/>
              </w:rPr>
            </w:pPr>
            <w:r>
              <w:rPr>
                <w:sz w:val="17"/>
              </w:rPr>
              <w:t>1.1</w:t>
            </w:r>
          </w:p>
        </w:tc>
        <w:tc>
          <w:tcPr>
            <w:tcW w:w="720" w:type="dxa"/>
          </w:tcPr>
          <w:p w:rsidR="00000000" w:rsidRDefault="00000000">
            <w:pPr>
              <w:tabs>
                <w:tab w:val="left" w:pos="475"/>
                <w:tab w:val="left" w:pos="965"/>
                <w:tab w:val="left" w:pos="1440"/>
                <w:tab w:val="left" w:pos="1915"/>
                <w:tab w:val="left" w:pos="2405"/>
              </w:tabs>
              <w:spacing w:after="120"/>
              <w:jc w:val="right"/>
              <w:rPr>
                <w:sz w:val="17"/>
              </w:rPr>
            </w:pPr>
            <w:r>
              <w:rPr>
                <w:sz w:val="17"/>
              </w:rPr>
              <w:t>1.3</w:t>
            </w:r>
          </w:p>
        </w:tc>
        <w:tc>
          <w:tcPr>
            <w:tcW w:w="720" w:type="dxa"/>
          </w:tcPr>
          <w:p w:rsidR="00000000" w:rsidRDefault="00000000">
            <w:pPr>
              <w:tabs>
                <w:tab w:val="left" w:pos="475"/>
                <w:tab w:val="left" w:pos="965"/>
                <w:tab w:val="left" w:pos="1440"/>
                <w:tab w:val="left" w:pos="1915"/>
                <w:tab w:val="left" w:pos="2405"/>
              </w:tabs>
              <w:spacing w:after="120"/>
              <w:jc w:val="right"/>
              <w:rPr>
                <w:sz w:val="17"/>
              </w:rPr>
            </w:pPr>
            <w:r>
              <w:rPr>
                <w:sz w:val="17"/>
              </w:rPr>
              <w:t>1.1</w:t>
            </w:r>
          </w:p>
        </w:tc>
      </w:tr>
      <w:tr w:rsidR="00000000">
        <w:tblPrEx>
          <w:tblCellMar>
            <w:top w:w="0" w:type="dxa"/>
            <w:bottom w:w="0" w:type="dxa"/>
          </w:tblCellMar>
        </w:tblPrEx>
        <w:tc>
          <w:tcPr>
            <w:tcW w:w="3780" w:type="dxa"/>
          </w:tcPr>
          <w:p w:rsidR="00000000" w:rsidRDefault="00000000">
            <w:pPr>
              <w:tabs>
                <w:tab w:val="left" w:pos="475"/>
                <w:tab w:val="left" w:pos="965"/>
                <w:tab w:val="left" w:pos="1440"/>
                <w:tab w:val="left" w:pos="1915"/>
                <w:tab w:val="left" w:pos="2405"/>
              </w:tabs>
              <w:spacing w:after="120"/>
              <w:rPr>
                <w:sz w:val="17"/>
              </w:rPr>
            </w:pPr>
            <w:r>
              <w:rPr>
                <w:sz w:val="17"/>
              </w:rPr>
              <w:t>Robbery</w:t>
            </w:r>
          </w:p>
        </w:tc>
        <w:tc>
          <w:tcPr>
            <w:tcW w:w="783" w:type="dxa"/>
          </w:tcPr>
          <w:p w:rsidR="00000000" w:rsidRDefault="00000000">
            <w:pPr>
              <w:tabs>
                <w:tab w:val="left" w:pos="475"/>
                <w:tab w:val="left" w:pos="965"/>
                <w:tab w:val="left" w:pos="1440"/>
                <w:tab w:val="left" w:pos="1915"/>
                <w:tab w:val="left" w:pos="2405"/>
              </w:tabs>
              <w:spacing w:after="120"/>
              <w:jc w:val="right"/>
              <w:rPr>
                <w:sz w:val="17"/>
              </w:rPr>
            </w:pPr>
            <w:r>
              <w:rPr>
                <w:sz w:val="17"/>
              </w:rPr>
              <w:t>5.1</w:t>
            </w:r>
          </w:p>
        </w:tc>
        <w:tc>
          <w:tcPr>
            <w:tcW w:w="792" w:type="dxa"/>
          </w:tcPr>
          <w:p w:rsidR="00000000" w:rsidRDefault="00000000">
            <w:pPr>
              <w:tabs>
                <w:tab w:val="left" w:pos="475"/>
                <w:tab w:val="left" w:pos="965"/>
                <w:tab w:val="left" w:pos="1440"/>
                <w:tab w:val="left" w:pos="1915"/>
                <w:tab w:val="left" w:pos="2405"/>
              </w:tabs>
              <w:spacing w:after="120"/>
              <w:jc w:val="right"/>
              <w:rPr>
                <w:sz w:val="17"/>
              </w:rPr>
            </w:pPr>
            <w:r>
              <w:rPr>
                <w:sz w:val="17"/>
              </w:rPr>
              <w:t>6.0</w:t>
            </w:r>
          </w:p>
        </w:tc>
        <w:tc>
          <w:tcPr>
            <w:tcW w:w="765" w:type="dxa"/>
          </w:tcPr>
          <w:p w:rsidR="00000000" w:rsidRDefault="00000000">
            <w:pPr>
              <w:tabs>
                <w:tab w:val="left" w:pos="475"/>
                <w:tab w:val="left" w:pos="965"/>
                <w:tab w:val="left" w:pos="1440"/>
                <w:tab w:val="left" w:pos="1915"/>
                <w:tab w:val="left" w:pos="2405"/>
              </w:tabs>
              <w:spacing w:after="120"/>
              <w:jc w:val="right"/>
              <w:rPr>
                <w:sz w:val="17"/>
              </w:rPr>
            </w:pPr>
            <w:r>
              <w:rPr>
                <w:sz w:val="17"/>
              </w:rPr>
              <w:t>8.0</w:t>
            </w:r>
          </w:p>
        </w:tc>
        <w:tc>
          <w:tcPr>
            <w:tcW w:w="810" w:type="dxa"/>
          </w:tcPr>
          <w:p w:rsidR="00000000" w:rsidRDefault="00000000">
            <w:pPr>
              <w:tabs>
                <w:tab w:val="left" w:pos="475"/>
                <w:tab w:val="left" w:pos="965"/>
                <w:tab w:val="left" w:pos="1440"/>
                <w:tab w:val="left" w:pos="1915"/>
                <w:tab w:val="left" w:pos="2405"/>
              </w:tabs>
              <w:spacing w:after="120"/>
              <w:jc w:val="right"/>
              <w:rPr>
                <w:sz w:val="17"/>
              </w:rPr>
            </w:pPr>
            <w:r>
              <w:rPr>
                <w:sz w:val="17"/>
              </w:rPr>
              <w:t>8.4</w:t>
            </w:r>
          </w:p>
        </w:tc>
        <w:tc>
          <w:tcPr>
            <w:tcW w:w="702" w:type="dxa"/>
          </w:tcPr>
          <w:p w:rsidR="00000000" w:rsidRDefault="00000000">
            <w:pPr>
              <w:tabs>
                <w:tab w:val="left" w:pos="475"/>
                <w:tab w:val="left" w:pos="965"/>
                <w:tab w:val="left" w:pos="1440"/>
                <w:tab w:val="left" w:pos="1915"/>
                <w:tab w:val="left" w:pos="2405"/>
              </w:tabs>
              <w:spacing w:after="120"/>
              <w:jc w:val="right"/>
              <w:rPr>
                <w:sz w:val="17"/>
              </w:rPr>
            </w:pPr>
            <w:r>
              <w:rPr>
                <w:sz w:val="17"/>
              </w:rPr>
              <w:t>7.3</w:t>
            </w:r>
          </w:p>
        </w:tc>
        <w:tc>
          <w:tcPr>
            <w:tcW w:w="738" w:type="dxa"/>
          </w:tcPr>
          <w:p w:rsidR="00000000" w:rsidRDefault="00000000">
            <w:pPr>
              <w:tabs>
                <w:tab w:val="left" w:pos="475"/>
                <w:tab w:val="left" w:pos="965"/>
                <w:tab w:val="left" w:pos="1440"/>
                <w:tab w:val="left" w:pos="1915"/>
                <w:tab w:val="left" w:pos="2405"/>
              </w:tabs>
              <w:spacing w:after="120"/>
              <w:jc w:val="right"/>
              <w:rPr>
                <w:sz w:val="17"/>
              </w:rPr>
            </w:pPr>
            <w:r>
              <w:rPr>
                <w:sz w:val="17"/>
              </w:rPr>
              <w:t>5.9</w:t>
            </w:r>
          </w:p>
        </w:tc>
        <w:tc>
          <w:tcPr>
            <w:tcW w:w="720" w:type="dxa"/>
          </w:tcPr>
          <w:p w:rsidR="00000000" w:rsidRDefault="00000000">
            <w:pPr>
              <w:tabs>
                <w:tab w:val="left" w:pos="475"/>
                <w:tab w:val="left" w:pos="965"/>
                <w:tab w:val="left" w:pos="1440"/>
                <w:tab w:val="left" w:pos="1915"/>
                <w:tab w:val="left" w:pos="2405"/>
              </w:tabs>
              <w:spacing w:after="120"/>
              <w:jc w:val="right"/>
              <w:rPr>
                <w:sz w:val="17"/>
              </w:rPr>
            </w:pPr>
            <w:r>
              <w:rPr>
                <w:sz w:val="17"/>
              </w:rPr>
              <w:t>5.6</w:t>
            </w:r>
          </w:p>
        </w:tc>
        <w:tc>
          <w:tcPr>
            <w:tcW w:w="720" w:type="dxa"/>
          </w:tcPr>
          <w:p w:rsidR="00000000" w:rsidRDefault="00000000">
            <w:pPr>
              <w:tabs>
                <w:tab w:val="left" w:pos="475"/>
                <w:tab w:val="left" w:pos="965"/>
                <w:tab w:val="left" w:pos="1440"/>
                <w:tab w:val="left" w:pos="1915"/>
                <w:tab w:val="left" w:pos="2405"/>
              </w:tabs>
              <w:spacing w:after="120"/>
              <w:jc w:val="right"/>
              <w:rPr>
                <w:sz w:val="17"/>
              </w:rPr>
            </w:pPr>
            <w:r>
              <w:rPr>
                <w:sz w:val="17"/>
              </w:rPr>
              <w:t>5.7</w:t>
            </w:r>
          </w:p>
        </w:tc>
      </w:tr>
      <w:tr w:rsidR="00000000">
        <w:tblPrEx>
          <w:tblCellMar>
            <w:top w:w="0" w:type="dxa"/>
            <w:bottom w:w="0" w:type="dxa"/>
          </w:tblCellMar>
        </w:tblPrEx>
        <w:tc>
          <w:tcPr>
            <w:tcW w:w="3780" w:type="dxa"/>
          </w:tcPr>
          <w:p w:rsidR="00000000" w:rsidRDefault="00000000">
            <w:pPr>
              <w:tabs>
                <w:tab w:val="left" w:pos="475"/>
                <w:tab w:val="left" w:pos="965"/>
                <w:tab w:val="left" w:pos="1440"/>
                <w:tab w:val="left" w:pos="1915"/>
                <w:tab w:val="left" w:pos="2405"/>
              </w:tabs>
              <w:spacing w:after="120"/>
              <w:rPr>
                <w:sz w:val="17"/>
              </w:rPr>
            </w:pPr>
            <w:r>
              <w:rPr>
                <w:sz w:val="17"/>
              </w:rPr>
              <w:t>Theft</w:t>
            </w:r>
          </w:p>
        </w:tc>
        <w:tc>
          <w:tcPr>
            <w:tcW w:w="783" w:type="dxa"/>
          </w:tcPr>
          <w:p w:rsidR="00000000" w:rsidRDefault="00000000">
            <w:pPr>
              <w:tabs>
                <w:tab w:val="left" w:pos="475"/>
                <w:tab w:val="left" w:pos="965"/>
                <w:tab w:val="left" w:pos="1440"/>
                <w:tab w:val="left" w:pos="1915"/>
                <w:tab w:val="left" w:pos="2405"/>
              </w:tabs>
              <w:spacing w:after="120"/>
              <w:jc w:val="right"/>
              <w:rPr>
                <w:sz w:val="17"/>
              </w:rPr>
            </w:pPr>
            <w:r>
              <w:rPr>
                <w:sz w:val="17"/>
              </w:rPr>
              <w:t>41.4</w:t>
            </w:r>
          </w:p>
        </w:tc>
        <w:tc>
          <w:tcPr>
            <w:tcW w:w="792" w:type="dxa"/>
          </w:tcPr>
          <w:p w:rsidR="00000000" w:rsidRDefault="00000000">
            <w:pPr>
              <w:tabs>
                <w:tab w:val="left" w:pos="475"/>
                <w:tab w:val="left" w:pos="965"/>
                <w:tab w:val="left" w:pos="1440"/>
                <w:tab w:val="left" w:pos="1915"/>
                <w:tab w:val="left" w:pos="2405"/>
              </w:tabs>
              <w:spacing w:after="120"/>
              <w:jc w:val="right"/>
              <w:rPr>
                <w:sz w:val="17"/>
              </w:rPr>
            </w:pPr>
            <w:r>
              <w:rPr>
                <w:sz w:val="17"/>
              </w:rPr>
              <w:t>53.4</w:t>
            </w:r>
          </w:p>
        </w:tc>
        <w:tc>
          <w:tcPr>
            <w:tcW w:w="765" w:type="dxa"/>
          </w:tcPr>
          <w:p w:rsidR="00000000" w:rsidRDefault="00000000">
            <w:pPr>
              <w:tabs>
                <w:tab w:val="left" w:pos="475"/>
                <w:tab w:val="left" w:pos="965"/>
                <w:tab w:val="left" w:pos="1440"/>
                <w:tab w:val="left" w:pos="1915"/>
                <w:tab w:val="left" w:pos="2405"/>
              </w:tabs>
              <w:spacing w:after="120"/>
              <w:jc w:val="right"/>
              <w:rPr>
                <w:sz w:val="17"/>
              </w:rPr>
            </w:pPr>
            <w:r>
              <w:rPr>
                <w:sz w:val="17"/>
              </w:rPr>
              <w:t>66.9</w:t>
            </w:r>
          </w:p>
        </w:tc>
        <w:tc>
          <w:tcPr>
            <w:tcW w:w="810" w:type="dxa"/>
          </w:tcPr>
          <w:p w:rsidR="00000000" w:rsidRDefault="00000000">
            <w:pPr>
              <w:tabs>
                <w:tab w:val="left" w:pos="475"/>
                <w:tab w:val="left" w:pos="965"/>
                <w:tab w:val="left" w:pos="1440"/>
                <w:tab w:val="left" w:pos="1915"/>
                <w:tab w:val="left" w:pos="2405"/>
              </w:tabs>
              <w:spacing w:after="120"/>
              <w:jc w:val="right"/>
              <w:rPr>
                <w:sz w:val="17"/>
              </w:rPr>
            </w:pPr>
            <w:r>
              <w:rPr>
                <w:sz w:val="17"/>
              </w:rPr>
              <w:t>62.6</w:t>
            </w:r>
          </w:p>
        </w:tc>
        <w:tc>
          <w:tcPr>
            <w:tcW w:w="702" w:type="dxa"/>
          </w:tcPr>
          <w:p w:rsidR="00000000" w:rsidRDefault="00000000">
            <w:pPr>
              <w:tabs>
                <w:tab w:val="left" w:pos="475"/>
                <w:tab w:val="left" w:pos="965"/>
                <w:tab w:val="left" w:pos="1440"/>
                <w:tab w:val="left" w:pos="1915"/>
                <w:tab w:val="left" w:pos="2405"/>
              </w:tabs>
              <w:spacing w:after="120"/>
              <w:jc w:val="right"/>
              <w:rPr>
                <w:sz w:val="17"/>
              </w:rPr>
            </w:pPr>
            <w:r>
              <w:rPr>
                <w:sz w:val="17"/>
              </w:rPr>
              <w:t>61.5</w:t>
            </w:r>
          </w:p>
        </w:tc>
        <w:tc>
          <w:tcPr>
            <w:tcW w:w="738" w:type="dxa"/>
          </w:tcPr>
          <w:p w:rsidR="00000000" w:rsidRDefault="00000000">
            <w:pPr>
              <w:tabs>
                <w:tab w:val="left" w:pos="475"/>
                <w:tab w:val="left" w:pos="965"/>
                <w:tab w:val="left" w:pos="1440"/>
                <w:tab w:val="left" w:pos="1915"/>
                <w:tab w:val="left" w:pos="2405"/>
              </w:tabs>
              <w:spacing w:after="120"/>
              <w:jc w:val="right"/>
              <w:rPr>
                <w:sz w:val="17"/>
              </w:rPr>
            </w:pPr>
            <w:r>
              <w:rPr>
                <w:sz w:val="17"/>
              </w:rPr>
              <w:t>51.0</w:t>
            </w:r>
          </w:p>
        </w:tc>
        <w:tc>
          <w:tcPr>
            <w:tcW w:w="720" w:type="dxa"/>
          </w:tcPr>
          <w:p w:rsidR="00000000" w:rsidRDefault="00000000">
            <w:pPr>
              <w:tabs>
                <w:tab w:val="left" w:pos="475"/>
                <w:tab w:val="left" w:pos="965"/>
                <w:tab w:val="left" w:pos="1440"/>
                <w:tab w:val="left" w:pos="1915"/>
                <w:tab w:val="left" w:pos="2405"/>
              </w:tabs>
              <w:spacing w:after="120"/>
              <w:jc w:val="right"/>
              <w:rPr>
                <w:sz w:val="17"/>
              </w:rPr>
            </w:pPr>
            <w:r>
              <w:rPr>
                <w:sz w:val="17"/>
              </w:rPr>
              <w:t>44.4</w:t>
            </w:r>
          </w:p>
        </w:tc>
        <w:tc>
          <w:tcPr>
            <w:tcW w:w="720" w:type="dxa"/>
          </w:tcPr>
          <w:p w:rsidR="00000000" w:rsidRDefault="00000000">
            <w:pPr>
              <w:tabs>
                <w:tab w:val="left" w:pos="475"/>
                <w:tab w:val="left" w:pos="965"/>
                <w:tab w:val="left" w:pos="1440"/>
                <w:tab w:val="left" w:pos="1915"/>
                <w:tab w:val="left" w:pos="2405"/>
              </w:tabs>
              <w:spacing w:after="120"/>
              <w:jc w:val="right"/>
              <w:rPr>
                <w:sz w:val="17"/>
              </w:rPr>
            </w:pPr>
            <w:r>
              <w:rPr>
                <w:sz w:val="17"/>
              </w:rPr>
              <w:t>36.2</w:t>
            </w:r>
          </w:p>
        </w:tc>
      </w:tr>
      <w:tr w:rsidR="00000000">
        <w:tblPrEx>
          <w:tblCellMar>
            <w:top w:w="0" w:type="dxa"/>
            <w:bottom w:w="0" w:type="dxa"/>
          </w:tblCellMar>
        </w:tblPrEx>
        <w:tc>
          <w:tcPr>
            <w:tcW w:w="3780" w:type="dxa"/>
          </w:tcPr>
          <w:p w:rsidR="00000000" w:rsidRDefault="00000000">
            <w:pPr>
              <w:tabs>
                <w:tab w:val="left" w:pos="475"/>
                <w:tab w:val="left" w:pos="965"/>
                <w:tab w:val="left" w:pos="1440"/>
                <w:tab w:val="left" w:pos="1915"/>
                <w:tab w:val="left" w:pos="2405"/>
              </w:tabs>
              <w:spacing w:after="120"/>
              <w:rPr>
                <w:sz w:val="17"/>
              </w:rPr>
            </w:pPr>
            <w:r>
              <w:rPr>
                <w:sz w:val="17"/>
              </w:rPr>
              <w:t>Fraud</w:t>
            </w:r>
          </w:p>
        </w:tc>
        <w:tc>
          <w:tcPr>
            <w:tcW w:w="783" w:type="dxa"/>
          </w:tcPr>
          <w:p w:rsidR="00000000" w:rsidRDefault="00000000">
            <w:pPr>
              <w:tabs>
                <w:tab w:val="left" w:pos="475"/>
                <w:tab w:val="left" w:pos="965"/>
                <w:tab w:val="left" w:pos="1440"/>
                <w:tab w:val="left" w:pos="1915"/>
                <w:tab w:val="left" w:pos="2405"/>
              </w:tabs>
              <w:spacing w:after="120"/>
              <w:jc w:val="right"/>
              <w:rPr>
                <w:sz w:val="17"/>
              </w:rPr>
            </w:pPr>
            <w:r>
              <w:rPr>
                <w:sz w:val="17"/>
              </w:rPr>
              <w:t>0.8</w:t>
            </w:r>
          </w:p>
        </w:tc>
        <w:tc>
          <w:tcPr>
            <w:tcW w:w="792" w:type="dxa"/>
          </w:tcPr>
          <w:p w:rsidR="00000000" w:rsidRDefault="00000000">
            <w:pPr>
              <w:tabs>
                <w:tab w:val="left" w:pos="475"/>
                <w:tab w:val="left" w:pos="965"/>
                <w:tab w:val="left" w:pos="1440"/>
                <w:tab w:val="left" w:pos="1915"/>
                <w:tab w:val="left" w:pos="2405"/>
              </w:tabs>
              <w:spacing w:after="120"/>
              <w:jc w:val="right"/>
              <w:rPr>
                <w:sz w:val="17"/>
              </w:rPr>
            </w:pPr>
            <w:r>
              <w:rPr>
                <w:sz w:val="17"/>
              </w:rPr>
              <w:t>1.0</w:t>
            </w:r>
          </w:p>
        </w:tc>
        <w:tc>
          <w:tcPr>
            <w:tcW w:w="765" w:type="dxa"/>
          </w:tcPr>
          <w:p w:rsidR="00000000" w:rsidRDefault="00000000">
            <w:pPr>
              <w:tabs>
                <w:tab w:val="left" w:pos="475"/>
                <w:tab w:val="left" w:pos="965"/>
                <w:tab w:val="left" w:pos="1440"/>
                <w:tab w:val="left" w:pos="1915"/>
                <w:tab w:val="left" w:pos="2405"/>
              </w:tabs>
              <w:spacing w:after="120"/>
              <w:jc w:val="right"/>
              <w:rPr>
                <w:sz w:val="17"/>
              </w:rPr>
            </w:pPr>
            <w:r>
              <w:rPr>
                <w:sz w:val="17"/>
              </w:rPr>
              <w:t>1.4</w:t>
            </w:r>
          </w:p>
        </w:tc>
        <w:tc>
          <w:tcPr>
            <w:tcW w:w="810" w:type="dxa"/>
          </w:tcPr>
          <w:p w:rsidR="00000000" w:rsidRDefault="00000000">
            <w:pPr>
              <w:tabs>
                <w:tab w:val="left" w:pos="475"/>
                <w:tab w:val="left" w:pos="965"/>
                <w:tab w:val="left" w:pos="1440"/>
                <w:tab w:val="left" w:pos="1915"/>
                <w:tab w:val="left" w:pos="2405"/>
              </w:tabs>
              <w:spacing w:after="120"/>
              <w:jc w:val="right"/>
              <w:rPr>
                <w:sz w:val="17"/>
              </w:rPr>
            </w:pPr>
            <w:r>
              <w:rPr>
                <w:sz w:val="17"/>
              </w:rPr>
              <w:t>1.8</w:t>
            </w:r>
          </w:p>
        </w:tc>
        <w:tc>
          <w:tcPr>
            <w:tcW w:w="702" w:type="dxa"/>
          </w:tcPr>
          <w:p w:rsidR="00000000" w:rsidRDefault="00000000">
            <w:pPr>
              <w:tabs>
                <w:tab w:val="left" w:pos="475"/>
                <w:tab w:val="left" w:pos="965"/>
                <w:tab w:val="left" w:pos="1440"/>
                <w:tab w:val="left" w:pos="1915"/>
                <w:tab w:val="left" w:pos="2405"/>
              </w:tabs>
              <w:spacing w:after="120"/>
              <w:jc w:val="right"/>
              <w:rPr>
                <w:sz w:val="17"/>
              </w:rPr>
            </w:pPr>
            <w:r>
              <w:rPr>
                <w:sz w:val="17"/>
              </w:rPr>
              <w:t>1.7</w:t>
            </w:r>
          </w:p>
        </w:tc>
        <w:tc>
          <w:tcPr>
            <w:tcW w:w="738" w:type="dxa"/>
          </w:tcPr>
          <w:p w:rsidR="00000000" w:rsidRDefault="00000000">
            <w:pPr>
              <w:tabs>
                <w:tab w:val="left" w:pos="475"/>
                <w:tab w:val="left" w:pos="965"/>
                <w:tab w:val="left" w:pos="1440"/>
                <w:tab w:val="left" w:pos="1915"/>
                <w:tab w:val="left" w:pos="2405"/>
              </w:tabs>
              <w:spacing w:after="120"/>
              <w:jc w:val="right"/>
              <w:rPr>
                <w:sz w:val="17"/>
              </w:rPr>
            </w:pPr>
            <w:r>
              <w:rPr>
                <w:sz w:val="17"/>
              </w:rPr>
              <w:t>1.6</w:t>
            </w:r>
          </w:p>
        </w:tc>
        <w:tc>
          <w:tcPr>
            <w:tcW w:w="720" w:type="dxa"/>
          </w:tcPr>
          <w:p w:rsidR="00000000" w:rsidRDefault="00000000">
            <w:pPr>
              <w:tabs>
                <w:tab w:val="left" w:pos="475"/>
                <w:tab w:val="left" w:pos="965"/>
                <w:tab w:val="left" w:pos="1440"/>
                <w:tab w:val="left" w:pos="1915"/>
                <w:tab w:val="left" w:pos="2405"/>
              </w:tabs>
              <w:spacing w:after="120"/>
              <w:jc w:val="right"/>
              <w:rPr>
                <w:sz w:val="17"/>
              </w:rPr>
            </w:pPr>
            <w:r>
              <w:rPr>
                <w:sz w:val="17"/>
              </w:rPr>
              <w:t>1.5</w:t>
            </w:r>
          </w:p>
        </w:tc>
        <w:tc>
          <w:tcPr>
            <w:tcW w:w="720" w:type="dxa"/>
          </w:tcPr>
          <w:p w:rsidR="00000000" w:rsidRDefault="00000000">
            <w:pPr>
              <w:tabs>
                <w:tab w:val="left" w:pos="475"/>
                <w:tab w:val="left" w:pos="965"/>
                <w:tab w:val="left" w:pos="1440"/>
                <w:tab w:val="left" w:pos="1915"/>
                <w:tab w:val="left" w:pos="2405"/>
              </w:tabs>
              <w:spacing w:after="120"/>
              <w:jc w:val="right"/>
              <w:rPr>
                <w:sz w:val="17"/>
              </w:rPr>
            </w:pPr>
            <w:r>
              <w:rPr>
                <w:sz w:val="17"/>
              </w:rPr>
              <w:t>1.3</w:t>
            </w:r>
          </w:p>
        </w:tc>
      </w:tr>
      <w:tr w:rsidR="00000000">
        <w:tblPrEx>
          <w:tblCellMar>
            <w:top w:w="0" w:type="dxa"/>
            <w:bottom w:w="0" w:type="dxa"/>
          </w:tblCellMar>
        </w:tblPrEx>
        <w:tc>
          <w:tcPr>
            <w:tcW w:w="3780" w:type="dxa"/>
          </w:tcPr>
          <w:p w:rsidR="00000000" w:rsidRDefault="00000000">
            <w:pPr>
              <w:tabs>
                <w:tab w:val="left" w:pos="475"/>
                <w:tab w:val="left" w:pos="965"/>
                <w:tab w:val="left" w:pos="1440"/>
                <w:tab w:val="left" w:pos="1915"/>
                <w:tab w:val="left" w:pos="2405"/>
              </w:tabs>
              <w:spacing w:after="120"/>
              <w:rPr>
                <w:sz w:val="17"/>
              </w:rPr>
            </w:pPr>
            <w:r>
              <w:rPr>
                <w:sz w:val="17"/>
              </w:rPr>
              <w:t>Drug-related crime</w:t>
            </w:r>
          </w:p>
        </w:tc>
        <w:tc>
          <w:tcPr>
            <w:tcW w:w="783" w:type="dxa"/>
          </w:tcPr>
          <w:p w:rsidR="00000000" w:rsidRDefault="00000000">
            <w:pPr>
              <w:tabs>
                <w:tab w:val="left" w:pos="475"/>
                <w:tab w:val="left" w:pos="965"/>
                <w:tab w:val="left" w:pos="1440"/>
                <w:tab w:val="left" w:pos="1915"/>
                <w:tab w:val="left" w:pos="2405"/>
              </w:tabs>
              <w:spacing w:after="120"/>
              <w:jc w:val="right"/>
              <w:rPr>
                <w:sz w:val="17"/>
              </w:rPr>
            </w:pPr>
            <w:r>
              <w:rPr>
                <w:sz w:val="17"/>
              </w:rPr>
              <w:t>2.3</w:t>
            </w:r>
          </w:p>
        </w:tc>
        <w:tc>
          <w:tcPr>
            <w:tcW w:w="792" w:type="dxa"/>
          </w:tcPr>
          <w:p w:rsidR="00000000" w:rsidRDefault="00000000">
            <w:pPr>
              <w:tabs>
                <w:tab w:val="left" w:pos="475"/>
                <w:tab w:val="left" w:pos="965"/>
                <w:tab w:val="left" w:pos="1440"/>
                <w:tab w:val="left" w:pos="1915"/>
                <w:tab w:val="left" w:pos="2405"/>
              </w:tabs>
              <w:spacing w:after="120"/>
              <w:jc w:val="right"/>
              <w:rPr>
                <w:sz w:val="17"/>
              </w:rPr>
            </w:pPr>
            <w:r>
              <w:rPr>
                <w:sz w:val="17"/>
              </w:rPr>
              <w:t>2.8</w:t>
            </w:r>
          </w:p>
        </w:tc>
        <w:tc>
          <w:tcPr>
            <w:tcW w:w="765" w:type="dxa"/>
          </w:tcPr>
          <w:p w:rsidR="00000000" w:rsidRDefault="00000000">
            <w:pPr>
              <w:tabs>
                <w:tab w:val="left" w:pos="475"/>
                <w:tab w:val="left" w:pos="965"/>
                <w:tab w:val="left" w:pos="1440"/>
                <w:tab w:val="left" w:pos="1915"/>
                <w:tab w:val="left" w:pos="2405"/>
              </w:tabs>
              <w:spacing w:after="120"/>
              <w:jc w:val="right"/>
              <w:rPr>
                <w:sz w:val="17"/>
              </w:rPr>
            </w:pPr>
            <w:r>
              <w:rPr>
                <w:sz w:val="17"/>
              </w:rPr>
              <w:t>3.2</w:t>
            </w:r>
          </w:p>
        </w:tc>
        <w:tc>
          <w:tcPr>
            <w:tcW w:w="810" w:type="dxa"/>
          </w:tcPr>
          <w:p w:rsidR="00000000" w:rsidRDefault="00000000">
            <w:pPr>
              <w:tabs>
                <w:tab w:val="left" w:pos="475"/>
                <w:tab w:val="left" w:pos="965"/>
                <w:tab w:val="left" w:pos="1440"/>
                <w:tab w:val="left" w:pos="1915"/>
                <w:tab w:val="left" w:pos="2405"/>
              </w:tabs>
              <w:spacing w:after="120"/>
              <w:jc w:val="right"/>
              <w:rPr>
                <w:sz w:val="17"/>
              </w:rPr>
            </w:pPr>
            <w:r>
              <w:rPr>
                <w:sz w:val="17"/>
              </w:rPr>
              <w:t>4.6</w:t>
            </w:r>
          </w:p>
        </w:tc>
        <w:tc>
          <w:tcPr>
            <w:tcW w:w="702" w:type="dxa"/>
          </w:tcPr>
          <w:p w:rsidR="00000000" w:rsidRDefault="00000000">
            <w:pPr>
              <w:tabs>
                <w:tab w:val="left" w:pos="475"/>
                <w:tab w:val="left" w:pos="965"/>
                <w:tab w:val="left" w:pos="1440"/>
                <w:tab w:val="left" w:pos="1915"/>
                <w:tab w:val="left" w:pos="2405"/>
              </w:tabs>
              <w:spacing w:after="120"/>
              <w:jc w:val="right"/>
              <w:rPr>
                <w:sz w:val="17"/>
              </w:rPr>
            </w:pPr>
            <w:r>
              <w:rPr>
                <w:sz w:val="17"/>
              </w:rPr>
              <w:t>5.9</w:t>
            </w:r>
          </w:p>
        </w:tc>
        <w:tc>
          <w:tcPr>
            <w:tcW w:w="738" w:type="dxa"/>
          </w:tcPr>
          <w:p w:rsidR="00000000" w:rsidRDefault="00000000">
            <w:pPr>
              <w:tabs>
                <w:tab w:val="left" w:pos="475"/>
                <w:tab w:val="left" w:pos="965"/>
                <w:tab w:val="left" w:pos="1440"/>
                <w:tab w:val="left" w:pos="1915"/>
                <w:tab w:val="left" w:pos="2405"/>
              </w:tabs>
              <w:spacing w:after="120"/>
              <w:jc w:val="right"/>
              <w:rPr>
                <w:sz w:val="17"/>
              </w:rPr>
            </w:pPr>
            <w:r>
              <w:rPr>
                <w:sz w:val="17"/>
              </w:rPr>
              <w:t>8.2</w:t>
            </w:r>
          </w:p>
        </w:tc>
        <w:tc>
          <w:tcPr>
            <w:tcW w:w="720" w:type="dxa"/>
          </w:tcPr>
          <w:p w:rsidR="00000000" w:rsidRDefault="00000000">
            <w:pPr>
              <w:tabs>
                <w:tab w:val="left" w:pos="475"/>
                <w:tab w:val="left" w:pos="965"/>
                <w:tab w:val="left" w:pos="1440"/>
                <w:tab w:val="left" w:pos="1915"/>
                <w:tab w:val="left" w:pos="2405"/>
              </w:tabs>
              <w:spacing w:after="120"/>
              <w:jc w:val="right"/>
              <w:rPr>
                <w:sz w:val="17"/>
              </w:rPr>
            </w:pPr>
            <w:r>
              <w:rPr>
                <w:sz w:val="17"/>
              </w:rPr>
              <w:t>10.6</w:t>
            </w:r>
          </w:p>
        </w:tc>
        <w:tc>
          <w:tcPr>
            <w:tcW w:w="720" w:type="dxa"/>
          </w:tcPr>
          <w:p w:rsidR="00000000" w:rsidRDefault="00000000">
            <w:pPr>
              <w:tabs>
                <w:tab w:val="left" w:pos="475"/>
                <w:tab w:val="left" w:pos="965"/>
                <w:tab w:val="left" w:pos="1440"/>
                <w:tab w:val="left" w:pos="1915"/>
                <w:tab w:val="left" w:pos="2405"/>
              </w:tabs>
              <w:spacing w:after="120"/>
              <w:jc w:val="right"/>
              <w:rPr>
                <w:sz w:val="17"/>
              </w:rPr>
            </w:pPr>
            <w:r>
              <w:rPr>
                <w:sz w:val="17"/>
              </w:rPr>
              <w:t>9.5</w:t>
            </w:r>
          </w:p>
        </w:tc>
      </w:tr>
      <w:tr w:rsidR="00000000">
        <w:tblPrEx>
          <w:tblCellMar>
            <w:top w:w="0" w:type="dxa"/>
            <w:bottom w:w="0" w:type="dxa"/>
          </w:tblCellMar>
        </w:tblPrEx>
        <w:tc>
          <w:tcPr>
            <w:tcW w:w="3780" w:type="dxa"/>
            <w:tcBorders>
              <w:bottom w:val="single" w:sz="6" w:space="0" w:color="auto"/>
            </w:tcBorders>
          </w:tcPr>
          <w:p w:rsidR="00000000" w:rsidRDefault="00000000">
            <w:pPr>
              <w:tabs>
                <w:tab w:val="left" w:pos="475"/>
                <w:tab w:val="left" w:pos="965"/>
                <w:tab w:val="left" w:pos="1440"/>
                <w:tab w:val="left" w:pos="1915"/>
                <w:tab w:val="left" w:pos="2405"/>
              </w:tabs>
              <w:spacing w:after="120"/>
              <w:rPr>
                <w:sz w:val="17"/>
              </w:rPr>
            </w:pPr>
            <w:r>
              <w:rPr>
                <w:sz w:val="17"/>
              </w:rPr>
              <w:t>Bribery</w:t>
            </w:r>
          </w:p>
        </w:tc>
        <w:tc>
          <w:tcPr>
            <w:tcW w:w="783" w:type="dxa"/>
            <w:tcBorders>
              <w:bottom w:val="single" w:sz="6"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0.1</w:t>
            </w:r>
          </w:p>
        </w:tc>
        <w:tc>
          <w:tcPr>
            <w:tcW w:w="792" w:type="dxa"/>
            <w:tcBorders>
              <w:bottom w:val="single" w:sz="6"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0.1</w:t>
            </w:r>
          </w:p>
        </w:tc>
        <w:tc>
          <w:tcPr>
            <w:tcW w:w="765" w:type="dxa"/>
            <w:tcBorders>
              <w:bottom w:val="single" w:sz="6"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0.2</w:t>
            </w:r>
          </w:p>
        </w:tc>
        <w:tc>
          <w:tcPr>
            <w:tcW w:w="810" w:type="dxa"/>
            <w:tcBorders>
              <w:bottom w:val="single" w:sz="6"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0.2</w:t>
            </w:r>
          </w:p>
        </w:tc>
        <w:tc>
          <w:tcPr>
            <w:tcW w:w="702" w:type="dxa"/>
            <w:tcBorders>
              <w:bottom w:val="single" w:sz="6"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0.3</w:t>
            </w:r>
          </w:p>
        </w:tc>
        <w:tc>
          <w:tcPr>
            <w:tcW w:w="738" w:type="dxa"/>
            <w:tcBorders>
              <w:bottom w:val="single" w:sz="6"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0.3</w:t>
            </w:r>
          </w:p>
        </w:tc>
        <w:tc>
          <w:tcPr>
            <w:tcW w:w="720" w:type="dxa"/>
            <w:tcBorders>
              <w:bottom w:val="single" w:sz="6"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0.4</w:t>
            </w:r>
          </w:p>
        </w:tc>
        <w:tc>
          <w:tcPr>
            <w:tcW w:w="720" w:type="dxa"/>
            <w:tcBorders>
              <w:bottom w:val="single" w:sz="6"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0.3</w:t>
            </w:r>
          </w:p>
        </w:tc>
      </w:tr>
      <w:tr w:rsidR="00000000">
        <w:tblPrEx>
          <w:tblCellMar>
            <w:top w:w="0" w:type="dxa"/>
            <w:bottom w:w="0" w:type="dxa"/>
          </w:tblCellMar>
        </w:tblPrEx>
        <w:tc>
          <w:tcPr>
            <w:tcW w:w="3780" w:type="dxa"/>
            <w:tcBorders>
              <w:top w:val="single" w:sz="6" w:space="0" w:color="auto"/>
              <w:bottom w:val="single" w:sz="12" w:space="0" w:color="auto"/>
            </w:tcBorders>
          </w:tcPr>
          <w:p w:rsidR="00000000" w:rsidRDefault="00000000">
            <w:pPr>
              <w:tabs>
                <w:tab w:val="left" w:pos="475"/>
                <w:tab w:val="left" w:pos="965"/>
                <w:tab w:val="left" w:pos="1440"/>
                <w:tab w:val="left" w:pos="1915"/>
                <w:tab w:val="left" w:pos="2405"/>
              </w:tabs>
              <w:spacing w:after="120"/>
              <w:rPr>
                <w:b/>
                <w:sz w:val="17"/>
              </w:rPr>
            </w:pPr>
            <w:r>
              <w:rPr>
                <w:b/>
                <w:sz w:val="17"/>
              </w:rPr>
              <w:tab/>
              <w:t>Total</w:t>
            </w:r>
          </w:p>
        </w:tc>
        <w:tc>
          <w:tcPr>
            <w:tcW w:w="783" w:type="dxa"/>
            <w:tcBorders>
              <w:top w:val="single" w:sz="6"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b/>
                <w:sz w:val="17"/>
              </w:rPr>
            </w:pPr>
            <w:r>
              <w:rPr>
                <w:b/>
                <w:sz w:val="17"/>
              </w:rPr>
              <w:t>90.2</w:t>
            </w:r>
          </w:p>
        </w:tc>
        <w:tc>
          <w:tcPr>
            <w:tcW w:w="792" w:type="dxa"/>
            <w:tcBorders>
              <w:top w:val="single" w:sz="6"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b/>
                <w:sz w:val="17"/>
              </w:rPr>
            </w:pPr>
            <w:r>
              <w:rPr>
                <w:b/>
                <w:sz w:val="17"/>
              </w:rPr>
              <w:t>105.2</w:t>
            </w:r>
          </w:p>
        </w:tc>
        <w:tc>
          <w:tcPr>
            <w:tcW w:w="765" w:type="dxa"/>
            <w:tcBorders>
              <w:top w:val="single" w:sz="6"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b/>
                <w:sz w:val="17"/>
              </w:rPr>
            </w:pPr>
            <w:r>
              <w:rPr>
                <w:b/>
                <w:sz w:val="17"/>
              </w:rPr>
              <w:t>121.1</w:t>
            </w:r>
          </w:p>
        </w:tc>
        <w:tc>
          <w:tcPr>
            <w:tcW w:w="810" w:type="dxa"/>
            <w:tcBorders>
              <w:top w:val="single" w:sz="6"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b/>
                <w:sz w:val="17"/>
              </w:rPr>
            </w:pPr>
            <w:r>
              <w:rPr>
                <w:b/>
                <w:sz w:val="17"/>
              </w:rPr>
              <w:t>124.5</w:t>
            </w:r>
          </w:p>
        </w:tc>
        <w:tc>
          <w:tcPr>
            <w:tcW w:w="702" w:type="dxa"/>
            <w:tcBorders>
              <w:top w:val="single" w:sz="6"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b/>
                <w:sz w:val="17"/>
              </w:rPr>
            </w:pPr>
            <w:r>
              <w:rPr>
                <w:b/>
                <w:sz w:val="17"/>
              </w:rPr>
              <w:t>123.3</w:t>
            </w:r>
          </w:p>
        </w:tc>
        <w:tc>
          <w:tcPr>
            <w:tcW w:w="738" w:type="dxa"/>
            <w:tcBorders>
              <w:top w:val="single" w:sz="6"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b/>
                <w:sz w:val="17"/>
              </w:rPr>
            </w:pPr>
            <w:r>
              <w:rPr>
                <w:b/>
                <w:sz w:val="17"/>
              </w:rPr>
              <w:t>114.0</w:t>
            </w:r>
          </w:p>
        </w:tc>
        <w:tc>
          <w:tcPr>
            <w:tcW w:w="720" w:type="dxa"/>
            <w:tcBorders>
              <w:top w:val="single" w:sz="6"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b/>
                <w:sz w:val="17"/>
              </w:rPr>
            </w:pPr>
            <w:r>
              <w:rPr>
                <w:b/>
                <w:sz w:val="17"/>
              </w:rPr>
              <w:t>114.6</w:t>
            </w:r>
          </w:p>
        </w:tc>
        <w:tc>
          <w:tcPr>
            <w:tcW w:w="720" w:type="dxa"/>
            <w:tcBorders>
              <w:top w:val="single" w:sz="6"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b/>
                <w:sz w:val="17"/>
              </w:rPr>
            </w:pPr>
            <w:r>
              <w:rPr>
                <w:b/>
                <w:sz w:val="17"/>
              </w:rPr>
              <w:t>103.7</w:t>
            </w:r>
          </w:p>
        </w:tc>
      </w:tr>
    </w:tbl>
    <w:p w:rsidR="00000000" w:rsidRDefault="00000000">
      <w:pPr>
        <w:tabs>
          <w:tab w:val="left" w:pos="475"/>
          <w:tab w:val="left" w:pos="965"/>
          <w:tab w:val="left" w:pos="1440"/>
          <w:tab w:val="left" w:pos="1915"/>
          <w:tab w:val="left" w:pos="2405"/>
        </w:tabs>
        <w:spacing w:after="120"/>
        <w:jc w:val="both"/>
      </w:pPr>
    </w:p>
    <w:p w:rsidR="00000000" w:rsidRDefault="00000000">
      <w:pPr>
        <w:tabs>
          <w:tab w:val="left" w:pos="475"/>
          <w:tab w:val="left" w:pos="965"/>
          <w:tab w:val="left" w:pos="1440"/>
          <w:tab w:val="left" w:pos="1915"/>
          <w:tab w:val="left" w:pos="2405"/>
        </w:tabs>
        <w:spacing w:after="120"/>
        <w:jc w:val="both"/>
        <w:sectPr w:rsidR="00000000">
          <w:type w:val="continuous"/>
          <w:pgSz w:w="12240" w:h="15840"/>
          <w:pgMar w:top="1742" w:right="1195" w:bottom="1901" w:left="1195" w:header="576" w:footer="1037" w:gutter="0"/>
          <w:cols w:space="720"/>
          <w:docGrid w:linePitch="360"/>
        </w:sectPr>
      </w:pPr>
    </w:p>
    <w:p w:rsidR="00000000" w:rsidRDefault="00000000">
      <w:pPr>
        <w:pStyle w:val="Heading1"/>
        <w:suppressAutoHyphens/>
        <w:spacing w:after="120" w:line="240" w:lineRule="exact"/>
        <w:rPr>
          <w:lang w:val="en-GB"/>
        </w:rPr>
      </w:pPr>
      <w:r>
        <w:rPr>
          <w:lang w:val="en-GB"/>
        </w:rPr>
        <w:tab/>
        <w:t>Article 3</w:t>
      </w:r>
    </w:p>
    <w:p w:rsidR="00000000" w:rsidRDefault="00000000">
      <w:pPr>
        <w:tabs>
          <w:tab w:val="left" w:pos="475"/>
          <w:tab w:val="left" w:pos="965"/>
          <w:tab w:val="left" w:pos="1440"/>
          <w:tab w:val="left" w:pos="1915"/>
          <w:tab w:val="left" w:pos="2405"/>
        </w:tabs>
        <w:spacing w:after="120"/>
        <w:jc w:val="both"/>
      </w:pPr>
      <w:r>
        <w:rPr>
          <w:b/>
        </w:rPr>
        <w:tab/>
        <w:t xml:space="preserve">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 </w:t>
      </w:r>
    </w:p>
    <w:p w:rsidR="00000000" w:rsidRDefault="00000000">
      <w:pPr>
        <w:tabs>
          <w:tab w:val="left" w:pos="475"/>
          <w:tab w:val="left" w:pos="965"/>
          <w:tab w:val="left" w:pos="1440"/>
          <w:tab w:val="left" w:pos="1915"/>
          <w:tab w:val="left" w:pos="2405"/>
        </w:tabs>
        <w:spacing w:after="120"/>
        <w:jc w:val="both"/>
      </w:pPr>
      <w:r>
        <w:t>49.</w:t>
      </w:r>
      <w:r>
        <w:tab/>
        <w:t>The Constitution of the Republic of Kazakhstan guarantees equality before the law and prohibits discrimination on the basis of sex.</w:t>
      </w:r>
    </w:p>
    <w:p w:rsidR="00000000" w:rsidRDefault="00000000">
      <w:pPr>
        <w:tabs>
          <w:tab w:val="left" w:pos="475"/>
          <w:tab w:val="left" w:pos="965"/>
          <w:tab w:val="left" w:pos="1440"/>
          <w:tab w:val="left" w:pos="1915"/>
          <w:tab w:val="left" w:pos="2405"/>
        </w:tabs>
        <w:spacing w:after="120"/>
        <w:jc w:val="both"/>
      </w:pPr>
      <w:r>
        <w:tab/>
        <w:t>In addition, article 1 of the Constitution proclaims the highest values of the State: the individual person, his life, rights and freedoms; and article 12 of the Constitution guarantees human rights and freedoms, if their implementation does not violate the rights and freedoms of other persons and does not infringe the constitutional system or public morals.</w:t>
      </w:r>
    </w:p>
    <w:p w:rsidR="00000000" w:rsidRDefault="00000000">
      <w:pPr>
        <w:tabs>
          <w:tab w:val="left" w:pos="475"/>
          <w:tab w:val="left" w:pos="965"/>
          <w:tab w:val="left" w:pos="1440"/>
          <w:tab w:val="left" w:pos="1915"/>
          <w:tab w:val="left" w:pos="2405"/>
        </w:tabs>
        <w:spacing w:after="120"/>
        <w:jc w:val="both"/>
      </w:pPr>
      <w:r>
        <w:tab/>
        <w:t>Ministries and departments are currently considering Kazakhstan’s possible accession to such international treaties as the 1976 International Covenant on Civil and Political Rights and the 1976 International Covenant on Economic, Social and Cultural Rights, which provide for equal rights for men and women in the areas in question.</w:t>
      </w:r>
    </w:p>
    <w:p w:rsidR="00000000" w:rsidRDefault="00000000">
      <w:pPr>
        <w:pStyle w:val="D12r"/>
      </w:pPr>
    </w:p>
    <w:p w:rsidR="00000000" w:rsidRDefault="00000000">
      <w:pPr>
        <w:pStyle w:val="DH2"/>
        <w:ind w:left="475" w:hanging="475"/>
      </w:pPr>
      <w:r>
        <w:tab/>
        <w:t>Information and education programmes in the field of human rights</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50.</w:t>
      </w:r>
      <w:r>
        <w:tab/>
        <w:t>In Kazakhstan’s schools and higher education establishments, the State education standards provide for mandatory enrolment in the course “The Basis of the Law”, which furnishes information on protecting the rights of women in all areas of social life.</w:t>
      </w:r>
    </w:p>
    <w:p w:rsidR="00000000" w:rsidRDefault="00000000">
      <w:pPr>
        <w:tabs>
          <w:tab w:val="left" w:pos="475"/>
          <w:tab w:val="left" w:pos="965"/>
          <w:tab w:val="left" w:pos="1440"/>
          <w:tab w:val="left" w:pos="1915"/>
          <w:tab w:val="left" w:pos="2405"/>
        </w:tabs>
        <w:spacing w:after="120"/>
        <w:jc w:val="both"/>
      </w:pPr>
      <w:r>
        <w:tab/>
        <w:t>Some State institutions have special programmes on human rights. In particular, the Migration and Demography Agency has developed a plan for education and training measures related to the observance of human rights, taking into account the gender factor for employees dealing with migration and refugee problems, and conducts seminars on an ongoing basis.</w:t>
      </w:r>
    </w:p>
    <w:p w:rsidR="00000000" w:rsidRDefault="00000000">
      <w:pPr>
        <w:tabs>
          <w:tab w:val="left" w:pos="475"/>
          <w:tab w:val="left" w:pos="965"/>
          <w:tab w:val="left" w:pos="1440"/>
          <w:tab w:val="left" w:pos="1915"/>
          <w:tab w:val="left" w:pos="2405"/>
        </w:tabs>
        <w:spacing w:after="120"/>
        <w:jc w:val="both"/>
      </w:pPr>
      <w:r>
        <w:tab/>
        <w:t>Most of the other State structures have not yet considered the need to introduce educational and training programmes that take the gender factor into consideration.</w:t>
      </w:r>
    </w:p>
    <w:p w:rsidR="00000000" w:rsidRDefault="00000000">
      <w:pPr>
        <w:pStyle w:val="D12r"/>
      </w:pPr>
    </w:p>
    <w:p w:rsidR="00000000" w:rsidRDefault="00000000">
      <w:pPr>
        <w:pStyle w:val="DH2"/>
      </w:pPr>
      <w:r>
        <w:tab/>
        <w:t>Disabled women</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51.</w:t>
      </w:r>
      <w:r>
        <w:tab/>
        <w:t>The rights of disabled persons are guaranteed under the Law of the Republic of Kazakhstan of 21 June 1991 on social protection of the disabled in the Republic of Kazakhstan, which ensures the creation of social, economic, legal and organizational conditions for providing equal opportunities for the disabled. The legislation also sets forth specific norms governing the rights and benefits of disabled soldiers from the Second World War and the war in Afghanistan, persons disabled as a result of the measures to eliminate the consequences of the Chernobyl nuclear power-station accident and of the ecological crises in the Aral and Semipalatinsk regions, as well as congenitally disabled persons.</w:t>
      </w:r>
    </w:p>
    <w:p w:rsidR="00000000" w:rsidRDefault="00000000">
      <w:pPr>
        <w:tabs>
          <w:tab w:val="left" w:pos="475"/>
          <w:tab w:val="left" w:pos="965"/>
          <w:tab w:val="left" w:pos="1440"/>
          <w:tab w:val="left" w:pos="1915"/>
          <w:tab w:val="left" w:pos="2405"/>
        </w:tabs>
        <w:spacing w:after="120"/>
        <w:jc w:val="both"/>
      </w:pPr>
      <w:r>
        <w:tab/>
        <w:t>Some organizations for the disabled, including the non-governmental organization for disabled mothers, Bibi-Ana, enjoy tax exemptions.</w:t>
      </w:r>
    </w:p>
    <w:p w:rsidR="00000000" w:rsidRDefault="00000000">
      <w:pPr>
        <w:tabs>
          <w:tab w:val="left" w:pos="475"/>
          <w:tab w:val="left" w:pos="965"/>
          <w:tab w:val="left" w:pos="1440"/>
          <w:tab w:val="left" w:pos="1915"/>
          <w:tab w:val="left" w:pos="2405"/>
        </w:tabs>
        <w:spacing w:after="120"/>
        <w:jc w:val="both"/>
      </w:pPr>
      <w:r>
        <w:tab/>
        <w:t>In other respects, Kazakhstan’s legislation considers the problems of the disabled, including women, on a general basis. There are no mandatory standards relating to disabled persons in the areas of construction, health care, education, information and so forth.</w:t>
      </w:r>
    </w:p>
    <w:p w:rsidR="00000000" w:rsidRDefault="00000000">
      <w:pPr>
        <w:tabs>
          <w:tab w:val="left" w:pos="475"/>
          <w:tab w:val="left" w:pos="965"/>
          <w:tab w:val="left" w:pos="1440"/>
          <w:tab w:val="left" w:pos="1915"/>
          <w:tab w:val="left" w:pos="2405"/>
        </w:tabs>
        <w:spacing w:after="120"/>
        <w:jc w:val="both"/>
      </w:pPr>
      <w:r>
        <w:tab/>
        <w:t>However, non-governmental organizations of disabled persons, including women, maintain a rather high level of activity.</w:t>
      </w:r>
    </w:p>
    <w:p w:rsidR="00000000" w:rsidRDefault="00000000">
      <w:pPr>
        <w:pStyle w:val="D12r"/>
      </w:pPr>
    </w:p>
    <w:p w:rsidR="00000000" w:rsidRDefault="00000000">
      <w:pPr>
        <w:pStyle w:val="DH2"/>
      </w:pPr>
      <w:r>
        <w:tab/>
        <w:t>Lesbians</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52.</w:t>
      </w:r>
      <w:r>
        <w:tab/>
        <w:t>Prior to 1 January 1998, the concept “lesbianism” was not included in Kazakhstan’s legislation. The new Criminal Code, in effect since 1 January 1998, having abolished the penalty for sodomy (imprisonment for up to 3 years), at the same time introduced a new article 121 on forced acts of a sexual nature, which establishes the punishment for sodomy, lesbianism and other sexual acts involving the use of force or the threat of its use as imprisonment for 3 to 6 years.</w:t>
      </w:r>
    </w:p>
    <w:p w:rsidR="00000000" w:rsidRDefault="00000000">
      <w:pPr>
        <w:tabs>
          <w:tab w:val="left" w:pos="475"/>
          <w:tab w:val="left" w:pos="965"/>
          <w:tab w:val="left" w:pos="1440"/>
          <w:tab w:val="left" w:pos="1915"/>
          <w:tab w:val="left" w:pos="2405"/>
        </w:tabs>
        <w:spacing w:after="120"/>
        <w:jc w:val="both"/>
      </w:pPr>
      <w:r>
        <w:tab/>
        <w:t>At the same time, two new articles on sexual intercourse and other sexual acts with persons under 16 years of age (article 122) and on coercion for the purpose of sexual intercourse, sodomy, lesbianism or other sexual acts (article 123), which also established, on an equal basis, the punishment for coercion for the purpose of sodomy and lesbianism, were introduced.</w:t>
      </w:r>
    </w:p>
    <w:p w:rsidR="00000000" w:rsidRDefault="00000000">
      <w:pPr>
        <w:pStyle w:val="D12r"/>
      </w:pPr>
    </w:p>
    <w:p w:rsidR="00000000" w:rsidRDefault="00000000">
      <w:pPr>
        <w:pStyle w:val="DH2"/>
        <w:ind w:left="475" w:hanging="475"/>
      </w:pPr>
      <w:r>
        <w:tab/>
        <w:t>Equality of rights in the field of science and culture</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ab/>
        <w:t>Article 20 of the Constitution of 30 August 1995 guarantees freedom of speech and creativity.</w:t>
      </w:r>
    </w:p>
    <w:p w:rsidR="00000000" w:rsidRDefault="00000000">
      <w:pPr>
        <w:tabs>
          <w:tab w:val="left" w:pos="475"/>
          <w:tab w:val="left" w:pos="965"/>
          <w:tab w:val="left" w:pos="1440"/>
          <w:tab w:val="left" w:pos="1915"/>
          <w:tab w:val="left" w:pos="2405"/>
        </w:tabs>
        <w:spacing w:after="120"/>
        <w:jc w:val="both"/>
      </w:pPr>
      <w:r>
        <w:tab/>
        <w:t>Taking into account the higher level of education among women than among men in Kazakhstan, it can be stated with confidence that the basic opportunities for all-round cultural development are greater for women than for men. This is reflected in the fields of employment that are directly or indirectly connected with culture, where women represent the overwhelming majority.</w:t>
      </w:r>
    </w:p>
    <w:p w:rsidR="00000000" w:rsidRDefault="00000000">
      <w:pPr>
        <w:pStyle w:val="D12r"/>
      </w:pPr>
    </w:p>
    <w:p w:rsidR="00000000" w:rsidRDefault="00000000">
      <w:pPr>
        <w:pStyle w:val="DH2"/>
        <w:tabs>
          <w:tab w:val="clear" w:pos="475"/>
          <w:tab w:val="left" w:pos="0"/>
        </w:tabs>
      </w:pPr>
      <w:r>
        <w:t>Percentage of women among the overall number of workers and employees</w:t>
      </w:r>
    </w:p>
    <w:p w:rsidR="00000000" w:rsidRDefault="00000000">
      <w:pPr>
        <w:pStyle w:val="D12r"/>
      </w:pPr>
    </w:p>
    <w:tbl>
      <w:tblPr>
        <w:tblW w:w="0" w:type="auto"/>
        <w:tblInd w:w="2" w:type="dxa"/>
        <w:tblLayout w:type="fixed"/>
        <w:tblLook w:val="0000" w:firstRow="0" w:lastRow="0" w:firstColumn="0" w:lastColumn="0" w:noHBand="0" w:noVBand="0"/>
      </w:tblPr>
      <w:tblGrid>
        <w:gridCol w:w="2151"/>
        <w:gridCol w:w="549"/>
        <w:gridCol w:w="540"/>
        <w:gridCol w:w="540"/>
        <w:gridCol w:w="540"/>
        <w:gridCol w:w="590"/>
      </w:tblGrid>
      <w:tr w:rsidR="00000000">
        <w:tblPrEx>
          <w:tblCellMar>
            <w:top w:w="0" w:type="dxa"/>
            <w:bottom w:w="0" w:type="dxa"/>
          </w:tblCellMar>
        </w:tblPrEx>
        <w:tc>
          <w:tcPr>
            <w:tcW w:w="2151"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rPr>
                <w:i/>
                <w:sz w:val="14"/>
              </w:rPr>
            </w:pPr>
            <w:r>
              <w:rPr>
                <w:i/>
                <w:sz w:val="14"/>
              </w:rPr>
              <w:t>Sphere of activity</w:t>
            </w:r>
          </w:p>
        </w:tc>
        <w:tc>
          <w:tcPr>
            <w:tcW w:w="549"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i/>
                <w:sz w:val="14"/>
              </w:rPr>
            </w:pPr>
            <w:r>
              <w:rPr>
                <w:i/>
                <w:sz w:val="14"/>
              </w:rPr>
              <w:t>1993</w:t>
            </w:r>
          </w:p>
        </w:tc>
        <w:tc>
          <w:tcPr>
            <w:tcW w:w="540"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i/>
                <w:sz w:val="14"/>
              </w:rPr>
            </w:pPr>
            <w:r>
              <w:rPr>
                <w:i/>
                <w:sz w:val="14"/>
              </w:rPr>
              <w:t>1994</w:t>
            </w:r>
          </w:p>
        </w:tc>
        <w:tc>
          <w:tcPr>
            <w:tcW w:w="540"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i/>
                <w:sz w:val="14"/>
              </w:rPr>
            </w:pPr>
            <w:r>
              <w:rPr>
                <w:i/>
                <w:sz w:val="14"/>
              </w:rPr>
              <w:t>1995</w:t>
            </w:r>
          </w:p>
        </w:tc>
        <w:tc>
          <w:tcPr>
            <w:tcW w:w="540"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i/>
                <w:sz w:val="14"/>
              </w:rPr>
            </w:pPr>
            <w:r>
              <w:rPr>
                <w:i/>
                <w:sz w:val="14"/>
              </w:rPr>
              <w:t>1996</w:t>
            </w:r>
          </w:p>
        </w:tc>
        <w:tc>
          <w:tcPr>
            <w:tcW w:w="590"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jc w:val="right"/>
              <w:rPr>
                <w:i/>
                <w:sz w:val="14"/>
              </w:rPr>
            </w:pPr>
            <w:r>
              <w:rPr>
                <w:i/>
                <w:sz w:val="14"/>
              </w:rPr>
              <w:t>1997</w:t>
            </w:r>
          </w:p>
        </w:tc>
      </w:tr>
      <w:tr w:rsidR="00000000">
        <w:tblPrEx>
          <w:tblCellMar>
            <w:top w:w="0" w:type="dxa"/>
            <w:bottom w:w="0" w:type="dxa"/>
          </w:tblCellMar>
        </w:tblPrEx>
        <w:tc>
          <w:tcPr>
            <w:tcW w:w="2151" w:type="dxa"/>
            <w:tcBorders>
              <w:top w:val="single" w:sz="12" w:space="0" w:color="auto"/>
            </w:tcBorders>
          </w:tcPr>
          <w:p w:rsidR="00000000" w:rsidRDefault="00000000">
            <w:pPr>
              <w:pStyle w:val="Header"/>
              <w:tabs>
                <w:tab w:val="clear" w:pos="4320"/>
                <w:tab w:val="clear" w:pos="8640"/>
                <w:tab w:val="left" w:pos="475"/>
                <w:tab w:val="left" w:pos="965"/>
                <w:tab w:val="left" w:pos="1440"/>
                <w:tab w:val="left" w:pos="1915"/>
                <w:tab w:val="left" w:pos="2405"/>
              </w:tabs>
              <w:suppressAutoHyphens/>
              <w:spacing w:after="120" w:line="240" w:lineRule="exact"/>
              <w:rPr>
                <w:noProof w:val="0"/>
                <w:spacing w:val="4"/>
                <w:w w:val="103"/>
                <w:kern w:val="14"/>
                <w:lang w:val="en-GB"/>
              </w:rPr>
            </w:pPr>
            <w:r>
              <w:rPr>
                <w:noProof w:val="0"/>
                <w:spacing w:val="4"/>
                <w:w w:val="103"/>
                <w:kern w:val="14"/>
                <w:lang w:val="en-GB"/>
              </w:rPr>
              <w:t>Education</w:t>
            </w:r>
          </w:p>
        </w:tc>
        <w:tc>
          <w:tcPr>
            <w:tcW w:w="549"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70.5</w:t>
            </w:r>
          </w:p>
        </w:tc>
        <w:tc>
          <w:tcPr>
            <w:tcW w:w="540"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75.8</w:t>
            </w:r>
          </w:p>
        </w:tc>
        <w:tc>
          <w:tcPr>
            <w:tcW w:w="540"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74.7</w:t>
            </w:r>
          </w:p>
        </w:tc>
        <w:tc>
          <w:tcPr>
            <w:tcW w:w="540"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75.9</w:t>
            </w:r>
          </w:p>
        </w:tc>
        <w:tc>
          <w:tcPr>
            <w:tcW w:w="590"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76.6</w:t>
            </w:r>
          </w:p>
        </w:tc>
      </w:tr>
      <w:tr w:rsidR="00000000">
        <w:tblPrEx>
          <w:tblCellMar>
            <w:top w:w="0" w:type="dxa"/>
            <w:bottom w:w="0" w:type="dxa"/>
          </w:tblCellMar>
        </w:tblPrEx>
        <w:tc>
          <w:tcPr>
            <w:tcW w:w="2151" w:type="dxa"/>
          </w:tcPr>
          <w:p w:rsidR="00000000" w:rsidRDefault="00000000">
            <w:pPr>
              <w:tabs>
                <w:tab w:val="left" w:pos="475"/>
                <w:tab w:val="left" w:pos="965"/>
                <w:tab w:val="left" w:pos="1440"/>
                <w:tab w:val="left" w:pos="1915"/>
                <w:tab w:val="left" w:pos="2405"/>
              </w:tabs>
              <w:spacing w:after="120"/>
              <w:rPr>
                <w:sz w:val="17"/>
              </w:rPr>
            </w:pPr>
            <w:r>
              <w:rPr>
                <w:sz w:val="17"/>
              </w:rPr>
              <w:t>Culture and art</w:t>
            </w:r>
          </w:p>
        </w:tc>
        <w:tc>
          <w:tcPr>
            <w:tcW w:w="549" w:type="dxa"/>
          </w:tcPr>
          <w:p w:rsidR="00000000" w:rsidRDefault="00000000">
            <w:pPr>
              <w:tabs>
                <w:tab w:val="left" w:pos="475"/>
                <w:tab w:val="left" w:pos="965"/>
                <w:tab w:val="left" w:pos="1440"/>
                <w:tab w:val="left" w:pos="1915"/>
                <w:tab w:val="left" w:pos="2405"/>
              </w:tabs>
              <w:spacing w:after="120"/>
              <w:jc w:val="right"/>
              <w:rPr>
                <w:sz w:val="17"/>
              </w:rPr>
            </w:pPr>
            <w:r>
              <w:rPr>
                <w:sz w:val="17"/>
              </w:rPr>
              <w:t>63.1</w:t>
            </w:r>
          </w:p>
        </w:tc>
        <w:tc>
          <w:tcPr>
            <w:tcW w:w="540" w:type="dxa"/>
          </w:tcPr>
          <w:p w:rsidR="00000000" w:rsidRDefault="00000000">
            <w:pPr>
              <w:tabs>
                <w:tab w:val="left" w:pos="475"/>
                <w:tab w:val="left" w:pos="965"/>
                <w:tab w:val="left" w:pos="1440"/>
                <w:tab w:val="left" w:pos="1915"/>
                <w:tab w:val="left" w:pos="2405"/>
              </w:tabs>
              <w:spacing w:after="120"/>
              <w:jc w:val="right"/>
              <w:rPr>
                <w:sz w:val="17"/>
              </w:rPr>
            </w:pPr>
            <w:r>
              <w:rPr>
                <w:sz w:val="17"/>
              </w:rPr>
              <w:t>68.1</w:t>
            </w:r>
          </w:p>
        </w:tc>
        <w:tc>
          <w:tcPr>
            <w:tcW w:w="540" w:type="dxa"/>
          </w:tcPr>
          <w:p w:rsidR="00000000" w:rsidRDefault="00000000">
            <w:pPr>
              <w:tabs>
                <w:tab w:val="left" w:pos="475"/>
                <w:tab w:val="left" w:pos="965"/>
                <w:tab w:val="left" w:pos="1440"/>
                <w:tab w:val="left" w:pos="1915"/>
                <w:tab w:val="left" w:pos="2405"/>
              </w:tabs>
              <w:spacing w:after="120"/>
              <w:jc w:val="right"/>
              <w:rPr>
                <w:sz w:val="17"/>
              </w:rPr>
            </w:pPr>
            <w:r>
              <w:rPr>
                <w:sz w:val="17"/>
              </w:rPr>
              <w:t>68.2</w:t>
            </w:r>
          </w:p>
        </w:tc>
        <w:tc>
          <w:tcPr>
            <w:tcW w:w="540" w:type="dxa"/>
          </w:tcPr>
          <w:p w:rsidR="00000000" w:rsidRDefault="00000000">
            <w:pPr>
              <w:tabs>
                <w:tab w:val="left" w:pos="475"/>
                <w:tab w:val="left" w:pos="965"/>
                <w:tab w:val="left" w:pos="1440"/>
                <w:tab w:val="left" w:pos="1915"/>
                <w:tab w:val="left" w:pos="2405"/>
              </w:tabs>
              <w:spacing w:after="120"/>
              <w:jc w:val="right"/>
              <w:rPr>
                <w:sz w:val="17"/>
              </w:rPr>
            </w:pPr>
            <w:r>
              <w:rPr>
                <w:sz w:val="17"/>
              </w:rPr>
              <w:t>67.5</w:t>
            </w:r>
          </w:p>
        </w:tc>
        <w:tc>
          <w:tcPr>
            <w:tcW w:w="590" w:type="dxa"/>
          </w:tcPr>
          <w:p w:rsidR="00000000" w:rsidRDefault="00000000">
            <w:pPr>
              <w:tabs>
                <w:tab w:val="left" w:pos="475"/>
                <w:tab w:val="left" w:pos="965"/>
                <w:tab w:val="left" w:pos="1440"/>
                <w:tab w:val="left" w:pos="1915"/>
                <w:tab w:val="left" w:pos="2405"/>
              </w:tabs>
              <w:spacing w:after="120"/>
              <w:jc w:val="right"/>
              <w:rPr>
                <w:sz w:val="17"/>
              </w:rPr>
            </w:pPr>
            <w:r>
              <w:rPr>
                <w:sz w:val="17"/>
              </w:rPr>
              <w:t>66.3</w:t>
            </w:r>
          </w:p>
        </w:tc>
      </w:tr>
      <w:tr w:rsidR="00000000">
        <w:tblPrEx>
          <w:tblCellMar>
            <w:top w:w="0" w:type="dxa"/>
            <w:bottom w:w="0" w:type="dxa"/>
          </w:tblCellMar>
        </w:tblPrEx>
        <w:tc>
          <w:tcPr>
            <w:tcW w:w="2151" w:type="dxa"/>
            <w:tcBorders>
              <w:bottom w:val="single" w:sz="12" w:space="0" w:color="auto"/>
            </w:tcBorders>
          </w:tcPr>
          <w:p w:rsidR="00000000" w:rsidRDefault="00000000">
            <w:pPr>
              <w:tabs>
                <w:tab w:val="left" w:pos="475"/>
                <w:tab w:val="left" w:pos="965"/>
                <w:tab w:val="left" w:pos="1440"/>
                <w:tab w:val="left" w:pos="1915"/>
                <w:tab w:val="left" w:pos="2405"/>
              </w:tabs>
              <w:spacing w:after="120"/>
              <w:rPr>
                <w:sz w:val="17"/>
              </w:rPr>
            </w:pPr>
            <w:r>
              <w:rPr>
                <w:sz w:val="17"/>
              </w:rPr>
              <w:t>Science and research</w:t>
            </w:r>
          </w:p>
        </w:tc>
        <w:tc>
          <w:tcPr>
            <w:tcW w:w="549" w:type="dxa"/>
            <w:tcBorders>
              <w:bottom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44.6</w:t>
            </w:r>
          </w:p>
        </w:tc>
        <w:tc>
          <w:tcPr>
            <w:tcW w:w="540" w:type="dxa"/>
            <w:tcBorders>
              <w:bottom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53.8</w:t>
            </w:r>
          </w:p>
        </w:tc>
        <w:tc>
          <w:tcPr>
            <w:tcW w:w="540" w:type="dxa"/>
            <w:tcBorders>
              <w:bottom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55.5</w:t>
            </w:r>
          </w:p>
        </w:tc>
        <w:tc>
          <w:tcPr>
            <w:tcW w:w="540" w:type="dxa"/>
            <w:tcBorders>
              <w:bottom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54.7</w:t>
            </w:r>
          </w:p>
        </w:tc>
        <w:tc>
          <w:tcPr>
            <w:tcW w:w="590" w:type="dxa"/>
            <w:tcBorders>
              <w:bottom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54.2</w:t>
            </w:r>
          </w:p>
        </w:tc>
      </w:tr>
    </w:tbl>
    <w:p w:rsidR="00000000" w:rsidRDefault="00000000">
      <w:pPr>
        <w:pStyle w:val="D12r"/>
      </w:pP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ab/>
        <w:t>Nevertheless, the opportunities for women to implement their rights with regard to culture are steadily declining. There are two reasons for this.</w:t>
      </w:r>
    </w:p>
    <w:p w:rsidR="00000000" w:rsidRDefault="00000000">
      <w:pPr>
        <w:tabs>
          <w:tab w:val="left" w:pos="475"/>
          <w:tab w:val="left" w:pos="965"/>
          <w:tab w:val="left" w:pos="1440"/>
          <w:tab w:val="left" w:pos="1915"/>
          <w:tab w:val="left" w:pos="2405"/>
        </w:tabs>
        <w:spacing w:after="120"/>
        <w:jc w:val="both"/>
      </w:pPr>
      <w:r>
        <w:tab/>
        <w:t>The first is the general economic recession, which also affects the field of culture.</w:t>
      </w:r>
    </w:p>
    <w:p w:rsidR="00000000" w:rsidRDefault="00000000">
      <w:pPr>
        <w:tabs>
          <w:tab w:val="left" w:pos="475"/>
          <w:tab w:val="left" w:pos="965"/>
          <w:tab w:val="left" w:pos="1440"/>
          <w:tab w:val="left" w:pos="1915"/>
          <w:tab w:val="left" w:pos="2405"/>
        </w:tabs>
        <w:spacing w:after="120"/>
        <w:jc w:val="both"/>
      </w:pPr>
      <w:r>
        <w:tab/>
        <w:t>Accordingly, the number of cinemas decreased from 8,313 in 1991 to 1,129 in 1997 and public libraries from 9,541 in 1991 to 3,260 in 1997, the number of theatregoers from 4 million in 1991 to 1.4 million in 1997 and museum visitors from 3.7 million in 1991 to 1.7 million in 1997, and the number of titles of children’s books published from 112 in 1991 to 16 in 1997.</w:t>
      </w:r>
    </w:p>
    <w:p w:rsidR="00000000" w:rsidRDefault="00000000">
      <w:pPr>
        <w:tabs>
          <w:tab w:val="left" w:pos="475"/>
          <w:tab w:val="left" w:pos="965"/>
          <w:tab w:val="left" w:pos="1440"/>
          <w:tab w:val="left" w:pos="1915"/>
          <w:tab w:val="left" w:pos="2405"/>
        </w:tabs>
        <w:spacing w:after="120"/>
        <w:jc w:val="both"/>
      </w:pPr>
      <w:r>
        <w:tab/>
        <w:t>The second reason is the continuing exclusion of women from the fields of science and agriculture, particularly at the most prestigious levels.</w:t>
      </w:r>
    </w:p>
    <w:p w:rsidR="00000000" w:rsidRDefault="00000000">
      <w:pPr>
        <w:tabs>
          <w:tab w:val="left" w:pos="475"/>
          <w:tab w:val="left" w:pos="965"/>
          <w:tab w:val="left" w:pos="1440"/>
          <w:tab w:val="left" w:pos="1915"/>
          <w:tab w:val="left" w:pos="2405"/>
        </w:tabs>
        <w:spacing w:after="120"/>
        <w:jc w:val="both"/>
      </w:pPr>
      <w:r>
        <w:tab/>
        <w:t>Women in the field of culture, as in other areas of employment, as a rule, are not allowed above a certain level.</w:t>
      </w:r>
    </w:p>
    <w:p w:rsidR="00000000" w:rsidRDefault="00000000">
      <w:pPr>
        <w:tabs>
          <w:tab w:val="left" w:pos="475"/>
          <w:tab w:val="left" w:pos="965"/>
          <w:tab w:val="left" w:pos="1440"/>
          <w:tab w:val="left" w:pos="1915"/>
          <w:tab w:val="left" w:pos="2405"/>
        </w:tabs>
        <w:spacing w:after="120"/>
        <w:jc w:val="both"/>
      </w:pPr>
      <w:r>
        <w:tab/>
        <w:t>The presidents of all the unions of creative artists are men.</w:t>
      </w:r>
    </w:p>
    <w:p w:rsidR="00000000" w:rsidRDefault="00000000">
      <w:pPr>
        <w:tabs>
          <w:tab w:val="left" w:pos="475"/>
          <w:tab w:val="left" w:pos="965"/>
          <w:tab w:val="left" w:pos="1440"/>
          <w:tab w:val="left" w:pos="1915"/>
          <w:tab w:val="left" w:pos="2405"/>
        </w:tabs>
        <w:spacing w:after="120"/>
        <w:jc w:val="both"/>
      </w:pPr>
      <w:r>
        <w:tab/>
        <w:t>State prizes are awarded primarily to men.</w:t>
      </w:r>
    </w:p>
    <w:p w:rsidR="00000000" w:rsidRDefault="00000000">
      <w:pPr>
        <w:tabs>
          <w:tab w:val="left" w:pos="475"/>
          <w:tab w:val="left" w:pos="965"/>
          <w:tab w:val="left" w:pos="1440"/>
          <w:tab w:val="left" w:pos="1915"/>
          <w:tab w:val="left" w:pos="2405"/>
        </w:tabs>
        <w:spacing w:after="120"/>
        <w:jc w:val="both"/>
      </w:pPr>
      <w:r>
        <w:tab/>
        <w:t>Thus, only one woman (from among 12 prize recipients) received a State prize in the area of culture in 1996, and one woman (out of 5 recipients) in 1998.</w:t>
      </w:r>
    </w:p>
    <w:p w:rsidR="00000000" w:rsidRDefault="00000000">
      <w:pPr>
        <w:tabs>
          <w:tab w:val="left" w:pos="475"/>
          <w:tab w:val="left" w:pos="965"/>
          <w:tab w:val="left" w:pos="1440"/>
          <w:tab w:val="left" w:pos="1915"/>
          <w:tab w:val="left" w:pos="2405"/>
        </w:tabs>
        <w:spacing w:after="120"/>
        <w:jc w:val="both"/>
      </w:pPr>
      <w:r>
        <w:tab/>
        <w:t>Only two women (from among eight prize recipients) were awarded the State “Daryn” youth prize in 1996, and two women (out of 15 recipients) in 1998.</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rPr>
          <w:b/>
        </w:rPr>
      </w:pPr>
      <w:r>
        <w:rPr>
          <w:b/>
        </w:rPr>
        <w:tab/>
        <w:t>Article 4</w:t>
      </w:r>
    </w:p>
    <w:p w:rsidR="00000000" w:rsidRDefault="00000000">
      <w:pPr>
        <w:tabs>
          <w:tab w:val="left" w:pos="475"/>
          <w:tab w:val="left" w:pos="965"/>
          <w:tab w:val="left" w:pos="1440"/>
          <w:tab w:val="left" w:pos="1915"/>
          <w:tab w:val="left" w:pos="2405"/>
        </w:tabs>
        <w:spacing w:after="120"/>
        <w:jc w:val="both"/>
        <w:rPr>
          <w:b/>
        </w:rPr>
      </w:pPr>
      <w:r>
        <w:rPr>
          <w:b/>
        </w:rPr>
        <w:t>1.</w:t>
      </w:r>
      <w:r>
        <w:rPr>
          <w:b/>
        </w:rPr>
        <w:tab/>
        <w:t>Adoption by States Parties of temporary special measures aimed at accelerating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w:t>
      </w:r>
    </w:p>
    <w:p w:rsidR="00000000" w:rsidRDefault="00000000">
      <w:pPr>
        <w:pStyle w:val="BodyText3"/>
      </w:pPr>
      <w:r>
        <w:t>2.</w:t>
      </w:r>
      <w:r>
        <w:tab/>
        <w:t>Adoption by States Parties of special measures, including those measures contained in the present Convention, aimed at protecting maternity shall not be considered discriminatory.</w:t>
      </w:r>
    </w:p>
    <w:p w:rsidR="00000000" w:rsidRDefault="00000000">
      <w:pPr>
        <w:tabs>
          <w:tab w:val="left" w:pos="475"/>
          <w:tab w:val="left" w:pos="965"/>
          <w:tab w:val="left" w:pos="1440"/>
          <w:tab w:val="left" w:pos="1915"/>
          <w:tab w:val="left" w:pos="2405"/>
        </w:tabs>
        <w:spacing w:after="120"/>
        <w:jc w:val="both"/>
      </w:pPr>
      <w:r>
        <w:t>53.</w:t>
      </w:r>
      <w:r>
        <w:tab/>
        <w:t>In Kazakhstan there are no special measures aimed at accelerating de facto equality between men and women. It is considered that the constitutional guarantees ensuring equal rights fully suffice. The commentary to article 7 of the Convention is more detailed in this regard.</w:t>
      </w:r>
    </w:p>
    <w:p w:rsidR="00000000" w:rsidRDefault="00000000">
      <w:pPr>
        <w:tabs>
          <w:tab w:val="left" w:pos="475"/>
          <w:tab w:val="left" w:pos="965"/>
          <w:tab w:val="left" w:pos="1440"/>
          <w:tab w:val="left" w:pos="1915"/>
          <w:tab w:val="left" w:pos="2405"/>
        </w:tabs>
        <w:spacing w:after="120"/>
        <w:jc w:val="both"/>
      </w:pPr>
      <w:r>
        <w:tab/>
        <w:t>Nevertheless, the representation of women at all levels of power is extremely low.</w:t>
      </w:r>
    </w:p>
    <w:p w:rsidR="00000000" w:rsidRDefault="00000000">
      <w:pPr>
        <w:tabs>
          <w:tab w:val="left" w:pos="475"/>
          <w:tab w:val="left" w:pos="965"/>
          <w:tab w:val="left" w:pos="1440"/>
          <w:tab w:val="left" w:pos="1915"/>
          <w:tab w:val="left" w:pos="2405"/>
        </w:tabs>
        <w:spacing w:after="120"/>
        <w:jc w:val="both"/>
      </w:pPr>
      <w:r>
        <w:tab/>
        <w:t>Given the clear predominance of women specialists with higher and secondary-level education, their presence among the managers of organizations is insignificant and represents approximately 7 per cent.</w:t>
      </w:r>
    </w:p>
    <w:p w:rsidR="00000000" w:rsidRDefault="00000000">
      <w:pPr>
        <w:tabs>
          <w:tab w:val="left" w:pos="475"/>
          <w:tab w:val="left" w:pos="965"/>
          <w:tab w:val="left" w:pos="1440"/>
          <w:tab w:val="left" w:pos="1915"/>
          <w:tab w:val="left" w:pos="2405"/>
        </w:tabs>
        <w:spacing w:after="120"/>
        <w:jc w:val="both"/>
      </w:pPr>
      <w:r>
        <w:t>54.</w:t>
      </w:r>
      <w:r>
        <w:tab/>
        <w:t>There is no single State policy for achieving equal representation in appointed and elected posts; each State body deals with this matter autonomously.</w:t>
      </w:r>
    </w:p>
    <w:p w:rsidR="00000000" w:rsidRDefault="00000000">
      <w:pPr>
        <w:tabs>
          <w:tab w:val="left" w:pos="475"/>
          <w:tab w:val="left" w:pos="965"/>
          <w:tab w:val="left" w:pos="1440"/>
          <w:tab w:val="left" w:pos="1915"/>
          <w:tab w:val="left" w:pos="2405"/>
        </w:tabs>
        <w:spacing w:after="120"/>
        <w:jc w:val="both"/>
      </w:pPr>
      <w:r>
        <w:tab/>
        <w:t>Of the seven deputies to the Senate of the first convocation of Parliament (1995-1999) whom he appoints in accordance with the Constitution, the President of the Republic appointed four women. A further four women were elected to the Senate and nine to the Majilis (lower chamber) of the Parliament, which represents 14.9 per cent. Of them, eight are in the Senate (18.18 per cent) and nine in the Majilis (13.43 per cent).</w:t>
      </w:r>
    </w:p>
    <w:p w:rsidR="00000000" w:rsidRDefault="00000000">
      <w:pPr>
        <w:tabs>
          <w:tab w:val="left" w:pos="475"/>
          <w:tab w:val="left" w:pos="965"/>
          <w:tab w:val="left" w:pos="1440"/>
          <w:tab w:val="left" w:pos="1915"/>
          <w:tab w:val="left" w:pos="2405"/>
        </w:tabs>
        <w:spacing w:after="120"/>
        <w:jc w:val="both"/>
      </w:pPr>
      <w:r>
        <w:tab/>
        <w:t>Announcements published by the State Service Agency about competitive examinations for filling State posts contain no limitations relating to gender.</w:t>
      </w:r>
    </w:p>
    <w:p w:rsidR="00000000" w:rsidRDefault="00000000">
      <w:pPr>
        <w:tabs>
          <w:tab w:val="left" w:pos="475"/>
          <w:tab w:val="left" w:pos="965"/>
          <w:tab w:val="left" w:pos="1440"/>
          <w:tab w:val="left" w:pos="1915"/>
          <w:tab w:val="left" w:pos="2405"/>
        </w:tabs>
        <w:spacing w:after="120"/>
        <w:jc w:val="both"/>
      </w:pPr>
      <w:r>
        <w:tab/>
        <w:t>In May and June 1999, the Agency held the first four competitive examinations for eligibility for State posts in State bodies of the Republic of Kazakhstan. Of those who passed the tests and became eligible, 56 per cent were women. Of the 52 candidates placed in the personnel reserve of State employees for central executive bodies, 35 were women, representing 67.3 per cent.</w:t>
      </w:r>
    </w:p>
    <w:p w:rsidR="00000000" w:rsidRDefault="00000000">
      <w:pPr>
        <w:tabs>
          <w:tab w:val="left" w:pos="475"/>
          <w:tab w:val="left" w:pos="965"/>
          <w:tab w:val="left" w:pos="1440"/>
          <w:tab w:val="left" w:pos="1915"/>
          <w:tab w:val="left" w:pos="2405"/>
        </w:tabs>
        <w:spacing w:after="120"/>
        <w:jc w:val="both"/>
      </w:pPr>
      <w:r>
        <w:tab/>
        <w:t>However, in many cases the reverse is true, particularly in announcements by private companies, which often indicate the gender required (usually male) for the vacancy in question.</w:t>
      </w:r>
    </w:p>
    <w:p w:rsidR="00000000" w:rsidRDefault="00000000">
      <w:pPr>
        <w:tabs>
          <w:tab w:val="left" w:pos="475"/>
          <w:tab w:val="left" w:pos="965"/>
          <w:tab w:val="left" w:pos="1440"/>
          <w:tab w:val="left" w:pos="1915"/>
          <w:tab w:val="left" w:pos="2405"/>
        </w:tabs>
        <w:spacing w:after="120"/>
        <w:jc w:val="both"/>
      </w:pPr>
      <w:r>
        <w:t>55.</w:t>
      </w:r>
      <w:r>
        <w:tab/>
        <w:t>Under the Labour Law Code of the Kazakh Soviet Socialist Republic of 21 July 1972, an administration is obliged (article 48) to establish, at the request of a pregnant women, a woman with a child under the age of 14 or a woman providing care to a sick family member, a part-time work day or part-time work week for her.</w:t>
      </w:r>
    </w:p>
    <w:p w:rsidR="00000000" w:rsidRDefault="00000000">
      <w:pPr>
        <w:tabs>
          <w:tab w:val="left" w:pos="475"/>
          <w:tab w:val="left" w:pos="965"/>
          <w:tab w:val="left" w:pos="1440"/>
          <w:tab w:val="left" w:pos="1915"/>
          <w:tab w:val="left" w:pos="2405"/>
        </w:tabs>
        <w:spacing w:after="120"/>
        <w:jc w:val="both"/>
      </w:pPr>
      <w:r>
        <w:tab/>
        <w:t>Article 53 imposes limits on overtime work. Pregnant women and women with children under the age of two may not be assigned to overtime work. Women with children from 3 to 14 years of age or disabled children up to 16 (article 157) may be assigned to overtime work or sent on business trips only with their consent.</w:t>
      </w:r>
    </w:p>
    <w:p w:rsidR="00000000" w:rsidRDefault="00000000">
      <w:pPr>
        <w:tabs>
          <w:tab w:val="left" w:pos="475"/>
          <w:tab w:val="left" w:pos="965"/>
          <w:tab w:val="left" w:pos="1440"/>
          <w:tab w:val="left" w:pos="1915"/>
          <w:tab w:val="left" w:pos="2405"/>
        </w:tabs>
        <w:spacing w:after="120"/>
        <w:jc w:val="both"/>
      </w:pPr>
      <w:r>
        <w:tab/>
        <w:t>Leave, upon the request of an employee prior to completion of 11 months uninterrupted service (article 69), is granted to women before leave for pregnancy and childbirth or afterwards.</w:t>
      </w:r>
    </w:p>
    <w:p w:rsidR="00000000" w:rsidRDefault="00000000">
      <w:pPr>
        <w:tabs>
          <w:tab w:val="left" w:pos="475"/>
          <w:tab w:val="left" w:pos="965"/>
          <w:tab w:val="left" w:pos="1440"/>
          <w:tab w:val="left" w:pos="1915"/>
          <w:tab w:val="left" w:pos="2405"/>
        </w:tabs>
        <w:spacing w:after="120"/>
        <w:jc w:val="both"/>
      </w:pPr>
      <w:r>
        <w:tab/>
        <w:t>Kazakhstan’s legislation establishes various types of allowances for families with children.</w:t>
      </w:r>
    </w:p>
    <w:p w:rsidR="00000000" w:rsidRDefault="00000000">
      <w:pPr>
        <w:pStyle w:val="D12r"/>
      </w:pPr>
    </w:p>
    <w:p w:rsidR="00000000" w:rsidRDefault="00000000">
      <w:pPr>
        <w:pStyle w:val="DH2"/>
      </w:pPr>
      <w:r>
        <w:tab/>
        <w:t>Childbirth allowances</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56.</w:t>
      </w:r>
      <w:r>
        <w:tab/>
        <w:t>The resolution of the Supreme Soviet of the Kazakh SSR of 29 November 1990 on social protection for indigent citizens during the transition to a market economy established a one-time childbirth allowance, replacing the previous one-time childbirth allowances differentiated according to the order of birth: as from 1 December 1990, the amount was three times the minimum wage.</w:t>
      </w:r>
    </w:p>
    <w:p w:rsidR="00000000" w:rsidRDefault="00000000">
      <w:pPr>
        <w:tabs>
          <w:tab w:val="left" w:pos="475"/>
          <w:tab w:val="left" w:pos="965"/>
          <w:tab w:val="left" w:pos="1440"/>
          <w:tab w:val="left" w:pos="1915"/>
          <w:tab w:val="left" w:pos="2405"/>
        </w:tabs>
        <w:spacing w:after="120"/>
        <w:jc w:val="both"/>
      </w:pPr>
      <w:r>
        <w:tab/>
        <w:t>The law of 31 December 1996 on the national budget for 1997 reduced the size of the one-time childbirth allowance from four times the minimum wage to a significantly smaller amount equivalent to four times the monthly accounting index.</w:t>
      </w:r>
    </w:p>
    <w:p w:rsidR="00000000" w:rsidRDefault="00000000">
      <w:pPr>
        <w:tabs>
          <w:tab w:val="left" w:pos="475"/>
          <w:tab w:val="left" w:pos="965"/>
          <w:tab w:val="left" w:pos="1440"/>
          <w:tab w:val="left" w:pos="1915"/>
          <w:tab w:val="left" w:pos="2405"/>
        </w:tabs>
        <w:spacing w:after="120"/>
        <w:jc w:val="both"/>
      </w:pPr>
      <w:r>
        <w:tab/>
        <w:t>From 1 January to 17 April 1999, the one-time childbirth allowance was paid to working women from the national budget.</w:t>
      </w:r>
    </w:p>
    <w:p w:rsidR="00000000" w:rsidRDefault="00000000">
      <w:pPr>
        <w:tabs>
          <w:tab w:val="left" w:pos="475"/>
          <w:tab w:val="left" w:pos="965"/>
          <w:tab w:val="left" w:pos="1440"/>
          <w:tab w:val="left" w:pos="1915"/>
          <w:tab w:val="left" w:pos="2405"/>
        </w:tabs>
        <w:spacing w:after="120"/>
        <w:jc w:val="both"/>
      </w:pPr>
      <w:r>
        <w:tab/>
        <w:t>The grants were paid by State institutions from savings in the salary fund and by other employers from their own resources.</w:t>
      </w:r>
    </w:p>
    <w:p w:rsidR="00000000" w:rsidRDefault="00000000">
      <w:pPr>
        <w:tabs>
          <w:tab w:val="left" w:pos="475"/>
          <w:tab w:val="left" w:pos="965"/>
          <w:tab w:val="left" w:pos="1440"/>
          <w:tab w:val="left" w:pos="1915"/>
          <w:tab w:val="left" w:pos="2405"/>
        </w:tabs>
        <w:spacing w:after="120"/>
        <w:jc w:val="both"/>
      </w:pPr>
      <w:r>
        <w:tab/>
        <w:t>The Ministry of Finance of the Republic of Kazakhstan approved, in document No. 242 of 25 May 1999, the rules for reimbursing employers’ expenditures for the payment of mandatory social security allowances to working citizens. Funds are set aside for the aforementioned payments in the expenditures of the national budget.</w:t>
      </w:r>
    </w:p>
    <w:p w:rsidR="00000000" w:rsidRDefault="00000000">
      <w:pPr>
        <w:tabs>
          <w:tab w:val="left" w:pos="475"/>
          <w:tab w:val="left" w:pos="965"/>
          <w:tab w:val="left" w:pos="1440"/>
          <w:tab w:val="left" w:pos="1915"/>
          <w:tab w:val="left" w:pos="2405"/>
        </w:tabs>
        <w:spacing w:after="120"/>
        <w:jc w:val="both"/>
      </w:pPr>
      <w:r>
        <w:tab/>
        <w:t>Since 18 April 1999, social assistance has been provided to women upon the birth of a child through funds from local budgets in the manner determined by the local executive bodies.</w:t>
      </w:r>
    </w:p>
    <w:p w:rsidR="00000000" w:rsidRDefault="00000000">
      <w:pPr>
        <w:pStyle w:val="D12r"/>
      </w:pPr>
    </w:p>
    <w:p w:rsidR="00000000" w:rsidRDefault="00000000">
      <w:pPr>
        <w:pStyle w:val="DH2"/>
        <w:keepNext w:val="0"/>
        <w:keepLines w:val="0"/>
        <w:ind w:left="475" w:hanging="475"/>
      </w:pPr>
      <w:r>
        <w:tab/>
        <w:t>Allowances for indigent families with under-age children</w:t>
      </w:r>
    </w:p>
    <w:p w:rsidR="00000000" w:rsidRDefault="00000000">
      <w:pPr>
        <w:pStyle w:val="D12r"/>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pPr>
      <w:r>
        <w:t>57.</w:t>
      </w:r>
      <w:r>
        <w:tab/>
        <w:t>The law of the Republic of Kazakhstan on the State budget for 1993 established, as from 1 January 1993, monthly allowances to be paid from the national budget to families with children: for children under 3 years — 1,790 roubles, and for those from 3 to 18 years — 1,330 roubles.</w:t>
      </w:r>
    </w:p>
    <w:p w:rsidR="00000000" w:rsidRDefault="00000000">
      <w:pPr>
        <w:tabs>
          <w:tab w:val="left" w:pos="475"/>
          <w:tab w:val="left" w:pos="965"/>
          <w:tab w:val="left" w:pos="1440"/>
          <w:tab w:val="left" w:pos="1915"/>
          <w:tab w:val="left" w:pos="2405"/>
        </w:tabs>
        <w:spacing w:after="120"/>
        <w:jc w:val="both"/>
      </w:pPr>
      <w:r>
        <w:tab/>
        <w:t>During the first quarter of 1993, payments were made in accordance with a procedure established under the resolution of the Cabinet of Ministers of 16 November 1992, on the condition that the average monthly aggregate income per family member for the previous quarter did not exceed the equivalent of four times the minimum wage.</w:t>
      </w: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pPr>
      <w:r>
        <w:tab/>
        <w:t>Under the resolution of the Cabinet of Ministers of 5 February 1993, allowances were paid if the aggregate income per family member did not exceed the amount equivalent to twice the minimum wage.</w:t>
      </w:r>
    </w:p>
    <w:p w:rsidR="00000000" w:rsidRDefault="00000000">
      <w:pPr>
        <w:tabs>
          <w:tab w:val="left" w:pos="475"/>
          <w:tab w:val="left" w:pos="965"/>
          <w:tab w:val="left" w:pos="1440"/>
          <w:tab w:val="left" w:pos="1915"/>
          <w:tab w:val="left" w:pos="2405"/>
        </w:tabs>
        <w:spacing w:after="120"/>
        <w:jc w:val="both"/>
      </w:pPr>
      <w:r>
        <w:tab/>
        <w:t>The law of 14 June 1994 on the detailed national budget for 1994 established monthly allowances for families with children under six years at 75 per cent of the minimum wage, and from 6 to 18 years at 80 per cent of the minimum wage.</w:t>
      </w:r>
    </w:p>
    <w:p w:rsidR="00000000" w:rsidRDefault="00000000">
      <w:pPr>
        <w:tabs>
          <w:tab w:val="left" w:pos="475"/>
          <w:tab w:val="left" w:pos="965"/>
          <w:tab w:val="left" w:pos="1440"/>
          <w:tab w:val="left" w:pos="1915"/>
          <w:tab w:val="left" w:pos="2405"/>
        </w:tabs>
        <w:spacing w:after="120"/>
        <w:jc w:val="both"/>
      </w:pPr>
      <w:r>
        <w:tab/>
        <w:t>Furthermore, in view of the economic situation at the time, allowances were instituted for children which partially compensated for price increases: for children under six years, from 1 July 1994 — 100 per cent of the minimum wage, and from 1 October 1994 — 130 per cent; for children from 6 to 18 years, from 1 July 1994 — 105 per cent of the minimum wage, and from 1 October 1994 — 135 per cent.</w:t>
      </w:r>
    </w:p>
    <w:p w:rsidR="00000000" w:rsidRDefault="00000000">
      <w:pPr>
        <w:tabs>
          <w:tab w:val="left" w:pos="475"/>
          <w:tab w:val="left" w:pos="965"/>
          <w:tab w:val="left" w:pos="1440"/>
          <w:tab w:val="left" w:pos="1915"/>
          <w:tab w:val="left" w:pos="2405"/>
        </w:tabs>
        <w:spacing w:after="120"/>
        <w:jc w:val="both"/>
      </w:pPr>
      <w:r>
        <w:tab/>
        <w:t>Under the law of 31 December 1996 on the national budget for 1997, an accounting index is applied in order to calculate pensions, allowances and other social payments and also to impose fines, taxes and other payments in accordance with current legislation. In 1996, the amount of the single grant for children under three was 125 per cent of the monthly accounting index, and for children between 3 and 18, 130 per cent.</w:t>
      </w:r>
    </w:p>
    <w:p w:rsidR="00000000" w:rsidRDefault="00000000">
      <w:pPr>
        <w:tabs>
          <w:tab w:val="left" w:pos="475"/>
          <w:tab w:val="left" w:pos="965"/>
          <w:tab w:val="left" w:pos="1440"/>
          <w:tab w:val="left" w:pos="1915"/>
          <w:tab w:val="left" w:pos="2405"/>
        </w:tabs>
        <w:spacing w:after="120"/>
        <w:jc w:val="both"/>
      </w:pPr>
      <w:r>
        <w:tab/>
        <w:t>According to the Government decision of 21 March 1997 on confirmation of the regulations for providing social assistance to families with children, families whose average monthly mean per capita income is not larger than twice the accounting index used for calculating pensions, allowances and other social payments are entitled to receive single grants.</w:t>
      </w:r>
    </w:p>
    <w:p w:rsidR="00000000" w:rsidRDefault="00000000">
      <w:pPr>
        <w:tabs>
          <w:tab w:val="left" w:pos="475"/>
          <w:tab w:val="left" w:pos="965"/>
          <w:tab w:val="left" w:pos="1440"/>
          <w:tab w:val="left" w:pos="1915"/>
          <w:tab w:val="left" w:pos="2405"/>
        </w:tabs>
        <w:spacing w:after="120"/>
        <w:jc w:val="both"/>
      </w:pPr>
      <w:r>
        <w:tab/>
        <w:t>Under the law of 16 December 1998 on the national budget for 1999, social assistance to families with children is provided through funds from local budgets in the manner and the amount established by law. In accordance with the Government decision of 22 July 1999 on the adoption of provisional rules for providing direct social assistance, the heads of the regions and the mayors of Astana and Almaty were granted the right to determine the amounts to be provided for social assistance.</w:t>
      </w:r>
    </w:p>
    <w:p w:rsidR="00000000" w:rsidRDefault="00000000">
      <w:pPr>
        <w:pStyle w:val="D12r"/>
      </w:pPr>
    </w:p>
    <w:p w:rsidR="00000000" w:rsidRDefault="00000000">
      <w:pPr>
        <w:pStyle w:val="DH2"/>
      </w:pPr>
      <w:r>
        <w:tab/>
        <w:t>Allowances for large families</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ab/>
        <w:t>The decision of 29 November 1990 by the Supreme Soviet of the Kazakh SSR on social protection for indigent citizens during the transition to a market economy, together with previously existing monthly allowances provided to large families for the fourth and subsequent children up to the age of five established a monthly allowance for children between the ages of one and a half and six years in the amount of 50 per cent of the minimum wage for each child being supported by a family if the average aggregate income per family member does not exceed the amount of twice the minimum wage in effect since 1 December 1990.</w:t>
      </w:r>
    </w:p>
    <w:p w:rsidR="00000000" w:rsidRDefault="00000000">
      <w:pPr>
        <w:tabs>
          <w:tab w:val="left" w:pos="475"/>
          <w:tab w:val="left" w:pos="965"/>
          <w:tab w:val="left" w:pos="1440"/>
          <w:tab w:val="left" w:pos="1915"/>
          <w:tab w:val="left" w:pos="2405"/>
        </w:tabs>
        <w:spacing w:after="120"/>
        <w:jc w:val="both"/>
      </w:pPr>
      <w:r>
        <w:tab/>
        <w:t>The order of the President of the Republic of Kazakhstan of 4 December 1992 on measures for providing social support to large families established, as from 1 January 1993, the following privileges and benefits for families with four or more children under 18:</w:t>
      </w:r>
    </w:p>
    <w:p w:rsidR="00000000" w:rsidRDefault="00000000">
      <w:pPr>
        <w:tabs>
          <w:tab w:val="left" w:pos="475"/>
          <w:tab w:val="left" w:pos="965"/>
          <w:tab w:val="left" w:pos="1440"/>
          <w:tab w:val="left" w:pos="1915"/>
          <w:tab w:val="left" w:pos="2405"/>
        </w:tabs>
        <w:spacing w:after="120"/>
        <w:jc w:val="both"/>
      </w:pPr>
      <w:r>
        <w:tab/>
        <w:t>The manufacture and repair of dentures, free of charge, for mothers of large families (except dentures made of precious metals);</w:t>
      </w:r>
    </w:p>
    <w:p w:rsidR="00000000" w:rsidRDefault="00000000">
      <w:pPr>
        <w:tabs>
          <w:tab w:val="left" w:pos="475"/>
          <w:tab w:val="left" w:pos="965"/>
          <w:tab w:val="left" w:pos="1440"/>
          <w:tab w:val="left" w:pos="1915"/>
          <w:tab w:val="left" w:pos="2405"/>
        </w:tabs>
        <w:spacing w:after="120"/>
        <w:jc w:val="both"/>
      </w:pPr>
      <w:r>
        <w:tab/>
        <w:t>Free medicine obtained on a doctor’s prescription for children under 14;</w:t>
      </w:r>
    </w:p>
    <w:p w:rsidR="00000000" w:rsidRDefault="00000000">
      <w:pPr>
        <w:tabs>
          <w:tab w:val="left" w:pos="475"/>
          <w:tab w:val="left" w:pos="965"/>
          <w:tab w:val="left" w:pos="1440"/>
          <w:tab w:val="left" w:pos="1915"/>
          <w:tab w:val="left" w:pos="2405"/>
        </w:tabs>
        <w:spacing w:after="120"/>
        <w:jc w:val="both"/>
      </w:pPr>
      <w:r>
        <w:tab/>
        <w:t>Free use of urban transport (except taxis) and suburban and intra-regional buses for mothers and school children;</w:t>
      </w:r>
    </w:p>
    <w:p w:rsidR="00000000" w:rsidRDefault="00000000">
      <w:pPr>
        <w:tabs>
          <w:tab w:val="left" w:pos="475"/>
          <w:tab w:val="left" w:pos="965"/>
          <w:tab w:val="left" w:pos="1440"/>
          <w:tab w:val="left" w:pos="1915"/>
          <w:tab w:val="left" w:pos="2405"/>
        </w:tabs>
        <w:spacing w:after="120"/>
        <w:jc w:val="both"/>
      </w:pPr>
      <w:r>
        <w:tab/>
        <w:t>Priority placement of children in pre-school medical institutions and sanatoriums and other health-care institutions, regardless of the branch of administration to which they belong.</w:t>
      </w:r>
    </w:p>
    <w:p w:rsidR="00000000" w:rsidRDefault="00000000">
      <w:pPr>
        <w:tabs>
          <w:tab w:val="left" w:pos="475"/>
          <w:tab w:val="left" w:pos="965"/>
          <w:tab w:val="left" w:pos="1440"/>
          <w:tab w:val="left" w:pos="1915"/>
          <w:tab w:val="left" w:pos="2405"/>
        </w:tabs>
        <w:spacing w:after="120"/>
        <w:jc w:val="both"/>
      </w:pPr>
      <w:r>
        <w:tab/>
        <w:t>The same decree established a monthly allowance in the amount of the minimum wage, regardless of the family’s income, for non-working mothers with four or more children below the age of seven.</w:t>
      </w:r>
    </w:p>
    <w:p w:rsidR="00000000" w:rsidRDefault="00000000">
      <w:pPr>
        <w:pStyle w:val="DualTxt"/>
        <w:keepNext/>
        <w:keepLines/>
        <w:tabs>
          <w:tab w:val="clear" w:pos="480"/>
          <w:tab w:val="clear" w:pos="960"/>
          <w:tab w:val="clear" w:pos="2880"/>
          <w:tab w:val="clear" w:pos="3355"/>
          <w:tab w:val="left" w:pos="475"/>
          <w:tab w:val="left" w:pos="965"/>
          <w:tab w:val="left" w:pos="1440"/>
          <w:tab w:val="left" w:pos="1915"/>
          <w:tab w:val="left" w:pos="2405"/>
        </w:tabs>
      </w:pPr>
      <w:r>
        <w:tab/>
        <w:t>The law of 14 July 1994, on the detailed national budget for 1994, replaced this allowance with a monthly cash compensation payment to mothers of large families in the amount of 1.3 to 2.0 times the minimum wage, depending on the number of children.</w:t>
      </w:r>
    </w:p>
    <w:p w:rsidR="00000000" w:rsidRDefault="00000000">
      <w:pPr>
        <w:tabs>
          <w:tab w:val="left" w:pos="475"/>
          <w:tab w:val="left" w:pos="965"/>
          <w:tab w:val="left" w:pos="1440"/>
          <w:tab w:val="left" w:pos="1915"/>
          <w:tab w:val="left" w:pos="2405"/>
        </w:tabs>
        <w:spacing w:after="120"/>
        <w:jc w:val="both"/>
      </w:pPr>
      <w:r>
        <w:tab/>
        <w:t>The presidential order of 15 March 1995 on the national budget for 1995 restored the monthly allowance for non-working mothers with four or more children below age seven in the amount of the minimum wage, regardless of family income, and also restored the privileges in kind that had been suspended in 1994 (free manufacture and repair of dentures, free medicine on a doctor’s prescription for children under 14, and free urban transport).</w:t>
      </w:r>
    </w:p>
    <w:p w:rsidR="00000000" w:rsidRDefault="00000000">
      <w:pPr>
        <w:tabs>
          <w:tab w:val="left" w:pos="475"/>
          <w:tab w:val="left" w:pos="965"/>
          <w:tab w:val="left" w:pos="1440"/>
          <w:tab w:val="left" w:pos="1915"/>
          <w:tab w:val="left" w:pos="2405"/>
        </w:tabs>
        <w:spacing w:after="120"/>
        <w:jc w:val="both"/>
      </w:pPr>
      <w:r>
        <w:tab/>
        <w:t>The law of 31 December 1996 on the national budget for 1997 established allowances for non-working mothers of large families with four or more children below age seven in the amount of one monthly accounting index.</w:t>
      </w:r>
    </w:p>
    <w:p w:rsidR="00000000" w:rsidRDefault="00000000">
      <w:pPr>
        <w:tabs>
          <w:tab w:val="left" w:pos="475"/>
          <w:tab w:val="left" w:pos="965"/>
          <w:tab w:val="left" w:pos="1440"/>
          <w:tab w:val="left" w:pos="1915"/>
          <w:tab w:val="left" w:pos="2405"/>
        </w:tabs>
        <w:spacing w:after="120"/>
        <w:jc w:val="both"/>
      </w:pPr>
      <w:r>
        <w:tab/>
        <w:t>The presidential order of 23 January 1996 on measures to regulate State social guarantees established a special State allowance to cover housing expenses and communal services for large families with four or more under-aged children living together.</w:t>
      </w:r>
    </w:p>
    <w:p w:rsidR="00000000" w:rsidRDefault="00000000">
      <w:pPr>
        <w:tabs>
          <w:tab w:val="left" w:pos="475"/>
          <w:tab w:val="left" w:pos="965"/>
          <w:tab w:val="left" w:pos="1440"/>
          <w:tab w:val="left" w:pos="1915"/>
          <w:tab w:val="left" w:pos="2405"/>
        </w:tabs>
        <w:spacing w:after="120"/>
        <w:jc w:val="both"/>
      </w:pPr>
      <w:r>
        <w:tab/>
        <w:t xml:space="preserve">The law of 16 December 1998 on the national budget for 1999 provides allowances in the form of social assistance to families with children. Under the Government decision of 22 July 1999, the </w:t>
      </w:r>
      <w:r>
        <w:rPr>
          <w:i/>
        </w:rPr>
        <w:t xml:space="preserve">akims </w:t>
      </w:r>
      <w:r>
        <w:t>of the regions and of Astana and Almaty have the right to determine the amount of social assistance.</w:t>
      </w:r>
    </w:p>
    <w:p w:rsidR="00000000" w:rsidRDefault="00000000">
      <w:pPr>
        <w:tabs>
          <w:tab w:val="left" w:pos="475"/>
          <w:tab w:val="left" w:pos="965"/>
          <w:tab w:val="left" w:pos="1440"/>
          <w:tab w:val="left" w:pos="1915"/>
          <w:tab w:val="left" w:pos="2405"/>
        </w:tabs>
        <w:spacing w:after="120"/>
        <w:jc w:val="both"/>
      </w:pPr>
    </w:p>
    <w:p w:rsidR="00000000" w:rsidRDefault="00000000">
      <w:pPr>
        <w:tabs>
          <w:tab w:val="left" w:pos="475"/>
          <w:tab w:val="left" w:pos="965"/>
          <w:tab w:val="left" w:pos="1440"/>
          <w:tab w:val="left" w:pos="1915"/>
          <w:tab w:val="left" w:pos="2405"/>
        </w:tabs>
        <w:spacing w:after="120"/>
        <w:jc w:val="both"/>
      </w:pPr>
    </w:p>
    <w:p w:rsidR="00000000" w:rsidRDefault="00000000">
      <w:pPr>
        <w:tabs>
          <w:tab w:val="left" w:pos="475"/>
          <w:tab w:val="left" w:pos="965"/>
          <w:tab w:val="left" w:pos="1440"/>
          <w:tab w:val="left" w:pos="1915"/>
          <w:tab w:val="left" w:pos="2405"/>
        </w:tabs>
        <w:spacing w:after="120"/>
        <w:jc w:val="both"/>
      </w:pPr>
    </w:p>
    <w:p w:rsidR="00000000" w:rsidRDefault="00000000">
      <w:pPr>
        <w:tabs>
          <w:tab w:val="left" w:pos="475"/>
          <w:tab w:val="left" w:pos="965"/>
          <w:tab w:val="left" w:pos="1440"/>
          <w:tab w:val="left" w:pos="1915"/>
          <w:tab w:val="left" w:pos="2405"/>
        </w:tabs>
        <w:spacing w:after="120"/>
        <w:jc w:val="both"/>
      </w:pPr>
    </w:p>
    <w:p w:rsidR="00000000" w:rsidRDefault="00000000">
      <w:pPr>
        <w:tabs>
          <w:tab w:val="left" w:pos="475"/>
          <w:tab w:val="left" w:pos="965"/>
          <w:tab w:val="left" w:pos="1440"/>
          <w:tab w:val="left" w:pos="1915"/>
          <w:tab w:val="left" w:pos="2405"/>
        </w:tabs>
        <w:spacing w:after="120"/>
        <w:jc w:val="both"/>
      </w:pPr>
    </w:p>
    <w:p w:rsidR="00000000" w:rsidRDefault="00000000">
      <w:pPr>
        <w:tabs>
          <w:tab w:val="left" w:pos="475"/>
          <w:tab w:val="left" w:pos="965"/>
          <w:tab w:val="left" w:pos="1440"/>
          <w:tab w:val="left" w:pos="1915"/>
          <w:tab w:val="left" w:pos="2405"/>
        </w:tabs>
        <w:spacing w:after="120"/>
        <w:jc w:val="both"/>
      </w:pPr>
    </w:p>
    <w:p w:rsidR="00000000" w:rsidRDefault="00000000">
      <w:pPr>
        <w:tabs>
          <w:tab w:val="left" w:pos="475"/>
          <w:tab w:val="left" w:pos="965"/>
          <w:tab w:val="left" w:pos="1440"/>
          <w:tab w:val="left" w:pos="1915"/>
          <w:tab w:val="left" w:pos="2405"/>
        </w:tabs>
        <w:spacing w:after="120"/>
        <w:jc w:val="both"/>
      </w:pPr>
    </w:p>
    <w:p w:rsidR="00000000" w:rsidRDefault="00000000">
      <w:pPr>
        <w:tabs>
          <w:tab w:val="left" w:pos="475"/>
          <w:tab w:val="left" w:pos="965"/>
          <w:tab w:val="left" w:pos="1440"/>
          <w:tab w:val="left" w:pos="1915"/>
          <w:tab w:val="left" w:pos="2405"/>
        </w:tabs>
        <w:spacing w:after="120"/>
        <w:jc w:val="both"/>
      </w:pPr>
    </w:p>
    <w:p w:rsidR="00000000" w:rsidRDefault="00000000">
      <w:pPr>
        <w:tabs>
          <w:tab w:val="left" w:pos="475"/>
          <w:tab w:val="left" w:pos="965"/>
          <w:tab w:val="left" w:pos="1440"/>
          <w:tab w:val="left" w:pos="1915"/>
          <w:tab w:val="left" w:pos="2405"/>
        </w:tabs>
        <w:spacing w:after="120"/>
        <w:jc w:val="both"/>
      </w:pPr>
    </w:p>
    <w:p w:rsidR="00000000" w:rsidRDefault="00000000">
      <w:pPr>
        <w:tabs>
          <w:tab w:val="left" w:pos="475"/>
          <w:tab w:val="left" w:pos="965"/>
          <w:tab w:val="left" w:pos="1440"/>
          <w:tab w:val="left" w:pos="1915"/>
          <w:tab w:val="left" w:pos="2405"/>
        </w:tabs>
        <w:spacing w:after="120"/>
        <w:jc w:val="both"/>
      </w:pPr>
    </w:p>
    <w:p w:rsidR="00000000" w:rsidRDefault="00000000">
      <w:pPr>
        <w:tabs>
          <w:tab w:val="left" w:pos="475"/>
          <w:tab w:val="left" w:pos="965"/>
          <w:tab w:val="left" w:pos="1440"/>
          <w:tab w:val="left" w:pos="1915"/>
          <w:tab w:val="left" w:pos="2405"/>
        </w:tabs>
        <w:spacing w:after="120"/>
        <w:jc w:val="both"/>
      </w:pPr>
    </w:p>
    <w:p w:rsidR="00000000" w:rsidRDefault="00000000">
      <w:pPr>
        <w:tabs>
          <w:tab w:val="left" w:pos="475"/>
          <w:tab w:val="left" w:pos="965"/>
          <w:tab w:val="left" w:pos="1440"/>
          <w:tab w:val="left" w:pos="1915"/>
          <w:tab w:val="left" w:pos="2405"/>
        </w:tabs>
        <w:spacing w:after="120"/>
        <w:jc w:val="both"/>
      </w:pPr>
    </w:p>
    <w:p w:rsidR="00000000" w:rsidRDefault="00000000">
      <w:pPr>
        <w:pStyle w:val="D12r"/>
      </w:pPr>
    </w:p>
    <w:p w:rsidR="00000000" w:rsidRDefault="00000000">
      <w:pPr>
        <w:pStyle w:val="DH2"/>
        <w:sectPr w:rsidR="00000000">
          <w:type w:val="continuous"/>
          <w:pgSz w:w="12240" w:h="15840"/>
          <w:pgMar w:top="1742" w:right="1195" w:bottom="1901" w:left="1195" w:header="576" w:footer="1037" w:gutter="0"/>
          <w:cols w:num="2" w:space="245"/>
          <w:docGrid w:linePitch="360"/>
        </w:sectPr>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r>
        <w:t>Table 21</w:t>
      </w:r>
    </w:p>
    <w:p w:rsidR="00000000" w:rsidRDefault="00000000">
      <w:pPr>
        <w:pStyle w:val="BodyText3"/>
      </w:pPr>
      <w:r>
        <w:t>Live births according to mother’s age and order of birth</w:t>
      </w:r>
    </w:p>
    <w:tbl>
      <w:tblPr>
        <w:tblW w:w="0" w:type="auto"/>
        <w:tblInd w:w="-7" w:type="dxa"/>
        <w:tblLayout w:type="fixed"/>
        <w:tblLook w:val="0000" w:firstRow="0" w:lastRow="0" w:firstColumn="0" w:lastColumn="0" w:noHBand="0" w:noVBand="0"/>
      </w:tblPr>
      <w:tblGrid>
        <w:gridCol w:w="2484"/>
        <w:gridCol w:w="729"/>
        <w:gridCol w:w="765"/>
        <w:gridCol w:w="747"/>
        <w:gridCol w:w="774"/>
        <w:gridCol w:w="801"/>
        <w:gridCol w:w="729"/>
        <w:gridCol w:w="657"/>
        <w:gridCol w:w="693"/>
        <w:gridCol w:w="756"/>
        <w:gridCol w:w="832"/>
      </w:tblGrid>
      <w:tr w:rsidR="00000000">
        <w:tblPrEx>
          <w:tblCellMar>
            <w:top w:w="0" w:type="dxa"/>
            <w:bottom w:w="0" w:type="dxa"/>
          </w:tblCellMar>
        </w:tblPrEx>
        <w:trPr>
          <w:cantSplit/>
        </w:trPr>
        <w:tc>
          <w:tcPr>
            <w:tcW w:w="2484" w:type="dxa"/>
            <w:tcBorders>
              <w:top w:val="single" w:sz="4" w:space="0" w:color="auto"/>
            </w:tcBorders>
          </w:tcPr>
          <w:p w:rsidR="00000000" w:rsidRDefault="00000000">
            <w:pPr>
              <w:tabs>
                <w:tab w:val="left" w:pos="261"/>
                <w:tab w:val="left" w:pos="965"/>
                <w:tab w:val="left" w:pos="1440"/>
                <w:tab w:val="left" w:pos="1915"/>
                <w:tab w:val="left" w:pos="2405"/>
              </w:tabs>
              <w:spacing w:after="120" w:line="200" w:lineRule="exact"/>
              <w:rPr>
                <w:i/>
                <w:sz w:val="14"/>
              </w:rPr>
            </w:pPr>
          </w:p>
        </w:tc>
        <w:tc>
          <w:tcPr>
            <w:tcW w:w="7483" w:type="dxa"/>
            <w:gridSpan w:val="10"/>
            <w:tcBorders>
              <w:top w:val="single" w:sz="4" w:space="0" w:color="auto"/>
              <w:bottom w:val="single" w:sz="4" w:space="0" w:color="auto"/>
            </w:tcBorders>
          </w:tcPr>
          <w:p w:rsidR="00000000" w:rsidRDefault="00000000">
            <w:pPr>
              <w:pStyle w:val="Heading6"/>
              <w:spacing w:line="200" w:lineRule="exact"/>
            </w:pPr>
            <w:r>
              <w:t>Mother’s age</w:t>
            </w:r>
          </w:p>
        </w:tc>
      </w:tr>
      <w:tr w:rsidR="00000000">
        <w:tblPrEx>
          <w:tblCellMar>
            <w:top w:w="0" w:type="dxa"/>
            <w:bottom w:w="0" w:type="dxa"/>
          </w:tblCellMar>
        </w:tblPrEx>
        <w:tc>
          <w:tcPr>
            <w:tcW w:w="2484" w:type="dxa"/>
            <w:tcBorders>
              <w:bottom w:val="single" w:sz="12" w:space="0" w:color="auto"/>
            </w:tcBorders>
          </w:tcPr>
          <w:p w:rsidR="00000000" w:rsidRDefault="00000000">
            <w:pPr>
              <w:tabs>
                <w:tab w:val="left" w:pos="261"/>
                <w:tab w:val="left" w:pos="965"/>
                <w:tab w:val="left" w:pos="1440"/>
                <w:tab w:val="left" w:pos="1915"/>
                <w:tab w:val="left" w:pos="2405"/>
              </w:tabs>
              <w:spacing w:after="120" w:line="200" w:lineRule="exact"/>
              <w:rPr>
                <w:i/>
                <w:sz w:val="14"/>
              </w:rPr>
            </w:pPr>
          </w:p>
        </w:tc>
        <w:tc>
          <w:tcPr>
            <w:tcW w:w="729"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line="200" w:lineRule="exact"/>
              <w:jc w:val="right"/>
              <w:rPr>
                <w:i/>
                <w:sz w:val="14"/>
              </w:rPr>
            </w:pPr>
            <w:r>
              <w:rPr>
                <w:i/>
                <w:sz w:val="14"/>
              </w:rPr>
              <w:t>15-19</w:t>
            </w:r>
          </w:p>
        </w:tc>
        <w:tc>
          <w:tcPr>
            <w:tcW w:w="765"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line="200" w:lineRule="exact"/>
              <w:jc w:val="right"/>
              <w:rPr>
                <w:i/>
                <w:sz w:val="14"/>
              </w:rPr>
            </w:pPr>
            <w:r>
              <w:rPr>
                <w:i/>
                <w:sz w:val="14"/>
              </w:rPr>
              <w:t>20-24</w:t>
            </w:r>
          </w:p>
        </w:tc>
        <w:tc>
          <w:tcPr>
            <w:tcW w:w="747"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line="200" w:lineRule="exact"/>
              <w:jc w:val="right"/>
              <w:rPr>
                <w:i/>
                <w:sz w:val="14"/>
              </w:rPr>
            </w:pPr>
            <w:r>
              <w:rPr>
                <w:i/>
                <w:sz w:val="14"/>
              </w:rPr>
              <w:t>25-29</w:t>
            </w:r>
          </w:p>
        </w:tc>
        <w:tc>
          <w:tcPr>
            <w:tcW w:w="774"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line="200" w:lineRule="exact"/>
              <w:jc w:val="right"/>
              <w:rPr>
                <w:i/>
                <w:sz w:val="14"/>
              </w:rPr>
            </w:pPr>
            <w:r>
              <w:rPr>
                <w:i/>
                <w:sz w:val="14"/>
              </w:rPr>
              <w:t>30-34</w:t>
            </w:r>
          </w:p>
        </w:tc>
        <w:tc>
          <w:tcPr>
            <w:tcW w:w="801"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line="200" w:lineRule="exact"/>
              <w:jc w:val="right"/>
              <w:rPr>
                <w:i/>
                <w:sz w:val="14"/>
              </w:rPr>
            </w:pPr>
            <w:r>
              <w:rPr>
                <w:i/>
                <w:sz w:val="14"/>
              </w:rPr>
              <w:t>35-39</w:t>
            </w:r>
          </w:p>
        </w:tc>
        <w:tc>
          <w:tcPr>
            <w:tcW w:w="729"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line="200" w:lineRule="exact"/>
              <w:jc w:val="right"/>
              <w:rPr>
                <w:i/>
                <w:sz w:val="14"/>
              </w:rPr>
            </w:pPr>
            <w:r>
              <w:rPr>
                <w:i/>
                <w:sz w:val="14"/>
              </w:rPr>
              <w:t>40-44</w:t>
            </w:r>
          </w:p>
        </w:tc>
        <w:tc>
          <w:tcPr>
            <w:tcW w:w="657"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line="200" w:lineRule="exact"/>
              <w:jc w:val="right"/>
              <w:rPr>
                <w:i/>
                <w:sz w:val="14"/>
              </w:rPr>
            </w:pPr>
            <w:r>
              <w:rPr>
                <w:i/>
                <w:sz w:val="14"/>
              </w:rPr>
              <w:t>45-49</w:t>
            </w:r>
          </w:p>
        </w:tc>
        <w:tc>
          <w:tcPr>
            <w:tcW w:w="693"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line="200" w:lineRule="exact"/>
              <w:jc w:val="right"/>
              <w:rPr>
                <w:i/>
                <w:sz w:val="14"/>
              </w:rPr>
            </w:pPr>
            <w:r>
              <w:rPr>
                <w:i/>
                <w:sz w:val="14"/>
              </w:rPr>
              <w:t>50-54</w:t>
            </w:r>
          </w:p>
        </w:tc>
        <w:tc>
          <w:tcPr>
            <w:tcW w:w="756"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line="200" w:lineRule="exact"/>
              <w:jc w:val="right"/>
              <w:rPr>
                <w:i/>
                <w:sz w:val="14"/>
              </w:rPr>
            </w:pPr>
            <w:r>
              <w:rPr>
                <w:i/>
                <w:sz w:val="14"/>
              </w:rPr>
              <w:t>55 and older</w:t>
            </w:r>
          </w:p>
        </w:tc>
        <w:tc>
          <w:tcPr>
            <w:tcW w:w="832" w:type="dxa"/>
            <w:tcBorders>
              <w:top w:val="single" w:sz="4" w:space="0" w:color="auto"/>
              <w:bottom w:val="single" w:sz="12" w:space="0" w:color="auto"/>
            </w:tcBorders>
          </w:tcPr>
          <w:p w:rsidR="00000000" w:rsidRDefault="00000000">
            <w:pPr>
              <w:tabs>
                <w:tab w:val="left" w:pos="475"/>
                <w:tab w:val="left" w:pos="965"/>
                <w:tab w:val="left" w:pos="1440"/>
                <w:tab w:val="left" w:pos="1915"/>
                <w:tab w:val="left" w:pos="2405"/>
              </w:tabs>
              <w:spacing w:after="120" w:line="200" w:lineRule="exact"/>
              <w:jc w:val="right"/>
              <w:rPr>
                <w:i/>
                <w:sz w:val="14"/>
              </w:rPr>
            </w:pPr>
            <w:r>
              <w:rPr>
                <w:i/>
                <w:sz w:val="14"/>
              </w:rPr>
              <w:t>Age not indicated</w:t>
            </w:r>
          </w:p>
        </w:tc>
      </w:tr>
      <w:tr w:rsidR="00000000">
        <w:tblPrEx>
          <w:tblCellMar>
            <w:top w:w="0" w:type="dxa"/>
            <w:bottom w:w="0" w:type="dxa"/>
          </w:tblCellMar>
        </w:tblPrEx>
        <w:tc>
          <w:tcPr>
            <w:tcW w:w="2484" w:type="dxa"/>
            <w:tcBorders>
              <w:top w:val="single" w:sz="12" w:space="0" w:color="auto"/>
            </w:tcBorders>
          </w:tcPr>
          <w:p w:rsidR="00000000" w:rsidRDefault="00000000">
            <w:pPr>
              <w:pStyle w:val="Footer"/>
              <w:tabs>
                <w:tab w:val="clear" w:pos="4320"/>
                <w:tab w:val="clear" w:pos="8640"/>
                <w:tab w:val="left" w:pos="261"/>
                <w:tab w:val="left" w:pos="965"/>
                <w:tab w:val="left" w:pos="1440"/>
                <w:tab w:val="left" w:pos="1915"/>
                <w:tab w:val="left" w:pos="2405"/>
              </w:tabs>
              <w:suppressAutoHyphens/>
              <w:spacing w:after="120" w:line="240" w:lineRule="exact"/>
              <w:rPr>
                <w:noProof w:val="0"/>
                <w:spacing w:val="4"/>
                <w:w w:val="103"/>
                <w:kern w:val="14"/>
                <w:lang w:val="en-GB"/>
              </w:rPr>
            </w:pPr>
            <w:r>
              <w:rPr>
                <w:noProof w:val="0"/>
                <w:spacing w:val="4"/>
                <w:w w:val="103"/>
                <w:kern w:val="14"/>
                <w:lang w:val="en-GB"/>
              </w:rPr>
              <w:t>1996</w:t>
            </w:r>
          </w:p>
        </w:tc>
        <w:tc>
          <w:tcPr>
            <w:tcW w:w="729"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p>
        </w:tc>
        <w:tc>
          <w:tcPr>
            <w:tcW w:w="765"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p>
        </w:tc>
        <w:tc>
          <w:tcPr>
            <w:tcW w:w="747"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p>
        </w:tc>
        <w:tc>
          <w:tcPr>
            <w:tcW w:w="774"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p>
        </w:tc>
        <w:tc>
          <w:tcPr>
            <w:tcW w:w="801"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p>
        </w:tc>
        <w:tc>
          <w:tcPr>
            <w:tcW w:w="729"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p>
        </w:tc>
        <w:tc>
          <w:tcPr>
            <w:tcW w:w="657"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p>
        </w:tc>
        <w:tc>
          <w:tcPr>
            <w:tcW w:w="693"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p>
        </w:tc>
        <w:tc>
          <w:tcPr>
            <w:tcW w:w="756"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p>
        </w:tc>
        <w:tc>
          <w:tcPr>
            <w:tcW w:w="832"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p>
        </w:tc>
      </w:tr>
      <w:tr w:rsidR="00000000">
        <w:tblPrEx>
          <w:tblCellMar>
            <w:top w:w="0" w:type="dxa"/>
            <w:bottom w:w="0" w:type="dxa"/>
          </w:tblCellMar>
        </w:tblPrEx>
        <w:tc>
          <w:tcPr>
            <w:tcW w:w="2484" w:type="dxa"/>
          </w:tcPr>
          <w:p w:rsidR="00000000" w:rsidRDefault="00000000">
            <w:pPr>
              <w:tabs>
                <w:tab w:val="left" w:pos="261"/>
                <w:tab w:val="left" w:pos="965"/>
                <w:tab w:val="left" w:pos="1440"/>
                <w:tab w:val="left" w:pos="1915"/>
                <w:tab w:val="left" w:pos="2405"/>
              </w:tabs>
              <w:spacing w:after="120"/>
              <w:rPr>
                <w:sz w:val="17"/>
              </w:rPr>
            </w:pPr>
            <w:r>
              <w:rPr>
                <w:sz w:val="17"/>
              </w:rPr>
              <w:t>Total number of live births</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31 972</w:t>
            </w:r>
          </w:p>
        </w:tc>
        <w:tc>
          <w:tcPr>
            <w:tcW w:w="765" w:type="dxa"/>
          </w:tcPr>
          <w:p w:rsidR="00000000" w:rsidRDefault="00000000">
            <w:pPr>
              <w:tabs>
                <w:tab w:val="left" w:pos="475"/>
                <w:tab w:val="left" w:pos="965"/>
                <w:tab w:val="left" w:pos="1440"/>
                <w:tab w:val="left" w:pos="1915"/>
                <w:tab w:val="left" w:pos="2405"/>
              </w:tabs>
              <w:spacing w:after="120"/>
              <w:jc w:val="right"/>
              <w:rPr>
                <w:sz w:val="17"/>
              </w:rPr>
            </w:pPr>
            <w:r>
              <w:rPr>
                <w:sz w:val="17"/>
              </w:rPr>
              <w:t>97 997</w:t>
            </w:r>
          </w:p>
        </w:tc>
        <w:tc>
          <w:tcPr>
            <w:tcW w:w="747" w:type="dxa"/>
          </w:tcPr>
          <w:p w:rsidR="00000000" w:rsidRDefault="00000000">
            <w:pPr>
              <w:tabs>
                <w:tab w:val="left" w:pos="475"/>
                <w:tab w:val="left" w:pos="965"/>
                <w:tab w:val="left" w:pos="1440"/>
                <w:tab w:val="left" w:pos="1915"/>
                <w:tab w:val="left" w:pos="2405"/>
              </w:tabs>
              <w:spacing w:after="120"/>
              <w:jc w:val="right"/>
              <w:rPr>
                <w:sz w:val="17"/>
              </w:rPr>
            </w:pPr>
            <w:r>
              <w:rPr>
                <w:sz w:val="17"/>
              </w:rPr>
              <w:t>64 704</w:t>
            </w:r>
          </w:p>
        </w:tc>
        <w:tc>
          <w:tcPr>
            <w:tcW w:w="774" w:type="dxa"/>
          </w:tcPr>
          <w:p w:rsidR="00000000" w:rsidRDefault="00000000">
            <w:pPr>
              <w:tabs>
                <w:tab w:val="left" w:pos="475"/>
                <w:tab w:val="left" w:pos="965"/>
                <w:tab w:val="left" w:pos="1440"/>
                <w:tab w:val="left" w:pos="1915"/>
                <w:tab w:val="left" w:pos="2405"/>
              </w:tabs>
              <w:spacing w:after="120"/>
              <w:jc w:val="right"/>
              <w:rPr>
                <w:sz w:val="17"/>
              </w:rPr>
            </w:pPr>
            <w:r>
              <w:rPr>
                <w:sz w:val="17"/>
              </w:rPr>
              <w:t>37 887</w:t>
            </w:r>
          </w:p>
        </w:tc>
        <w:tc>
          <w:tcPr>
            <w:tcW w:w="801" w:type="dxa"/>
          </w:tcPr>
          <w:p w:rsidR="00000000" w:rsidRDefault="00000000">
            <w:pPr>
              <w:tabs>
                <w:tab w:val="left" w:pos="475"/>
                <w:tab w:val="left" w:pos="965"/>
                <w:tab w:val="left" w:pos="1440"/>
                <w:tab w:val="left" w:pos="1915"/>
                <w:tab w:val="left" w:pos="2405"/>
              </w:tabs>
              <w:spacing w:after="120"/>
              <w:jc w:val="right"/>
              <w:rPr>
                <w:sz w:val="17"/>
              </w:rPr>
            </w:pPr>
            <w:r>
              <w:rPr>
                <w:sz w:val="17"/>
              </w:rPr>
              <w:t>16 834</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3 046</w:t>
            </w:r>
          </w:p>
        </w:tc>
        <w:tc>
          <w:tcPr>
            <w:tcW w:w="657" w:type="dxa"/>
          </w:tcPr>
          <w:p w:rsidR="00000000" w:rsidRDefault="00000000">
            <w:pPr>
              <w:tabs>
                <w:tab w:val="left" w:pos="475"/>
                <w:tab w:val="left" w:pos="965"/>
                <w:tab w:val="left" w:pos="1440"/>
                <w:tab w:val="left" w:pos="1915"/>
                <w:tab w:val="left" w:pos="2405"/>
              </w:tabs>
              <w:spacing w:after="120"/>
              <w:jc w:val="right"/>
              <w:rPr>
                <w:sz w:val="17"/>
              </w:rPr>
            </w:pPr>
            <w:r>
              <w:rPr>
                <w:sz w:val="17"/>
              </w:rPr>
              <w:t>230</w:t>
            </w:r>
          </w:p>
        </w:tc>
        <w:tc>
          <w:tcPr>
            <w:tcW w:w="693" w:type="dxa"/>
          </w:tcPr>
          <w:p w:rsidR="00000000" w:rsidRDefault="00000000">
            <w:pPr>
              <w:tabs>
                <w:tab w:val="left" w:pos="475"/>
                <w:tab w:val="left" w:pos="965"/>
                <w:tab w:val="left" w:pos="1440"/>
                <w:tab w:val="left" w:pos="1915"/>
                <w:tab w:val="left" w:pos="2405"/>
              </w:tabs>
              <w:spacing w:after="120"/>
              <w:jc w:val="right"/>
              <w:rPr>
                <w:sz w:val="17"/>
              </w:rPr>
            </w:pPr>
            <w:r>
              <w:rPr>
                <w:sz w:val="17"/>
              </w:rPr>
              <w:t>20</w:t>
            </w:r>
          </w:p>
        </w:tc>
        <w:tc>
          <w:tcPr>
            <w:tcW w:w="756" w:type="dxa"/>
          </w:tcPr>
          <w:p w:rsidR="00000000" w:rsidRDefault="00000000">
            <w:pPr>
              <w:tabs>
                <w:tab w:val="left" w:pos="475"/>
                <w:tab w:val="left" w:pos="965"/>
                <w:tab w:val="left" w:pos="1440"/>
                <w:tab w:val="left" w:pos="1915"/>
                <w:tab w:val="left" w:pos="2405"/>
              </w:tabs>
              <w:spacing w:after="120"/>
              <w:jc w:val="right"/>
              <w:rPr>
                <w:sz w:val="17"/>
              </w:rPr>
            </w:pPr>
            <w:r>
              <w:rPr>
                <w:sz w:val="17"/>
              </w:rPr>
              <w:t>13</w:t>
            </w:r>
          </w:p>
        </w:tc>
        <w:tc>
          <w:tcPr>
            <w:tcW w:w="832" w:type="dxa"/>
          </w:tcPr>
          <w:p w:rsidR="00000000" w:rsidRDefault="00000000">
            <w:pPr>
              <w:tabs>
                <w:tab w:val="left" w:pos="475"/>
                <w:tab w:val="left" w:pos="965"/>
                <w:tab w:val="left" w:pos="1440"/>
                <w:tab w:val="left" w:pos="1915"/>
                <w:tab w:val="left" w:pos="2405"/>
              </w:tabs>
              <w:spacing w:after="120"/>
              <w:jc w:val="right"/>
              <w:rPr>
                <w:sz w:val="17"/>
              </w:rPr>
            </w:pPr>
            <w:r>
              <w:rPr>
                <w:sz w:val="17"/>
              </w:rPr>
              <w:t>430</w:t>
            </w:r>
          </w:p>
        </w:tc>
      </w:tr>
      <w:tr w:rsidR="00000000">
        <w:tblPrEx>
          <w:tblCellMar>
            <w:top w:w="0" w:type="dxa"/>
            <w:bottom w:w="0" w:type="dxa"/>
          </w:tblCellMar>
        </w:tblPrEx>
        <w:tc>
          <w:tcPr>
            <w:tcW w:w="2484" w:type="dxa"/>
          </w:tcPr>
          <w:p w:rsidR="00000000" w:rsidRDefault="00000000">
            <w:pPr>
              <w:pStyle w:val="Header"/>
              <w:tabs>
                <w:tab w:val="clear" w:pos="4320"/>
                <w:tab w:val="clear" w:pos="8640"/>
                <w:tab w:val="left" w:pos="261"/>
                <w:tab w:val="left" w:pos="965"/>
                <w:tab w:val="left" w:pos="1440"/>
                <w:tab w:val="left" w:pos="1915"/>
                <w:tab w:val="left" w:pos="2405"/>
              </w:tabs>
              <w:suppressAutoHyphens/>
              <w:spacing w:after="120" w:line="240" w:lineRule="exact"/>
              <w:rPr>
                <w:noProof w:val="0"/>
                <w:spacing w:val="4"/>
                <w:w w:val="103"/>
                <w:kern w:val="14"/>
                <w:lang w:val="en-GB"/>
              </w:rPr>
            </w:pPr>
            <w:r>
              <w:rPr>
                <w:noProof w:val="0"/>
                <w:spacing w:val="4"/>
                <w:w w:val="103"/>
                <w:kern w:val="14"/>
                <w:lang w:val="en-GB"/>
              </w:rPr>
              <w:tab/>
              <w:t>First</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29 281</w:t>
            </w:r>
          </w:p>
        </w:tc>
        <w:tc>
          <w:tcPr>
            <w:tcW w:w="765" w:type="dxa"/>
          </w:tcPr>
          <w:p w:rsidR="00000000" w:rsidRDefault="00000000">
            <w:pPr>
              <w:tabs>
                <w:tab w:val="left" w:pos="475"/>
                <w:tab w:val="left" w:pos="965"/>
                <w:tab w:val="left" w:pos="1440"/>
                <w:tab w:val="left" w:pos="1915"/>
                <w:tab w:val="left" w:pos="2405"/>
              </w:tabs>
              <w:spacing w:after="120"/>
              <w:jc w:val="right"/>
              <w:rPr>
                <w:sz w:val="17"/>
              </w:rPr>
            </w:pPr>
            <w:r>
              <w:rPr>
                <w:sz w:val="17"/>
              </w:rPr>
              <w:t>55 946</w:t>
            </w:r>
          </w:p>
        </w:tc>
        <w:tc>
          <w:tcPr>
            <w:tcW w:w="747" w:type="dxa"/>
          </w:tcPr>
          <w:p w:rsidR="00000000" w:rsidRDefault="00000000">
            <w:pPr>
              <w:tabs>
                <w:tab w:val="left" w:pos="475"/>
                <w:tab w:val="left" w:pos="965"/>
                <w:tab w:val="left" w:pos="1440"/>
                <w:tab w:val="left" w:pos="1915"/>
                <w:tab w:val="left" w:pos="2405"/>
              </w:tabs>
              <w:spacing w:after="120"/>
              <w:jc w:val="right"/>
              <w:rPr>
                <w:sz w:val="17"/>
              </w:rPr>
            </w:pPr>
            <w:r>
              <w:rPr>
                <w:sz w:val="17"/>
              </w:rPr>
              <w:t>16 395</w:t>
            </w:r>
          </w:p>
        </w:tc>
        <w:tc>
          <w:tcPr>
            <w:tcW w:w="774" w:type="dxa"/>
          </w:tcPr>
          <w:p w:rsidR="00000000" w:rsidRDefault="00000000">
            <w:pPr>
              <w:tabs>
                <w:tab w:val="left" w:pos="475"/>
                <w:tab w:val="left" w:pos="965"/>
                <w:tab w:val="left" w:pos="1440"/>
                <w:tab w:val="left" w:pos="1915"/>
                <w:tab w:val="left" w:pos="2405"/>
              </w:tabs>
              <w:spacing w:after="120"/>
              <w:jc w:val="right"/>
              <w:rPr>
                <w:sz w:val="17"/>
              </w:rPr>
            </w:pPr>
            <w:r>
              <w:rPr>
                <w:sz w:val="17"/>
              </w:rPr>
              <w:t>5 572</w:t>
            </w:r>
          </w:p>
        </w:tc>
        <w:tc>
          <w:tcPr>
            <w:tcW w:w="801" w:type="dxa"/>
          </w:tcPr>
          <w:p w:rsidR="00000000" w:rsidRDefault="00000000">
            <w:pPr>
              <w:tabs>
                <w:tab w:val="left" w:pos="475"/>
                <w:tab w:val="left" w:pos="965"/>
                <w:tab w:val="left" w:pos="1440"/>
                <w:tab w:val="left" w:pos="1915"/>
                <w:tab w:val="left" w:pos="2405"/>
              </w:tabs>
              <w:spacing w:after="120"/>
              <w:jc w:val="right"/>
              <w:rPr>
                <w:sz w:val="17"/>
              </w:rPr>
            </w:pPr>
            <w:r>
              <w:rPr>
                <w:sz w:val="17"/>
              </w:rPr>
              <w:t>2 117</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336</w:t>
            </w:r>
          </w:p>
        </w:tc>
        <w:tc>
          <w:tcPr>
            <w:tcW w:w="657" w:type="dxa"/>
          </w:tcPr>
          <w:p w:rsidR="00000000" w:rsidRDefault="00000000">
            <w:pPr>
              <w:tabs>
                <w:tab w:val="left" w:pos="475"/>
                <w:tab w:val="left" w:pos="965"/>
                <w:tab w:val="left" w:pos="1440"/>
                <w:tab w:val="left" w:pos="1915"/>
                <w:tab w:val="left" w:pos="2405"/>
              </w:tabs>
              <w:spacing w:after="120"/>
              <w:jc w:val="right"/>
              <w:rPr>
                <w:sz w:val="17"/>
              </w:rPr>
            </w:pPr>
            <w:r>
              <w:rPr>
                <w:sz w:val="17"/>
              </w:rPr>
              <w:t>14</w:t>
            </w:r>
          </w:p>
        </w:tc>
        <w:tc>
          <w:tcPr>
            <w:tcW w:w="693" w:type="dxa"/>
          </w:tcPr>
          <w:p w:rsidR="00000000" w:rsidRDefault="00000000">
            <w:pPr>
              <w:tabs>
                <w:tab w:val="left" w:pos="475"/>
                <w:tab w:val="left" w:pos="965"/>
                <w:tab w:val="left" w:pos="1440"/>
                <w:tab w:val="left" w:pos="1915"/>
                <w:tab w:val="left" w:pos="2405"/>
              </w:tabs>
              <w:spacing w:after="120"/>
              <w:jc w:val="right"/>
              <w:rPr>
                <w:sz w:val="17"/>
              </w:rPr>
            </w:pPr>
            <w:r>
              <w:rPr>
                <w:sz w:val="17"/>
              </w:rPr>
              <w:t>0</w:t>
            </w:r>
          </w:p>
        </w:tc>
        <w:tc>
          <w:tcPr>
            <w:tcW w:w="756" w:type="dxa"/>
          </w:tcPr>
          <w:p w:rsidR="00000000" w:rsidRDefault="00000000">
            <w:pPr>
              <w:tabs>
                <w:tab w:val="left" w:pos="475"/>
                <w:tab w:val="left" w:pos="965"/>
                <w:tab w:val="left" w:pos="1440"/>
                <w:tab w:val="left" w:pos="1915"/>
                <w:tab w:val="left" w:pos="2405"/>
              </w:tabs>
              <w:spacing w:after="120"/>
              <w:jc w:val="right"/>
              <w:rPr>
                <w:sz w:val="17"/>
              </w:rPr>
            </w:pPr>
            <w:r>
              <w:rPr>
                <w:sz w:val="17"/>
              </w:rPr>
              <w:t>0</w:t>
            </w:r>
          </w:p>
        </w:tc>
        <w:tc>
          <w:tcPr>
            <w:tcW w:w="832" w:type="dxa"/>
          </w:tcPr>
          <w:p w:rsidR="00000000" w:rsidRDefault="00000000">
            <w:pPr>
              <w:tabs>
                <w:tab w:val="left" w:pos="475"/>
                <w:tab w:val="left" w:pos="965"/>
                <w:tab w:val="left" w:pos="1440"/>
                <w:tab w:val="left" w:pos="1915"/>
                <w:tab w:val="left" w:pos="2405"/>
              </w:tabs>
              <w:spacing w:after="120"/>
              <w:jc w:val="right"/>
              <w:rPr>
                <w:sz w:val="17"/>
              </w:rPr>
            </w:pPr>
            <w:r>
              <w:rPr>
                <w:sz w:val="17"/>
              </w:rPr>
              <w:t>262</w:t>
            </w:r>
          </w:p>
        </w:tc>
      </w:tr>
      <w:tr w:rsidR="00000000">
        <w:tblPrEx>
          <w:tblCellMar>
            <w:top w:w="0" w:type="dxa"/>
            <w:bottom w:w="0" w:type="dxa"/>
          </w:tblCellMar>
        </w:tblPrEx>
        <w:tc>
          <w:tcPr>
            <w:tcW w:w="2484" w:type="dxa"/>
          </w:tcPr>
          <w:p w:rsidR="00000000" w:rsidRDefault="00000000">
            <w:pPr>
              <w:tabs>
                <w:tab w:val="left" w:pos="261"/>
                <w:tab w:val="left" w:pos="965"/>
                <w:tab w:val="left" w:pos="1440"/>
                <w:tab w:val="left" w:pos="1915"/>
                <w:tab w:val="left" w:pos="2405"/>
              </w:tabs>
              <w:spacing w:after="120"/>
              <w:rPr>
                <w:sz w:val="17"/>
              </w:rPr>
            </w:pPr>
            <w:r>
              <w:rPr>
                <w:sz w:val="17"/>
              </w:rPr>
              <w:tab/>
              <w:t>Second</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2 668</w:t>
            </w:r>
          </w:p>
        </w:tc>
        <w:tc>
          <w:tcPr>
            <w:tcW w:w="765" w:type="dxa"/>
          </w:tcPr>
          <w:p w:rsidR="00000000" w:rsidRDefault="00000000">
            <w:pPr>
              <w:tabs>
                <w:tab w:val="left" w:pos="475"/>
                <w:tab w:val="left" w:pos="965"/>
                <w:tab w:val="left" w:pos="1440"/>
                <w:tab w:val="left" w:pos="1915"/>
                <w:tab w:val="left" w:pos="2405"/>
              </w:tabs>
              <w:spacing w:after="120"/>
              <w:jc w:val="right"/>
              <w:rPr>
                <w:sz w:val="17"/>
              </w:rPr>
            </w:pPr>
            <w:r>
              <w:rPr>
                <w:sz w:val="17"/>
              </w:rPr>
              <w:t>34 242</w:t>
            </w:r>
          </w:p>
        </w:tc>
        <w:tc>
          <w:tcPr>
            <w:tcW w:w="747" w:type="dxa"/>
          </w:tcPr>
          <w:p w:rsidR="00000000" w:rsidRDefault="00000000">
            <w:pPr>
              <w:tabs>
                <w:tab w:val="left" w:pos="475"/>
                <w:tab w:val="left" w:pos="965"/>
                <w:tab w:val="left" w:pos="1440"/>
                <w:tab w:val="left" w:pos="1915"/>
                <w:tab w:val="left" w:pos="2405"/>
              </w:tabs>
              <w:spacing w:after="120"/>
              <w:jc w:val="right"/>
              <w:rPr>
                <w:sz w:val="17"/>
              </w:rPr>
            </w:pPr>
            <w:r>
              <w:rPr>
                <w:sz w:val="17"/>
              </w:rPr>
              <w:t>25 549</w:t>
            </w:r>
          </w:p>
        </w:tc>
        <w:tc>
          <w:tcPr>
            <w:tcW w:w="774" w:type="dxa"/>
          </w:tcPr>
          <w:p w:rsidR="00000000" w:rsidRDefault="00000000">
            <w:pPr>
              <w:tabs>
                <w:tab w:val="left" w:pos="475"/>
                <w:tab w:val="left" w:pos="965"/>
                <w:tab w:val="left" w:pos="1440"/>
                <w:tab w:val="left" w:pos="1915"/>
                <w:tab w:val="left" w:pos="2405"/>
              </w:tabs>
              <w:spacing w:after="120"/>
              <w:jc w:val="right"/>
              <w:rPr>
                <w:sz w:val="17"/>
              </w:rPr>
            </w:pPr>
            <w:r>
              <w:rPr>
                <w:sz w:val="17"/>
              </w:rPr>
              <w:t>9 553</w:t>
            </w:r>
          </w:p>
        </w:tc>
        <w:tc>
          <w:tcPr>
            <w:tcW w:w="801" w:type="dxa"/>
          </w:tcPr>
          <w:p w:rsidR="00000000" w:rsidRDefault="00000000">
            <w:pPr>
              <w:tabs>
                <w:tab w:val="left" w:pos="475"/>
                <w:tab w:val="left" w:pos="965"/>
                <w:tab w:val="left" w:pos="1440"/>
                <w:tab w:val="left" w:pos="1915"/>
                <w:tab w:val="left" w:pos="2405"/>
              </w:tabs>
              <w:spacing w:after="120"/>
              <w:jc w:val="right"/>
              <w:rPr>
                <w:sz w:val="17"/>
              </w:rPr>
            </w:pPr>
            <w:r>
              <w:rPr>
                <w:sz w:val="17"/>
              </w:rPr>
              <w:t>2 688</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348</w:t>
            </w:r>
          </w:p>
        </w:tc>
        <w:tc>
          <w:tcPr>
            <w:tcW w:w="657" w:type="dxa"/>
          </w:tcPr>
          <w:p w:rsidR="00000000" w:rsidRDefault="00000000">
            <w:pPr>
              <w:tabs>
                <w:tab w:val="left" w:pos="475"/>
                <w:tab w:val="left" w:pos="965"/>
                <w:tab w:val="left" w:pos="1440"/>
                <w:tab w:val="left" w:pos="1915"/>
                <w:tab w:val="left" w:pos="2405"/>
              </w:tabs>
              <w:spacing w:after="120"/>
              <w:jc w:val="right"/>
              <w:rPr>
                <w:sz w:val="17"/>
              </w:rPr>
            </w:pPr>
            <w:r>
              <w:rPr>
                <w:sz w:val="17"/>
              </w:rPr>
              <w:t>23</w:t>
            </w:r>
          </w:p>
        </w:tc>
        <w:tc>
          <w:tcPr>
            <w:tcW w:w="693" w:type="dxa"/>
          </w:tcPr>
          <w:p w:rsidR="00000000" w:rsidRDefault="00000000">
            <w:pPr>
              <w:tabs>
                <w:tab w:val="left" w:pos="475"/>
                <w:tab w:val="left" w:pos="965"/>
                <w:tab w:val="left" w:pos="1440"/>
                <w:tab w:val="left" w:pos="1915"/>
                <w:tab w:val="left" w:pos="2405"/>
              </w:tabs>
              <w:spacing w:after="120"/>
              <w:jc w:val="right"/>
              <w:rPr>
                <w:sz w:val="17"/>
              </w:rPr>
            </w:pPr>
            <w:r>
              <w:rPr>
                <w:sz w:val="17"/>
              </w:rPr>
              <w:t>4</w:t>
            </w:r>
          </w:p>
        </w:tc>
        <w:tc>
          <w:tcPr>
            <w:tcW w:w="756" w:type="dxa"/>
          </w:tcPr>
          <w:p w:rsidR="00000000" w:rsidRDefault="00000000">
            <w:pPr>
              <w:tabs>
                <w:tab w:val="left" w:pos="475"/>
                <w:tab w:val="left" w:pos="965"/>
                <w:tab w:val="left" w:pos="1440"/>
                <w:tab w:val="left" w:pos="1915"/>
                <w:tab w:val="left" w:pos="2405"/>
              </w:tabs>
              <w:spacing w:after="120"/>
              <w:jc w:val="right"/>
              <w:rPr>
                <w:sz w:val="17"/>
              </w:rPr>
            </w:pPr>
            <w:r>
              <w:rPr>
                <w:sz w:val="17"/>
              </w:rPr>
              <w:t>1</w:t>
            </w:r>
          </w:p>
        </w:tc>
        <w:tc>
          <w:tcPr>
            <w:tcW w:w="832" w:type="dxa"/>
          </w:tcPr>
          <w:p w:rsidR="00000000" w:rsidRDefault="00000000">
            <w:pPr>
              <w:tabs>
                <w:tab w:val="left" w:pos="475"/>
                <w:tab w:val="left" w:pos="965"/>
                <w:tab w:val="left" w:pos="1440"/>
                <w:tab w:val="left" w:pos="1915"/>
                <w:tab w:val="left" w:pos="2405"/>
              </w:tabs>
              <w:spacing w:after="120"/>
              <w:jc w:val="right"/>
              <w:rPr>
                <w:sz w:val="17"/>
              </w:rPr>
            </w:pPr>
            <w:r>
              <w:rPr>
                <w:sz w:val="17"/>
              </w:rPr>
              <w:t>33</w:t>
            </w:r>
          </w:p>
        </w:tc>
      </w:tr>
      <w:tr w:rsidR="00000000">
        <w:tblPrEx>
          <w:tblCellMar>
            <w:top w:w="0" w:type="dxa"/>
            <w:bottom w:w="0" w:type="dxa"/>
          </w:tblCellMar>
        </w:tblPrEx>
        <w:tc>
          <w:tcPr>
            <w:tcW w:w="2484" w:type="dxa"/>
          </w:tcPr>
          <w:p w:rsidR="00000000" w:rsidRDefault="00000000">
            <w:pPr>
              <w:tabs>
                <w:tab w:val="left" w:pos="261"/>
                <w:tab w:val="left" w:pos="965"/>
                <w:tab w:val="left" w:pos="1440"/>
                <w:tab w:val="left" w:pos="1915"/>
                <w:tab w:val="left" w:pos="2405"/>
              </w:tabs>
              <w:spacing w:after="120"/>
              <w:rPr>
                <w:sz w:val="17"/>
              </w:rPr>
            </w:pPr>
            <w:r>
              <w:rPr>
                <w:sz w:val="17"/>
              </w:rPr>
              <w:tab/>
              <w:t>Third</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19</w:t>
            </w:r>
          </w:p>
        </w:tc>
        <w:tc>
          <w:tcPr>
            <w:tcW w:w="765" w:type="dxa"/>
          </w:tcPr>
          <w:p w:rsidR="00000000" w:rsidRDefault="00000000">
            <w:pPr>
              <w:tabs>
                <w:tab w:val="left" w:pos="475"/>
                <w:tab w:val="left" w:pos="965"/>
                <w:tab w:val="left" w:pos="1440"/>
                <w:tab w:val="left" w:pos="1915"/>
                <w:tab w:val="left" w:pos="2405"/>
              </w:tabs>
              <w:spacing w:after="120"/>
              <w:jc w:val="right"/>
              <w:rPr>
                <w:sz w:val="17"/>
              </w:rPr>
            </w:pPr>
            <w:r>
              <w:rPr>
                <w:sz w:val="17"/>
              </w:rPr>
              <w:t>6 843</w:t>
            </w:r>
          </w:p>
        </w:tc>
        <w:tc>
          <w:tcPr>
            <w:tcW w:w="747" w:type="dxa"/>
          </w:tcPr>
          <w:p w:rsidR="00000000" w:rsidRDefault="00000000">
            <w:pPr>
              <w:tabs>
                <w:tab w:val="left" w:pos="475"/>
                <w:tab w:val="left" w:pos="965"/>
                <w:tab w:val="left" w:pos="1440"/>
                <w:tab w:val="left" w:pos="1915"/>
                <w:tab w:val="left" w:pos="2405"/>
              </w:tabs>
              <w:spacing w:after="120"/>
              <w:jc w:val="right"/>
              <w:rPr>
                <w:sz w:val="17"/>
              </w:rPr>
            </w:pPr>
            <w:r>
              <w:rPr>
                <w:sz w:val="17"/>
              </w:rPr>
              <w:t>15 267</w:t>
            </w:r>
          </w:p>
        </w:tc>
        <w:tc>
          <w:tcPr>
            <w:tcW w:w="774" w:type="dxa"/>
          </w:tcPr>
          <w:p w:rsidR="00000000" w:rsidRDefault="00000000">
            <w:pPr>
              <w:tabs>
                <w:tab w:val="left" w:pos="475"/>
                <w:tab w:val="left" w:pos="965"/>
                <w:tab w:val="left" w:pos="1440"/>
                <w:tab w:val="left" w:pos="1915"/>
                <w:tab w:val="left" w:pos="2405"/>
              </w:tabs>
              <w:spacing w:after="120"/>
              <w:jc w:val="right"/>
              <w:rPr>
                <w:sz w:val="17"/>
              </w:rPr>
            </w:pPr>
            <w:r>
              <w:rPr>
                <w:sz w:val="17"/>
              </w:rPr>
              <w:t>10 717</w:t>
            </w:r>
          </w:p>
        </w:tc>
        <w:tc>
          <w:tcPr>
            <w:tcW w:w="801" w:type="dxa"/>
          </w:tcPr>
          <w:p w:rsidR="00000000" w:rsidRDefault="00000000">
            <w:pPr>
              <w:tabs>
                <w:tab w:val="left" w:pos="475"/>
                <w:tab w:val="left" w:pos="965"/>
                <w:tab w:val="left" w:pos="1440"/>
                <w:tab w:val="left" w:pos="1915"/>
                <w:tab w:val="left" w:pos="2405"/>
              </w:tabs>
              <w:spacing w:after="120"/>
              <w:jc w:val="right"/>
              <w:rPr>
                <w:sz w:val="17"/>
              </w:rPr>
            </w:pPr>
            <w:r>
              <w:rPr>
                <w:sz w:val="17"/>
              </w:rPr>
              <w:t>3 785</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449</w:t>
            </w:r>
          </w:p>
        </w:tc>
        <w:tc>
          <w:tcPr>
            <w:tcW w:w="657" w:type="dxa"/>
          </w:tcPr>
          <w:p w:rsidR="00000000" w:rsidRDefault="00000000">
            <w:pPr>
              <w:tabs>
                <w:tab w:val="left" w:pos="475"/>
                <w:tab w:val="left" w:pos="965"/>
                <w:tab w:val="left" w:pos="1440"/>
                <w:tab w:val="left" w:pos="1915"/>
                <w:tab w:val="left" w:pos="2405"/>
              </w:tabs>
              <w:spacing w:after="120"/>
              <w:jc w:val="right"/>
              <w:rPr>
                <w:sz w:val="17"/>
              </w:rPr>
            </w:pPr>
            <w:r>
              <w:rPr>
                <w:sz w:val="17"/>
              </w:rPr>
              <w:t>26</w:t>
            </w:r>
          </w:p>
        </w:tc>
        <w:tc>
          <w:tcPr>
            <w:tcW w:w="693" w:type="dxa"/>
          </w:tcPr>
          <w:p w:rsidR="00000000" w:rsidRDefault="00000000">
            <w:pPr>
              <w:tabs>
                <w:tab w:val="left" w:pos="475"/>
                <w:tab w:val="left" w:pos="965"/>
                <w:tab w:val="left" w:pos="1440"/>
                <w:tab w:val="left" w:pos="1915"/>
                <w:tab w:val="left" w:pos="2405"/>
              </w:tabs>
              <w:spacing w:after="120"/>
              <w:jc w:val="right"/>
              <w:rPr>
                <w:sz w:val="17"/>
              </w:rPr>
            </w:pPr>
            <w:r>
              <w:rPr>
                <w:sz w:val="17"/>
              </w:rPr>
              <w:t>1</w:t>
            </w:r>
          </w:p>
        </w:tc>
        <w:tc>
          <w:tcPr>
            <w:tcW w:w="756" w:type="dxa"/>
          </w:tcPr>
          <w:p w:rsidR="00000000" w:rsidRDefault="00000000">
            <w:pPr>
              <w:tabs>
                <w:tab w:val="left" w:pos="475"/>
                <w:tab w:val="left" w:pos="965"/>
                <w:tab w:val="left" w:pos="1440"/>
                <w:tab w:val="left" w:pos="1915"/>
                <w:tab w:val="left" w:pos="2405"/>
              </w:tabs>
              <w:spacing w:after="120"/>
              <w:jc w:val="right"/>
              <w:rPr>
                <w:sz w:val="17"/>
              </w:rPr>
            </w:pPr>
            <w:r>
              <w:rPr>
                <w:sz w:val="17"/>
              </w:rPr>
              <w:t>2</w:t>
            </w:r>
          </w:p>
        </w:tc>
        <w:tc>
          <w:tcPr>
            <w:tcW w:w="832" w:type="dxa"/>
          </w:tcPr>
          <w:p w:rsidR="00000000" w:rsidRDefault="00000000">
            <w:pPr>
              <w:tabs>
                <w:tab w:val="left" w:pos="475"/>
                <w:tab w:val="left" w:pos="965"/>
                <w:tab w:val="left" w:pos="1440"/>
                <w:tab w:val="left" w:pos="1915"/>
                <w:tab w:val="left" w:pos="2405"/>
              </w:tabs>
              <w:spacing w:after="120"/>
              <w:jc w:val="right"/>
              <w:rPr>
                <w:sz w:val="17"/>
              </w:rPr>
            </w:pPr>
            <w:r>
              <w:rPr>
                <w:sz w:val="17"/>
              </w:rPr>
              <w:t>28</w:t>
            </w:r>
          </w:p>
        </w:tc>
      </w:tr>
      <w:tr w:rsidR="00000000">
        <w:tblPrEx>
          <w:tblCellMar>
            <w:top w:w="0" w:type="dxa"/>
            <w:bottom w:w="0" w:type="dxa"/>
          </w:tblCellMar>
        </w:tblPrEx>
        <w:tc>
          <w:tcPr>
            <w:tcW w:w="2484" w:type="dxa"/>
          </w:tcPr>
          <w:p w:rsidR="00000000" w:rsidRDefault="00000000">
            <w:pPr>
              <w:tabs>
                <w:tab w:val="left" w:pos="261"/>
                <w:tab w:val="left" w:pos="965"/>
                <w:tab w:val="left" w:pos="1440"/>
                <w:tab w:val="left" w:pos="1915"/>
                <w:tab w:val="left" w:pos="2405"/>
              </w:tabs>
              <w:spacing w:after="120"/>
              <w:rPr>
                <w:sz w:val="17"/>
              </w:rPr>
            </w:pPr>
            <w:r>
              <w:rPr>
                <w:sz w:val="17"/>
              </w:rPr>
              <w:tab/>
              <w:t>Fourth</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1</w:t>
            </w:r>
          </w:p>
        </w:tc>
        <w:tc>
          <w:tcPr>
            <w:tcW w:w="765" w:type="dxa"/>
          </w:tcPr>
          <w:p w:rsidR="00000000" w:rsidRDefault="00000000">
            <w:pPr>
              <w:tabs>
                <w:tab w:val="left" w:pos="475"/>
                <w:tab w:val="left" w:pos="965"/>
                <w:tab w:val="left" w:pos="1440"/>
                <w:tab w:val="left" w:pos="1915"/>
                <w:tab w:val="left" w:pos="2405"/>
              </w:tabs>
              <w:spacing w:after="120"/>
              <w:jc w:val="right"/>
              <w:rPr>
                <w:sz w:val="17"/>
              </w:rPr>
            </w:pPr>
            <w:r>
              <w:rPr>
                <w:sz w:val="17"/>
              </w:rPr>
              <w:t>808</w:t>
            </w:r>
          </w:p>
        </w:tc>
        <w:tc>
          <w:tcPr>
            <w:tcW w:w="747" w:type="dxa"/>
          </w:tcPr>
          <w:p w:rsidR="00000000" w:rsidRDefault="00000000">
            <w:pPr>
              <w:tabs>
                <w:tab w:val="left" w:pos="475"/>
                <w:tab w:val="left" w:pos="965"/>
                <w:tab w:val="left" w:pos="1440"/>
                <w:tab w:val="left" w:pos="1915"/>
                <w:tab w:val="left" w:pos="2405"/>
              </w:tabs>
              <w:spacing w:after="120"/>
              <w:jc w:val="right"/>
              <w:rPr>
                <w:sz w:val="17"/>
              </w:rPr>
            </w:pPr>
            <w:r>
              <w:rPr>
                <w:sz w:val="17"/>
              </w:rPr>
              <w:t>5 735</w:t>
            </w:r>
          </w:p>
        </w:tc>
        <w:tc>
          <w:tcPr>
            <w:tcW w:w="774" w:type="dxa"/>
          </w:tcPr>
          <w:p w:rsidR="00000000" w:rsidRDefault="00000000">
            <w:pPr>
              <w:tabs>
                <w:tab w:val="left" w:pos="475"/>
                <w:tab w:val="left" w:pos="965"/>
                <w:tab w:val="left" w:pos="1440"/>
                <w:tab w:val="left" w:pos="1915"/>
                <w:tab w:val="left" w:pos="2405"/>
              </w:tabs>
              <w:spacing w:after="120"/>
              <w:jc w:val="right"/>
              <w:rPr>
                <w:sz w:val="17"/>
              </w:rPr>
            </w:pPr>
            <w:r>
              <w:rPr>
                <w:sz w:val="17"/>
              </w:rPr>
              <w:t>6 939</w:t>
            </w:r>
          </w:p>
        </w:tc>
        <w:tc>
          <w:tcPr>
            <w:tcW w:w="801" w:type="dxa"/>
          </w:tcPr>
          <w:p w:rsidR="00000000" w:rsidRDefault="00000000">
            <w:pPr>
              <w:tabs>
                <w:tab w:val="left" w:pos="475"/>
                <w:tab w:val="left" w:pos="965"/>
                <w:tab w:val="left" w:pos="1440"/>
                <w:tab w:val="left" w:pos="1915"/>
                <w:tab w:val="left" w:pos="2405"/>
              </w:tabs>
              <w:spacing w:after="120"/>
              <w:jc w:val="right"/>
              <w:rPr>
                <w:sz w:val="17"/>
              </w:rPr>
            </w:pPr>
            <w:r>
              <w:rPr>
                <w:sz w:val="17"/>
              </w:rPr>
              <w:t>3 308</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481</w:t>
            </w:r>
          </w:p>
        </w:tc>
        <w:tc>
          <w:tcPr>
            <w:tcW w:w="657" w:type="dxa"/>
          </w:tcPr>
          <w:p w:rsidR="00000000" w:rsidRDefault="00000000">
            <w:pPr>
              <w:tabs>
                <w:tab w:val="left" w:pos="475"/>
                <w:tab w:val="left" w:pos="965"/>
                <w:tab w:val="left" w:pos="1440"/>
                <w:tab w:val="left" w:pos="1915"/>
                <w:tab w:val="left" w:pos="2405"/>
              </w:tabs>
              <w:spacing w:after="120"/>
              <w:jc w:val="right"/>
              <w:rPr>
                <w:sz w:val="17"/>
              </w:rPr>
            </w:pPr>
            <w:r>
              <w:rPr>
                <w:sz w:val="17"/>
              </w:rPr>
              <w:t>33</w:t>
            </w:r>
          </w:p>
        </w:tc>
        <w:tc>
          <w:tcPr>
            <w:tcW w:w="693" w:type="dxa"/>
          </w:tcPr>
          <w:p w:rsidR="00000000" w:rsidRDefault="00000000">
            <w:pPr>
              <w:tabs>
                <w:tab w:val="left" w:pos="475"/>
                <w:tab w:val="left" w:pos="965"/>
                <w:tab w:val="left" w:pos="1440"/>
                <w:tab w:val="left" w:pos="1915"/>
                <w:tab w:val="left" w:pos="2405"/>
              </w:tabs>
              <w:spacing w:after="120"/>
              <w:jc w:val="right"/>
              <w:rPr>
                <w:sz w:val="17"/>
              </w:rPr>
            </w:pPr>
            <w:r>
              <w:rPr>
                <w:sz w:val="17"/>
              </w:rPr>
              <w:t>2</w:t>
            </w:r>
          </w:p>
        </w:tc>
        <w:tc>
          <w:tcPr>
            <w:tcW w:w="756" w:type="dxa"/>
          </w:tcPr>
          <w:p w:rsidR="00000000" w:rsidRDefault="00000000">
            <w:pPr>
              <w:tabs>
                <w:tab w:val="left" w:pos="475"/>
                <w:tab w:val="left" w:pos="965"/>
                <w:tab w:val="left" w:pos="1440"/>
                <w:tab w:val="left" w:pos="1915"/>
                <w:tab w:val="left" w:pos="2405"/>
              </w:tabs>
              <w:spacing w:after="120"/>
              <w:jc w:val="right"/>
              <w:rPr>
                <w:sz w:val="17"/>
              </w:rPr>
            </w:pPr>
            <w:r>
              <w:rPr>
                <w:sz w:val="17"/>
              </w:rPr>
              <w:t>3</w:t>
            </w:r>
          </w:p>
        </w:tc>
        <w:tc>
          <w:tcPr>
            <w:tcW w:w="832" w:type="dxa"/>
          </w:tcPr>
          <w:p w:rsidR="00000000" w:rsidRDefault="00000000">
            <w:pPr>
              <w:tabs>
                <w:tab w:val="left" w:pos="475"/>
                <w:tab w:val="left" w:pos="965"/>
                <w:tab w:val="left" w:pos="1440"/>
                <w:tab w:val="left" w:pos="1915"/>
                <w:tab w:val="left" w:pos="2405"/>
              </w:tabs>
              <w:spacing w:after="120"/>
              <w:jc w:val="right"/>
              <w:rPr>
                <w:sz w:val="17"/>
              </w:rPr>
            </w:pPr>
            <w:r>
              <w:rPr>
                <w:sz w:val="17"/>
              </w:rPr>
              <w:t>4</w:t>
            </w:r>
          </w:p>
        </w:tc>
      </w:tr>
      <w:tr w:rsidR="00000000">
        <w:tblPrEx>
          <w:tblCellMar>
            <w:top w:w="0" w:type="dxa"/>
            <w:bottom w:w="0" w:type="dxa"/>
          </w:tblCellMar>
        </w:tblPrEx>
        <w:tc>
          <w:tcPr>
            <w:tcW w:w="2484" w:type="dxa"/>
          </w:tcPr>
          <w:p w:rsidR="00000000" w:rsidRDefault="00000000">
            <w:pPr>
              <w:tabs>
                <w:tab w:val="left" w:pos="261"/>
                <w:tab w:val="left" w:pos="965"/>
                <w:tab w:val="left" w:pos="1440"/>
                <w:tab w:val="left" w:pos="1915"/>
                <w:tab w:val="left" w:pos="2405"/>
              </w:tabs>
              <w:spacing w:after="120"/>
              <w:rPr>
                <w:sz w:val="17"/>
              </w:rPr>
            </w:pPr>
            <w:r>
              <w:rPr>
                <w:sz w:val="17"/>
              </w:rPr>
              <w:tab/>
              <w:t>Fifth</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0</w:t>
            </w:r>
          </w:p>
        </w:tc>
        <w:tc>
          <w:tcPr>
            <w:tcW w:w="765" w:type="dxa"/>
          </w:tcPr>
          <w:p w:rsidR="00000000" w:rsidRDefault="00000000">
            <w:pPr>
              <w:tabs>
                <w:tab w:val="left" w:pos="475"/>
                <w:tab w:val="left" w:pos="965"/>
                <w:tab w:val="left" w:pos="1440"/>
                <w:tab w:val="left" w:pos="1915"/>
                <w:tab w:val="left" w:pos="2405"/>
              </w:tabs>
              <w:spacing w:after="120"/>
              <w:jc w:val="right"/>
              <w:rPr>
                <w:sz w:val="17"/>
              </w:rPr>
            </w:pPr>
            <w:r>
              <w:rPr>
                <w:sz w:val="17"/>
              </w:rPr>
              <w:t>89</w:t>
            </w:r>
          </w:p>
        </w:tc>
        <w:tc>
          <w:tcPr>
            <w:tcW w:w="747" w:type="dxa"/>
          </w:tcPr>
          <w:p w:rsidR="00000000" w:rsidRDefault="00000000">
            <w:pPr>
              <w:tabs>
                <w:tab w:val="left" w:pos="475"/>
                <w:tab w:val="left" w:pos="965"/>
                <w:tab w:val="left" w:pos="1440"/>
                <w:tab w:val="left" w:pos="1915"/>
                <w:tab w:val="left" w:pos="2405"/>
              </w:tabs>
              <w:spacing w:after="120"/>
              <w:jc w:val="right"/>
              <w:rPr>
                <w:sz w:val="17"/>
              </w:rPr>
            </w:pPr>
            <w:r>
              <w:rPr>
                <w:sz w:val="17"/>
              </w:rPr>
              <w:t>1 339</w:t>
            </w:r>
          </w:p>
        </w:tc>
        <w:tc>
          <w:tcPr>
            <w:tcW w:w="774" w:type="dxa"/>
          </w:tcPr>
          <w:p w:rsidR="00000000" w:rsidRDefault="00000000">
            <w:pPr>
              <w:tabs>
                <w:tab w:val="left" w:pos="475"/>
                <w:tab w:val="left" w:pos="965"/>
                <w:tab w:val="left" w:pos="1440"/>
                <w:tab w:val="left" w:pos="1915"/>
                <w:tab w:val="left" w:pos="2405"/>
              </w:tabs>
              <w:spacing w:after="120"/>
              <w:jc w:val="right"/>
              <w:rPr>
                <w:sz w:val="17"/>
              </w:rPr>
            </w:pPr>
            <w:r>
              <w:rPr>
                <w:sz w:val="17"/>
              </w:rPr>
              <w:t>3 329</w:t>
            </w:r>
          </w:p>
        </w:tc>
        <w:tc>
          <w:tcPr>
            <w:tcW w:w="801" w:type="dxa"/>
          </w:tcPr>
          <w:p w:rsidR="00000000" w:rsidRDefault="00000000">
            <w:pPr>
              <w:tabs>
                <w:tab w:val="left" w:pos="475"/>
                <w:tab w:val="left" w:pos="965"/>
                <w:tab w:val="left" w:pos="1440"/>
                <w:tab w:val="left" w:pos="1915"/>
                <w:tab w:val="left" w:pos="2405"/>
              </w:tabs>
              <w:spacing w:after="120"/>
              <w:jc w:val="right"/>
              <w:rPr>
                <w:sz w:val="17"/>
              </w:rPr>
            </w:pPr>
            <w:r>
              <w:rPr>
                <w:sz w:val="17"/>
              </w:rPr>
              <w:t>2 331</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455</w:t>
            </w:r>
          </w:p>
        </w:tc>
        <w:tc>
          <w:tcPr>
            <w:tcW w:w="657" w:type="dxa"/>
          </w:tcPr>
          <w:p w:rsidR="00000000" w:rsidRDefault="00000000">
            <w:pPr>
              <w:tabs>
                <w:tab w:val="left" w:pos="475"/>
                <w:tab w:val="left" w:pos="965"/>
                <w:tab w:val="left" w:pos="1440"/>
                <w:tab w:val="left" w:pos="1915"/>
                <w:tab w:val="left" w:pos="2405"/>
              </w:tabs>
              <w:spacing w:after="120"/>
              <w:jc w:val="right"/>
              <w:rPr>
                <w:sz w:val="17"/>
              </w:rPr>
            </w:pPr>
            <w:r>
              <w:rPr>
                <w:sz w:val="17"/>
              </w:rPr>
              <w:t>26</w:t>
            </w:r>
          </w:p>
        </w:tc>
        <w:tc>
          <w:tcPr>
            <w:tcW w:w="693" w:type="dxa"/>
          </w:tcPr>
          <w:p w:rsidR="00000000" w:rsidRDefault="00000000">
            <w:pPr>
              <w:tabs>
                <w:tab w:val="left" w:pos="475"/>
                <w:tab w:val="left" w:pos="965"/>
                <w:tab w:val="left" w:pos="1440"/>
                <w:tab w:val="left" w:pos="1915"/>
                <w:tab w:val="left" w:pos="2405"/>
              </w:tabs>
              <w:spacing w:after="120"/>
              <w:jc w:val="right"/>
              <w:rPr>
                <w:sz w:val="17"/>
              </w:rPr>
            </w:pPr>
            <w:r>
              <w:rPr>
                <w:sz w:val="17"/>
              </w:rPr>
              <w:t>4</w:t>
            </w:r>
          </w:p>
        </w:tc>
        <w:tc>
          <w:tcPr>
            <w:tcW w:w="756" w:type="dxa"/>
          </w:tcPr>
          <w:p w:rsidR="00000000" w:rsidRDefault="00000000">
            <w:pPr>
              <w:tabs>
                <w:tab w:val="left" w:pos="475"/>
                <w:tab w:val="left" w:pos="965"/>
                <w:tab w:val="left" w:pos="1440"/>
                <w:tab w:val="left" w:pos="1915"/>
                <w:tab w:val="left" w:pos="2405"/>
              </w:tabs>
              <w:spacing w:after="120"/>
              <w:jc w:val="right"/>
              <w:rPr>
                <w:sz w:val="17"/>
              </w:rPr>
            </w:pPr>
            <w:r>
              <w:rPr>
                <w:sz w:val="17"/>
              </w:rPr>
              <w:t>2</w:t>
            </w:r>
          </w:p>
        </w:tc>
        <w:tc>
          <w:tcPr>
            <w:tcW w:w="832" w:type="dxa"/>
          </w:tcPr>
          <w:p w:rsidR="00000000" w:rsidRDefault="00000000">
            <w:pPr>
              <w:tabs>
                <w:tab w:val="left" w:pos="475"/>
                <w:tab w:val="left" w:pos="965"/>
                <w:tab w:val="left" w:pos="1440"/>
                <w:tab w:val="left" w:pos="1915"/>
                <w:tab w:val="left" w:pos="2405"/>
              </w:tabs>
              <w:spacing w:after="120"/>
              <w:jc w:val="right"/>
              <w:rPr>
                <w:sz w:val="17"/>
              </w:rPr>
            </w:pPr>
            <w:r>
              <w:rPr>
                <w:sz w:val="17"/>
              </w:rPr>
              <w:t>5</w:t>
            </w:r>
          </w:p>
        </w:tc>
      </w:tr>
      <w:tr w:rsidR="00000000">
        <w:tblPrEx>
          <w:tblCellMar>
            <w:top w:w="0" w:type="dxa"/>
            <w:bottom w:w="0" w:type="dxa"/>
          </w:tblCellMar>
        </w:tblPrEx>
        <w:tc>
          <w:tcPr>
            <w:tcW w:w="2484" w:type="dxa"/>
          </w:tcPr>
          <w:p w:rsidR="00000000" w:rsidRDefault="00000000">
            <w:pPr>
              <w:tabs>
                <w:tab w:val="left" w:pos="261"/>
                <w:tab w:val="left" w:pos="965"/>
                <w:tab w:val="left" w:pos="1440"/>
                <w:tab w:val="left" w:pos="1915"/>
                <w:tab w:val="left" w:pos="2405"/>
              </w:tabs>
              <w:spacing w:after="120"/>
              <w:rPr>
                <w:sz w:val="17"/>
              </w:rPr>
            </w:pPr>
            <w:r>
              <w:rPr>
                <w:sz w:val="17"/>
              </w:rPr>
              <w:tab/>
              <w:t>Sixth</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0</w:t>
            </w:r>
          </w:p>
        </w:tc>
        <w:tc>
          <w:tcPr>
            <w:tcW w:w="765" w:type="dxa"/>
          </w:tcPr>
          <w:p w:rsidR="00000000" w:rsidRDefault="00000000">
            <w:pPr>
              <w:tabs>
                <w:tab w:val="left" w:pos="475"/>
                <w:tab w:val="left" w:pos="965"/>
                <w:tab w:val="left" w:pos="1440"/>
                <w:tab w:val="left" w:pos="1915"/>
                <w:tab w:val="left" w:pos="2405"/>
              </w:tabs>
              <w:spacing w:after="120"/>
              <w:jc w:val="right"/>
              <w:rPr>
                <w:sz w:val="17"/>
              </w:rPr>
            </w:pPr>
            <w:r>
              <w:rPr>
                <w:sz w:val="17"/>
              </w:rPr>
              <w:t>10</w:t>
            </w:r>
          </w:p>
        </w:tc>
        <w:tc>
          <w:tcPr>
            <w:tcW w:w="747" w:type="dxa"/>
          </w:tcPr>
          <w:p w:rsidR="00000000" w:rsidRDefault="00000000">
            <w:pPr>
              <w:tabs>
                <w:tab w:val="left" w:pos="475"/>
                <w:tab w:val="left" w:pos="965"/>
                <w:tab w:val="left" w:pos="1440"/>
                <w:tab w:val="left" w:pos="1915"/>
                <w:tab w:val="left" w:pos="2405"/>
              </w:tabs>
              <w:spacing w:after="120"/>
              <w:jc w:val="right"/>
              <w:rPr>
                <w:sz w:val="17"/>
              </w:rPr>
            </w:pPr>
            <w:r>
              <w:rPr>
                <w:sz w:val="17"/>
              </w:rPr>
              <w:t>272</w:t>
            </w:r>
          </w:p>
        </w:tc>
        <w:tc>
          <w:tcPr>
            <w:tcW w:w="774" w:type="dxa"/>
          </w:tcPr>
          <w:p w:rsidR="00000000" w:rsidRDefault="00000000">
            <w:pPr>
              <w:tabs>
                <w:tab w:val="left" w:pos="475"/>
                <w:tab w:val="left" w:pos="965"/>
                <w:tab w:val="left" w:pos="1440"/>
                <w:tab w:val="left" w:pos="1915"/>
                <w:tab w:val="left" w:pos="2405"/>
              </w:tabs>
              <w:spacing w:after="120"/>
              <w:jc w:val="right"/>
              <w:rPr>
                <w:sz w:val="17"/>
              </w:rPr>
            </w:pPr>
            <w:r>
              <w:rPr>
                <w:sz w:val="17"/>
              </w:rPr>
              <w:t>1 190</w:t>
            </w:r>
          </w:p>
        </w:tc>
        <w:tc>
          <w:tcPr>
            <w:tcW w:w="801" w:type="dxa"/>
          </w:tcPr>
          <w:p w:rsidR="00000000" w:rsidRDefault="00000000">
            <w:pPr>
              <w:tabs>
                <w:tab w:val="left" w:pos="475"/>
                <w:tab w:val="left" w:pos="965"/>
                <w:tab w:val="left" w:pos="1440"/>
                <w:tab w:val="left" w:pos="1915"/>
                <w:tab w:val="left" w:pos="2405"/>
              </w:tabs>
              <w:spacing w:after="120"/>
              <w:jc w:val="right"/>
              <w:rPr>
                <w:sz w:val="17"/>
              </w:rPr>
            </w:pPr>
            <w:r>
              <w:rPr>
                <w:sz w:val="17"/>
              </w:rPr>
              <w:t>1 357</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344</w:t>
            </w:r>
          </w:p>
        </w:tc>
        <w:tc>
          <w:tcPr>
            <w:tcW w:w="657" w:type="dxa"/>
          </w:tcPr>
          <w:p w:rsidR="00000000" w:rsidRDefault="00000000">
            <w:pPr>
              <w:tabs>
                <w:tab w:val="left" w:pos="475"/>
                <w:tab w:val="left" w:pos="965"/>
                <w:tab w:val="left" w:pos="1440"/>
                <w:tab w:val="left" w:pos="1915"/>
                <w:tab w:val="left" w:pos="2405"/>
              </w:tabs>
              <w:spacing w:after="120"/>
              <w:jc w:val="right"/>
              <w:rPr>
                <w:sz w:val="17"/>
              </w:rPr>
            </w:pPr>
            <w:r>
              <w:rPr>
                <w:sz w:val="17"/>
              </w:rPr>
              <w:t>30</w:t>
            </w:r>
          </w:p>
        </w:tc>
        <w:tc>
          <w:tcPr>
            <w:tcW w:w="693" w:type="dxa"/>
          </w:tcPr>
          <w:p w:rsidR="00000000" w:rsidRDefault="00000000">
            <w:pPr>
              <w:tabs>
                <w:tab w:val="left" w:pos="475"/>
                <w:tab w:val="left" w:pos="965"/>
                <w:tab w:val="left" w:pos="1440"/>
                <w:tab w:val="left" w:pos="1915"/>
                <w:tab w:val="left" w:pos="2405"/>
              </w:tabs>
              <w:spacing w:after="120"/>
              <w:jc w:val="right"/>
              <w:rPr>
                <w:sz w:val="17"/>
              </w:rPr>
            </w:pPr>
            <w:r>
              <w:rPr>
                <w:sz w:val="17"/>
              </w:rPr>
              <w:t>1</w:t>
            </w:r>
          </w:p>
        </w:tc>
        <w:tc>
          <w:tcPr>
            <w:tcW w:w="756" w:type="dxa"/>
          </w:tcPr>
          <w:p w:rsidR="00000000" w:rsidRDefault="00000000">
            <w:pPr>
              <w:tabs>
                <w:tab w:val="left" w:pos="475"/>
                <w:tab w:val="left" w:pos="965"/>
                <w:tab w:val="left" w:pos="1440"/>
                <w:tab w:val="left" w:pos="1915"/>
                <w:tab w:val="left" w:pos="2405"/>
              </w:tabs>
              <w:spacing w:after="120"/>
              <w:jc w:val="right"/>
              <w:rPr>
                <w:sz w:val="17"/>
              </w:rPr>
            </w:pPr>
            <w:r>
              <w:rPr>
                <w:sz w:val="17"/>
              </w:rPr>
              <w:t>1</w:t>
            </w:r>
          </w:p>
        </w:tc>
        <w:tc>
          <w:tcPr>
            <w:tcW w:w="832" w:type="dxa"/>
          </w:tcPr>
          <w:p w:rsidR="00000000" w:rsidRDefault="00000000">
            <w:pPr>
              <w:tabs>
                <w:tab w:val="left" w:pos="475"/>
                <w:tab w:val="left" w:pos="965"/>
                <w:tab w:val="left" w:pos="1440"/>
                <w:tab w:val="left" w:pos="1915"/>
                <w:tab w:val="left" w:pos="2405"/>
              </w:tabs>
              <w:spacing w:after="120"/>
              <w:jc w:val="right"/>
              <w:rPr>
                <w:sz w:val="17"/>
              </w:rPr>
            </w:pPr>
            <w:r>
              <w:rPr>
                <w:sz w:val="17"/>
              </w:rPr>
              <w:t>2</w:t>
            </w:r>
          </w:p>
        </w:tc>
      </w:tr>
      <w:tr w:rsidR="00000000">
        <w:tblPrEx>
          <w:tblCellMar>
            <w:top w:w="0" w:type="dxa"/>
            <w:bottom w:w="0" w:type="dxa"/>
          </w:tblCellMar>
        </w:tblPrEx>
        <w:tc>
          <w:tcPr>
            <w:tcW w:w="2484" w:type="dxa"/>
          </w:tcPr>
          <w:p w:rsidR="00000000" w:rsidRDefault="00000000">
            <w:pPr>
              <w:tabs>
                <w:tab w:val="left" w:pos="261"/>
                <w:tab w:val="left" w:pos="965"/>
                <w:tab w:val="left" w:pos="1440"/>
                <w:tab w:val="left" w:pos="1915"/>
                <w:tab w:val="left" w:pos="2405"/>
              </w:tabs>
              <w:spacing w:after="120"/>
              <w:rPr>
                <w:sz w:val="17"/>
              </w:rPr>
            </w:pPr>
            <w:r>
              <w:rPr>
                <w:sz w:val="17"/>
              </w:rPr>
              <w:tab/>
              <w:t>Seventh</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0</w:t>
            </w:r>
          </w:p>
        </w:tc>
        <w:tc>
          <w:tcPr>
            <w:tcW w:w="765" w:type="dxa"/>
          </w:tcPr>
          <w:p w:rsidR="00000000" w:rsidRDefault="00000000">
            <w:pPr>
              <w:tabs>
                <w:tab w:val="left" w:pos="475"/>
                <w:tab w:val="left" w:pos="965"/>
                <w:tab w:val="left" w:pos="1440"/>
                <w:tab w:val="left" w:pos="1915"/>
                <w:tab w:val="left" w:pos="2405"/>
              </w:tabs>
              <w:spacing w:after="120"/>
              <w:jc w:val="right"/>
              <w:rPr>
                <w:sz w:val="17"/>
              </w:rPr>
            </w:pPr>
            <w:r>
              <w:rPr>
                <w:sz w:val="17"/>
              </w:rPr>
              <w:t>0</w:t>
            </w:r>
          </w:p>
        </w:tc>
        <w:tc>
          <w:tcPr>
            <w:tcW w:w="747" w:type="dxa"/>
          </w:tcPr>
          <w:p w:rsidR="00000000" w:rsidRDefault="00000000">
            <w:pPr>
              <w:tabs>
                <w:tab w:val="left" w:pos="475"/>
                <w:tab w:val="left" w:pos="965"/>
                <w:tab w:val="left" w:pos="1440"/>
                <w:tab w:val="left" w:pos="1915"/>
                <w:tab w:val="left" w:pos="2405"/>
              </w:tabs>
              <w:spacing w:after="120"/>
              <w:jc w:val="right"/>
              <w:rPr>
                <w:sz w:val="17"/>
              </w:rPr>
            </w:pPr>
            <w:r>
              <w:rPr>
                <w:sz w:val="17"/>
              </w:rPr>
              <w:t>49</w:t>
            </w:r>
          </w:p>
        </w:tc>
        <w:tc>
          <w:tcPr>
            <w:tcW w:w="774" w:type="dxa"/>
          </w:tcPr>
          <w:p w:rsidR="00000000" w:rsidRDefault="00000000">
            <w:pPr>
              <w:tabs>
                <w:tab w:val="left" w:pos="475"/>
                <w:tab w:val="left" w:pos="965"/>
                <w:tab w:val="left" w:pos="1440"/>
                <w:tab w:val="left" w:pos="1915"/>
                <w:tab w:val="left" w:pos="2405"/>
              </w:tabs>
              <w:spacing w:after="120"/>
              <w:jc w:val="right"/>
              <w:rPr>
                <w:sz w:val="17"/>
              </w:rPr>
            </w:pPr>
            <w:r>
              <w:rPr>
                <w:sz w:val="17"/>
              </w:rPr>
              <w:t>389</w:t>
            </w:r>
          </w:p>
        </w:tc>
        <w:tc>
          <w:tcPr>
            <w:tcW w:w="801" w:type="dxa"/>
          </w:tcPr>
          <w:p w:rsidR="00000000" w:rsidRDefault="00000000">
            <w:pPr>
              <w:tabs>
                <w:tab w:val="left" w:pos="475"/>
                <w:tab w:val="left" w:pos="965"/>
                <w:tab w:val="left" w:pos="1440"/>
                <w:tab w:val="left" w:pos="1915"/>
                <w:tab w:val="left" w:pos="2405"/>
              </w:tabs>
              <w:spacing w:after="120"/>
              <w:jc w:val="right"/>
              <w:rPr>
                <w:sz w:val="17"/>
              </w:rPr>
            </w:pPr>
            <w:r>
              <w:rPr>
                <w:sz w:val="17"/>
              </w:rPr>
              <w:t>713</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253</w:t>
            </w:r>
          </w:p>
        </w:tc>
        <w:tc>
          <w:tcPr>
            <w:tcW w:w="657" w:type="dxa"/>
          </w:tcPr>
          <w:p w:rsidR="00000000" w:rsidRDefault="00000000">
            <w:pPr>
              <w:tabs>
                <w:tab w:val="left" w:pos="475"/>
                <w:tab w:val="left" w:pos="965"/>
                <w:tab w:val="left" w:pos="1440"/>
                <w:tab w:val="left" w:pos="1915"/>
                <w:tab w:val="left" w:pos="2405"/>
              </w:tabs>
              <w:spacing w:after="120"/>
              <w:jc w:val="right"/>
              <w:rPr>
                <w:sz w:val="17"/>
              </w:rPr>
            </w:pPr>
            <w:r>
              <w:rPr>
                <w:sz w:val="17"/>
              </w:rPr>
              <w:t>29</w:t>
            </w:r>
          </w:p>
        </w:tc>
        <w:tc>
          <w:tcPr>
            <w:tcW w:w="693" w:type="dxa"/>
          </w:tcPr>
          <w:p w:rsidR="00000000" w:rsidRDefault="00000000">
            <w:pPr>
              <w:tabs>
                <w:tab w:val="left" w:pos="475"/>
                <w:tab w:val="left" w:pos="965"/>
                <w:tab w:val="left" w:pos="1440"/>
                <w:tab w:val="left" w:pos="1915"/>
                <w:tab w:val="left" w:pos="2405"/>
              </w:tabs>
              <w:spacing w:after="120"/>
              <w:jc w:val="right"/>
              <w:rPr>
                <w:sz w:val="17"/>
              </w:rPr>
            </w:pPr>
            <w:r>
              <w:rPr>
                <w:sz w:val="17"/>
              </w:rPr>
              <w:t>2</w:t>
            </w:r>
          </w:p>
        </w:tc>
        <w:tc>
          <w:tcPr>
            <w:tcW w:w="756" w:type="dxa"/>
          </w:tcPr>
          <w:p w:rsidR="00000000" w:rsidRDefault="00000000">
            <w:pPr>
              <w:tabs>
                <w:tab w:val="left" w:pos="475"/>
                <w:tab w:val="left" w:pos="965"/>
                <w:tab w:val="left" w:pos="1440"/>
                <w:tab w:val="left" w:pos="1915"/>
                <w:tab w:val="left" w:pos="2405"/>
              </w:tabs>
              <w:spacing w:after="120"/>
              <w:jc w:val="right"/>
              <w:rPr>
                <w:sz w:val="17"/>
              </w:rPr>
            </w:pPr>
            <w:r>
              <w:rPr>
                <w:sz w:val="17"/>
              </w:rPr>
              <w:t>0</w:t>
            </w:r>
          </w:p>
        </w:tc>
        <w:tc>
          <w:tcPr>
            <w:tcW w:w="832" w:type="dxa"/>
          </w:tcPr>
          <w:p w:rsidR="00000000" w:rsidRDefault="00000000">
            <w:pPr>
              <w:tabs>
                <w:tab w:val="left" w:pos="475"/>
                <w:tab w:val="left" w:pos="965"/>
                <w:tab w:val="left" w:pos="1440"/>
                <w:tab w:val="left" w:pos="1915"/>
                <w:tab w:val="left" w:pos="2405"/>
              </w:tabs>
              <w:spacing w:after="120"/>
              <w:jc w:val="right"/>
              <w:rPr>
                <w:sz w:val="17"/>
              </w:rPr>
            </w:pPr>
            <w:r>
              <w:rPr>
                <w:sz w:val="17"/>
              </w:rPr>
              <w:t>1</w:t>
            </w:r>
          </w:p>
        </w:tc>
      </w:tr>
      <w:tr w:rsidR="00000000">
        <w:tblPrEx>
          <w:tblCellMar>
            <w:top w:w="0" w:type="dxa"/>
            <w:bottom w:w="0" w:type="dxa"/>
          </w:tblCellMar>
        </w:tblPrEx>
        <w:tc>
          <w:tcPr>
            <w:tcW w:w="2484" w:type="dxa"/>
          </w:tcPr>
          <w:p w:rsidR="00000000" w:rsidRDefault="00000000">
            <w:pPr>
              <w:tabs>
                <w:tab w:val="left" w:pos="261"/>
                <w:tab w:val="left" w:pos="965"/>
                <w:tab w:val="left" w:pos="1440"/>
                <w:tab w:val="left" w:pos="1915"/>
                <w:tab w:val="left" w:pos="2405"/>
              </w:tabs>
              <w:spacing w:after="120"/>
              <w:rPr>
                <w:sz w:val="17"/>
              </w:rPr>
            </w:pPr>
            <w:r>
              <w:rPr>
                <w:sz w:val="17"/>
              </w:rPr>
              <w:tab/>
              <w:t>Eighth</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0</w:t>
            </w:r>
          </w:p>
        </w:tc>
        <w:tc>
          <w:tcPr>
            <w:tcW w:w="765" w:type="dxa"/>
          </w:tcPr>
          <w:p w:rsidR="00000000" w:rsidRDefault="00000000">
            <w:pPr>
              <w:tabs>
                <w:tab w:val="left" w:pos="475"/>
                <w:tab w:val="left" w:pos="965"/>
                <w:tab w:val="left" w:pos="1440"/>
                <w:tab w:val="left" w:pos="1915"/>
                <w:tab w:val="left" w:pos="2405"/>
              </w:tabs>
              <w:spacing w:after="120"/>
              <w:jc w:val="right"/>
              <w:rPr>
                <w:sz w:val="17"/>
              </w:rPr>
            </w:pPr>
            <w:r>
              <w:rPr>
                <w:sz w:val="17"/>
              </w:rPr>
              <w:t>1</w:t>
            </w:r>
          </w:p>
        </w:tc>
        <w:tc>
          <w:tcPr>
            <w:tcW w:w="747" w:type="dxa"/>
          </w:tcPr>
          <w:p w:rsidR="00000000" w:rsidRDefault="00000000">
            <w:pPr>
              <w:tabs>
                <w:tab w:val="left" w:pos="475"/>
                <w:tab w:val="left" w:pos="965"/>
                <w:tab w:val="left" w:pos="1440"/>
                <w:tab w:val="left" w:pos="1915"/>
                <w:tab w:val="left" w:pos="2405"/>
              </w:tabs>
              <w:spacing w:after="120"/>
              <w:jc w:val="right"/>
              <w:rPr>
                <w:sz w:val="17"/>
              </w:rPr>
            </w:pPr>
            <w:r>
              <w:rPr>
                <w:sz w:val="17"/>
              </w:rPr>
              <w:t>11</w:t>
            </w:r>
          </w:p>
        </w:tc>
        <w:tc>
          <w:tcPr>
            <w:tcW w:w="774" w:type="dxa"/>
          </w:tcPr>
          <w:p w:rsidR="00000000" w:rsidRDefault="00000000">
            <w:pPr>
              <w:tabs>
                <w:tab w:val="left" w:pos="475"/>
                <w:tab w:val="left" w:pos="965"/>
                <w:tab w:val="left" w:pos="1440"/>
                <w:tab w:val="left" w:pos="1915"/>
                <w:tab w:val="left" w:pos="2405"/>
              </w:tabs>
              <w:spacing w:after="120"/>
              <w:jc w:val="right"/>
              <w:rPr>
                <w:sz w:val="17"/>
              </w:rPr>
            </w:pPr>
            <w:r>
              <w:rPr>
                <w:sz w:val="17"/>
              </w:rPr>
              <w:t>112</w:t>
            </w:r>
          </w:p>
        </w:tc>
        <w:tc>
          <w:tcPr>
            <w:tcW w:w="801" w:type="dxa"/>
          </w:tcPr>
          <w:p w:rsidR="00000000" w:rsidRDefault="00000000">
            <w:pPr>
              <w:tabs>
                <w:tab w:val="left" w:pos="475"/>
                <w:tab w:val="left" w:pos="965"/>
                <w:tab w:val="left" w:pos="1440"/>
                <w:tab w:val="left" w:pos="1915"/>
                <w:tab w:val="left" w:pos="2405"/>
              </w:tabs>
              <w:spacing w:after="120"/>
              <w:jc w:val="right"/>
              <w:rPr>
                <w:sz w:val="17"/>
              </w:rPr>
            </w:pPr>
            <w:r>
              <w:rPr>
                <w:sz w:val="17"/>
              </w:rPr>
              <w:t>33</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147</w:t>
            </w:r>
          </w:p>
        </w:tc>
        <w:tc>
          <w:tcPr>
            <w:tcW w:w="657" w:type="dxa"/>
          </w:tcPr>
          <w:p w:rsidR="00000000" w:rsidRDefault="00000000">
            <w:pPr>
              <w:tabs>
                <w:tab w:val="left" w:pos="475"/>
                <w:tab w:val="left" w:pos="965"/>
                <w:tab w:val="left" w:pos="1440"/>
                <w:tab w:val="left" w:pos="1915"/>
                <w:tab w:val="left" w:pos="2405"/>
              </w:tabs>
              <w:spacing w:after="120"/>
              <w:jc w:val="right"/>
              <w:rPr>
                <w:sz w:val="17"/>
              </w:rPr>
            </w:pPr>
            <w:r>
              <w:rPr>
                <w:sz w:val="17"/>
              </w:rPr>
              <w:t>15</w:t>
            </w:r>
          </w:p>
        </w:tc>
        <w:tc>
          <w:tcPr>
            <w:tcW w:w="693" w:type="dxa"/>
          </w:tcPr>
          <w:p w:rsidR="00000000" w:rsidRDefault="00000000">
            <w:pPr>
              <w:tabs>
                <w:tab w:val="left" w:pos="475"/>
                <w:tab w:val="left" w:pos="965"/>
                <w:tab w:val="left" w:pos="1440"/>
                <w:tab w:val="left" w:pos="1915"/>
                <w:tab w:val="left" w:pos="2405"/>
              </w:tabs>
              <w:spacing w:after="120"/>
              <w:jc w:val="right"/>
              <w:rPr>
                <w:sz w:val="17"/>
              </w:rPr>
            </w:pPr>
            <w:r>
              <w:rPr>
                <w:sz w:val="17"/>
              </w:rPr>
              <w:t>3</w:t>
            </w:r>
          </w:p>
        </w:tc>
        <w:tc>
          <w:tcPr>
            <w:tcW w:w="756" w:type="dxa"/>
          </w:tcPr>
          <w:p w:rsidR="00000000" w:rsidRDefault="00000000">
            <w:pPr>
              <w:tabs>
                <w:tab w:val="left" w:pos="475"/>
                <w:tab w:val="left" w:pos="965"/>
                <w:tab w:val="left" w:pos="1440"/>
                <w:tab w:val="left" w:pos="1915"/>
                <w:tab w:val="left" w:pos="2405"/>
              </w:tabs>
              <w:spacing w:after="120"/>
              <w:jc w:val="right"/>
              <w:rPr>
                <w:sz w:val="17"/>
              </w:rPr>
            </w:pPr>
            <w:r>
              <w:rPr>
                <w:sz w:val="17"/>
              </w:rPr>
              <w:t>1</w:t>
            </w:r>
          </w:p>
        </w:tc>
        <w:tc>
          <w:tcPr>
            <w:tcW w:w="832" w:type="dxa"/>
          </w:tcPr>
          <w:p w:rsidR="00000000" w:rsidRDefault="00000000">
            <w:pPr>
              <w:tabs>
                <w:tab w:val="left" w:pos="475"/>
                <w:tab w:val="left" w:pos="965"/>
                <w:tab w:val="left" w:pos="1440"/>
                <w:tab w:val="left" w:pos="1915"/>
                <w:tab w:val="left" w:pos="2405"/>
              </w:tabs>
              <w:spacing w:after="120"/>
              <w:jc w:val="right"/>
              <w:rPr>
                <w:sz w:val="17"/>
              </w:rPr>
            </w:pPr>
            <w:r>
              <w:rPr>
                <w:sz w:val="17"/>
              </w:rPr>
              <w:t>1</w:t>
            </w:r>
          </w:p>
        </w:tc>
      </w:tr>
      <w:tr w:rsidR="00000000">
        <w:tblPrEx>
          <w:tblCellMar>
            <w:top w:w="0" w:type="dxa"/>
            <w:bottom w:w="0" w:type="dxa"/>
          </w:tblCellMar>
        </w:tblPrEx>
        <w:tc>
          <w:tcPr>
            <w:tcW w:w="2484" w:type="dxa"/>
          </w:tcPr>
          <w:p w:rsidR="00000000" w:rsidRDefault="00000000">
            <w:pPr>
              <w:tabs>
                <w:tab w:val="left" w:pos="261"/>
                <w:tab w:val="left" w:pos="965"/>
                <w:tab w:val="left" w:pos="1440"/>
                <w:tab w:val="left" w:pos="1915"/>
                <w:tab w:val="left" w:pos="2405"/>
              </w:tabs>
              <w:spacing w:after="120"/>
              <w:rPr>
                <w:sz w:val="17"/>
              </w:rPr>
            </w:pPr>
            <w:r>
              <w:rPr>
                <w:sz w:val="17"/>
              </w:rPr>
              <w:tab/>
              <w:t>Ninth</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0</w:t>
            </w:r>
          </w:p>
        </w:tc>
        <w:tc>
          <w:tcPr>
            <w:tcW w:w="765" w:type="dxa"/>
          </w:tcPr>
          <w:p w:rsidR="00000000" w:rsidRDefault="00000000">
            <w:pPr>
              <w:tabs>
                <w:tab w:val="left" w:pos="475"/>
                <w:tab w:val="left" w:pos="965"/>
                <w:tab w:val="left" w:pos="1440"/>
                <w:tab w:val="left" w:pos="1915"/>
                <w:tab w:val="left" w:pos="2405"/>
              </w:tabs>
              <w:spacing w:after="120"/>
              <w:jc w:val="right"/>
              <w:rPr>
                <w:sz w:val="17"/>
              </w:rPr>
            </w:pPr>
            <w:r>
              <w:rPr>
                <w:sz w:val="17"/>
              </w:rPr>
              <w:t>0</w:t>
            </w:r>
          </w:p>
        </w:tc>
        <w:tc>
          <w:tcPr>
            <w:tcW w:w="747" w:type="dxa"/>
          </w:tcPr>
          <w:p w:rsidR="00000000" w:rsidRDefault="00000000">
            <w:pPr>
              <w:tabs>
                <w:tab w:val="left" w:pos="475"/>
                <w:tab w:val="left" w:pos="965"/>
                <w:tab w:val="left" w:pos="1440"/>
                <w:tab w:val="left" w:pos="1915"/>
                <w:tab w:val="left" w:pos="2405"/>
              </w:tabs>
              <w:spacing w:after="120"/>
              <w:jc w:val="right"/>
              <w:rPr>
                <w:sz w:val="17"/>
              </w:rPr>
            </w:pPr>
            <w:r>
              <w:rPr>
                <w:sz w:val="17"/>
              </w:rPr>
              <w:t>3</w:t>
            </w:r>
          </w:p>
        </w:tc>
        <w:tc>
          <w:tcPr>
            <w:tcW w:w="774" w:type="dxa"/>
          </w:tcPr>
          <w:p w:rsidR="00000000" w:rsidRDefault="00000000">
            <w:pPr>
              <w:tabs>
                <w:tab w:val="left" w:pos="475"/>
                <w:tab w:val="left" w:pos="965"/>
                <w:tab w:val="left" w:pos="1440"/>
                <w:tab w:val="left" w:pos="1915"/>
                <w:tab w:val="left" w:pos="2405"/>
              </w:tabs>
              <w:spacing w:after="120"/>
              <w:jc w:val="right"/>
              <w:rPr>
                <w:sz w:val="17"/>
              </w:rPr>
            </w:pPr>
            <w:r>
              <w:rPr>
                <w:sz w:val="17"/>
              </w:rPr>
              <w:t>22</w:t>
            </w:r>
          </w:p>
        </w:tc>
        <w:tc>
          <w:tcPr>
            <w:tcW w:w="801" w:type="dxa"/>
          </w:tcPr>
          <w:p w:rsidR="00000000" w:rsidRDefault="00000000">
            <w:pPr>
              <w:tabs>
                <w:tab w:val="left" w:pos="475"/>
                <w:tab w:val="left" w:pos="965"/>
                <w:tab w:val="left" w:pos="1440"/>
                <w:tab w:val="left" w:pos="1915"/>
                <w:tab w:val="left" w:pos="2405"/>
              </w:tabs>
              <w:spacing w:after="120"/>
              <w:jc w:val="right"/>
              <w:rPr>
                <w:sz w:val="17"/>
              </w:rPr>
            </w:pPr>
            <w:r>
              <w:rPr>
                <w:sz w:val="17"/>
              </w:rPr>
              <w:t>102</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111</w:t>
            </w:r>
          </w:p>
        </w:tc>
        <w:tc>
          <w:tcPr>
            <w:tcW w:w="657" w:type="dxa"/>
          </w:tcPr>
          <w:p w:rsidR="00000000" w:rsidRDefault="00000000">
            <w:pPr>
              <w:tabs>
                <w:tab w:val="left" w:pos="475"/>
                <w:tab w:val="left" w:pos="965"/>
                <w:tab w:val="left" w:pos="1440"/>
                <w:tab w:val="left" w:pos="1915"/>
                <w:tab w:val="left" w:pos="2405"/>
              </w:tabs>
              <w:spacing w:after="120"/>
              <w:jc w:val="right"/>
              <w:rPr>
                <w:sz w:val="17"/>
              </w:rPr>
            </w:pPr>
            <w:r>
              <w:rPr>
                <w:sz w:val="17"/>
              </w:rPr>
              <w:t>12</w:t>
            </w:r>
          </w:p>
        </w:tc>
        <w:tc>
          <w:tcPr>
            <w:tcW w:w="693" w:type="dxa"/>
          </w:tcPr>
          <w:p w:rsidR="00000000" w:rsidRDefault="00000000">
            <w:pPr>
              <w:tabs>
                <w:tab w:val="left" w:pos="475"/>
                <w:tab w:val="left" w:pos="965"/>
                <w:tab w:val="left" w:pos="1440"/>
                <w:tab w:val="left" w:pos="1915"/>
                <w:tab w:val="left" w:pos="2405"/>
              </w:tabs>
              <w:spacing w:after="120"/>
              <w:jc w:val="right"/>
              <w:rPr>
                <w:sz w:val="17"/>
              </w:rPr>
            </w:pPr>
            <w:r>
              <w:rPr>
                <w:sz w:val="17"/>
              </w:rPr>
              <w:t>1</w:t>
            </w:r>
          </w:p>
        </w:tc>
        <w:tc>
          <w:tcPr>
            <w:tcW w:w="756" w:type="dxa"/>
          </w:tcPr>
          <w:p w:rsidR="00000000" w:rsidRDefault="00000000">
            <w:pPr>
              <w:tabs>
                <w:tab w:val="left" w:pos="475"/>
                <w:tab w:val="left" w:pos="965"/>
                <w:tab w:val="left" w:pos="1440"/>
                <w:tab w:val="left" w:pos="1915"/>
                <w:tab w:val="left" w:pos="2405"/>
              </w:tabs>
              <w:spacing w:after="120"/>
              <w:jc w:val="right"/>
              <w:rPr>
                <w:sz w:val="17"/>
              </w:rPr>
            </w:pPr>
            <w:r>
              <w:rPr>
                <w:sz w:val="17"/>
              </w:rPr>
              <w:t>2</w:t>
            </w:r>
          </w:p>
        </w:tc>
        <w:tc>
          <w:tcPr>
            <w:tcW w:w="832" w:type="dxa"/>
          </w:tcPr>
          <w:p w:rsidR="00000000" w:rsidRDefault="00000000">
            <w:pPr>
              <w:tabs>
                <w:tab w:val="left" w:pos="475"/>
                <w:tab w:val="left" w:pos="965"/>
                <w:tab w:val="left" w:pos="1440"/>
                <w:tab w:val="left" w:pos="1915"/>
                <w:tab w:val="left" w:pos="2405"/>
              </w:tabs>
              <w:spacing w:after="120"/>
              <w:jc w:val="right"/>
              <w:rPr>
                <w:sz w:val="17"/>
              </w:rPr>
            </w:pPr>
            <w:r>
              <w:rPr>
                <w:sz w:val="17"/>
              </w:rPr>
              <w:t>3</w:t>
            </w:r>
          </w:p>
        </w:tc>
      </w:tr>
      <w:tr w:rsidR="00000000">
        <w:tblPrEx>
          <w:tblCellMar>
            <w:top w:w="0" w:type="dxa"/>
            <w:bottom w:w="0" w:type="dxa"/>
          </w:tblCellMar>
        </w:tblPrEx>
        <w:tc>
          <w:tcPr>
            <w:tcW w:w="2484" w:type="dxa"/>
          </w:tcPr>
          <w:p w:rsidR="00000000" w:rsidRDefault="00000000">
            <w:pPr>
              <w:tabs>
                <w:tab w:val="left" w:pos="261"/>
                <w:tab w:val="left" w:pos="965"/>
                <w:tab w:val="left" w:pos="1440"/>
                <w:tab w:val="left" w:pos="1915"/>
                <w:tab w:val="left" w:pos="2405"/>
              </w:tabs>
              <w:spacing w:after="120"/>
              <w:rPr>
                <w:sz w:val="17"/>
              </w:rPr>
            </w:pPr>
            <w:r>
              <w:rPr>
                <w:sz w:val="17"/>
              </w:rPr>
              <w:tab/>
              <w:t>Tenth and more</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0</w:t>
            </w:r>
          </w:p>
        </w:tc>
        <w:tc>
          <w:tcPr>
            <w:tcW w:w="765" w:type="dxa"/>
          </w:tcPr>
          <w:p w:rsidR="00000000" w:rsidRDefault="00000000">
            <w:pPr>
              <w:tabs>
                <w:tab w:val="left" w:pos="475"/>
                <w:tab w:val="left" w:pos="965"/>
                <w:tab w:val="left" w:pos="1440"/>
                <w:tab w:val="left" w:pos="1915"/>
                <w:tab w:val="left" w:pos="2405"/>
              </w:tabs>
              <w:spacing w:after="120"/>
              <w:jc w:val="right"/>
              <w:rPr>
                <w:sz w:val="17"/>
              </w:rPr>
            </w:pPr>
            <w:r>
              <w:rPr>
                <w:sz w:val="17"/>
              </w:rPr>
              <w:t>11</w:t>
            </w:r>
          </w:p>
        </w:tc>
        <w:tc>
          <w:tcPr>
            <w:tcW w:w="747" w:type="dxa"/>
          </w:tcPr>
          <w:p w:rsidR="00000000" w:rsidRDefault="00000000">
            <w:pPr>
              <w:tabs>
                <w:tab w:val="left" w:pos="475"/>
                <w:tab w:val="left" w:pos="965"/>
                <w:tab w:val="left" w:pos="1440"/>
                <w:tab w:val="left" w:pos="1915"/>
                <w:tab w:val="left" w:pos="2405"/>
              </w:tabs>
              <w:spacing w:after="120"/>
              <w:jc w:val="right"/>
              <w:rPr>
                <w:sz w:val="17"/>
              </w:rPr>
            </w:pPr>
            <w:r>
              <w:rPr>
                <w:sz w:val="17"/>
              </w:rPr>
              <w:t>9</w:t>
            </w:r>
          </w:p>
        </w:tc>
        <w:tc>
          <w:tcPr>
            <w:tcW w:w="774" w:type="dxa"/>
          </w:tcPr>
          <w:p w:rsidR="00000000" w:rsidRDefault="00000000">
            <w:pPr>
              <w:tabs>
                <w:tab w:val="left" w:pos="475"/>
                <w:tab w:val="left" w:pos="965"/>
                <w:tab w:val="left" w:pos="1440"/>
                <w:tab w:val="left" w:pos="1915"/>
                <w:tab w:val="left" w:pos="2405"/>
              </w:tabs>
              <w:spacing w:after="120"/>
              <w:jc w:val="right"/>
              <w:rPr>
                <w:sz w:val="17"/>
              </w:rPr>
            </w:pPr>
            <w:r>
              <w:rPr>
                <w:sz w:val="17"/>
              </w:rPr>
              <w:t>14</w:t>
            </w:r>
          </w:p>
        </w:tc>
        <w:tc>
          <w:tcPr>
            <w:tcW w:w="801" w:type="dxa"/>
          </w:tcPr>
          <w:p w:rsidR="00000000" w:rsidRDefault="00000000">
            <w:pPr>
              <w:tabs>
                <w:tab w:val="left" w:pos="475"/>
                <w:tab w:val="left" w:pos="965"/>
                <w:tab w:val="left" w:pos="1440"/>
                <w:tab w:val="left" w:pos="1915"/>
                <w:tab w:val="left" w:pos="2405"/>
              </w:tabs>
              <w:spacing w:after="120"/>
              <w:jc w:val="right"/>
              <w:rPr>
                <w:sz w:val="17"/>
              </w:rPr>
            </w:pPr>
            <w:r>
              <w:rPr>
                <w:sz w:val="17"/>
              </w:rPr>
              <w:t>67</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108</w:t>
            </w:r>
          </w:p>
        </w:tc>
        <w:tc>
          <w:tcPr>
            <w:tcW w:w="657" w:type="dxa"/>
          </w:tcPr>
          <w:p w:rsidR="00000000" w:rsidRDefault="00000000">
            <w:pPr>
              <w:tabs>
                <w:tab w:val="left" w:pos="475"/>
                <w:tab w:val="left" w:pos="965"/>
                <w:tab w:val="left" w:pos="1440"/>
                <w:tab w:val="left" w:pos="1915"/>
                <w:tab w:val="left" w:pos="2405"/>
              </w:tabs>
              <w:spacing w:after="120"/>
              <w:jc w:val="right"/>
              <w:rPr>
                <w:sz w:val="17"/>
              </w:rPr>
            </w:pPr>
            <w:r>
              <w:rPr>
                <w:sz w:val="17"/>
              </w:rPr>
              <w:t>22</w:t>
            </w:r>
          </w:p>
        </w:tc>
        <w:tc>
          <w:tcPr>
            <w:tcW w:w="693" w:type="dxa"/>
          </w:tcPr>
          <w:p w:rsidR="00000000" w:rsidRDefault="00000000">
            <w:pPr>
              <w:tabs>
                <w:tab w:val="left" w:pos="475"/>
                <w:tab w:val="left" w:pos="965"/>
                <w:tab w:val="left" w:pos="1440"/>
                <w:tab w:val="left" w:pos="1915"/>
                <w:tab w:val="left" w:pos="2405"/>
              </w:tabs>
              <w:spacing w:after="120"/>
              <w:jc w:val="right"/>
              <w:rPr>
                <w:sz w:val="17"/>
              </w:rPr>
            </w:pPr>
            <w:r>
              <w:rPr>
                <w:sz w:val="17"/>
              </w:rPr>
              <w:t>2</w:t>
            </w:r>
          </w:p>
        </w:tc>
        <w:tc>
          <w:tcPr>
            <w:tcW w:w="756" w:type="dxa"/>
          </w:tcPr>
          <w:p w:rsidR="00000000" w:rsidRDefault="00000000">
            <w:pPr>
              <w:tabs>
                <w:tab w:val="left" w:pos="475"/>
                <w:tab w:val="left" w:pos="965"/>
                <w:tab w:val="left" w:pos="1440"/>
                <w:tab w:val="left" w:pos="1915"/>
                <w:tab w:val="left" w:pos="2405"/>
              </w:tabs>
              <w:spacing w:after="120"/>
              <w:jc w:val="right"/>
              <w:rPr>
                <w:sz w:val="17"/>
              </w:rPr>
            </w:pPr>
            <w:r>
              <w:rPr>
                <w:sz w:val="17"/>
              </w:rPr>
              <w:t>1</w:t>
            </w:r>
          </w:p>
        </w:tc>
        <w:tc>
          <w:tcPr>
            <w:tcW w:w="832" w:type="dxa"/>
          </w:tcPr>
          <w:p w:rsidR="00000000" w:rsidRDefault="00000000">
            <w:pPr>
              <w:tabs>
                <w:tab w:val="left" w:pos="475"/>
                <w:tab w:val="left" w:pos="965"/>
                <w:tab w:val="left" w:pos="1440"/>
                <w:tab w:val="left" w:pos="1915"/>
                <w:tab w:val="left" w:pos="2405"/>
              </w:tabs>
              <w:spacing w:after="120"/>
              <w:jc w:val="right"/>
              <w:rPr>
                <w:sz w:val="17"/>
              </w:rPr>
            </w:pPr>
            <w:r>
              <w:rPr>
                <w:sz w:val="17"/>
              </w:rPr>
              <w:t>2</w:t>
            </w:r>
          </w:p>
        </w:tc>
      </w:tr>
      <w:tr w:rsidR="00000000">
        <w:tblPrEx>
          <w:tblCellMar>
            <w:top w:w="0" w:type="dxa"/>
            <w:bottom w:w="0" w:type="dxa"/>
          </w:tblCellMar>
        </w:tblPrEx>
        <w:tc>
          <w:tcPr>
            <w:tcW w:w="2484" w:type="dxa"/>
          </w:tcPr>
          <w:p w:rsidR="00000000" w:rsidRDefault="00000000">
            <w:pPr>
              <w:tabs>
                <w:tab w:val="left" w:pos="261"/>
                <w:tab w:val="left" w:pos="965"/>
                <w:tab w:val="left" w:pos="1440"/>
                <w:tab w:val="left" w:pos="1915"/>
                <w:tab w:val="left" w:pos="2405"/>
              </w:tabs>
              <w:spacing w:after="120"/>
              <w:rPr>
                <w:sz w:val="17"/>
              </w:rPr>
            </w:pPr>
            <w:r>
              <w:rPr>
                <w:sz w:val="17"/>
              </w:rPr>
              <w:tab/>
              <w:t>Unknown</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3</w:t>
            </w:r>
          </w:p>
        </w:tc>
        <w:tc>
          <w:tcPr>
            <w:tcW w:w="765" w:type="dxa"/>
          </w:tcPr>
          <w:p w:rsidR="00000000" w:rsidRDefault="00000000">
            <w:pPr>
              <w:tabs>
                <w:tab w:val="left" w:pos="475"/>
                <w:tab w:val="left" w:pos="965"/>
                <w:tab w:val="left" w:pos="1440"/>
                <w:tab w:val="left" w:pos="1915"/>
                <w:tab w:val="left" w:pos="2405"/>
              </w:tabs>
              <w:spacing w:after="120"/>
              <w:jc w:val="right"/>
              <w:rPr>
                <w:sz w:val="17"/>
              </w:rPr>
            </w:pPr>
            <w:r>
              <w:rPr>
                <w:sz w:val="17"/>
              </w:rPr>
              <w:t>47</w:t>
            </w:r>
          </w:p>
        </w:tc>
        <w:tc>
          <w:tcPr>
            <w:tcW w:w="747" w:type="dxa"/>
          </w:tcPr>
          <w:p w:rsidR="00000000" w:rsidRDefault="00000000">
            <w:pPr>
              <w:tabs>
                <w:tab w:val="left" w:pos="475"/>
                <w:tab w:val="left" w:pos="965"/>
                <w:tab w:val="left" w:pos="1440"/>
                <w:tab w:val="left" w:pos="1915"/>
                <w:tab w:val="left" w:pos="2405"/>
              </w:tabs>
              <w:spacing w:after="120"/>
              <w:jc w:val="right"/>
              <w:rPr>
                <w:sz w:val="17"/>
              </w:rPr>
            </w:pPr>
            <w:r>
              <w:rPr>
                <w:sz w:val="17"/>
              </w:rPr>
              <w:t>75</w:t>
            </w:r>
          </w:p>
        </w:tc>
        <w:tc>
          <w:tcPr>
            <w:tcW w:w="774" w:type="dxa"/>
          </w:tcPr>
          <w:p w:rsidR="00000000" w:rsidRDefault="00000000">
            <w:pPr>
              <w:tabs>
                <w:tab w:val="left" w:pos="475"/>
                <w:tab w:val="left" w:pos="965"/>
                <w:tab w:val="left" w:pos="1440"/>
                <w:tab w:val="left" w:pos="1915"/>
                <w:tab w:val="left" w:pos="2405"/>
              </w:tabs>
              <w:spacing w:after="120"/>
              <w:jc w:val="right"/>
              <w:rPr>
                <w:sz w:val="17"/>
              </w:rPr>
            </w:pPr>
            <w:r>
              <w:rPr>
                <w:sz w:val="17"/>
              </w:rPr>
              <w:t>50</w:t>
            </w:r>
          </w:p>
        </w:tc>
        <w:tc>
          <w:tcPr>
            <w:tcW w:w="801" w:type="dxa"/>
          </w:tcPr>
          <w:p w:rsidR="00000000" w:rsidRDefault="00000000">
            <w:pPr>
              <w:tabs>
                <w:tab w:val="left" w:pos="475"/>
                <w:tab w:val="left" w:pos="965"/>
                <w:tab w:val="left" w:pos="1440"/>
                <w:tab w:val="left" w:pos="1915"/>
                <w:tab w:val="left" w:pos="2405"/>
              </w:tabs>
              <w:spacing w:after="120"/>
              <w:jc w:val="right"/>
              <w:rPr>
                <w:sz w:val="17"/>
              </w:rPr>
            </w:pPr>
            <w:r>
              <w:rPr>
                <w:sz w:val="17"/>
              </w:rPr>
              <w:t>33</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14</w:t>
            </w:r>
          </w:p>
        </w:tc>
        <w:tc>
          <w:tcPr>
            <w:tcW w:w="657" w:type="dxa"/>
          </w:tcPr>
          <w:p w:rsidR="00000000" w:rsidRDefault="00000000">
            <w:pPr>
              <w:tabs>
                <w:tab w:val="left" w:pos="475"/>
                <w:tab w:val="left" w:pos="965"/>
                <w:tab w:val="left" w:pos="1440"/>
                <w:tab w:val="left" w:pos="1915"/>
                <w:tab w:val="left" w:pos="2405"/>
              </w:tabs>
              <w:spacing w:after="120"/>
              <w:jc w:val="right"/>
              <w:rPr>
                <w:sz w:val="17"/>
              </w:rPr>
            </w:pPr>
            <w:r>
              <w:rPr>
                <w:sz w:val="17"/>
              </w:rPr>
              <w:t>0</w:t>
            </w:r>
          </w:p>
        </w:tc>
        <w:tc>
          <w:tcPr>
            <w:tcW w:w="693" w:type="dxa"/>
          </w:tcPr>
          <w:p w:rsidR="00000000" w:rsidRDefault="00000000">
            <w:pPr>
              <w:tabs>
                <w:tab w:val="left" w:pos="475"/>
                <w:tab w:val="left" w:pos="965"/>
                <w:tab w:val="left" w:pos="1440"/>
                <w:tab w:val="left" w:pos="1915"/>
                <w:tab w:val="left" w:pos="2405"/>
              </w:tabs>
              <w:spacing w:after="120"/>
              <w:jc w:val="right"/>
              <w:rPr>
                <w:sz w:val="17"/>
              </w:rPr>
            </w:pPr>
            <w:r>
              <w:rPr>
                <w:sz w:val="17"/>
              </w:rPr>
              <w:t>0</w:t>
            </w:r>
          </w:p>
        </w:tc>
        <w:tc>
          <w:tcPr>
            <w:tcW w:w="756" w:type="dxa"/>
          </w:tcPr>
          <w:p w:rsidR="00000000" w:rsidRDefault="00000000">
            <w:pPr>
              <w:tabs>
                <w:tab w:val="left" w:pos="475"/>
                <w:tab w:val="left" w:pos="965"/>
                <w:tab w:val="left" w:pos="1440"/>
                <w:tab w:val="left" w:pos="1915"/>
                <w:tab w:val="left" w:pos="2405"/>
              </w:tabs>
              <w:spacing w:after="120"/>
              <w:jc w:val="right"/>
              <w:rPr>
                <w:sz w:val="17"/>
              </w:rPr>
            </w:pPr>
            <w:r>
              <w:rPr>
                <w:sz w:val="17"/>
              </w:rPr>
              <w:t>0</w:t>
            </w:r>
          </w:p>
        </w:tc>
        <w:tc>
          <w:tcPr>
            <w:tcW w:w="832" w:type="dxa"/>
          </w:tcPr>
          <w:p w:rsidR="00000000" w:rsidRDefault="00000000">
            <w:pPr>
              <w:tabs>
                <w:tab w:val="left" w:pos="475"/>
                <w:tab w:val="left" w:pos="965"/>
                <w:tab w:val="left" w:pos="1440"/>
                <w:tab w:val="left" w:pos="1915"/>
                <w:tab w:val="left" w:pos="2405"/>
              </w:tabs>
              <w:spacing w:after="120"/>
              <w:jc w:val="right"/>
              <w:rPr>
                <w:sz w:val="17"/>
              </w:rPr>
            </w:pPr>
            <w:r>
              <w:rPr>
                <w:sz w:val="17"/>
              </w:rPr>
              <w:t>89</w:t>
            </w:r>
          </w:p>
        </w:tc>
      </w:tr>
      <w:tr w:rsidR="00000000">
        <w:tblPrEx>
          <w:tblCellMar>
            <w:top w:w="0" w:type="dxa"/>
            <w:bottom w:w="0" w:type="dxa"/>
          </w:tblCellMar>
        </w:tblPrEx>
        <w:tc>
          <w:tcPr>
            <w:tcW w:w="2484" w:type="dxa"/>
          </w:tcPr>
          <w:p w:rsidR="00000000" w:rsidRDefault="00000000">
            <w:pPr>
              <w:pStyle w:val="Footer"/>
              <w:tabs>
                <w:tab w:val="clear" w:pos="4320"/>
                <w:tab w:val="clear" w:pos="8640"/>
                <w:tab w:val="left" w:pos="261"/>
                <w:tab w:val="left" w:pos="965"/>
                <w:tab w:val="left" w:pos="1440"/>
                <w:tab w:val="left" w:pos="1915"/>
                <w:tab w:val="left" w:pos="2405"/>
              </w:tabs>
              <w:suppressAutoHyphens/>
              <w:spacing w:after="120" w:line="240" w:lineRule="exact"/>
              <w:rPr>
                <w:noProof w:val="0"/>
                <w:spacing w:val="4"/>
                <w:w w:val="103"/>
                <w:kern w:val="14"/>
                <w:lang w:val="en-GB"/>
              </w:rPr>
            </w:pPr>
            <w:r>
              <w:rPr>
                <w:noProof w:val="0"/>
                <w:spacing w:val="4"/>
                <w:w w:val="103"/>
                <w:kern w:val="14"/>
                <w:lang w:val="en-GB"/>
              </w:rPr>
              <w:t>1997</w:t>
            </w:r>
          </w:p>
        </w:tc>
        <w:tc>
          <w:tcPr>
            <w:tcW w:w="729" w:type="dxa"/>
          </w:tcPr>
          <w:p w:rsidR="00000000" w:rsidRDefault="00000000">
            <w:pPr>
              <w:tabs>
                <w:tab w:val="left" w:pos="475"/>
                <w:tab w:val="left" w:pos="965"/>
                <w:tab w:val="left" w:pos="1440"/>
                <w:tab w:val="left" w:pos="1915"/>
                <w:tab w:val="left" w:pos="2405"/>
              </w:tabs>
              <w:spacing w:after="120"/>
              <w:jc w:val="right"/>
              <w:rPr>
                <w:sz w:val="17"/>
              </w:rPr>
            </w:pPr>
          </w:p>
        </w:tc>
        <w:tc>
          <w:tcPr>
            <w:tcW w:w="765" w:type="dxa"/>
          </w:tcPr>
          <w:p w:rsidR="00000000" w:rsidRDefault="00000000">
            <w:pPr>
              <w:tabs>
                <w:tab w:val="left" w:pos="475"/>
                <w:tab w:val="left" w:pos="965"/>
                <w:tab w:val="left" w:pos="1440"/>
                <w:tab w:val="left" w:pos="1915"/>
                <w:tab w:val="left" w:pos="2405"/>
              </w:tabs>
              <w:spacing w:after="120"/>
              <w:jc w:val="right"/>
              <w:rPr>
                <w:sz w:val="17"/>
              </w:rPr>
            </w:pPr>
          </w:p>
        </w:tc>
        <w:tc>
          <w:tcPr>
            <w:tcW w:w="747" w:type="dxa"/>
          </w:tcPr>
          <w:p w:rsidR="00000000" w:rsidRDefault="00000000">
            <w:pPr>
              <w:tabs>
                <w:tab w:val="left" w:pos="475"/>
                <w:tab w:val="left" w:pos="965"/>
                <w:tab w:val="left" w:pos="1440"/>
                <w:tab w:val="left" w:pos="1915"/>
                <w:tab w:val="left" w:pos="2405"/>
              </w:tabs>
              <w:spacing w:after="120"/>
              <w:jc w:val="right"/>
              <w:rPr>
                <w:sz w:val="17"/>
              </w:rPr>
            </w:pPr>
          </w:p>
        </w:tc>
        <w:tc>
          <w:tcPr>
            <w:tcW w:w="774" w:type="dxa"/>
          </w:tcPr>
          <w:p w:rsidR="00000000" w:rsidRDefault="00000000">
            <w:pPr>
              <w:tabs>
                <w:tab w:val="left" w:pos="475"/>
                <w:tab w:val="left" w:pos="965"/>
                <w:tab w:val="left" w:pos="1440"/>
                <w:tab w:val="left" w:pos="1915"/>
                <w:tab w:val="left" w:pos="2405"/>
              </w:tabs>
              <w:spacing w:after="120"/>
              <w:jc w:val="right"/>
              <w:rPr>
                <w:sz w:val="17"/>
              </w:rPr>
            </w:pPr>
          </w:p>
        </w:tc>
        <w:tc>
          <w:tcPr>
            <w:tcW w:w="801" w:type="dxa"/>
          </w:tcPr>
          <w:p w:rsidR="00000000" w:rsidRDefault="00000000">
            <w:pPr>
              <w:tabs>
                <w:tab w:val="left" w:pos="475"/>
                <w:tab w:val="left" w:pos="965"/>
                <w:tab w:val="left" w:pos="1440"/>
                <w:tab w:val="left" w:pos="1915"/>
                <w:tab w:val="left" w:pos="2405"/>
              </w:tabs>
              <w:spacing w:after="120"/>
              <w:jc w:val="right"/>
              <w:rPr>
                <w:sz w:val="17"/>
              </w:rPr>
            </w:pPr>
          </w:p>
        </w:tc>
        <w:tc>
          <w:tcPr>
            <w:tcW w:w="729" w:type="dxa"/>
          </w:tcPr>
          <w:p w:rsidR="00000000" w:rsidRDefault="00000000">
            <w:pPr>
              <w:tabs>
                <w:tab w:val="left" w:pos="475"/>
                <w:tab w:val="left" w:pos="965"/>
                <w:tab w:val="left" w:pos="1440"/>
                <w:tab w:val="left" w:pos="1915"/>
                <w:tab w:val="left" w:pos="2405"/>
              </w:tabs>
              <w:spacing w:after="120"/>
              <w:jc w:val="right"/>
              <w:rPr>
                <w:sz w:val="17"/>
              </w:rPr>
            </w:pPr>
          </w:p>
        </w:tc>
        <w:tc>
          <w:tcPr>
            <w:tcW w:w="657" w:type="dxa"/>
          </w:tcPr>
          <w:p w:rsidR="00000000" w:rsidRDefault="00000000">
            <w:pPr>
              <w:tabs>
                <w:tab w:val="left" w:pos="475"/>
                <w:tab w:val="left" w:pos="965"/>
                <w:tab w:val="left" w:pos="1440"/>
                <w:tab w:val="left" w:pos="1915"/>
                <w:tab w:val="left" w:pos="2405"/>
              </w:tabs>
              <w:spacing w:after="120"/>
              <w:jc w:val="right"/>
              <w:rPr>
                <w:sz w:val="17"/>
              </w:rPr>
            </w:pPr>
          </w:p>
        </w:tc>
        <w:tc>
          <w:tcPr>
            <w:tcW w:w="693" w:type="dxa"/>
          </w:tcPr>
          <w:p w:rsidR="00000000" w:rsidRDefault="00000000">
            <w:pPr>
              <w:tabs>
                <w:tab w:val="left" w:pos="475"/>
                <w:tab w:val="left" w:pos="965"/>
                <w:tab w:val="left" w:pos="1440"/>
                <w:tab w:val="left" w:pos="1915"/>
                <w:tab w:val="left" w:pos="2405"/>
              </w:tabs>
              <w:spacing w:after="120"/>
              <w:jc w:val="right"/>
              <w:rPr>
                <w:sz w:val="17"/>
              </w:rPr>
            </w:pPr>
          </w:p>
        </w:tc>
        <w:tc>
          <w:tcPr>
            <w:tcW w:w="756" w:type="dxa"/>
          </w:tcPr>
          <w:p w:rsidR="00000000" w:rsidRDefault="00000000">
            <w:pPr>
              <w:tabs>
                <w:tab w:val="left" w:pos="475"/>
                <w:tab w:val="left" w:pos="965"/>
                <w:tab w:val="left" w:pos="1440"/>
                <w:tab w:val="left" w:pos="1915"/>
                <w:tab w:val="left" w:pos="2405"/>
              </w:tabs>
              <w:spacing w:after="120"/>
              <w:jc w:val="right"/>
              <w:rPr>
                <w:sz w:val="17"/>
              </w:rPr>
            </w:pPr>
          </w:p>
        </w:tc>
        <w:tc>
          <w:tcPr>
            <w:tcW w:w="832" w:type="dxa"/>
          </w:tcPr>
          <w:p w:rsidR="00000000" w:rsidRDefault="00000000">
            <w:pPr>
              <w:tabs>
                <w:tab w:val="left" w:pos="475"/>
                <w:tab w:val="left" w:pos="965"/>
                <w:tab w:val="left" w:pos="1440"/>
                <w:tab w:val="left" w:pos="1915"/>
                <w:tab w:val="left" w:pos="2405"/>
              </w:tabs>
              <w:spacing w:after="120"/>
              <w:jc w:val="right"/>
              <w:rPr>
                <w:sz w:val="17"/>
              </w:rPr>
            </w:pPr>
          </w:p>
        </w:tc>
      </w:tr>
      <w:tr w:rsidR="00000000">
        <w:tblPrEx>
          <w:tblCellMar>
            <w:top w:w="0" w:type="dxa"/>
            <w:bottom w:w="0" w:type="dxa"/>
          </w:tblCellMar>
        </w:tblPrEx>
        <w:tc>
          <w:tcPr>
            <w:tcW w:w="2484" w:type="dxa"/>
          </w:tcPr>
          <w:p w:rsidR="00000000" w:rsidRDefault="00000000">
            <w:pPr>
              <w:tabs>
                <w:tab w:val="left" w:pos="261"/>
                <w:tab w:val="left" w:pos="965"/>
                <w:tab w:val="left" w:pos="1440"/>
                <w:tab w:val="left" w:pos="1915"/>
                <w:tab w:val="left" w:pos="2405"/>
              </w:tabs>
              <w:spacing w:after="120"/>
              <w:rPr>
                <w:sz w:val="17"/>
              </w:rPr>
            </w:pPr>
            <w:r>
              <w:rPr>
                <w:sz w:val="17"/>
              </w:rPr>
              <w:t>Total number of live births</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27 791</w:t>
            </w:r>
          </w:p>
        </w:tc>
        <w:tc>
          <w:tcPr>
            <w:tcW w:w="765" w:type="dxa"/>
          </w:tcPr>
          <w:p w:rsidR="00000000" w:rsidRDefault="00000000">
            <w:pPr>
              <w:tabs>
                <w:tab w:val="left" w:pos="475"/>
                <w:tab w:val="left" w:pos="965"/>
                <w:tab w:val="left" w:pos="1440"/>
                <w:tab w:val="left" w:pos="1915"/>
                <w:tab w:val="left" w:pos="2405"/>
              </w:tabs>
              <w:spacing w:after="120"/>
              <w:jc w:val="right"/>
              <w:rPr>
                <w:sz w:val="17"/>
              </w:rPr>
            </w:pPr>
            <w:r>
              <w:rPr>
                <w:sz w:val="17"/>
              </w:rPr>
              <w:t>89 219</w:t>
            </w:r>
          </w:p>
        </w:tc>
        <w:tc>
          <w:tcPr>
            <w:tcW w:w="747" w:type="dxa"/>
          </w:tcPr>
          <w:p w:rsidR="00000000" w:rsidRDefault="00000000">
            <w:pPr>
              <w:tabs>
                <w:tab w:val="left" w:pos="475"/>
                <w:tab w:val="left" w:pos="965"/>
                <w:tab w:val="left" w:pos="1440"/>
                <w:tab w:val="left" w:pos="1915"/>
                <w:tab w:val="left" w:pos="2405"/>
              </w:tabs>
              <w:spacing w:after="120"/>
              <w:jc w:val="right"/>
              <w:rPr>
                <w:sz w:val="17"/>
              </w:rPr>
            </w:pPr>
            <w:r>
              <w:rPr>
                <w:sz w:val="17"/>
              </w:rPr>
              <w:t>61 494</w:t>
            </w:r>
          </w:p>
        </w:tc>
        <w:tc>
          <w:tcPr>
            <w:tcW w:w="774" w:type="dxa"/>
          </w:tcPr>
          <w:p w:rsidR="00000000" w:rsidRDefault="00000000">
            <w:pPr>
              <w:tabs>
                <w:tab w:val="left" w:pos="475"/>
                <w:tab w:val="left" w:pos="965"/>
                <w:tab w:val="left" w:pos="1440"/>
                <w:tab w:val="left" w:pos="1915"/>
                <w:tab w:val="left" w:pos="2405"/>
              </w:tabs>
              <w:spacing w:after="120"/>
              <w:jc w:val="right"/>
              <w:rPr>
                <w:sz w:val="17"/>
              </w:rPr>
            </w:pPr>
            <w:r>
              <w:rPr>
                <w:sz w:val="17"/>
              </w:rPr>
              <w:t>34 093</w:t>
            </w:r>
          </w:p>
        </w:tc>
        <w:tc>
          <w:tcPr>
            <w:tcW w:w="801" w:type="dxa"/>
          </w:tcPr>
          <w:p w:rsidR="00000000" w:rsidRDefault="00000000">
            <w:pPr>
              <w:tabs>
                <w:tab w:val="left" w:pos="475"/>
                <w:tab w:val="left" w:pos="965"/>
                <w:tab w:val="left" w:pos="1440"/>
                <w:tab w:val="left" w:pos="1915"/>
                <w:tab w:val="left" w:pos="2405"/>
              </w:tabs>
              <w:spacing w:after="120"/>
              <w:jc w:val="right"/>
              <w:rPr>
                <w:sz w:val="17"/>
              </w:rPr>
            </w:pPr>
            <w:r>
              <w:rPr>
                <w:sz w:val="17"/>
              </w:rPr>
              <w:t>15 956</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3 070</w:t>
            </w:r>
          </w:p>
        </w:tc>
        <w:tc>
          <w:tcPr>
            <w:tcW w:w="657" w:type="dxa"/>
          </w:tcPr>
          <w:p w:rsidR="00000000" w:rsidRDefault="00000000">
            <w:pPr>
              <w:tabs>
                <w:tab w:val="left" w:pos="475"/>
                <w:tab w:val="left" w:pos="965"/>
                <w:tab w:val="left" w:pos="1440"/>
                <w:tab w:val="left" w:pos="1915"/>
                <w:tab w:val="left" w:pos="2405"/>
              </w:tabs>
              <w:spacing w:after="120"/>
              <w:jc w:val="right"/>
              <w:rPr>
                <w:sz w:val="17"/>
              </w:rPr>
            </w:pPr>
            <w:r>
              <w:rPr>
                <w:sz w:val="17"/>
              </w:rPr>
              <w:t>215</w:t>
            </w:r>
          </w:p>
        </w:tc>
        <w:tc>
          <w:tcPr>
            <w:tcW w:w="693" w:type="dxa"/>
          </w:tcPr>
          <w:p w:rsidR="00000000" w:rsidRDefault="00000000">
            <w:pPr>
              <w:tabs>
                <w:tab w:val="left" w:pos="475"/>
                <w:tab w:val="left" w:pos="965"/>
                <w:tab w:val="left" w:pos="1440"/>
                <w:tab w:val="left" w:pos="1915"/>
                <w:tab w:val="left" w:pos="2405"/>
              </w:tabs>
              <w:spacing w:after="120"/>
              <w:jc w:val="right"/>
              <w:rPr>
                <w:sz w:val="17"/>
              </w:rPr>
            </w:pPr>
            <w:r>
              <w:rPr>
                <w:sz w:val="17"/>
              </w:rPr>
              <w:t>20</w:t>
            </w:r>
          </w:p>
        </w:tc>
        <w:tc>
          <w:tcPr>
            <w:tcW w:w="756" w:type="dxa"/>
          </w:tcPr>
          <w:p w:rsidR="00000000" w:rsidRDefault="00000000">
            <w:pPr>
              <w:tabs>
                <w:tab w:val="left" w:pos="475"/>
                <w:tab w:val="left" w:pos="965"/>
                <w:tab w:val="left" w:pos="1440"/>
                <w:tab w:val="left" w:pos="1915"/>
                <w:tab w:val="left" w:pos="2405"/>
              </w:tabs>
              <w:spacing w:after="120"/>
              <w:jc w:val="right"/>
              <w:rPr>
                <w:sz w:val="17"/>
              </w:rPr>
            </w:pPr>
            <w:r>
              <w:rPr>
                <w:sz w:val="17"/>
              </w:rPr>
              <w:t>8</w:t>
            </w:r>
          </w:p>
        </w:tc>
        <w:tc>
          <w:tcPr>
            <w:tcW w:w="832" w:type="dxa"/>
          </w:tcPr>
          <w:p w:rsidR="00000000" w:rsidRDefault="00000000">
            <w:pPr>
              <w:tabs>
                <w:tab w:val="left" w:pos="475"/>
                <w:tab w:val="left" w:pos="965"/>
                <w:tab w:val="left" w:pos="1440"/>
                <w:tab w:val="left" w:pos="1915"/>
                <w:tab w:val="left" w:pos="2405"/>
              </w:tabs>
              <w:spacing w:after="120"/>
              <w:jc w:val="right"/>
              <w:rPr>
                <w:sz w:val="17"/>
              </w:rPr>
            </w:pPr>
            <w:r>
              <w:rPr>
                <w:sz w:val="17"/>
              </w:rPr>
              <w:t>490</w:t>
            </w:r>
          </w:p>
        </w:tc>
      </w:tr>
      <w:tr w:rsidR="00000000">
        <w:tblPrEx>
          <w:tblCellMar>
            <w:top w:w="0" w:type="dxa"/>
            <w:bottom w:w="0" w:type="dxa"/>
          </w:tblCellMar>
        </w:tblPrEx>
        <w:tc>
          <w:tcPr>
            <w:tcW w:w="2484" w:type="dxa"/>
          </w:tcPr>
          <w:p w:rsidR="00000000" w:rsidRDefault="00000000">
            <w:pPr>
              <w:tabs>
                <w:tab w:val="left" w:pos="261"/>
                <w:tab w:val="left" w:pos="965"/>
                <w:tab w:val="left" w:pos="1440"/>
                <w:tab w:val="left" w:pos="1915"/>
                <w:tab w:val="left" w:pos="2405"/>
              </w:tabs>
              <w:spacing w:after="120"/>
              <w:rPr>
                <w:sz w:val="17"/>
              </w:rPr>
            </w:pPr>
            <w:r>
              <w:rPr>
                <w:sz w:val="17"/>
              </w:rPr>
              <w:tab/>
              <w:t>First</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25 162</w:t>
            </w:r>
          </w:p>
        </w:tc>
        <w:tc>
          <w:tcPr>
            <w:tcW w:w="765" w:type="dxa"/>
          </w:tcPr>
          <w:p w:rsidR="00000000" w:rsidRDefault="00000000">
            <w:pPr>
              <w:tabs>
                <w:tab w:val="left" w:pos="475"/>
                <w:tab w:val="left" w:pos="965"/>
                <w:tab w:val="left" w:pos="1440"/>
                <w:tab w:val="left" w:pos="1915"/>
                <w:tab w:val="left" w:pos="2405"/>
              </w:tabs>
              <w:spacing w:after="120"/>
              <w:jc w:val="right"/>
              <w:rPr>
                <w:sz w:val="17"/>
              </w:rPr>
            </w:pPr>
            <w:r>
              <w:rPr>
                <w:sz w:val="17"/>
              </w:rPr>
              <w:t>51 778</w:t>
            </w:r>
          </w:p>
        </w:tc>
        <w:tc>
          <w:tcPr>
            <w:tcW w:w="747" w:type="dxa"/>
          </w:tcPr>
          <w:p w:rsidR="00000000" w:rsidRDefault="00000000">
            <w:pPr>
              <w:tabs>
                <w:tab w:val="left" w:pos="475"/>
                <w:tab w:val="left" w:pos="965"/>
                <w:tab w:val="left" w:pos="1440"/>
                <w:tab w:val="left" w:pos="1915"/>
                <w:tab w:val="left" w:pos="2405"/>
              </w:tabs>
              <w:spacing w:after="120"/>
              <w:jc w:val="right"/>
              <w:rPr>
                <w:sz w:val="17"/>
              </w:rPr>
            </w:pPr>
            <w:r>
              <w:rPr>
                <w:sz w:val="17"/>
              </w:rPr>
              <w:t>16 871</w:t>
            </w:r>
          </w:p>
        </w:tc>
        <w:tc>
          <w:tcPr>
            <w:tcW w:w="774" w:type="dxa"/>
          </w:tcPr>
          <w:p w:rsidR="00000000" w:rsidRDefault="00000000">
            <w:pPr>
              <w:tabs>
                <w:tab w:val="left" w:pos="475"/>
                <w:tab w:val="left" w:pos="965"/>
                <w:tab w:val="left" w:pos="1440"/>
                <w:tab w:val="left" w:pos="1915"/>
                <w:tab w:val="left" w:pos="2405"/>
              </w:tabs>
              <w:spacing w:after="120"/>
              <w:jc w:val="right"/>
              <w:rPr>
                <w:sz w:val="17"/>
              </w:rPr>
            </w:pPr>
            <w:r>
              <w:rPr>
                <w:sz w:val="17"/>
              </w:rPr>
              <w:t>5 205</w:t>
            </w:r>
          </w:p>
        </w:tc>
        <w:tc>
          <w:tcPr>
            <w:tcW w:w="801" w:type="dxa"/>
          </w:tcPr>
          <w:p w:rsidR="00000000" w:rsidRDefault="00000000">
            <w:pPr>
              <w:tabs>
                <w:tab w:val="left" w:pos="475"/>
                <w:tab w:val="left" w:pos="965"/>
                <w:tab w:val="left" w:pos="1440"/>
                <w:tab w:val="left" w:pos="1915"/>
                <w:tab w:val="left" w:pos="2405"/>
              </w:tabs>
              <w:spacing w:after="120"/>
              <w:jc w:val="right"/>
              <w:rPr>
                <w:sz w:val="17"/>
              </w:rPr>
            </w:pPr>
            <w:r>
              <w:rPr>
                <w:sz w:val="17"/>
              </w:rPr>
              <w:t>2 103</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373</w:t>
            </w:r>
          </w:p>
        </w:tc>
        <w:tc>
          <w:tcPr>
            <w:tcW w:w="657" w:type="dxa"/>
          </w:tcPr>
          <w:p w:rsidR="00000000" w:rsidRDefault="00000000">
            <w:pPr>
              <w:tabs>
                <w:tab w:val="left" w:pos="475"/>
                <w:tab w:val="left" w:pos="965"/>
                <w:tab w:val="left" w:pos="1440"/>
                <w:tab w:val="left" w:pos="1915"/>
                <w:tab w:val="left" w:pos="2405"/>
              </w:tabs>
              <w:spacing w:after="120"/>
              <w:jc w:val="right"/>
              <w:rPr>
                <w:sz w:val="17"/>
              </w:rPr>
            </w:pPr>
            <w:r>
              <w:rPr>
                <w:sz w:val="17"/>
              </w:rPr>
              <w:t>18</w:t>
            </w:r>
          </w:p>
        </w:tc>
        <w:tc>
          <w:tcPr>
            <w:tcW w:w="693" w:type="dxa"/>
          </w:tcPr>
          <w:p w:rsidR="00000000" w:rsidRDefault="00000000">
            <w:pPr>
              <w:tabs>
                <w:tab w:val="left" w:pos="475"/>
                <w:tab w:val="left" w:pos="965"/>
                <w:tab w:val="left" w:pos="1440"/>
                <w:tab w:val="left" w:pos="1915"/>
                <w:tab w:val="left" w:pos="2405"/>
              </w:tabs>
              <w:spacing w:after="120"/>
              <w:jc w:val="right"/>
              <w:rPr>
                <w:sz w:val="17"/>
              </w:rPr>
            </w:pPr>
            <w:r>
              <w:rPr>
                <w:sz w:val="17"/>
              </w:rPr>
              <w:t>0</w:t>
            </w:r>
          </w:p>
        </w:tc>
        <w:tc>
          <w:tcPr>
            <w:tcW w:w="756" w:type="dxa"/>
          </w:tcPr>
          <w:p w:rsidR="00000000" w:rsidRDefault="00000000">
            <w:pPr>
              <w:tabs>
                <w:tab w:val="left" w:pos="475"/>
                <w:tab w:val="left" w:pos="965"/>
                <w:tab w:val="left" w:pos="1440"/>
                <w:tab w:val="left" w:pos="1915"/>
                <w:tab w:val="left" w:pos="2405"/>
              </w:tabs>
              <w:spacing w:after="120"/>
              <w:jc w:val="right"/>
              <w:rPr>
                <w:sz w:val="17"/>
              </w:rPr>
            </w:pPr>
            <w:r>
              <w:rPr>
                <w:sz w:val="17"/>
              </w:rPr>
              <w:t>1</w:t>
            </w:r>
          </w:p>
        </w:tc>
        <w:tc>
          <w:tcPr>
            <w:tcW w:w="832" w:type="dxa"/>
          </w:tcPr>
          <w:p w:rsidR="00000000" w:rsidRDefault="00000000">
            <w:pPr>
              <w:tabs>
                <w:tab w:val="left" w:pos="475"/>
                <w:tab w:val="left" w:pos="965"/>
                <w:tab w:val="left" w:pos="1440"/>
                <w:tab w:val="left" w:pos="1915"/>
                <w:tab w:val="left" w:pos="2405"/>
              </w:tabs>
              <w:spacing w:after="120"/>
              <w:jc w:val="right"/>
              <w:rPr>
                <w:sz w:val="17"/>
              </w:rPr>
            </w:pPr>
            <w:r>
              <w:rPr>
                <w:sz w:val="17"/>
              </w:rPr>
              <w:t>279</w:t>
            </w:r>
          </w:p>
        </w:tc>
      </w:tr>
      <w:tr w:rsidR="00000000">
        <w:tblPrEx>
          <w:tblCellMar>
            <w:top w:w="0" w:type="dxa"/>
            <w:bottom w:w="0" w:type="dxa"/>
          </w:tblCellMar>
        </w:tblPrEx>
        <w:tc>
          <w:tcPr>
            <w:tcW w:w="2484" w:type="dxa"/>
          </w:tcPr>
          <w:p w:rsidR="00000000" w:rsidRDefault="00000000">
            <w:pPr>
              <w:tabs>
                <w:tab w:val="left" w:pos="261"/>
                <w:tab w:val="left" w:pos="965"/>
                <w:tab w:val="left" w:pos="1440"/>
                <w:tab w:val="left" w:pos="1915"/>
                <w:tab w:val="left" w:pos="2405"/>
              </w:tabs>
              <w:spacing w:after="120"/>
              <w:rPr>
                <w:sz w:val="17"/>
              </w:rPr>
            </w:pPr>
            <w:r>
              <w:rPr>
                <w:sz w:val="17"/>
              </w:rPr>
              <w:tab/>
              <w:t>Second</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2 595</w:t>
            </w:r>
          </w:p>
        </w:tc>
        <w:tc>
          <w:tcPr>
            <w:tcW w:w="765" w:type="dxa"/>
          </w:tcPr>
          <w:p w:rsidR="00000000" w:rsidRDefault="00000000">
            <w:pPr>
              <w:tabs>
                <w:tab w:val="left" w:pos="475"/>
                <w:tab w:val="left" w:pos="965"/>
                <w:tab w:val="left" w:pos="1440"/>
                <w:tab w:val="left" w:pos="1915"/>
                <w:tab w:val="left" w:pos="2405"/>
              </w:tabs>
              <w:spacing w:after="120"/>
              <w:jc w:val="right"/>
              <w:rPr>
                <w:sz w:val="17"/>
              </w:rPr>
            </w:pPr>
            <w:r>
              <w:rPr>
                <w:sz w:val="17"/>
              </w:rPr>
              <w:t>30 308</w:t>
            </w:r>
          </w:p>
        </w:tc>
        <w:tc>
          <w:tcPr>
            <w:tcW w:w="747" w:type="dxa"/>
          </w:tcPr>
          <w:p w:rsidR="00000000" w:rsidRDefault="00000000">
            <w:pPr>
              <w:tabs>
                <w:tab w:val="left" w:pos="475"/>
                <w:tab w:val="left" w:pos="965"/>
                <w:tab w:val="left" w:pos="1440"/>
                <w:tab w:val="left" w:pos="1915"/>
                <w:tab w:val="left" w:pos="2405"/>
              </w:tabs>
              <w:spacing w:after="120"/>
              <w:jc w:val="right"/>
              <w:rPr>
                <w:sz w:val="17"/>
              </w:rPr>
            </w:pPr>
            <w:r>
              <w:rPr>
                <w:sz w:val="17"/>
              </w:rPr>
              <w:t>24 139</w:t>
            </w:r>
          </w:p>
        </w:tc>
        <w:tc>
          <w:tcPr>
            <w:tcW w:w="774" w:type="dxa"/>
          </w:tcPr>
          <w:p w:rsidR="00000000" w:rsidRDefault="00000000">
            <w:pPr>
              <w:tabs>
                <w:tab w:val="left" w:pos="475"/>
                <w:tab w:val="left" w:pos="965"/>
                <w:tab w:val="left" w:pos="1440"/>
                <w:tab w:val="left" w:pos="1915"/>
                <w:tab w:val="left" w:pos="2405"/>
              </w:tabs>
              <w:spacing w:after="120"/>
              <w:jc w:val="right"/>
              <w:rPr>
                <w:sz w:val="17"/>
              </w:rPr>
            </w:pPr>
            <w:r>
              <w:rPr>
                <w:sz w:val="17"/>
              </w:rPr>
              <w:t>8 861</w:t>
            </w:r>
          </w:p>
        </w:tc>
        <w:tc>
          <w:tcPr>
            <w:tcW w:w="801" w:type="dxa"/>
          </w:tcPr>
          <w:p w:rsidR="00000000" w:rsidRDefault="00000000">
            <w:pPr>
              <w:tabs>
                <w:tab w:val="left" w:pos="475"/>
                <w:tab w:val="left" w:pos="965"/>
                <w:tab w:val="left" w:pos="1440"/>
                <w:tab w:val="left" w:pos="1915"/>
                <w:tab w:val="left" w:pos="2405"/>
              </w:tabs>
              <w:spacing w:after="120"/>
              <w:jc w:val="right"/>
              <w:rPr>
                <w:sz w:val="17"/>
              </w:rPr>
            </w:pPr>
            <w:r>
              <w:rPr>
                <w:sz w:val="17"/>
              </w:rPr>
              <w:t>2 753</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361</w:t>
            </w:r>
          </w:p>
        </w:tc>
        <w:tc>
          <w:tcPr>
            <w:tcW w:w="657" w:type="dxa"/>
          </w:tcPr>
          <w:p w:rsidR="00000000" w:rsidRDefault="00000000">
            <w:pPr>
              <w:tabs>
                <w:tab w:val="left" w:pos="475"/>
                <w:tab w:val="left" w:pos="965"/>
                <w:tab w:val="left" w:pos="1440"/>
                <w:tab w:val="left" w:pos="1915"/>
                <w:tab w:val="left" w:pos="2405"/>
              </w:tabs>
              <w:spacing w:after="120"/>
              <w:jc w:val="right"/>
              <w:rPr>
                <w:sz w:val="17"/>
              </w:rPr>
            </w:pPr>
            <w:r>
              <w:rPr>
                <w:sz w:val="17"/>
              </w:rPr>
              <w:t>15</w:t>
            </w:r>
          </w:p>
        </w:tc>
        <w:tc>
          <w:tcPr>
            <w:tcW w:w="693" w:type="dxa"/>
          </w:tcPr>
          <w:p w:rsidR="00000000" w:rsidRDefault="00000000">
            <w:pPr>
              <w:tabs>
                <w:tab w:val="left" w:pos="475"/>
                <w:tab w:val="left" w:pos="965"/>
                <w:tab w:val="left" w:pos="1440"/>
                <w:tab w:val="left" w:pos="1915"/>
                <w:tab w:val="left" w:pos="2405"/>
              </w:tabs>
              <w:spacing w:after="120"/>
              <w:jc w:val="right"/>
              <w:rPr>
                <w:sz w:val="17"/>
              </w:rPr>
            </w:pPr>
            <w:r>
              <w:rPr>
                <w:sz w:val="17"/>
              </w:rPr>
              <w:t>2</w:t>
            </w:r>
          </w:p>
        </w:tc>
        <w:tc>
          <w:tcPr>
            <w:tcW w:w="756" w:type="dxa"/>
          </w:tcPr>
          <w:p w:rsidR="00000000" w:rsidRDefault="00000000">
            <w:pPr>
              <w:tabs>
                <w:tab w:val="left" w:pos="475"/>
                <w:tab w:val="left" w:pos="965"/>
                <w:tab w:val="left" w:pos="1440"/>
                <w:tab w:val="left" w:pos="1915"/>
                <w:tab w:val="left" w:pos="2405"/>
              </w:tabs>
              <w:spacing w:after="120"/>
              <w:jc w:val="right"/>
              <w:rPr>
                <w:sz w:val="17"/>
              </w:rPr>
            </w:pPr>
            <w:r>
              <w:rPr>
                <w:sz w:val="17"/>
              </w:rPr>
              <w:t>0</w:t>
            </w:r>
          </w:p>
        </w:tc>
        <w:tc>
          <w:tcPr>
            <w:tcW w:w="832" w:type="dxa"/>
          </w:tcPr>
          <w:p w:rsidR="00000000" w:rsidRDefault="00000000">
            <w:pPr>
              <w:tabs>
                <w:tab w:val="left" w:pos="475"/>
                <w:tab w:val="left" w:pos="965"/>
                <w:tab w:val="left" w:pos="1440"/>
                <w:tab w:val="left" w:pos="1915"/>
                <w:tab w:val="left" w:pos="2405"/>
              </w:tabs>
              <w:spacing w:after="120"/>
              <w:jc w:val="right"/>
              <w:rPr>
                <w:sz w:val="17"/>
              </w:rPr>
            </w:pPr>
            <w:r>
              <w:rPr>
                <w:sz w:val="17"/>
              </w:rPr>
              <w:t>50</w:t>
            </w:r>
          </w:p>
        </w:tc>
      </w:tr>
      <w:tr w:rsidR="00000000">
        <w:tblPrEx>
          <w:tblCellMar>
            <w:top w:w="0" w:type="dxa"/>
            <w:bottom w:w="0" w:type="dxa"/>
          </w:tblCellMar>
        </w:tblPrEx>
        <w:tc>
          <w:tcPr>
            <w:tcW w:w="2484" w:type="dxa"/>
          </w:tcPr>
          <w:p w:rsidR="00000000" w:rsidRDefault="00000000">
            <w:pPr>
              <w:tabs>
                <w:tab w:val="left" w:pos="261"/>
                <w:tab w:val="left" w:pos="965"/>
                <w:tab w:val="left" w:pos="1440"/>
                <w:tab w:val="left" w:pos="1915"/>
                <w:tab w:val="left" w:pos="2405"/>
              </w:tabs>
              <w:spacing w:after="120"/>
              <w:rPr>
                <w:sz w:val="17"/>
              </w:rPr>
            </w:pPr>
            <w:r>
              <w:rPr>
                <w:sz w:val="17"/>
              </w:rPr>
              <w:tab/>
              <w:t>Third</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34</w:t>
            </w:r>
          </w:p>
        </w:tc>
        <w:tc>
          <w:tcPr>
            <w:tcW w:w="765" w:type="dxa"/>
          </w:tcPr>
          <w:p w:rsidR="00000000" w:rsidRDefault="00000000">
            <w:pPr>
              <w:tabs>
                <w:tab w:val="left" w:pos="475"/>
                <w:tab w:val="left" w:pos="965"/>
                <w:tab w:val="left" w:pos="1440"/>
                <w:tab w:val="left" w:pos="1915"/>
                <w:tab w:val="left" w:pos="2405"/>
              </w:tabs>
              <w:spacing w:after="120"/>
              <w:jc w:val="right"/>
              <w:rPr>
                <w:sz w:val="17"/>
              </w:rPr>
            </w:pPr>
            <w:r>
              <w:rPr>
                <w:sz w:val="17"/>
              </w:rPr>
              <w:t>6 254</w:t>
            </w:r>
          </w:p>
        </w:tc>
        <w:tc>
          <w:tcPr>
            <w:tcW w:w="747" w:type="dxa"/>
          </w:tcPr>
          <w:p w:rsidR="00000000" w:rsidRDefault="00000000">
            <w:pPr>
              <w:tabs>
                <w:tab w:val="left" w:pos="475"/>
                <w:tab w:val="left" w:pos="965"/>
                <w:tab w:val="left" w:pos="1440"/>
                <w:tab w:val="left" w:pos="1915"/>
                <w:tab w:val="left" w:pos="2405"/>
              </w:tabs>
              <w:spacing w:after="120"/>
              <w:jc w:val="right"/>
              <w:rPr>
                <w:sz w:val="17"/>
              </w:rPr>
            </w:pPr>
            <w:r>
              <w:rPr>
                <w:sz w:val="17"/>
              </w:rPr>
              <w:t>14 004</w:t>
            </w:r>
          </w:p>
        </w:tc>
        <w:tc>
          <w:tcPr>
            <w:tcW w:w="774" w:type="dxa"/>
          </w:tcPr>
          <w:p w:rsidR="00000000" w:rsidRDefault="00000000">
            <w:pPr>
              <w:tabs>
                <w:tab w:val="left" w:pos="475"/>
                <w:tab w:val="left" w:pos="965"/>
                <w:tab w:val="left" w:pos="1440"/>
                <w:tab w:val="left" w:pos="1915"/>
                <w:tab w:val="left" w:pos="2405"/>
              </w:tabs>
              <w:spacing w:after="120"/>
              <w:jc w:val="right"/>
              <w:rPr>
                <w:sz w:val="17"/>
              </w:rPr>
            </w:pPr>
            <w:r>
              <w:rPr>
                <w:sz w:val="17"/>
              </w:rPr>
              <w:t>9 664</w:t>
            </w:r>
          </w:p>
        </w:tc>
        <w:tc>
          <w:tcPr>
            <w:tcW w:w="801" w:type="dxa"/>
          </w:tcPr>
          <w:p w:rsidR="00000000" w:rsidRDefault="00000000">
            <w:pPr>
              <w:tabs>
                <w:tab w:val="left" w:pos="475"/>
                <w:tab w:val="left" w:pos="965"/>
                <w:tab w:val="left" w:pos="1440"/>
                <w:tab w:val="left" w:pos="1915"/>
                <w:tab w:val="left" w:pos="2405"/>
              </w:tabs>
              <w:spacing w:after="120"/>
              <w:jc w:val="right"/>
              <w:rPr>
                <w:sz w:val="17"/>
              </w:rPr>
            </w:pPr>
            <w:r>
              <w:rPr>
                <w:sz w:val="17"/>
              </w:rPr>
              <w:t>3 695</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490</w:t>
            </w:r>
          </w:p>
        </w:tc>
        <w:tc>
          <w:tcPr>
            <w:tcW w:w="657" w:type="dxa"/>
          </w:tcPr>
          <w:p w:rsidR="00000000" w:rsidRDefault="00000000">
            <w:pPr>
              <w:tabs>
                <w:tab w:val="left" w:pos="475"/>
                <w:tab w:val="left" w:pos="965"/>
                <w:tab w:val="left" w:pos="1440"/>
                <w:tab w:val="left" w:pos="1915"/>
                <w:tab w:val="left" w:pos="2405"/>
              </w:tabs>
              <w:spacing w:after="120"/>
              <w:jc w:val="right"/>
              <w:rPr>
                <w:sz w:val="17"/>
              </w:rPr>
            </w:pPr>
            <w:r>
              <w:rPr>
                <w:sz w:val="17"/>
              </w:rPr>
              <w:t>30</w:t>
            </w:r>
          </w:p>
        </w:tc>
        <w:tc>
          <w:tcPr>
            <w:tcW w:w="693" w:type="dxa"/>
          </w:tcPr>
          <w:p w:rsidR="00000000" w:rsidRDefault="00000000">
            <w:pPr>
              <w:tabs>
                <w:tab w:val="left" w:pos="475"/>
                <w:tab w:val="left" w:pos="965"/>
                <w:tab w:val="left" w:pos="1440"/>
                <w:tab w:val="left" w:pos="1915"/>
                <w:tab w:val="left" w:pos="2405"/>
              </w:tabs>
              <w:spacing w:after="120"/>
              <w:jc w:val="right"/>
              <w:rPr>
                <w:sz w:val="17"/>
              </w:rPr>
            </w:pPr>
            <w:r>
              <w:rPr>
                <w:sz w:val="17"/>
              </w:rPr>
              <w:t>0</w:t>
            </w:r>
          </w:p>
        </w:tc>
        <w:tc>
          <w:tcPr>
            <w:tcW w:w="756" w:type="dxa"/>
          </w:tcPr>
          <w:p w:rsidR="00000000" w:rsidRDefault="00000000">
            <w:pPr>
              <w:tabs>
                <w:tab w:val="left" w:pos="475"/>
                <w:tab w:val="left" w:pos="965"/>
                <w:tab w:val="left" w:pos="1440"/>
                <w:tab w:val="left" w:pos="1915"/>
                <w:tab w:val="left" w:pos="2405"/>
              </w:tabs>
              <w:spacing w:after="120"/>
              <w:jc w:val="right"/>
              <w:rPr>
                <w:sz w:val="17"/>
              </w:rPr>
            </w:pPr>
            <w:r>
              <w:rPr>
                <w:sz w:val="17"/>
              </w:rPr>
              <w:t>0</w:t>
            </w:r>
          </w:p>
        </w:tc>
        <w:tc>
          <w:tcPr>
            <w:tcW w:w="832" w:type="dxa"/>
          </w:tcPr>
          <w:p w:rsidR="00000000" w:rsidRDefault="00000000">
            <w:pPr>
              <w:tabs>
                <w:tab w:val="left" w:pos="475"/>
                <w:tab w:val="left" w:pos="965"/>
                <w:tab w:val="left" w:pos="1440"/>
                <w:tab w:val="left" w:pos="1915"/>
                <w:tab w:val="left" w:pos="2405"/>
              </w:tabs>
              <w:spacing w:after="120"/>
              <w:jc w:val="right"/>
              <w:rPr>
                <w:sz w:val="17"/>
              </w:rPr>
            </w:pPr>
            <w:r>
              <w:rPr>
                <w:sz w:val="17"/>
              </w:rPr>
              <w:t>26</w:t>
            </w:r>
          </w:p>
        </w:tc>
      </w:tr>
      <w:tr w:rsidR="00000000">
        <w:tblPrEx>
          <w:tblCellMar>
            <w:top w:w="0" w:type="dxa"/>
            <w:bottom w:w="0" w:type="dxa"/>
          </w:tblCellMar>
        </w:tblPrEx>
        <w:tc>
          <w:tcPr>
            <w:tcW w:w="2484" w:type="dxa"/>
          </w:tcPr>
          <w:p w:rsidR="00000000" w:rsidRDefault="00000000">
            <w:pPr>
              <w:tabs>
                <w:tab w:val="left" w:pos="261"/>
                <w:tab w:val="left" w:pos="965"/>
                <w:tab w:val="left" w:pos="1440"/>
                <w:tab w:val="left" w:pos="1915"/>
                <w:tab w:val="left" w:pos="2405"/>
              </w:tabs>
              <w:spacing w:after="120"/>
              <w:rPr>
                <w:sz w:val="17"/>
              </w:rPr>
            </w:pPr>
            <w:r>
              <w:rPr>
                <w:sz w:val="17"/>
              </w:rPr>
              <w:tab/>
              <w:t>Fourth</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0</w:t>
            </w:r>
          </w:p>
        </w:tc>
        <w:tc>
          <w:tcPr>
            <w:tcW w:w="765" w:type="dxa"/>
          </w:tcPr>
          <w:p w:rsidR="00000000" w:rsidRDefault="00000000">
            <w:pPr>
              <w:tabs>
                <w:tab w:val="left" w:pos="475"/>
                <w:tab w:val="left" w:pos="965"/>
                <w:tab w:val="left" w:pos="1440"/>
                <w:tab w:val="left" w:pos="1915"/>
                <w:tab w:val="left" w:pos="2405"/>
              </w:tabs>
              <w:spacing w:after="120"/>
              <w:jc w:val="right"/>
              <w:rPr>
                <w:sz w:val="17"/>
              </w:rPr>
            </w:pPr>
            <w:r>
              <w:rPr>
                <w:sz w:val="17"/>
              </w:rPr>
              <w:t>717</w:t>
            </w:r>
          </w:p>
        </w:tc>
        <w:tc>
          <w:tcPr>
            <w:tcW w:w="747" w:type="dxa"/>
          </w:tcPr>
          <w:p w:rsidR="00000000" w:rsidRDefault="00000000">
            <w:pPr>
              <w:tabs>
                <w:tab w:val="left" w:pos="475"/>
                <w:tab w:val="left" w:pos="965"/>
                <w:tab w:val="left" w:pos="1440"/>
                <w:tab w:val="left" w:pos="1915"/>
                <w:tab w:val="left" w:pos="2405"/>
              </w:tabs>
              <w:spacing w:after="120"/>
              <w:jc w:val="right"/>
              <w:rPr>
                <w:sz w:val="17"/>
              </w:rPr>
            </w:pPr>
            <w:r>
              <w:rPr>
                <w:sz w:val="17"/>
              </w:rPr>
              <w:t>5 005</w:t>
            </w:r>
          </w:p>
        </w:tc>
        <w:tc>
          <w:tcPr>
            <w:tcW w:w="774" w:type="dxa"/>
          </w:tcPr>
          <w:p w:rsidR="00000000" w:rsidRDefault="00000000">
            <w:pPr>
              <w:tabs>
                <w:tab w:val="left" w:pos="475"/>
                <w:tab w:val="left" w:pos="965"/>
                <w:tab w:val="left" w:pos="1440"/>
                <w:tab w:val="left" w:pos="1915"/>
                <w:tab w:val="left" w:pos="2405"/>
              </w:tabs>
              <w:spacing w:after="120"/>
              <w:jc w:val="right"/>
              <w:rPr>
                <w:sz w:val="17"/>
              </w:rPr>
            </w:pPr>
            <w:r>
              <w:rPr>
                <w:sz w:val="17"/>
              </w:rPr>
              <w:t>6 138</w:t>
            </w:r>
          </w:p>
        </w:tc>
        <w:tc>
          <w:tcPr>
            <w:tcW w:w="801" w:type="dxa"/>
          </w:tcPr>
          <w:p w:rsidR="00000000" w:rsidRDefault="00000000">
            <w:pPr>
              <w:tabs>
                <w:tab w:val="left" w:pos="475"/>
                <w:tab w:val="left" w:pos="965"/>
                <w:tab w:val="left" w:pos="1440"/>
                <w:tab w:val="left" w:pos="1915"/>
                <w:tab w:val="left" w:pos="2405"/>
              </w:tabs>
              <w:spacing w:after="120"/>
              <w:jc w:val="right"/>
              <w:rPr>
                <w:sz w:val="17"/>
              </w:rPr>
            </w:pPr>
            <w:r>
              <w:rPr>
                <w:sz w:val="17"/>
              </w:rPr>
              <w:t>3 137</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520</w:t>
            </w:r>
          </w:p>
        </w:tc>
        <w:tc>
          <w:tcPr>
            <w:tcW w:w="657" w:type="dxa"/>
          </w:tcPr>
          <w:p w:rsidR="00000000" w:rsidRDefault="00000000">
            <w:pPr>
              <w:tabs>
                <w:tab w:val="left" w:pos="475"/>
                <w:tab w:val="left" w:pos="965"/>
                <w:tab w:val="left" w:pos="1440"/>
                <w:tab w:val="left" w:pos="1915"/>
                <w:tab w:val="left" w:pos="2405"/>
              </w:tabs>
              <w:spacing w:after="120"/>
              <w:jc w:val="right"/>
              <w:rPr>
                <w:sz w:val="17"/>
              </w:rPr>
            </w:pPr>
            <w:r>
              <w:rPr>
                <w:sz w:val="17"/>
              </w:rPr>
              <w:t>29</w:t>
            </w:r>
          </w:p>
        </w:tc>
        <w:tc>
          <w:tcPr>
            <w:tcW w:w="693" w:type="dxa"/>
          </w:tcPr>
          <w:p w:rsidR="00000000" w:rsidRDefault="00000000">
            <w:pPr>
              <w:tabs>
                <w:tab w:val="left" w:pos="475"/>
                <w:tab w:val="left" w:pos="965"/>
                <w:tab w:val="left" w:pos="1440"/>
                <w:tab w:val="left" w:pos="1915"/>
                <w:tab w:val="left" w:pos="2405"/>
              </w:tabs>
              <w:spacing w:after="120"/>
              <w:jc w:val="right"/>
              <w:rPr>
                <w:sz w:val="17"/>
              </w:rPr>
            </w:pPr>
            <w:r>
              <w:rPr>
                <w:sz w:val="17"/>
              </w:rPr>
              <w:t>2</w:t>
            </w:r>
          </w:p>
        </w:tc>
        <w:tc>
          <w:tcPr>
            <w:tcW w:w="756" w:type="dxa"/>
          </w:tcPr>
          <w:p w:rsidR="00000000" w:rsidRDefault="00000000">
            <w:pPr>
              <w:tabs>
                <w:tab w:val="left" w:pos="475"/>
                <w:tab w:val="left" w:pos="965"/>
                <w:tab w:val="left" w:pos="1440"/>
                <w:tab w:val="left" w:pos="1915"/>
                <w:tab w:val="left" w:pos="2405"/>
              </w:tabs>
              <w:spacing w:after="120"/>
              <w:jc w:val="right"/>
              <w:rPr>
                <w:sz w:val="17"/>
              </w:rPr>
            </w:pPr>
            <w:r>
              <w:rPr>
                <w:sz w:val="17"/>
              </w:rPr>
              <w:t>2</w:t>
            </w:r>
          </w:p>
        </w:tc>
        <w:tc>
          <w:tcPr>
            <w:tcW w:w="832" w:type="dxa"/>
          </w:tcPr>
          <w:p w:rsidR="00000000" w:rsidRDefault="00000000">
            <w:pPr>
              <w:tabs>
                <w:tab w:val="left" w:pos="475"/>
                <w:tab w:val="left" w:pos="965"/>
                <w:tab w:val="left" w:pos="1440"/>
                <w:tab w:val="left" w:pos="1915"/>
                <w:tab w:val="left" w:pos="2405"/>
              </w:tabs>
              <w:spacing w:after="120"/>
              <w:jc w:val="right"/>
              <w:rPr>
                <w:sz w:val="17"/>
              </w:rPr>
            </w:pPr>
            <w:r>
              <w:rPr>
                <w:sz w:val="17"/>
              </w:rPr>
              <w:t>7</w:t>
            </w:r>
          </w:p>
        </w:tc>
      </w:tr>
      <w:tr w:rsidR="00000000">
        <w:tblPrEx>
          <w:tblCellMar>
            <w:top w:w="0" w:type="dxa"/>
            <w:bottom w:w="0" w:type="dxa"/>
          </w:tblCellMar>
        </w:tblPrEx>
        <w:tc>
          <w:tcPr>
            <w:tcW w:w="2484" w:type="dxa"/>
          </w:tcPr>
          <w:p w:rsidR="00000000" w:rsidRDefault="00000000">
            <w:pPr>
              <w:tabs>
                <w:tab w:val="left" w:pos="261"/>
                <w:tab w:val="left" w:pos="965"/>
                <w:tab w:val="left" w:pos="1440"/>
                <w:tab w:val="left" w:pos="1915"/>
                <w:tab w:val="left" w:pos="2405"/>
              </w:tabs>
              <w:spacing w:after="120"/>
              <w:rPr>
                <w:sz w:val="17"/>
              </w:rPr>
            </w:pPr>
            <w:r>
              <w:rPr>
                <w:sz w:val="17"/>
              </w:rPr>
              <w:tab/>
              <w:t>Fifth</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0</w:t>
            </w:r>
          </w:p>
        </w:tc>
        <w:tc>
          <w:tcPr>
            <w:tcW w:w="765" w:type="dxa"/>
          </w:tcPr>
          <w:p w:rsidR="00000000" w:rsidRDefault="00000000">
            <w:pPr>
              <w:tabs>
                <w:tab w:val="left" w:pos="475"/>
                <w:tab w:val="left" w:pos="965"/>
                <w:tab w:val="left" w:pos="1440"/>
                <w:tab w:val="left" w:pos="1915"/>
                <w:tab w:val="left" w:pos="2405"/>
              </w:tabs>
              <w:spacing w:after="120"/>
              <w:jc w:val="right"/>
              <w:rPr>
                <w:sz w:val="17"/>
              </w:rPr>
            </w:pPr>
            <w:r>
              <w:rPr>
                <w:sz w:val="17"/>
              </w:rPr>
              <w:t>86</w:t>
            </w:r>
          </w:p>
        </w:tc>
        <w:tc>
          <w:tcPr>
            <w:tcW w:w="747" w:type="dxa"/>
          </w:tcPr>
          <w:p w:rsidR="00000000" w:rsidRDefault="00000000">
            <w:pPr>
              <w:tabs>
                <w:tab w:val="left" w:pos="475"/>
                <w:tab w:val="left" w:pos="965"/>
                <w:tab w:val="left" w:pos="1440"/>
                <w:tab w:val="left" w:pos="1915"/>
                <w:tab w:val="left" w:pos="2405"/>
              </w:tabs>
              <w:spacing w:after="120"/>
              <w:jc w:val="right"/>
              <w:rPr>
                <w:sz w:val="17"/>
              </w:rPr>
            </w:pPr>
            <w:r>
              <w:rPr>
                <w:sz w:val="17"/>
              </w:rPr>
              <w:t>1 145</w:t>
            </w:r>
          </w:p>
        </w:tc>
        <w:tc>
          <w:tcPr>
            <w:tcW w:w="774" w:type="dxa"/>
          </w:tcPr>
          <w:p w:rsidR="00000000" w:rsidRDefault="00000000">
            <w:pPr>
              <w:tabs>
                <w:tab w:val="left" w:pos="475"/>
                <w:tab w:val="left" w:pos="965"/>
                <w:tab w:val="left" w:pos="1440"/>
                <w:tab w:val="left" w:pos="1915"/>
                <w:tab w:val="left" w:pos="2405"/>
              </w:tabs>
              <w:spacing w:after="120"/>
              <w:jc w:val="right"/>
              <w:rPr>
                <w:sz w:val="17"/>
              </w:rPr>
            </w:pPr>
            <w:r>
              <w:rPr>
                <w:sz w:val="17"/>
              </w:rPr>
              <w:t>2 746</w:t>
            </w:r>
          </w:p>
        </w:tc>
        <w:tc>
          <w:tcPr>
            <w:tcW w:w="801" w:type="dxa"/>
          </w:tcPr>
          <w:p w:rsidR="00000000" w:rsidRDefault="00000000">
            <w:pPr>
              <w:tabs>
                <w:tab w:val="left" w:pos="475"/>
                <w:tab w:val="left" w:pos="965"/>
                <w:tab w:val="left" w:pos="1440"/>
                <w:tab w:val="left" w:pos="1915"/>
                <w:tab w:val="left" w:pos="2405"/>
              </w:tabs>
              <w:spacing w:after="120"/>
              <w:jc w:val="right"/>
              <w:rPr>
                <w:sz w:val="17"/>
              </w:rPr>
            </w:pPr>
            <w:r>
              <w:rPr>
                <w:sz w:val="17"/>
              </w:rPr>
              <w:t>2 089</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439</w:t>
            </w:r>
          </w:p>
        </w:tc>
        <w:tc>
          <w:tcPr>
            <w:tcW w:w="657" w:type="dxa"/>
          </w:tcPr>
          <w:p w:rsidR="00000000" w:rsidRDefault="00000000">
            <w:pPr>
              <w:tabs>
                <w:tab w:val="left" w:pos="475"/>
                <w:tab w:val="left" w:pos="965"/>
                <w:tab w:val="left" w:pos="1440"/>
                <w:tab w:val="left" w:pos="1915"/>
                <w:tab w:val="left" w:pos="2405"/>
              </w:tabs>
              <w:spacing w:after="120"/>
              <w:jc w:val="right"/>
              <w:rPr>
                <w:sz w:val="17"/>
              </w:rPr>
            </w:pPr>
            <w:r>
              <w:rPr>
                <w:sz w:val="17"/>
              </w:rPr>
              <w:t>33</w:t>
            </w:r>
          </w:p>
        </w:tc>
        <w:tc>
          <w:tcPr>
            <w:tcW w:w="693" w:type="dxa"/>
          </w:tcPr>
          <w:p w:rsidR="00000000" w:rsidRDefault="00000000">
            <w:pPr>
              <w:tabs>
                <w:tab w:val="left" w:pos="475"/>
                <w:tab w:val="left" w:pos="965"/>
                <w:tab w:val="left" w:pos="1440"/>
                <w:tab w:val="left" w:pos="1915"/>
                <w:tab w:val="left" w:pos="2405"/>
              </w:tabs>
              <w:spacing w:after="120"/>
              <w:jc w:val="right"/>
              <w:rPr>
                <w:sz w:val="17"/>
              </w:rPr>
            </w:pPr>
            <w:r>
              <w:rPr>
                <w:sz w:val="17"/>
              </w:rPr>
              <w:t>2</w:t>
            </w:r>
          </w:p>
        </w:tc>
        <w:tc>
          <w:tcPr>
            <w:tcW w:w="756" w:type="dxa"/>
          </w:tcPr>
          <w:p w:rsidR="00000000" w:rsidRDefault="00000000">
            <w:pPr>
              <w:tabs>
                <w:tab w:val="left" w:pos="475"/>
                <w:tab w:val="left" w:pos="965"/>
                <w:tab w:val="left" w:pos="1440"/>
                <w:tab w:val="left" w:pos="1915"/>
                <w:tab w:val="left" w:pos="2405"/>
              </w:tabs>
              <w:spacing w:after="120"/>
              <w:jc w:val="right"/>
              <w:rPr>
                <w:sz w:val="17"/>
              </w:rPr>
            </w:pPr>
            <w:r>
              <w:rPr>
                <w:sz w:val="17"/>
              </w:rPr>
              <w:t>1</w:t>
            </w:r>
          </w:p>
        </w:tc>
        <w:tc>
          <w:tcPr>
            <w:tcW w:w="832" w:type="dxa"/>
          </w:tcPr>
          <w:p w:rsidR="00000000" w:rsidRDefault="00000000">
            <w:pPr>
              <w:tabs>
                <w:tab w:val="left" w:pos="475"/>
                <w:tab w:val="left" w:pos="965"/>
                <w:tab w:val="left" w:pos="1440"/>
                <w:tab w:val="left" w:pos="1915"/>
                <w:tab w:val="left" w:pos="2405"/>
              </w:tabs>
              <w:spacing w:after="120"/>
              <w:jc w:val="right"/>
              <w:rPr>
                <w:sz w:val="17"/>
              </w:rPr>
            </w:pPr>
            <w:r>
              <w:rPr>
                <w:sz w:val="17"/>
              </w:rPr>
              <w:t>4</w:t>
            </w:r>
          </w:p>
        </w:tc>
      </w:tr>
      <w:tr w:rsidR="00000000">
        <w:tblPrEx>
          <w:tblCellMar>
            <w:top w:w="0" w:type="dxa"/>
            <w:bottom w:w="0" w:type="dxa"/>
          </w:tblCellMar>
        </w:tblPrEx>
        <w:tc>
          <w:tcPr>
            <w:tcW w:w="2484" w:type="dxa"/>
          </w:tcPr>
          <w:p w:rsidR="00000000" w:rsidRDefault="00000000">
            <w:pPr>
              <w:tabs>
                <w:tab w:val="left" w:pos="261"/>
                <w:tab w:val="left" w:pos="965"/>
                <w:tab w:val="left" w:pos="1440"/>
                <w:tab w:val="left" w:pos="1915"/>
                <w:tab w:val="left" w:pos="2405"/>
              </w:tabs>
              <w:spacing w:after="120"/>
              <w:rPr>
                <w:sz w:val="17"/>
              </w:rPr>
            </w:pPr>
            <w:r>
              <w:rPr>
                <w:sz w:val="17"/>
              </w:rPr>
              <w:tab/>
              <w:t>Sixth</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0</w:t>
            </w:r>
          </w:p>
        </w:tc>
        <w:tc>
          <w:tcPr>
            <w:tcW w:w="765" w:type="dxa"/>
          </w:tcPr>
          <w:p w:rsidR="00000000" w:rsidRDefault="00000000">
            <w:pPr>
              <w:tabs>
                <w:tab w:val="left" w:pos="475"/>
                <w:tab w:val="left" w:pos="965"/>
                <w:tab w:val="left" w:pos="1440"/>
                <w:tab w:val="left" w:pos="1915"/>
                <w:tab w:val="left" w:pos="2405"/>
              </w:tabs>
              <w:spacing w:after="120"/>
              <w:jc w:val="right"/>
              <w:rPr>
                <w:sz w:val="17"/>
              </w:rPr>
            </w:pPr>
            <w:r>
              <w:rPr>
                <w:sz w:val="17"/>
              </w:rPr>
              <w:t>6</w:t>
            </w:r>
          </w:p>
        </w:tc>
        <w:tc>
          <w:tcPr>
            <w:tcW w:w="747" w:type="dxa"/>
          </w:tcPr>
          <w:p w:rsidR="00000000" w:rsidRDefault="00000000">
            <w:pPr>
              <w:tabs>
                <w:tab w:val="left" w:pos="475"/>
                <w:tab w:val="left" w:pos="965"/>
                <w:tab w:val="left" w:pos="1440"/>
                <w:tab w:val="left" w:pos="1915"/>
                <w:tab w:val="left" w:pos="2405"/>
              </w:tabs>
              <w:spacing w:after="120"/>
              <w:jc w:val="right"/>
              <w:rPr>
                <w:sz w:val="17"/>
              </w:rPr>
            </w:pPr>
            <w:r>
              <w:rPr>
                <w:sz w:val="17"/>
              </w:rPr>
              <w:t>184</w:t>
            </w:r>
          </w:p>
        </w:tc>
        <w:tc>
          <w:tcPr>
            <w:tcW w:w="774" w:type="dxa"/>
          </w:tcPr>
          <w:p w:rsidR="00000000" w:rsidRDefault="00000000">
            <w:pPr>
              <w:tabs>
                <w:tab w:val="left" w:pos="475"/>
                <w:tab w:val="left" w:pos="965"/>
                <w:tab w:val="left" w:pos="1440"/>
                <w:tab w:val="left" w:pos="1915"/>
                <w:tab w:val="left" w:pos="2405"/>
              </w:tabs>
              <w:spacing w:after="120"/>
              <w:jc w:val="right"/>
              <w:rPr>
                <w:sz w:val="17"/>
              </w:rPr>
            </w:pPr>
            <w:r>
              <w:rPr>
                <w:sz w:val="17"/>
              </w:rPr>
              <w:t>971</w:t>
            </w:r>
          </w:p>
        </w:tc>
        <w:tc>
          <w:tcPr>
            <w:tcW w:w="801" w:type="dxa"/>
          </w:tcPr>
          <w:p w:rsidR="00000000" w:rsidRDefault="00000000">
            <w:pPr>
              <w:tabs>
                <w:tab w:val="left" w:pos="475"/>
                <w:tab w:val="left" w:pos="965"/>
                <w:tab w:val="left" w:pos="1440"/>
                <w:tab w:val="left" w:pos="1915"/>
                <w:tab w:val="left" w:pos="2405"/>
              </w:tabs>
              <w:spacing w:after="120"/>
              <w:jc w:val="right"/>
              <w:rPr>
                <w:sz w:val="17"/>
              </w:rPr>
            </w:pPr>
            <w:r>
              <w:rPr>
                <w:sz w:val="17"/>
              </w:rPr>
              <w:t>1 167</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356</w:t>
            </w:r>
          </w:p>
        </w:tc>
        <w:tc>
          <w:tcPr>
            <w:tcW w:w="657" w:type="dxa"/>
          </w:tcPr>
          <w:p w:rsidR="00000000" w:rsidRDefault="00000000">
            <w:pPr>
              <w:tabs>
                <w:tab w:val="left" w:pos="475"/>
                <w:tab w:val="left" w:pos="965"/>
                <w:tab w:val="left" w:pos="1440"/>
                <w:tab w:val="left" w:pos="1915"/>
                <w:tab w:val="left" w:pos="2405"/>
              </w:tabs>
              <w:spacing w:after="120"/>
              <w:jc w:val="right"/>
              <w:rPr>
                <w:sz w:val="17"/>
              </w:rPr>
            </w:pPr>
            <w:r>
              <w:rPr>
                <w:sz w:val="17"/>
              </w:rPr>
              <w:t>22</w:t>
            </w:r>
          </w:p>
        </w:tc>
        <w:tc>
          <w:tcPr>
            <w:tcW w:w="693" w:type="dxa"/>
          </w:tcPr>
          <w:p w:rsidR="00000000" w:rsidRDefault="00000000">
            <w:pPr>
              <w:tabs>
                <w:tab w:val="left" w:pos="475"/>
                <w:tab w:val="left" w:pos="965"/>
                <w:tab w:val="left" w:pos="1440"/>
                <w:tab w:val="left" w:pos="1915"/>
                <w:tab w:val="left" w:pos="2405"/>
              </w:tabs>
              <w:spacing w:after="120"/>
              <w:jc w:val="right"/>
              <w:rPr>
                <w:sz w:val="17"/>
              </w:rPr>
            </w:pPr>
            <w:r>
              <w:rPr>
                <w:sz w:val="17"/>
              </w:rPr>
              <w:t>5</w:t>
            </w:r>
          </w:p>
        </w:tc>
        <w:tc>
          <w:tcPr>
            <w:tcW w:w="756" w:type="dxa"/>
          </w:tcPr>
          <w:p w:rsidR="00000000" w:rsidRDefault="00000000">
            <w:pPr>
              <w:tabs>
                <w:tab w:val="left" w:pos="475"/>
                <w:tab w:val="left" w:pos="965"/>
                <w:tab w:val="left" w:pos="1440"/>
                <w:tab w:val="left" w:pos="1915"/>
                <w:tab w:val="left" w:pos="2405"/>
              </w:tabs>
              <w:spacing w:after="120"/>
              <w:jc w:val="right"/>
              <w:rPr>
                <w:sz w:val="17"/>
              </w:rPr>
            </w:pPr>
            <w:r>
              <w:rPr>
                <w:sz w:val="17"/>
              </w:rPr>
              <w:t>1</w:t>
            </w:r>
          </w:p>
        </w:tc>
        <w:tc>
          <w:tcPr>
            <w:tcW w:w="832" w:type="dxa"/>
          </w:tcPr>
          <w:p w:rsidR="00000000" w:rsidRDefault="00000000">
            <w:pPr>
              <w:tabs>
                <w:tab w:val="left" w:pos="475"/>
                <w:tab w:val="left" w:pos="965"/>
                <w:tab w:val="left" w:pos="1440"/>
                <w:tab w:val="left" w:pos="1915"/>
                <w:tab w:val="left" w:pos="2405"/>
              </w:tabs>
              <w:spacing w:after="120"/>
              <w:jc w:val="right"/>
              <w:rPr>
                <w:sz w:val="17"/>
              </w:rPr>
            </w:pPr>
            <w:r>
              <w:rPr>
                <w:sz w:val="17"/>
              </w:rPr>
              <w:t>2</w:t>
            </w:r>
          </w:p>
        </w:tc>
      </w:tr>
      <w:tr w:rsidR="00000000">
        <w:tblPrEx>
          <w:tblCellMar>
            <w:top w:w="0" w:type="dxa"/>
            <w:bottom w:w="0" w:type="dxa"/>
          </w:tblCellMar>
        </w:tblPrEx>
        <w:tc>
          <w:tcPr>
            <w:tcW w:w="2484" w:type="dxa"/>
          </w:tcPr>
          <w:p w:rsidR="00000000" w:rsidRDefault="00000000">
            <w:pPr>
              <w:tabs>
                <w:tab w:val="left" w:pos="261"/>
                <w:tab w:val="left" w:pos="965"/>
                <w:tab w:val="left" w:pos="1440"/>
                <w:tab w:val="left" w:pos="1915"/>
                <w:tab w:val="left" w:pos="2405"/>
              </w:tabs>
              <w:spacing w:after="120"/>
              <w:rPr>
                <w:sz w:val="17"/>
              </w:rPr>
            </w:pPr>
            <w:r>
              <w:rPr>
                <w:sz w:val="17"/>
              </w:rPr>
              <w:tab/>
              <w:t>Seventh</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0</w:t>
            </w:r>
          </w:p>
        </w:tc>
        <w:tc>
          <w:tcPr>
            <w:tcW w:w="765" w:type="dxa"/>
          </w:tcPr>
          <w:p w:rsidR="00000000" w:rsidRDefault="00000000">
            <w:pPr>
              <w:tabs>
                <w:tab w:val="left" w:pos="475"/>
                <w:tab w:val="left" w:pos="965"/>
                <w:tab w:val="left" w:pos="1440"/>
                <w:tab w:val="left" w:pos="1915"/>
                <w:tab w:val="left" w:pos="2405"/>
              </w:tabs>
              <w:spacing w:after="120"/>
              <w:jc w:val="right"/>
              <w:rPr>
                <w:sz w:val="17"/>
              </w:rPr>
            </w:pPr>
            <w:r>
              <w:rPr>
                <w:sz w:val="17"/>
              </w:rPr>
              <w:t>1</w:t>
            </w:r>
          </w:p>
        </w:tc>
        <w:tc>
          <w:tcPr>
            <w:tcW w:w="747" w:type="dxa"/>
          </w:tcPr>
          <w:p w:rsidR="00000000" w:rsidRDefault="00000000">
            <w:pPr>
              <w:tabs>
                <w:tab w:val="left" w:pos="475"/>
                <w:tab w:val="left" w:pos="965"/>
                <w:tab w:val="left" w:pos="1440"/>
                <w:tab w:val="left" w:pos="1915"/>
                <w:tab w:val="left" w:pos="2405"/>
              </w:tabs>
              <w:spacing w:after="120"/>
              <w:jc w:val="right"/>
              <w:rPr>
                <w:sz w:val="17"/>
              </w:rPr>
            </w:pPr>
            <w:r>
              <w:rPr>
                <w:sz w:val="17"/>
              </w:rPr>
              <w:t>35</w:t>
            </w:r>
          </w:p>
        </w:tc>
        <w:tc>
          <w:tcPr>
            <w:tcW w:w="774" w:type="dxa"/>
          </w:tcPr>
          <w:p w:rsidR="00000000" w:rsidRDefault="00000000">
            <w:pPr>
              <w:tabs>
                <w:tab w:val="left" w:pos="475"/>
                <w:tab w:val="left" w:pos="965"/>
                <w:tab w:val="left" w:pos="1440"/>
                <w:tab w:val="left" w:pos="1915"/>
                <w:tab w:val="left" w:pos="2405"/>
              </w:tabs>
              <w:spacing w:after="120"/>
              <w:jc w:val="right"/>
              <w:rPr>
                <w:sz w:val="17"/>
              </w:rPr>
            </w:pPr>
            <w:r>
              <w:rPr>
                <w:sz w:val="17"/>
              </w:rPr>
              <w:t>310</w:t>
            </w:r>
          </w:p>
        </w:tc>
        <w:tc>
          <w:tcPr>
            <w:tcW w:w="801" w:type="dxa"/>
          </w:tcPr>
          <w:p w:rsidR="00000000" w:rsidRDefault="00000000">
            <w:pPr>
              <w:tabs>
                <w:tab w:val="left" w:pos="475"/>
                <w:tab w:val="left" w:pos="965"/>
                <w:tab w:val="left" w:pos="1440"/>
                <w:tab w:val="left" w:pos="1915"/>
                <w:tab w:val="left" w:pos="2405"/>
              </w:tabs>
              <w:spacing w:after="120"/>
              <w:jc w:val="right"/>
              <w:rPr>
                <w:sz w:val="17"/>
              </w:rPr>
            </w:pPr>
            <w:r>
              <w:rPr>
                <w:sz w:val="17"/>
              </w:rPr>
              <w:t>579</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221</w:t>
            </w:r>
          </w:p>
        </w:tc>
        <w:tc>
          <w:tcPr>
            <w:tcW w:w="657" w:type="dxa"/>
          </w:tcPr>
          <w:p w:rsidR="00000000" w:rsidRDefault="00000000">
            <w:pPr>
              <w:tabs>
                <w:tab w:val="left" w:pos="475"/>
                <w:tab w:val="left" w:pos="965"/>
                <w:tab w:val="left" w:pos="1440"/>
                <w:tab w:val="left" w:pos="1915"/>
                <w:tab w:val="left" w:pos="2405"/>
              </w:tabs>
              <w:spacing w:after="120"/>
              <w:jc w:val="right"/>
              <w:rPr>
                <w:sz w:val="17"/>
              </w:rPr>
            </w:pPr>
            <w:r>
              <w:rPr>
                <w:sz w:val="17"/>
              </w:rPr>
              <w:t>21</w:t>
            </w:r>
          </w:p>
        </w:tc>
        <w:tc>
          <w:tcPr>
            <w:tcW w:w="693" w:type="dxa"/>
          </w:tcPr>
          <w:p w:rsidR="00000000" w:rsidRDefault="00000000">
            <w:pPr>
              <w:tabs>
                <w:tab w:val="left" w:pos="475"/>
                <w:tab w:val="left" w:pos="965"/>
                <w:tab w:val="left" w:pos="1440"/>
                <w:tab w:val="left" w:pos="1915"/>
                <w:tab w:val="left" w:pos="2405"/>
              </w:tabs>
              <w:spacing w:after="120"/>
              <w:jc w:val="right"/>
              <w:rPr>
                <w:sz w:val="17"/>
              </w:rPr>
            </w:pPr>
            <w:r>
              <w:rPr>
                <w:sz w:val="17"/>
              </w:rPr>
              <w:t>3</w:t>
            </w:r>
          </w:p>
        </w:tc>
        <w:tc>
          <w:tcPr>
            <w:tcW w:w="756" w:type="dxa"/>
          </w:tcPr>
          <w:p w:rsidR="00000000" w:rsidRDefault="00000000">
            <w:pPr>
              <w:tabs>
                <w:tab w:val="left" w:pos="475"/>
                <w:tab w:val="left" w:pos="965"/>
                <w:tab w:val="left" w:pos="1440"/>
                <w:tab w:val="left" w:pos="1915"/>
                <w:tab w:val="left" w:pos="2405"/>
              </w:tabs>
              <w:spacing w:after="120"/>
              <w:jc w:val="right"/>
              <w:rPr>
                <w:sz w:val="17"/>
              </w:rPr>
            </w:pPr>
            <w:r>
              <w:rPr>
                <w:sz w:val="17"/>
              </w:rPr>
              <w:t>2</w:t>
            </w:r>
          </w:p>
        </w:tc>
        <w:tc>
          <w:tcPr>
            <w:tcW w:w="832" w:type="dxa"/>
          </w:tcPr>
          <w:p w:rsidR="00000000" w:rsidRDefault="00000000">
            <w:pPr>
              <w:tabs>
                <w:tab w:val="left" w:pos="475"/>
                <w:tab w:val="left" w:pos="965"/>
                <w:tab w:val="left" w:pos="1440"/>
                <w:tab w:val="left" w:pos="1915"/>
                <w:tab w:val="left" w:pos="2405"/>
              </w:tabs>
              <w:spacing w:after="120"/>
              <w:jc w:val="right"/>
              <w:rPr>
                <w:sz w:val="17"/>
              </w:rPr>
            </w:pPr>
            <w:r>
              <w:rPr>
                <w:sz w:val="17"/>
              </w:rPr>
              <w:t>0</w:t>
            </w:r>
          </w:p>
        </w:tc>
      </w:tr>
      <w:tr w:rsidR="00000000">
        <w:tblPrEx>
          <w:tblCellMar>
            <w:top w:w="0" w:type="dxa"/>
            <w:bottom w:w="0" w:type="dxa"/>
          </w:tblCellMar>
        </w:tblPrEx>
        <w:tc>
          <w:tcPr>
            <w:tcW w:w="2484" w:type="dxa"/>
          </w:tcPr>
          <w:p w:rsidR="00000000" w:rsidRDefault="00000000">
            <w:pPr>
              <w:tabs>
                <w:tab w:val="left" w:pos="261"/>
                <w:tab w:val="left" w:pos="965"/>
                <w:tab w:val="left" w:pos="1440"/>
                <w:tab w:val="left" w:pos="1915"/>
                <w:tab w:val="left" w:pos="2405"/>
              </w:tabs>
              <w:spacing w:after="120"/>
              <w:rPr>
                <w:sz w:val="17"/>
              </w:rPr>
            </w:pPr>
            <w:r>
              <w:rPr>
                <w:sz w:val="17"/>
              </w:rPr>
              <w:tab/>
              <w:t>Eighth</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0</w:t>
            </w:r>
          </w:p>
        </w:tc>
        <w:tc>
          <w:tcPr>
            <w:tcW w:w="765" w:type="dxa"/>
          </w:tcPr>
          <w:p w:rsidR="00000000" w:rsidRDefault="00000000">
            <w:pPr>
              <w:tabs>
                <w:tab w:val="left" w:pos="475"/>
                <w:tab w:val="left" w:pos="965"/>
                <w:tab w:val="left" w:pos="1440"/>
                <w:tab w:val="left" w:pos="1915"/>
                <w:tab w:val="left" w:pos="2405"/>
              </w:tabs>
              <w:spacing w:after="120"/>
              <w:jc w:val="right"/>
              <w:rPr>
                <w:sz w:val="17"/>
              </w:rPr>
            </w:pPr>
            <w:r>
              <w:rPr>
                <w:sz w:val="17"/>
              </w:rPr>
              <w:t>1</w:t>
            </w:r>
          </w:p>
        </w:tc>
        <w:tc>
          <w:tcPr>
            <w:tcW w:w="747" w:type="dxa"/>
          </w:tcPr>
          <w:p w:rsidR="00000000" w:rsidRDefault="00000000">
            <w:pPr>
              <w:tabs>
                <w:tab w:val="left" w:pos="475"/>
                <w:tab w:val="left" w:pos="965"/>
                <w:tab w:val="left" w:pos="1440"/>
                <w:tab w:val="left" w:pos="1915"/>
                <w:tab w:val="left" w:pos="2405"/>
              </w:tabs>
              <w:spacing w:after="120"/>
              <w:jc w:val="right"/>
              <w:rPr>
                <w:sz w:val="17"/>
              </w:rPr>
            </w:pPr>
            <w:r>
              <w:rPr>
                <w:sz w:val="17"/>
              </w:rPr>
              <w:t>4</w:t>
            </w:r>
          </w:p>
        </w:tc>
        <w:tc>
          <w:tcPr>
            <w:tcW w:w="774" w:type="dxa"/>
          </w:tcPr>
          <w:p w:rsidR="00000000" w:rsidRDefault="00000000">
            <w:pPr>
              <w:tabs>
                <w:tab w:val="left" w:pos="475"/>
                <w:tab w:val="left" w:pos="965"/>
                <w:tab w:val="left" w:pos="1440"/>
                <w:tab w:val="left" w:pos="1915"/>
                <w:tab w:val="left" w:pos="2405"/>
              </w:tabs>
              <w:spacing w:after="120"/>
              <w:jc w:val="right"/>
              <w:rPr>
                <w:sz w:val="17"/>
              </w:rPr>
            </w:pPr>
            <w:r>
              <w:rPr>
                <w:sz w:val="17"/>
              </w:rPr>
              <w:t>84</w:t>
            </w:r>
          </w:p>
        </w:tc>
        <w:tc>
          <w:tcPr>
            <w:tcW w:w="801" w:type="dxa"/>
          </w:tcPr>
          <w:p w:rsidR="00000000" w:rsidRDefault="00000000">
            <w:pPr>
              <w:tabs>
                <w:tab w:val="left" w:pos="475"/>
                <w:tab w:val="left" w:pos="965"/>
                <w:tab w:val="left" w:pos="1440"/>
                <w:tab w:val="left" w:pos="1915"/>
                <w:tab w:val="left" w:pos="2405"/>
              </w:tabs>
              <w:spacing w:after="120"/>
              <w:jc w:val="right"/>
              <w:rPr>
                <w:sz w:val="17"/>
              </w:rPr>
            </w:pPr>
            <w:r>
              <w:rPr>
                <w:sz w:val="17"/>
              </w:rPr>
              <w:t>244</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168</w:t>
            </w:r>
          </w:p>
        </w:tc>
        <w:tc>
          <w:tcPr>
            <w:tcW w:w="657" w:type="dxa"/>
          </w:tcPr>
          <w:p w:rsidR="00000000" w:rsidRDefault="00000000">
            <w:pPr>
              <w:tabs>
                <w:tab w:val="left" w:pos="475"/>
                <w:tab w:val="left" w:pos="965"/>
                <w:tab w:val="left" w:pos="1440"/>
                <w:tab w:val="left" w:pos="1915"/>
                <w:tab w:val="left" w:pos="2405"/>
              </w:tabs>
              <w:spacing w:after="120"/>
              <w:jc w:val="right"/>
              <w:rPr>
                <w:sz w:val="17"/>
              </w:rPr>
            </w:pPr>
            <w:r>
              <w:rPr>
                <w:sz w:val="17"/>
              </w:rPr>
              <w:t>19</w:t>
            </w:r>
          </w:p>
        </w:tc>
        <w:tc>
          <w:tcPr>
            <w:tcW w:w="693" w:type="dxa"/>
          </w:tcPr>
          <w:p w:rsidR="00000000" w:rsidRDefault="00000000">
            <w:pPr>
              <w:tabs>
                <w:tab w:val="left" w:pos="475"/>
                <w:tab w:val="left" w:pos="965"/>
                <w:tab w:val="left" w:pos="1440"/>
                <w:tab w:val="left" w:pos="1915"/>
                <w:tab w:val="left" w:pos="2405"/>
              </w:tabs>
              <w:spacing w:after="120"/>
              <w:jc w:val="right"/>
              <w:rPr>
                <w:sz w:val="17"/>
              </w:rPr>
            </w:pPr>
            <w:r>
              <w:rPr>
                <w:sz w:val="17"/>
              </w:rPr>
              <w:t>1</w:t>
            </w:r>
          </w:p>
        </w:tc>
        <w:tc>
          <w:tcPr>
            <w:tcW w:w="756" w:type="dxa"/>
          </w:tcPr>
          <w:p w:rsidR="00000000" w:rsidRDefault="00000000">
            <w:pPr>
              <w:tabs>
                <w:tab w:val="left" w:pos="475"/>
                <w:tab w:val="left" w:pos="965"/>
                <w:tab w:val="left" w:pos="1440"/>
                <w:tab w:val="left" w:pos="1915"/>
                <w:tab w:val="left" w:pos="2405"/>
              </w:tabs>
              <w:spacing w:after="120"/>
              <w:jc w:val="right"/>
              <w:rPr>
                <w:sz w:val="17"/>
              </w:rPr>
            </w:pPr>
            <w:r>
              <w:rPr>
                <w:sz w:val="17"/>
              </w:rPr>
              <w:t>0</w:t>
            </w:r>
          </w:p>
        </w:tc>
        <w:tc>
          <w:tcPr>
            <w:tcW w:w="832" w:type="dxa"/>
          </w:tcPr>
          <w:p w:rsidR="00000000" w:rsidRDefault="00000000">
            <w:pPr>
              <w:tabs>
                <w:tab w:val="left" w:pos="475"/>
                <w:tab w:val="left" w:pos="965"/>
                <w:tab w:val="left" w:pos="1440"/>
                <w:tab w:val="left" w:pos="1915"/>
                <w:tab w:val="left" w:pos="2405"/>
              </w:tabs>
              <w:spacing w:after="120"/>
              <w:jc w:val="right"/>
              <w:rPr>
                <w:sz w:val="17"/>
              </w:rPr>
            </w:pPr>
            <w:r>
              <w:rPr>
                <w:sz w:val="17"/>
              </w:rPr>
              <w:t>0</w:t>
            </w:r>
          </w:p>
        </w:tc>
      </w:tr>
      <w:tr w:rsidR="00000000">
        <w:tblPrEx>
          <w:tblCellMar>
            <w:top w:w="0" w:type="dxa"/>
            <w:bottom w:w="0" w:type="dxa"/>
          </w:tblCellMar>
        </w:tblPrEx>
        <w:tc>
          <w:tcPr>
            <w:tcW w:w="2484" w:type="dxa"/>
          </w:tcPr>
          <w:p w:rsidR="00000000" w:rsidRDefault="00000000">
            <w:pPr>
              <w:tabs>
                <w:tab w:val="left" w:pos="261"/>
                <w:tab w:val="left" w:pos="965"/>
                <w:tab w:val="left" w:pos="1440"/>
                <w:tab w:val="left" w:pos="1915"/>
                <w:tab w:val="left" w:pos="2405"/>
              </w:tabs>
              <w:spacing w:after="120"/>
              <w:rPr>
                <w:sz w:val="17"/>
              </w:rPr>
            </w:pPr>
            <w:r>
              <w:rPr>
                <w:sz w:val="17"/>
              </w:rPr>
              <w:tab/>
              <w:t>Ninth</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0</w:t>
            </w:r>
          </w:p>
        </w:tc>
        <w:tc>
          <w:tcPr>
            <w:tcW w:w="765" w:type="dxa"/>
          </w:tcPr>
          <w:p w:rsidR="00000000" w:rsidRDefault="00000000">
            <w:pPr>
              <w:tabs>
                <w:tab w:val="left" w:pos="475"/>
                <w:tab w:val="left" w:pos="965"/>
                <w:tab w:val="left" w:pos="1440"/>
                <w:tab w:val="left" w:pos="1915"/>
                <w:tab w:val="left" w:pos="2405"/>
              </w:tabs>
              <w:spacing w:after="120"/>
              <w:jc w:val="right"/>
              <w:rPr>
                <w:sz w:val="17"/>
              </w:rPr>
            </w:pPr>
            <w:r>
              <w:rPr>
                <w:sz w:val="17"/>
              </w:rPr>
              <w:t>0</w:t>
            </w:r>
          </w:p>
        </w:tc>
        <w:tc>
          <w:tcPr>
            <w:tcW w:w="747" w:type="dxa"/>
          </w:tcPr>
          <w:p w:rsidR="00000000" w:rsidRDefault="00000000">
            <w:pPr>
              <w:tabs>
                <w:tab w:val="left" w:pos="475"/>
                <w:tab w:val="left" w:pos="965"/>
                <w:tab w:val="left" w:pos="1440"/>
                <w:tab w:val="left" w:pos="1915"/>
                <w:tab w:val="left" w:pos="2405"/>
              </w:tabs>
              <w:spacing w:after="120"/>
              <w:jc w:val="right"/>
              <w:rPr>
                <w:sz w:val="17"/>
              </w:rPr>
            </w:pPr>
            <w:r>
              <w:rPr>
                <w:sz w:val="17"/>
              </w:rPr>
              <w:t>3</w:t>
            </w:r>
          </w:p>
        </w:tc>
        <w:tc>
          <w:tcPr>
            <w:tcW w:w="774" w:type="dxa"/>
          </w:tcPr>
          <w:p w:rsidR="00000000" w:rsidRDefault="00000000">
            <w:pPr>
              <w:tabs>
                <w:tab w:val="left" w:pos="475"/>
                <w:tab w:val="left" w:pos="965"/>
                <w:tab w:val="left" w:pos="1440"/>
                <w:tab w:val="left" w:pos="1915"/>
                <w:tab w:val="left" w:pos="2405"/>
              </w:tabs>
              <w:spacing w:after="120"/>
              <w:jc w:val="right"/>
              <w:rPr>
                <w:sz w:val="17"/>
              </w:rPr>
            </w:pPr>
            <w:r>
              <w:rPr>
                <w:sz w:val="17"/>
              </w:rPr>
              <w:t>19</w:t>
            </w:r>
          </w:p>
        </w:tc>
        <w:tc>
          <w:tcPr>
            <w:tcW w:w="801" w:type="dxa"/>
          </w:tcPr>
          <w:p w:rsidR="00000000" w:rsidRDefault="00000000">
            <w:pPr>
              <w:tabs>
                <w:tab w:val="left" w:pos="475"/>
                <w:tab w:val="left" w:pos="965"/>
                <w:tab w:val="left" w:pos="1440"/>
                <w:tab w:val="left" w:pos="1915"/>
                <w:tab w:val="left" w:pos="2405"/>
              </w:tabs>
              <w:spacing w:after="120"/>
              <w:jc w:val="right"/>
              <w:rPr>
                <w:sz w:val="17"/>
              </w:rPr>
            </w:pPr>
            <w:r>
              <w:rPr>
                <w:sz w:val="17"/>
              </w:rPr>
              <w:t>87</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74</w:t>
            </w:r>
          </w:p>
        </w:tc>
        <w:tc>
          <w:tcPr>
            <w:tcW w:w="657" w:type="dxa"/>
          </w:tcPr>
          <w:p w:rsidR="00000000" w:rsidRDefault="00000000">
            <w:pPr>
              <w:tabs>
                <w:tab w:val="left" w:pos="475"/>
                <w:tab w:val="left" w:pos="965"/>
                <w:tab w:val="left" w:pos="1440"/>
                <w:tab w:val="left" w:pos="1915"/>
                <w:tab w:val="left" w:pos="2405"/>
              </w:tabs>
              <w:spacing w:after="120"/>
              <w:jc w:val="right"/>
              <w:rPr>
                <w:sz w:val="17"/>
              </w:rPr>
            </w:pPr>
            <w:r>
              <w:rPr>
                <w:sz w:val="17"/>
              </w:rPr>
              <w:t>11</w:t>
            </w:r>
          </w:p>
        </w:tc>
        <w:tc>
          <w:tcPr>
            <w:tcW w:w="693" w:type="dxa"/>
          </w:tcPr>
          <w:p w:rsidR="00000000" w:rsidRDefault="00000000">
            <w:pPr>
              <w:tabs>
                <w:tab w:val="left" w:pos="475"/>
                <w:tab w:val="left" w:pos="965"/>
                <w:tab w:val="left" w:pos="1440"/>
                <w:tab w:val="left" w:pos="1915"/>
                <w:tab w:val="left" w:pos="2405"/>
              </w:tabs>
              <w:spacing w:after="120"/>
              <w:jc w:val="right"/>
              <w:rPr>
                <w:sz w:val="17"/>
              </w:rPr>
            </w:pPr>
            <w:r>
              <w:rPr>
                <w:sz w:val="17"/>
              </w:rPr>
              <w:t>1</w:t>
            </w:r>
          </w:p>
        </w:tc>
        <w:tc>
          <w:tcPr>
            <w:tcW w:w="756" w:type="dxa"/>
          </w:tcPr>
          <w:p w:rsidR="00000000" w:rsidRDefault="00000000">
            <w:pPr>
              <w:tabs>
                <w:tab w:val="left" w:pos="475"/>
                <w:tab w:val="left" w:pos="965"/>
                <w:tab w:val="left" w:pos="1440"/>
                <w:tab w:val="left" w:pos="1915"/>
                <w:tab w:val="left" w:pos="2405"/>
              </w:tabs>
              <w:spacing w:after="120"/>
              <w:jc w:val="right"/>
              <w:rPr>
                <w:sz w:val="17"/>
              </w:rPr>
            </w:pPr>
            <w:r>
              <w:rPr>
                <w:sz w:val="17"/>
              </w:rPr>
              <w:t>0</w:t>
            </w:r>
          </w:p>
        </w:tc>
        <w:tc>
          <w:tcPr>
            <w:tcW w:w="832" w:type="dxa"/>
          </w:tcPr>
          <w:p w:rsidR="00000000" w:rsidRDefault="00000000">
            <w:pPr>
              <w:tabs>
                <w:tab w:val="left" w:pos="475"/>
                <w:tab w:val="left" w:pos="965"/>
                <w:tab w:val="left" w:pos="1440"/>
                <w:tab w:val="left" w:pos="1915"/>
                <w:tab w:val="left" w:pos="2405"/>
              </w:tabs>
              <w:spacing w:after="120"/>
              <w:jc w:val="right"/>
              <w:rPr>
                <w:sz w:val="17"/>
              </w:rPr>
            </w:pPr>
            <w:r>
              <w:rPr>
                <w:sz w:val="17"/>
              </w:rPr>
              <w:t>3</w:t>
            </w:r>
          </w:p>
        </w:tc>
      </w:tr>
      <w:tr w:rsidR="00000000">
        <w:tblPrEx>
          <w:tblCellMar>
            <w:top w:w="0" w:type="dxa"/>
            <w:bottom w:w="0" w:type="dxa"/>
          </w:tblCellMar>
        </w:tblPrEx>
        <w:tc>
          <w:tcPr>
            <w:tcW w:w="2484" w:type="dxa"/>
          </w:tcPr>
          <w:p w:rsidR="00000000" w:rsidRDefault="00000000">
            <w:pPr>
              <w:tabs>
                <w:tab w:val="left" w:pos="261"/>
                <w:tab w:val="left" w:pos="965"/>
                <w:tab w:val="left" w:pos="1440"/>
                <w:tab w:val="left" w:pos="1915"/>
                <w:tab w:val="left" w:pos="2405"/>
              </w:tabs>
              <w:spacing w:after="120"/>
              <w:rPr>
                <w:sz w:val="17"/>
              </w:rPr>
            </w:pPr>
            <w:r>
              <w:rPr>
                <w:sz w:val="17"/>
              </w:rPr>
              <w:tab/>
              <w:t>Tenth</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0</w:t>
            </w:r>
          </w:p>
        </w:tc>
        <w:tc>
          <w:tcPr>
            <w:tcW w:w="765" w:type="dxa"/>
          </w:tcPr>
          <w:p w:rsidR="00000000" w:rsidRDefault="00000000">
            <w:pPr>
              <w:tabs>
                <w:tab w:val="left" w:pos="475"/>
                <w:tab w:val="left" w:pos="965"/>
                <w:tab w:val="left" w:pos="1440"/>
                <w:tab w:val="left" w:pos="1915"/>
                <w:tab w:val="left" w:pos="2405"/>
              </w:tabs>
              <w:spacing w:after="120"/>
              <w:jc w:val="right"/>
              <w:rPr>
                <w:sz w:val="17"/>
              </w:rPr>
            </w:pPr>
            <w:r>
              <w:rPr>
                <w:sz w:val="17"/>
              </w:rPr>
              <w:t>11</w:t>
            </w:r>
          </w:p>
        </w:tc>
        <w:tc>
          <w:tcPr>
            <w:tcW w:w="747" w:type="dxa"/>
          </w:tcPr>
          <w:p w:rsidR="00000000" w:rsidRDefault="00000000">
            <w:pPr>
              <w:tabs>
                <w:tab w:val="left" w:pos="475"/>
                <w:tab w:val="left" w:pos="965"/>
                <w:tab w:val="left" w:pos="1440"/>
                <w:tab w:val="left" w:pos="1915"/>
                <w:tab w:val="left" w:pos="2405"/>
              </w:tabs>
              <w:spacing w:after="120"/>
              <w:jc w:val="right"/>
              <w:rPr>
                <w:sz w:val="17"/>
              </w:rPr>
            </w:pPr>
            <w:r>
              <w:rPr>
                <w:sz w:val="17"/>
              </w:rPr>
              <w:t>13</w:t>
            </w:r>
          </w:p>
        </w:tc>
        <w:tc>
          <w:tcPr>
            <w:tcW w:w="774" w:type="dxa"/>
          </w:tcPr>
          <w:p w:rsidR="00000000" w:rsidRDefault="00000000">
            <w:pPr>
              <w:tabs>
                <w:tab w:val="left" w:pos="475"/>
                <w:tab w:val="left" w:pos="965"/>
                <w:tab w:val="left" w:pos="1440"/>
                <w:tab w:val="left" w:pos="1915"/>
                <w:tab w:val="left" w:pos="2405"/>
              </w:tabs>
              <w:spacing w:after="120"/>
              <w:jc w:val="right"/>
              <w:rPr>
                <w:sz w:val="17"/>
              </w:rPr>
            </w:pPr>
            <w:r>
              <w:rPr>
                <w:sz w:val="17"/>
              </w:rPr>
              <w:t>14</w:t>
            </w:r>
          </w:p>
        </w:tc>
        <w:tc>
          <w:tcPr>
            <w:tcW w:w="801" w:type="dxa"/>
          </w:tcPr>
          <w:p w:rsidR="00000000" w:rsidRDefault="00000000">
            <w:pPr>
              <w:tabs>
                <w:tab w:val="left" w:pos="475"/>
                <w:tab w:val="left" w:pos="965"/>
                <w:tab w:val="left" w:pos="1440"/>
                <w:tab w:val="left" w:pos="1915"/>
                <w:tab w:val="left" w:pos="2405"/>
              </w:tabs>
              <w:spacing w:after="120"/>
              <w:jc w:val="right"/>
              <w:rPr>
                <w:sz w:val="17"/>
              </w:rPr>
            </w:pPr>
            <w:r>
              <w:rPr>
                <w:sz w:val="17"/>
              </w:rPr>
              <w:t>62</w:t>
            </w:r>
          </w:p>
        </w:tc>
        <w:tc>
          <w:tcPr>
            <w:tcW w:w="729" w:type="dxa"/>
          </w:tcPr>
          <w:p w:rsidR="00000000" w:rsidRDefault="00000000">
            <w:pPr>
              <w:tabs>
                <w:tab w:val="left" w:pos="475"/>
                <w:tab w:val="left" w:pos="965"/>
                <w:tab w:val="left" w:pos="1440"/>
                <w:tab w:val="left" w:pos="1915"/>
                <w:tab w:val="left" w:pos="2405"/>
              </w:tabs>
              <w:spacing w:after="120"/>
              <w:jc w:val="right"/>
              <w:rPr>
                <w:sz w:val="17"/>
              </w:rPr>
            </w:pPr>
            <w:r>
              <w:rPr>
                <w:sz w:val="17"/>
              </w:rPr>
              <w:t>58</w:t>
            </w:r>
          </w:p>
        </w:tc>
        <w:tc>
          <w:tcPr>
            <w:tcW w:w="657" w:type="dxa"/>
          </w:tcPr>
          <w:p w:rsidR="00000000" w:rsidRDefault="00000000">
            <w:pPr>
              <w:tabs>
                <w:tab w:val="left" w:pos="475"/>
                <w:tab w:val="left" w:pos="965"/>
                <w:tab w:val="left" w:pos="1440"/>
                <w:tab w:val="left" w:pos="1915"/>
                <w:tab w:val="left" w:pos="2405"/>
              </w:tabs>
              <w:spacing w:after="120"/>
              <w:jc w:val="right"/>
              <w:rPr>
                <w:sz w:val="17"/>
              </w:rPr>
            </w:pPr>
            <w:r>
              <w:rPr>
                <w:sz w:val="17"/>
              </w:rPr>
              <w:t>9</w:t>
            </w:r>
          </w:p>
        </w:tc>
        <w:tc>
          <w:tcPr>
            <w:tcW w:w="693" w:type="dxa"/>
          </w:tcPr>
          <w:p w:rsidR="00000000" w:rsidRDefault="00000000">
            <w:pPr>
              <w:tabs>
                <w:tab w:val="left" w:pos="475"/>
                <w:tab w:val="left" w:pos="965"/>
                <w:tab w:val="left" w:pos="1440"/>
                <w:tab w:val="left" w:pos="1915"/>
                <w:tab w:val="left" w:pos="2405"/>
              </w:tabs>
              <w:spacing w:after="120"/>
              <w:jc w:val="right"/>
              <w:rPr>
                <w:sz w:val="17"/>
              </w:rPr>
            </w:pPr>
            <w:r>
              <w:rPr>
                <w:sz w:val="17"/>
              </w:rPr>
              <w:t>2</w:t>
            </w:r>
          </w:p>
        </w:tc>
        <w:tc>
          <w:tcPr>
            <w:tcW w:w="756" w:type="dxa"/>
          </w:tcPr>
          <w:p w:rsidR="00000000" w:rsidRDefault="00000000">
            <w:pPr>
              <w:tabs>
                <w:tab w:val="left" w:pos="475"/>
                <w:tab w:val="left" w:pos="965"/>
                <w:tab w:val="left" w:pos="1440"/>
                <w:tab w:val="left" w:pos="1915"/>
                <w:tab w:val="left" w:pos="2405"/>
              </w:tabs>
              <w:spacing w:after="120"/>
              <w:jc w:val="right"/>
              <w:rPr>
                <w:sz w:val="17"/>
              </w:rPr>
            </w:pPr>
            <w:r>
              <w:rPr>
                <w:sz w:val="17"/>
              </w:rPr>
              <w:t>0</w:t>
            </w:r>
          </w:p>
        </w:tc>
        <w:tc>
          <w:tcPr>
            <w:tcW w:w="832" w:type="dxa"/>
          </w:tcPr>
          <w:p w:rsidR="00000000" w:rsidRDefault="00000000">
            <w:pPr>
              <w:tabs>
                <w:tab w:val="left" w:pos="475"/>
                <w:tab w:val="left" w:pos="965"/>
                <w:tab w:val="left" w:pos="1440"/>
                <w:tab w:val="left" w:pos="1915"/>
                <w:tab w:val="left" w:pos="2405"/>
              </w:tabs>
              <w:spacing w:after="120"/>
              <w:jc w:val="right"/>
              <w:rPr>
                <w:sz w:val="17"/>
              </w:rPr>
            </w:pPr>
            <w:r>
              <w:rPr>
                <w:sz w:val="17"/>
              </w:rPr>
              <w:t>2</w:t>
            </w:r>
          </w:p>
        </w:tc>
      </w:tr>
      <w:tr w:rsidR="00000000">
        <w:tblPrEx>
          <w:tblCellMar>
            <w:top w:w="0" w:type="dxa"/>
            <w:bottom w:w="0" w:type="dxa"/>
          </w:tblCellMar>
        </w:tblPrEx>
        <w:tc>
          <w:tcPr>
            <w:tcW w:w="2484" w:type="dxa"/>
            <w:tcBorders>
              <w:bottom w:val="single" w:sz="12" w:space="0" w:color="auto"/>
            </w:tcBorders>
          </w:tcPr>
          <w:p w:rsidR="00000000" w:rsidRDefault="00000000">
            <w:pPr>
              <w:tabs>
                <w:tab w:val="left" w:pos="261"/>
                <w:tab w:val="left" w:pos="965"/>
                <w:tab w:val="left" w:pos="1440"/>
                <w:tab w:val="left" w:pos="1915"/>
                <w:tab w:val="left" w:pos="2405"/>
              </w:tabs>
              <w:spacing w:after="120"/>
              <w:rPr>
                <w:sz w:val="17"/>
              </w:rPr>
            </w:pPr>
            <w:r>
              <w:rPr>
                <w:sz w:val="17"/>
              </w:rPr>
              <w:tab/>
              <w:t>Unknown</w:t>
            </w:r>
          </w:p>
        </w:tc>
        <w:tc>
          <w:tcPr>
            <w:tcW w:w="729" w:type="dxa"/>
            <w:tcBorders>
              <w:bottom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0</w:t>
            </w:r>
          </w:p>
        </w:tc>
        <w:tc>
          <w:tcPr>
            <w:tcW w:w="765" w:type="dxa"/>
            <w:tcBorders>
              <w:bottom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57</w:t>
            </w:r>
          </w:p>
        </w:tc>
        <w:tc>
          <w:tcPr>
            <w:tcW w:w="747" w:type="dxa"/>
            <w:tcBorders>
              <w:bottom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91</w:t>
            </w:r>
          </w:p>
        </w:tc>
        <w:tc>
          <w:tcPr>
            <w:tcW w:w="774" w:type="dxa"/>
            <w:tcBorders>
              <w:bottom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81</w:t>
            </w:r>
          </w:p>
        </w:tc>
        <w:tc>
          <w:tcPr>
            <w:tcW w:w="801" w:type="dxa"/>
            <w:tcBorders>
              <w:bottom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40</w:t>
            </w:r>
          </w:p>
        </w:tc>
        <w:tc>
          <w:tcPr>
            <w:tcW w:w="729" w:type="dxa"/>
            <w:tcBorders>
              <w:bottom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10</w:t>
            </w:r>
          </w:p>
        </w:tc>
        <w:tc>
          <w:tcPr>
            <w:tcW w:w="657" w:type="dxa"/>
            <w:tcBorders>
              <w:bottom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8</w:t>
            </w:r>
          </w:p>
        </w:tc>
        <w:tc>
          <w:tcPr>
            <w:tcW w:w="693" w:type="dxa"/>
            <w:tcBorders>
              <w:bottom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2</w:t>
            </w:r>
          </w:p>
        </w:tc>
        <w:tc>
          <w:tcPr>
            <w:tcW w:w="756" w:type="dxa"/>
            <w:tcBorders>
              <w:bottom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1</w:t>
            </w:r>
          </w:p>
        </w:tc>
        <w:tc>
          <w:tcPr>
            <w:tcW w:w="832" w:type="dxa"/>
            <w:tcBorders>
              <w:bottom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117</w:t>
            </w:r>
          </w:p>
        </w:tc>
      </w:tr>
    </w:tbl>
    <w:p w:rsidR="00000000" w:rsidRDefault="00000000">
      <w:pPr>
        <w:tabs>
          <w:tab w:val="left" w:pos="475"/>
          <w:tab w:val="left" w:pos="965"/>
          <w:tab w:val="left" w:pos="1440"/>
          <w:tab w:val="left" w:pos="1915"/>
          <w:tab w:val="left" w:pos="2405"/>
        </w:tabs>
        <w:spacing w:after="120"/>
        <w:jc w:val="both"/>
      </w:pPr>
    </w:p>
    <w:p w:rsidR="00000000" w:rsidRDefault="00000000">
      <w:pPr>
        <w:tabs>
          <w:tab w:val="left" w:pos="475"/>
          <w:tab w:val="left" w:pos="965"/>
          <w:tab w:val="left" w:pos="1440"/>
          <w:tab w:val="left" w:pos="1915"/>
          <w:tab w:val="left" w:pos="2405"/>
        </w:tabs>
        <w:spacing w:after="120"/>
        <w:jc w:val="both"/>
      </w:pPr>
    </w:p>
    <w:p w:rsidR="00000000" w:rsidRDefault="00000000">
      <w:pPr>
        <w:tabs>
          <w:tab w:val="left" w:pos="475"/>
          <w:tab w:val="left" w:pos="965"/>
          <w:tab w:val="left" w:pos="1440"/>
          <w:tab w:val="left" w:pos="1915"/>
          <w:tab w:val="left" w:pos="2405"/>
        </w:tabs>
        <w:spacing w:after="120"/>
        <w:jc w:val="both"/>
        <w:sectPr w:rsidR="00000000">
          <w:type w:val="continuous"/>
          <w:pgSz w:w="12240" w:h="15840"/>
          <w:pgMar w:top="1742" w:right="1195" w:bottom="1901" w:left="1195" w:header="576" w:footer="1037" w:gutter="0"/>
          <w:cols w:space="720"/>
          <w:docGrid w:linePitch="360"/>
        </w:sectPr>
      </w:pPr>
    </w:p>
    <w:p w:rsidR="00000000" w:rsidRDefault="00000000">
      <w:pPr>
        <w:tabs>
          <w:tab w:val="left" w:pos="475"/>
          <w:tab w:val="left" w:pos="965"/>
          <w:tab w:val="left" w:pos="1440"/>
          <w:tab w:val="left" w:pos="1915"/>
          <w:tab w:val="left" w:pos="2405"/>
        </w:tabs>
        <w:spacing w:after="120"/>
        <w:jc w:val="both"/>
      </w:pPr>
    </w:p>
    <w:p w:rsidR="00000000" w:rsidRDefault="00000000">
      <w:pPr>
        <w:pStyle w:val="D12r"/>
      </w:pPr>
    </w:p>
    <w:p w:rsidR="00000000" w:rsidRDefault="00000000">
      <w:pPr>
        <w:pStyle w:val="DH2"/>
        <w:ind w:left="475" w:hanging="475"/>
      </w:pPr>
      <w:r>
        <w:tab/>
        <w:t>Additional benefits for mothers with four or more children</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ab/>
        <w:t>The law of 7 April 1999 on amending and supplementing certain legislative acts of the Republic of Kazakhstan on providing benefits to specific categories of citizens replaced these benefits with a special State allowance in the amount of 1.9 times the monthly accounting index.</w:t>
      </w:r>
    </w:p>
    <w:p w:rsidR="00000000" w:rsidRDefault="00000000">
      <w:pPr>
        <w:tabs>
          <w:tab w:val="left" w:pos="475"/>
          <w:tab w:val="left" w:pos="965"/>
          <w:tab w:val="left" w:pos="1440"/>
          <w:tab w:val="left" w:pos="1915"/>
          <w:tab w:val="left" w:pos="2405"/>
        </w:tabs>
        <w:spacing w:after="120"/>
        <w:jc w:val="both"/>
      </w:pPr>
      <w:r>
        <w:tab/>
        <w:t>The presidential order of 12 December 1995 on State awards of the Republic of Kazakhstan established the following State awards for mothers of large families:</w:t>
      </w:r>
    </w:p>
    <w:p w:rsidR="00000000" w:rsidRDefault="00000000">
      <w:pPr>
        <w:tabs>
          <w:tab w:val="left" w:pos="475"/>
          <w:tab w:val="left" w:pos="965"/>
          <w:tab w:val="left" w:pos="1440"/>
          <w:tab w:val="left" w:pos="1915"/>
          <w:tab w:val="left" w:pos="2405"/>
        </w:tabs>
        <w:spacing w:after="120"/>
        <w:jc w:val="both"/>
      </w:pPr>
      <w:r>
        <w:tab/>
        <w:t>“Altyn Alka” (Golden Pendant) — for women who have given birth to and brought up 10 or more children;</w:t>
      </w:r>
    </w:p>
    <w:p w:rsidR="00000000" w:rsidRDefault="00000000">
      <w:pPr>
        <w:tabs>
          <w:tab w:val="left" w:pos="475"/>
          <w:tab w:val="left" w:pos="965"/>
          <w:tab w:val="left" w:pos="1440"/>
          <w:tab w:val="left" w:pos="1915"/>
          <w:tab w:val="left" w:pos="2405"/>
        </w:tabs>
        <w:spacing w:after="120"/>
        <w:jc w:val="both"/>
      </w:pPr>
      <w:r>
        <w:tab/>
        <w:t>“Kumis Alka” (Silver Pendant) — for women who have given birth to and brought up eight to nine children.</w:t>
      </w:r>
    </w:p>
    <w:p w:rsidR="00000000" w:rsidRDefault="00000000">
      <w:pPr>
        <w:tabs>
          <w:tab w:val="left" w:pos="475"/>
          <w:tab w:val="left" w:pos="965"/>
          <w:tab w:val="left" w:pos="1440"/>
          <w:tab w:val="left" w:pos="1915"/>
          <w:tab w:val="left" w:pos="2405"/>
        </w:tabs>
        <w:spacing w:after="120"/>
        <w:jc w:val="both"/>
      </w:pPr>
      <w:r>
        <w:tab/>
        <w:t>Women awarded the Golden Pendant were given the right to priority in housing, payment of 50 per cent of the cost of housing and communal services, with account taken of the living space occupied by them and their family members, free use of urban and suburban transport (except taxis) and other benefits. The same benefits were also granted to women who had previously received the title “Heroine Mother”.</w:t>
      </w:r>
    </w:p>
    <w:p w:rsidR="00000000" w:rsidRDefault="00000000">
      <w:pPr>
        <w:pStyle w:val="D12r"/>
      </w:pPr>
    </w:p>
    <w:p w:rsidR="00000000" w:rsidRDefault="00000000">
      <w:pPr>
        <w:pStyle w:val="DH2"/>
      </w:pPr>
      <w:r>
        <w:tab/>
        <w:t>Special population categories</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58.</w:t>
      </w:r>
      <w:r>
        <w:tab/>
        <w:t>Pursuant to the Law of 30 June 1992 on the social protection of victims of the ecological disaster in the Aral Sea region, women living in the disaster area (article 14) were entitled to:</w:t>
      </w:r>
    </w:p>
    <w:p w:rsidR="00000000" w:rsidRDefault="00000000">
      <w:pPr>
        <w:tabs>
          <w:tab w:val="left" w:pos="475"/>
          <w:tab w:val="left" w:pos="965"/>
          <w:tab w:val="left" w:pos="1440"/>
          <w:tab w:val="left" w:pos="1915"/>
          <w:tab w:val="left" w:pos="2405"/>
        </w:tabs>
        <w:spacing w:after="120"/>
        <w:jc w:val="both"/>
      </w:pPr>
      <w:r>
        <w:tab/>
        <w:t>Spend their pre-delivery maternity leave in specialized establishments outside the disaster area;</w:t>
      </w:r>
    </w:p>
    <w:p w:rsidR="00000000" w:rsidRDefault="00000000">
      <w:pPr>
        <w:tabs>
          <w:tab w:val="left" w:pos="475"/>
          <w:tab w:val="left" w:pos="965"/>
          <w:tab w:val="left" w:pos="1440"/>
          <w:tab w:val="left" w:pos="1915"/>
          <w:tab w:val="left" w:pos="2405"/>
        </w:tabs>
        <w:spacing w:after="120"/>
        <w:jc w:val="both"/>
      </w:pPr>
      <w:r>
        <w:tab/>
        <w:t>Receive a lump-sum benefit on the birth of a child, equivalent to four times the minimum wage;</w:t>
      </w:r>
    </w:p>
    <w:p w:rsidR="00000000" w:rsidRDefault="00000000">
      <w:pPr>
        <w:tabs>
          <w:tab w:val="left" w:pos="475"/>
          <w:tab w:val="left" w:pos="965"/>
          <w:tab w:val="left" w:pos="1440"/>
          <w:tab w:val="left" w:pos="1915"/>
          <w:tab w:val="left" w:pos="2405"/>
        </w:tabs>
        <w:spacing w:after="120"/>
        <w:jc w:val="both"/>
      </w:pPr>
      <w:r>
        <w:tab/>
        <w:t>Receive compensation equivalent to 50 per cent of the cost of food purchased for children registered with a health centre;</w:t>
      </w:r>
    </w:p>
    <w:p w:rsidR="00000000" w:rsidRDefault="00000000">
      <w:pPr>
        <w:tabs>
          <w:tab w:val="left" w:pos="475"/>
          <w:tab w:val="left" w:pos="965"/>
          <w:tab w:val="left" w:pos="1440"/>
          <w:tab w:val="left" w:pos="1915"/>
          <w:tab w:val="left" w:pos="2405"/>
        </w:tabs>
        <w:spacing w:after="120"/>
        <w:jc w:val="both"/>
      </w:pPr>
      <w:r>
        <w:tab/>
        <w:t>Receive yearly medical care for their children, free of charge, at specialized children’s institutions;</w:t>
      </w:r>
    </w:p>
    <w:p w:rsidR="00000000" w:rsidRDefault="00000000">
      <w:pPr>
        <w:tabs>
          <w:tab w:val="left" w:pos="475"/>
          <w:tab w:val="left" w:pos="965"/>
          <w:tab w:val="left" w:pos="1440"/>
          <w:tab w:val="left" w:pos="1915"/>
          <w:tab w:val="left" w:pos="2405"/>
        </w:tabs>
        <w:spacing w:after="120"/>
        <w:jc w:val="both"/>
      </w:pPr>
      <w:r>
        <w:tab/>
        <w:t>Travel with a sick child free of charge for purposes of medical treatment (in cases where the mother was unable to travel with the child, this provision extended to another accompanying person).</w:t>
      </w:r>
    </w:p>
    <w:p w:rsidR="00000000" w:rsidRDefault="00000000">
      <w:pPr>
        <w:tabs>
          <w:tab w:val="left" w:pos="475"/>
          <w:tab w:val="left" w:pos="965"/>
          <w:tab w:val="left" w:pos="1440"/>
          <w:tab w:val="left" w:pos="1915"/>
          <w:tab w:val="left" w:pos="2405"/>
        </w:tabs>
        <w:spacing w:after="120"/>
        <w:jc w:val="both"/>
      </w:pPr>
      <w:r>
        <w:tab/>
        <w:t>The above-mentioned benefits were abolished by the Law of the Republic of Kazakhstan of 7 April 1999.</w:t>
      </w:r>
    </w:p>
    <w:p w:rsidR="00000000" w:rsidRDefault="00000000">
      <w:pPr>
        <w:tabs>
          <w:tab w:val="left" w:pos="475"/>
          <w:tab w:val="left" w:pos="965"/>
          <w:tab w:val="left" w:pos="1440"/>
          <w:tab w:val="left" w:pos="1915"/>
          <w:tab w:val="left" w:pos="2405"/>
        </w:tabs>
        <w:spacing w:after="120"/>
        <w:jc w:val="both"/>
      </w:pPr>
      <w:r>
        <w:t>59.</w:t>
      </w:r>
      <w:r>
        <w:tab/>
        <w:t>Victims of the ecological disaster are entitled to:</w:t>
      </w:r>
    </w:p>
    <w:p w:rsidR="00000000" w:rsidRDefault="00000000">
      <w:pPr>
        <w:tabs>
          <w:tab w:val="left" w:pos="475"/>
          <w:tab w:val="left" w:pos="965"/>
          <w:tab w:val="left" w:pos="1440"/>
          <w:tab w:val="left" w:pos="1915"/>
          <w:tab w:val="left" w:pos="2405"/>
        </w:tabs>
        <w:spacing w:after="120"/>
        <w:jc w:val="both"/>
      </w:pPr>
      <w:r>
        <w:tab/>
        <w:t>A 30-per-cent discount on the cost of medicines and of the manufacture and repair of dentures (except those made of precious metals);</w:t>
      </w:r>
    </w:p>
    <w:p w:rsidR="00000000" w:rsidRDefault="00000000">
      <w:pPr>
        <w:tabs>
          <w:tab w:val="left" w:pos="475"/>
          <w:tab w:val="left" w:pos="965"/>
          <w:tab w:val="left" w:pos="1440"/>
          <w:tab w:val="left" w:pos="1915"/>
          <w:tab w:val="left" w:pos="2405"/>
        </w:tabs>
        <w:spacing w:after="120"/>
        <w:jc w:val="both"/>
      </w:pPr>
      <w:r>
        <w:tab/>
        <w:t>A 50-per-cent discount on the cost of housing and public utilities;</w:t>
      </w:r>
    </w:p>
    <w:p w:rsidR="00000000" w:rsidRDefault="00000000">
      <w:pPr>
        <w:tabs>
          <w:tab w:val="left" w:pos="475"/>
          <w:tab w:val="left" w:pos="965"/>
          <w:tab w:val="left" w:pos="1440"/>
          <w:tab w:val="left" w:pos="1915"/>
          <w:tab w:val="left" w:pos="2405"/>
        </w:tabs>
        <w:spacing w:after="120"/>
        <w:jc w:val="both"/>
      </w:pPr>
      <w:r>
        <w:tab/>
        <w:t>Interest-free loans for the construction of housing, with 50-per-cent repayment;</w:t>
      </w:r>
    </w:p>
    <w:p w:rsidR="00000000" w:rsidRDefault="00000000">
      <w:pPr>
        <w:tabs>
          <w:tab w:val="left" w:pos="475"/>
          <w:tab w:val="left" w:pos="965"/>
          <w:tab w:val="left" w:pos="1440"/>
          <w:tab w:val="left" w:pos="1915"/>
          <w:tab w:val="left" w:pos="2405"/>
        </w:tabs>
        <w:spacing w:after="120"/>
        <w:jc w:val="both"/>
      </w:pPr>
      <w:r>
        <w:tab/>
        <w:t>Twelve calendar days’ additional paid leave each year;</w:t>
      </w:r>
    </w:p>
    <w:p w:rsidR="00000000" w:rsidRDefault="00000000">
      <w:pPr>
        <w:tabs>
          <w:tab w:val="left" w:pos="475"/>
          <w:tab w:val="left" w:pos="965"/>
          <w:tab w:val="left" w:pos="1440"/>
          <w:tab w:val="left" w:pos="1915"/>
          <w:tab w:val="left" w:pos="2405"/>
        </w:tabs>
        <w:spacing w:after="120"/>
        <w:jc w:val="both"/>
      </w:pPr>
      <w:r>
        <w:tab/>
        <w:t>Annual financial assistance for medical care equivalent to the monthly premium or by means of an official payment over and above the applicable payments.</w:t>
      </w:r>
    </w:p>
    <w:p w:rsidR="00000000" w:rsidRDefault="00000000">
      <w:pPr>
        <w:tabs>
          <w:tab w:val="left" w:pos="475"/>
          <w:tab w:val="left" w:pos="965"/>
          <w:tab w:val="left" w:pos="1440"/>
          <w:tab w:val="left" w:pos="1915"/>
          <w:tab w:val="left" w:pos="2405"/>
        </w:tabs>
        <w:spacing w:after="120"/>
        <w:jc w:val="both"/>
      </w:pPr>
      <w:r>
        <w:tab/>
        <w:t>The above-mentioned provisions have been suspended until 1 January 2000.</w:t>
      </w:r>
    </w:p>
    <w:p w:rsidR="00000000" w:rsidRDefault="00000000">
      <w:pPr>
        <w:pStyle w:val="D12r"/>
      </w:pPr>
    </w:p>
    <w:p w:rsidR="00000000" w:rsidRDefault="00000000">
      <w:pPr>
        <w:pStyle w:val="DH2"/>
      </w:pPr>
      <w:r>
        <w:tab/>
        <w:t>Victims of radiation and environmental effects</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60.</w:t>
      </w:r>
      <w:r>
        <w:tab/>
        <w:t>Under the Act of 18 December 1992 on social protection for victims of the effects of nuclear testing at the Semipalatinsk nuclear test site, persons living in certain areas with radiation risk receive cash compensation, an additional stipend and additional paid leave.</w:t>
      </w:r>
    </w:p>
    <w:p w:rsidR="00000000" w:rsidRDefault="00000000">
      <w:pPr>
        <w:tabs>
          <w:tab w:val="left" w:pos="475"/>
          <w:tab w:val="left" w:pos="965"/>
          <w:tab w:val="left" w:pos="1440"/>
          <w:tab w:val="left" w:pos="1915"/>
          <w:tab w:val="left" w:pos="2405"/>
        </w:tabs>
        <w:spacing w:after="120"/>
        <w:jc w:val="both"/>
      </w:pPr>
      <w:r>
        <w:tab/>
        <w:t>Women living in the area who have been exposed to the effects of nuclear testing are entitled by law to maternity leave of 170 calendar days for normal births and 184 days for births with complications or for the birth of more than one child.</w:t>
      </w:r>
    </w:p>
    <w:p w:rsidR="00000000" w:rsidRDefault="00000000">
      <w:pPr>
        <w:tabs>
          <w:tab w:val="left" w:pos="475"/>
          <w:tab w:val="left" w:pos="965"/>
          <w:tab w:val="left" w:pos="1440"/>
          <w:tab w:val="left" w:pos="1915"/>
          <w:tab w:val="left" w:pos="2405"/>
        </w:tabs>
        <w:spacing w:after="120"/>
        <w:jc w:val="both"/>
      </w:pPr>
      <w:r>
        <w:tab/>
        <w:t>Children and young people under the age of 18 living in the areas affected by nuclear testing are entitled to free medical care (upon medical certification) in health-care institutions. Leave for the purpose of caring for a sick child is paid at 100 per cent to one of the parents and to persons who take their place, regardless of length of service, for the duration of the illness.</w:t>
      </w:r>
    </w:p>
    <w:p w:rsidR="00000000" w:rsidRDefault="00000000">
      <w:pPr>
        <w:tabs>
          <w:tab w:val="left" w:pos="475"/>
          <w:tab w:val="left" w:pos="965"/>
          <w:tab w:val="left" w:pos="1440"/>
          <w:tab w:val="left" w:pos="1915"/>
          <w:tab w:val="left" w:pos="2405"/>
        </w:tabs>
        <w:spacing w:after="120"/>
        <w:jc w:val="both"/>
      </w:pPr>
      <w:r>
        <w:tab/>
        <w:t>Under the Act of 7 April 1999 on changes and additions to some legislative acts of the Republic of Kazakhstan concerning benefits granted to certain categories of citizens, pensioners are given first priority for lump-sum cash compensation, while the cash benefit for the medical care of disabled persons has been abolished. The amount of the benefit payable for sick leave in connection with the care of a sick child is limited to the equivalent of 10 times the monthly accounting index.</w:t>
      </w:r>
    </w:p>
    <w:p w:rsidR="00000000" w:rsidRDefault="00000000">
      <w:pPr>
        <w:pStyle w:val="D12r"/>
      </w:pPr>
    </w:p>
    <w:p w:rsidR="00000000" w:rsidRDefault="00000000">
      <w:pPr>
        <w:pStyle w:val="DH2"/>
      </w:pPr>
      <w:r>
        <w:tab/>
        <w:t>Pensioners and disabled persons</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61.</w:t>
      </w:r>
      <w:r>
        <w:tab/>
        <w:t>Under the Law of the Republic of Kazakhstan on social protection for victims of the ecological disaster in the Aral Sea region, pensioners and disabled persons receive:</w:t>
      </w:r>
    </w:p>
    <w:p w:rsidR="00000000" w:rsidRDefault="00000000">
      <w:pPr>
        <w:tabs>
          <w:tab w:val="left" w:pos="475"/>
          <w:tab w:val="left" w:pos="965"/>
          <w:tab w:val="left" w:pos="1440"/>
          <w:tab w:val="left" w:pos="1915"/>
          <w:tab w:val="left" w:pos="2405"/>
        </w:tabs>
        <w:spacing w:after="120"/>
        <w:jc w:val="both"/>
      </w:pPr>
      <w:r>
        <w:tab/>
        <w:t>The use, free of charge, of all forms of urban passenger transport (except taxis) and of automobile transportation facilities for public use in rural areas within the administrative region in which they reside;</w:t>
      </w:r>
    </w:p>
    <w:p w:rsidR="00000000" w:rsidRDefault="00000000">
      <w:pPr>
        <w:tabs>
          <w:tab w:val="left" w:pos="475"/>
          <w:tab w:val="left" w:pos="965"/>
          <w:tab w:val="left" w:pos="1440"/>
          <w:tab w:val="left" w:pos="1915"/>
          <w:tab w:val="left" w:pos="2405"/>
        </w:tabs>
        <w:spacing w:after="120"/>
        <w:jc w:val="both"/>
      </w:pPr>
      <w:r>
        <w:tab/>
        <w:t>Free medicines (prescribed by a physician) and free manufacture and repair of dentures;</w:t>
      </w:r>
    </w:p>
    <w:p w:rsidR="00000000" w:rsidRDefault="00000000">
      <w:pPr>
        <w:tabs>
          <w:tab w:val="left" w:pos="475"/>
          <w:tab w:val="left" w:pos="965"/>
          <w:tab w:val="left" w:pos="1440"/>
          <w:tab w:val="left" w:pos="1915"/>
          <w:tab w:val="left" w:pos="2405"/>
        </w:tabs>
        <w:spacing w:after="120"/>
        <w:jc w:val="both"/>
      </w:pPr>
      <w:r>
        <w:tab/>
        <w:t>Priority for an annual free stay at a health resort;</w:t>
      </w:r>
    </w:p>
    <w:p w:rsidR="00000000" w:rsidRDefault="00000000">
      <w:pPr>
        <w:tabs>
          <w:tab w:val="left" w:pos="475"/>
          <w:tab w:val="left" w:pos="965"/>
          <w:tab w:val="left" w:pos="1440"/>
          <w:tab w:val="left" w:pos="1915"/>
          <w:tab w:val="left" w:pos="2405"/>
        </w:tabs>
        <w:spacing w:after="120"/>
        <w:jc w:val="both"/>
      </w:pPr>
      <w:r>
        <w:tab/>
        <w:t>Priority for obtaining places in homes for the elderly and disabled;</w:t>
      </w:r>
    </w:p>
    <w:p w:rsidR="00000000" w:rsidRDefault="00000000">
      <w:pPr>
        <w:tabs>
          <w:tab w:val="left" w:pos="475"/>
          <w:tab w:val="left" w:pos="965"/>
          <w:tab w:val="left" w:pos="1440"/>
          <w:tab w:val="left" w:pos="1915"/>
          <w:tab w:val="left" w:pos="2405"/>
        </w:tabs>
        <w:spacing w:after="120"/>
        <w:jc w:val="both"/>
      </w:pPr>
      <w:r>
        <w:tab/>
        <w:t>Lump-sum compensation for persons who have become disabled and families which have lost their breadwinner;</w:t>
      </w:r>
    </w:p>
    <w:p w:rsidR="00000000" w:rsidRDefault="00000000">
      <w:pPr>
        <w:tabs>
          <w:tab w:val="left" w:pos="475"/>
          <w:tab w:val="left" w:pos="965"/>
          <w:tab w:val="left" w:pos="1440"/>
          <w:tab w:val="left" w:pos="1915"/>
          <w:tab w:val="left" w:pos="2405"/>
        </w:tabs>
        <w:spacing w:after="120"/>
        <w:jc w:val="both"/>
      </w:pPr>
      <w:r>
        <w:tab/>
        <w:t>Annual allowance for medical care.</w:t>
      </w:r>
    </w:p>
    <w:p w:rsidR="00000000" w:rsidRDefault="00000000">
      <w:pPr>
        <w:tabs>
          <w:tab w:val="left" w:pos="475"/>
          <w:tab w:val="left" w:pos="965"/>
          <w:tab w:val="left" w:pos="1440"/>
          <w:tab w:val="left" w:pos="1915"/>
          <w:tab w:val="left" w:pos="2405"/>
        </w:tabs>
        <w:spacing w:after="120"/>
        <w:jc w:val="both"/>
      </w:pPr>
      <w:r>
        <w:tab/>
        <w:t>The entitlements under the Act of 7 April 1999 have been suspended until 1 January 2000.</w:t>
      </w:r>
    </w:p>
    <w:p w:rsidR="00000000" w:rsidRDefault="00000000">
      <w:pPr>
        <w:tabs>
          <w:tab w:val="left" w:pos="475"/>
          <w:tab w:val="left" w:pos="965"/>
          <w:tab w:val="left" w:pos="1440"/>
          <w:tab w:val="left" w:pos="1915"/>
          <w:tab w:val="left" w:pos="2405"/>
        </w:tabs>
        <w:spacing w:after="120"/>
        <w:jc w:val="both"/>
      </w:pPr>
      <w:r>
        <w:t>62.</w:t>
      </w:r>
      <w:r>
        <w:tab/>
        <w:t>They also receive, on the same basis as the rest of the resident population over the age of 15 in the area of the environmental crisis:</w:t>
      </w:r>
    </w:p>
    <w:p w:rsidR="00000000" w:rsidRDefault="00000000">
      <w:pPr>
        <w:tabs>
          <w:tab w:val="left" w:pos="475"/>
          <w:tab w:val="left" w:pos="965"/>
          <w:tab w:val="left" w:pos="1440"/>
          <w:tab w:val="left" w:pos="1915"/>
          <w:tab w:val="left" w:pos="2405"/>
        </w:tabs>
        <w:spacing w:after="120"/>
        <w:jc w:val="both"/>
      </w:pPr>
      <w:r>
        <w:tab/>
        <w:t>Medicines and dentures at a 20-per-cent discount;</w:t>
      </w:r>
    </w:p>
    <w:p w:rsidR="00000000" w:rsidRDefault="00000000">
      <w:pPr>
        <w:tabs>
          <w:tab w:val="left" w:pos="475"/>
          <w:tab w:val="left" w:pos="965"/>
          <w:tab w:val="left" w:pos="1440"/>
          <w:tab w:val="left" w:pos="1915"/>
          <w:tab w:val="left" w:pos="2405"/>
        </w:tabs>
        <w:spacing w:after="120"/>
        <w:jc w:val="both"/>
      </w:pPr>
      <w:r>
        <w:tab/>
        <w:t>A 25-per-cent discount on the cost of public utilities;</w:t>
      </w:r>
    </w:p>
    <w:p w:rsidR="00000000" w:rsidRDefault="00000000">
      <w:pPr>
        <w:tabs>
          <w:tab w:val="left" w:pos="475"/>
          <w:tab w:val="left" w:pos="965"/>
          <w:tab w:val="left" w:pos="1440"/>
          <w:tab w:val="left" w:pos="1915"/>
          <w:tab w:val="left" w:pos="2405"/>
        </w:tabs>
        <w:spacing w:after="120"/>
        <w:jc w:val="both"/>
      </w:pPr>
      <w:r>
        <w:tab/>
        <w:t>Nine calendar days’ additional paid leave each year;</w:t>
      </w:r>
    </w:p>
    <w:p w:rsidR="00000000" w:rsidRDefault="00000000">
      <w:pPr>
        <w:tabs>
          <w:tab w:val="left" w:pos="475"/>
          <w:tab w:val="left" w:pos="965"/>
          <w:tab w:val="left" w:pos="1440"/>
          <w:tab w:val="left" w:pos="1915"/>
          <w:tab w:val="left" w:pos="2405"/>
        </w:tabs>
        <w:spacing w:after="120"/>
        <w:jc w:val="both"/>
      </w:pPr>
      <w:r>
        <w:tab/>
        <w:t>Interest-free loans for the construction of housing, with 50-per-cent liquidation.</w:t>
      </w:r>
    </w:p>
    <w:p w:rsidR="00000000" w:rsidRDefault="00000000">
      <w:pPr>
        <w:tabs>
          <w:tab w:val="left" w:pos="475"/>
          <w:tab w:val="left" w:pos="965"/>
          <w:tab w:val="left" w:pos="1440"/>
          <w:tab w:val="left" w:pos="1915"/>
          <w:tab w:val="left" w:pos="2405"/>
        </w:tabs>
        <w:spacing w:after="120"/>
        <w:jc w:val="both"/>
      </w:pPr>
      <w:r>
        <w:tab/>
        <w:t>Under the Law of the Republic of Kazakhstan of 7 April 1999, these benefits have been suspended until 1 December 2000.</w:t>
      </w:r>
    </w:p>
    <w:p w:rsidR="00000000" w:rsidRDefault="00000000">
      <w:pPr>
        <w:tabs>
          <w:tab w:val="left" w:pos="475"/>
          <w:tab w:val="left" w:pos="965"/>
          <w:tab w:val="left" w:pos="1440"/>
          <w:tab w:val="left" w:pos="1915"/>
          <w:tab w:val="left" w:pos="2405"/>
        </w:tabs>
        <w:spacing w:after="120"/>
        <w:jc w:val="both"/>
      </w:pPr>
      <w:r>
        <w:tab/>
        <w:t>Entitlement to a pension calculated at a ration of 1.3.</w:t>
      </w:r>
    </w:p>
    <w:p w:rsidR="00000000" w:rsidRDefault="00000000">
      <w:pPr>
        <w:tabs>
          <w:tab w:val="left" w:pos="475"/>
          <w:tab w:val="left" w:pos="965"/>
          <w:tab w:val="left" w:pos="1440"/>
          <w:tab w:val="left" w:pos="1915"/>
          <w:tab w:val="left" w:pos="2405"/>
        </w:tabs>
        <w:spacing w:after="120"/>
        <w:jc w:val="both"/>
      </w:pPr>
      <w:r>
        <w:t>63.</w:t>
      </w:r>
      <w:r>
        <w:tab/>
        <w:t>They also receive, on the same basis as the rest of the resident population over the age of 18 in the area where pre-crisis conditions prevail:</w:t>
      </w:r>
    </w:p>
    <w:p w:rsidR="00000000" w:rsidRDefault="00000000">
      <w:pPr>
        <w:tabs>
          <w:tab w:val="left" w:pos="475"/>
          <w:tab w:val="left" w:pos="965"/>
          <w:tab w:val="left" w:pos="1440"/>
          <w:tab w:val="left" w:pos="1915"/>
          <w:tab w:val="left" w:pos="2405"/>
        </w:tabs>
        <w:spacing w:after="120"/>
        <w:jc w:val="both"/>
      </w:pPr>
      <w:r>
        <w:tab/>
        <w:t>Seven calendar days’ additional paid leave each year.</w:t>
      </w:r>
    </w:p>
    <w:p w:rsidR="00000000" w:rsidRDefault="00000000">
      <w:pPr>
        <w:tabs>
          <w:tab w:val="left" w:pos="475"/>
          <w:tab w:val="left" w:pos="965"/>
          <w:tab w:val="left" w:pos="1440"/>
          <w:tab w:val="left" w:pos="1915"/>
          <w:tab w:val="left" w:pos="2405"/>
        </w:tabs>
        <w:spacing w:after="120"/>
        <w:jc w:val="both"/>
      </w:pPr>
      <w:r>
        <w:tab/>
        <w:t>This entitlement was suspended under the Law of the Republic of Kazakhstan of 7 April 1999.</w:t>
      </w:r>
    </w:p>
    <w:p w:rsidR="00000000" w:rsidRDefault="00000000">
      <w:pPr>
        <w:tabs>
          <w:tab w:val="left" w:pos="475"/>
          <w:tab w:val="left" w:pos="965"/>
          <w:tab w:val="left" w:pos="1440"/>
          <w:tab w:val="left" w:pos="1915"/>
          <w:tab w:val="left" w:pos="2405"/>
        </w:tabs>
        <w:spacing w:after="120"/>
        <w:jc w:val="both"/>
      </w:pPr>
      <w:r>
        <w:t>64.</w:t>
      </w:r>
      <w:r>
        <w:tab/>
        <w:t>Under the Act of 20 June 1997 on the provision of pensions to citizens of the Republic of Kazakhstan, since 1 January 1998, disability pensions have been paid out of the State budget in the form of a government disability benefit.</w:t>
      </w:r>
    </w:p>
    <w:p w:rsidR="00000000" w:rsidRDefault="00000000">
      <w:pPr>
        <w:tabs>
          <w:tab w:val="left" w:pos="475"/>
          <w:tab w:val="left" w:pos="965"/>
          <w:tab w:val="left" w:pos="1440"/>
          <w:tab w:val="left" w:pos="1915"/>
          <w:tab w:val="left" w:pos="2405"/>
        </w:tabs>
        <w:spacing w:after="120"/>
        <w:jc w:val="both"/>
      </w:pPr>
      <w:r>
        <w:tab/>
        <w:t>Under the Law of the Republic of Kazakhstan of 7 April 1999 on changes and additions to some legislative acts of the Republic of Kazakhstan concerning benefits granted to certain categories of citizens, social assistance for the disabled is provided in the form of grants, provision of prosthetic and orthopaedic devices and footwear, publications with special print and compensatory technical facilities. Disabled persons in groups I and II receive a special State benefit to cover the costs of public utilities, fuel and housing.</w:t>
      </w:r>
    </w:p>
    <w:p w:rsidR="00000000" w:rsidRDefault="00000000">
      <w:pPr>
        <w:tabs>
          <w:tab w:val="left" w:pos="475"/>
          <w:tab w:val="left" w:pos="965"/>
          <w:tab w:val="left" w:pos="1440"/>
          <w:tab w:val="left" w:pos="1915"/>
          <w:tab w:val="left" w:pos="2405"/>
        </w:tabs>
        <w:spacing w:after="120"/>
        <w:jc w:val="both"/>
      </w:pPr>
      <w:r>
        <w:tab/>
        <w:t>The Law of the Republic of Kazakhstan of 5 April 1999 on the special State benefit in the Republic of Kazakhstan established the following rates for the special State benefit:</w:t>
      </w:r>
    </w:p>
    <w:p w:rsidR="00000000" w:rsidRDefault="00000000">
      <w:pPr>
        <w:tabs>
          <w:tab w:val="left" w:pos="475"/>
          <w:tab w:val="left" w:pos="965"/>
          <w:tab w:val="left" w:pos="1440"/>
          <w:tab w:val="left" w:pos="1915"/>
          <w:tab w:val="left" w:pos="2405"/>
        </w:tabs>
        <w:spacing w:after="120"/>
        <w:jc w:val="both"/>
      </w:pPr>
      <w:r>
        <w:tab/>
        <w:t>Disabled persons in groups I and II: 1.4 times the monthly accounting index;</w:t>
      </w:r>
    </w:p>
    <w:p w:rsidR="00000000" w:rsidRDefault="00000000">
      <w:pPr>
        <w:tabs>
          <w:tab w:val="left" w:pos="475"/>
          <w:tab w:val="left" w:pos="965"/>
          <w:tab w:val="left" w:pos="1440"/>
          <w:tab w:val="left" w:pos="1915"/>
          <w:tab w:val="left" w:pos="2405"/>
        </w:tabs>
        <w:spacing w:after="120"/>
        <w:jc w:val="both"/>
      </w:pPr>
      <w:r>
        <w:tab/>
        <w:t>Disabled persons in group III: 0.6 times the monthly accounting index.</w:t>
      </w:r>
    </w:p>
    <w:p w:rsidR="00000000" w:rsidRDefault="00000000">
      <w:pPr>
        <w:pStyle w:val="D12r"/>
      </w:pPr>
    </w:p>
    <w:p w:rsidR="00000000" w:rsidRDefault="00000000">
      <w:pPr>
        <w:pStyle w:val="DH2"/>
      </w:pPr>
      <w:r>
        <w:tab/>
        <w:t>Benefits for single mothers</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65.</w:t>
      </w:r>
      <w:r>
        <w:tab/>
        <w:t>The decision of 29 November 1990 of the Supreme Soviet of the Kazakh Soviet Socialist Republic concerning social protection for needy citizens during the transition to a market economy increased the monthly State benefits for single mothers (or fathers) payable for each child up to the age of 16, in the case of divorced men and women who received either no child support or support in the amount of 20 roubles or less per month, to 50 per cent of the minimum wage.</w:t>
      </w:r>
    </w:p>
    <w:p w:rsidR="00000000" w:rsidRDefault="00000000">
      <w:pPr>
        <w:tabs>
          <w:tab w:val="left" w:pos="475"/>
          <w:tab w:val="left" w:pos="965"/>
          <w:tab w:val="left" w:pos="1440"/>
          <w:tab w:val="left" w:pos="1915"/>
          <w:tab w:val="left" w:pos="2405"/>
        </w:tabs>
        <w:spacing w:after="120"/>
        <w:jc w:val="both"/>
      </w:pPr>
      <w:r>
        <w:tab/>
        <w:t>The Act of 14 July 1994 on the amended budget of the Republic of 1994 established monthly State benefits for single mothers at the rate of 50 per cent of the minimum wage for children up to the age of six, and 60 per cent for children between the ages of six and 18.</w:t>
      </w:r>
    </w:p>
    <w:p w:rsidR="00000000" w:rsidRDefault="00000000">
      <w:pPr>
        <w:tabs>
          <w:tab w:val="left" w:pos="475"/>
          <w:tab w:val="left" w:pos="965"/>
          <w:tab w:val="left" w:pos="1440"/>
          <w:tab w:val="left" w:pos="1915"/>
          <w:tab w:val="left" w:pos="2405"/>
        </w:tabs>
        <w:spacing w:after="120"/>
        <w:jc w:val="both"/>
      </w:pPr>
      <w:r>
        <w:tab/>
        <w:t>In addition, in view of the current economic situation, single mothers were temporarily granted State benefits for children as a means of partially offsetting the growth in prices. For children up to the age of six, the benefit amounted to 75 per cent of the minimum wage as from 1 July 1994 and 105 per cent as from 1 October 1994; for children between the ages of six and 18, the rates were 85 per cent as from 1 July 1994 and 115 per cent as from 1 October 1994.</w:t>
      </w:r>
    </w:p>
    <w:p w:rsidR="00000000" w:rsidRDefault="00000000">
      <w:pPr>
        <w:tabs>
          <w:tab w:val="left" w:pos="475"/>
          <w:tab w:val="left" w:pos="965"/>
          <w:tab w:val="left" w:pos="1440"/>
          <w:tab w:val="left" w:pos="1915"/>
          <w:tab w:val="left" w:pos="2405"/>
        </w:tabs>
        <w:spacing w:after="120"/>
        <w:jc w:val="both"/>
      </w:pPr>
      <w:r>
        <w:tab/>
        <w:t>The single parent benefit was abolished with effect from 1 January 1997. Single mothers received the same benefits as families with children.</w:t>
      </w:r>
    </w:p>
    <w:p w:rsidR="00000000" w:rsidRDefault="00000000">
      <w:pPr>
        <w:tabs>
          <w:tab w:val="left" w:pos="475"/>
          <w:tab w:val="left" w:pos="965"/>
          <w:tab w:val="left" w:pos="1440"/>
          <w:tab w:val="left" w:pos="1915"/>
          <w:tab w:val="left" w:pos="2405"/>
        </w:tabs>
        <w:spacing w:after="120"/>
        <w:jc w:val="both"/>
      </w:pPr>
      <w:r>
        <w:tab/>
        <w:t>In 1997, there was a sharp increase in the number of children born out of wedlock.</w:t>
      </w:r>
    </w:p>
    <w:p w:rsidR="00000000" w:rsidRDefault="00000000">
      <w:pPr>
        <w:pStyle w:val="D12r"/>
      </w:pPr>
    </w:p>
    <w:p w:rsidR="00000000" w:rsidRDefault="00000000">
      <w:pPr>
        <w:pStyle w:val="D12r"/>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r>
        <w:t>Table 22</w:t>
      </w:r>
    </w:p>
    <w:p w:rsidR="00000000" w:rsidRDefault="00000000">
      <w:pPr>
        <w:pStyle w:val="Heading1"/>
        <w:suppressAutoHyphens/>
        <w:spacing w:after="120" w:line="240" w:lineRule="exact"/>
        <w:rPr>
          <w:lang w:val="en-GB"/>
        </w:rPr>
      </w:pPr>
      <w:r>
        <w:rPr>
          <w:lang w:val="en-GB"/>
        </w:rPr>
        <w:t>Percentage of children born out of wedlock</w:t>
      </w:r>
    </w:p>
    <w:p w:rsidR="00000000" w:rsidRDefault="00000000">
      <w:pPr>
        <w:pStyle w:val="D12r"/>
      </w:pPr>
    </w:p>
    <w:tbl>
      <w:tblPr>
        <w:tblW w:w="0" w:type="auto"/>
        <w:tblInd w:w="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7"/>
      </w:tblGrid>
      <w:tr w:rsidR="00000000">
        <w:tblPrEx>
          <w:tblCellMar>
            <w:top w:w="0" w:type="dxa"/>
            <w:bottom w:w="0" w:type="dxa"/>
          </w:tblCellMar>
        </w:tblPrEx>
        <w:tc>
          <w:tcPr>
            <w:tcW w:w="2997" w:type="dxa"/>
            <w:tcBorders>
              <w:top w:val="single" w:sz="4" w:space="0" w:color="auto"/>
              <w:left w:val="nil"/>
              <w:bottom w:val="single" w:sz="12" w:space="0" w:color="auto"/>
              <w:right w:val="nil"/>
            </w:tcBorders>
          </w:tcPr>
          <w:p w:rsidR="00000000" w:rsidRDefault="00000000">
            <w:pPr>
              <w:pStyle w:val="DualTxt"/>
              <w:tabs>
                <w:tab w:val="clear" w:pos="480"/>
                <w:tab w:val="clear" w:pos="960"/>
                <w:tab w:val="clear" w:pos="1440"/>
                <w:tab w:val="clear" w:pos="1915"/>
                <w:tab w:val="clear" w:pos="2405"/>
                <w:tab w:val="clear" w:pos="2880"/>
                <w:tab w:val="clear" w:pos="3355"/>
                <w:tab w:val="left" w:pos="475"/>
                <w:tab w:val="right" w:pos="2520"/>
              </w:tabs>
              <w:spacing w:after="0"/>
            </w:pPr>
            <w:r>
              <w:t>1980</w:t>
            </w:r>
            <w:r>
              <w:tab/>
            </w:r>
            <w:r>
              <w:tab/>
              <w:t>10.3</w:t>
            </w:r>
          </w:p>
          <w:p w:rsidR="00000000" w:rsidRDefault="00000000">
            <w:pPr>
              <w:pStyle w:val="DualTxt"/>
              <w:tabs>
                <w:tab w:val="clear" w:pos="480"/>
                <w:tab w:val="clear" w:pos="960"/>
                <w:tab w:val="clear" w:pos="1440"/>
                <w:tab w:val="clear" w:pos="1915"/>
                <w:tab w:val="clear" w:pos="2405"/>
                <w:tab w:val="clear" w:pos="2880"/>
                <w:tab w:val="clear" w:pos="3355"/>
                <w:tab w:val="left" w:pos="475"/>
                <w:tab w:val="right" w:pos="2520"/>
              </w:tabs>
              <w:spacing w:after="0"/>
            </w:pPr>
            <w:r>
              <w:t>1985</w:t>
            </w:r>
            <w:r>
              <w:tab/>
            </w:r>
            <w:r>
              <w:tab/>
              <w:t>10.1</w:t>
            </w:r>
          </w:p>
          <w:p w:rsidR="00000000" w:rsidRDefault="00000000">
            <w:pPr>
              <w:pStyle w:val="DualTxt"/>
              <w:tabs>
                <w:tab w:val="clear" w:pos="480"/>
                <w:tab w:val="clear" w:pos="960"/>
                <w:tab w:val="clear" w:pos="1440"/>
                <w:tab w:val="clear" w:pos="1915"/>
                <w:tab w:val="clear" w:pos="2405"/>
                <w:tab w:val="clear" w:pos="2880"/>
                <w:tab w:val="clear" w:pos="3355"/>
                <w:tab w:val="left" w:pos="475"/>
                <w:tab w:val="right" w:pos="2520"/>
              </w:tabs>
              <w:spacing w:after="0"/>
            </w:pPr>
            <w:r>
              <w:t>1990</w:t>
            </w:r>
            <w:r>
              <w:tab/>
            </w:r>
            <w:r>
              <w:tab/>
              <w:t>13.2</w:t>
            </w:r>
          </w:p>
          <w:p w:rsidR="00000000" w:rsidRDefault="00000000">
            <w:pPr>
              <w:pStyle w:val="DualTxt"/>
              <w:tabs>
                <w:tab w:val="clear" w:pos="480"/>
                <w:tab w:val="clear" w:pos="960"/>
                <w:tab w:val="clear" w:pos="1440"/>
                <w:tab w:val="clear" w:pos="1915"/>
                <w:tab w:val="clear" w:pos="2405"/>
                <w:tab w:val="clear" w:pos="2880"/>
                <w:tab w:val="clear" w:pos="3355"/>
                <w:tab w:val="left" w:pos="475"/>
                <w:tab w:val="right" w:pos="2520"/>
              </w:tabs>
              <w:spacing w:after="0"/>
            </w:pPr>
            <w:r>
              <w:t>1991</w:t>
            </w:r>
            <w:r>
              <w:tab/>
            </w:r>
            <w:r>
              <w:tab/>
              <w:t>13.4</w:t>
            </w:r>
          </w:p>
          <w:p w:rsidR="00000000" w:rsidRDefault="00000000">
            <w:pPr>
              <w:pStyle w:val="DualTxt"/>
              <w:tabs>
                <w:tab w:val="clear" w:pos="480"/>
                <w:tab w:val="clear" w:pos="960"/>
                <w:tab w:val="clear" w:pos="1440"/>
                <w:tab w:val="clear" w:pos="1915"/>
                <w:tab w:val="clear" w:pos="2405"/>
                <w:tab w:val="clear" w:pos="2880"/>
                <w:tab w:val="clear" w:pos="3355"/>
                <w:tab w:val="left" w:pos="475"/>
                <w:tab w:val="right" w:pos="2520"/>
              </w:tabs>
              <w:spacing w:after="0"/>
            </w:pPr>
            <w:r>
              <w:t>1992</w:t>
            </w:r>
            <w:r>
              <w:tab/>
            </w:r>
            <w:r>
              <w:tab/>
              <w:t>13.4</w:t>
            </w:r>
          </w:p>
          <w:p w:rsidR="00000000" w:rsidRDefault="00000000">
            <w:pPr>
              <w:pStyle w:val="DualTxt"/>
              <w:tabs>
                <w:tab w:val="clear" w:pos="480"/>
                <w:tab w:val="clear" w:pos="960"/>
                <w:tab w:val="clear" w:pos="1440"/>
                <w:tab w:val="clear" w:pos="1915"/>
                <w:tab w:val="clear" w:pos="2405"/>
                <w:tab w:val="clear" w:pos="2880"/>
                <w:tab w:val="clear" w:pos="3355"/>
                <w:tab w:val="left" w:pos="475"/>
                <w:tab w:val="right" w:pos="2520"/>
              </w:tabs>
              <w:spacing w:after="0"/>
            </w:pPr>
            <w:r>
              <w:t>1993</w:t>
            </w:r>
            <w:r>
              <w:tab/>
            </w:r>
            <w:r>
              <w:tab/>
              <w:t>13.4</w:t>
            </w:r>
          </w:p>
          <w:p w:rsidR="00000000" w:rsidRDefault="00000000">
            <w:pPr>
              <w:pStyle w:val="DualTxt"/>
              <w:tabs>
                <w:tab w:val="clear" w:pos="480"/>
                <w:tab w:val="clear" w:pos="960"/>
                <w:tab w:val="clear" w:pos="1440"/>
                <w:tab w:val="clear" w:pos="1915"/>
                <w:tab w:val="clear" w:pos="2405"/>
                <w:tab w:val="clear" w:pos="2880"/>
                <w:tab w:val="clear" w:pos="3355"/>
                <w:tab w:val="left" w:pos="475"/>
                <w:tab w:val="right" w:pos="2520"/>
              </w:tabs>
              <w:spacing w:after="0"/>
            </w:pPr>
            <w:r>
              <w:t>1994</w:t>
            </w:r>
            <w:r>
              <w:tab/>
            </w:r>
            <w:r>
              <w:tab/>
              <w:t>14.5</w:t>
            </w:r>
          </w:p>
          <w:p w:rsidR="00000000" w:rsidRDefault="00000000">
            <w:pPr>
              <w:pStyle w:val="DualTxt"/>
              <w:tabs>
                <w:tab w:val="clear" w:pos="480"/>
                <w:tab w:val="clear" w:pos="960"/>
                <w:tab w:val="clear" w:pos="1440"/>
                <w:tab w:val="clear" w:pos="1915"/>
                <w:tab w:val="clear" w:pos="2405"/>
                <w:tab w:val="clear" w:pos="2880"/>
                <w:tab w:val="clear" w:pos="3355"/>
                <w:tab w:val="left" w:pos="475"/>
                <w:tab w:val="right" w:pos="2520"/>
              </w:tabs>
              <w:spacing w:after="0"/>
            </w:pPr>
            <w:r>
              <w:t>1995</w:t>
            </w:r>
            <w:r>
              <w:tab/>
            </w:r>
            <w:r>
              <w:tab/>
              <w:t>15.7</w:t>
            </w:r>
          </w:p>
          <w:p w:rsidR="00000000" w:rsidRDefault="00000000">
            <w:pPr>
              <w:pStyle w:val="DualTxt"/>
              <w:tabs>
                <w:tab w:val="clear" w:pos="480"/>
                <w:tab w:val="clear" w:pos="960"/>
                <w:tab w:val="clear" w:pos="1440"/>
                <w:tab w:val="clear" w:pos="1915"/>
                <w:tab w:val="clear" w:pos="2405"/>
                <w:tab w:val="clear" w:pos="2880"/>
                <w:tab w:val="clear" w:pos="3355"/>
                <w:tab w:val="left" w:pos="475"/>
                <w:tab w:val="right" w:pos="2520"/>
              </w:tabs>
              <w:spacing w:after="0"/>
            </w:pPr>
            <w:r>
              <w:t>1996</w:t>
            </w:r>
            <w:r>
              <w:tab/>
            </w:r>
            <w:r>
              <w:tab/>
              <w:t>17.6</w:t>
            </w:r>
          </w:p>
          <w:p w:rsidR="00000000" w:rsidRDefault="00000000">
            <w:pPr>
              <w:pStyle w:val="DualTxt"/>
              <w:tabs>
                <w:tab w:val="clear" w:pos="480"/>
                <w:tab w:val="clear" w:pos="960"/>
                <w:tab w:val="clear" w:pos="1440"/>
                <w:tab w:val="clear" w:pos="1915"/>
                <w:tab w:val="clear" w:pos="2405"/>
                <w:tab w:val="clear" w:pos="2880"/>
                <w:tab w:val="clear" w:pos="3355"/>
                <w:tab w:val="left" w:pos="475"/>
                <w:tab w:val="right" w:pos="2520"/>
              </w:tabs>
              <w:spacing w:after="0"/>
            </w:pPr>
            <w:r>
              <w:t>1997</w:t>
            </w:r>
            <w:r>
              <w:tab/>
            </w:r>
            <w:r>
              <w:tab/>
              <w:t>21</w:t>
            </w:r>
          </w:p>
          <w:p w:rsidR="00000000" w:rsidRDefault="00000000">
            <w:pPr>
              <w:pStyle w:val="DualTxt"/>
              <w:tabs>
                <w:tab w:val="clear" w:pos="480"/>
                <w:tab w:val="clear" w:pos="960"/>
                <w:tab w:val="clear" w:pos="1440"/>
                <w:tab w:val="clear" w:pos="1915"/>
                <w:tab w:val="clear" w:pos="2405"/>
                <w:tab w:val="clear" w:pos="2880"/>
                <w:tab w:val="clear" w:pos="3355"/>
                <w:tab w:val="left" w:pos="475"/>
                <w:tab w:val="right" w:pos="2520"/>
              </w:tabs>
              <w:spacing w:after="0"/>
            </w:pPr>
            <w:r>
              <w:t>1998</w:t>
            </w:r>
            <w:r>
              <w:tab/>
            </w:r>
            <w:r>
              <w:tab/>
              <w:t>22</w:t>
            </w:r>
          </w:p>
        </w:tc>
      </w:tr>
    </w:tbl>
    <w:p w:rsidR="00000000" w:rsidRDefault="00000000">
      <w:pPr>
        <w:tabs>
          <w:tab w:val="left" w:pos="475"/>
          <w:tab w:val="left" w:pos="965"/>
          <w:tab w:val="left" w:pos="1440"/>
          <w:tab w:val="left" w:pos="1915"/>
          <w:tab w:val="left" w:pos="2405"/>
        </w:tabs>
        <w:spacing w:after="120"/>
        <w:jc w:val="both"/>
      </w:pPr>
    </w:p>
    <w:p w:rsidR="00000000" w:rsidRDefault="00000000">
      <w:pPr>
        <w:tabs>
          <w:tab w:val="left" w:pos="475"/>
          <w:tab w:val="left" w:pos="965"/>
          <w:tab w:val="left" w:pos="1440"/>
          <w:tab w:val="left" w:pos="1915"/>
          <w:tab w:val="left" w:pos="2405"/>
        </w:tabs>
        <w:spacing w:after="120"/>
        <w:jc w:val="both"/>
      </w:pPr>
      <w:r>
        <w:tab/>
        <w:t>With effect from 1 January 1999, budgetary legislation established benefits for families with children in the form of social assistance based on family income.</w:t>
      </w:r>
    </w:p>
    <w:p w:rsidR="00000000" w:rsidRDefault="00000000">
      <w:pPr>
        <w:pStyle w:val="D12r"/>
      </w:pPr>
    </w:p>
    <w:p w:rsidR="00000000" w:rsidRDefault="00000000">
      <w:pPr>
        <w:pStyle w:val="DH2"/>
      </w:pPr>
      <w:r>
        <w:tab/>
        <w:t>Multiple births</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66.</w:t>
      </w:r>
      <w:r>
        <w:tab/>
        <w:t>Under the Presidential Order of 23 January 1996 on measures to regulate State social guarantees, as from 1 January 1996, families to whom two or more children were born at the same time and whose income was less than the official living wage were required to pay only half of their housing and utility expenses.</w:t>
      </w:r>
    </w:p>
    <w:p w:rsidR="00000000" w:rsidRDefault="00000000">
      <w:pPr>
        <w:tabs>
          <w:tab w:val="left" w:pos="475"/>
          <w:tab w:val="left" w:pos="965"/>
          <w:tab w:val="left" w:pos="1440"/>
          <w:tab w:val="left" w:pos="1915"/>
          <w:tab w:val="left" w:pos="2405"/>
        </w:tabs>
        <w:spacing w:after="120"/>
        <w:jc w:val="both"/>
      </w:pPr>
      <w:r>
        <w:tab/>
        <w:t>With effect from 1 January 1999, budgetary legislation abolished these benefits.</w:t>
      </w:r>
    </w:p>
    <w:p w:rsidR="00000000" w:rsidRDefault="00000000">
      <w:pPr>
        <w:pStyle w:val="D12r"/>
      </w:pPr>
    </w:p>
    <w:p w:rsidR="00000000" w:rsidRDefault="00000000">
      <w:pPr>
        <w:pStyle w:val="DH2"/>
      </w:pPr>
      <w:r>
        <w:tab/>
        <w:t>Benefits for disabled children</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67.</w:t>
      </w:r>
      <w:r>
        <w:tab/>
        <w:t>The Act of 31 December 1996 on the budget of the Republic for 1997 established the following benefit rates for disabled children being raised and educated at home for 1997: 3,875 tenge in the first quarter, 4,070 in the second quarter, 4,230 in the third quarter and 4,445 in the fourth quarter.</w:t>
      </w:r>
    </w:p>
    <w:p w:rsidR="00000000" w:rsidRDefault="00000000">
      <w:pPr>
        <w:tabs>
          <w:tab w:val="left" w:pos="475"/>
          <w:tab w:val="left" w:pos="965"/>
          <w:tab w:val="left" w:pos="1440"/>
          <w:tab w:val="left" w:pos="1915"/>
          <w:tab w:val="left" w:pos="2405"/>
        </w:tabs>
        <w:spacing w:after="120"/>
        <w:jc w:val="both"/>
      </w:pPr>
      <w:r>
        <w:tab/>
        <w:t>For 1998, the benefit rates for disabled children being raised and educated at home were 4,520, 4,590, 4,660 and 4,730 tenge in the first, second, third and fourth quarters, respectively.</w:t>
      </w:r>
    </w:p>
    <w:p w:rsidR="00000000" w:rsidRDefault="00000000">
      <w:pPr>
        <w:tabs>
          <w:tab w:val="left" w:pos="475"/>
          <w:tab w:val="left" w:pos="965"/>
          <w:tab w:val="left" w:pos="1440"/>
          <w:tab w:val="left" w:pos="1915"/>
          <w:tab w:val="left" w:pos="2405"/>
        </w:tabs>
        <w:spacing w:after="120"/>
        <w:jc w:val="both"/>
      </w:pPr>
      <w:r>
        <w:tab/>
        <w:t>In accordance with the Law of the Republic of Kazakhstan on social protection of disabled persons in the Republic of Kazakhstan, as from 1 January 1999, disabled children being raised and educated at home receive financial assistance equivalent to the cost of specialized boarding schools for disabled children.</w:t>
      </w:r>
    </w:p>
    <w:p w:rsidR="00000000" w:rsidRDefault="00000000">
      <w:pPr>
        <w:tabs>
          <w:tab w:val="left" w:pos="475"/>
          <w:tab w:val="left" w:pos="965"/>
          <w:tab w:val="left" w:pos="1440"/>
          <w:tab w:val="left" w:pos="1915"/>
          <w:tab w:val="left" w:pos="2405"/>
        </w:tabs>
        <w:spacing w:after="120"/>
        <w:jc w:val="both"/>
      </w:pPr>
      <w:r>
        <w:t>68.</w:t>
      </w:r>
      <w:r>
        <w:tab/>
        <w:t>Under the Presidential Order of 23 January 1996 on measures to regulate State social guarantees, as from 1 January 1996, families with disabled children whose income is less than the official living wage are required to pay only half of their housing and utility expenses.</w:t>
      </w:r>
    </w:p>
    <w:p w:rsidR="00000000" w:rsidRDefault="00000000">
      <w:pPr>
        <w:tabs>
          <w:tab w:val="left" w:pos="475"/>
          <w:tab w:val="left" w:pos="965"/>
          <w:tab w:val="left" w:pos="1440"/>
          <w:tab w:val="left" w:pos="1915"/>
          <w:tab w:val="left" w:pos="2405"/>
        </w:tabs>
        <w:spacing w:after="120"/>
        <w:jc w:val="both"/>
      </w:pPr>
      <w:r>
        <w:tab/>
        <w:t>As from April 1999, the benefit under the Law of the Republic of Kazakhstan on special State benefits in the Republic of Kazakhstan for disabled children up to the age of 16 has been replaced by the payment of a special State benefit at the rate of 0.9 times the monthly accounting index.</w:t>
      </w:r>
    </w:p>
    <w:p w:rsidR="00000000" w:rsidRDefault="00000000">
      <w:pPr>
        <w:pStyle w:val="D12r"/>
      </w:pPr>
    </w:p>
    <w:p w:rsidR="00000000" w:rsidRDefault="00000000">
      <w:pPr>
        <w:pStyle w:val="DH2"/>
        <w:ind w:left="475" w:hanging="475"/>
      </w:pPr>
      <w:r>
        <w:tab/>
        <w:t>Monthly benefits for children infected with HIV or suffering from AIDS</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69.</w:t>
      </w:r>
      <w:r>
        <w:tab/>
        <w:t>The Act of 14 July 1994 on the amended budget of the Republic for 1994 established monthly benefits for children infected with HIV or suffering from AIDS, at the rate of 80 per cent of the minimum wage.</w:t>
      </w:r>
    </w:p>
    <w:p w:rsidR="00000000" w:rsidRDefault="00000000">
      <w:pPr>
        <w:tabs>
          <w:tab w:val="left" w:pos="475"/>
          <w:tab w:val="left" w:pos="965"/>
          <w:tab w:val="left" w:pos="1440"/>
          <w:tab w:val="left" w:pos="1915"/>
          <w:tab w:val="left" w:pos="2405"/>
        </w:tabs>
        <w:spacing w:after="120"/>
        <w:jc w:val="both"/>
      </w:pPr>
      <w:r>
        <w:tab/>
        <w:t>In addition, in view of the current economic situation, budgetary legislation established benefits as a means of partially offsetting the rise in the price of bread and flour. The benefit rates were 105 per cent of the minimum wage as from 1 July 1994 and 135 per cent as from 1 October 1994.</w:t>
      </w:r>
    </w:p>
    <w:p w:rsidR="00000000" w:rsidRDefault="00000000">
      <w:pPr>
        <w:tabs>
          <w:tab w:val="left" w:pos="475"/>
          <w:tab w:val="left" w:pos="965"/>
          <w:tab w:val="left" w:pos="1440"/>
          <w:tab w:val="left" w:pos="1915"/>
          <w:tab w:val="left" w:pos="2405"/>
        </w:tabs>
        <w:spacing w:after="120"/>
        <w:jc w:val="both"/>
      </w:pPr>
      <w:r>
        <w:tab/>
        <w:t>The Act of 31 December 1996 on the budget of the Republic for 1997 established the benefit rate for children infected with HIV or suffering from AIDS at 130 per cent of the monthly accounting index.</w:t>
      </w:r>
    </w:p>
    <w:p w:rsidR="00000000" w:rsidRDefault="00000000">
      <w:pPr>
        <w:tabs>
          <w:tab w:val="left" w:pos="475"/>
          <w:tab w:val="left" w:pos="965"/>
          <w:tab w:val="left" w:pos="1440"/>
          <w:tab w:val="left" w:pos="1915"/>
          <w:tab w:val="left" w:pos="2405"/>
        </w:tabs>
        <w:spacing w:after="120"/>
        <w:jc w:val="both"/>
      </w:pPr>
      <w:r>
        <w:rPr>
          <w:noProof/>
          <w:w w:val="100"/>
        </w:rPr>
        <w:pict>
          <v:shape id="_x0000_s2071" type="#_x0000_t202" style="position:absolute;left:0;text-align:left;margin-left:248.65pt;margin-top:-2.85pt;width:244.65pt;height:176.95pt;z-index:14;mso-position-horizontal:absolute;mso-position-horizontal-relative:text;mso-position-vertical:absolute;mso-position-vertical-relative:text" o:allowincell="f" stroked="f">
            <v:textbox>
              <w:txbxContent>
                <w:p w:rsidR="00000000" w:rsidRDefault="00000000">
                  <w:pPr>
                    <w:tabs>
                      <w:tab w:val="left" w:pos="475"/>
                      <w:tab w:val="left" w:pos="965"/>
                      <w:tab w:val="left" w:pos="1440"/>
                      <w:tab w:val="left" w:pos="1915"/>
                      <w:tab w:val="left" w:pos="2405"/>
                    </w:tabs>
                    <w:spacing w:after="120"/>
                    <w:jc w:val="both"/>
                  </w:pPr>
                  <w:r>
                    <w:tab/>
                    <w:t>These benefits were abolished as from 1 January 1997.</w:t>
                  </w:r>
                </w:p>
                <w:p w:rsidR="00000000" w:rsidRDefault="00000000">
                  <w:pPr>
                    <w:pStyle w:val="D12r"/>
                  </w:pPr>
                </w:p>
                <w:p w:rsidR="00000000" w:rsidRDefault="00000000">
                  <w:pPr>
                    <w:pStyle w:val="DH2"/>
                    <w:ind w:left="475" w:hanging="475"/>
                    <w:jc w:val="both"/>
                  </w:pPr>
                  <w:r>
                    <w:tab/>
                    <w:t>Benefits for children of non-career military servicemen</w:t>
                  </w:r>
                </w:p>
                <w:p w:rsidR="00000000" w:rsidRDefault="00000000">
                  <w:pPr>
                    <w:pStyle w:val="D12r"/>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pPr>
                  <w:r>
                    <w:t>71.</w:t>
                  </w:r>
                  <w:r>
                    <w:tab/>
                    <w:t>Non-career military servicemen are paid a monthly benefit for each child, regardless of family income.</w:t>
                  </w:r>
                </w:p>
                <w:p w:rsidR="00000000" w:rsidRDefault="00000000">
                  <w:pPr>
                    <w:jc w:val="both"/>
                  </w:pPr>
                  <w:r>
                    <w:tab/>
                    <w:t>As from 1 January 1999, these benefits are paid, under the Budget Act, in the form of social assistance.</w:t>
                  </w:r>
                </w:p>
              </w:txbxContent>
            </v:textbox>
          </v:shape>
        </w:pict>
      </w:r>
      <w:r>
        <w:tab/>
        <w:t>As from 1 January 1999, these benefits are paid at the rate of 80 per cent of the monthly accounting index (Law on the prevention of AIDS).</w:t>
      </w:r>
    </w:p>
    <w:p w:rsidR="00000000" w:rsidRDefault="00000000">
      <w:pPr>
        <w:pStyle w:val="D12r"/>
      </w:pPr>
    </w:p>
    <w:p w:rsidR="00000000" w:rsidRDefault="00000000">
      <w:pPr>
        <w:pStyle w:val="DH2"/>
        <w:ind w:left="475" w:hanging="475"/>
      </w:pPr>
      <w:r>
        <w:tab/>
        <w:t>Benefits for minor children whose parents have not paid child support while their parents are being located. Such benefits are paid from local budgets in accordance with the conditions and rates applicable to State benefits for the children of single mothers.</w:t>
      </w:r>
    </w:p>
    <w:p w:rsidR="00000000" w:rsidRDefault="00000000">
      <w:pPr>
        <w:pStyle w:val="D12r"/>
      </w:pP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pPr>
      <w:r>
        <w:t>70.</w:t>
      </w:r>
      <w:r>
        <w:tab/>
        <w:t>The Presidential Order of 20 July 1995 established the rates for these benefits as follows: 105 per cent of the minimum wage for children up to the age of six and 115 per cent for children between the ages of six and 18.</w:t>
      </w:r>
    </w:p>
    <w:p w:rsidR="00000000" w:rsidRDefault="00000000">
      <w:pPr>
        <w:tabs>
          <w:tab w:val="left" w:pos="475"/>
          <w:tab w:val="left" w:pos="965"/>
          <w:tab w:val="left" w:pos="1440"/>
          <w:tab w:val="left" w:pos="1915"/>
          <w:tab w:val="left" w:pos="2405"/>
        </w:tabs>
        <w:spacing w:after="120"/>
        <w:jc w:val="both"/>
        <w:sectPr w:rsidR="00000000">
          <w:type w:val="continuous"/>
          <w:pgSz w:w="12240" w:h="15840"/>
          <w:pgMar w:top="1742" w:right="1195" w:bottom="1901" w:left="1195" w:header="576" w:footer="1037" w:gutter="0"/>
          <w:cols w:num="2" w:space="245"/>
          <w:docGrid w:linePitch="360"/>
        </w:sectPr>
      </w:pPr>
    </w:p>
    <w:p w:rsidR="00000000" w:rsidRDefault="00000000">
      <w:pPr>
        <w:pStyle w:val="DH2"/>
        <w:ind w:left="475" w:hanging="475"/>
      </w:pPr>
    </w:p>
    <w:p w:rsidR="00000000" w:rsidRDefault="00000000">
      <w:pPr>
        <w:pStyle w:val="DH2"/>
        <w:ind w:left="475" w:hanging="475"/>
      </w:pPr>
      <w:r>
        <w:tab/>
        <w:t>Pensions for mothers of large families and some other categories of women</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t>72.</w:t>
      </w: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spacing w:after="0"/>
      </w:pPr>
      <w:r>
        <w:t>Table 23</w:t>
      </w:r>
    </w:p>
    <w:p w:rsidR="00000000" w:rsidRDefault="00000000">
      <w:pPr>
        <w:pStyle w:val="Heading1"/>
        <w:suppressAutoHyphens/>
        <w:spacing w:after="120" w:line="240" w:lineRule="exact"/>
        <w:rPr>
          <w:lang w:val="en-GB"/>
        </w:rPr>
      </w:pPr>
      <w:r>
        <w:rPr>
          <w:lang w:val="en-GB"/>
        </w:rPr>
        <w:t>Data on social assistance to women</w:t>
      </w:r>
    </w:p>
    <w:tbl>
      <w:tblPr>
        <w:tblW w:w="0" w:type="auto"/>
        <w:jc w:val="right"/>
        <w:tblLayout w:type="fixed"/>
        <w:tblLook w:val="0000" w:firstRow="0" w:lastRow="0" w:firstColumn="0" w:lastColumn="0" w:noHBand="0" w:noVBand="0"/>
      </w:tblPr>
      <w:tblGrid>
        <w:gridCol w:w="5045"/>
        <w:gridCol w:w="1260"/>
        <w:gridCol w:w="1260"/>
        <w:gridCol w:w="1031"/>
        <w:gridCol w:w="1277"/>
      </w:tblGrid>
      <w:tr w:rsidR="00000000">
        <w:tblPrEx>
          <w:tblCellMar>
            <w:top w:w="0" w:type="dxa"/>
            <w:bottom w:w="0" w:type="dxa"/>
          </w:tblCellMar>
        </w:tblPrEx>
        <w:trPr>
          <w:jc w:val="right"/>
        </w:trPr>
        <w:tc>
          <w:tcPr>
            <w:tcW w:w="5045" w:type="dxa"/>
            <w:tcBorders>
              <w:top w:val="single" w:sz="4" w:space="0" w:color="auto"/>
              <w:bottom w:val="single" w:sz="12" w:space="0" w:color="auto"/>
            </w:tcBorders>
            <w:vAlign w:val="bottom"/>
          </w:tcPr>
          <w:p w:rsidR="00000000" w:rsidRDefault="00000000">
            <w:pPr>
              <w:tabs>
                <w:tab w:val="left" w:pos="347"/>
                <w:tab w:val="left" w:pos="965"/>
                <w:tab w:val="left" w:pos="1440"/>
                <w:tab w:val="left" w:pos="1915"/>
                <w:tab w:val="left" w:pos="2405"/>
              </w:tabs>
              <w:spacing w:after="120" w:line="200" w:lineRule="exact"/>
              <w:rPr>
                <w:i/>
                <w:sz w:val="14"/>
              </w:rPr>
            </w:pPr>
          </w:p>
        </w:tc>
        <w:tc>
          <w:tcPr>
            <w:tcW w:w="1260" w:type="dxa"/>
            <w:tcBorders>
              <w:top w:val="single" w:sz="4" w:space="0" w:color="auto"/>
              <w:bottom w:val="single" w:sz="12" w:space="0" w:color="auto"/>
            </w:tcBorders>
            <w:vAlign w:val="bottom"/>
          </w:tcPr>
          <w:p w:rsidR="00000000" w:rsidRDefault="00000000">
            <w:pPr>
              <w:tabs>
                <w:tab w:val="left" w:pos="475"/>
                <w:tab w:val="left" w:pos="965"/>
                <w:tab w:val="left" w:pos="1440"/>
                <w:tab w:val="left" w:pos="1915"/>
                <w:tab w:val="left" w:pos="2405"/>
              </w:tabs>
              <w:spacing w:after="120" w:line="200" w:lineRule="exact"/>
              <w:jc w:val="right"/>
              <w:rPr>
                <w:i/>
                <w:sz w:val="14"/>
              </w:rPr>
            </w:pPr>
            <w:r>
              <w:rPr>
                <w:i/>
                <w:sz w:val="14"/>
              </w:rPr>
              <w:t>1996</w:t>
            </w:r>
          </w:p>
        </w:tc>
        <w:tc>
          <w:tcPr>
            <w:tcW w:w="1260" w:type="dxa"/>
            <w:tcBorders>
              <w:top w:val="single" w:sz="4" w:space="0" w:color="auto"/>
              <w:bottom w:val="single" w:sz="12" w:space="0" w:color="auto"/>
            </w:tcBorders>
            <w:vAlign w:val="bottom"/>
          </w:tcPr>
          <w:p w:rsidR="00000000" w:rsidRDefault="00000000">
            <w:pPr>
              <w:tabs>
                <w:tab w:val="left" w:pos="475"/>
                <w:tab w:val="left" w:pos="965"/>
                <w:tab w:val="left" w:pos="1440"/>
                <w:tab w:val="left" w:pos="1915"/>
                <w:tab w:val="left" w:pos="2405"/>
              </w:tabs>
              <w:spacing w:after="120" w:line="200" w:lineRule="exact"/>
              <w:jc w:val="right"/>
              <w:rPr>
                <w:i/>
                <w:sz w:val="14"/>
              </w:rPr>
            </w:pPr>
            <w:r>
              <w:rPr>
                <w:i/>
                <w:sz w:val="14"/>
              </w:rPr>
              <w:t>1997</w:t>
            </w:r>
          </w:p>
        </w:tc>
        <w:tc>
          <w:tcPr>
            <w:tcW w:w="1031" w:type="dxa"/>
            <w:tcBorders>
              <w:top w:val="single" w:sz="4" w:space="0" w:color="auto"/>
              <w:bottom w:val="single" w:sz="12" w:space="0" w:color="auto"/>
            </w:tcBorders>
            <w:vAlign w:val="bottom"/>
          </w:tcPr>
          <w:p w:rsidR="00000000" w:rsidRDefault="00000000">
            <w:pPr>
              <w:tabs>
                <w:tab w:val="left" w:pos="475"/>
                <w:tab w:val="left" w:pos="965"/>
                <w:tab w:val="left" w:pos="1440"/>
                <w:tab w:val="left" w:pos="1915"/>
                <w:tab w:val="left" w:pos="2405"/>
              </w:tabs>
              <w:spacing w:after="120" w:line="200" w:lineRule="exact"/>
              <w:jc w:val="right"/>
              <w:rPr>
                <w:i/>
                <w:sz w:val="14"/>
              </w:rPr>
            </w:pPr>
            <w:r>
              <w:rPr>
                <w:i/>
                <w:sz w:val="14"/>
              </w:rPr>
              <w:t>1998</w:t>
            </w:r>
          </w:p>
        </w:tc>
        <w:tc>
          <w:tcPr>
            <w:tcW w:w="1277" w:type="dxa"/>
            <w:tcBorders>
              <w:top w:val="single" w:sz="4" w:space="0" w:color="auto"/>
              <w:bottom w:val="single" w:sz="12" w:space="0" w:color="auto"/>
            </w:tcBorders>
            <w:vAlign w:val="bottom"/>
          </w:tcPr>
          <w:p w:rsidR="00000000" w:rsidRDefault="00000000">
            <w:pPr>
              <w:tabs>
                <w:tab w:val="left" w:pos="475"/>
                <w:tab w:val="left" w:pos="965"/>
                <w:tab w:val="left" w:pos="1440"/>
                <w:tab w:val="left" w:pos="1915"/>
                <w:tab w:val="left" w:pos="2405"/>
              </w:tabs>
              <w:spacing w:after="120" w:line="200" w:lineRule="exact"/>
              <w:jc w:val="right"/>
              <w:rPr>
                <w:i/>
                <w:sz w:val="14"/>
              </w:rPr>
            </w:pPr>
            <w:r>
              <w:rPr>
                <w:i/>
                <w:sz w:val="14"/>
              </w:rPr>
              <w:t>First quarter 1999</w:t>
            </w:r>
          </w:p>
        </w:tc>
      </w:tr>
      <w:tr w:rsidR="00000000">
        <w:tblPrEx>
          <w:tblCellMar>
            <w:top w:w="0" w:type="dxa"/>
            <w:bottom w:w="0" w:type="dxa"/>
          </w:tblCellMar>
        </w:tblPrEx>
        <w:trPr>
          <w:jc w:val="right"/>
        </w:trPr>
        <w:tc>
          <w:tcPr>
            <w:tcW w:w="5045" w:type="dxa"/>
            <w:tcBorders>
              <w:top w:val="single" w:sz="12" w:space="0" w:color="auto"/>
            </w:tcBorders>
          </w:tcPr>
          <w:p w:rsidR="00000000" w:rsidRDefault="00000000">
            <w:pPr>
              <w:pStyle w:val="Footer"/>
              <w:tabs>
                <w:tab w:val="clear" w:pos="4320"/>
                <w:tab w:val="clear" w:pos="8640"/>
                <w:tab w:val="left" w:pos="347"/>
                <w:tab w:val="left" w:pos="965"/>
                <w:tab w:val="left" w:pos="1440"/>
                <w:tab w:val="left" w:pos="1915"/>
                <w:tab w:val="left" w:pos="2405"/>
              </w:tabs>
              <w:suppressAutoHyphens/>
              <w:spacing w:after="120" w:line="240" w:lineRule="exact"/>
              <w:rPr>
                <w:noProof w:val="0"/>
                <w:spacing w:val="4"/>
                <w:w w:val="103"/>
                <w:kern w:val="14"/>
                <w:lang w:val="en-GB"/>
              </w:rPr>
            </w:pPr>
            <w:r>
              <w:rPr>
                <w:noProof w:val="0"/>
                <w:spacing w:val="4"/>
                <w:w w:val="103"/>
                <w:kern w:val="14"/>
                <w:lang w:val="en-GB"/>
              </w:rPr>
              <w:t>1.</w:t>
            </w:r>
            <w:r>
              <w:rPr>
                <w:noProof w:val="0"/>
                <w:spacing w:val="4"/>
                <w:w w:val="103"/>
                <w:kern w:val="14"/>
                <w:lang w:val="en-GB"/>
              </w:rPr>
              <w:tab/>
              <w:t>Payments to female pensioners</w:t>
            </w:r>
          </w:p>
        </w:tc>
        <w:tc>
          <w:tcPr>
            <w:tcW w:w="1260"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p>
        </w:tc>
        <w:tc>
          <w:tcPr>
            <w:tcW w:w="1260"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p>
        </w:tc>
        <w:tc>
          <w:tcPr>
            <w:tcW w:w="1031"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p>
        </w:tc>
        <w:tc>
          <w:tcPr>
            <w:tcW w:w="1277" w:type="dxa"/>
            <w:tcBorders>
              <w:top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p>
        </w:tc>
      </w:tr>
      <w:tr w:rsidR="00000000">
        <w:tblPrEx>
          <w:tblCellMar>
            <w:top w:w="0" w:type="dxa"/>
            <w:bottom w:w="0" w:type="dxa"/>
          </w:tblCellMar>
        </w:tblPrEx>
        <w:trPr>
          <w:jc w:val="right"/>
        </w:trPr>
        <w:tc>
          <w:tcPr>
            <w:tcW w:w="5045" w:type="dxa"/>
          </w:tcPr>
          <w:p w:rsidR="00000000" w:rsidRDefault="00000000">
            <w:pPr>
              <w:tabs>
                <w:tab w:val="left" w:pos="347"/>
                <w:tab w:val="left" w:pos="965"/>
                <w:tab w:val="left" w:pos="1440"/>
                <w:tab w:val="left" w:pos="1915"/>
                <w:tab w:val="left" w:pos="2405"/>
              </w:tabs>
              <w:spacing w:after="120"/>
              <w:rPr>
                <w:sz w:val="17"/>
              </w:rPr>
            </w:pPr>
            <w:r>
              <w:rPr>
                <w:sz w:val="17"/>
              </w:rPr>
              <w:t>Total number of women receiving pensions</w:t>
            </w:r>
          </w:p>
        </w:tc>
        <w:tc>
          <w:tcPr>
            <w:tcW w:w="1260" w:type="dxa"/>
          </w:tcPr>
          <w:p w:rsidR="00000000" w:rsidRDefault="00000000">
            <w:pPr>
              <w:tabs>
                <w:tab w:val="left" w:pos="475"/>
                <w:tab w:val="left" w:pos="965"/>
                <w:tab w:val="left" w:pos="1440"/>
                <w:tab w:val="left" w:pos="1915"/>
                <w:tab w:val="left" w:pos="2405"/>
              </w:tabs>
              <w:spacing w:after="120"/>
              <w:jc w:val="right"/>
              <w:rPr>
                <w:sz w:val="17"/>
              </w:rPr>
            </w:pPr>
            <w:r>
              <w:rPr>
                <w:sz w:val="17"/>
              </w:rPr>
              <w:t>1 721 094</w:t>
            </w:r>
          </w:p>
        </w:tc>
        <w:tc>
          <w:tcPr>
            <w:tcW w:w="1260" w:type="dxa"/>
          </w:tcPr>
          <w:p w:rsidR="00000000" w:rsidRDefault="00000000">
            <w:pPr>
              <w:tabs>
                <w:tab w:val="left" w:pos="475"/>
                <w:tab w:val="left" w:pos="965"/>
                <w:tab w:val="left" w:pos="1440"/>
                <w:tab w:val="left" w:pos="1915"/>
                <w:tab w:val="left" w:pos="2405"/>
              </w:tabs>
              <w:spacing w:after="120"/>
              <w:jc w:val="right"/>
              <w:rPr>
                <w:sz w:val="17"/>
              </w:rPr>
            </w:pPr>
            <w:r>
              <w:rPr>
                <w:sz w:val="17"/>
              </w:rPr>
              <w:t>1 706 685</w:t>
            </w:r>
          </w:p>
        </w:tc>
        <w:tc>
          <w:tcPr>
            <w:tcW w:w="1031" w:type="dxa"/>
          </w:tcPr>
          <w:p w:rsidR="00000000" w:rsidRDefault="00000000">
            <w:pPr>
              <w:tabs>
                <w:tab w:val="left" w:pos="475"/>
                <w:tab w:val="left" w:pos="965"/>
                <w:tab w:val="left" w:pos="1440"/>
                <w:tab w:val="left" w:pos="1915"/>
                <w:tab w:val="left" w:pos="2405"/>
              </w:tabs>
              <w:spacing w:after="120"/>
              <w:jc w:val="right"/>
              <w:rPr>
                <w:sz w:val="17"/>
              </w:rPr>
            </w:pPr>
            <w:r>
              <w:rPr>
                <w:sz w:val="17"/>
              </w:rPr>
              <w:t>1 307 817</w:t>
            </w:r>
          </w:p>
        </w:tc>
        <w:tc>
          <w:tcPr>
            <w:tcW w:w="1277" w:type="dxa"/>
          </w:tcPr>
          <w:p w:rsidR="00000000" w:rsidRDefault="00000000">
            <w:pPr>
              <w:tabs>
                <w:tab w:val="left" w:pos="475"/>
                <w:tab w:val="left" w:pos="965"/>
                <w:tab w:val="left" w:pos="1440"/>
                <w:tab w:val="left" w:pos="1915"/>
                <w:tab w:val="left" w:pos="2405"/>
              </w:tabs>
              <w:spacing w:after="120"/>
              <w:jc w:val="right"/>
              <w:rPr>
                <w:sz w:val="17"/>
              </w:rPr>
            </w:pPr>
            <w:r>
              <w:rPr>
                <w:sz w:val="17"/>
              </w:rPr>
              <w:t>Not available</w:t>
            </w:r>
          </w:p>
        </w:tc>
      </w:tr>
      <w:tr w:rsidR="00000000">
        <w:tblPrEx>
          <w:tblCellMar>
            <w:top w:w="0" w:type="dxa"/>
            <w:bottom w:w="0" w:type="dxa"/>
          </w:tblCellMar>
        </w:tblPrEx>
        <w:trPr>
          <w:jc w:val="right"/>
        </w:trPr>
        <w:tc>
          <w:tcPr>
            <w:tcW w:w="5045" w:type="dxa"/>
          </w:tcPr>
          <w:p w:rsidR="00000000" w:rsidRDefault="00000000">
            <w:pPr>
              <w:tabs>
                <w:tab w:val="left" w:pos="347"/>
                <w:tab w:val="left" w:pos="965"/>
                <w:tab w:val="left" w:pos="1440"/>
                <w:tab w:val="left" w:pos="1915"/>
                <w:tab w:val="left" w:pos="2405"/>
              </w:tabs>
              <w:spacing w:after="120"/>
              <w:rPr>
                <w:sz w:val="17"/>
              </w:rPr>
            </w:pPr>
            <w:r>
              <w:rPr>
                <w:sz w:val="17"/>
              </w:rPr>
              <w:t>Number living in rural areas</w:t>
            </w:r>
          </w:p>
        </w:tc>
        <w:tc>
          <w:tcPr>
            <w:tcW w:w="1260" w:type="dxa"/>
          </w:tcPr>
          <w:p w:rsidR="00000000" w:rsidRDefault="00000000">
            <w:pPr>
              <w:tabs>
                <w:tab w:val="left" w:pos="475"/>
                <w:tab w:val="left" w:pos="965"/>
                <w:tab w:val="left" w:pos="1440"/>
                <w:tab w:val="left" w:pos="1915"/>
                <w:tab w:val="left" w:pos="2405"/>
              </w:tabs>
              <w:spacing w:after="120"/>
              <w:jc w:val="right"/>
              <w:rPr>
                <w:sz w:val="17"/>
              </w:rPr>
            </w:pPr>
            <w:r>
              <w:rPr>
                <w:sz w:val="17"/>
              </w:rPr>
              <w:t>723 958</w:t>
            </w:r>
          </w:p>
        </w:tc>
        <w:tc>
          <w:tcPr>
            <w:tcW w:w="1260" w:type="dxa"/>
          </w:tcPr>
          <w:p w:rsidR="00000000" w:rsidRDefault="00000000">
            <w:pPr>
              <w:tabs>
                <w:tab w:val="left" w:pos="475"/>
                <w:tab w:val="left" w:pos="965"/>
                <w:tab w:val="left" w:pos="1440"/>
                <w:tab w:val="left" w:pos="1915"/>
                <w:tab w:val="left" w:pos="2405"/>
              </w:tabs>
              <w:spacing w:after="120"/>
              <w:jc w:val="right"/>
              <w:rPr>
                <w:sz w:val="17"/>
              </w:rPr>
            </w:pPr>
            <w:r>
              <w:rPr>
                <w:sz w:val="17"/>
              </w:rPr>
              <w:t>672 250</w:t>
            </w:r>
          </w:p>
        </w:tc>
        <w:tc>
          <w:tcPr>
            <w:tcW w:w="1031" w:type="dxa"/>
          </w:tcPr>
          <w:p w:rsidR="00000000" w:rsidRDefault="00000000">
            <w:pPr>
              <w:tabs>
                <w:tab w:val="left" w:pos="475"/>
                <w:tab w:val="left" w:pos="965"/>
                <w:tab w:val="left" w:pos="1440"/>
                <w:tab w:val="left" w:pos="1915"/>
                <w:tab w:val="left" w:pos="2405"/>
              </w:tabs>
              <w:spacing w:after="120"/>
              <w:jc w:val="right"/>
              <w:rPr>
                <w:sz w:val="17"/>
              </w:rPr>
            </w:pPr>
            <w:r>
              <w:rPr>
                <w:sz w:val="17"/>
              </w:rPr>
              <w:t>566 552</w:t>
            </w:r>
          </w:p>
        </w:tc>
        <w:tc>
          <w:tcPr>
            <w:tcW w:w="1277" w:type="dxa"/>
          </w:tcPr>
          <w:p w:rsidR="00000000" w:rsidRDefault="00000000">
            <w:pPr>
              <w:tabs>
                <w:tab w:val="left" w:pos="475"/>
                <w:tab w:val="left" w:pos="965"/>
                <w:tab w:val="left" w:pos="1440"/>
                <w:tab w:val="left" w:pos="1915"/>
                <w:tab w:val="left" w:pos="2405"/>
              </w:tabs>
              <w:spacing w:after="120"/>
              <w:jc w:val="right"/>
              <w:rPr>
                <w:sz w:val="17"/>
              </w:rPr>
            </w:pPr>
            <w:r>
              <w:rPr>
                <w:sz w:val="17"/>
              </w:rPr>
              <w:t>600 408</w:t>
            </w:r>
          </w:p>
        </w:tc>
      </w:tr>
      <w:tr w:rsidR="00000000">
        <w:tblPrEx>
          <w:tblCellMar>
            <w:top w:w="0" w:type="dxa"/>
            <w:bottom w:w="0" w:type="dxa"/>
          </w:tblCellMar>
        </w:tblPrEx>
        <w:trPr>
          <w:jc w:val="right"/>
        </w:trPr>
        <w:tc>
          <w:tcPr>
            <w:tcW w:w="5045" w:type="dxa"/>
          </w:tcPr>
          <w:p w:rsidR="00000000" w:rsidRDefault="00000000">
            <w:pPr>
              <w:tabs>
                <w:tab w:val="left" w:pos="347"/>
                <w:tab w:val="left" w:pos="965"/>
                <w:tab w:val="left" w:pos="1440"/>
                <w:tab w:val="left" w:pos="1915"/>
                <w:tab w:val="left" w:pos="2405"/>
              </w:tabs>
              <w:spacing w:after="120"/>
              <w:rPr>
                <w:sz w:val="17"/>
              </w:rPr>
            </w:pPr>
            <w:r>
              <w:rPr>
                <w:sz w:val="17"/>
              </w:rPr>
              <w:t>Amount paid to women receiving pensions (millions of tenge)</w:t>
            </w:r>
          </w:p>
        </w:tc>
        <w:tc>
          <w:tcPr>
            <w:tcW w:w="1260" w:type="dxa"/>
          </w:tcPr>
          <w:p w:rsidR="00000000" w:rsidRDefault="00000000">
            <w:pPr>
              <w:tabs>
                <w:tab w:val="left" w:pos="475"/>
                <w:tab w:val="left" w:pos="965"/>
                <w:tab w:val="left" w:pos="1440"/>
                <w:tab w:val="left" w:pos="1915"/>
                <w:tab w:val="left" w:pos="2405"/>
              </w:tabs>
              <w:spacing w:after="120"/>
              <w:jc w:val="right"/>
              <w:rPr>
                <w:sz w:val="17"/>
              </w:rPr>
            </w:pPr>
            <w:r>
              <w:rPr>
                <w:sz w:val="17"/>
              </w:rPr>
              <w:t>62 651</w:t>
            </w:r>
          </w:p>
        </w:tc>
        <w:tc>
          <w:tcPr>
            <w:tcW w:w="1260" w:type="dxa"/>
          </w:tcPr>
          <w:p w:rsidR="00000000" w:rsidRDefault="00000000">
            <w:pPr>
              <w:tabs>
                <w:tab w:val="left" w:pos="475"/>
                <w:tab w:val="left" w:pos="965"/>
                <w:tab w:val="left" w:pos="1440"/>
                <w:tab w:val="left" w:pos="1915"/>
                <w:tab w:val="left" w:pos="2405"/>
              </w:tabs>
              <w:spacing w:after="120"/>
              <w:jc w:val="right"/>
              <w:rPr>
                <w:sz w:val="17"/>
              </w:rPr>
            </w:pPr>
            <w:r>
              <w:rPr>
                <w:sz w:val="17"/>
              </w:rPr>
              <w:t>66 083</w:t>
            </w:r>
          </w:p>
        </w:tc>
        <w:tc>
          <w:tcPr>
            <w:tcW w:w="1031" w:type="dxa"/>
          </w:tcPr>
          <w:p w:rsidR="00000000" w:rsidRDefault="00000000">
            <w:pPr>
              <w:tabs>
                <w:tab w:val="left" w:pos="475"/>
                <w:tab w:val="left" w:pos="965"/>
                <w:tab w:val="left" w:pos="1440"/>
                <w:tab w:val="left" w:pos="1915"/>
                <w:tab w:val="left" w:pos="2405"/>
              </w:tabs>
              <w:spacing w:after="120"/>
              <w:jc w:val="right"/>
              <w:rPr>
                <w:sz w:val="17"/>
              </w:rPr>
            </w:pPr>
            <w:r>
              <w:rPr>
                <w:sz w:val="17"/>
              </w:rPr>
              <w:t>56 687</w:t>
            </w:r>
          </w:p>
        </w:tc>
        <w:tc>
          <w:tcPr>
            <w:tcW w:w="1277" w:type="dxa"/>
          </w:tcPr>
          <w:p w:rsidR="00000000" w:rsidRDefault="00000000">
            <w:pPr>
              <w:tabs>
                <w:tab w:val="left" w:pos="475"/>
                <w:tab w:val="left" w:pos="965"/>
                <w:tab w:val="left" w:pos="1440"/>
                <w:tab w:val="left" w:pos="1915"/>
                <w:tab w:val="left" w:pos="2405"/>
              </w:tabs>
              <w:spacing w:after="120"/>
              <w:jc w:val="right"/>
              <w:rPr>
                <w:sz w:val="17"/>
              </w:rPr>
            </w:pPr>
            <w:r>
              <w:rPr>
                <w:sz w:val="17"/>
              </w:rPr>
              <w:t>Not available</w:t>
            </w:r>
          </w:p>
        </w:tc>
      </w:tr>
      <w:tr w:rsidR="00000000">
        <w:tblPrEx>
          <w:tblCellMar>
            <w:top w:w="0" w:type="dxa"/>
            <w:bottom w:w="0" w:type="dxa"/>
          </w:tblCellMar>
        </w:tblPrEx>
        <w:trPr>
          <w:jc w:val="right"/>
        </w:trPr>
        <w:tc>
          <w:tcPr>
            <w:tcW w:w="5045" w:type="dxa"/>
          </w:tcPr>
          <w:p w:rsidR="00000000" w:rsidRDefault="00000000">
            <w:pPr>
              <w:tabs>
                <w:tab w:val="left" w:pos="347"/>
                <w:tab w:val="left" w:pos="965"/>
                <w:tab w:val="left" w:pos="1440"/>
                <w:tab w:val="left" w:pos="1915"/>
                <w:tab w:val="left" w:pos="2405"/>
              </w:tabs>
              <w:spacing w:after="120"/>
              <w:rPr>
                <w:sz w:val="17"/>
              </w:rPr>
            </w:pPr>
            <w:r>
              <w:rPr>
                <w:sz w:val="17"/>
              </w:rPr>
              <w:t>Amount paid to women in rural areas (millions of tenge)</w:t>
            </w:r>
          </w:p>
        </w:tc>
        <w:tc>
          <w:tcPr>
            <w:tcW w:w="1260" w:type="dxa"/>
          </w:tcPr>
          <w:p w:rsidR="00000000" w:rsidRDefault="00000000">
            <w:pPr>
              <w:tabs>
                <w:tab w:val="left" w:pos="475"/>
                <w:tab w:val="left" w:pos="965"/>
                <w:tab w:val="left" w:pos="1440"/>
                <w:tab w:val="left" w:pos="1915"/>
                <w:tab w:val="left" w:pos="2405"/>
              </w:tabs>
              <w:spacing w:after="120"/>
              <w:jc w:val="right"/>
              <w:rPr>
                <w:sz w:val="17"/>
              </w:rPr>
            </w:pPr>
            <w:r>
              <w:rPr>
                <w:sz w:val="17"/>
              </w:rPr>
              <w:t>24 938</w:t>
            </w:r>
          </w:p>
        </w:tc>
        <w:tc>
          <w:tcPr>
            <w:tcW w:w="1260" w:type="dxa"/>
          </w:tcPr>
          <w:p w:rsidR="00000000" w:rsidRDefault="00000000">
            <w:pPr>
              <w:tabs>
                <w:tab w:val="left" w:pos="475"/>
                <w:tab w:val="left" w:pos="965"/>
                <w:tab w:val="left" w:pos="1440"/>
                <w:tab w:val="left" w:pos="1915"/>
                <w:tab w:val="left" w:pos="2405"/>
              </w:tabs>
              <w:spacing w:after="120"/>
              <w:jc w:val="right"/>
              <w:rPr>
                <w:sz w:val="17"/>
              </w:rPr>
            </w:pPr>
            <w:r>
              <w:rPr>
                <w:sz w:val="17"/>
              </w:rPr>
              <w:t>24 610</w:t>
            </w:r>
          </w:p>
        </w:tc>
        <w:tc>
          <w:tcPr>
            <w:tcW w:w="1031" w:type="dxa"/>
          </w:tcPr>
          <w:p w:rsidR="00000000" w:rsidRDefault="00000000">
            <w:pPr>
              <w:tabs>
                <w:tab w:val="left" w:pos="475"/>
                <w:tab w:val="left" w:pos="965"/>
                <w:tab w:val="left" w:pos="1440"/>
                <w:tab w:val="left" w:pos="1915"/>
                <w:tab w:val="left" w:pos="2405"/>
              </w:tabs>
              <w:spacing w:after="120"/>
              <w:jc w:val="right"/>
              <w:rPr>
                <w:sz w:val="17"/>
              </w:rPr>
            </w:pPr>
            <w:r>
              <w:rPr>
                <w:sz w:val="17"/>
              </w:rPr>
              <w:t>22 286</w:t>
            </w:r>
          </w:p>
        </w:tc>
        <w:tc>
          <w:tcPr>
            <w:tcW w:w="1277" w:type="dxa"/>
          </w:tcPr>
          <w:p w:rsidR="00000000" w:rsidRDefault="00000000">
            <w:pPr>
              <w:tabs>
                <w:tab w:val="left" w:pos="475"/>
                <w:tab w:val="left" w:pos="965"/>
                <w:tab w:val="left" w:pos="1440"/>
                <w:tab w:val="left" w:pos="1915"/>
                <w:tab w:val="left" w:pos="2405"/>
              </w:tabs>
              <w:spacing w:after="120"/>
              <w:jc w:val="right"/>
              <w:rPr>
                <w:sz w:val="17"/>
              </w:rPr>
            </w:pPr>
            <w:r>
              <w:rPr>
                <w:sz w:val="17"/>
              </w:rPr>
              <w:t>6 097</w:t>
            </w:r>
          </w:p>
        </w:tc>
      </w:tr>
      <w:tr w:rsidR="00000000">
        <w:tblPrEx>
          <w:tblCellMar>
            <w:top w:w="0" w:type="dxa"/>
            <w:bottom w:w="0" w:type="dxa"/>
          </w:tblCellMar>
        </w:tblPrEx>
        <w:trPr>
          <w:jc w:val="right"/>
        </w:trPr>
        <w:tc>
          <w:tcPr>
            <w:tcW w:w="5045" w:type="dxa"/>
          </w:tcPr>
          <w:p w:rsidR="00000000" w:rsidRDefault="00000000">
            <w:pPr>
              <w:pStyle w:val="Footer"/>
              <w:tabs>
                <w:tab w:val="clear" w:pos="4320"/>
                <w:tab w:val="clear" w:pos="8640"/>
                <w:tab w:val="left" w:pos="347"/>
                <w:tab w:val="left" w:pos="965"/>
                <w:tab w:val="left" w:pos="1440"/>
                <w:tab w:val="left" w:pos="1915"/>
                <w:tab w:val="left" w:pos="2405"/>
              </w:tabs>
              <w:suppressAutoHyphens/>
              <w:spacing w:after="120" w:line="240" w:lineRule="exact"/>
              <w:rPr>
                <w:noProof w:val="0"/>
                <w:spacing w:val="4"/>
                <w:w w:val="103"/>
                <w:kern w:val="14"/>
                <w:lang w:val="en-GB"/>
              </w:rPr>
            </w:pPr>
            <w:r>
              <w:rPr>
                <w:noProof w:val="0"/>
                <w:spacing w:val="4"/>
                <w:w w:val="103"/>
                <w:kern w:val="14"/>
                <w:lang w:val="en-GB"/>
              </w:rPr>
              <w:t>2.</w:t>
            </w:r>
            <w:r>
              <w:rPr>
                <w:noProof w:val="0"/>
                <w:spacing w:val="4"/>
                <w:w w:val="103"/>
                <w:kern w:val="14"/>
                <w:lang w:val="en-GB"/>
              </w:rPr>
              <w:tab/>
              <w:t>Payment of State social benefits to women</w:t>
            </w:r>
          </w:p>
        </w:tc>
        <w:tc>
          <w:tcPr>
            <w:tcW w:w="1260" w:type="dxa"/>
          </w:tcPr>
          <w:p w:rsidR="00000000" w:rsidRDefault="00000000">
            <w:pPr>
              <w:tabs>
                <w:tab w:val="left" w:pos="475"/>
                <w:tab w:val="left" w:pos="965"/>
                <w:tab w:val="left" w:pos="1440"/>
                <w:tab w:val="left" w:pos="1915"/>
                <w:tab w:val="left" w:pos="2405"/>
              </w:tabs>
              <w:spacing w:after="120"/>
              <w:jc w:val="right"/>
              <w:rPr>
                <w:sz w:val="17"/>
              </w:rPr>
            </w:pPr>
          </w:p>
        </w:tc>
        <w:tc>
          <w:tcPr>
            <w:tcW w:w="1260" w:type="dxa"/>
          </w:tcPr>
          <w:p w:rsidR="00000000" w:rsidRDefault="00000000">
            <w:pPr>
              <w:tabs>
                <w:tab w:val="left" w:pos="475"/>
                <w:tab w:val="left" w:pos="965"/>
                <w:tab w:val="left" w:pos="1440"/>
                <w:tab w:val="left" w:pos="1915"/>
                <w:tab w:val="left" w:pos="2405"/>
              </w:tabs>
              <w:spacing w:after="120"/>
              <w:jc w:val="right"/>
              <w:rPr>
                <w:sz w:val="17"/>
              </w:rPr>
            </w:pPr>
          </w:p>
        </w:tc>
        <w:tc>
          <w:tcPr>
            <w:tcW w:w="1031" w:type="dxa"/>
          </w:tcPr>
          <w:p w:rsidR="00000000" w:rsidRDefault="00000000">
            <w:pPr>
              <w:tabs>
                <w:tab w:val="left" w:pos="475"/>
                <w:tab w:val="left" w:pos="965"/>
                <w:tab w:val="left" w:pos="1440"/>
                <w:tab w:val="left" w:pos="1915"/>
                <w:tab w:val="left" w:pos="2405"/>
              </w:tabs>
              <w:spacing w:after="120"/>
              <w:jc w:val="right"/>
              <w:rPr>
                <w:sz w:val="17"/>
              </w:rPr>
            </w:pPr>
          </w:p>
        </w:tc>
        <w:tc>
          <w:tcPr>
            <w:tcW w:w="1277" w:type="dxa"/>
          </w:tcPr>
          <w:p w:rsidR="00000000" w:rsidRDefault="00000000">
            <w:pPr>
              <w:tabs>
                <w:tab w:val="left" w:pos="475"/>
                <w:tab w:val="left" w:pos="965"/>
                <w:tab w:val="left" w:pos="1440"/>
                <w:tab w:val="left" w:pos="1915"/>
                <w:tab w:val="left" w:pos="2405"/>
              </w:tabs>
              <w:spacing w:after="120"/>
              <w:jc w:val="right"/>
              <w:rPr>
                <w:sz w:val="17"/>
              </w:rPr>
            </w:pPr>
          </w:p>
        </w:tc>
      </w:tr>
      <w:tr w:rsidR="00000000">
        <w:tblPrEx>
          <w:tblCellMar>
            <w:top w:w="0" w:type="dxa"/>
            <w:bottom w:w="0" w:type="dxa"/>
          </w:tblCellMar>
        </w:tblPrEx>
        <w:trPr>
          <w:jc w:val="right"/>
        </w:trPr>
        <w:tc>
          <w:tcPr>
            <w:tcW w:w="5045" w:type="dxa"/>
          </w:tcPr>
          <w:p w:rsidR="00000000" w:rsidRDefault="00000000">
            <w:pPr>
              <w:tabs>
                <w:tab w:val="left" w:pos="347"/>
                <w:tab w:val="left" w:pos="965"/>
                <w:tab w:val="left" w:pos="1440"/>
                <w:tab w:val="left" w:pos="1915"/>
                <w:tab w:val="left" w:pos="2405"/>
              </w:tabs>
              <w:spacing w:after="120"/>
              <w:rPr>
                <w:sz w:val="17"/>
              </w:rPr>
            </w:pPr>
            <w:r>
              <w:rPr>
                <w:sz w:val="17"/>
              </w:rPr>
              <w:t>Number of persons receiving benefits</w:t>
            </w:r>
          </w:p>
        </w:tc>
        <w:tc>
          <w:tcPr>
            <w:tcW w:w="1260" w:type="dxa"/>
          </w:tcPr>
          <w:p w:rsidR="00000000" w:rsidRDefault="00000000">
            <w:pPr>
              <w:tabs>
                <w:tab w:val="left" w:pos="475"/>
                <w:tab w:val="left" w:pos="965"/>
                <w:tab w:val="left" w:pos="1440"/>
                <w:tab w:val="left" w:pos="1915"/>
                <w:tab w:val="left" w:pos="2405"/>
              </w:tabs>
              <w:spacing w:after="120"/>
              <w:jc w:val="right"/>
              <w:rPr>
                <w:sz w:val="17"/>
              </w:rPr>
            </w:pPr>
            <w:r>
              <w:rPr>
                <w:sz w:val="17"/>
              </w:rPr>
              <w:t>X</w:t>
            </w:r>
          </w:p>
        </w:tc>
        <w:tc>
          <w:tcPr>
            <w:tcW w:w="1260" w:type="dxa"/>
          </w:tcPr>
          <w:p w:rsidR="00000000" w:rsidRDefault="00000000">
            <w:pPr>
              <w:tabs>
                <w:tab w:val="left" w:pos="475"/>
                <w:tab w:val="left" w:pos="965"/>
                <w:tab w:val="left" w:pos="1440"/>
                <w:tab w:val="left" w:pos="1915"/>
                <w:tab w:val="left" w:pos="2405"/>
              </w:tabs>
              <w:spacing w:after="120"/>
              <w:jc w:val="right"/>
              <w:rPr>
                <w:sz w:val="17"/>
              </w:rPr>
            </w:pPr>
            <w:r>
              <w:rPr>
                <w:sz w:val="17"/>
              </w:rPr>
              <w:t>X</w:t>
            </w:r>
          </w:p>
        </w:tc>
        <w:tc>
          <w:tcPr>
            <w:tcW w:w="1031" w:type="dxa"/>
          </w:tcPr>
          <w:p w:rsidR="00000000" w:rsidRDefault="00000000">
            <w:pPr>
              <w:tabs>
                <w:tab w:val="left" w:pos="475"/>
                <w:tab w:val="left" w:pos="965"/>
                <w:tab w:val="left" w:pos="1440"/>
                <w:tab w:val="left" w:pos="1915"/>
                <w:tab w:val="left" w:pos="2405"/>
              </w:tabs>
              <w:spacing w:after="120"/>
              <w:jc w:val="right"/>
              <w:rPr>
                <w:sz w:val="17"/>
              </w:rPr>
            </w:pPr>
            <w:r>
              <w:rPr>
                <w:sz w:val="17"/>
              </w:rPr>
              <w:t>372 192</w:t>
            </w:r>
          </w:p>
        </w:tc>
        <w:tc>
          <w:tcPr>
            <w:tcW w:w="1277" w:type="dxa"/>
          </w:tcPr>
          <w:p w:rsidR="00000000" w:rsidRDefault="00000000">
            <w:pPr>
              <w:tabs>
                <w:tab w:val="left" w:pos="475"/>
                <w:tab w:val="left" w:pos="965"/>
                <w:tab w:val="left" w:pos="1440"/>
                <w:tab w:val="left" w:pos="1915"/>
                <w:tab w:val="left" w:pos="2405"/>
              </w:tabs>
              <w:spacing w:after="120"/>
              <w:jc w:val="right"/>
              <w:rPr>
                <w:sz w:val="17"/>
              </w:rPr>
            </w:pPr>
            <w:r>
              <w:rPr>
                <w:sz w:val="17"/>
              </w:rPr>
              <w:t>355 492</w:t>
            </w:r>
          </w:p>
        </w:tc>
      </w:tr>
      <w:tr w:rsidR="00000000">
        <w:tblPrEx>
          <w:tblCellMar>
            <w:top w:w="0" w:type="dxa"/>
            <w:bottom w:w="0" w:type="dxa"/>
          </w:tblCellMar>
        </w:tblPrEx>
        <w:trPr>
          <w:jc w:val="right"/>
        </w:trPr>
        <w:tc>
          <w:tcPr>
            <w:tcW w:w="5045" w:type="dxa"/>
          </w:tcPr>
          <w:p w:rsidR="00000000" w:rsidRDefault="00000000">
            <w:pPr>
              <w:tabs>
                <w:tab w:val="left" w:pos="347"/>
                <w:tab w:val="left" w:pos="965"/>
                <w:tab w:val="left" w:pos="1440"/>
                <w:tab w:val="left" w:pos="1915"/>
                <w:tab w:val="left" w:pos="2405"/>
              </w:tabs>
              <w:spacing w:after="120"/>
              <w:rPr>
                <w:sz w:val="17"/>
              </w:rPr>
            </w:pPr>
            <w:r>
              <w:rPr>
                <w:sz w:val="17"/>
              </w:rPr>
              <w:t>Number living in rural areas</w:t>
            </w:r>
          </w:p>
        </w:tc>
        <w:tc>
          <w:tcPr>
            <w:tcW w:w="1260" w:type="dxa"/>
          </w:tcPr>
          <w:p w:rsidR="00000000" w:rsidRDefault="00000000">
            <w:pPr>
              <w:tabs>
                <w:tab w:val="left" w:pos="475"/>
                <w:tab w:val="left" w:pos="965"/>
                <w:tab w:val="left" w:pos="1440"/>
                <w:tab w:val="left" w:pos="1915"/>
                <w:tab w:val="left" w:pos="2405"/>
              </w:tabs>
              <w:spacing w:after="120"/>
              <w:jc w:val="right"/>
              <w:rPr>
                <w:sz w:val="17"/>
              </w:rPr>
            </w:pPr>
            <w:r>
              <w:rPr>
                <w:sz w:val="17"/>
              </w:rPr>
              <w:t>X</w:t>
            </w:r>
          </w:p>
        </w:tc>
        <w:tc>
          <w:tcPr>
            <w:tcW w:w="1260" w:type="dxa"/>
          </w:tcPr>
          <w:p w:rsidR="00000000" w:rsidRDefault="00000000">
            <w:pPr>
              <w:tabs>
                <w:tab w:val="left" w:pos="475"/>
                <w:tab w:val="left" w:pos="965"/>
                <w:tab w:val="left" w:pos="1440"/>
                <w:tab w:val="left" w:pos="1915"/>
                <w:tab w:val="left" w:pos="2405"/>
              </w:tabs>
              <w:spacing w:after="120"/>
              <w:jc w:val="right"/>
              <w:rPr>
                <w:sz w:val="17"/>
              </w:rPr>
            </w:pPr>
            <w:r>
              <w:rPr>
                <w:sz w:val="17"/>
              </w:rPr>
              <w:t>X</w:t>
            </w:r>
          </w:p>
        </w:tc>
        <w:tc>
          <w:tcPr>
            <w:tcW w:w="1031" w:type="dxa"/>
          </w:tcPr>
          <w:p w:rsidR="00000000" w:rsidRDefault="00000000">
            <w:pPr>
              <w:tabs>
                <w:tab w:val="left" w:pos="475"/>
                <w:tab w:val="left" w:pos="965"/>
                <w:tab w:val="left" w:pos="1440"/>
                <w:tab w:val="left" w:pos="1915"/>
                <w:tab w:val="left" w:pos="2405"/>
              </w:tabs>
              <w:spacing w:after="120"/>
              <w:jc w:val="right"/>
              <w:rPr>
                <w:sz w:val="17"/>
              </w:rPr>
            </w:pPr>
            <w:r>
              <w:rPr>
                <w:sz w:val="17"/>
              </w:rPr>
              <w:t>162 835</w:t>
            </w:r>
          </w:p>
        </w:tc>
        <w:tc>
          <w:tcPr>
            <w:tcW w:w="1277" w:type="dxa"/>
          </w:tcPr>
          <w:p w:rsidR="00000000" w:rsidRDefault="00000000">
            <w:pPr>
              <w:tabs>
                <w:tab w:val="left" w:pos="475"/>
                <w:tab w:val="left" w:pos="965"/>
                <w:tab w:val="left" w:pos="1440"/>
                <w:tab w:val="left" w:pos="1915"/>
                <w:tab w:val="left" w:pos="2405"/>
              </w:tabs>
              <w:spacing w:after="120"/>
              <w:jc w:val="right"/>
              <w:rPr>
                <w:sz w:val="17"/>
              </w:rPr>
            </w:pPr>
            <w:r>
              <w:rPr>
                <w:sz w:val="17"/>
              </w:rPr>
              <w:t>160 285</w:t>
            </w:r>
          </w:p>
        </w:tc>
      </w:tr>
      <w:tr w:rsidR="00000000">
        <w:tblPrEx>
          <w:tblCellMar>
            <w:top w:w="0" w:type="dxa"/>
            <w:bottom w:w="0" w:type="dxa"/>
          </w:tblCellMar>
        </w:tblPrEx>
        <w:trPr>
          <w:jc w:val="right"/>
        </w:trPr>
        <w:tc>
          <w:tcPr>
            <w:tcW w:w="5045" w:type="dxa"/>
          </w:tcPr>
          <w:p w:rsidR="00000000" w:rsidRDefault="00000000">
            <w:pPr>
              <w:tabs>
                <w:tab w:val="left" w:pos="347"/>
                <w:tab w:val="left" w:pos="965"/>
                <w:tab w:val="left" w:pos="1440"/>
                <w:tab w:val="left" w:pos="1915"/>
                <w:tab w:val="left" w:pos="2405"/>
              </w:tabs>
              <w:spacing w:after="120"/>
              <w:rPr>
                <w:sz w:val="17"/>
              </w:rPr>
            </w:pPr>
            <w:r>
              <w:rPr>
                <w:sz w:val="17"/>
              </w:rPr>
              <w:t>Amount of benefits (millions of tenge)</w:t>
            </w:r>
          </w:p>
        </w:tc>
        <w:tc>
          <w:tcPr>
            <w:tcW w:w="1260" w:type="dxa"/>
          </w:tcPr>
          <w:p w:rsidR="00000000" w:rsidRDefault="00000000">
            <w:pPr>
              <w:tabs>
                <w:tab w:val="left" w:pos="475"/>
                <w:tab w:val="left" w:pos="965"/>
                <w:tab w:val="left" w:pos="1440"/>
                <w:tab w:val="left" w:pos="1915"/>
                <w:tab w:val="left" w:pos="2405"/>
              </w:tabs>
              <w:spacing w:after="120"/>
              <w:jc w:val="right"/>
              <w:rPr>
                <w:sz w:val="17"/>
              </w:rPr>
            </w:pPr>
            <w:r>
              <w:rPr>
                <w:sz w:val="17"/>
              </w:rPr>
              <w:t>X</w:t>
            </w:r>
          </w:p>
        </w:tc>
        <w:tc>
          <w:tcPr>
            <w:tcW w:w="1260" w:type="dxa"/>
          </w:tcPr>
          <w:p w:rsidR="00000000" w:rsidRDefault="00000000">
            <w:pPr>
              <w:tabs>
                <w:tab w:val="left" w:pos="475"/>
                <w:tab w:val="left" w:pos="965"/>
                <w:tab w:val="left" w:pos="1440"/>
                <w:tab w:val="left" w:pos="1915"/>
                <w:tab w:val="left" w:pos="2405"/>
              </w:tabs>
              <w:spacing w:after="120"/>
              <w:jc w:val="right"/>
              <w:rPr>
                <w:sz w:val="17"/>
              </w:rPr>
            </w:pPr>
            <w:r>
              <w:rPr>
                <w:sz w:val="17"/>
              </w:rPr>
              <w:t>X</w:t>
            </w:r>
          </w:p>
        </w:tc>
        <w:tc>
          <w:tcPr>
            <w:tcW w:w="1031" w:type="dxa"/>
          </w:tcPr>
          <w:p w:rsidR="00000000" w:rsidRDefault="00000000">
            <w:pPr>
              <w:tabs>
                <w:tab w:val="left" w:pos="475"/>
                <w:tab w:val="left" w:pos="965"/>
                <w:tab w:val="left" w:pos="1440"/>
                <w:tab w:val="left" w:pos="1915"/>
                <w:tab w:val="left" w:pos="2405"/>
              </w:tabs>
              <w:spacing w:after="120"/>
              <w:jc w:val="right"/>
              <w:rPr>
                <w:sz w:val="17"/>
              </w:rPr>
            </w:pPr>
            <w:r>
              <w:rPr>
                <w:sz w:val="17"/>
              </w:rPr>
              <w:t>14 024</w:t>
            </w:r>
          </w:p>
        </w:tc>
        <w:tc>
          <w:tcPr>
            <w:tcW w:w="1277" w:type="dxa"/>
          </w:tcPr>
          <w:p w:rsidR="00000000" w:rsidRDefault="00000000">
            <w:pPr>
              <w:tabs>
                <w:tab w:val="left" w:pos="475"/>
                <w:tab w:val="left" w:pos="965"/>
                <w:tab w:val="left" w:pos="1440"/>
                <w:tab w:val="left" w:pos="1915"/>
                <w:tab w:val="left" w:pos="2405"/>
              </w:tabs>
              <w:spacing w:after="120"/>
              <w:jc w:val="right"/>
              <w:rPr>
                <w:sz w:val="17"/>
              </w:rPr>
            </w:pPr>
            <w:r>
              <w:rPr>
                <w:sz w:val="17"/>
              </w:rPr>
              <w:t>3 416</w:t>
            </w:r>
          </w:p>
        </w:tc>
      </w:tr>
      <w:tr w:rsidR="00000000">
        <w:tblPrEx>
          <w:tblCellMar>
            <w:top w:w="0" w:type="dxa"/>
            <w:bottom w:w="0" w:type="dxa"/>
          </w:tblCellMar>
        </w:tblPrEx>
        <w:trPr>
          <w:jc w:val="right"/>
        </w:trPr>
        <w:tc>
          <w:tcPr>
            <w:tcW w:w="5045" w:type="dxa"/>
          </w:tcPr>
          <w:p w:rsidR="00000000" w:rsidRDefault="00000000">
            <w:pPr>
              <w:tabs>
                <w:tab w:val="left" w:pos="347"/>
                <w:tab w:val="left" w:pos="965"/>
                <w:tab w:val="left" w:pos="1440"/>
                <w:tab w:val="left" w:pos="1915"/>
                <w:tab w:val="left" w:pos="2405"/>
              </w:tabs>
              <w:spacing w:after="120"/>
              <w:rPr>
                <w:sz w:val="17"/>
              </w:rPr>
            </w:pPr>
            <w:r>
              <w:rPr>
                <w:sz w:val="17"/>
              </w:rPr>
              <w:t>Amount paid to persons in rural areas (millions of tenge)</w:t>
            </w:r>
          </w:p>
        </w:tc>
        <w:tc>
          <w:tcPr>
            <w:tcW w:w="1260" w:type="dxa"/>
          </w:tcPr>
          <w:p w:rsidR="00000000" w:rsidRDefault="00000000">
            <w:pPr>
              <w:tabs>
                <w:tab w:val="left" w:pos="475"/>
                <w:tab w:val="left" w:pos="965"/>
                <w:tab w:val="left" w:pos="1440"/>
                <w:tab w:val="left" w:pos="1915"/>
                <w:tab w:val="left" w:pos="2405"/>
              </w:tabs>
              <w:spacing w:after="120"/>
              <w:jc w:val="right"/>
              <w:rPr>
                <w:sz w:val="17"/>
              </w:rPr>
            </w:pPr>
            <w:r>
              <w:rPr>
                <w:sz w:val="17"/>
              </w:rPr>
              <w:t>X</w:t>
            </w:r>
          </w:p>
        </w:tc>
        <w:tc>
          <w:tcPr>
            <w:tcW w:w="1260" w:type="dxa"/>
          </w:tcPr>
          <w:p w:rsidR="00000000" w:rsidRDefault="00000000">
            <w:pPr>
              <w:tabs>
                <w:tab w:val="left" w:pos="475"/>
                <w:tab w:val="left" w:pos="965"/>
                <w:tab w:val="left" w:pos="1440"/>
                <w:tab w:val="left" w:pos="1915"/>
                <w:tab w:val="left" w:pos="2405"/>
              </w:tabs>
              <w:spacing w:after="120"/>
              <w:jc w:val="right"/>
              <w:rPr>
                <w:sz w:val="17"/>
              </w:rPr>
            </w:pPr>
            <w:r>
              <w:rPr>
                <w:sz w:val="17"/>
              </w:rPr>
              <w:t>X</w:t>
            </w:r>
          </w:p>
        </w:tc>
        <w:tc>
          <w:tcPr>
            <w:tcW w:w="1031" w:type="dxa"/>
          </w:tcPr>
          <w:p w:rsidR="00000000" w:rsidRDefault="00000000">
            <w:pPr>
              <w:tabs>
                <w:tab w:val="left" w:pos="475"/>
                <w:tab w:val="left" w:pos="965"/>
                <w:tab w:val="left" w:pos="1440"/>
                <w:tab w:val="left" w:pos="1915"/>
                <w:tab w:val="left" w:pos="2405"/>
              </w:tabs>
              <w:spacing w:after="120"/>
              <w:jc w:val="right"/>
              <w:rPr>
                <w:sz w:val="17"/>
              </w:rPr>
            </w:pPr>
            <w:r>
              <w:rPr>
                <w:sz w:val="17"/>
              </w:rPr>
              <w:t>5 836</w:t>
            </w:r>
          </w:p>
        </w:tc>
        <w:tc>
          <w:tcPr>
            <w:tcW w:w="1277" w:type="dxa"/>
          </w:tcPr>
          <w:p w:rsidR="00000000" w:rsidRDefault="00000000">
            <w:pPr>
              <w:tabs>
                <w:tab w:val="left" w:pos="475"/>
                <w:tab w:val="left" w:pos="965"/>
                <w:tab w:val="left" w:pos="1440"/>
                <w:tab w:val="left" w:pos="1915"/>
                <w:tab w:val="left" w:pos="2405"/>
              </w:tabs>
              <w:spacing w:after="120"/>
              <w:jc w:val="right"/>
              <w:rPr>
                <w:sz w:val="17"/>
              </w:rPr>
            </w:pPr>
            <w:r>
              <w:rPr>
                <w:sz w:val="17"/>
              </w:rPr>
              <w:t>1 524</w:t>
            </w:r>
          </w:p>
        </w:tc>
      </w:tr>
      <w:tr w:rsidR="00000000">
        <w:tblPrEx>
          <w:tblCellMar>
            <w:top w:w="0" w:type="dxa"/>
            <w:bottom w:w="0" w:type="dxa"/>
          </w:tblCellMar>
        </w:tblPrEx>
        <w:trPr>
          <w:jc w:val="right"/>
        </w:trPr>
        <w:tc>
          <w:tcPr>
            <w:tcW w:w="5045" w:type="dxa"/>
          </w:tcPr>
          <w:p w:rsidR="00000000" w:rsidRDefault="00000000">
            <w:pPr>
              <w:tabs>
                <w:tab w:val="left" w:pos="347"/>
                <w:tab w:val="left" w:pos="965"/>
                <w:tab w:val="left" w:pos="1440"/>
                <w:tab w:val="left" w:pos="1915"/>
                <w:tab w:val="left" w:pos="2405"/>
              </w:tabs>
              <w:spacing w:after="120"/>
              <w:rPr>
                <w:sz w:val="17"/>
              </w:rPr>
            </w:pPr>
            <w:r>
              <w:rPr>
                <w:sz w:val="17"/>
              </w:rPr>
              <w:t>Average amount of benefits (tenge)</w:t>
            </w:r>
          </w:p>
        </w:tc>
        <w:tc>
          <w:tcPr>
            <w:tcW w:w="1260" w:type="dxa"/>
          </w:tcPr>
          <w:p w:rsidR="00000000" w:rsidRDefault="00000000">
            <w:pPr>
              <w:tabs>
                <w:tab w:val="left" w:pos="475"/>
                <w:tab w:val="left" w:pos="965"/>
                <w:tab w:val="left" w:pos="1440"/>
                <w:tab w:val="left" w:pos="1915"/>
                <w:tab w:val="left" w:pos="2405"/>
              </w:tabs>
              <w:spacing w:after="120"/>
              <w:jc w:val="right"/>
              <w:rPr>
                <w:sz w:val="17"/>
              </w:rPr>
            </w:pPr>
            <w:r>
              <w:rPr>
                <w:sz w:val="17"/>
              </w:rPr>
              <w:t>X</w:t>
            </w:r>
          </w:p>
        </w:tc>
        <w:tc>
          <w:tcPr>
            <w:tcW w:w="1260" w:type="dxa"/>
          </w:tcPr>
          <w:p w:rsidR="00000000" w:rsidRDefault="00000000">
            <w:pPr>
              <w:tabs>
                <w:tab w:val="left" w:pos="475"/>
                <w:tab w:val="left" w:pos="965"/>
                <w:tab w:val="left" w:pos="1440"/>
                <w:tab w:val="left" w:pos="1915"/>
                <w:tab w:val="left" w:pos="2405"/>
              </w:tabs>
              <w:spacing w:after="120"/>
              <w:jc w:val="right"/>
              <w:rPr>
                <w:sz w:val="17"/>
              </w:rPr>
            </w:pPr>
            <w:r>
              <w:rPr>
                <w:sz w:val="17"/>
              </w:rPr>
              <w:t>X</w:t>
            </w:r>
          </w:p>
        </w:tc>
        <w:tc>
          <w:tcPr>
            <w:tcW w:w="1031" w:type="dxa"/>
          </w:tcPr>
          <w:p w:rsidR="00000000" w:rsidRDefault="00000000">
            <w:pPr>
              <w:tabs>
                <w:tab w:val="left" w:pos="475"/>
                <w:tab w:val="left" w:pos="965"/>
                <w:tab w:val="left" w:pos="1440"/>
                <w:tab w:val="left" w:pos="1915"/>
                <w:tab w:val="left" w:pos="2405"/>
              </w:tabs>
              <w:spacing w:after="120"/>
              <w:jc w:val="right"/>
              <w:rPr>
                <w:sz w:val="17"/>
              </w:rPr>
            </w:pPr>
            <w:r>
              <w:rPr>
                <w:sz w:val="17"/>
              </w:rPr>
              <w:t>3 187</w:t>
            </w:r>
          </w:p>
        </w:tc>
        <w:tc>
          <w:tcPr>
            <w:tcW w:w="1277" w:type="dxa"/>
          </w:tcPr>
          <w:p w:rsidR="00000000" w:rsidRDefault="00000000">
            <w:pPr>
              <w:tabs>
                <w:tab w:val="left" w:pos="475"/>
                <w:tab w:val="left" w:pos="965"/>
                <w:tab w:val="left" w:pos="1440"/>
                <w:tab w:val="left" w:pos="1915"/>
                <w:tab w:val="left" w:pos="2405"/>
              </w:tabs>
              <w:spacing w:after="120"/>
              <w:jc w:val="right"/>
              <w:rPr>
                <w:sz w:val="17"/>
              </w:rPr>
            </w:pPr>
            <w:r>
              <w:rPr>
                <w:sz w:val="17"/>
              </w:rPr>
              <w:t>3 190</w:t>
            </w:r>
          </w:p>
        </w:tc>
      </w:tr>
      <w:tr w:rsidR="00000000">
        <w:tblPrEx>
          <w:tblCellMar>
            <w:top w:w="0" w:type="dxa"/>
            <w:bottom w:w="0" w:type="dxa"/>
          </w:tblCellMar>
        </w:tblPrEx>
        <w:trPr>
          <w:jc w:val="right"/>
        </w:trPr>
        <w:tc>
          <w:tcPr>
            <w:tcW w:w="5045" w:type="dxa"/>
          </w:tcPr>
          <w:p w:rsidR="00000000" w:rsidRDefault="00000000">
            <w:pPr>
              <w:tabs>
                <w:tab w:val="left" w:pos="347"/>
                <w:tab w:val="left" w:pos="965"/>
                <w:tab w:val="left" w:pos="1440"/>
                <w:tab w:val="left" w:pos="1915"/>
                <w:tab w:val="left" w:pos="2405"/>
              </w:tabs>
              <w:spacing w:after="120"/>
              <w:rPr>
                <w:sz w:val="17"/>
              </w:rPr>
            </w:pPr>
            <w:r>
              <w:rPr>
                <w:sz w:val="17"/>
              </w:rPr>
              <w:t>Average amount paid to persons in rural areas (tenge)</w:t>
            </w:r>
          </w:p>
        </w:tc>
        <w:tc>
          <w:tcPr>
            <w:tcW w:w="1260" w:type="dxa"/>
          </w:tcPr>
          <w:p w:rsidR="00000000" w:rsidRDefault="00000000">
            <w:pPr>
              <w:tabs>
                <w:tab w:val="left" w:pos="475"/>
                <w:tab w:val="left" w:pos="965"/>
                <w:tab w:val="left" w:pos="1440"/>
                <w:tab w:val="left" w:pos="1915"/>
                <w:tab w:val="left" w:pos="2405"/>
              </w:tabs>
              <w:spacing w:after="120"/>
              <w:jc w:val="right"/>
              <w:rPr>
                <w:sz w:val="17"/>
              </w:rPr>
            </w:pPr>
            <w:r>
              <w:rPr>
                <w:sz w:val="17"/>
              </w:rPr>
              <w:t>X</w:t>
            </w:r>
          </w:p>
        </w:tc>
        <w:tc>
          <w:tcPr>
            <w:tcW w:w="1260" w:type="dxa"/>
          </w:tcPr>
          <w:p w:rsidR="00000000" w:rsidRDefault="00000000">
            <w:pPr>
              <w:tabs>
                <w:tab w:val="left" w:pos="475"/>
                <w:tab w:val="left" w:pos="965"/>
                <w:tab w:val="left" w:pos="1440"/>
                <w:tab w:val="left" w:pos="1915"/>
                <w:tab w:val="left" w:pos="2405"/>
              </w:tabs>
              <w:spacing w:after="120"/>
              <w:jc w:val="right"/>
              <w:rPr>
                <w:sz w:val="17"/>
              </w:rPr>
            </w:pPr>
            <w:r>
              <w:rPr>
                <w:sz w:val="17"/>
              </w:rPr>
              <w:t>X</w:t>
            </w:r>
          </w:p>
        </w:tc>
        <w:tc>
          <w:tcPr>
            <w:tcW w:w="1031" w:type="dxa"/>
          </w:tcPr>
          <w:p w:rsidR="00000000" w:rsidRDefault="00000000">
            <w:pPr>
              <w:tabs>
                <w:tab w:val="left" w:pos="475"/>
                <w:tab w:val="left" w:pos="965"/>
                <w:tab w:val="left" w:pos="1440"/>
                <w:tab w:val="left" w:pos="1915"/>
                <w:tab w:val="left" w:pos="2405"/>
              </w:tabs>
              <w:spacing w:after="120"/>
              <w:jc w:val="right"/>
              <w:rPr>
                <w:sz w:val="17"/>
              </w:rPr>
            </w:pPr>
            <w:r>
              <w:rPr>
                <w:sz w:val="17"/>
              </w:rPr>
              <w:t>3 134</w:t>
            </w:r>
          </w:p>
        </w:tc>
        <w:tc>
          <w:tcPr>
            <w:tcW w:w="1277" w:type="dxa"/>
          </w:tcPr>
          <w:p w:rsidR="00000000" w:rsidRDefault="00000000">
            <w:pPr>
              <w:tabs>
                <w:tab w:val="left" w:pos="475"/>
                <w:tab w:val="left" w:pos="965"/>
                <w:tab w:val="left" w:pos="1440"/>
                <w:tab w:val="left" w:pos="1915"/>
                <w:tab w:val="left" w:pos="2405"/>
              </w:tabs>
              <w:spacing w:after="120"/>
              <w:jc w:val="right"/>
              <w:rPr>
                <w:sz w:val="17"/>
              </w:rPr>
            </w:pPr>
            <w:r>
              <w:rPr>
                <w:sz w:val="17"/>
              </w:rPr>
              <w:t>3 147</w:t>
            </w:r>
          </w:p>
        </w:tc>
      </w:tr>
      <w:tr w:rsidR="00000000">
        <w:tblPrEx>
          <w:tblCellMar>
            <w:top w:w="0" w:type="dxa"/>
            <w:bottom w:w="0" w:type="dxa"/>
          </w:tblCellMar>
        </w:tblPrEx>
        <w:trPr>
          <w:jc w:val="right"/>
        </w:trPr>
        <w:tc>
          <w:tcPr>
            <w:tcW w:w="5045" w:type="dxa"/>
          </w:tcPr>
          <w:p w:rsidR="00000000" w:rsidRDefault="00000000">
            <w:pPr>
              <w:tabs>
                <w:tab w:val="left" w:pos="347"/>
                <w:tab w:val="left" w:pos="965"/>
                <w:tab w:val="left" w:pos="1440"/>
                <w:tab w:val="left" w:pos="1915"/>
                <w:tab w:val="left" w:pos="2405"/>
              </w:tabs>
              <w:spacing w:after="120"/>
              <w:rPr>
                <w:sz w:val="17"/>
              </w:rPr>
            </w:pPr>
            <w:r>
              <w:rPr>
                <w:b/>
                <w:sz w:val="17"/>
              </w:rPr>
              <w:t>3.</w:t>
            </w:r>
            <w:r>
              <w:rPr>
                <w:b/>
                <w:sz w:val="17"/>
              </w:rPr>
              <w:tab/>
              <w:t>Benefits paid from local budgets</w:t>
            </w:r>
            <w:r>
              <w:rPr>
                <w:sz w:val="17"/>
              </w:rPr>
              <w:t>*</w:t>
            </w:r>
          </w:p>
        </w:tc>
        <w:tc>
          <w:tcPr>
            <w:tcW w:w="1260" w:type="dxa"/>
          </w:tcPr>
          <w:p w:rsidR="00000000" w:rsidRDefault="00000000">
            <w:pPr>
              <w:tabs>
                <w:tab w:val="left" w:pos="475"/>
                <w:tab w:val="left" w:pos="965"/>
                <w:tab w:val="left" w:pos="1440"/>
                <w:tab w:val="left" w:pos="1915"/>
                <w:tab w:val="left" w:pos="2405"/>
              </w:tabs>
              <w:spacing w:after="120"/>
              <w:jc w:val="right"/>
              <w:rPr>
                <w:sz w:val="17"/>
              </w:rPr>
            </w:pPr>
          </w:p>
        </w:tc>
        <w:tc>
          <w:tcPr>
            <w:tcW w:w="1260" w:type="dxa"/>
          </w:tcPr>
          <w:p w:rsidR="00000000" w:rsidRDefault="00000000">
            <w:pPr>
              <w:tabs>
                <w:tab w:val="left" w:pos="475"/>
                <w:tab w:val="left" w:pos="965"/>
                <w:tab w:val="left" w:pos="1440"/>
                <w:tab w:val="left" w:pos="1915"/>
                <w:tab w:val="left" w:pos="2405"/>
              </w:tabs>
              <w:spacing w:after="120"/>
              <w:jc w:val="right"/>
              <w:rPr>
                <w:sz w:val="17"/>
              </w:rPr>
            </w:pPr>
          </w:p>
        </w:tc>
        <w:tc>
          <w:tcPr>
            <w:tcW w:w="1031" w:type="dxa"/>
          </w:tcPr>
          <w:p w:rsidR="00000000" w:rsidRDefault="00000000">
            <w:pPr>
              <w:tabs>
                <w:tab w:val="left" w:pos="475"/>
                <w:tab w:val="left" w:pos="965"/>
                <w:tab w:val="left" w:pos="1440"/>
                <w:tab w:val="left" w:pos="1915"/>
                <w:tab w:val="left" w:pos="2405"/>
              </w:tabs>
              <w:spacing w:after="120"/>
              <w:jc w:val="right"/>
              <w:rPr>
                <w:sz w:val="17"/>
              </w:rPr>
            </w:pPr>
          </w:p>
        </w:tc>
        <w:tc>
          <w:tcPr>
            <w:tcW w:w="1277" w:type="dxa"/>
          </w:tcPr>
          <w:p w:rsidR="00000000" w:rsidRDefault="00000000">
            <w:pPr>
              <w:tabs>
                <w:tab w:val="left" w:pos="475"/>
                <w:tab w:val="left" w:pos="965"/>
                <w:tab w:val="left" w:pos="1440"/>
                <w:tab w:val="left" w:pos="1915"/>
                <w:tab w:val="left" w:pos="2405"/>
              </w:tabs>
              <w:spacing w:after="120"/>
              <w:jc w:val="right"/>
              <w:rPr>
                <w:sz w:val="17"/>
              </w:rPr>
            </w:pPr>
          </w:p>
        </w:tc>
      </w:tr>
      <w:tr w:rsidR="00000000">
        <w:tblPrEx>
          <w:tblCellMar>
            <w:top w:w="0" w:type="dxa"/>
            <w:bottom w:w="0" w:type="dxa"/>
          </w:tblCellMar>
        </w:tblPrEx>
        <w:trPr>
          <w:jc w:val="right"/>
        </w:trPr>
        <w:tc>
          <w:tcPr>
            <w:tcW w:w="5045" w:type="dxa"/>
          </w:tcPr>
          <w:p w:rsidR="00000000" w:rsidRDefault="00000000">
            <w:pPr>
              <w:tabs>
                <w:tab w:val="left" w:pos="347"/>
                <w:tab w:val="left" w:pos="965"/>
                <w:tab w:val="left" w:pos="1440"/>
                <w:tab w:val="left" w:pos="1915"/>
                <w:tab w:val="left" w:pos="2405"/>
              </w:tabs>
              <w:spacing w:after="120"/>
              <w:rPr>
                <w:sz w:val="17"/>
              </w:rPr>
            </w:pPr>
            <w:r>
              <w:rPr>
                <w:sz w:val="17"/>
              </w:rPr>
              <w:t>Number of persons receiving benefits</w:t>
            </w:r>
          </w:p>
        </w:tc>
        <w:tc>
          <w:tcPr>
            <w:tcW w:w="1260" w:type="dxa"/>
          </w:tcPr>
          <w:p w:rsidR="00000000" w:rsidRDefault="00000000">
            <w:pPr>
              <w:tabs>
                <w:tab w:val="left" w:pos="475"/>
                <w:tab w:val="left" w:pos="965"/>
                <w:tab w:val="left" w:pos="1440"/>
                <w:tab w:val="left" w:pos="1915"/>
                <w:tab w:val="left" w:pos="2405"/>
              </w:tabs>
              <w:spacing w:after="120"/>
              <w:jc w:val="right"/>
              <w:rPr>
                <w:sz w:val="17"/>
              </w:rPr>
            </w:pPr>
            <w:r>
              <w:rPr>
                <w:sz w:val="17"/>
              </w:rPr>
              <w:t>1 655 242</w:t>
            </w:r>
          </w:p>
        </w:tc>
        <w:tc>
          <w:tcPr>
            <w:tcW w:w="1260" w:type="dxa"/>
          </w:tcPr>
          <w:p w:rsidR="00000000" w:rsidRDefault="00000000">
            <w:pPr>
              <w:tabs>
                <w:tab w:val="left" w:pos="475"/>
                <w:tab w:val="left" w:pos="965"/>
                <w:tab w:val="left" w:pos="1440"/>
                <w:tab w:val="left" w:pos="1915"/>
                <w:tab w:val="left" w:pos="2405"/>
              </w:tabs>
              <w:spacing w:after="120"/>
              <w:jc w:val="right"/>
              <w:rPr>
                <w:sz w:val="17"/>
              </w:rPr>
            </w:pPr>
            <w:r>
              <w:rPr>
                <w:sz w:val="17"/>
              </w:rPr>
              <w:t>1 235 763</w:t>
            </w:r>
          </w:p>
        </w:tc>
        <w:tc>
          <w:tcPr>
            <w:tcW w:w="1031" w:type="dxa"/>
          </w:tcPr>
          <w:p w:rsidR="00000000" w:rsidRDefault="00000000">
            <w:pPr>
              <w:tabs>
                <w:tab w:val="left" w:pos="475"/>
                <w:tab w:val="left" w:pos="965"/>
                <w:tab w:val="left" w:pos="1440"/>
                <w:tab w:val="left" w:pos="1915"/>
                <w:tab w:val="left" w:pos="2405"/>
              </w:tabs>
              <w:spacing w:after="120"/>
              <w:jc w:val="right"/>
              <w:rPr>
                <w:sz w:val="17"/>
              </w:rPr>
            </w:pPr>
            <w:r>
              <w:rPr>
                <w:sz w:val="17"/>
              </w:rPr>
              <w:t>926 120</w:t>
            </w:r>
          </w:p>
        </w:tc>
        <w:tc>
          <w:tcPr>
            <w:tcW w:w="1277" w:type="dxa"/>
          </w:tcPr>
          <w:p w:rsidR="00000000" w:rsidRDefault="00000000">
            <w:pPr>
              <w:tabs>
                <w:tab w:val="left" w:pos="475"/>
                <w:tab w:val="left" w:pos="965"/>
                <w:tab w:val="left" w:pos="1440"/>
                <w:tab w:val="left" w:pos="1915"/>
                <w:tab w:val="left" w:pos="2405"/>
              </w:tabs>
              <w:spacing w:after="120"/>
              <w:jc w:val="right"/>
              <w:rPr>
                <w:sz w:val="17"/>
              </w:rPr>
            </w:pPr>
            <w:r>
              <w:rPr>
                <w:sz w:val="17"/>
              </w:rPr>
              <w:t>398 713</w:t>
            </w:r>
          </w:p>
        </w:tc>
      </w:tr>
      <w:tr w:rsidR="00000000">
        <w:tblPrEx>
          <w:tblCellMar>
            <w:top w:w="0" w:type="dxa"/>
            <w:bottom w:w="0" w:type="dxa"/>
          </w:tblCellMar>
        </w:tblPrEx>
        <w:trPr>
          <w:jc w:val="right"/>
        </w:trPr>
        <w:tc>
          <w:tcPr>
            <w:tcW w:w="5045" w:type="dxa"/>
            <w:tcBorders>
              <w:bottom w:val="single" w:sz="12" w:space="0" w:color="auto"/>
            </w:tcBorders>
          </w:tcPr>
          <w:p w:rsidR="00000000" w:rsidRDefault="00000000">
            <w:pPr>
              <w:tabs>
                <w:tab w:val="left" w:pos="347"/>
                <w:tab w:val="left" w:pos="965"/>
                <w:tab w:val="left" w:pos="1440"/>
                <w:tab w:val="left" w:pos="1915"/>
                <w:tab w:val="left" w:pos="2405"/>
              </w:tabs>
              <w:spacing w:after="120"/>
              <w:rPr>
                <w:sz w:val="17"/>
              </w:rPr>
            </w:pPr>
            <w:r>
              <w:rPr>
                <w:sz w:val="17"/>
              </w:rPr>
              <w:t>Amount of benefits (millions of tenge)</w:t>
            </w:r>
          </w:p>
        </w:tc>
        <w:tc>
          <w:tcPr>
            <w:tcW w:w="1260" w:type="dxa"/>
            <w:tcBorders>
              <w:bottom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7 100</w:t>
            </w:r>
          </w:p>
        </w:tc>
        <w:tc>
          <w:tcPr>
            <w:tcW w:w="1260" w:type="dxa"/>
            <w:tcBorders>
              <w:bottom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9 227.4</w:t>
            </w:r>
          </w:p>
        </w:tc>
        <w:tc>
          <w:tcPr>
            <w:tcW w:w="1031" w:type="dxa"/>
            <w:tcBorders>
              <w:bottom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8 290</w:t>
            </w:r>
          </w:p>
        </w:tc>
        <w:tc>
          <w:tcPr>
            <w:tcW w:w="1277" w:type="dxa"/>
            <w:tcBorders>
              <w:bottom w:val="single" w:sz="12" w:space="0" w:color="auto"/>
            </w:tcBorders>
          </w:tcPr>
          <w:p w:rsidR="00000000" w:rsidRDefault="00000000">
            <w:pPr>
              <w:tabs>
                <w:tab w:val="left" w:pos="475"/>
                <w:tab w:val="left" w:pos="965"/>
                <w:tab w:val="left" w:pos="1440"/>
                <w:tab w:val="left" w:pos="1915"/>
                <w:tab w:val="left" w:pos="2405"/>
              </w:tabs>
              <w:spacing w:after="120"/>
              <w:jc w:val="right"/>
              <w:rPr>
                <w:sz w:val="17"/>
              </w:rPr>
            </w:pPr>
            <w:r>
              <w:rPr>
                <w:sz w:val="17"/>
              </w:rPr>
              <w:t>1 120</w:t>
            </w:r>
          </w:p>
        </w:tc>
      </w:tr>
    </w:tbl>
    <w:p w:rsidR="00000000" w:rsidRDefault="00000000">
      <w:pPr>
        <w:pStyle w:val="D12r"/>
      </w:pPr>
    </w:p>
    <w:p w:rsidR="00000000" w:rsidRDefault="00000000">
      <w:pPr>
        <w:tabs>
          <w:tab w:val="left" w:pos="475"/>
          <w:tab w:val="left" w:pos="965"/>
          <w:tab w:val="left" w:pos="1440"/>
          <w:tab w:val="left" w:pos="1915"/>
          <w:tab w:val="left" w:pos="2405"/>
        </w:tabs>
        <w:spacing w:after="120" w:line="200" w:lineRule="exact"/>
        <w:ind w:left="475" w:right="490" w:hanging="475"/>
        <w:rPr>
          <w:sz w:val="17"/>
        </w:rPr>
      </w:pPr>
      <w:r>
        <w:rPr>
          <w:sz w:val="17"/>
        </w:rPr>
        <w:t xml:space="preserve">       *</w:t>
      </w:r>
      <w:r>
        <w:rPr>
          <w:sz w:val="17"/>
        </w:rPr>
        <w:tab/>
        <w:t>Including benefits paid to families with children, to unemployed mothers of large families with four or more children under the age of seven, to single mothers, to families with disabled children, to children suffering from AIDS and to children of non-career military servicemen.</w:t>
      </w:r>
    </w:p>
    <w:p w:rsidR="00000000" w:rsidRDefault="00000000">
      <w:pPr>
        <w:tabs>
          <w:tab w:val="left" w:pos="475"/>
          <w:tab w:val="left" w:pos="965"/>
          <w:tab w:val="left" w:pos="1440"/>
          <w:tab w:val="left" w:pos="1915"/>
          <w:tab w:val="left" w:pos="2405"/>
        </w:tabs>
        <w:spacing w:after="120"/>
        <w:jc w:val="both"/>
        <w:sectPr w:rsidR="00000000">
          <w:type w:val="continuous"/>
          <w:pgSz w:w="12240" w:h="15840"/>
          <w:pgMar w:top="1742" w:right="1195" w:bottom="1901" w:left="1195" w:header="576" w:footer="1037" w:gutter="0"/>
          <w:cols w:space="720"/>
          <w:docGrid w:linePitch="360"/>
        </w:sectPr>
      </w:pPr>
    </w:p>
    <w:p w:rsidR="00000000" w:rsidRDefault="00000000">
      <w:pPr>
        <w:tabs>
          <w:tab w:val="left" w:pos="475"/>
          <w:tab w:val="left" w:pos="965"/>
          <w:tab w:val="left" w:pos="1440"/>
          <w:tab w:val="left" w:pos="1915"/>
          <w:tab w:val="left" w:pos="2405"/>
        </w:tabs>
        <w:spacing w:after="120"/>
        <w:jc w:val="both"/>
        <w:rPr>
          <w:b/>
        </w:rPr>
      </w:pPr>
      <w:r>
        <w:rPr>
          <w:b/>
        </w:rPr>
        <w:tab/>
        <w:t>Article 5</w:t>
      </w:r>
    </w:p>
    <w:p w:rsidR="00000000" w:rsidRDefault="00000000">
      <w:pPr>
        <w:tabs>
          <w:tab w:val="left" w:pos="475"/>
          <w:tab w:val="left" w:pos="965"/>
          <w:tab w:val="left" w:pos="1440"/>
          <w:tab w:val="left" w:pos="1915"/>
          <w:tab w:val="left" w:pos="2405"/>
        </w:tabs>
        <w:spacing w:after="120"/>
        <w:jc w:val="both"/>
        <w:rPr>
          <w:b/>
        </w:rPr>
      </w:pPr>
      <w:r>
        <w:rPr>
          <w:b/>
        </w:rPr>
        <w:tab/>
        <w:t>States Parties shall take all appropriate measures:</w:t>
      </w:r>
    </w:p>
    <w:p w:rsidR="00000000" w:rsidRDefault="00000000">
      <w:pPr>
        <w:tabs>
          <w:tab w:val="left" w:pos="475"/>
          <w:tab w:val="left" w:pos="965"/>
          <w:tab w:val="left" w:pos="1440"/>
          <w:tab w:val="left" w:pos="1915"/>
          <w:tab w:val="left" w:pos="2405"/>
        </w:tabs>
        <w:spacing w:after="120"/>
        <w:jc w:val="both"/>
        <w:rPr>
          <w:b/>
        </w:rPr>
      </w:pPr>
      <w:r>
        <w:rPr>
          <w:b/>
        </w:rPr>
        <w:tab/>
        <w:t>(a)</w:t>
      </w:r>
      <w:r>
        <w:rPr>
          <w:b/>
        </w:rPr>
        <w:tab/>
        <w:t>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w:t>
      </w:r>
    </w:p>
    <w:p w:rsidR="00000000" w:rsidRDefault="00000000">
      <w:pPr>
        <w:tabs>
          <w:tab w:val="left" w:pos="475"/>
          <w:tab w:val="left" w:pos="965"/>
          <w:tab w:val="left" w:pos="1440"/>
          <w:tab w:val="left" w:pos="1915"/>
          <w:tab w:val="left" w:pos="2405"/>
        </w:tabs>
        <w:spacing w:after="120"/>
        <w:jc w:val="both"/>
        <w:rPr>
          <w:b/>
        </w:rPr>
      </w:pPr>
      <w:r>
        <w:rPr>
          <w:b/>
        </w:rPr>
        <w:tab/>
        <w:t>(b)</w:t>
      </w:r>
      <w:r>
        <w:rPr>
          <w:b/>
        </w:rPr>
        <w:tab/>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rsidR="00000000" w:rsidRDefault="00000000">
      <w:pPr>
        <w:pStyle w:val="D12r"/>
      </w:pPr>
    </w:p>
    <w:p w:rsidR="00000000" w:rsidRDefault="00000000">
      <w:pPr>
        <w:tabs>
          <w:tab w:val="left" w:pos="475"/>
          <w:tab w:val="left" w:pos="965"/>
          <w:tab w:val="left" w:pos="1440"/>
          <w:tab w:val="left" w:pos="1915"/>
          <w:tab w:val="left" w:pos="2405"/>
        </w:tabs>
        <w:spacing w:after="120"/>
        <w:jc w:val="both"/>
      </w:pPr>
      <w:r>
        <w:rPr>
          <w:b/>
        </w:rPr>
        <w:tab/>
        <w:t>(a)</w:t>
      </w:r>
      <w:r>
        <w:rPr>
          <w:b/>
        </w:rPr>
        <w:tab/>
        <w:t>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w:t>
      </w: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pPr>
      <w:r>
        <w:t>73.</w:t>
      </w:r>
      <w:r>
        <w:tab/>
        <w:t>The national plan of action for improving the status of women in the Republic of Kazakhstan — approved by Parliament on 19 July 1999 — envisages the drafting in 2000 of a draft law on advertising, which would prohibit the sexual exploitation of women and the violation of women’s civil rights.</w:t>
      </w:r>
    </w:p>
    <w:p w:rsidR="00000000" w:rsidRDefault="00000000">
      <w:pPr>
        <w:tabs>
          <w:tab w:val="left" w:pos="475"/>
          <w:tab w:val="left" w:pos="965"/>
          <w:tab w:val="left" w:pos="1440"/>
          <w:tab w:val="left" w:pos="1915"/>
          <w:tab w:val="left" w:pos="2405"/>
        </w:tabs>
        <w:spacing w:after="120"/>
        <w:jc w:val="both"/>
      </w:pPr>
      <w:r>
        <w:tab/>
        <w:t>However, the objective laid out in article 16 (a) currently appears unrealistic. The State has lost its ideological influence over the media, culture and — to a certain extent — education. In Kazakhstan, no international programmes for eliminating gender stereotypes in school textbooks, children’s publications and the media are being implemented.</w:t>
      </w:r>
    </w:p>
    <w:p w:rsidR="00000000" w:rsidRDefault="00000000">
      <w:pPr>
        <w:tabs>
          <w:tab w:val="left" w:pos="475"/>
          <w:tab w:val="left" w:pos="965"/>
          <w:tab w:val="left" w:pos="1440"/>
          <w:tab w:val="left" w:pos="1915"/>
          <w:tab w:val="left" w:pos="2405"/>
        </w:tabs>
        <w:spacing w:after="120"/>
        <w:jc w:val="both"/>
      </w:pPr>
      <w:r>
        <w:tab/>
        <w:t>Even the titles of State newspapers for children — targeted at all children — contain sexist language: “druzhnye rebyata” (pals), “ulan” (male youth).</w:t>
      </w:r>
    </w:p>
    <w:p w:rsidR="00000000" w:rsidRDefault="00000000">
      <w:pPr>
        <w:keepNext/>
        <w:keepLines/>
        <w:tabs>
          <w:tab w:val="left" w:pos="475"/>
          <w:tab w:val="left" w:pos="965"/>
          <w:tab w:val="left" w:pos="1440"/>
          <w:tab w:val="left" w:pos="1915"/>
          <w:tab w:val="left" w:pos="2405"/>
        </w:tabs>
        <w:spacing w:after="120"/>
        <w:jc w:val="both"/>
      </w:pPr>
      <w:r>
        <w:tab/>
        <w:t>Women’s organizations consider the use of the terms “grazhdanin” (male citizen) and “grazhdane” (male citizens) in legislation — including the Constitution — to be highly sexist and lacking in gender awareness. For example, article 30 of the Constitution reads:</w:t>
      </w:r>
    </w:p>
    <w:p w:rsidR="00000000" w:rsidRDefault="00000000">
      <w:pPr>
        <w:tabs>
          <w:tab w:val="left" w:pos="475"/>
          <w:tab w:val="left" w:pos="965"/>
          <w:tab w:val="left" w:pos="1440"/>
          <w:tab w:val="left" w:pos="1915"/>
          <w:tab w:val="left" w:pos="2405"/>
        </w:tabs>
        <w:spacing w:after="120"/>
        <w:ind w:left="475" w:hanging="475"/>
        <w:jc w:val="both"/>
      </w:pPr>
      <w:r>
        <w:tab/>
        <w:t>1.</w:t>
      </w:r>
      <w:r>
        <w:tab/>
      </w:r>
      <w:r>
        <w:rPr>
          <w:i/>
        </w:rPr>
        <w:t>(Male) citizens</w:t>
      </w:r>
      <w:r>
        <w:t xml:space="preserve"> (grazhdane) are guaranteed free secondary education in State education establishments. Secondary education is compulsory.</w:t>
      </w:r>
    </w:p>
    <w:p w:rsidR="00000000" w:rsidRDefault="00000000">
      <w:pPr>
        <w:tabs>
          <w:tab w:val="left" w:pos="475"/>
          <w:tab w:val="left" w:pos="965"/>
          <w:tab w:val="left" w:pos="1440"/>
          <w:tab w:val="left" w:pos="1915"/>
          <w:tab w:val="left" w:pos="2405"/>
        </w:tabs>
        <w:spacing w:after="120"/>
        <w:ind w:left="475" w:hanging="475"/>
        <w:jc w:val="both"/>
      </w:pPr>
      <w:r>
        <w:rPr>
          <w:i/>
        </w:rPr>
        <w:tab/>
      </w:r>
      <w:r>
        <w:t>2.</w:t>
      </w:r>
      <w:r>
        <w:tab/>
      </w:r>
      <w:r>
        <w:rPr>
          <w:i/>
        </w:rPr>
        <w:t>A (male) citizen</w:t>
      </w:r>
      <w:r>
        <w:t xml:space="preserve"> (grazhdanin) has the right to free higher education in State higher educational establishments.</w:t>
      </w:r>
    </w:p>
    <w:p w:rsidR="00000000" w:rsidRDefault="00000000">
      <w:pPr>
        <w:pStyle w:val="BodyTextIndent2"/>
        <w:spacing w:after="120"/>
        <w:ind w:left="0" w:firstLine="0"/>
      </w:pPr>
      <w:r>
        <w:t>74.</w:t>
      </w:r>
      <w:r>
        <w:tab/>
        <w:t>Social and cultural stereotypes governing the behaviour of women and men were not raised as an issue until 1994-1995 when the first gender research groups in women’s non-governmental organizations were created.</w:t>
      </w:r>
    </w:p>
    <w:p w:rsidR="00000000" w:rsidRDefault="00000000">
      <w:pPr>
        <w:pStyle w:val="BodyTextIndent2"/>
        <w:spacing w:after="120"/>
        <w:ind w:left="0" w:firstLine="0"/>
      </w:pPr>
      <w:r>
        <w:tab/>
        <w:t>The first specialized course on gender theory was taught at the international relations faculty of Almaty Abay State University from March to June 1999. A course on “gender sociology” is planned for the academic year 1999-2000 at the Al-Farabi Kazakh State University.</w:t>
      </w:r>
    </w:p>
    <w:p w:rsidR="00000000" w:rsidRDefault="00000000">
      <w:pPr>
        <w:pStyle w:val="BodyTextIndent2"/>
        <w:spacing w:after="120"/>
        <w:ind w:left="0" w:firstLine="0"/>
      </w:pPr>
      <w:r>
        <w:tab/>
        <w:t>The teaching of subjects in the humanities from the aspect of gender is hampered by a number of factors, including the lack of appropriately trained lecturers, the absence or shortage of textbooks on the subject, poorly developed methodological resources for courses on gender, the difficulty of introducing gender courses into curricula as a result of the commercialization of higher education, and the lack of motivation of lecturers to take new material on board because of the unsatisfactory remuneration they receive for their work (low salaries).</w:t>
      </w:r>
    </w:p>
    <w:p w:rsidR="00000000" w:rsidRDefault="00000000">
      <w:pPr>
        <w:pStyle w:val="BodyTextIndent2"/>
        <w:spacing w:after="120"/>
        <w:ind w:left="0" w:firstLine="0"/>
      </w:pPr>
      <w:r>
        <w:tab/>
        <w:t>In Kazakhstan, there are nevertheless a number of independent research groups keen to expand the teaching of gender courses to the secondary school level (the Centre for Gender Research at the Institute for Strategic Research, the Feminist League). They see the opening of a gender research department in one of Almaty’s higher education establishments as the best means of institutionalizing gender research.</w:t>
      </w:r>
    </w:p>
    <w:p w:rsidR="00000000" w:rsidRDefault="00000000">
      <w:pPr>
        <w:pStyle w:val="D12r"/>
      </w:pPr>
    </w:p>
    <w:p w:rsidR="00000000" w:rsidRDefault="00000000">
      <w:pPr>
        <w:pStyle w:val="BodyTextIndent2"/>
        <w:keepNext/>
        <w:keepLines/>
        <w:spacing w:after="120"/>
        <w:ind w:left="0" w:firstLine="0"/>
        <w:rPr>
          <w:b/>
        </w:rPr>
      </w:pPr>
      <w:r>
        <w:rPr>
          <w:b/>
        </w:rPr>
        <w:tab/>
        <w:t>(b)</w:t>
      </w:r>
      <w:r>
        <w:rPr>
          <w:b/>
        </w:rPr>
        <w:tab/>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rsidR="00000000" w:rsidRDefault="00000000">
      <w:pPr>
        <w:pStyle w:val="BodyTextIndent2"/>
        <w:keepNext/>
        <w:keepLines/>
        <w:spacing w:after="120"/>
        <w:ind w:left="0" w:firstLine="0"/>
      </w:pPr>
      <w:r>
        <w:t>75.</w:t>
      </w:r>
      <w:r>
        <w:tab/>
        <w:t>The Ministry for Education and Science and the Healthcare Agency of the Republic of Kazakhstan plan to draft legislation on the rights of the child, on ethics and sex education, and on social and special pedagogical support for children and adolescents with disabilities.</w:t>
      </w:r>
    </w:p>
    <w:p w:rsidR="00000000" w:rsidRDefault="00000000">
      <w:pPr>
        <w:pStyle w:val="BodyTextIndent2"/>
        <w:spacing w:after="120"/>
        <w:ind w:left="0" w:firstLine="0"/>
      </w:pPr>
      <w:r>
        <w:tab/>
        <w:t>An educational programme for teenage girls (Izmeneniya — “Change”) was developed in the framework of the nationwide programme “Kazakhstan 2030”.</w:t>
      </w:r>
    </w:p>
    <w:p w:rsidR="00000000" w:rsidRDefault="00000000">
      <w:pPr>
        <w:pStyle w:val="D12r"/>
      </w:pPr>
    </w:p>
    <w:p w:rsidR="00000000" w:rsidRDefault="00000000">
      <w:pPr>
        <w:pStyle w:val="BodyTextIndent2"/>
        <w:spacing w:after="120"/>
        <w:ind w:left="0" w:firstLine="0"/>
        <w:rPr>
          <w:b/>
        </w:rPr>
      </w:pPr>
      <w:r>
        <w:tab/>
      </w:r>
      <w:r>
        <w:rPr>
          <w:b/>
        </w:rPr>
        <w:t>Article 6</w:t>
      </w:r>
    </w:p>
    <w:p w:rsidR="00000000" w:rsidRDefault="00000000">
      <w:pPr>
        <w:pStyle w:val="BodyTextIndent2"/>
        <w:spacing w:after="120"/>
        <w:ind w:left="0" w:firstLine="0"/>
      </w:pPr>
      <w:r>
        <w:rPr>
          <w:b/>
        </w:rPr>
        <w:tab/>
        <w:t>States Parties shall take all appropriate measures, including legislation, to suppress all forms of traffic in women and exploitation of prostitution of women.</w:t>
      </w:r>
    </w:p>
    <w:p w:rsidR="00000000" w:rsidRDefault="00000000">
      <w:pPr>
        <w:pStyle w:val="BodyTextIndent2"/>
        <w:spacing w:after="120"/>
        <w:ind w:left="0" w:firstLine="0"/>
      </w:pPr>
      <w:r>
        <w:t>76.</w:t>
      </w:r>
      <w:r>
        <w:tab/>
        <w:t>The Criminal Code in force until 1 January 1998 contained only one article relating to the elimination of the exploitation of the prostitution of women: “Keeping of brothels and procuring” (article 215-1).</w:t>
      </w:r>
    </w:p>
    <w:p w:rsidR="00000000" w:rsidRDefault="00000000">
      <w:pPr>
        <w:pStyle w:val="BodyTextIndent2"/>
        <w:spacing w:after="120"/>
        <w:ind w:left="0" w:firstLine="0"/>
      </w:pPr>
      <w:r>
        <w:tab/>
        <w:t>The new Criminal Code, which entered into force on 1 January 1998, significantly reduced the maximum punishment for this crime: from five to three years (in the absence of aggravating circumstances), but simultaneously introduced several new articles into Kazakhstan’s legislation. These covered: the recruitment of persons for the purposes of sexual or other exploitation (article 128), which carries a maximum punishment of eight years’ imprisonment; the luring of a minor into prostitution (article 132) — up to three years’ imprisonment; trafficking in minors (article 133) to and from Kazakhstan — up to ten years’ imprisonment; coercion to prostitution (article 270) — up to three years’ imprisonment.</w:t>
      </w:r>
    </w:p>
    <w:p w:rsidR="00000000" w:rsidRDefault="00000000">
      <w:pPr>
        <w:pStyle w:val="BodyTextIndent2"/>
        <w:spacing w:after="120"/>
        <w:ind w:left="0" w:firstLine="0"/>
      </w:pPr>
      <w:r>
        <w:tab/>
        <w:t>As a supplement to the Criminal Code, Parliament adopted resolution No. 862 of 25 June 1999 on the approval of the rules for licensing the attraction of foreign manpower and the export of labour from Kazakhstan, which regulates the licensing of export of manpower and prohibits the organization of sex tourism.</w:t>
      </w:r>
    </w:p>
    <w:p w:rsidR="00000000" w:rsidRDefault="00000000">
      <w:pPr>
        <w:pStyle w:val="BodyTextIndent2"/>
        <w:spacing w:after="120"/>
        <w:ind w:left="0" w:firstLine="0"/>
      </w:pPr>
      <w:r>
        <w:tab/>
        <w:t>Moreover, appropriate instructions have been given to Kazakhstan’s diplomatic missions and consular institutions located in countries where there is a possibility of trafficking in women in order to protect Kazakhstan’s female citizens. If trafficking in Kazakh women takes place, the necessary measures are taken to ensure their return to Kazakhstan.</w:t>
      </w:r>
    </w:p>
    <w:p w:rsidR="00000000" w:rsidRDefault="00000000">
      <w:pPr>
        <w:pStyle w:val="BodyTextIndent2"/>
        <w:spacing w:after="120"/>
        <w:ind w:left="0" w:firstLine="0"/>
      </w:pPr>
      <w:r>
        <w:tab/>
        <w:t>Prostitution as such is considered an administrative offence under the Administrative Offences Code of 22 March 1984 and is subject to caution or fine (article 182-1).</w:t>
      </w:r>
    </w:p>
    <w:p w:rsidR="00000000" w:rsidRDefault="00000000">
      <w:pPr>
        <w:pStyle w:val="BodyTextIndent2"/>
        <w:spacing w:after="120"/>
        <w:ind w:left="0" w:firstLine="0"/>
      </w:pPr>
      <w:r>
        <w:t>77.</w:t>
      </w:r>
      <w:r>
        <w:tab/>
        <w:t>In the first six months of 1999, 45 women were abducted and recruited for sexual or other exploitation, and three individuals were prosecuted for forcing women into prostitution.</w:t>
      </w:r>
    </w:p>
    <w:p w:rsidR="00000000" w:rsidRDefault="00000000">
      <w:pPr>
        <w:pStyle w:val="BodyTextIndent2"/>
        <w:spacing w:after="120"/>
        <w:ind w:left="0" w:firstLine="0"/>
      </w:pPr>
      <w:r>
        <w:tab/>
        <w:t>According to the Ministry for Home Affairs, crimes such as the organization and keeping of brothels for procuring and prostitution are, for the most part, committed by divorced women and unemployed single mothers with dependent children. This type of offence becomes their source of income. In the first six months of 1999, 30 persons were prosecuted for keeping premises for the consumption of narcotic drugs and psychotropic substances, 43 for organizing and keeping brothels for prostitution and procuring, and 12 for the illicit dissemination of pornography and materials promoting cruelty and violence.</w:t>
      </w:r>
    </w:p>
    <w:p w:rsidR="00000000" w:rsidRDefault="00000000">
      <w:pPr>
        <w:pStyle w:val="BodyTextIndent2"/>
        <w:spacing w:after="120"/>
        <w:ind w:left="0" w:firstLine="0"/>
      </w:pPr>
      <w:r>
        <w:tab/>
        <w:t>Kazakhstan is interested in becoming a party to the following international treaties pertaining to questions of slavery, subordination and forced labour:</w:t>
      </w:r>
    </w:p>
    <w:p w:rsidR="00000000" w:rsidRDefault="00000000">
      <w:pPr>
        <w:pStyle w:val="BodyTextIndent2"/>
        <w:tabs>
          <w:tab w:val="left" w:pos="270"/>
        </w:tabs>
        <w:spacing w:after="120"/>
        <w:ind w:left="0" w:firstLine="0"/>
      </w:pPr>
      <w:r>
        <w:tab/>
        <w:t>–</w:t>
      </w:r>
      <w:r>
        <w:tab/>
        <w:t>The 1927 Slavery Convention;</w:t>
      </w:r>
    </w:p>
    <w:p w:rsidR="00000000" w:rsidRDefault="00000000">
      <w:pPr>
        <w:pStyle w:val="BodyTextIndent2"/>
        <w:tabs>
          <w:tab w:val="left" w:pos="270"/>
        </w:tabs>
        <w:spacing w:after="120"/>
        <w:ind w:left="0" w:firstLine="0"/>
      </w:pPr>
      <w:r>
        <w:tab/>
        <w:t>–</w:t>
      </w:r>
      <w:r>
        <w:tab/>
        <w:t>The 1932 Forced Labour Convention;</w:t>
      </w:r>
    </w:p>
    <w:p w:rsidR="00000000" w:rsidRDefault="00000000">
      <w:pPr>
        <w:pStyle w:val="BodyTextIndent2"/>
        <w:tabs>
          <w:tab w:val="left" w:pos="270"/>
        </w:tabs>
        <w:spacing w:after="120"/>
      </w:pPr>
      <w:r>
        <w:tab/>
        <w:t>–</w:t>
      </w:r>
      <w:r>
        <w:tab/>
        <w:t>The 1951 Convention for the Suppression of the Traffic in Persons and of the Exploitation of the Prostitution of Others.</w:t>
      </w:r>
    </w:p>
    <w:p w:rsidR="00000000" w:rsidRDefault="00000000">
      <w:pPr>
        <w:pStyle w:val="BodyTextIndent2"/>
        <w:spacing w:after="120"/>
        <w:ind w:left="0" w:firstLine="0"/>
      </w:pPr>
      <w:r>
        <w:t>The above-mentioned treaties are currently being analysed by the Republic’s Ministries and departments.</w:t>
      </w:r>
    </w:p>
    <w:p w:rsidR="00000000" w:rsidRDefault="00000000">
      <w:pPr>
        <w:pStyle w:val="BodyTextIndent2"/>
        <w:spacing w:after="120"/>
        <w:ind w:left="0" w:firstLine="0"/>
      </w:pPr>
      <w:r>
        <w:tab/>
        <w:t>The procedure governing the signing, ratification and implementation of international treaties is regulated by an order of the President of the Republic of Kazakhstan on the procedure for the conclusion, implementation and denunciation of international treaties of the Republic of Kazakhstan of 12 December 1995, which has the force of law, and by resolution No. 189 of 12 February 1996 of the Government of the Republic of Kazakhstan on the Council of Experts on the Cooperation of the Republic of Kazakhstan with International Organizations, pursuant to which the Republic becomes a party to international treaties following the approval by the Council of Experts of a proposal submitted by the Ministry or department concerned.</w:t>
      </w:r>
    </w:p>
    <w:p w:rsidR="00000000" w:rsidRDefault="00000000">
      <w:pPr>
        <w:pStyle w:val="BodyTextIndent2"/>
        <w:spacing w:after="120"/>
        <w:ind w:left="0" w:firstLine="0"/>
      </w:pPr>
      <w:r>
        <w:tab/>
        <w:t>It is planned that the new draft of the law on tourism being prepared by the Ministry of Transport, Communication and Tourism will include measures to prevent the use of tourism for exploitation for purposes of prostitution.</w:t>
      </w:r>
    </w:p>
    <w:p w:rsidR="00000000" w:rsidRDefault="00000000">
      <w:pPr>
        <w:pStyle w:val="D12r"/>
      </w:pPr>
    </w:p>
    <w:p w:rsidR="00000000" w:rsidRDefault="00000000">
      <w:pPr>
        <w:pStyle w:val="D12r"/>
      </w:pPr>
    </w:p>
    <w:p w:rsidR="00000000" w:rsidRDefault="00000000">
      <w:pPr>
        <w:pStyle w:val="DH1"/>
      </w:pPr>
      <w:r>
        <w:tab/>
        <w:t>Part II</w:t>
      </w:r>
    </w:p>
    <w:p w:rsidR="00000000" w:rsidRDefault="00000000">
      <w:pPr>
        <w:pStyle w:val="D12r"/>
      </w:pPr>
    </w:p>
    <w:p w:rsidR="00000000" w:rsidRDefault="00000000">
      <w:pPr>
        <w:pStyle w:val="BodyTextIndent2"/>
        <w:spacing w:after="120"/>
        <w:ind w:left="0" w:firstLine="0"/>
        <w:rPr>
          <w:b/>
        </w:rPr>
      </w:pPr>
      <w:r>
        <w:tab/>
      </w:r>
      <w:r>
        <w:rPr>
          <w:b/>
        </w:rPr>
        <w:t>Article 7</w:t>
      </w:r>
    </w:p>
    <w:p w:rsidR="00000000" w:rsidRDefault="00000000">
      <w:pPr>
        <w:pStyle w:val="BodyTextIndent2"/>
        <w:spacing w:after="120"/>
        <w:ind w:left="0" w:firstLine="0"/>
        <w:rPr>
          <w:b/>
        </w:rPr>
      </w:pPr>
      <w:r>
        <w:rPr>
          <w:b/>
        </w:rPr>
        <w:tab/>
        <w:t>States Parties shall take all appropriate measures to eliminate discrimination against women in the political and public life of the country and, in particular, shall ensure to women, on equal terms with men, the right:</w:t>
      </w:r>
    </w:p>
    <w:p w:rsidR="00000000" w:rsidRDefault="00000000">
      <w:pPr>
        <w:pStyle w:val="BodyTextIndent2"/>
        <w:spacing w:after="120"/>
        <w:ind w:left="0" w:firstLine="0"/>
        <w:rPr>
          <w:b/>
        </w:rPr>
      </w:pPr>
      <w:r>
        <w:rPr>
          <w:b/>
        </w:rPr>
        <w:tab/>
        <w:t>(a)</w:t>
      </w:r>
      <w:r>
        <w:rPr>
          <w:b/>
        </w:rPr>
        <w:tab/>
        <w:t>To vote in all elections and public referenda and to be eligible for election to all publicly elected bodies;</w:t>
      </w:r>
    </w:p>
    <w:p w:rsidR="00000000" w:rsidRDefault="00000000">
      <w:pPr>
        <w:pStyle w:val="BodyTextIndent2"/>
        <w:spacing w:after="120"/>
        <w:ind w:left="0" w:firstLine="0"/>
        <w:rPr>
          <w:b/>
        </w:rPr>
      </w:pPr>
      <w:r>
        <w:rPr>
          <w:b/>
        </w:rPr>
        <w:tab/>
        <w:t>(b)</w:t>
      </w:r>
      <w:r>
        <w:rPr>
          <w:b/>
        </w:rPr>
        <w:tab/>
        <w:t>To participate in the formulation of government policy and the implementation thereof and to hold public office and perform all public functions at all levels of government;</w:t>
      </w:r>
    </w:p>
    <w:p w:rsidR="00000000" w:rsidRDefault="00000000">
      <w:pPr>
        <w:pStyle w:val="BodyTextIndent2"/>
        <w:spacing w:after="120"/>
        <w:ind w:left="0" w:firstLine="0"/>
      </w:pPr>
      <w:r>
        <w:rPr>
          <w:b/>
        </w:rPr>
        <w:tab/>
        <w:t>(c)</w:t>
      </w:r>
      <w:r>
        <w:rPr>
          <w:b/>
        </w:rPr>
        <w:tab/>
        <w:t>To participate in non-governmental organizations and associations concerned with the public and political life of the country.</w:t>
      </w:r>
    </w:p>
    <w:p w:rsidR="00000000" w:rsidRDefault="00000000">
      <w:pPr>
        <w:pStyle w:val="BodyTextIndent2"/>
        <w:spacing w:after="120"/>
        <w:ind w:left="0" w:firstLine="0"/>
      </w:pPr>
      <w:r>
        <w:t>78.</w:t>
      </w:r>
      <w:r>
        <w:tab/>
        <w:t>According to article 33 of the Constitution, citizens of the Republic of Kazakhstan enjoy the right to participate in the management of State affairs either directly or through their representatives, to vote and to be elected to State bodies and local authorities and to participate in the Republic’s referendum; they also enjoy an equal right to hold public office.</w:t>
      </w:r>
    </w:p>
    <w:p w:rsidR="00000000" w:rsidRDefault="00000000">
      <w:pPr>
        <w:pStyle w:val="D12r"/>
      </w:pPr>
    </w:p>
    <w:p w:rsidR="00000000" w:rsidRDefault="00000000">
      <w:pPr>
        <w:pStyle w:val="BodyTextIndent2"/>
        <w:spacing w:after="120"/>
        <w:ind w:left="0" w:firstLine="0"/>
        <w:rPr>
          <w:b/>
        </w:rPr>
      </w:pPr>
      <w:r>
        <w:rPr>
          <w:b/>
        </w:rPr>
        <w:tab/>
        <w:t>(a)</w:t>
      </w:r>
      <w:r>
        <w:rPr>
          <w:b/>
        </w:rPr>
        <w:tab/>
        <w:t>To vote in all elections and public referenda and to be eligible for election to all publicly elected bodies;</w:t>
      </w:r>
    </w:p>
    <w:p w:rsidR="00000000" w:rsidRDefault="00000000">
      <w:pPr>
        <w:pStyle w:val="BodyTextIndent2"/>
        <w:spacing w:after="120"/>
        <w:ind w:left="0" w:firstLine="0"/>
      </w:pPr>
      <w:r>
        <w:t>79.</w:t>
      </w:r>
      <w:r>
        <w:tab/>
        <w:t>The State guarantees equal rights and opportunities to women and men in respect of their nomination and registration as candidates for the posts of President of the Republic of Kazakhstan, deputies to the Senate and Majilis, for local administrative bodies and in all election campaigns.</w:t>
      </w:r>
    </w:p>
    <w:p w:rsidR="00000000" w:rsidRDefault="00000000">
      <w:pPr>
        <w:pStyle w:val="BodyTextIndent2"/>
        <w:spacing w:after="120"/>
        <w:ind w:left="0" w:firstLine="0"/>
      </w:pPr>
      <w:r>
        <w:tab/>
        <w:t>The constitutional law on elections in the Republic of Kazakhstan strengthened the right of citizens of the Republic of Kazakhstan to participate in elections from the age of 18 years, irrespective of origin, social, professional or property status, sex, race, nationality, language, religious affinity, convictions, place of residence and other circumstances.</w:t>
      </w:r>
    </w:p>
    <w:p w:rsidR="00000000" w:rsidRDefault="00000000">
      <w:pPr>
        <w:pStyle w:val="BodyTextIndent2"/>
        <w:spacing w:after="120"/>
        <w:ind w:left="0" w:firstLine="0"/>
      </w:pPr>
      <w:r>
        <w:t>80.</w:t>
      </w:r>
      <w:r>
        <w:tab/>
        <w:t>On 1 July 1999, the total number of male and female voters was 8,358,450.</w:t>
      </w:r>
    </w:p>
    <w:p w:rsidR="00000000" w:rsidRDefault="00000000">
      <w:pPr>
        <w:pStyle w:val="BodyTextIndent2"/>
        <w:spacing w:after="120"/>
        <w:ind w:left="0" w:firstLine="0"/>
      </w:pPr>
      <w:r>
        <w:tab/>
        <w:t>In  the presidential elections of 10 January 1999, 87 per cent of the electorate took part. The Central Electoral Commission does not maintain a separate count of female voters.</w:t>
      </w:r>
    </w:p>
    <w:p w:rsidR="00000000" w:rsidRDefault="00000000">
      <w:pPr>
        <w:pStyle w:val="BodyTextIndent2"/>
        <w:spacing w:after="120"/>
        <w:ind w:left="0" w:firstLine="0"/>
      </w:pPr>
      <w:r>
        <w:tab/>
        <w:t>According to data provided by the Feminist League NGO, women account for 53 per cent of the electorate.</w:t>
      </w:r>
    </w:p>
    <w:p w:rsidR="00000000" w:rsidRDefault="00000000">
      <w:pPr>
        <w:pStyle w:val="D12r"/>
      </w:pPr>
    </w:p>
    <w:p w:rsidR="00000000" w:rsidRDefault="00000000">
      <w:pPr>
        <w:pStyle w:val="BodyTextIndent2"/>
        <w:spacing w:after="120"/>
        <w:ind w:left="0" w:firstLine="0"/>
        <w:rPr>
          <w:b/>
        </w:rPr>
      </w:pPr>
      <w:r>
        <w:rPr>
          <w:b/>
        </w:rPr>
        <w:tab/>
        <w:t>(b)</w:t>
      </w:r>
      <w:r>
        <w:rPr>
          <w:b/>
        </w:rPr>
        <w:tab/>
        <w:t>To participate in the formulation of government policy and the implementation thereof and to hold public office and perform all public functions at all levels of government;</w:t>
      </w:r>
    </w:p>
    <w:p w:rsidR="00000000" w:rsidRDefault="00000000">
      <w:pPr>
        <w:pStyle w:val="BodyTextIndent2"/>
        <w:spacing w:after="120"/>
        <w:ind w:left="0" w:firstLine="0"/>
      </w:pPr>
      <w:r>
        <w:t>81.</w:t>
      </w:r>
      <w:r>
        <w:tab/>
        <w:t xml:space="preserve">The Government of the Republic of Kazakhstan includes one woman: a minister without portfolio, Chairperson of the National Commission on Family and Women’s Affairs. Four women head State committees and agencies, 10 women are Deputy-Ministers of vice-chairpersons of committees or agencies, five women are deputy </w:t>
      </w:r>
      <w:r>
        <w:rPr>
          <w:i/>
        </w:rPr>
        <w:t>akims</w:t>
      </w:r>
      <w:r>
        <w:t xml:space="preserve"> of regions. One woman has been nominated as a presidential candidate by Kazakhstan’s Academy of Sciences.</w:t>
      </w:r>
    </w:p>
    <w:p w:rsidR="00000000" w:rsidRDefault="00000000">
      <w:pPr>
        <w:pStyle w:val="BodyTextIndent2"/>
        <w:spacing w:after="120"/>
        <w:ind w:left="0" w:firstLine="0"/>
      </w:pPr>
      <w:r>
        <w:tab/>
        <w:t>In the Supreme Court of the Republic, 16 of the 48 judges are women.</w:t>
      </w:r>
    </w:p>
    <w:p w:rsidR="00000000" w:rsidRDefault="00000000">
      <w:pPr>
        <w:pStyle w:val="BodyTextIndent2"/>
        <w:spacing w:after="120"/>
        <w:ind w:left="0" w:firstLine="0"/>
      </w:pPr>
      <w:r>
        <w:tab/>
        <w:t>Four of the seven members of the Central Electoral Commission of the Republic of Kazakhstan are women. Of the 800 members of regional, area and Almaty and Astany town electoral commissions, 30 per cent are women, as are about 50 per cent of the members of divisional electoral commissions.</w:t>
      </w:r>
    </w:p>
    <w:p w:rsidR="00000000" w:rsidRDefault="00000000">
      <w:pPr>
        <w:pStyle w:val="BodyTextIndent2"/>
        <w:spacing w:after="120"/>
        <w:ind w:left="0" w:firstLine="0"/>
      </w:pPr>
      <w:r>
        <w:tab/>
        <w:t>The Ministry of State Revenue fills vacant posts according to whether a candidate meets the qualification requirements. There are no discriminatory provisions.</w:t>
      </w:r>
    </w:p>
    <w:p w:rsidR="00000000" w:rsidRDefault="00000000">
      <w:pPr>
        <w:pStyle w:val="BodyTextIndent2"/>
        <w:spacing w:after="120"/>
        <w:ind w:left="0" w:firstLine="0"/>
      </w:pPr>
      <w:r>
        <w:tab/>
        <w:t>In the Ministry’s central apparatus, women account for over 50 per cent of staff, with one third occupying managerial positions.</w:t>
      </w:r>
    </w:p>
    <w:p w:rsidR="00000000" w:rsidRDefault="00000000">
      <w:pPr>
        <w:pStyle w:val="D12r"/>
      </w:pPr>
    </w:p>
    <w:p w:rsidR="00000000" w:rsidRDefault="00000000">
      <w:pPr>
        <w:pStyle w:val="BodyTextIndent2"/>
        <w:keepNext/>
        <w:keepLines/>
        <w:ind w:left="0" w:firstLine="0"/>
      </w:pPr>
      <w:r>
        <w:t>Table 24</w:t>
      </w:r>
    </w:p>
    <w:p w:rsidR="00000000" w:rsidRDefault="00000000">
      <w:pPr>
        <w:pStyle w:val="BodyTextIndent2"/>
        <w:keepNext/>
        <w:keepLines/>
        <w:spacing w:after="120"/>
        <w:ind w:left="0" w:firstLine="0"/>
        <w:jc w:val="left"/>
        <w:rPr>
          <w:b/>
        </w:rPr>
      </w:pPr>
      <w:r>
        <w:rPr>
          <w:b/>
        </w:rPr>
        <w:t>Information on female staff in the central apparatus of the Ministry of State Revenue (as of 22 July 1999)</w:t>
      </w:r>
    </w:p>
    <w:p w:rsidR="00000000" w:rsidRDefault="00000000">
      <w:pPr>
        <w:pStyle w:val="D12r"/>
        <w:keepNext/>
        <w:keepLines/>
      </w:pPr>
    </w:p>
    <w:tbl>
      <w:tblPr>
        <w:tblW w:w="0" w:type="auto"/>
        <w:tblInd w:w="20" w:type="dxa"/>
        <w:tblLayout w:type="fixed"/>
        <w:tblLook w:val="0000" w:firstRow="0" w:lastRow="0" w:firstColumn="0" w:lastColumn="0" w:noHBand="0" w:noVBand="0"/>
      </w:tblPr>
      <w:tblGrid>
        <w:gridCol w:w="1143"/>
        <w:gridCol w:w="1239"/>
        <w:gridCol w:w="1236"/>
        <w:gridCol w:w="1170"/>
      </w:tblGrid>
      <w:tr w:rsidR="00000000">
        <w:tblPrEx>
          <w:tblCellMar>
            <w:top w:w="0" w:type="dxa"/>
            <w:bottom w:w="0" w:type="dxa"/>
          </w:tblCellMar>
        </w:tblPrEx>
        <w:tc>
          <w:tcPr>
            <w:tcW w:w="1143" w:type="dxa"/>
            <w:tcBorders>
              <w:top w:val="single" w:sz="4" w:space="0" w:color="auto"/>
              <w:bottom w:val="single" w:sz="12" w:space="0" w:color="auto"/>
            </w:tcBorders>
          </w:tcPr>
          <w:p w:rsidR="00000000" w:rsidRDefault="00000000">
            <w:pPr>
              <w:pStyle w:val="BodyTextIndent2"/>
              <w:keepNext/>
              <w:keepLines/>
              <w:ind w:left="0" w:firstLine="0"/>
              <w:jc w:val="right"/>
              <w:rPr>
                <w:i/>
                <w:sz w:val="14"/>
              </w:rPr>
            </w:pPr>
            <w:r>
              <w:rPr>
                <w:i/>
                <w:sz w:val="14"/>
              </w:rPr>
              <w:t>Staffing table</w:t>
            </w:r>
          </w:p>
        </w:tc>
        <w:tc>
          <w:tcPr>
            <w:tcW w:w="1239" w:type="dxa"/>
            <w:tcBorders>
              <w:top w:val="single" w:sz="4" w:space="0" w:color="auto"/>
              <w:bottom w:val="single" w:sz="12" w:space="0" w:color="auto"/>
            </w:tcBorders>
          </w:tcPr>
          <w:p w:rsidR="00000000" w:rsidRDefault="00000000">
            <w:pPr>
              <w:pStyle w:val="BodyTextIndent2"/>
              <w:keepNext/>
              <w:keepLines/>
              <w:ind w:left="0" w:firstLine="0"/>
              <w:jc w:val="right"/>
              <w:rPr>
                <w:i/>
                <w:sz w:val="14"/>
              </w:rPr>
            </w:pPr>
            <w:r>
              <w:rPr>
                <w:i/>
                <w:sz w:val="14"/>
              </w:rPr>
              <w:t>Total currently working</w:t>
            </w:r>
          </w:p>
        </w:tc>
        <w:tc>
          <w:tcPr>
            <w:tcW w:w="1236" w:type="dxa"/>
            <w:tcBorders>
              <w:top w:val="single" w:sz="4" w:space="0" w:color="auto"/>
              <w:bottom w:val="single" w:sz="12" w:space="0" w:color="auto"/>
            </w:tcBorders>
          </w:tcPr>
          <w:p w:rsidR="00000000" w:rsidRDefault="00000000">
            <w:pPr>
              <w:pStyle w:val="BodyTextIndent2"/>
              <w:keepNext/>
              <w:keepLines/>
              <w:ind w:left="0" w:firstLine="0"/>
              <w:jc w:val="right"/>
              <w:rPr>
                <w:i/>
                <w:sz w:val="14"/>
              </w:rPr>
            </w:pPr>
            <w:r>
              <w:rPr>
                <w:i/>
                <w:sz w:val="14"/>
              </w:rPr>
              <w:t>Total number of women</w:t>
            </w:r>
          </w:p>
        </w:tc>
        <w:tc>
          <w:tcPr>
            <w:tcW w:w="1170" w:type="dxa"/>
            <w:tcBorders>
              <w:top w:val="single" w:sz="4" w:space="0" w:color="auto"/>
              <w:bottom w:val="single" w:sz="12" w:space="0" w:color="auto"/>
            </w:tcBorders>
          </w:tcPr>
          <w:p w:rsidR="00000000" w:rsidRDefault="00000000">
            <w:pPr>
              <w:pStyle w:val="BodyTextIndent2"/>
              <w:keepNext/>
              <w:keepLines/>
              <w:ind w:left="0" w:firstLine="0"/>
              <w:jc w:val="right"/>
              <w:rPr>
                <w:i/>
                <w:sz w:val="14"/>
              </w:rPr>
            </w:pPr>
            <w:r>
              <w:rPr>
                <w:i/>
                <w:sz w:val="14"/>
              </w:rPr>
              <w:t>Women in managerial positions</w:t>
            </w:r>
          </w:p>
        </w:tc>
      </w:tr>
      <w:tr w:rsidR="00000000">
        <w:tblPrEx>
          <w:tblCellMar>
            <w:top w:w="0" w:type="dxa"/>
            <w:bottom w:w="0" w:type="dxa"/>
          </w:tblCellMar>
        </w:tblPrEx>
        <w:trPr>
          <w:trHeight w:val="109"/>
        </w:trPr>
        <w:tc>
          <w:tcPr>
            <w:tcW w:w="1143" w:type="dxa"/>
            <w:tcBorders>
              <w:top w:val="single" w:sz="12" w:space="0" w:color="auto"/>
            </w:tcBorders>
            <w:vAlign w:val="bottom"/>
          </w:tcPr>
          <w:p w:rsidR="00000000" w:rsidRDefault="00000000">
            <w:pPr>
              <w:pStyle w:val="BodyTextIndent2"/>
              <w:keepNext/>
              <w:keepLines/>
              <w:spacing w:line="40" w:lineRule="exact"/>
              <w:ind w:left="0" w:firstLine="0"/>
              <w:jc w:val="right"/>
              <w:rPr>
                <w:sz w:val="17"/>
              </w:rPr>
            </w:pPr>
          </w:p>
        </w:tc>
        <w:tc>
          <w:tcPr>
            <w:tcW w:w="1239" w:type="dxa"/>
            <w:tcBorders>
              <w:top w:val="single" w:sz="12" w:space="0" w:color="auto"/>
            </w:tcBorders>
            <w:vAlign w:val="bottom"/>
          </w:tcPr>
          <w:p w:rsidR="00000000" w:rsidRDefault="00000000">
            <w:pPr>
              <w:pStyle w:val="BodyTextIndent2"/>
              <w:keepNext/>
              <w:keepLines/>
              <w:spacing w:line="40" w:lineRule="exact"/>
              <w:ind w:left="0" w:firstLine="0"/>
              <w:jc w:val="right"/>
              <w:rPr>
                <w:sz w:val="17"/>
              </w:rPr>
            </w:pPr>
          </w:p>
        </w:tc>
        <w:tc>
          <w:tcPr>
            <w:tcW w:w="1236" w:type="dxa"/>
            <w:tcBorders>
              <w:top w:val="single" w:sz="12" w:space="0" w:color="auto"/>
            </w:tcBorders>
            <w:vAlign w:val="bottom"/>
          </w:tcPr>
          <w:p w:rsidR="00000000" w:rsidRDefault="00000000">
            <w:pPr>
              <w:pStyle w:val="BodyTextIndent2"/>
              <w:keepNext/>
              <w:keepLines/>
              <w:spacing w:line="40" w:lineRule="exact"/>
              <w:ind w:left="0" w:firstLine="0"/>
              <w:jc w:val="right"/>
              <w:rPr>
                <w:sz w:val="17"/>
              </w:rPr>
            </w:pPr>
          </w:p>
        </w:tc>
        <w:tc>
          <w:tcPr>
            <w:tcW w:w="1170" w:type="dxa"/>
            <w:tcBorders>
              <w:top w:val="single" w:sz="12" w:space="0" w:color="auto"/>
            </w:tcBorders>
            <w:vAlign w:val="bottom"/>
          </w:tcPr>
          <w:p w:rsidR="00000000" w:rsidRDefault="00000000">
            <w:pPr>
              <w:pStyle w:val="BodyTextIndent2"/>
              <w:keepNext/>
              <w:keepLines/>
              <w:spacing w:line="40" w:lineRule="exact"/>
              <w:ind w:left="0" w:firstLine="0"/>
              <w:jc w:val="right"/>
              <w:rPr>
                <w:sz w:val="17"/>
              </w:rPr>
            </w:pPr>
          </w:p>
        </w:tc>
      </w:tr>
      <w:tr w:rsidR="00000000">
        <w:tblPrEx>
          <w:tblCellMar>
            <w:top w:w="0" w:type="dxa"/>
            <w:bottom w:w="0" w:type="dxa"/>
          </w:tblCellMar>
        </w:tblPrEx>
        <w:trPr>
          <w:trHeight w:val="288"/>
        </w:trPr>
        <w:tc>
          <w:tcPr>
            <w:tcW w:w="1143" w:type="dxa"/>
            <w:tcBorders>
              <w:bottom w:val="single" w:sz="12" w:space="0" w:color="auto"/>
            </w:tcBorders>
            <w:vAlign w:val="bottom"/>
          </w:tcPr>
          <w:p w:rsidR="00000000" w:rsidRDefault="00000000">
            <w:pPr>
              <w:pStyle w:val="BodyTextIndent2"/>
              <w:keepNext/>
              <w:keepLines/>
              <w:spacing w:after="120"/>
              <w:ind w:left="0" w:firstLine="0"/>
              <w:jc w:val="right"/>
              <w:rPr>
                <w:sz w:val="17"/>
              </w:rPr>
            </w:pPr>
            <w:r>
              <w:rPr>
                <w:sz w:val="17"/>
              </w:rPr>
              <w:t>230</w:t>
            </w:r>
          </w:p>
        </w:tc>
        <w:tc>
          <w:tcPr>
            <w:tcW w:w="1239" w:type="dxa"/>
            <w:tcBorders>
              <w:bottom w:val="single" w:sz="12" w:space="0" w:color="auto"/>
            </w:tcBorders>
            <w:vAlign w:val="bottom"/>
          </w:tcPr>
          <w:p w:rsidR="00000000" w:rsidRDefault="00000000">
            <w:pPr>
              <w:pStyle w:val="BodyTextIndent2"/>
              <w:keepNext/>
              <w:keepLines/>
              <w:spacing w:after="120"/>
              <w:ind w:left="0" w:firstLine="0"/>
              <w:jc w:val="right"/>
              <w:rPr>
                <w:sz w:val="17"/>
              </w:rPr>
            </w:pPr>
            <w:r>
              <w:rPr>
                <w:sz w:val="17"/>
              </w:rPr>
              <w:t>200</w:t>
            </w:r>
          </w:p>
        </w:tc>
        <w:tc>
          <w:tcPr>
            <w:tcW w:w="1236" w:type="dxa"/>
            <w:tcBorders>
              <w:bottom w:val="single" w:sz="12" w:space="0" w:color="auto"/>
            </w:tcBorders>
            <w:vAlign w:val="bottom"/>
          </w:tcPr>
          <w:p w:rsidR="00000000" w:rsidRDefault="00000000">
            <w:pPr>
              <w:pStyle w:val="BodyTextIndent2"/>
              <w:keepNext/>
              <w:keepLines/>
              <w:spacing w:after="120"/>
              <w:ind w:left="0" w:firstLine="0"/>
              <w:jc w:val="right"/>
              <w:rPr>
                <w:sz w:val="17"/>
              </w:rPr>
            </w:pPr>
            <w:r>
              <w:rPr>
                <w:sz w:val="17"/>
              </w:rPr>
              <w:t>110</w:t>
            </w:r>
          </w:p>
        </w:tc>
        <w:tc>
          <w:tcPr>
            <w:tcW w:w="1170" w:type="dxa"/>
            <w:tcBorders>
              <w:bottom w:val="single" w:sz="12" w:space="0" w:color="auto"/>
            </w:tcBorders>
            <w:vAlign w:val="bottom"/>
          </w:tcPr>
          <w:p w:rsidR="00000000" w:rsidRDefault="00000000">
            <w:pPr>
              <w:pStyle w:val="BodyTextIndent2"/>
              <w:keepNext/>
              <w:keepLines/>
              <w:spacing w:after="120"/>
              <w:ind w:left="0" w:firstLine="0"/>
              <w:jc w:val="right"/>
              <w:rPr>
                <w:sz w:val="17"/>
              </w:rPr>
            </w:pPr>
            <w:r>
              <w:rPr>
                <w:sz w:val="17"/>
              </w:rPr>
              <w:t>29*</w:t>
            </w:r>
          </w:p>
        </w:tc>
      </w:tr>
    </w:tbl>
    <w:p w:rsidR="00000000" w:rsidRDefault="00000000">
      <w:pPr>
        <w:pStyle w:val="D12r"/>
        <w:keepNext/>
        <w:keepLines/>
      </w:pPr>
    </w:p>
    <w:p w:rsidR="00000000" w:rsidRDefault="00000000">
      <w:pPr>
        <w:pStyle w:val="BodyTextIndent2"/>
        <w:keepNext/>
        <w:keepLines/>
        <w:ind w:left="0" w:firstLine="0"/>
        <w:rPr>
          <w:sz w:val="17"/>
        </w:rPr>
      </w:pPr>
      <w:r>
        <w:rPr>
          <w:sz w:val="17"/>
        </w:rPr>
        <w:t xml:space="preserve">       *</w:t>
      </w:r>
      <w:r>
        <w:rPr>
          <w:sz w:val="17"/>
        </w:rPr>
        <w:tab/>
        <w:t>Head of Department to Deputy Chief of Division level.</w:t>
      </w:r>
    </w:p>
    <w:p w:rsidR="00000000" w:rsidRDefault="00000000">
      <w:pPr>
        <w:pStyle w:val="D12r"/>
      </w:pPr>
    </w:p>
    <w:p w:rsidR="00000000" w:rsidRDefault="00000000">
      <w:pPr>
        <w:pStyle w:val="D12r"/>
      </w:pPr>
    </w:p>
    <w:p w:rsidR="00000000" w:rsidRDefault="00000000">
      <w:pPr>
        <w:pStyle w:val="BodyTextIndent2"/>
        <w:spacing w:after="120"/>
        <w:ind w:left="0" w:firstLine="0"/>
      </w:pPr>
      <w:r>
        <w:tab/>
        <w:t>In the Ministry of Energy, Trade and Industry, of 268 persons working in the central apparatus and committees, 137 are women (51 per cent).</w:t>
      </w:r>
    </w:p>
    <w:p w:rsidR="00000000" w:rsidRDefault="00000000">
      <w:pPr>
        <w:pStyle w:val="D12r"/>
      </w:pPr>
    </w:p>
    <w:p w:rsidR="00000000" w:rsidRDefault="00000000">
      <w:pPr>
        <w:pStyle w:val="BodyTextIndent2"/>
        <w:ind w:left="0" w:firstLine="0"/>
      </w:pPr>
      <w:r>
        <w:t>Table 25</w:t>
      </w:r>
    </w:p>
    <w:p w:rsidR="00000000" w:rsidRDefault="00000000">
      <w:pPr>
        <w:pStyle w:val="BodyTextIndent2"/>
        <w:spacing w:after="120"/>
        <w:ind w:left="0" w:firstLine="0"/>
        <w:jc w:val="left"/>
        <w:rPr>
          <w:b/>
        </w:rPr>
      </w:pPr>
      <w:r>
        <w:rPr>
          <w:b/>
        </w:rPr>
        <w:t>Number of female managers in the Ministry of Energy, Trade and Industry</w:t>
      </w:r>
    </w:p>
    <w:p w:rsidR="00000000" w:rsidRDefault="00000000">
      <w:pPr>
        <w:pStyle w:val="D12r"/>
      </w:pPr>
    </w:p>
    <w:tbl>
      <w:tblPr>
        <w:tblW w:w="0" w:type="auto"/>
        <w:tblInd w:w="11" w:type="dxa"/>
        <w:tblLayout w:type="fixed"/>
        <w:tblLook w:val="0000" w:firstRow="0" w:lastRow="0" w:firstColumn="0" w:lastColumn="0" w:noHBand="0" w:noVBand="0"/>
      </w:tblPr>
      <w:tblGrid>
        <w:gridCol w:w="2583"/>
        <w:gridCol w:w="1080"/>
        <w:gridCol w:w="1134"/>
      </w:tblGrid>
      <w:tr w:rsidR="00000000">
        <w:tblPrEx>
          <w:tblCellMar>
            <w:top w:w="0" w:type="dxa"/>
            <w:bottom w:w="0" w:type="dxa"/>
          </w:tblCellMar>
        </w:tblPrEx>
        <w:tc>
          <w:tcPr>
            <w:tcW w:w="2583" w:type="dxa"/>
            <w:tcBorders>
              <w:top w:val="single" w:sz="4" w:space="0" w:color="auto"/>
              <w:bottom w:val="single" w:sz="12" w:space="0" w:color="auto"/>
            </w:tcBorders>
          </w:tcPr>
          <w:p w:rsidR="00000000" w:rsidRDefault="00000000">
            <w:pPr>
              <w:pStyle w:val="BodyTextIndent2"/>
              <w:spacing w:after="120"/>
              <w:ind w:left="0" w:firstLine="0"/>
              <w:jc w:val="left"/>
              <w:rPr>
                <w:i/>
                <w:sz w:val="14"/>
              </w:rPr>
            </w:pPr>
            <w:r>
              <w:rPr>
                <w:i/>
                <w:sz w:val="14"/>
              </w:rPr>
              <w:t>Post</w:t>
            </w:r>
          </w:p>
        </w:tc>
        <w:tc>
          <w:tcPr>
            <w:tcW w:w="1080"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 July 1998</w:t>
            </w:r>
          </w:p>
        </w:tc>
        <w:tc>
          <w:tcPr>
            <w:tcW w:w="1134"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 July 1999</w:t>
            </w:r>
          </w:p>
        </w:tc>
      </w:tr>
      <w:tr w:rsidR="00000000">
        <w:tblPrEx>
          <w:tblCellMar>
            <w:top w:w="0" w:type="dxa"/>
            <w:bottom w:w="0" w:type="dxa"/>
          </w:tblCellMar>
        </w:tblPrEx>
        <w:tc>
          <w:tcPr>
            <w:tcW w:w="2583" w:type="dxa"/>
            <w:tcBorders>
              <w:top w:val="single" w:sz="12" w:space="0" w:color="auto"/>
            </w:tcBorders>
          </w:tcPr>
          <w:p w:rsidR="00000000" w:rsidRDefault="00000000">
            <w:pPr>
              <w:pStyle w:val="BodyTextIndent2"/>
              <w:spacing w:after="120"/>
              <w:ind w:left="0" w:firstLine="0"/>
              <w:jc w:val="left"/>
              <w:rPr>
                <w:sz w:val="17"/>
              </w:rPr>
            </w:pPr>
            <w:r>
              <w:rPr>
                <w:sz w:val="17"/>
              </w:rPr>
              <w:t>Vice-Minister</w:t>
            </w:r>
          </w:p>
        </w:tc>
        <w:tc>
          <w:tcPr>
            <w:tcW w:w="1080" w:type="dxa"/>
            <w:tcBorders>
              <w:top w:val="single" w:sz="12" w:space="0" w:color="auto"/>
            </w:tcBorders>
          </w:tcPr>
          <w:p w:rsidR="00000000" w:rsidRDefault="00000000">
            <w:pPr>
              <w:pStyle w:val="BodyTextIndent2"/>
              <w:spacing w:after="120"/>
              <w:ind w:left="0" w:firstLine="0"/>
              <w:jc w:val="right"/>
              <w:rPr>
                <w:sz w:val="17"/>
              </w:rPr>
            </w:pPr>
            <w:r>
              <w:rPr>
                <w:sz w:val="17"/>
              </w:rPr>
              <w:t>-</w:t>
            </w:r>
          </w:p>
        </w:tc>
        <w:tc>
          <w:tcPr>
            <w:tcW w:w="1134" w:type="dxa"/>
            <w:tcBorders>
              <w:top w:val="single" w:sz="12" w:space="0" w:color="auto"/>
            </w:tcBorders>
          </w:tcPr>
          <w:p w:rsidR="00000000" w:rsidRDefault="00000000">
            <w:pPr>
              <w:pStyle w:val="BodyTextIndent2"/>
              <w:spacing w:after="120"/>
              <w:ind w:left="0" w:firstLine="0"/>
              <w:jc w:val="right"/>
              <w:rPr>
                <w:sz w:val="17"/>
              </w:rPr>
            </w:pPr>
            <w:r>
              <w:rPr>
                <w:sz w:val="17"/>
              </w:rPr>
              <w:t>1</w:t>
            </w:r>
          </w:p>
        </w:tc>
      </w:tr>
      <w:tr w:rsidR="00000000">
        <w:tblPrEx>
          <w:tblCellMar>
            <w:top w:w="0" w:type="dxa"/>
            <w:bottom w:w="0" w:type="dxa"/>
          </w:tblCellMar>
        </w:tblPrEx>
        <w:tc>
          <w:tcPr>
            <w:tcW w:w="2583" w:type="dxa"/>
          </w:tcPr>
          <w:p w:rsidR="00000000" w:rsidRDefault="00000000">
            <w:pPr>
              <w:pStyle w:val="BodyTextIndent2"/>
              <w:spacing w:after="120"/>
              <w:ind w:left="0" w:firstLine="0"/>
              <w:jc w:val="left"/>
              <w:rPr>
                <w:sz w:val="17"/>
              </w:rPr>
            </w:pPr>
            <w:r>
              <w:rPr>
                <w:sz w:val="17"/>
              </w:rPr>
              <w:t>Head of Department</w:t>
            </w:r>
          </w:p>
        </w:tc>
        <w:tc>
          <w:tcPr>
            <w:tcW w:w="1080" w:type="dxa"/>
          </w:tcPr>
          <w:p w:rsidR="00000000" w:rsidRDefault="00000000">
            <w:pPr>
              <w:pStyle w:val="BodyTextIndent2"/>
              <w:spacing w:after="120"/>
              <w:ind w:left="0" w:firstLine="0"/>
              <w:jc w:val="right"/>
              <w:rPr>
                <w:sz w:val="17"/>
              </w:rPr>
            </w:pPr>
            <w:r>
              <w:rPr>
                <w:sz w:val="17"/>
              </w:rPr>
              <w:t>-</w:t>
            </w:r>
          </w:p>
        </w:tc>
        <w:tc>
          <w:tcPr>
            <w:tcW w:w="1134" w:type="dxa"/>
          </w:tcPr>
          <w:p w:rsidR="00000000" w:rsidRDefault="00000000">
            <w:pPr>
              <w:pStyle w:val="BodyTextIndent2"/>
              <w:spacing w:after="120"/>
              <w:ind w:left="0" w:firstLine="0"/>
              <w:jc w:val="right"/>
              <w:rPr>
                <w:sz w:val="17"/>
              </w:rPr>
            </w:pPr>
            <w:r>
              <w:rPr>
                <w:sz w:val="17"/>
              </w:rPr>
              <w:t>2</w:t>
            </w:r>
          </w:p>
        </w:tc>
      </w:tr>
      <w:tr w:rsidR="00000000">
        <w:tblPrEx>
          <w:tblCellMar>
            <w:top w:w="0" w:type="dxa"/>
            <w:bottom w:w="0" w:type="dxa"/>
          </w:tblCellMar>
        </w:tblPrEx>
        <w:tc>
          <w:tcPr>
            <w:tcW w:w="2583" w:type="dxa"/>
          </w:tcPr>
          <w:p w:rsidR="00000000" w:rsidRDefault="00000000">
            <w:pPr>
              <w:pStyle w:val="BodyTextIndent2"/>
              <w:spacing w:after="120"/>
              <w:ind w:left="0" w:firstLine="0"/>
              <w:jc w:val="left"/>
              <w:rPr>
                <w:sz w:val="17"/>
              </w:rPr>
            </w:pPr>
            <w:r>
              <w:rPr>
                <w:sz w:val="17"/>
              </w:rPr>
              <w:t>Deputy Head of Department</w:t>
            </w:r>
          </w:p>
        </w:tc>
        <w:tc>
          <w:tcPr>
            <w:tcW w:w="1080" w:type="dxa"/>
          </w:tcPr>
          <w:p w:rsidR="00000000" w:rsidRDefault="00000000">
            <w:pPr>
              <w:pStyle w:val="BodyTextIndent2"/>
              <w:spacing w:after="120"/>
              <w:ind w:left="0" w:firstLine="0"/>
              <w:jc w:val="right"/>
              <w:rPr>
                <w:sz w:val="17"/>
              </w:rPr>
            </w:pPr>
            <w:r>
              <w:rPr>
                <w:sz w:val="17"/>
              </w:rPr>
              <w:t>-</w:t>
            </w:r>
          </w:p>
        </w:tc>
        <w:tc>
          <w:tcPr>
            <w:tcW w:w="1134" w:type="dxa"/>
          </w:tcPr>
          <w:p w:rsidR="00000000" w:rsidRDefault="00000000">
            <w:pPr>
              <w:pStyle w:val="BodyTextIndent2"/>
              <w:spacing w:after="120"/>
              <w:ind w:left="0" w:firstLine="0"/>
              <w:jc w:val="right"/>
              <w:rPr>
                <w:sz w:val="17"/>
              </w:rPr>
            </w:pPr>
            <w:r>
              <w:rPr>
                <w:sz w:val="17"/>
              </w:rPr>
              <w:t>2</w:t>
            </w:r>
          </w:p>
        </w:tc>
      </w:tr>
      <w:tr w:rsidR="00000000">
        <w:tblPrEx>
          <w:tblCellMar>
            <w:top w:w="0" w:type="dxa"/>
            <w:bottom w:w="0" w:type="dxa"/>
          </w:tblCellMar>
        </w:tblPrEx>
        <w:tc>
          <w:tcPr>
            <w:tcW w:w="2583" w:type="dxa"/>
          </w:tcPr>
          <w:p w:rsidR="00000000" w:rsidRDefault="00000000">
            <w:pPr>
              <w:pStyle w:val="BodyTextIndent2"/>
              <w:spacing w:after="120"/>
              <w:ind w:left="0" w:firstLine="0"/>
              <w:jc w:val="left"/>
              <w:rPr>
                <w:sz w:val="17"/>
              </w:rPr>
            </w:pPr>
            <w:r>
              <w:rPr>
                <w:sz w:val="17"/>
              </w:rPr>
              <w:t>Chief Administrator</w:t>
            </w:r>
          </w:p>
        </w:tc>
        <w:tc>
          <w:tcPr>
            <w:tcW w:w="1080" w:type="dxa"/>
          </w:tcPr>
          <w:p w:rsidR="00000000" w:rsidRDefault="00000000">
            <w:pPr>
              <w:pStyle w:val="BodyTextIndent2"/>
              <w:spacing w:after="120"/>
              <w:ind w:left="0" w:firstLine="0"/>
              <w:jc w:val="right"/>
              <w:rPr>
                <w:sz w:val="17"/>
              </w:rPr>
            </w:pPr>
            <w:r>
              <w:rPr>
                <w:sz w:val="17"/>
              </w:rPr>
              <w:t>1</w:t>
            </w:r>
          </w:p>
        </w:tc>
        <w:tc>
          <w:tcPr>
            <w:tcW w:w="1134" w:type="dxa"/>
          </w:tcPr>
          <w:p w:rsidR="00000000" w:rsidRDefault="00000000">
            <w:pPr>
              <w:pStyle w:val="BodyTextIndent2"/>
              <w:spacing w:after="120"/>
              <w:ind w:left="0" w:firstLine="0"/>
              <w:jc w:val="right"/>
              <w:rPr>
                <w:sz w:val="17"/>
              </w:rPr>
            </w:pPr>
            <w:r>
              <w:rPr>
                <w:sz w:val="17"/>
              </w:rPr>
              <w:t>5</w:t>
            </w:r>
          </w:p>
        </w:tc>
      </w:tr>
      <w:tr w:rsidR="00000000">
        <w:tblPrEx>
          <w:tblCellMar>
            <w:top w:w="0" w:type="dxa"/>
            <w:bottom w:w="0" w:type="dxa"/>
          </w:tblCellMar>
        </w:tblPrEx>
        <w:tc>
          <w:tcPr>
            <w:tcW w:w="2583" w:type="dxa"/>
          </w:tcPr>
          <w:p w:rsidR="00000000" w:rsidRDefault="00000000">
            <w:pPr>
              <w:pStyle w:val="BodyTextIndent2"/>
              <w:spacing w:after="120"/>
              <w:ind w:left="0" w:firstLine="0"/>
              <w:jc w:val="left"/>
              <w:rPr>
                <w:sz w:val="17"/>
              </w:rPr>
            </w:pPr>
            <w:r>
              <w:rPr>
                <w:sz w:val="17"/>
              </w:rPr>
              <w:t>Deputy Administrator</w:t>
            </w:r>
          </w:p>
        </w:tc>
        <w:tc>
          <w:tcPr>
            <w:tcW w:w="1080" w:type="dxa"/>
          </w:tcPr>
          <w:p w:rsidR="00000000" w:rsidRDefault="00000000">
            <w:pPr>
              <w:pStyle w:val="BodyTextIndent2"/>
              <w:spacing w:after="120"/>
              <w:ind w:left="0" w:firstLine="0"/>
              <w:jc w:val="right"/>
              <w:rPr>
                <w:sz w:val="17"/>
              </w:rPr>
            </w:pPr>
            <w:r>
              <w:rPr>
                <w:sz w:val="17"/>
              </w:rPr>
              <w:t>1</w:t>
            </w:r>
          </w:p>
        </w:tc>
        <w:tc>
          <w:tcPr>
            <w:tcW w:w="1134" w:type="dxa"/>
          </w:tcPr>
          <w:p w:rsidR="00000000" w:rsidRDefault="00000000">
            <w:pPr>
              <w:pStyle w:val="BodyTextIndent2"/>
              <w:spacing w:after="120"/>
              <w:ind w:left="0" w:firstLine="0"/>
              <w:jc w:val="right"/>
              <w:rPr>
                <w:sz w:val="17"/>
              </w:rPr>
            </w:pPr>
            <w:r>
              <w:rPr>
                <w:sz w:val="17"/>
              </w:rPr>
              <w:t>6</w:t>
            </w:r>
          </w:p>
        </w:tc>
      </w:tr>
      <w:tr w:rsidR="00000000">
        <w:tblPrEx>
          <w:tblCellMar>
            <w:top w:w="0" w:type="dxa"/>
            <w:bottom w:w="0" w:type="dxa"/>
          </w:tblCellMar>
        </w:tblPrEx>
        <w:tc>
          <w:tcPr>
            <w:tcW w:w="2583" w:type="dxa"/>
          </w:tcPr>
          <w:p w:rsidR="00000000" w:rsidRDefault="00000000">
            <w:pPr>
              <w:pStyle w:val="BodyTextIndent2"/>
              <w:spacing w:after="120"/>
              <w:ind w:left="0" w:firstLine="0"/>
              <w:jc w:val="left"/>
              <w:rPr>
                <w:sz w:val="17"/>
              </w:rPr>
            </w:pPr>
            <w:r>
              <w:rPr>
                <w:sz w:val="17"/>
              </w:rPr>
              <w:t>Chief of Division</w:t>
            </w:r>
          </w:p>
        </w:tc>
        <w:tc>
          <w:tcPr>
            <w:tcW w:w="1080" w:type="dxa"/>
          </w:tcPr>
          <w:p w:rsidR="00000000" w:rsidRDefault="00000000">
            <w:pPr>
              <w:pStyle w:val="BodyTextIndent2"/>
              <w:spacing w:after="120"/>
              <w:ind w:left="0" w:firstLine="0"/>
              <w:jc w:val="right"/>
              <w:rPr>
                <w:sz w:val="17"/>
              </w:rPr>
            </w:pPr>
            <w:r>
              <w:rPr>
                <w:sz w:val="17"/>
              </w:rPr>
              <w:t>4</w:t>
            </w:r>
          </w:p>
        </w:tc>
        <w:tc>
          <w:tcPr>
            <w:tcW w:w="1134" w:type="dxa"/>
          </w:tcPr>
          <w:p w:rsidR="00000000" w:rsidRDefault="00000000">
            <w:pPr>
              <w:pStyle w:val="BodyTextIndent2"/>
              <w:spacing w:after="120"/>
              <w:ind w:left="0" w:firstLine="0"/>
              <w:jc w:val="right"/>
              <w:rPr>
                <w:sz w:val="17"/>
              </w:rPr>
            </w:pPr>
            <w:r>
              <w:rPr>
                <w:sz w:val="17"/>
              </w:rPr>
              <w:t>10</w:t>
            </w:r>
          </w:p>
        </w:tc>
      </w:tr>
      <w:tr w:rsidR="00000000">
        <w:tblPrEx>
          <w:tblCellMar>
            <w:top w:w="0" w:type="dxa"/>
            <w:bottom w:w="0" w:type="dxa"/>
          </w:tblCellMar>
        </w:tblPrEx>
        <w:tc>
          <w:tcPr>
            <w:tcW w:w="2583" w:type="dxa"/>
          </w:tcPr>
          <w:p w:rsidR="00000000" w:rsidRDefault="00000000">
            <w:pPr>
              <w:pStyle w:val="BodyTextIndent2"/>
              <w:spacing w:after="120"/>
              <w:ind w:left="0" w:firstLine="0"/>
              <w:jc w:val="left"/>
              <w:rPr>
                <w:sz w:val="17"/>
              </w:rPr>
            </w:pPr>
            <w:r>
              <w:rPr>
                <w:sz w:val="17"/>
              </w:rPr>
              <w:t>Deputy Chief of Division</w:t>
            </w:r>
          </w:p>
        </w:tc>
        <w:tc>
          <w:tcPr>
            <w:tcW w:w="1080" w:type="dxa"/>
          </w:tcPr>
          <w:p w:rsidR="00000000" w:rsidRDefault="00000000">
            <w:pPr>
              <w:pStyle w:val="BodyTextIndent2"/>
              <w:spacing w:after="120"/>
              <w:ind w:left="0" w:firstLine="0"/>
              <w:jc w:val="right"/>
              <w:rPr>
                <w:sz w:val="17"/>
              </w:rPr>
            </w:pPr>
            <w:r>
              <w:rPr>
                <w:sz w:val="17"/>
              </w:rPr>
              <w:t>-</w:t>
            </w:r>
          </w:p>
        </w:tc>
        <w:tc>
          <w:tcPr>
            <w:tcW w:w="1134" w:type="dxa"/>
          </w:tcPr>
          <w:p w:rsidR="00000000" w:rsidRDefault="00000000">
            <w:pPr>
              <w:pStyle w:val="BodyTextIndent2"/>
              <w:spacing w:after="120"/>
              <w:ind w:left="0" w:firstLine="0"/>
              <w:jc w:val="right"/>
              <w:rPr>
                <w:sz w:val="17"/>
              </w:rPr>
            </w:pPr>
            <w:r>
              <w:rPr>
                <w:sz w:val="17"/>
              </w:rPr>
              <w:t>2</w:t>
            </w:r>
          </w:p>
        </w:tc>
      </w:tr>
      <w:tr w:rsidR="00000000">
        <w:tblPrEx>
          <w:tblCellMar>
            <w:top w:w="0" w:type="dxa"/>
            <w:bottom w:w="0" w:type="dxa"/>
          </w:tblCellMar>
        </w:tblPrEx>
        <w:tc>
          <w:tcPr>
            <w:tcW w:w="2583" w:type="dxa"/>
          </w:tcPr>
          <w:p w:rsidR="00000000" w:rsidRDefault="00000000">
            <w:pPr>
              <w:pStyle w:val="BodyTextIndent2"/>
              <w:spacing w:after="120"/>
              <w:ind w:left="0" w:firstLine="0"/>
              <w:jc w:val="left"/>
              <w:rPr>
                <w:sz w:val="17"/>
              </w:rPr>
            </w:pPr>
            <w:r>
              <w:rPr>
                <w:sz w:val="17"/>
              </w:rPr>
              <w:t>Chief adviser</w:t>
            </w:r>
          </w:p>
        </w:tc>
        <w:tc>
          <w:tcPr>
            <w:tcW w:w="1080" w:type="dxa"/>
          </w:tcPr>
          <w:p w:rsidR="00000000" w:rsidRDefault="00000000">
            <w:pPr>
              <w:pStyle w:val="BodyTextIndent2"/>
              <w:spacing w:after="120"/>
              <w:ind w:left="0" w:firstLine="0"/>
              <w:jc w:val="right"/>
              <w:rPr>
                <w:sz w:val="17"/>
              </w:rPr>
            </w:pPr>
            <w:r>
              <w:rPr>
                <w:sz w:val="17"/>
              </w:rPr>
              <w:t>35</w:t>
            </w:r>
          </w:p>
        </w:tc>
        <w:tc>
          <w:tcPr>
            <w:tcW w:w="1134" w:type="dxa"/>
          </w:tcPr>
          <w:p w:rsidR="00000000" w:rsidRDefault="00000000">
            <w:pPr>
              <w:pStyle w:val="BodyTextIndent2"/>
              <w:spacing w:after="120"/>
              <w:ind w:left="0" w:firstLine="0"/>
              <w:jc w:val="right"/>
              <w:rPr>
                <w:sz w:val="17"/>
              </w:rPr>
            </w:pPr>
            <w:r>
              <w:rPr>
                <w:sz w:val="17"/>
              </w:rPr>
              <w:t>41</w:t>
            </w:r>
          </w:p>
        </w:tc>
      </w:tr>
      <w:tr w:rsidR="00000000">
        <w:tblPrEx>
          <w:tblCellMar>
            <w:top w:w="0" w:type="dxa"/>
            <w:bottom w:w="0" w:type="dxa"/>
          </w:tblCellMar>
        </w:tblPrEx>
        <w:tc>
          <w:tcPr>
            <w:tcW w:w="2583" w:type="dxa"/>
          </w:tcPr>
          <w:p w:rsidR="00000000" w:rsidRDefault="00000000">
            <w:pPr>
              <w:pStyle w:val="BodyTextIndent2"/>
              <w:spacing w:after="120"/>
              <w:ind w:left="0" w:firstLine="0"/>
              <w:jc w:val="left"/>
              <w:rPr>
                <w:sz w:val="17"/>
              </w:rPr>
            </w:pPr>
            <w:r>
              <w:rPr>
                <w:sz w:val="17"/>
              </w:rPr>
              <w:t>First adviser</w:t>
            </w:r>
          </w:p>
        </w:tc>
        <w:tc>
          <w:tcPr>
            <w:tcW w:w="1080" w:type="dxa"/>
          </w:tcPr>
          <w:p w:rsidR="00000000" w:rsidRDefault="00000000">
            <w:pPr>
              <w:pStyle w:val="BodyTextIndent2"/>
              <w:spacing w:after="120"/>
              <w:ind w:left="0" w:firstLine="0"/>
              <w:jc w:val="right"/>
              <w:rPr>
                <w:sz w:val="17"/>
              </w:rPr>
            </w:pPr>
            <w:r>
              <w:rPr>
                <w:sz w:val="17"/>
              </w:rPr>
              <w:t>21</w:t>
            </w:r>
          </w:p>
        </w:tc>
        <w:tc>
          <w:tcPr>
            <w:tcW w:w="1134" w:type="dxa"/>
          </w:tcPr>
          <w:p w:rsidR="00000000" w:rsidRDefault="00000000">
            <w:pPr>
              <w:pStyle w:val="BodyTextIndent2"/>
              <w:spacing w:after="120"/>
              <w:ind w:left="0" w:firstLine="0"/>
              <w:jc w:val="right"/>
              <w:rPr>
                <w:sz w:val="17"/>
              </w:rPr>
            </w:pPr>
            <w:r>
              <w:rPr>
                <w:sz w:val="17"/>
              </w:rPr>
              <w:t>32</w:t>
            </w:r>
          </w:p>
        </w:tc>
      </w:tr>
      <w:tr w:rsidR="00000000">
        <w:tblPrEx>
          <w:tblCellMar>
            <w:top w:w="0" w:type="dxa"/>
            <w:bottom w:w="0" w:type="dxa"/>
          </w:tblCellMar>
        </w:tblPrEx>
        <w:tc>
          <w:tcPr>
            <w:tcW w:w="2583" w:type="dxa"/>
            <w:tcBorders>
              <w:bottom w:val="single" w:sz="4" w:space="0" w:color="auto"/>
            </w:tcBorders>
          </w:tcPr>
          <w:p w:rsidR="00000000" w:rsidRDefault="00000000">
            <w:pPr>
              <w:pStyle w:val="BodyTextIndent2"/>
              <w:spacing w:after="120"/>
              <w:ind w:left="0" w:firstLine="0"/>
              <w:jc w:val="left"/>
              <w:rPr>
                <w:sz w:val="17"/>
              </w:rPr>
            </w:pPr>
            <w:r>
              <w:rPr>
                <w:sz w:val="17"/>
              </w:rPr>
              <w:t>Senior adviser</w:t>
            </w:r>
          </w:p>
        </w:tc>
        <w:tc>
          <w:tcPr>
            <w:tcW w:w="1080" w:type="dxa"/>
            <w:tcBorders>
              <w:bottom w:val="single" w:sz="4" w:space="0" w:color="auto"/>
            </w:tcBorders>
          </w:tcPr>
          <w:p w:rsidR="00000000" w:rsidRDefault="00000000">
            <w:pPr>
              <w:pStyle w:val="BodyTextIndent2"/>
              <w:spacing w:after="120"/>
              <w:ind w:left="0" w:firstLine="0"/>
              <w:jc w:val="right"/>
              <w:rPr>
                <w:sz w:val="17"/>
              </w:rPr>
            </w:pPr>
            <w:r>
              <w:rPr>
                <w:sz w:val="17"/>
              </w:rPr>
              <w:t>10</w:t>
            </w:r>
          </w:p>
        </w:tc>
        <w:tc>
          <w:tcPr>
            <w:tcW w:w="1134" w:type="dxa"/>
            <w:tcBorders>
              <w:bottom w:val="single" w:sz="4" w:space="0" w:color="auto"/>
            </w:tcBorders>
          </w:tcPr>
          <w:p w:rsidR="00000000" w:rsidRDefault="00000000">
            <w:pPr>
              <w:pStyle w:val="BodyTextIndent2"/>
              <w:spacing w:after="120"/>
              <w:ind w:left="0" w:firstLine="0"/>
              <w:jc w:val="right"/>
              <w:rPr>
                <w:sz w:val="17"/>
              </w:rPr>
            </w:pPr>
            <w:r>
              <w:rPr>
                <w:sz w:val="17"/>
              </w:rPr>
              <w:t>8</w:t>
            </w:r>
          </w:p>
        </w:tc>
      </w:tr>
      <w:tr w:rsidR="00000000">
        <w:tblPrEx>
          <w:tblCellMar>
            <w:top w:w="0" w:type="dxa"/>
            <w:bottom w:w="0" w:type="dxa"/>
          </w:tblCellMar>
        </w:tblPrEx>
        <w:tc>
          <w:tcPr>
            <w:tcW w:w="2583" w:type="dxa"/>
            <w:tcBorders>
              <w:top w:val="single" w:sz="4" w:space="0" w:color="auto"/>
              <w:bottom w:val="single" w:sz="12" w:space="0" w:color="auto"/>
            </w:tcBorders>
          </w:tcPr>
          <w:p w:rsidR="00000000" w:rsidRDefault="00000000">
            <w:pPr>
              <w:pStyle w:val="BodyTextIndent2"/>
              <w:spacing w:after="120"/>
              <w:ind w:left="0" w:firstLine="0"/>
              <w:jc w:val="left"/>
              <w:rPr>
                <w:b/>
                <w:sz w:val="17"/>
              </w:rPr>
            </w:pPr>
            <w:r>
              <w:rPr>
                <w:b/>
                <w:sz w:val="17"/>
              </w:rPr>
              <w:t>Total</w:t>
            </w:r>
          </w:p>
        </w:tc>
        <w:tc>
          <w:tcPr>
            <w:tcW w:w="1080" w:type="dxa"/>
            <w:tcBorders>
              <w:top w:val="single" w:sz="4" w:space="0" w:color="auto"/>
              <w:bottom w:val="single" w:sz="12" w:space="0" w:color="auto"/>
            </w:tcBorders>
          </w:tcPr>
          <w:p w:rsidR="00000000" w:rsidRDefault="00000000">
            <w:pPr>
              <w:pStyle w:val="BodyTextIndent2"/>
              <w:spacing w:after="120"/>
              <w:ind w:left="0" w:firstLine="0"/>
              <w:jc w:val="right"/>
              <w:rPr>
                <w:b/>
                <w:sz w:val="17"/>
              </w:rPr>
            </w:pPr>
            <w:r>
              <w:rPr>
                <w:b/>
                <w:sz w:val="17"/>
              </w:rPr>
              <w:t>72</w:t>
            </w:r>
          </w:p>
        </w:tc>
        <w:tc>
          <w:tcPr>
            <w:tcW w:w="1134" w:type="dxa"/>
            <w:tcBorders>
              <w:top w:val="single" w:sz="4" w:space="0" w:color="auto"/>
              <w:bottom w:val="single" w:sz="12" w:space="0" w:color="auto"/>
            </w:tcBorders>
          </w:tcPr>
          <w:p w:rsidR="00000000" w:rsidRDefault="00000000">
            <w:pPr>
              <w:pStyle w:val="BodyTextIndent2"/>
              <w:spacing w:after="120"/>
              <w:ind w:left="0" w:firstLine="0"/>
              <w:jc w:val="right"/>
              <w:rPr>
                <w:b/>
                <w:sz w:val="17"/>
              </w:rPr>
            </w:pPr>
            <w:r>
              <w:rPr>
                <w:b/>
                <w:sz w:val="17"/>
              </w:rPr>
              <w:t>137</w:t>
            </w:r>
          </w:p>
        </w:tc>
      </w:tr>
    </w:tbl>
    <w:p w:rsidR="00000000" w:rsidRDefault="00000000">
      <w:pPr>
        <w:pStyle w:val="BodyTextIndent2"/>
        <w:ind w:left="0" w:firstLine="0"/>
      </w:pPr>
    </w:p>
    <w:p w:rsidR="00000000" w:rsidRDefault="00000000">
      <w:pPr>
        <w:pStyle w:val="BodyTextIndent2"/>
        <w:spacing w:after="120"/>
        <w:ind w:left="0" w:firstLine="0"/>
      </w:pPr>
      <w:r>
        <w:tab/>
        <w:t>In the Ministry of Natural Resources and Environmental Protection and its regional organs, women account for approximately 40 per cent of the total number of specialist staff.</w:t>
      </w:r>
    </w:p>
    <w:p w:rsidR="00000000" w:rsidRDefault="00000000">
      <w:pPr>
        <w:pStyle w:val="BodyTextIndent2"/>
        <w:spacing w:after="120"/>
        <w:ind w:left="0" w:firstLine="0"/>
      </w:pPr>
      <w:r>
        <w:tab/>
        <w:t>In the Ministry of Agriculture, women account for over 40 per cent of staff of the central apparatus, with approximately 10 per cent occupying managerial posts as chiefs and deputy chiefs of divisions in ministerial committees and departments.</w:t>
      </w:r>
    </w:p>
    <w:p w:rsidR="00000000" w:rsidRDefault="00000000">
      <w:pPr>
        <w:pStyle w:val="BodyTextIndent2"/>
        <w:spacing w:after="120"/>
        <w:ind w:left="0" w:firstLine="0"/>
      </w:pPr>
      <w:r>
        <w:tab/>
        <w:t>In the Ministry’s structural subdivisions, preliminary work is being carried out to facilitate the nomination and approval of female candidatures for managerial posts; documentation on the candidatures is being prepared for submission to the National Commission on Women’s Affairs.</w:t>
      </w:r>
    </w:p>
    <w:p w:rsidR="00000000" w:rsidRDefault="00000000">
      <w:pPr>
        <w:pStyle w:val="BodyTextIndent2"/>
        <w:spacing w:after="120"/>
        <w:ind w:left="0" w:firstLine="0"/>
      </w:pPr>
      <w:r>
        <w:tab/>
        <w:t>In the Ministry of Transport, Communications and Tourism, there are 134 female staff and 125 male staff (259 in total), with 29 women in managerial posts. A total of 1,023 persons are employed in State-owned car manufacturing enterprises, including 384 women (37.5 per cent), including 350 white-collar workers and 34 blue-collar workers.</w:t>
      </w:r>
    </w:p>
    <w:p w:rsidR="00000000" w:rsidRDefault="00000000">
      <w:pPr>
        <w:pStyle w:val="BodyTextIndent2"/>
        <w:spacing w:after="120"/>
        <w:ind w:left="0" w:firstLine="0"/>
      </w:pPr>
      <w:r>
        <w:tab/>
        <w:t>The Ministry of Defence has drawn up a list of military posts in which women may serve.</w:t>
      </w:r>
    </w:p>
    <w:p w:rsidR="00000000" w:rsidRDefault="00000000">
      <w:pPr>
        <w:pStyle w:val="BodyTextIndent2"/>
        <w:spacing w:after="120"/>
        <w:ind w:left="0" w:firstLine="0"/>
      </w:pPr>
      <w:r>
        <w:tab/>
        <w:t>There are 3,380 women to serve on a contractual basis in the Armed Forces of the Republic of Kazakhstan.</w:t>
      </w:r>
    </w:p>
    <w:p w:rsidR="00000000" w:rsidRDefault="00000000">
      <w:pPr>
        <w:pStyle w:val="BodyTextIndent2"/>
        <w:spacing w:after="120"/>
        <w:ind w:left="0" w:firstLine="0"/>
      </w:pPr>
      <w:r>
        <w:tab/>
        <w:t>The Ministry of Defence plans to broaden the sphere of women’s participation in the military to include the command level of units and sub-units.</w:t>
      </w:r>
    </w:p>
    <w:p w:rsidR="00000000" w:rsidRDefault="00000000">
      <w:pPr>
        <w:pStyle w:val="BodyTextIndent2"/>
        <w:spacing w:after="120"/>
        <w:ind w:left="0" w:firstLine="0"/>
      </w:pPr>
      <w:r>
        <w:tab/>
        <w:t>Since 1 September 1998, for the first time in Kazakhstan’s history, 23 girls have been studying at the Military Academy of the Armed Forces of the Republic of Kazakhstan.</w:t>
      </w:r>
    </w:p>
    <w:p w:rsidR="00000000" w:rsidRDefault="00000000">
      <w:pPr>
        <w:pStyle w:val="BodyTextIndent2"/>
        <w:spacing w:after="120"/>
        <w:ind w:left="0" w:firstLine="0"/>
      </w:pPr>
      <w:r>
        <w:tab/>
        <w:t>In the context of a campaign to attract women into the Armed Forces, more than 80 female secondary school graduates sat entrance examinations for the National Security Committee of the Republic of Kazakhstan.</w:t>
      </w:r>
    </w:p>
    <w:p w:rsidR="00000000" w:rsidRDefault="00000000">
      <w:pPr>
        <w:pStyle w:val="BodyTextIndent2"/>
        <w:spacing w:after="120"/>
        <w:ind w:left="0" w:firstLine="0"/>
      </w:pPr>
      <w:r>
        <w:tab/>
        <w:t>Seven women head district (town) education authorities (departments), namely 44 per cent of the total.</w:t>
      </w:r>
    </w:p>
    <w:p w:rsidR="00000000" w:rsidRDefault="00000000">
      <w:pPr>
        <w:pStyle w:val="BodyTextIndent2"/>
        <w:spacing w:after="120"/>
        <w:ind w:left="0" w:firstLine="0"/>
      </w:pPr>
      <w:r>
        <w:tab/>
        <w:t>Only two of the 51 State higher education institutions are directed by women.</w:t>
      </w:r>
    </w:p>
    <w:p w:rsidR="00000000" w:rsidRDefault="00000000">
      <w:pPr>
        <w:pStyle w:val="BodyTextIndent2"/>
        <w:spacing w:after="120"/>
        <w:ind w:left="0" w:firstLine="0"/>
      </w:pPr>
      <w:r>
        <w:tab/>
        <w:t>Although women clearly predominate among specialized personnel with higher qualifications, the majority are concentrated in the lower echelons of management.</w:t>
      </w:r>
    </w:p>
    <w:p w:rsidR="00000000" w:rsidRDefault="00000000">
      <w:pPr>
        <w:pStyle w:val="D12r"/>
      </w:pPr>
    </w:p>
    <w:p w:rsidR="00000000" w:rsidRDefault="00000000">
      <w:pPr>
        <w:pStyle w:val="BodyTextIndent2"/>
        <w:spacing w:after="120"/>
        <w:ind w:left="0" w:firstLine="0"/>
        <w:rPr>
          <w:b/>
        </w:rPr>
      </w:pPr>
      <w:r>
        <w:tab/>
      </w:r>
      <w:r>
        <w:rPr>
          <w:b/>
        </w:rPr>
        <w:t>(c)</w:t>
      </w:r>
      <w:r>
        <w:rPr>
          <w:b/>
        </w:rPr>
        <w:tab/>
        <w:t>To participate in non-governmental organizations and associations concerned with the public and political life of the country.</w:t>
      </w:r>
    </w:p>
    <w:p w:rsidR="00000000" w:rsidRDefault="00000000">
      <w:pPr>
        <w:pStyle w:val="BodyTextIndent2"/>
        <w:spacing w:after="120"/>
        <w:ind w:left="0" w:firstLine="0"/>
      </w:pPr>
      <w:r>
        <w:t>82.</w:t>
      </w:r>
      <w:r>
        <w:tab/>
        <w:t>Women enjoy an equal right to participate in non-governmental organizations. The public organizations in existence before 1991 for the most part either no longer exist or have significantly reduced the scope of their activities. Women dominate in many of the new non-governmental organizations established over the past eight years (political parties excepted).</w:t>
      </w:r>
    </w:p>
    <w:p w:rsidR="00000000" w:rsidRDefault="00000000">
      <w:pPr>
        <w:pStyle w:val="BodyTextIndent2"/>
        <w:spacing w:after="120"/>
        <w:ind w:left="0" w:firstLine="0"/>
      </w:pPr>
    </w:p>
    <w:p w:rsidR="00000000" w:rsidRDefault="00000000">
      <w:pPr>
        <w:pStyle w:val="BodyTextIndent2"/>
        <w:spacing w:after="120"/>
        <w:ind w:left="0" w:firstLine="0"/>
      </w:pPr>
      <w:r>
        <w:rPr>
          <w:noProof/>
          <w:w w:val="100"/>
        </w:rPr>
        <w:pict>
          <v:shape id="_x0000_s2072" type="#_x0000_t202" style="position:absolute;left:0;text-align:left;margin-left:247.15pt;margin-top:-3.75pt;width:255.75pt;height:333.6pt;z-index:15;mso-position-horizontal:absolute;mso-position-horizontal-relative:text;mso-position-vertical:absolute;mso-position-vertical-relative:text" o:allowincell="f" stroked="f">
            <v:textbox style="mso-next-textbox:#_x0000_s2072">
              <w:txbxContent>
                <w:p w:rsidR="00000000" w:rsidRDefault="00000000">
                  <w:pPr>
                    <w:pStyle w:val="BodyTextIndent2"/>
                    <w:tabs>
                      <w:tab w:val="left" w:pos="315"/>
                    </w:tabs>
                    <w:spacing w:after="120"/>
                  </w:pPr>
                  <w:r>
                    <w:tab/>
                    <w:t>–</w:t>
                  </w:r>
                  <w:r>
                    <w:tab/>
                    <w:t>Welfare support for women (Almaty Association of Single Mothers, “Bibi-Ana”, Kazakhstan Union for Large Families, etc.);</w:t>
                  </w:r>
                </w:p>
                <w:p w:rsidR="00000000" w:rsidRDefault="00000000">
                  <w:pPr>
                    <w:pStyle w:val="BodyTextIndent2"/>
                    <w:tabs>
                      <w:tab w:val="left" w:pos="315"/>
                    </w:tabs>
                    <w:spacing w:after="120"/>
                  </w:pPr>
                  <w:r>
                    <w:tab/>
                    <w:t>–</w:t>
                  </w:r>
                  <w:r>
                    <w:tab/>
                    <w:t>Violence against women (Crisis Centre for Women and Children, Friends (“Podrugi”) Crisis Centre, Feminist League);</w:t>
                  </w:r>
                </w:p>
                <w:p w:rsidR="00000000" w:rsidRDefault="00000000">
                  <w:pPr>
                    <w:pStyle w:val="BodyTextIndent2"/>
                    <w:tabs>
                      <w:tab w:val="left" w:pos="315"/>
                    </w:tabs>
                    <w:spacing w:after="120"/>
                  </w:pPr>
                  <w:r>
                    <w:tab/>
                    <w:t>–</w:t>
                  </w:r>
                  <w:r>
                    <w:tab/>
                    <w:t>Increasing women’s participation in politics (Almaty Women’s Information Centre, “Zharia”, Women’s Electoral Block, “Nayada”, etc.);</w:t>
                  </w:r>
                </w:p>
                <w:p w:rsidR="00000000" w:rsidRDefault="00000000">
                  <w:pPr>
                    <w:pStyle w:val="BodyTextIndent2"/>
                    <w:tabs>
                      <w:tab w:val="left" w:pos="315"/>
                    </w:tabs>
                    <w:spacing w:after="120"/>
                  </w:pPr>
                  <w:r>
                    <w:tab/>
                    <w:t>–</w:t>
                  </w:r>
                  <w:r>
                    <w:tab/>
                    <w:t>Gender education and gender research (Almaty Women’s Information Centre, Feminist League, the Centre for Gender Research at the Institute for Strategic Research);</w:t>
                  </w:r>
                </w:p>
                <w:p w:rsidR="00000000" w:rsidRDefault="00000000">
                  <w:pPr>
                    <w:pStyle w:val="BodyTextIndent2"/>
                    <w:tabs>
                      <w:tab w:val="left" w:pos="315"/>
                    </w:tabs>
                    <w:spacing w:after="120"/>
                  </w:pPr>
                  <w:r>
                    <w:tab/>
                  </w:r>
                  <w:r>
                    <w:rPr>
                      <w:spacing w:val="0"/>
                    </w:rPr>
                    <w:t>–</w:t>
                  </w:r>
                  <w:r>
                    <w:rPr>
                      <w:spacing w:val="0"/>
                    </w:rPr>
                    <w:tab/>
                    <w:t>Environmental issues (International Environmental</w:t>
                  </w:r>
                  <w:r>
                    <w:t xml:space="preserve"> Association for Women of the East);</w:t>
                  </w:r>
                </w:p>
                <w:p w:rsidR="00000000" w:rsidRDefault="00000000">
                  <w:pPr>
                    <w:pStyle w:val="BodyTextIndent2"/>
                    <w:tabs>
                      <w:tab w:val="left" w:pos="315"/>
                    </w:tabs>
                    <w:spacing w:after="120"/>
                  </w:pPr>
                  <w:r>
                    <w:tab/>
                    <w:t>–</w:t>
                  </w:r>
                  <w:r>
                    <w:tab/>
                    <w:t>Monitoring of the situation of women and of women’s rights (Feminist League).</w:t>
                  </w:r>
                </w:p>
                <w:p w:rsidR="00000000" w:rsidRDefault="00000000">
                  <w:pPr>
                    <w:pStyle w:val="DualTxt"/>
                    <w:tabs>
                      <w:tab w:val="clear" w:pos="480"/>
                      <w:tab w:val="clear" w:pos="960"/>
                      <w:tab w:val="clear" w:pos="1440"/>
                      <w:tab w:val="clear" w:pos="1915"/>
                      <w:tab w:val="clear" w:pos="2405"/>
                      <w:tab w:val="clear" w:pos="2880"/>
                      <w:tab w:val="clear" w:pos="3355"/>
                    </w:tabs>
                    <w:spacing w:after="0"/>
                  </w:pPr>
                  <w:r>
                    <w:t>Women’s organizations have some influence over legislative change in the interests of equal rights and opportunities: proposals put forward by the Feminist League in respect of the revision of the marriageable age were included in the new law on marriage and the family (see commentary to article 16 (a) of the Convention).</w:t>
                  </w:r>
                </w:p>
              </w:txbxContent>
            </v:textbox>
          </v:shape>
        </w:pict>
      </w:r>
      <w:r>
        <w:tab/>
        <w:t>In recent years in Kazakhstan, a relatively strong non-governmental women’s movement has come into being; since 1998 it has sought to influence policy.</w:t>
      </w:r>
    </w:p>
    <w:p w:rsidR="00000000" w:rsidRDefault="00000000">
      <w:pPr>
        <w:pStyle w:val="BodyTextIndent2"/>
        <w:spacing w:after="120"/>
        <w:ind w:left="0" w:firstLine="0"/>
      </w:pPr>
      <w:r>
        <w:tab/>
        <w:t>In autumn 1998, the Women’s Electoral Initiative Coalition was formed, comprising 20 of the most prominent women’s organizations. In August 1999, the Coalition sent a memorandum to all registered parties demanding that they include at least 50 per cent women on their party lists for the presidential elections. In June 1999, a fund — the Women’s Electoral Block — was established to support female candidates. In July 1999, the only party with a female majority (60 per cent) and a female leader, the Party for the Regeneration of Kazakhstan, declared itself a women’s party. In August 1999, the Political Alliance of Women’s Organizations was formed.</w:t>
      </w:r>
    </w:p>
    <w:p w:rsidR="00000000" w:rsidRDefault="00000000">
      <w:pPr>
        <w:pStyle w:val="BodyTextIndent2"/>
        <w:spacing w:after="120"/>
        <w:ind w:left="0" w:firstLine="0"/>
      </w:pPr>
      <w:r>
        <w:tab/>
        <w:t>Nevertheless, the majority of the 11 registered parties put forward only a small number of women as candidates in the October 1999 elections to the lower house of parliament, as was the case previously.</w:t>
      </w:r>
    </w:p>
    <w:p w:rsidR="00000000" w:rsidRDefault="00000000">
      <w:pPr>
        <w:pStyle w:val="BodyTextIndent2"/>
        <w:spacing w:after="120"/>
        <w:ind w:left="0" w:firstLine="0"/>
      </w:pPr>
      <w:r>
        <w:tab/>
        <w:t>Almaty, until recently the capital of Kazakhstan, is at the centre of the women’s movement thanks to the extensive social, cultural and political activity in the region and the fact that women in Almaty are in the majority (1,197 women to 1,000 men). The main issues concerning women’s organizations are:</w:t>
      </w:r>
    </w:p>
    <w:p w:rsidR="00000000" w:rsidRDefault="00000000">
      <w:pPr>
        <w:pStyle w:val="BodyTextIndent2"/>
        <w:spacing w:after="120"/>
        <w:ind w:left="0" w:firstLine="0"/>
        <w:sectPr w:rsidR="00000000">
          <w:type w:val="continuous"/>
          <w:pgSz w:w="12240" w:h="15840"/>
          <w:pgMar w:top="1742" w:right="1195" w:bottom="1901" w:left="1195" w:header="576" w:footer="1037" w:gutter="0"/>
          <w:cols w:num="2" w:space="245"/>
          <w:docGrid w:linePitch="360"/>
        </w:sectPr>
      </w:pPr>
    </w:p>
    <w:p w:rsidR="00000000" w:rsidRDefault="00000000">
      <w:pPr>
        <w:pStyle w:val="BodyTextIndent2"/>
        <w:spacing w:after="120"/>
        <w:ind w:left="0" w:firstLine="0"/>
      </w:pPr>
    </w:p>
    <w:p w:rsidR="00000000" w:rsidRDefault="00000000">
      <w:pPr>
        <w:pStyle w:val="D12r"/>
      </w:pPr>
    </w:p>
    <w:tbl>
      <w:tblPr>
        <w:tblW w:w="0" w:type="auto"/>
        <w:jc w:val="right"/>
        <w:tblLayout w:type="fixed"/>
        <w:tblLook w:val="0000" w:firstRow="0" w:lastRow="0" w:firstColumn="0" w:lastColumn="0" w:noHBand="0" w:noVBand="0"/>
      </w:tblPr>
      <w:tblGrid>
        <w:gridCol w:w="648"/>
        <w:gridCol w:w="3510"/>
        <w:gridCol w:w="1260"/>
        <w:gridCol w:w="1530"/>
        <w:gridCol w:w="1620"/>
        <w:gridCol w:w="1498"/>
      </w:tblGrid>
      <w:tr w:rsidR="00000000">
        <w:tblPrEx>
          <w:tblCellMar>
            <w:top w:w="0" w:type="dxa"/>
            <w:bottom w:w="0" w:type="dxa"/>
          </w:tblCellMar>
        </w:tblPrEx>
        <w:trPr>
          <w:jc w:val="right"/>
        </w:trPr>
        <w:tc>
          <w:tcPr>
            <w:tcW w:w="648" w:type="dxa"/>
            <w:tcBorders>
              <w:top w:val="single" w:sz="4" w:space="0" w:color="auto"/>
              <w:bottom w:val="single" w:sz="12" w:space="0" w:color="auto"/>
            </w:tcBorders>
          </w:tcPr>
          <w:p w:rsidR="00000000" w:rsidRDefault="00000000">
            <w:pPr>
              <w:pStyle w:val="BodyTextIndent2"/>
              <w:spacing w:after="120"/>
              <w:ind w:left="0" w:firstLine="0"/>
              <w:rPr>
                <w:i/>
                <w:sz w:val="14"/>
              </w:rPr>
            </w:pPr>
            <w:r>
              <w:rPr>
                <w:i/>
                <w:sz w:val="14"/>
              </w:rPr>
              <w:t>No.</w:t>
            </w:r>
          </w:p>
        </w:tc>
        <w:tc>
          <w:tcPr>
            <w:tcW w:w="3510" w:type="dxa"/>
            <w:tcBorders>
              <w:top w:val="single" w:sz="4" w:space="0" w:color="auto"/>
              <w:bottom w:val="single" w:sz="12" w:space="0" w:color="auto"/>
            </w:tcBorders>
          </w:tcPr>
          <w:p w:rsidR="00000000" w:rsidRDefault="00000000">
            <w:pPr>
              <w:pStyle w:val="BodyTextIndent2"/>
              <w:spacing w:after="120"/>
              <w:ind w:left="0" w:firstLine="0"/>
              <w:rPr>
                <w:i/>
                <w:sz w:val="14"/>
              </w:rPr>
            </w:pPr>
            <w:r>
              <w:rPr>
                <w:i/>
                <w:sz w:val="14"/>
              </w:rPr>
              <w:t>Party</w:t>
            </w:r>
          </w:p>
        </w:tc>
        <w:tc>
          <w:tcPr>
            <w:tcW w:w="1260"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Total number of candidates</w:t>
            </w:r>
          </w:p>
        </w:tc>
        <w:tc>
          <w:tcPr>
            <w:tcW w:w="1530"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Per cent of women on party lists</w:t>
            </w:r>
          </w:p>
        </w:tc>
        <w:tc>
          <w:tcPr>
            <w:tcW w:w="1620"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Per cent of women in local constituencies</w:t>
            </w:r>
          </w:p>
        </w:tc>
        <w:tc>
          <w:tcPr>
            <w:tcW w:w="1498"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Per cent of female party candidates</w:t>
            </w:r>
          </w:p>
        </w:tc>
      </w:tr>
      <w:tr w:rsidR="00000000">
        <w:tblPrEx>
          <w:tblCellMar>
            <w:top w:w="0" w:type="dxa"/>
            <w:bottom w:w="0" w:type="dxa"/>
          </w:tblCellMar>
        </w:tblPrEx>
        <w:trPr>
          <w:jc w:val="right"/>
        </w:trPr>
        <w:tc>
          <w:tcPr>
            <w:tcW w:w="648" w:type="dxa"/>
            <w:tcBorders>
              <w:top w:val="single" w:sz="12" w:space="0" w:color="auto"/>
            </w:tcBorders>
          </w:tcPr>
          <w:p w:rsidR="00000000" w:rsidRDefault="00000000">
            <w:pPr>
              <w:pStyle w:val="BodyTextIndent2"/>
              <w:spacing w:after="120"/>
              <w:ind w:left="0" w:firstLine="0"/>
              <w:rPr>
                <w:sz w:val="17"/>
              </w:rPr>
            </w:pPr>
            <w:r>
              <w:rPr>
                <w:sz w:val="17"/>
              </w:rPr>
              <w:t>1.</w:t>
            </w:r>
          </w:p>
        </w:tc>
        <w:tc>
          <w:tcPr>
            <w:tcW w:w="3510" w:type="dxa"/>
            <w:tcBorders>
              <w:top w:val="single" w:sz="12" w:space="0" w:color="auto"/>
            </w:tcBorders>
          </w:tcPr>
          <w:p w:rsidR="00000000" w:rsidRDefault="00000000">
            <w:pPr>
              <w:pStyle w:val="BodyTextIndent2"/>
              <w:spacing w:after="120"/>
              <w:ind w:left="0" w:firstLine="0"/>
              <w:rPr>
                <w:sz w:val="17"/>
              </w:rPr>
            </w:pPr>
            <w:r>
              <w:rPr>
                <w:sz w:val="17"/>
              </w:rPr>
              <w:t>Party for the Regeneration of Kazakhstan</w:t>
            </w:r>
          </w:p>
        </w:tc>
        <w:tc>
          <w:tcPr>
            <w:tcW w:w="1260" w:type="dxa"/>
            <w:tcBorders>
              <w:top w:val="single" w:sz="12" w:space="0" w:color="auto"/>
            </w:tcBorders>
          </w:tcPr>
          <w:p w:rsidR="00000000" w:rsidRDefault="00000000">
            <w:pPr>
              <w:pStyle w:val="BodyTextIndent2"/>
              <w:spacing w:after="120"/>
              <w:ind w:left="0" w:firstLine="0"/>
              <w:jc w:val="right"/>
              <w:rPr>
                <w:sz w:val="17"/>
              </w:rPr>
            </w:pPr>
            <w:r>
              <w:rPr>
                <w:sz w:val="17"/>
              </w:rPr>
              <w:t>10</w:t>
            </w:r>
          </w:p>
        </w:tc>
        <w:tc>
          <w:tcPr>
            <w:tcW w:w="1530" w:type="dxa"/>
            <w:tcBorders>
              <w:top w:val="single" w:sz="12" w:space="0" w:color="auto"/>
            </w:tcBorders>
          </w:tcPr>
          <w:p w:rsidR="00000000" w:rsidRDefault="00000000">
            <w:pPr>
              <w:pStyle w:val="BodyTextIndent2"/>
              <w:spacing w:after="120"/>
              <w:ind w:left="0" w:firstLine="0"/>
              <w:jc w:val="right"/>
              <w:rPr>
                <w:sz w:val="17"/>
              </w:rPr>
            </w:pPr>
            <w:r>
              <w:rPr>
                <w:sz w:val="17"/>
              </w:rPr>
              <w:t>60</w:t>
            </w:r>
          </w:p>
        </w:tc>
        <w:tc>
          <w:tcPr>
            <w:tcW w:w="1620" w:type="dxa"/>
            <w:tcBorders>
              <w:top w:val="single" w:sz="12" w:space="0" w:color="auto"/>
            </w:tcBorders>
          </w:tcPr>
          <w:p w:rsidR="00000000" w:rsidRDefault="00000000">
            <w:pPr>
              <w:pStyle w:val="BodyTextIndent2"/>
              <w:spacing w:after="120"/>
              <w:ind w:left="0" w:firstLine="0"/>
              <w:jc w:val="right"/>
              <w:rPr>
                <w:sz w:val="17"/>
              </w:rPr>
            </w:pPr>
            <w:r>
              <w:rPr>
                <w:sz w:val="17"/>
              </w:rPr>
              <w:t>40</w:t>
            </w:r>
          </w:p>
        </w:tc>
        <w:tc>
          <w:tcPr>
            <w:tcW w:w="1498" w:type="dxa"/>
            <w:tcBorders>
              <w:top w:val="single" w:sz="12" w:space="0" w:color="auto"/>
            </w:tcBorders>
          </w:tcPr>
          <w:p w:rsidR="00000000" w:rsidRDefault="00000000">
            <w:pPr>
              <w:pStyle w:val="BodyTextIndent2"/>
              <w:spacing w:after="120"/>
              <w:ind w:left="0" w:firstLine="0"/>
              <w:jc w:val="right"/>
              <w:rPr>
                <w:sz w:val="17"/>
              </w:rPr>
            </w:pPr>
            <w:r>
              <w:rPr>
                <w:sz w:val="17"/>
              </w:rPr>
              <w:t>50</w:t>
            </w:r>
          </w:p>
        </w:tc>
      </w:tr>
      <w:tr w:rsidR="00000000">
        <w:tblPrEx>
          <w:tblCellMar>
            <w:top w:w="0" w:type="dxa"/>
            <w:bottom w:w="0" w:type="dxa"/>
          </w:tblCellMar>
        </w:tblPrEx>
        <w:trPr>
          <w:jc w:val="right"/>
        </w:trPr>
        <w:tc>
          <w:tcPr>
            <w:tcW w:w="648" w:type="dxa"/>
          </w:tcPr>
          <w:p w:rsidR="00000000" w:rsidRDefault="00000000">
            <w:pPr>
              <w:pStyle w:val="BodyTextIndent2"/>
              <w:spacing w:after="120"/>
              <w:ind w:left="0" w:firstLine="0"/>
              <w:rPr>
                <w:sz w:val="17"/>
              </w:rPr>
            </w:pPr>
            <w:r>
              <w:rPr>
                <w:sz w:val="17"/>
              </w:rPr>
              <w:t>2.</w:t>
            </w:r>
          </w:p>
        </w:tc>
        <w:tc>
          <w:tcPr>
            <w:tcW w:w="3510" w:type="dxa"/>
          </w:tcPr>
          <w:p w:rsidR="00000000" w:rsidRDefault="00000000">
            <w:pPr>
              <w:pStyle w:val="BodyTextIndent2"/>
              <w:spacing w:after="120"/>
              <w:ind w:left="0" w:firstLine="0"/>
              <w:rPr>
                <w:sz w:val="17"/>
              </w:rPr>
            </w:pPr>
            <w:r>
              <w:rPr>
                <w:sz w:val="17"/>
              </w:rPr>
              <w:t>Communist Party of Kazakhstan</w:t>
            </w:r>
          </w:p>
        </w:tc>
        <w:tc>
          <w:tcPr>
            <w:tcW w:w="1260" w:type="dxa"/>
          </w:tcPr>
          <w:p w:rsidR="00000000" w:rsidRDefault="00000000">
            <w:pPr>
              <w:pStyle w:val="BodyTextIndent2"/>
              <w:spacing w:after="120"/>
              <w:ind w:left="0" w:firstLine="0"/>
              <w:jc w:val="right"/>
              <w:rPr>
                <w:sz w:val="17"/>
              </w:rPr>
            </w:pPr>
            <w:r>
              <w:rPr>
                <w:sz w:val="17"/>
              </w:rPr>
              <w:t>17</w:t>
            </w:r>
          </w:p>
        </w:tc>
        <w:tc>
          <w:tcPr>
            <w:tcW w:w="1530" w:type="dxa"/>
          </w:tcPr>
          <w:p w:rsidR="00000000" w:rsidRDefault="00000000">
            <w:pPr>
              <w:pStyle w:val="BodyTextIndent2"/>
              <w:spacing w:after="120"/>
              <w:ind w:left="0" w:firstLine="0"/>
              <w:jc w:val="right"/>
              <w:rPr>
                <w:sz w:val="17"/>
              </w:rPr>
            </w:pPr>
            <w:r>
              <w:rPr>
                <w:sz w:val="17"/>
              </w:rPr>
              <w:t>28.5</w:t>
            </w:r>
          </w:p>
        </w:tc>
        <w:tc>
          <w:tcPr>
            <w:tcW w:w="1620" w:type="dxa"/>
          </w:tcPr>
          <w:p w:rsidR="00000000" w:rsidRDefault="00000000">
            <w:pPr>
              <w:pStyle w:val="BodyTextIndent2"/>
              <w:spacing w:after="120"/>
              <w:ind w:left="0" w:firstLine="0"/>
              <w:jc w:val="right"/>
              <w:rPr>
                <w:sz w:val="17"/>
              </w:rPr>
            </w:pPr>
            <w:r>
              <w:rPr>
                <w:sz w:val="17"/>
              </w:rPr>
              <w:t>30</w:t>
            </w:r>
          </w:p>
        </w:tc>
        <w:tc>
          <w:tcPr>
            <w:tcW w:w="1498" w:type="dxa"/>
          </w:tcPr>
          <w:p w:rsidR="00000000" w:rsidRDefault="00000000">
            <w:pPr>
              <w:pStyle w:val="BodyTextIndent2"/>
              <w:spacing w:after="120"/>
              <w:ind w:left="0" w:firstLine="0"/>
              <w:jc w:val="right"/>
              <w:rPr>
                <w:sz w:val="17"/>
              </w:rPr>
            </w:pPr>
            <w:r>
              <w:rPr>
                <w:sz w:val="17"/>
              </w:rPr>
              <w:t>29.4</w:t>
            </w:r>
          </w:p>
        </w:tc>
      </w:tr>
      <w:tr w:rsidR="00000000">
        <w:tblPrEx>
          <w:tblCellMar>
            <w:top w:w="0" w:type="dxa"/>
            <w:bottom w:w="0" w:type="dxa"/>
          </w:tblCellMar>
        </w:tblPrEx>
        <w:trPr>
          <w:jc w:val="right"/>
        </w:trPr>
        <w:tc>
          <w:tcPr>
            <w:tcW w:w="648" w:type="dxa"/>
          </w:tcPr>
          <w:p w:rsidR="00000000" w:rsidRDefault="00000000">
            <w:pPr>
              <w:pStyle w:val="BodyTextIndent2"/>
              <w:spacing w:after="120"/>
              <w:ind w:left="0" w:firstLine="0"/>
              <w:rPr>
                <w:sz w:val="17"/>
              </w:rPr>
            </w:pPr>
            <w:r>
              <w:rPr>
                <w:sz w:val="17"/>
              </w:rPr>
              <w:t>3.</w:t>
            </w:r>
          </w:p>
        </w:tc>
        <w:tc>
          <w:tcPr>
            <w:tcW w:w="3510" w:type="dxa"/>
          </w:tcPr>
          <w:p w:rsidR="00000000" w:rsidRDefault="00000000">
            <w:pPr>
              <w:pStyle w:val="BodyTextIndent2"/>
              <w:spacing w:after="120"/>
              <w:ind w:left="0" w:firstLine="0"/>
              <w:rPr>
                <w:sz w:val="17"/>
              </w:rPr>
            </w:pPr>
            <w:r>
              <w:rPr>
                <w:sz w:val="17"/>
              </w:rPr>
              <w:t>Kazakhstan People’s Congress</w:t>
            </w:r>
          </w:p>
        </w:tc>
        <w:tc>
          <w:tcPr>
            <w:tcW w:w="1260" w:type="dxa"/>
          </w:tcPr>
          <w:p w:rsidR="00000000" w:rsidRDefault="00000000">
            <w:pPr>
              <w:pStyle w:val="BodyTextIndent2"/>
              <w:spacing w:after="120"/>
              <w:ind w:left="0" w:firstLine="0"/>
              <w:jc w:val="right"/>
              <w:rPr>
                <w:sz w:val="17"/>
              </w:rPr>
            </w:pPr>
            <w:r>
              <w:rPr>
                <w:sz w:val="17"/>
              </w:rPr>
              <w:t>4</w:t>
            </w:r>
          </w:p>
        </w:tc>
        <w:tc>
          <w:tcPr>
            <w:tcW w:w="1530" w:type="dxa"/>
          </w:tcPr>
          <w:p w:rsidR="00000000" w:rsidRDefault="00000000">
            <w:pPr>
              <w:pStyle w:val="BodyTextIndent2"/>
              <w:spacing w:after="120"/>
              <w:ind w:left="0" w:firstLine="0"/>
              <w:jc w:val="right"/>
              <w:rPr>
                <w:sz w:val="17"/>
              </w:rPr>
            </w:pPr>
            <w:r>
              <w:rPr>
                <w:sz w:val="17"/>
              </w:rPr>
              <w:t>50</w:t>
            </w:r>
          </w:p>
        </w:tc>
        <w:tc>
          <w:tcPr>
            <w:tcW w:w="1620" w:type="dxa"/>
          </w:tcPr>
          <w:p w:rsidR="00000000" w:rsidRDefault="00000000">
            <w:pPr>
              <w:pStyle w:val="BodyTextIndent2"/>
              <w:spacing w:after="120"/>
              <w:ind w:left="0" w:firstLine="0"/>
              <w:jc w:val="right"/>
              <w:rPr>
                <w:sz w:val="17"/>
              </w:rPr>
            </w:pPr>
            <w:r>
              <w:rPr>
                <w:sz w:val="17"/>
              </w:rPr>
              <w:t>0</w:t>
            </w:r>
          </w:p>
        </w:tc>
        <w:tc>
          <w:tcPr>
            <w:tcW w:w="1498" w:type="dxa"/>
          </w:tcPr>
          <w:p w:rsidR="00000000" w:rsidRDefault="00000000">
            <w:pPr>
              <w:pStyle w:val="BodyTextIndent2"/>
              <w:spacing w:after="120"/>
              <w:ind w:left="0" w:firstLine="0"/>
              <w:jc w:val="right"/>
              <w:rPr>
                <w:sz w:val="17"/>
              </w:rPr>
            </w:pPr>
            <w:r>
              <w:rPr>
                <w:sz w:val="17"/>
              </w:rPr>
              <w:t>25</w:t>
            </w:r>
          </w:p>
        </w:tc>
      </w:tr>
      <w:tr w:rsidR="00000000">
        <w:tblPrEx>
          <w:tblCellMar>
            <w:top w:w="0" w:type="dxa"/>
            <w:bottom w:w="0" w:type="dxa"/>
          </w:tblCellMar>
        </w:tblPrEx>
        <w:trPr>
          <w:jc w:val="right"/>
        </w:trPr>
        <w:tc>
          <w:tcPr>
            <w:tcW w:w="648" w:type="dxa"/>
          </w:tcPr>
          <w:p w:rsidR="00000000" w:rsidRDefault="00000000">
            <w:pPr>
              <w:pStyle w:val="BodyTextIndent2"/>
              <w:spacing w:after="120"/>
              <w:ind w:left="0" w:firstLine="0"/>
              <w:rPr>
                <w:sz w:val="17"/>
              </w:rPr>
            </w:pPr>
            <w:r>
              <w:rPr>
                <w:sz w:val="17"/>
              </w:rPr>
              <w:t>4.</w:t>
            </w:r>
          </w:p>
        </w:tc>
        <w:tc>
          <w:tcPr>
            <w:tcW w:w="3510" w:type="dxa"/>
          </w:tcPr>
          <w:p w:rsidR="00000000" w:rsidRDefault="00000000">
            <w:pPr>
              <w:pStyle w:val="BodyTextIndent2"/>
              <w:spacing w:after="120"/>
              <w:ind w:left="0" w:firstLine="0"/>
              <w:rPr>
                <w:sz w:val="17"/>
              </w:rPr>
            </w:pPr>
            <w:r>
              <w:rPr>
                <w:sz w:val="17"/>
              </w:rPr>
              <w:t>Kazakhstan Agrarian Party</w:t>
            </w:r>
          </w:p>
        </w:tc>
        <w:tc>
          <w:tcPr>
            <w:tcW w:w="1260" w:type="dxa"/>
          </w:tcPr>
          <w:p w:rsidR="00000000" w:rsidRDefault="00000000">
            <w:pPr>
              <w:pStyle w:val="BodyTextIndent2"/>
              <w:spacing w:after="120"/>
              <w:ind w:left="0" w:firstLine="0"/>
              <w:jc w:val="right"/>
              <w:rPr>
                <w:sz w:val="17"/>
              </w:rPr>
            </w:pPr>
            <w:r>
              <w:rPr>
                <w:sz w:val="17"/>
              </w:rPr>
              <w:t>9</w:t>
            </w:r>
          </w:p>
        </w:tc>
        <w:tc>
          <w:tcPr>
            <w:tcW w:w="1530" w:type="dxa"/>
          </w:tcPr>
          <w:p w:rsidR="00000000" w:rsidRDefault="00000000">
            <w:pPr>
              <w:pStyle w:val="BodyTextIndent2"/>
              <w:spacing w:after="120"/>
              <w:ind w:left="0" w:firstLine="0"/>
              <w:jc w:val="right"/>
              <w:rPr>
                <w:sz w:val="17"/>
              </w:rPr>
            </w:pPr>
            <w:r>
              <w:rPr>
                <w:sz w:val="17"/>
              </w:rPr>
              <w:t>28.5</w:t>
            </w:r>
          </w:p>
        </w:tc>
        <w:tc>
          <w:tcPr>
            <w:tcW w:w="1620" w:type="dxa"/>
          </w:tcPr>
          <w:p w:rsidR="00000000" w:rsidRDefault="00000000">
            <w:pPr>
              <w:pStyle w:val="BodyTextIndent2"/>
              <w:spacing w:after="120"/>
              <w:ind w:left="0" w:firstLine="0"/>
              <w:jc w:val="right"/>
              <w:rPr>
                <w:sz w:val="17"/>
              </w:rPr>
            </w:pPr>
            <w:r>
              <w:rPr>
                <w:sz w:val="17"/>
              </w:rPr>
              <w:t>0</w:t>
            </w:r>
          </w:p>
        </w:tc>
        <w:tc>
          <w:tcPr>
            <w:tcW w:w="1498" w:type="dxa"/>
          </w:tcPr>
          <w:p w:rsidR="00000000" w:rsidRDefault="00000000">
            <w:pPr>
              <w:pStyle w:val="BodyTextIndent2"/>
              <w:spacing w:after="120"/>
              <w:ind w:left="0" w:firstLine="0"/>
              <w:jc w:val="right"/>
              <w:rPr>
                <w:sz w:val="17"/>
              </w:rPr>
            </w:pPr>
            <w:r>
              <w:rPr>
                <w:sz w:val="17"/>
              </w:rPr>
              <w:t>22.2</w:t>
            </w:r>
          </w:p>
        </w:tc>
      </w:tr>
      <w:tr w:rsidR="00000000">
        <w:tblPrEx>
          <w:tblCellMar>
            <w:top w:w="0" w:type="dxa"/>
            <w:bottom w:w="0" w:type="dxa"/>
          </w:tblCellMar>
        </w:tblPrEx>
        <w:trPr>
          <w:jc w:val="right"/>
        </w:trPr>
        <w:tc>
          <w:tcPr>
            <w:tcW w:w="648" w:type="dxa"/>
          </w:tcPr>
          <w:p w:rsidR="00000000" w:rsidRDefault="00000000">
            <w:pPr>
              <w:pStyle w:val="BodyTextIndent2"/>
              <w:spacing w:after="120"/>
              <w:ind w:left="0" w:firstLine="0"/>
              <w:rPr>
                <w:sz w:val="17"/>
              </w:rPr>
            </w:pPr>
            <w:r>
              <w:rPr>
                <w:sz w:val="17"/>
              </w:rPr>
              <w:t>5.</w:t>
            </w:r>
          </w:p>
        </w:tc>
        <w:tc>
          <w:tcPr>
            <w:tcW w:w="3510" w:type="dxa"/>
          </w:tcPr>
          <w:p w:rsidR="00000000" w:rsidRDefault="00000000">
            <w:pPr>
              <w:pStyle w:val="BodyTextIndent2"/>
              <w:spacing w:after="120"/>
              <w:ind w:left="0" w:firstLine="0"/>
              <w:rPr>
                <w:sz w:val="17"/>
              </w:rPr>
            </w:pPr>
            <w:r>
              <w:rPr>
                <w:sz w:val="17"/>
              </w:rPr>
              <w:t>“Otan”</w:t>
            </w:r>
          </w:p>
        </w:tc>
        <w:tc>
          <w:tcPr>
            <w:tcW w:w="1260" w:type="dxa"/>
          </w:tcPr>
          <w:p w:rsidR="00000000" w:rsidRDefault="00000000">
            <w:pPr>
              <w:pStyle w:val="BodyTextIndent2"/>
              <w:spacing w:after="120"/>
              <w:ind w:left="0" w:firstLine="0"/>
              <w:jc w:val="right"/>
              <w:rPr>
                <w:sz w:val="17"/>
              </w:rPr>
            </w:pPr>
            <w:r>
              <w:rPr>
                <w:sz w:val="17"/>
              </w:rPr>
              <w:t>61</w:t>
            </w:r>
          </w:p>
        </w:tc>
        <w:tc>
          <w:tcPr>
            <w:tcW w:w="1530" w:type="dxa"/>
          </w:tcPr>
          <w:p w:rsidR="00000000" w:rsidRDefault="00000000">
            <w:pPr>
              <w:pStyle w:val="BodyTextIndent2"/>
              <w:spacing w:after="120"/>
              <w:ind w:left="0" w:firstLine="0"/>
              <w:jc w:val="right"/>
              <w:rPr>
                <w:sz w:val="17"/>
              </w:rPr>
            </w:pPr>
            <w:r>
              <w:rPr>
                <w:sz w:val="17"/>
              </w:rPr>
              <w:t>22.2</w:t>
            </w:r>
          </w:p>
        </w:tc>
        <w:tc>
          <w:tcPr>
            <w:tcW w:w="1620" w:type="dxa"/>
          </w:tcPr>
          <w:p w:rsidR="00000000" w:rsidRDefault="00000000">
            <w:pPr>
              <w:pStyle w:val="BodyTextIndent2"/>
              <w:spacing w:after="120"/>
              <w:ind w:left="0" w:firstLine="0"/>
              <w:jc w:val="right"/>
              <w:rPr>
                <w:sz w:val="17"/>
              </w:rPr>
            </w:pPr>
            <w:r>
              <w:rPr>
                <w:sz w:val="17"/>
              </w:rPr>
              <w:t>18.6</w:t>
            </w:r>
          </w:p>
        </w:tc>
        <w:tc>
          <w:tcPr>
            <w:tcW w:w="1498" w:type="dxa"/>
          </w:tcPr>
          <w:p w:rsidR="00000000" w:rsidRDefault="00000000">
            <w:pPr>
              <w:pStyle w:val="BodyTextIndent2"/>
              <w:spacing w:after="120"/>
              <w:ind w:left="0" w:firstLine="0"/>
              <w:jc w:val="right"/>
              <w:rPr>
                <w:sz w:val="17"/>
              </w:rPr>
            </w:pPr>
            <w:r>
              <w:rPr>
                <w:sz w:val="17"/>
              </w:rPr>
              <w:t>19.7</w:t>
            </w:r>
          </w:p>
        </w:tc>
      </w:tr>
      <w:tr w:rsidR="00000000">
        <w:tblPrEx>
          <w:tblCellMar>
            <w:top w:w="0" w:type="dxa"/>
            <w:bottom w:w="0" w:type="dxa"/>
          </w:tblCellMar>
        </w:tblPrEx>
        <w:trPr>
          <w:jc w:val="right"/>
        </w:trPr>
        <w:tc>
          <w:tcPr>
            <w:tcW w:w="648" w:type="dxa"/>
          </w:tcPr>
          <w:p w:rsidR="00000000" w:rsidRDefault="00000000">
            <w:pPr>
              <w:pStyle w:val="BodyTextIndent2"/>
              <w:spacing w:after="120"/>
              <w:ind w:left="0" w:firstLine="0"/>
              <w:rPr>
                <w:sz w:val="17"/>
              </w:rPr>
            </w:pPr>
            <w:r>
              <w:rPr>
                <w:sz w:val="17"/>
              </w:rPr>
              <w:t>6.</w:t>
            </w:r>
          </w:p>
        </w:tc>
        <w:tc>
          <w:tcPr>
            <w:tcW w:w="3510" w:type="dxa"/>
          </w:tcPr>
          <w:p w:rsidR="00000000" w:rsidRDefault="00000000">
            <w:pPr>
              <w:pStyle w:val="BodyTextIndent2"/>
              <w:spacing w:after="120"/>
              <w:ind w:left="0" w:firstLine="0"/>
              <w:rPr>
                <w:sz w:val="17"/>
              </w:rPr>
            </w:pPr>
            <w:r>
              <w:rPr>
                <w:sz w:val="17"/>
              </w:rPr>
              <w:t>Kazakhstan Democratic Party (“Azamat”)</w:t>
            </w:r>
          </w:p>
        </w:tc>
        <w:tc>
          <w:tcPr>
            <w:tcW w:w="1260" w:type="dxa"/>
          </w:tcPr>
          <w:p w:rsidR="00000000" w:rsidRDefault="00000000">
            <w:pPr>
              <w:pStyle w:val="BodyTextIndent2"/>
              <w:spacing w:after="120"/>
              <w:ind w:left="0" w:firstLine="0"/>
              <w:jc w:val="right"/>
              <w:rPr>
                <w:sz w:val="17"/>
              </w:rPr>
            </w:pPr>
            <w:r>
              <w:rPr>
                <w:sz w:val="17"/>
              </w:rPr>
              <w:t>28</w:t>
            </w:r>
          </w:p>
        </w:tc>
        <w:tc>
          <w:tcPr>
            <w:tcW w:w="1530" w:type="dxa"/>
          </w:tcPr>
          <w:p w:rsidR="00000000" w:rsidRDefault="00000000">
            <w:pPr>
              <w:pStyle w:val="BodyTextIndent2"/>
              <w:spacing w:after="120"/>
              <w:ind w:left="0" w:firstLine="0"/>
              <w:jc w:val="right"/>
              <w:rPr>
                <w:sz w:val="17"/>
              </w:rPr>
            </w:pPr>
            <w:r>
              <w:rPr>
                <w:sz w:val="17"/>
              </w:rPr>
              <w:t>10</w:t>
            </w:r>
          </w:p>
        </w:tc>
        <w:tc>
          <w:tcPr>
            <w:tcW w:w="1620" w:type="dxa"/>
          </w:tcPr>
          <w:p w:rsidR="00000000" w:rsidRDefault="00000000">
            <w:pPr>
              <w:pStyle w:val="BodyTextIndent2"/>
              <w:spacing w:after="120"/>
              <w:ind w:left="0" w:firstLine="0"/>
              <w:jc w:val="right"/>
              <w:rPr>
                <w:sz w:val="17"/>
              </w:rPr>
            </w:pPr>
            <w:r>
              <w:rPr>
                <w:sz w:val="17"/>
              </w:rPr>
              <w:t>16.7</w:t>
            </w:r>
          </w:p>
        </w:tc>
        <w:tc>
          <w:tcPr>
            <w:tcW w:w="1498" w:type="dxa"/>
          </w:tcPr>
          <w:p w:rsidR="00000000" w:rsidRDefault="00000000">
            <w:pPr>
              <w:pStyle w:val="BodyTextIndent2"/>
              <w:spacing w:after="120"/>
              <w:ind w:left="0" w:firstLine="0"/>
              <w:jc w:val="right"/>
              <w:rPr>
                <w:sz w:val="17"/>
              </w:rPr>
            </w:pPr>
            <w:r>
              <w:rPr>
                <w:sz w:val="17"/>
              </w:rPr>
              <w:t>14.3</w:t>
            </w:r>
          </w:p>
        </w:tc>
      </w:tr>
      <w:tr w:rsidR="00000000">
        <w:tblPrEx>
          <w:tblCellMar>
            <w:top w:w="0" w:type="dxa"/>
            <w:bottom w:w="0" w:type="dxa"/>
          </w:tblCellMar>
        </w:tblPrEx>
        <w:trPr>
          <w:jc w:val="right"/>
        </w:trPr>
        <w:tc>
          <w:tcPr>
            <w:tcW w:w="648" w:type="dxa"/>
          </w:tcPr>
          <w:p w:rsidR="00000000" w:rsidRDefault="00000000">
            <w:pPr>
              <w:pStyle w:val="BodyTextIndent2"/>
              <w:spacing w:after="120"/>
              <w:ind w:left="0" w:firstLine="0"/>
              <w:rPr>
                <w:sz w:val="17"/>
              </w:rPr>
            </w:pPr>
            <w:r>
              <w:rPr>
                <w:sz w:val="17"/>
              </w:rPr>
              <w:t>7.</w:t>
            </w:r>
          </w:p>
        </w:tc>
        <w:tc>
          <w:tcPr>
            <w:tcW w:w="3510" w:type="dxa"/>
          </w:tcPr>
          <w:p w:rsidR="00000000" w:rsidRDefault="00000000">
            <w:pPr>
              <w:pStyle w:val="BodyTextIndent2"/>
              <w:spacing w:after="120"/>
              <w:ind w:left="0" w:firstLine="0"/>
              <w:rPr>
                <w:sz w:val="17"/>
              </w:rPr>
            </w:pPr>
            <w:r>
              <w:rPr>
                <w:sz w:val="17"/>
              </w:rPr>
              <w:t>Kazakhstan Civic Party</w:t>
            </w:r>
          </w:p>
        </w:tc>
        <w:tc>
          <w:tcPr>
            <w:tcW w:w="1260" w:type="dxa"/>
          </w:tcPr>
          <w:p w:rsidR="00000000" w:rsidRDefault="00000000">
            <w:pPr>
              <w:pStyle w:val="BodyTextIndent2"/>
              <w:spacing w:after="120"/>
              <w:ind w:left="0" w:firstLine="0"/>
              <w:jc w:val="right"/>
              <w:rPr>
                <w:sz w:val="17"/>
              </w:rPr>
            </w:pPr>
            <w:r>
              <w:rPr>
                <w:sz w:val="17"/>
              </w:rPr>
              <w:t>36</w:t>
            </w:r>
          </w:p>
        </w:tc>
        <w:tc>
          <w:tcPr>
            <w:tcW w:w="1530" w:type="dxa"/>
          </w:tcPr>
          <w:p w:rsidR="00000000" w:rsidRDefault="00000000">
            <w:pPr>
              <w:pStyle w:val="BodyTextIndent2"/>
              <w:spacing w:after="120"/>
              <w:ind w:left="0" w:firstLine="0"/>
              <w:jc w:val="right"/>
              <w:rPr>
                <w:sz w:val="17"/>
              </w:rPr>
            </w:pPr>
            <w:r>
              <w:rPr>
                <w:sz w:val="17"/>
              </w:rPr>
              <w:t>11.1</w:t>
            </w:r>
          </w:p>
        </w:tc>
        <w:tc>
          <w:tcPr>
            <w:tcW w:w="1620" w:type="dxa"/>
          </w:tcPr>
          <w:p w:rsidR="00000000" w:rsidRDefault="00000000">
            <w:pPr>
              <w:pStyle w:val="BodyTextIndent2"/>
              <w:spacing w:after="120"/>
              <w:ind w:left="0" w:firstLine="0"/>
              <w:jc w:val="right"/>
              <w:rPr>
                <w:sz w:val="17"/>
              </w:rPr>
            </w:pPr>
            <w:r>
              <w:rPr>
                <w:sz w:val="17"/>
              </w:rPr>
              <w:t>11.1</w:t>
            </w:r>
          </w:p>
        </w:tc>
        <w:tc>
          <w:tcPr>
            <w:tcW w:w="1498" w:type="dxa"/>
          </w:tcPr>
          <w:p w:rsidR="00000000" w:rsidRDefault="00000000">
            <w:pPr>
              <w:pStyle w:val="BodyTextIndent2"/>
              <w:spacing w:after="120"/>
              <w:ind w:left="0" w:firstLine="0"/>
              <w:jc w:val="right"/>
              <w:rPr>
                <w:sz w:val="17"/>
              </w:rPr>
            </w:pPr>
            <w:r>
              <w:rPr>
                <w:sz w:val="17"/>
              </w:rPr>
              <w:t>11.1</w:t>
            </w:r>
          </w:p>
        </w:tc>
      </w:tr>
      <w:tr w:rsidR="00000000">
        <w:tblPrEx>
          <w:tblCellMar>
            <w:top w:w="0" w:type="dxa"/>
            <w:bottom w:w="0" w:type="dxa"/>
          </w:tblCellMar>
        </w:tblPrEx>
        <w:trPr>
          <w:jc w:val="right"/>
        </w:trPr>
        <w:tc>
          <w:tcPr>
            <w:tcW w:w="648" w:type="dxa"/>
          </w:tcPr>
          <w:p w:rsidR="00000000" w:rsidRDefault="00000000">
            <w:pPr>
              <w:pStyle w:val="BodyTextIndent2"/>
              <w:spacing w:after="120"/>
              <w:ind w:left="0" w:firstLine="0"/>
              <w:rPr>
                <w:sz w:val="17"/>
              </w:rPr>
            </w:pPr>
            <w:r>
              <w:rPr>
                <w:sz w:val="17"/>
              </w:rPr>
              <w:t>8.</w:t>
            </w:r>
          </w:p>
        </w:tc>
        <w:tc>
          <w:tcPr>
            <w:tcW w:w="3510" w:type="dxa"/>
          </w:tcPr>
          <w:p w:rsidR="00000000" w:rsidRDefault="00000000">
            <w:pPr>
              <w:pStyle w:val="BodyTextIndent2"/>
              <w:spacing w:after="120"/>
              <w:ind w:left="0" w:firstLine="0"/>
              <w:rPr>
                <w:sz w:val="17"/>
              </w:rPr>
            </w:pPr>
            <w:r>
              <w:rPr>
                <w:sz w:val="17"/>
              </w:rPr>
              <w:t>Kazakhstan National Party (“Alash”)</w:t>
            </w:r>
          </w:p>
        </w:tc>
        <w:tc>
          <w:tcPr>
            <w:tcW w:w="1260" w:type="dxa"/>
          </w:tcPr>
          <w:p w:rsidR="00000000" w:rsidRDefault="00000000">
            <w:pPr>
              <w:pStyle w:val="BodyTextIndent2"/>
              <w:spacing w:after="120"/>
              <w:ind w:left="0" w:firstLine="0"/>
              <w:jc w:val="right"/>
              <w:rPr>
                <w:sz w:val="17"/>
              </w:rPr>
            </w:pPr>
            <w:r>
              <w:rPr>
                <w:sz w:val="17"/>
              </w:rPr>
              <w:t>2</w:t>
            </w:r>
          </w:p>
        </w:tc>
        <w:tc>
          <w:tcPr>
            <w:tcW w:w="1530" w:type="dxa"/>
          </w:tcPr>
          <w:p w:rsidR="00000000" w:rsidRDefault="00000000">
            <w:pPr>
              <w:pStyle w:val="BodyTextIndent2"/>
              <w:spacing w:after="120"/>
              <w:ind w:left="0" w:firstLine="0"/>
              <w:jc w:val="right"/>
              <w:rPr>
                <w:sz w:val="17"/>
              </w:rPr>
            </w:pPr>
            <w:r>
              <w:rPr>
                <w:sz w:val="17"/>
              </w:rPr>
              <w:t>0</w:t>
            </w:r>
          </w:p>
        </w:tc>
        <w:tc>
          <w:tcPr>
            <w:tcW w:w="1620" w:type="dxa"/>
          </w:tcPr>
          <w:p w:rsidR="00000000" w:rsidRDefault="00000000">
            <w:pPr>
              <w:pStyle w:val="BodyTextIndent2"/>
              <w:spacing w:after="120"/>
              <w:ind w:left="0" w:firstLine="0"/>
              <w:jc w:val="right"/>
              <w:rPr>
                <w:sz w:val="17"/>
              </w:rPr>
            </w:pPr>
            <w:r>
              <w:rPr>
                <w:sz w:val="17"/>
              </w:rPr>
              <w:t>0</w:t>
            </w:r>
          </w:p>
        </w:tc>
        <w:tc>
          <w:tcPr>
            <w:tcW w:w="1498" w:type="dxa"/>
          </w:tcPr>
          <w:p w:rsidR="00000000" w:rsidRDefault="00000000">
            <w:pPr>
              <w:pStyle w:val="BodyTextIndent2"/>
              <w:spacing w:after="120"/>
              <w:ind w:left="0" w:firstLine="0"/>
              <w:jc w:val="right"/>
              <w:rPr>
                <w:sz w:val="17"/>
              </w:rPr>
            </w:pPr>
            <w:r>
              <w:rPr>
                <w:sz w:val="17"/>
              </w:rPr>
              <w:t>0</w:t>
            </w:r>
          </w:p>
        </w:tc>
      </w:tr>
      <w:tr w:rsidR="00000000">
        <w:tblPrEx>
          <w:tblCellMar>
            <w:top w:w="0" w:type="dxa"/>
            <w:bottom w:w="0" w:type="dxa"/>
          </w:tblCellMar>
        </w:tblPrEx>
        <w:trPr>
          <w:jc w:val="right"/>
        </w:trPr>
        <w:tc>
          <w:tcPr>
            <w:tcW w:w="648" w:type="dxa"/>
          </w:tcPr>
          <w:p w:rsidR="00000000" w:rsidRDefault="00000000">
            <w:pPr>
              <w:pStyle w:val="BodyTextIndent2"/>
              <w:spacing w:after="120"/>
              <w:ind w:left="0" w:firstLine="0"/>
              <w:rPr>
                <w:sz w:val="17"/>
              </w:rPr>
            </w:pPr>
            <w:r>
              <w:rPr>
                <w:sz w:val="17"/>
              </w:rPr>
              <w:t>9.</w:t>
            </w:r>
          </w:p>
        </w:tc>
        <w:tc>
          <w:tcPr>
            <w:tcW w:w="3510" w:type="dxa"/>
          </w:tcPr>
          <w:p w:rsidR="00000000" w:rsidRDefault="00000000">
            <w:pPr>
              <w:pStyle w:val="BodyTextIndent2"/>
              <w:spacing w:after="120"/>
              <w:ind w:left="0" w:firstLine="0"/>
              <w:rPr>
                <w:sz w:val="17"/>
              </w:rPr>
            </w:pPr>
            <w:r>
              <w:rPr>
                <w:sz w:val="17"/>
              </w:rPr>
              <w:t>Kazakhstan People’s Cooperative Party</w:t>
            </w:r>
          </w:p>
        </w:tc>
        <w:tc>
          <w:tcPr>
            <w:tcW w:w="1260" w:type="dxa"/>
          </w:tcPr>
          <w:p w:rsidR="00000000" w:rsidRDefault="00000000">
            <w:pPr>
              <w:pStyle w:val="BodyTextIndent2"/>
              <w:spacing w:after="120"/>
              <w:ind w:left="0" w:firstLine="0"/>
              <w:jc w:val="right"/>
              <w:rPr>
                <w:sz w:val="17"/>
              </w:rPr>
            </w:pPr>
            <w:r>
              <w:rPr>
                <w:sz w:val="17"/>
              </w:rPr>
              <w:t>4</w:t>
            </w:r>
          </w:p>
        </w:tc>
        <w:tc>
          <w:tcPr>
            <w:tcW w:w="1530" w:type="dxa"/>
          </w:tcPr>
          <w:p w:rsidR="00000000" w:rsidRDefault="00000000">
            <w:pPr>
              <w:pStyle w:val="BodyTextIndent2"/>
              <w:spacing w:after="120"/>
              <w:ind w:left="0" w:firstLine="0"/>
              <w:jc w:val="right"/>
              <w:rPr>
                <w:sz w:val="17"/>
              </w:rPr>
            </w:pPr>
            <w:r>
              <w:rPr>
                <w:sz w:val="17"/>
              </w:rPr>
              <w:t>-</w:t>
            </w:r>
          </w:p>
        </w:tc>
        <w:tc>
          <w:tcPr>
            <w:tcW w:w="1620" w:type="dxa"/>
          </w:tcPr>
          <w:p w:rsidR="00000000" w:rsidRDefault="00000000">
            <w:pPr>
              <w:pStyle w:val="BodyTextIndent2"/>
              <w:spacing w:after="120"/>
              <w:ind w:left="0" w:firstLine="0"/>
              <w:jc w:val="right"/>
              <w:rPr>
                <w:sz w:val="17"/>
              </w:rPr>
            </w:pPr>
            <w:r>
              <w:rPr>
                <w:sz w:val="17"/>
              </w:rPr>
              <w:t>0</w:t>
            </w:r>
          </w:p>
        </w:tc>
        <w:tc>
          <w:tcPr>
            <w:tcW w:w="1498" w:type="dxa"/>
          </w:tcPr>
          <w:p w:rsidR="00000000" w:rsidRDefault="00000000">
            <w:pPr>
              <w:pStyle w:val="BodyTextIndent2"/>
              <w:spacing w:after="120"/>
              <w:ind w:left="0" w:firstLine="0"/>
              <w:jc w:val="right"/>
              <w:rPr>
                <w:sz w:val="17"/>
              </w:rPr>
            </w:pPr>
            <w:r>
              <w:rPr>
                <w:sz w:val="17"/>
              </w:rPr>
              <w:t>0</w:t>
            </w:r>
          </w:p>
        </w:tc>
      </w:tr>
      <w:tr w:rsidR="00000000">
        <w:tblPrEx>
          <w:tblCellMar>
            <w:top w:w="0" w:type="dxa"/>
            <w:bottom w:w="0" w:type="dxa"/>
          </w:tblCellMar>
        </w:tblPrEx>
        <w:trPr>
          <w:jc w:val="right"/>
        </w:trPr>
        <w:tc>
          <w:tcPr>
            <w:tcW w:w="648" w:type="dxa"/>
          </w:tcPr>
          <w:p w:rsidR="00000000" w:rsidRDefault="00000000">
            <w:pPr>
              <w:pStyle w:val="BodyTextIndent2"/>
              <w:spacing w:after="120"/>
              <w:ind w:left="0" w:firstLine="0"/>
              <w:rPr>
                <w:sz w:val="17"/>
              </w:rPr>
            </w:pPr>
            <w:r>
              <w:rPr>
                <w:sz w:val="17"/>
              </w:rPr>
              <w:t>10.</w:t>
            </w:r>
          </w:p>
        </w:tc>
        <w:tc>
          <w:tcPr>
            <w:tcW w:w="3510" w:type="dxa"/>
          </w:tcPr>
          <w:p w:rsidR="00000000" w:rsidRDefault="00000000">
            <w:pPr>
              <w:pStyle w:val="BodyTextIndent2"/>
              <w:spacing w:after="120"/>
              <w:ind w:left="0" w:firstLine="0"/>
              <w:rPr>
                <w:sz w:val="17"/>
              </w:rPr>
            </w:pPr>
            <w:r>
              <w:rPr>
                <w:sz w:val="17"/>
              </w:rPr>
              <w:t>Republican Political Labour Party</w:t>
            </w:r>
          </w:p>
        </w:tc>
        <w:tc>
          <w:tcPr>
            <w:tcW w:w="1260" w:type="dxa"/>
          </w:tcPr>
          <w:p w:rsidR="00000000" w:rsidRDefault="00000000">
            <w:pPr>
              <w:pStyle w:val="BodyTextIndent2"/>
              <w:spacing w:after="120"/>
              <w:ind w:left="0" w:firstLine="0"/>
              <w:jc w:val="right"/>
              <w:rPr>
                <w:sz w:val="17"/>
              </w:rPr>
            </w:pPr>
            <w:r>
              <w:rPr>
                <w:sz w:val="17"/>
              </w:rPr>
              <w:t>7</w:t>
            </w:r>
          </w:p>
        </w:tc>
        <w:tc>
          <w:tcPr>
            <w:tcW w:w="1530" w:type="dxa"/>
          </w:tcPr>
          <w:p w:rsidR="00000000" w:rsidRDefault="00000000">
            <w:pPr>
              <w:pStyle w:val="BodyTextIndent2"/>
              <w:spacing w:after="120"/>
              <w:ind w:left="0" w:firstLine="0"/>
              <w:jc w:val="right"/>
              <w:rPr>
                <w:sz w:val="17"/>
              </w:rPr>
            </w:pPr>
            <w:r>
              <w:rPr>
                <w:sz w:val="17"/>
              </w:rPr>
              <w:t>0</w:t>
            </w:r>
          </w:p>
        </w:tc>
        <w:tc>
          <w:tcPr>
            <w:tcW w:w="1620" w:type="dxa"/>
          </w:tcPr>
          <w:p w:rsidR="00000000" w:rsidRDefault="00000000">
            <w:pPr>
              <w:pStyle w:val="BodyTextIndent2"/>
              <w:spacing w:after="120"/>
              <w:ind w:left="0" w:firstLine="0"/>
              <w:jc w:val="right"/>
              <w:rPr>
                <w:sz w:val="17"/>
              </w:rPr>
            </w:pPr>
            <w:r>
              <w:rPr>
                <w:sz w:val="17"/>
              </w:rPr>
              <w:t>0</w:t>
            </w:r>
          </w:p>
        </w:tc>
        <w:tc>
          <w:tcPr>
            <w:tcW w:w="1498" w:type="dxa"/>
          </w:tcPr>
          <w:p w:rsidR="00000000" w:rsidRDefault="00000000">
            <w:pPr>
              <w:pStyle w:val="BodyTextIndent2"/>
              <w:spacing w:after="120"/>
              <w:ind w:left="0" w:firstLine="0"/>
              <w:jc w:val="right"/>
              <w:rPr>
                <w:sz w:val="17"/>
              </w:rPr>
            </w:pPr>
            <w:r>
              <w:rPr>
                <w:sz w:val="17"/>
              </w:rPr>
              <w:t>0</w:t>
            </w:r>
          </w:p>
        </w:tc>
      </w:tr>
      <w:tr w:rsidR="00000000">
        <w:tblPrEx>
          <w:tblCellMar>
            <w:top w:w="0" w:type="dxa"/>
            <w:bottom w:w="0" w:type="dxa"/>
          </w:tblCellMar>
        </w:tblPrEx>
        <w:trPr>
          <w:jc w:val="right"/>
        </w:trPr>
        <w:tc>
          <w:tcPr>
            <w:tcW w:w="648" w:type="dxa"/>
            <w:tcBorders>
              <w:bottom w:val="single" w:sz="12" w:space="0" w:color="auto"/>
            </w:tcBorders>
          </w:tcPr>
          <w:p w:rsidR="00000000" w:rsidRDefault="00000000">
            <w:pPr>
              <w:pStyle w:val="BodyTextIndent2"/>
              <w:spacing w:after="120"/>
              <w:ind w:left="0" w:firstLine="0"/>
              <w:rPr>
                <w:sz w:val="17"/>
              </w:rPr>
            </w:pPr>
            <w:r>
              <w:rPr>
                <w:sz w:val="17"/>
              </w:rPr>
              <w:t>11.</w:t>
            </w:r>
          </w:p>
        </w:tc>
        <w:tc>
          <w:tcPr>
            <w:tcW w:w="3510" w:type="dxa"/>
            <w:tcBorders>
              <w:bottom w:val="single" w:sz="12" w:space="0" w:color="auto"/>
            </w:tcBorders>
          </w:tcPr>
          <w:p w:rsidR="00000000" w:rsidRDefault="00000000">
            <w:pPr>
              <w:pStyle w:val="BodyTextIndent2"/>
              <w:spacing w:after="120"/>
              <w:ind w:left="0" w:firstLine="0"/>
              <w:rPr>
                <w:sz w:val="17"/>
              </w:rPr>
            </w:pPr>
            <w:r>
              <w:rPr>
                <w:sz w:val="17"/>
              </w:rPr>
              <w:t>Republican People’s Party</w:t>
            </w:r>
          </w:p>
        </w:tc>
        <w:tc>
          <w:tcPr>
            <w:tcW w:w="1260" w:type="dxa"/>
            <w:tcBorders>
              <w:bottom w:val="single" w:sz="12" w:space="0" w:color="auto"/>
            </w:tcBorders>
          </w:tcPr>
          <w:p w:rsidR="00000000" w:rsidRDefault="00000000">
            <w:pPr>
              <w:pStyle w:val="BodyTextIndent2"/>
              <w:spacing w:after="120"/>
              <w:ind w:left="0" w:firstLine="0"/>
              <w:jc w:val="right"/>
              <w:rPr>
                <w:sz w:val="17"/>
              </w:rPr>
            </w:pPr>
            <w:r>
              <w:rPr>
                <w:sz w:val="17"/>
              </w:rPr>
              <w:t>12</w:t>
            </w:r>
          </w:p>
        </w:tc>
        <w:tc>
          <w:tcPr>
            <w:tcW w:w="1530" w:type="dxa"/>
            <w:tcBorders>
              <w:bottom w:val="single" w:sz="12" w:space="0" w:color="auto"/>
            </w:tcBorders>
          </w:tcPr>
          <w:p w:rsidR="00000000" w:rsidRDefault="00000000">
            <w:pPr>
              <w:pStyle w:val="BodyTextIndent2"/>
              <w:spacing w:after="120"/>
              <w:ind w:left="0" w:firstLine="0"/>
              <w:jc w:val="right"/>
              <w:rPr>
                <w:sz w:val="17"/>
              </w:rPr>
            </w:pPr>
            <w:r>
              <w:rPr>
                <w:sz w:val="17"/>
              </w:rPr>
              <w:t>0</w:t>
            </w:r>
          </w:p>
        </w:tc>
        <w:tc>
          <w:tcPr>
            <w:tcW w:w="1620" w:type="dxa"/>
            <w:tcBorders>
              <w:bottom w:val="single" w:sz="12" w:space="0" w:color="auto"/>
            </w:tcBorders>
          </w:tcPr>
          <w:p w:rsidR="00000000" w:rsidRDefault="00000000">
            <w:pPr>
              <w:pStyle w:val="BodyTextIndent2"/>
              <w:spacing w:after="120"/>
              <w:ind w:left="0" w:firstLine="0"/>
              <w:jc w:val="right"/>
              <w:rPr>
                <w:sz w:val="17"/>
              </w:rPr>
            </w:pPr>
            <w:r>
              <w:rPr>
                <w:sz w:val="17"/>
              </w:rPr>
              <w:t>0</w:t>
            </w:r>
          </w:p>
        </w:tc>
        <w:tc>
          <w:tcPr>
            <w:tcW w:w="1498" w:type="dxa"/>
            <w:tcBorders>
              <w:bottom w:val="single" w:sz="12" w:space="0" w:color="auto"/>
            </w:tcBorders>
          </w:tcPr>
          <w:p w:rsidR="00000000" w:rsidRDefault="00000000">
            <w:pPr>
              <w:pStyle w:val="BodyTextIndent2"/>
              <w:spacing w:after="120"/>
              <w:ind w:left="0" w:firstLine="0"/>
              <w:jc w:val="right"/>
              <w:rPr>
                <w:sz w:val="17"/>
              </w:rPr>
            </w:pPr>
            <w:r>
              <w:rPr>
                <w:sz w:val="17"/>
              </w:rPr>
              <w:t>0</w:t>
            </w:r>
          </w:p>
        </w:tc>
      </w:tr>
    </w:tbl>
    <w:p w:rsidR="00000000" w:rsidRDefault="00000000">
      <w:pPr>
        <w:pStyle w:val="BodyTextIndent2"/>
        <w:spacing w:after="120"/>
        <w:ind w:left="0" w:firstLine="0"/>
      </w:pPr>
    </w:p>
    <w:p w:rsidR="00000000" w:rsidRDefault="00000000">
      <w:pPr>
        <w:pStyle w:val="BodyTextIndent2"/>
        <w:spacing w:after="120"/>
        <w:ind w:left="0" w:firstLine="0"/>
      </w:pPr>
    </w:p>
    <w:p w:rsidR="00000000" w:rsidRDefault="00000000">
      <w:pPr>
        <w:pStyle w:val="BodyTextIndent2"/>
        <w:spacing w:after="120"/>
        <w:ind w:left="0" w:firstLine="0"/>
        <w:sectPr w:rsidR="00000000">
          <w:type w:val="continuous"/>
          <w:pgSz w:w="12240" w:h="15840"/>
          <w:pgMar w:top="1742" w:right="1195" w:bottom="1901" w:left="1195" w:header="576" w:footer="1037" w:gutter="0"/>
          <w:cols w:space="720"/>
          <w:docGrid w:linePitch="360"/>
        </w:sectPr>
      </w:pPr>
    </w:p>
    <w:p w:rsidR="00000000" w:rsidRDefault="00000000">
      <w:pPr>
        <w:pStyle w:val="BodyTextIndent2"/>
        <w:spacing w:after="120"/>
        <w:ind w:left="0" w:firstLine="0"/>
        <w:rPr>
          <w:b/>
        </w:rPr>
      </w:pPr>
      <w:r>
        <w:tab/>
      </w:r>
      <w:r>
        <w:rPr>
          <w:b/>
        </w:rPr>
        <w:t>Article 8</w:t>
      </w:r>
    </w:p>
    <w:p w:rsidR="00000000" w:rsidRDefault="00000000">
      <w:pPr>
        <w:pStyle w:val="BodyTextIndent2"/>
        <w:spacing w:after="120"/>
        <w:ind w:left="0" w:firstLine="0"/>
      </w:pPr>
      <w:r>
        <w:rPr>
          <w:b/>
        </w:rPr>
        <w:tab/>
        <w:t>States Parties shall take all appropriate measures to ensure to women, on equal terms with men and without any discrimination, the opportunity to represent their Governments at the international level and to participate in the work of international organizations.</w:t>
      </w:r>
      <w:r>
        <w:t xml:space="preserve"> </w:t>
      </w:r>
    </w:p>
    <w:p w:rsidR="00000000" w:rsidRDefault="00000000">
      <w:pPr>
        <w:pStyle w:val="BodyTextIndent2"/>
        <w:spacing w:after="120"/>
        <w:ind w:left="0" w:firstLine="0"/>
      </w:pPr>
      <w:r>
        <w:t>83.</w:t>
      </w:r>
      <w:r>
        <w:tab/>
        <w:t>Women of the Republic of Kazakhstan have the opportunity, on equal terms with men and without any discrimination, to represent their Governments at the international level and to participate in the work of international organizations. This is guaranteed by the Constitution of the Republic of Kazakhstan.</w:t>
      </w:r>
    </w:p>
    <w:p w:rsidR="00000000" w:rsidRDefault="00000000">
      <w:pPr>
        <w:pStyle w:val="BodyTextIndent2"/>
        <w:spacing w:after="120"/>
        <w:ind w:left="0" w:firstLine="0"/>
      </w:pPr>
      <w:r>
        <w:tab/>
        <w:t>Two women currently represent the Government of the Republic of Kazakhstan at the international level as ambassadors extraordinary and plenipotentiary. However, women of the Republic of Kazakhstan are hardly represented at all in international organizations.</w:t>
      </w:r>
    </w:p>
    <w:p w:rsidR="00000000" w:rsidRDefault="00000000">
      <w:pPr>
        <w:pStyle w:val="D12r"/>
      </w:pPr>
    </w:p>
    <w:p w:rsidR="00000000" w:rsidRDefault="00000000">
      <w:pPr>
        <w:pStyle w:val="BodyTextIndent2"/>
        <w:spacing w:after="120"/>
        <w:ind w:left="0" w:firstLine="0"/>
        <w:rPr>
          <w:b/>
        </w:rPr>
      </w:pPr>
      <w:r>
        <w:rPr>
          <w:b/>
        </w:rPr>
        <w:tab/>
        <w:t>Article 9</w:t>
      </w:r>
    </w:p>
    <w:p w:rsidR="00000000" w:rsidRDefault="00000000">
      <w:pPr>
        <w:pStyle w:val="BodyTextIndent2"/>
        <w:spacing w:after="120"/>
        <w:ind w:left="0" w:firstLine="0"/>
        <w:rPr>
          <w:b/>
        </w:rPr>
      </w:pPr>
      <w:r>
        <w:rPr>
          <w:b/>
        </w:rPr>
        <w:t>1.</w:t>
      </w:r>
      <w:r>
        <w:rPr>
          <w:b/>
        </w:rPr>
        <w:tab/>
        <w:t>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w:t>
      </w:r>
    </w:p>
    <w:p w:rsidR="00000000" w:rsidRDefault="00000000">
      <w:pPr>
        <w:pStyle w:val="BodyTextIndent2"/>
        <w:spacing w:after="120"/>
        <w:ind w:left="0" w:firstLine="0"/>
      </w:pPr>
      <w:r>
        <w:rPr>
          <w:b/>
        </w:rPr>
        <w:t>2.</w:t>
      </w:r>
      <w:r>
        <w:rPr>
          <w:b/>
        </w:rPr>
        <w:tab/>
        <w:t xml:space="preserve">States Parties shall grant women equal rights with men with respect to the nationality of their children. </w:t>
      </w:r>
    </w:p>
    <w:p w:rsidR="00000000" w:rsidRDefault="00000000">
      <w:pPr>
        <w:pStyle w:val="BodyTextIndent2"/>
        <w:spacing w:after="120"/>
        <w:ind w:left="0" w:firstLine="0"/>
      </w:pPr>
      <w:r>
        <w:t>84.</w:t>
      </w:r>
      <w:r>
        <w:tab/>
        <w:t>The United Nations Convention on the Nationality of Married Women was submitted to the Parliament in November 1999 with a view to Kazakhstan’s accession to the Convention.</w:t>
      </w:r>
    </w:p>
    <w:p w:rsidR="00000000" w:rsidRDefault="00000000">
      <w:pPr>
        <w:pStyle w:val="BodyTextIndent2"/>
        <w:spacing w:after="120"/>
        <w:ind w:left="0" w:firstLine="0"/>
      </w:pPr>
      <w:r>
        <w:tab/>
        <w:t>The legislation of Kazakhstan grants women absolutely equal rights with men to acquire, change or retain their nationality.</w:t>
      </w:r>
    </w:p>
    <w:p w:rsidR="00000000" w:rsidRDefault="00000000">
      <w:pPr>
        <w:pStyle w:val="D12r"/>
      </w:pPr>
    </w:p>
    <w:p w:rsidR="00000000" w:rsidRDefault="00000000">
      <w:pPr>
        <w:pStyle w:val="D12r"/>
      </w:pPr>
    </w:p>
    <w:p w:rsidR="00000000" w:rsidRDefault="00000000">
      <w:pPr>
        <w:pStyle w:val="DH1"/>
      </w:pPr>
      <w:r>
        <w:tab/>
        <w:t>Part III</w:t>
      </w:r>
    </w:p>
    <w:p w:rsidR="00000000" w:rsidRDefault="00000000">
      <w:pPr>
        <w:pStyle w:val="D12r"/>
      </w:pPr>
    </w:p>
    <w:p w:rsidR="00000000" w:rsidRDefault="00000000">
      <w:pPr>
        <w:pStyle w:val="BodyTextIndent2"/>
        <w:spacing w:after="120"/>
        <w:ind w:left="0" w:firstLine="0"/>
        <w:rPr>
          <w:b/>
        </w:rPr>
      </w:pPr>
      <w:r>
        <w:tab/>
      </w:r>
      <w:r>
        <w:rPr>
          <w:b/>
        </w:rPr>
        <w:t>Article 10</w:t>
      </w:r>
    </w:p>
    <w:p w:rsidR="00000000" w:rsidRDefault="00000000">
      <w:pPr>
        <w:pStyle w:val="BodyTextIndent2"/>
        <w:spacing w:after="120"/>
        <w:ind w:left="0" w:firstLine="0"/>
        <w:rPr>
          <w:b/>
        </w:rPr>
      </w:pPr>
      <w:r>
        <w:rPr>
          <w:b/>
        </w:rPr>
        <w:tab/>
        <w:t>States Parties shall take all appropriate measures to eliminate discrimination against women in order to ensure to them equal rights with men in the field of education and in particular to ensure, on a basis of equality of men and women:</w:t>
      </w:r>
    </w:p>
    <w:p w:rsidR="00000000" w:rsidRDefault="00000000">
      <w:pPr>
        <w:pStyle w:val="BodyTextIndent2"/>
        <w:spacing w:after="120"/>
        <w:ind w:left="0" w:firstLine="0"/>
        <w:rPr>
          <w:b/>
        </w:rPr>
      </w:pPr>
      <w:r>
        <w:rPr>
          <w:b/>
        </w:rPr>
        <w:tab/>
        <w:t>(a)</w:t>
      </w:r>
      <w:r>
        <w:rPr>
          <w:b/>
        </w:rPr>
        <w:tab/>
        <w:t>The same conditions for career and vocational guidance, for access to studies and for the achievement of diplomas in educational establishments of all categories in rural as well as in urban areas; this equality shall be ensured in pre-school, general, technical, professional and higher technical education, as well as in all types of vocational training;</w:t>
      </w:r>
    </w:p>
    <w:p w:rsidR="00000000" w:rsidRDefault="00000000">
      <w:pPr>
        <w:pStyle w:val="BodyTextIndent2"/>
        <w:spacing w:after="120"/>
        <w:ind w:left="0" w:firstLine="0"/>
        <w:rPr>
          <w:b/>
        </w:rPr>
      </w:pPr>
      <w:r>
        <w:rPr>
          <w:b/>
        </w:rPr>
        <w:tab/>
        <w:t>(b)</w:t>
      </w:r>
      <w:r>
        <w:rPr>
          <w:b/>
        </w:rPr>
        <w:tab/>
        <w:t>Access to the same curricula, the same examinations, teaching staff with qualifications of the same standard and school premises and equipment of the same quality;</w:t>
      </w:r>
    </w:p>
    <w:p w:rsidR="00000000" w:rsidRDefault="00000000">
      <w:pPr>
        <w:pStyle w:val="BodyTextIndent2"/>
        <w:spacing w:after="120"/>
        <w:ind w:left="0" w:firstLine="0"/>
        <w:rPr>
          <w:b/>
        </w:rPr>
      </w:pPr>
      <w:r>
        <w:rPr>
          <w:b/>
        </w:rPr>
        <w:tab/>
        <w:t>(c)</w:t>
      </w:r>
      <w:r>
        <w:rPr>
          <w:b/>
        </w:rPr>
        <w:tab/>
        <w:t>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w:t>
      </w:r>
    </w:p>
    <w:p w:rsidR="00000000" w:rsidRDefault="00000000">
      <w:pPr>
        <w:pStyle w:val="BodyTextIndent2"/>
        <w:spacing w:after="120"/>
        <w:ind w:left="0" w:firstLine="0"/>
        <w:rPr>
          <w:b/>
        </w:rPr>
      </w:pPr>
      <w:r>
        <w:rPr>
          <w:b/>
        </w:rPr>
        <w:tab/>
        <w:t>(d)</w:t>
      </w:r>
      <w:r>
        <w:rPr>
          <w:b/>
        </w:rPr>
        <w:tab/>
        <w:t>The same opportunities to benefit from scholarships and other study grants;</w:t>
      </w:r>
    </w:p>
    <w:p w:rsidR="00000000" w:rsidRDefault="00000000">
      <w:pPr>
        <w:pStyle w:val="BodyTextIndent2"/>
        <w:spacing w:after="120"/>
        <w:ind w:left="0" w:firstLine="0"/>
        <w:rPr>
          <w:b/>
        </w:rPr>
      </w:pPr>
      <w:r>
        <w:rPr>
          <w:b/>
        </w:rPr>
        <w:tab/>
        <w:t>(e)</w:t>
      </w:r>
      <w:r>
        <w:rPr>
          <w:b/>
        </w:rPr>
        <w:tab/>
        <w:t>The same opportunities for access to programmes of continuing education, including adult and functional literacy programmes, particularly those aimed at reducing, at the earliest possible time, any gap in education existing between men and women;</w:t>
      </w:r>
    </w:p>
    <w:p w:rsidR="00000000" w:rsidRDefault="00000000">
      <w:pPr>
        <w:pStyle w:val="BodyTextIndent2"/>
        <w:spacing w:after="120"/>
        <w:ind w:left="0" w:firstLine="0"/>
        <w:rPr>
          <w:b/>
        </w:rPr>
      </w:pPr>
      <w:r>
        <w:rPr>
          <w:b/>
        </w:rPr>
        <w:tab/>
        <w:t>(f)</w:t>
      </w:r>
      <w:r>
        <w:rPr>
          <w:b/>
        </w:rPr>
        <w:tab/>
        <w:t>The reduction of female student drop-out rates and the organization of programmes for girls and women who have left school prematurely;</w:t>
      </w:r>
    </w:p>
    <w:p w:rsidR="00000000" w:rsidRDefault="00000000">
      <w:pPr>
        <w:pStyle w:val="BodyTextIndent2"/>
        <w:spacing w:after="120"/>
        <w:ind w:left="0" w:firstLine="0"/>
        <w:rPr>
          <w:b/>
        </w:rPr>
      </w:pPr>
      <w:r>
        <w:rPr>
          <w:b/>
        </w:rPr>
        <w:tab/>
        <w:t>(g)</w:t>
      </w:r>
      <w:r>
        <w:rPr>
          <w:b/>
        </w:rPr>
        <w:tab/>
        <w:t>The same opportunities to participate actively in sports and physical education;</w:t>
      </w:r>
    </w:p>
    <w:p w:rsidR="00000000" w:rsidRDefault="00000000">
      <w:pPr>
        <w:pStyle w:val="BodyTextIndent2"/>
        <w:spacing w:after="120"/>
        <w:ind w:left="0" w:firstLine="0"/>
      </w:pPr>
      <w:r>
        <w:rPr>
          <w:b/>
        </w:rPr>
        <w:tab/>
        <w:t>(h)</w:t>
      </w:r>
      <w:r>
        <w:rPr>
          <w:b/>
        </w:rPr>
        <w:tab/>
        <w:t>Access to specific educational information to help to ensure the health and well-being of families, including information and advice on family planning.</w:t>
      </w:r>
    </w:p>
    <w:p w:rsidR="00000000" w:rsidRDefault="00000000">
      <w:pPr>
        <w:pStyle w:val="D12r"/>
      </w:pPr>
    </w:p>
    <w:p w:rsidR="00000000" w:rsidRDefault="00000000">
      <w:pPr>
        <w:pStyle w:val="BodyTextIndent2"/>
        <w:spacing w:after="120"/>
        <w:ind w:left="0" w:firstLine="0"/>
      </w:pPr>
      <w:r>
        <w:rPr>
          <w:b/>
        </w:rPr>
        <w:tab/>
        <w:t>(a)</w:t>
      </w:r>
      <w:r>
        <w:rPr>
          <w:b/>
        </w:rPr>
        <w:tab/>
        <w:t>The same conditions for career and vocational guidance, for access to studies and for the achievement of diplomas in educational establishments of all categories in rural as well as in urban areas; this equality shall be ensured in pre-school, general, technical, professional and higher technical education, as well as in all types of vocational training;</w:t>
      </w:r>
    </w:p>
    <w:p w:rsidR="00000000" w:rsidRDefault="00000000">
      <w:pPr>
        <w:pStyle w:val="BodyTextIndent2"/>
        <w:spacing w:after="120"/>
        <w:ind w:left="0" w:firstLine="0"/>
      </w:pPr>
      <w:r>
        <w:t>85.</w:t>
      </w:r>
      <w:r>
        <w:tab/>
        <w:t>The Constitution of Kazakhstan of 30 August 1995, in article 30, guarantees citizens free compulsory secondary education in State education establishments.</w:t>
      </w:r>
    </w:p>
    <w:p w:rsidR="00000000" w:rsidRDefault="00000000">
      <w:pPr>
        <w:pStyle w:val="BodyTextIndent2"/>
        <w:spacing w:after="120"/>
        <w:ind w:left="0" w:firstLine="0"/>
      </w:pPr>
      <w:r>
        <w:tab/>
        <w:t>Under the Law on education of 7 June 1999, one of the basic principles of State policy in the education field (art. 3) is equality of rights of all citizens of the Republic of Kazakhstan to education.</w:t>
      </w:r>
    </w:p>
    <w:p w:rsidR="00000000" w:rsidRDefault="00000000">
      <w:pPr>
        <w:pStyle w:val="BodyTextIndent2"/>
        <w:spacing w:after="120"/>
        <w:ind w:left="0" w:firstLine="0"/>
      </w:pPr>
      <w:r>
        <w:tab/>
        <w:t>In spite of the fact that, of the total number of the population aged between 7 and 18 years, boys predominate, among schoolchildren there are rather more girls in both primary and secondary education. At the beginning of the 1997/98 school year, a total of 26,900 children did not attend school, the majority of those being boys. The State therefore has to take special measures to expand access of boys in particular to primary and specialized secondary schools.</w:t>
      </w:r>
    </w:p>
    <w:p w:rsidR="00000000" w:rsidRDefault="00000000">
      <w:pPr>
        <w:pStyle w:val="BodyTextIndent2"/>
        <w:spacing w:after="120"/>
        <w:ind w:left="0" w:firstLine="0"/>
      </w:pPr>
      <w:r>
        <w:tab/>
        <w:t>As a result of the measures taken, the number of school-age children not attending schools for various reasons was reduced by the end of the current school year to 172.</w:t>
      </w:r>
    </w:p>
    <w:p w:rsidR="00000000" w:rsidRDefault="00000000">
      <w:pPr>
        <w:pStyle w:val="D12r"/>
      </w:pPr>
    </w:p>
    <w:p w:rsidR="00000000" w:rsidRDefault="00000000">
      <w:pPr>
        <w:pStyle w:val="BodyTextIndent2"/>
        <w:ind w:left="0" w:firstLine="0"/>
      </w:pPr>
      <w:r>
        <w:t>Table 26</w:t>
      </w:r>
    </w:p>
    <w:p w:rsidR="00000000" w:rsidRDefault="00000000">
      <w:pPr>
        <w:pStyle w:val="BodyTextIndent2"/>
        <w:spacing w:after="120"/>
        <w:ind w:left="0" w:firstLine="0"/>
        <w:jc w:val="left"/>
        <w:rPr>
          <w:b/>
        </w:rPr>
      </w:pPr>
      <w:r>
        <w:rPr>
          <w:b/>
        </w:rPr>
        <w:t>Schools, teachers and pupils in primary and secondary education for the 1997/98 school year</w:t>
      </w:r>
    </w:p>
    <w:p w:rsidR="00000000" w:rsidRDefault="00000000">
      <w:pPr>
        <w:pStyle w:val="D12r"/>
      </w:pPr>
    </w:p>
    <w:tbl>
      <w:tblPr>
        <w:tblW w:w="0" w:type="auto"/>
        <w:tblInd w:w="-106" w:type="dxa"/>
        <w:tblLayout w:type="fixed"/>
        <w:tblLook w:val="0000" w:firstRow="0" w:lastRow="0" w:firstColumn="0" w:lastColumn="0" w:noHBand="0" w:noVBand="0"/>
      </w:tblPr>
      <w:tblGrid>
        <w:gridCol w:w="2178"/>
        <w:gridCol w:w="787"/>
        <w:gridCol w:w="1067"/>
        <w:gridCol w:w="986"/>
      </w:tblGrid>
      <w:tr w:rsidR="00000000">
        <w:tblPrEx>
          <w:tblCellMar>
            <w:top w:w="0" w:type="dxa"/>
            <w:bottom w:w="0" w:type="dxa"/>
          </w:tblCellMar>
        </w:tblPrEx>
        <w:tc>
          <w:tcPr>
            <w:tcW w:w="2178" w:type="dxa"/>
            <w:tcBorders>
              <w:top w:val="single" w:sz="4" w:space="0" w:color="auto"/>
              <w:bottom w:val="single" w:sz="12" w:space="0" w:color="auto"/>
            </w:tcBorders>
          </w:tcPr>
          <w:p w:rsidR="00000000" w:rsidRDefault="00000000">
            <w:pPr>
              <w:pStyle w:val="BodyTextIndent2"/>
              <w:spacing w:after="120"/>
              <w:ind w:left="0" w:firstLine="0"/>
              <w:jc w:val="left"/>
              <w:rPr>
                <w:i/>
                <w:sz w:val="14"/>
              </w:rPr>
            </w:pPr>
          </w:p>
        </w:tc>
        <w:tc>
          <w:tcPr>
            <w:tcW w:w="787"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Primary (grades 1-4)</w:t>
            </w:r>
          </w:p>
        </w:tc>
        <w:tc>
          <w:tcPr>
            <w:tcW w:w="1067"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General secondary (grades 5-11)</w:t>
            </w:r>
          </w:p>
        </w:tc>
        <w:tc>
          <w:tcPr>
            <w:tcW w:w="986"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Specialized secondary schools</w:t>
            </w:r>
          </w:p>
        </w:tc>
      </w:tr>
      <w:tr w:rsidR="00000000">
        <w:tblPrEx>
          <w:tblCellMar>
            <w:top w:w="0" w:type="dxa"/>
            <w:bottom w:w="0" w:type="dxa"/>
          </w:tblCellMar>
        </w:tblPrEx>
        <w:tc>
          <w:tcPr>
            <w:tcW w:w="2178" w:type="dxa"/>
            <w:tcBorders>
              <w:top w:val="single" w:sz="12" w:space="0" w:color="auto"/>
            </w:tcBorders>
          </w:tcPr>
          <w:p w:rsidR="00000000" w:rsidRDefault="00000000">
            <w:pPr>
              <w:pStyle w:val="BodyTextIndent2"/>
              <w:spacing w:after="120"/>
              <w:ind w:left="0" w:firstLine="0"/>
              <w:jc w:val="left"/>
              <w:rPr>
                <w:b/>
                <w:sz w:val="17"/>
              </w:rPr>
            </w:pPr>
            <w:r>
              <w:rPr>
                <w:b/>
                <w:sz w:val="17"/>
              </w:rPr>
              <w:t>Total:</w:t>
            </w:r>
          </w:p>
        </w:tc>
        <w:tc>
          <w:tcPr>
            <w:tcW w:w="787" w:type="dxa"/>
            <w:tcBorders>
              <w:top w:val="single" w:sz="12" w:space="0" w:color="auto"/>
            </w:tcBorders>
          </w:tcPr>
          <w:p w:rsidR="00000000" w:rsidRDefault="00000000">
            <w:pPr>
              <w:pStyle w:val="BodyTextIndent2"/>
              <w:spacing w:after="120"/>
              <w:ind w:left="0" w:firstLine="0"/>
              <w:jc w:val="right"/>
              <w:rPr>
                <w:sz w:val="17"/>
              </w:rPr>
            </w:pPr>
          </w:p>
        </w:tc>
        <w:tc>
          <w:tcPr>
            <w:tcW w:w="1067" w:type="dxa"/>
            <w:tcBorders>
              <w:top w:val="single" w:sz="12" w:space="0" w:color="auto"/>
            </w:tcBorders>
          </w:tcPr>
          <w:p w:rsidR="00000000" w:rsidRDefault="00000000">
            <w:pPr>
              <w:pStyle w:val="BodyTextIndent2"/>
              <w:spacing w:after="120"/>
              <w:ind w:left="0" w:firstLine="0"/>
              <w:jc w:val="right"/>
              <w:rPr>
                <w:sz w:val="17"/>
              </w:rPr>
            </w:pPr>
          </w:p>
        </w:tc>
        <w:tc>
          <w:tcPr>
            <w:tcW w:w="986" w:type="dxa"/>
            <w:tcBorders>
              <w:top w:val="single" w:sz="12" w:space="0" w:color="auto"/>
            </w:tcBorders>
          </w:tcPr>
          <w:p w:rsidR="00000000" w:rsidRDefault="00000000">
            <w:pPr>
              <w:pStyle w:val="BodyTextIndent2"/>
              <w:spacing w:after="120"/>
              <w:ind w:left="0" w:firstLine="0"/>
              <w:jc w:val="right"/>
              <w:rPr>
                <w:sz w:val="17"/>
              </w:rPr>
            </w:pPr>
          </w:p>
        </w:tc>
      </w:tr>
      <w:tr w:rsidR="00000000">
        <w:tblPrEx>
          <w:tblCellMar>
            <w:top w:w="0" w:type="dxa"/>
            <w:bottom w:w="0" w:type="dxa"/>
          </w:tblCellMar>
        </w:tblPrEx>
        <w:tc>
          <w:tcPr>
            <w:tcW w:w="2178" w:type="dxa"/>
          </w:tcPr>
          <w:p w:rsidR="00000000" w:rsidRDefault="00000000">
            <w:pPr>
              <w:pStyle w:val="BodyTextIndent2"/>
              <w:spacing w:after="120"/>
              <w:ind w:left="0" w:firstLine="0"/>
              <w:jc w:val="left"/>
              <w:rPr>
                <w:sz w:val="17"/>
              </w:rPr>
            </w:pPr>
            <w:r>
              <w:rPr>
                <w:sz w:val="17"/>
              </w:rPr>
              <w:t>Schools (number)</w:t>
            </w:r>
          </w:p>
        </w:tc>
        <w:tc>
          <w:tcPr>
            <w:tcW w:w="787" w:type="dxa"/>
          </w:tcPr>
          <w:p w:rsidR="00000000" w:rsidRDefault="00000000">
            <w:pPr>
              <w:pStyle w:val="BodyTextIndent2"/>
              <w:spacing w:after="120"/>
              <w:ind w:left="0" w:firstLine="0"/>
              <w:jc w:val="right"/>
              <w:rPr>
                <w:sz w:val="17"/>
              </w:rPr>
            </w:pPr>
            <w:r>
              <w:rPr>
                <w:sz w:val="17"/>
              </w:rPr>
              <w:t>8 238</w:t>
            </w:r>
          </w:p>
        </w:tc>
        <w:tc>
          <w:tcPr>
            <w:tcW w:w="1067" w:type="dxa"/>
          </w:tcPr>
          <w:p w:rsidR="00000000" w:rsidRDefault="00000000">
            <w:pPr>
              <w:pStyle w:val="BodyTextIndent2"/>
              <w:spacing w:after="120"/>
              <w:ind w:left="0" w:firstLine="0"/>
              <w:jc w:val="right"/>
              <w:rPr>
                <w:sz w:val="17"/>
              </w:rPr>
            </w:pPr>
            <w:r>
              <w:rPr>
                <w:sz w:val="17"/>
              </w:rPr>
              <w:t>8 238*</w:t>
            </w:r>
          </w:p>
        </w:tc>
        <w:tc>
          <w:tcPr>
            <w:tcW w:w="986" w:type="dxa"/>
          </w:tcPr>
          <w:p w:rsidR="00000000" w:rsidRDefault="00000000">
            <w:pPr>
              <w:pStyle w:val="BodyTextIndent2"/>
              <w:spacing w:after="120"/>
              <w:ind w:left="0" w:firstLine="0"/>
              <w:jc w:val="right"/>
              <w:rPr>
                <w:sz w:val="17"/>
              </w:rPr>
            </w:pPr>
            <w:r>
              <w:rPr>
                <w:sz w:val="17"/>
              </w:rPr>
              <w:t>219</w:t>
            </w:r>
          </w:p>
        </w:tc>
      </w:tr>
      <w:tr w:rsidR="00000000">
        <w:tblPrEx>
          <w:tblCellMar>
            <w:top w:w="0" w:type="dxa"/>
            <w:bottom w:w="0" w:type="dxa"/>
          </w:tblCellMar>
        </w:tblPrEx>
        <w:tc>
          <w:tcPr>
            <w:tcW w:w="2178" w:type="dxa"/>
          </w:tcPr>
          <w:p w:rsidR="00000000" w:rsidRDefault="00000000">
            <w:pPr>
              <w:pStyle w:val="BodyTextIndent2"/>
              <w:spacing w:after="120"/>
              <w:ind w:left="0" w:firstLine="0"/>
              <w:jc w:val="left"/>
              <w:rPr>
                <w:sz w:val="17"/>
              </w:rPr>
            </w:pPr>
            <w:r>
              <w:rPr>
                <w:sz w:val="17"/>
              </w:rPr>
              <w:t>Teachers (number)</w:t>
            </w:r>
          </w:p>
        </w:tc>
        <w:tc>
          <w:tcPr>
            <w:tcW w:w="787" w:type="dxa"/>
          </w:tcPr>
          <w:p w:rsidR="00000000" w:rsidRDefault="00000000">
            <w:pPr>
              <w:pStyle w:val="BodyTextIndent2"/>
              <w:spacing w:after="120"/>
              <w:ind w:left="0" w:firstLine="0"/>
              <w:jc w:val="right"/>
              <w:rPr>
                <w:sz w:val="17"/>
              </w:rPr>
            </w:pPr>
            <w:r>
              <w:rPr>
                <w:sz w:val="17"/>
              </w:rPr>
              <w:t>72 569</w:t>
            </w:r>
          </w:p>
        </w:tc>
        <w:tc>
          <w:tcPr>
            <w:tcW w:w="1067" w:type="dxa"/>
          </w:tcPr>
          <w:p w:rsidR="00000000" w:rsidRDefault="00000000">
            <w:pPr>
              <w:pStyle w:val="BodyTextIndent2"/>
              <w:spacing w:after="120"/>
              <w:ind w:left="0" w:firstLine="0"/>
              <w:jc w:val="right"/>
              <w:rPr>
                <w:sz w:val="17"/>
              </w:rPr>
            </w:pPr>
            <w:r>
              <w:rPr>
                <w:sz w:val="17"/>
              </w:rPr>
              <w:t>171 773</w:t>
            </w:r>
          </w:p>
        </w:tc>
        <w:tc>
          <w:tcPr>
            <w:tcW w:w="986" w:type="dxa"/>
          </w:tcPr>
          <w:p w:rsidR="00000000" w:rsidRDefault="00000000">
            <w:pPr>
              <w:pStyle w:val="BodyTextIndent2"/>
              <w:spacing w:after="120"/>
              <w:ind w:left="0" w:firstLine="0"/>
              <w:jc w:val="right"/>
              <w:rPr>
                <w:sz w:val="17"/>
              </w:rPr>
            </w:pPr>
            <w:r>
              <w:rPr>
                <w:sz w:val="17"/>
              </w:rPr>
              <w:t>14 348</w:t>
            </w:r>
          </w:p>
        </w:tc>
      </w:tr>
      <w:tr w:rsidR="00000000">
        <w:tblPrEx>
          <w:tblCellMar>
            <w:top w:w="0" w:type="dxa"/>
            <w:bottom w:w="0" w:type="dxa"/>
          </w:tblCellMar>
        </w:tblPrEx>
        <w:tc>
          <w:tcPr>
            <w:tcW w:w="2178" w:type="dxa"/>
          </w:tcPr>
          <w:p w:rsidR="00000000" w:rsidRDefault="00000000">
            <w:pPr>
              <w:pStyle w:val="BodyTextIndent2"/>
              <w:spacing w:after="120"/>
              <w:ind w:left="0" w:firstLine="0"/>
              <w:jc w:val="left"/>
              <w:rPr>
                <w:sz w:val="17"/>
              </w:rPr>
            </w:pPr>
            <w:r>
              <w:rPr>
                <w:sz w:val="17"/>
              </w:rPr>
              <w:t>Pupils (in thousands)</w:t>
            </w:r>
          </w:p>
        </w:tc>
        <w:tc>
          <w:tcPr>
            <w:tcW w:w="787" w:type="dxa"/>
          </w:tcPr>
          <w:p w:rsidR="00000000" w:rsidRDefault="00000000">
            <w:pPr>
              <w:pStyle w:val="BodyTextIndent2"/>
              <w:spacing w:after="120"/>
              <w:ind w:left="0" w:firstLine="0"/>
              <w:jc w:val="right"/>
              <w:rPr>
                <w:sz w:val="17"/>
              </w:rPr>
            </w:pPr>
            <w:r>
              <w:rPr>
                <w:sz w:val="17"/>
              </w:rPr>
              <w:t>1 290.8</w:t>
            </w:r>
          </w:p>
        </w:tc>
        <w:tc>
          <w:tcPr>
            <w:tcW w:w="1067" w:type="dxa"/>
          </w:tcPr>
          <w:p w:rsidR="00000000" w:rsidRDefault="00000000">
            <w:pPr>
              <w:pStyle w:val="BodyTextIndent2"/>
              <w:spacing w:after="120"/>
              <w:ind w:left="0" w:firstLine="0"/>
              <w:jc w:val="right"/>
              <w:rPr>
                <w:sz w:val="17"/>
              </w:rPr>
            </w:pPr>
            <w:r>
              <w:rPr>
                <w:sz w:val="17"/>
              </w:rPr>
              <w:t>1 796.3</w:t>
            </w:r>
          </w:p>
        </w:tc>
        <w:tc>
          <w:tcPr>
            <w:tcW w:w="986" w:type="dxa"/>
          </w:tcPr>
          <w:p w:rsidR="00000000" w:rsidRDefault="00000000">
            <w:pPr>
              <w:pStyle w:val="BodyTextIndent2"/>
              <w:spacing w:after="120"/>
              <w:ind w:left="0" w:firstLine="0"/>
              <w:jc w:val="right"/>
              <w:rPr>
                <w:sz w:val="17"/>
              </w:rPr>
            </w:pPr>
            <w:r>
              <w:rPr>
                <w:sz w:val="17"/>
              </w:rPr>
              <w:t>148.2</w:t>
            </w:r>
          </w:p>
        </w:tc>
      </w:tr>
      <w:tr w:rsidR="00000000">
        <w:tblPrEx>
          <w:tblCellMar>
            <w:top w:w="0" w:type="dxa"/>
            <w:bottom w:w="0" w:type="dxa"/>
          </w:tblCellMar>
        </w:tblPrEx>
        <w:tc>
          <w:tcPr>
            <w:tcW w:w="2178" w:type="dxa"/>
          </w:tcPr>
          <w:p w:rsidR="00000000" w:rsidRDefault="00000000">
            <w:pPr>
              <w:pStyle w:val="BodyTextIndent2"/>
              <w:spacing w:after="120"/>
              <w:ind w:left="0" w:firstLine="0"/>
              <w:jc w:val="left"/>
              <w:rPr>
                <w:sz w:val="17"/>
              </w:rPr>
            </w:pPr>
            <w:r>
              <w:rPr>
                <w:sz w:val="17"/>
              </w:rPr>
              <w:t>Girl pupils (in thousands)</w:t>
            </w:r>
          </w:p>
        </w:tc>
        <w:tc>
          <w:tcPr>
            <w:tcW w:w="787" w:type="dxa"/>
          </w:tcPr>
          <w:p w:rsidR="00000000" w:rsidRDefault="00000000">
            <w:pPr>
              <w:pStyle w:val="BodyTextIndent2"/>
              <w:spacing w:after="120"/>
              <w:ind w:left="0" w:firstLine="0"/>
              <w:jc w:val="right"/>
              <w:rPr>
                <w:sz w:val="17"/>
              </w:rPr>
            </w:pPr>
            <w:r>
              <w:rPr>
                <w:sz w:val="17"/>
              </w:rPr>
              <w:t>644.1</w:t>
            </w:r>
          </w:p>
        </w:tc>
        <w:tc>
          <w:tcPr>
            <w:tcW w:w="1067" w:type="dxa"/>
          </w:tcPr>
          <w:p w:rsidR="00000000" w:rsidRDefault="00000000">
            <w:pPr>
              <w:pStyle w:val="BodyTextIndent2"/>
              <w:spacing w:after="120"/>
              <w:ind w:left="0" w:firstLine="0"/>
              <w:jc w:val="right"/>
              <w:rPr>
                <w:sz w:val="17"/>
              </w:rPr>
            </w:pPr>
            <w:r>
              <w:rPr>
                <w:sz w:val="17"/>
              </w:rPr>
              <w:t>899.9</w:t>
            </w:r>
          </w:p>
        </w:tc>
        <w:tc>
          <w:tcPr>
            <w:tcW w:w="986" w:type="dxa"/>
          </w:tcPr>
          <w:p w:rsidR="00000000" w:rsidRDefault="00000000">
            <w:pPr>
              <w:pStyle w:val="BodyTextIndent2"/>
              <w:spacing w:after="120"/>
              <w:ind w:left="0" w:firstLine="0"/>
              <w:jc w:val="right"/>
              <w:rPr>
                <w:sz w:val="17"/>
              </w:rPr>
            </w:pPr>
            <w:r>
              <w:rPr>
                <w:sz w:val="17"/>
              </w:rPr>
              <w:t>88.6</w:t>
            </w:r>
          </w:p>
        </w:tc>
      </w:tr>
      <w:tr w:rsidR="00000000">
        <w:tblPrEx>
          <w:tblCellMar>
            <w:top w:w="0" w:type="dxa"/>
            <w:bottom w:w="0" w:type="dxa"/>
          </w:tblCellMar>
        </w:tblPrEx>
        <w:tc>
          <w:tcPr>
            <w:tcW w:w="2178" w:type="dxa"/>
          </w:tcPr>
          <w:p w:rsidR="00000000" w:rsidRDefault="00000000">
            <w:pPr>
              <w:pStyle w:val="BodyTextIndent2"/>
              <w:spacing w:after="120"/>
              <w:ind w:left="0" w:firstLine="0"/>
              <w:jc w:val="left"/>
              <w:rPr>
                <w:sz w:val="17"/>
              </w:rPr>
            </w:pPr>
            <w:r>
              <w:rPr>
                <w:sz w:val="17"/>
              </w:rPr>
              <w:t>Girls (as a percentage)</w:t>
            </w:r>
          </w:p>
        </w:tc>
        <w:tc>
          <w:tcPr>
            <w:tcW w:w="787" w:type="dxa"/>
          </w:tcPr>
          <w:p w:rsidR="00000000" w:rsidRDefault="00000000">
            <w:pPr>
              <w:pStyle w:val="BodyTextIndent2"/>
              <w:spacing w:after="120"/>
              <w:ind w:left="0" w:firstLine="0"/>
              <w:jc w:val="right"/>
              <w:rPr>
                <w:sz w:val="17"/>
              </w:rPr>
            </w:pPr>
            <w:r>
              <w:rPr>
                <w:sz w:val="17"/>
              </w:rPr>
              <w:t>49.9</w:t>
            </w:r>
          </w:p>
        </w:tc>
        <w:tc>
          <w:tcPr>
            <w:tcW w:w="1067" w:type="dxa"/>
          </w:tcPr>
          <w:p w:rsidR="00000000" w:rsidRDefault="00000000">
            <w:pPr>
              <w:pStyle w:val="BodyTextIndent2"/>
              <w:spacing w:after="120"/>
              <w:ind w:left="0" w:firstLine="0"/>
              <w:jc w:val="right"/>
              <w:rPr>
                <w:sz w:val="17"/>
              </w:rPr>
            </w:pPr>
            <w:r>
              <w:rPr>
                <w:sz w:val="17"/>
              </w:rPr>
              <w:t>50.1</w:t>
            </w:r>
          </w:p>
        </w:tc>
        <w:tc>
          <w:tcPr>
            <w:tcW w:w="986" w:type="dxa"/>
          </w:tcPr>
          <w:p w:rsidR="00000000" w:rsidRDefault="00000000">
            <w:pPr>
              <w:pStyle w:val="BodyTextIndent2"/>
              <w:spacing w:after="120"/>
              <w:ind w:left="0" w:firstLine="0"/>
              <w:jc w:val="right"/>
              <w:rPr>
                <w:sz w:val="17"/>
              </w:rPr>
            </w:pPr>
            <w:r>
              <w:rPr>
                <w:sz w:val="17"/>
              </w:rPr>
              <w:t>59.8</w:t>
            </w:r>
          </w:p>
        </w:tc>
      </w:tr>
      <w:tr w:rsidR="00000000">
        <w:tblPrEx>
          <w:tblCellMar>
            <w:top w:w="0" w:type="dxa"/>
            <w:bottom w:w="0" w:type="dxa"/>
          </w:tblCellMar>
        </w:tblPrEx>
        <w:tc>
          <w:tcPr>
            <w:tcW w:w="2178" w:type="dxa"/>
          </w:tcPr>
          <w:p w:rsidR="00000000" w:rsidRDefault="00000000">
            <w:pPr>
              <w:pStyle w:val="BodyTextIndent2"/>
              <w:spacing w:after="120"/>
              <w:ind w:left="0" w:firstLine="0"/>
              <w:jc w:val="left"/>
              <w:rPr>
                <w:b/>
                <w:sz w:val="17"/>
              </w:rPr>
            </w:pPr>
            <w:r>
              <w:rPr>
                <w:b/>
                <w:sz w:val="17"/>
              </w:rPr>
              <w:t>Urban settlements:</w:t>
            </w:r>
          </w:p>
        </w:tc>
        <w:tc>
          <w:tcPr>
            <w:tcW w:w="787" w:type="dxa"/>
          </w:tcPr>
          <w:p w:rsidR="00000000" w:rsidRDefault="00000000">
            <w:pPr>
              <w:pStyle w:val="BodyTextIndent2"/>
              <w:spacing w:after="120"/>
              <w:ind w:left="0" w:firstLine="0"/>
              <w:jc w:val="right"/>
              <w:rPr>
                <w:sz w:val="17"/>
              </w:rPr>
            </w:pPr>
          </w:p>
        </w:tc>
        <w:tc>
          <w:tcPr>
            <w:tcW w:w="1067" w:type="dxa"/>
          </w:tcPr>
          <w:p w:rsidR="00000000" w:rsidRDefault="00000000">
            <w:pPr>
              <w:pStyle w:val="BodyTextIndent2"/>
              <w:spacing w:after="120"/>
              <w:ind w:left="0" w:firstLine="0"/>
              <w:jc w:val="right"/>
              <w:rPr>
                <w:sz w:val="17"/>
              </w:rPr>
            </w:pPr>
          </w:p>
        </w:tc>
        <w:tc>
          <w:tcPr>
            <w:tcW w:w="986" w:type="dxa"/>
          </w:tcPr>
          <w:p w:rsidR="00000000" w:rsidRDefault="00000000">
            <w:pPr>
              <w:pStyle w:val="BodyTextIndent2"/>
              <w:spacing w:after="120"/>
              <w:ind w:left="0" w:firstLine="0"/>
              <w:jc w:val="right"/>
              <w:rPr>
                <w:sz w:val="17"/>
              </w:rPr>
            </w:pPr>
          </w:p>
        </w:tc>
      </w:tr>
      <w:tr w:rsidR="00000000">
        <w:tblPrEx>
          <w:tblCellMar>
            <w:top w:w="0" w:type="dxa"/>
            <w:bottom w:w="0" w:type="dxa"/>
          </w:tblCellMar>
        </w:tblPrEx>
        <w:tc>
          <w:tcPr>
            <w:tcW w:w="2178" w:type="dxa"/>
          </w:tcPr>
          <w:p w:rsidR="00000000" w:rsidRDefault="00000000">
            <w:pPr>
              <w:pStyle w:val="BodyTextIndent2"/>
              <w:spacing w:after="120"/>
              <w:ind w:left="0" w:firstLine="0"/>
              <w:jc w:val="left"/>
              <w:rPr>
                <w:sz w:val="17"/>
              </w:rPr>
            </w:pPr>
            <w:r>
              <w:rPr>
                <w:sz w:val="17"/>
              </w:rPr>
              <w:t>Schools (number)</w:t>
            </w:r>
          </w:p>
        </w:tc>
        <w:tc>
          <w:tcPr>
            <w:tcW w:w="787" w:type="dxa"/>
          </w:tcPr>
          <w:p w:rsidR="00000000" w:rsidRDefault="00000000">
            <w:pPr>
              <w:pStyle w:val="BodyTextIndent2"/>
              <w:spacing w:after="120"/>
              <w:ind w:left="0" w:firstLine="0"/>
              <w:jc w:val="right"/>
              <w:rPr>
                <w:sz w:val="17"/>
              </w:rPr>
            </w:pPr>
            <w:r>
              <w:rPr>
                <w:sz w:val="17"/>
              </w:rPr>
              <w:t>2 028</w:t>
            </w:r>
          </w:p>
        </w:tc>
        <w:tc>
          <w:tcPr>
            <w:tcW w:w="1067" w:type="dxa"/>
          </w:tcPr>
          <w:p w:rsidR="00000000" w:rsidRDefault="00000000">
            <w:pPr>
              <w:pStyle w:val="BodyTextIndent2"/>
              <w:spacing w:after="120"/>
              <w:ind w:left="0" w:firstLine="0"/>
              <w:jc w:val="right"/>
              <w:rPr>
                <w:sz w:val="17"/>
              </w:rPr>
            </w:pPr>
            <w:r>
              <w:rPr>
                <w:sz w:val="17"/>
              </w:rPr>
              <w:t>2 028</w:t>
            </w:r>
          </w:p>
        </w:tc>
        <w:tc>
          <w:tcPr>
            <w:tcW w:w="986" w:type="dxa"/>
          </w:tcPr>
          <w:p w:rsidR="00000000" w:rsidRDefault="00000000">
            <w:pPr>
              <w:pStyle w:val="BodyTextIndent2"/>
              <w:spacing w:after="120"/>
              <w:ind w:left="0" w:firstLine="0"/>
              <w:jc w:val="right"/>
              <w:rPr>
                <w:sz w:val="17"/>
              </w:rPr>
            </w:pPr>
            <w:r>
              <w:rPr>
                <w:sz w:val="17"/>
              </w:rPr>
              <w:t>…</w:t>
            </w:r>
          </w:p>
        </w:tc>
      </w:tr>
      <w:tr w:rsidR="00000000">
        <w:tblPrEx>
          <w:tblCellMar>
            <w:top w:w="0" w:type="dxa"/>
            <w:bottom w:w="0" w:type="dxa"/>
          </w:tblCellMar>
        </w:tblPrEx>
        <w:tc>
          <w:tcPr>
            <w:tcW w:w="2178" w:type="dxa"/>
          </w:tcPr>
          <w:p w:rsidR="00000000" w:rsidRDefault="00000000">
            <w:pPr>
              <w:pStyle w:val="BodyTextIndent2"/>
              <w:spacing w:after="120"/>
              <w:ind w:left="0" w:firstLine="0"/>
              <w:jc w:val="left"/>
              <w:rPr>
                <w:sz w:val="17"/>
              </w:rPr>
            </w:pPr>
            <w:r>
              <w:rPr>
                <w:sz w:val="17"/>
              </w:rPr>
              <w:t>Teachers (number)</w:t>
            </w:r>
          </w:p>
        </w:tc>
        <w:tc>
          <w:tcPr>
            <w:tcW w:w="787" w:type="dxa"/>
          </w:tcPr>
          <w:p w:rsidR="00000000" w:rsidRDefault="00000000">
            <w:pPr>
              <w:pStyle w:val="BodyTextIndent2"/>
              <w:spacing w:after="120"/>
              <w:ind w:left="0" w:firstLine="0"/>
              <w:jc w:val="right"/>
              <w:rPr>
                <w:sz w:val="17"/>
              </w:rPr>
            </w:pPr>
            <w:r>
              <w:rPr>
                <w:sz w:val="17"/>
              </w:rPr>
              <w:t>30 035</w:t>
            </w:r>
          </w:p>
        </w:tc>
        <w:tc>
          <w:tcPr>
            <w:tcW w:w="1067" w:type="dxa"/>
          </w:tcPr>
          <w:p w:rsidR="00000000" w:rsidRDefault="00000000">
            <w:pPr>
              <w:pStyle w:val="BodyTextIndent2"/>
              <w:spacing w:after="120"/>
              <w:ind w:left="0" w:firstLine="0"/>
              <w:jc w:val="right"/>
              <w:rPr>
                <w:sz w:val="17"/>
              </w:rPr>
            </w:pPr>
            <w:r>
              <w:rPr>
                <w:sz w:val="17"/>
              </w:rPr>
              <w:t>71 094</w:t>
            </w:r>
          </w:p>
        </w:tc>
        <w:tc>
          <w:tcPr>
            <w:tcW w:w="986" w:type="dxa"/>
          </w:tcPr>
          <w:p w:rsidR="00000000" w:rsidRDefault="00000000">
            <w:pPr>
              <w:pStyle w:val="BodyTextIndent2"/>
              <w:spacing w:after="120"/>
              <w:ind w:left="0" w:firstLine="0"/>
              <w:jc w:val="right"/>
              <w:rPr>
                <w:sz w:val="17"/>
              </w:rPr>
            </w:pPr>
            <w:r>
              <w:rPr>
                <w:sz w:val="17"/>
              </w:rPr>
              <w:t>…</w:t>
            </w:r>
          </w:p>
        </w:tc>
      </w:tr>
      <w:tr w:rsidR="00000000">
        <w:tblPrEx>
          <w:tblCellMar>
            <w:top w:w="0" w:type="dxa"/>
            <w:bottom w:w="0" w:type="dxa"/>
          </w:tblCellMar>
        </w:tblPrEx>
        <w:tc>
          <w:tcPr>
            <w:tcW w:w="2178" w:type="dxa"/>
          </w:tcPr>
          <w:p w:rsidR="00000000" w:rsidRDefault="00000000">
            <w:pPr>
              <w:pStyle w:val="BodyTextIndent2"/>
              <w:spacing w:after="120"/>
              <w:ind w:left="0" w:firstLine="0"/>
              <w:jc w:val="left"/>
              <w:rPr>
                <w:sz w:val="17"/>
              </w:rPr>
            </w:pPr>
            <w:r>
              <w:rPr>
                <w:sz w:val="17"/>
              </w:rPr>
              <w:t>Pupils (in thousands)</w:t>
            </w:r>
          </w:p>
        </w:tc>
        <w:tc>
          <w:tcPr>
            <w:tcW w:w="787" w:type="dxa"/>
          </w:tcPr>
          <w:p w:rsidR="00000000" w:rsidRDefault="00000000">
            <w:pPr>
              <w:pStyle w:val="BodyTextIndent2"/>
              <w:spacing w:after="120"/>
              <w:ind w:left="0" w:firstLine="0"/>
              <w:jc w:val="right"/>
              <w:rPr>
                <w:sz w:val="17"/>
              </w:rPr>
            </w:pPr>
            <w:r>
              <w:rPr>
                <w:sz w:val="17"/>
              </w:rPr>
              <w:t>657.3</w:t>
            </w:r>
          </w:p>
        </w:tc>
        <w:tc>
          <w:tcPr>
            <w:tcW w:w="1067" w:type="dxa"/>
          </w:tcPr>
          <w:p w:rsidR="00000000" w:rsidRDefault="00000000">
            <w:pPr>
              <w:pStyle w:val="BodyTextIndent2"/>
              <w:spacing w:after="120"/>
              <w:ind w:left="0" w:firstLine="0"/>
              <w:jc w:val="right"/>
              <w:rPr>
                <w:sz w:val="17"/>
              </w:rPr>
            </w:pPr>
            <w:r>
              <w:rPr>
                <w:sz w:val="17"/>
              </w:rPr>
              <w:t>902.4</w:t>
            </w:r>
          </w:p>
        </w:tc>
        <w:tc>
          <w:tcPr>
            <w:tcW w:w="986" w:type="dxa"/>
          </w:tcPr>
          <w:p w:rsidR="00000000" w:rsidRDefault="00000000">
            <w:pPr>
              <w:pStyle w:val="BodyTextIndent2"/>
              <w:spacing w:after="120"/>
              <w:ind w:left="0" w:firstLine="0"/>
              <w:jc w:val="right"/>
              <w:rPr>
                <w:sz w:val="17"/>
              </w:rPr>
            </w:pPr>
            <w:r>
              <w:rPr>
                <w:sz w:val="17"/>
              </w:rPr>
              <w:t>…</w:t>
            </w:r>
          </w:p>
        </w:tc>
      </w:tr>
      <w:tr w:rsidR="00000000">
        <w:tblPrEx>
          <w:tblCellMar>
            <w:top w:w="0" w:type="dxa"/>
            <w:bottom w:w="0" w:type="dxa"/>
          </w:tblCellMar>
        </w:tblPrEx>
        <w:tc>
          <w:tcPr>
            <w:tcW w:w="2178" w:type="dxa"/>
          </w:tcPr>
          <w:p w:rsidR="00000000" w:rsidRDefault="00000000">
            <w:pPr>
              <w:pStyle w:val="BodyTextIndent2"/>
              <w:spacing w:after="120"/>
              <w:ind w:left="0" w:firstLine="0"/>
              <w:jc w:val="left"/>
              <w:rPr>
                <w:sz w:val="17"/>
              </w:rPr>
            </w:pPr>
            <w:r>
              <w:rPr>
                <w:sz w:val="17"/>
              </w:rPr>
              <w:t>Girl pupils (in thousands)</w:t>
            </w:r>
          </w:p>
        </w:tc>
        <w:tc>
          <w:tcPr>
            <w:tcW w:w="787" w:type="dxa"/>
          </w:tcPr>
          <w:p w:rsidR="00000000" w:rsidRDefault="00000000">
            <w:pPr>
              <w:pStyle w:val="BodyTextIndent2"/>
              <w:spacing w:after="120"/>
              <w:ind w:left="0" w:firstLine="0"/>
              <w:jc w:val="right"/>
              <w:rPr>
                <w:sz w:val="17"/>
              </w:rPr>
            </w:pPr>
            <w:r>
              <w:rPr>
                <w:sz w:val="17"/>
              </w:rPr>
              <w:t>327.9</w:t>
            </w:r>
          </w:p>
        </w:tc>
        <w:tc>
          <w:tcPr>
            <w:tcW w:w="1067" w:type="dxa"/>
          </w:tcPr>
          <w:p w:rsidR="00000000" w:rsidRDefault="00000000">
            <w:pPr>
              <w:pStyle w:val="BodyTextIndent2"/>
              <w:spacing w:after="120"/>
              <w:ind w:left="0" w:firstLine="0"/>
              <w:jc w:val="right"/>
              <w:rPr>
                <w:sz w:val="17"/>
              </w:rPr>
            </w:pPr>
            <w:r>
              <w:rPr>
                <w:sz w:val="17"/>
              </w:rPr>
              <w:t>452.1</w:t>
            </w:r>
          </w:p>
        </w:tc>
        <w:tc>
          <w:tcPr>
            <w:tcW w:w="986" w:type="dxa"/>
          </w:tcPr>
          <w:p w:rsidR="00000000" w:rsidRDefault="00000000">
            <w:pPr>
              <w:pStyle w:val="BodyTextIndent2"/>
              <w:spacing w:after="120"/>
              <w:ind w:left="0" w:firstLine="0"/>
              <w:jc w:val="right"/>
              <w:rPr>
                <w:sz w:val="17"/>
              </w:rPr>
            </w:pPr>
            <w:r>
              <w:rPr>
                <w:sz w:val="17"/>
              </w:rPr>
              <w:t>…</w:t>
            </w:r>
          </w:p>
        </w:tc>
      </w:tr>
      <w:tr w:rsidR="00000000">
        <w:tblPrEx>
          <w:tblCellMar>
            <w:top w:w="0" w:type="dxa"/>
            <w:bottom w:w="0" w:type="dxa"/>
          </w:tblCellMar>
        </w:tblPrEx>
        <w:tc>
          <w:tcPr>
            <w:tcW w:w="2178" w:type="dxa"/>
          </w:tcPr>
          <w:p w:rsidR="00000000" w:rsidRDefault="00000000">
            <w:pPr>
              <w:pStyle w:val="BodyTextIndent2"/>
              <w:spacing w:after="120"/>
              <w:ind w:left="0" w:firstLine="0"/>
              <w:jc w:val="left"/>
              <w:rPr>
                <w:sz w:val="17"/>
              </w:rPr>
            </w:pPr>
            <w:r>
              <w:rPr>
                <w:sz w:val="17"/>
              </w:rPr>
              <w:t>Girls (as a percentage)</w:t>
            </w:r>
          </w:p>
        </w:tc>
        <w:tc>
          <w:tcPr>
            <w:tcW w:w="787" w:type="dxa"/>
          </w:tcPr>
          <w:p w:rsidR="00000000" w:rsidRDefault="00000000">
            <w:pPr>
              <w:pStyle w:val="BodyTextIndent2"/>
              <w:spacing w:after="120"/>
              <w:ind w:left="0" w:firstLine="0"/>
              <w:jc w:val="right"/>
              <w:rPr>
                <w:sz w:val="17"/>
              </w:rPr>
            </w:pPr>
            <w:r>
              <w:rPr>
                <w:sz w:val="17"/>
              </w:rPr>
              <w:t>49.9</w:t>
            </w:r>
          </w:p>
        </w:tc>
        <w:tc>
          <w:tcPr>
            <w:tcW w:w="1067" w:type="dxa"/>
          </w:tcPr>
          <w:p w:rsidR="00000000" w:rsidRDefault="00000000">
            <w:pPr>
              <w:pStyle w:val="BodyTextIndent2"/>
              <w:spacing w:after="120"/>
              <w:ind w:left="0" w:firstLine="0"/>
              <w:jc w:val="right"/>
              <w:rPr>
                <w:sz w:val="17"/>
              </w:rPr>
            </w:pPr>
            <w:r>
              <w:rPr>
                <w:sz w:val="17"/>
              </w:rPr>
              <w:t>50.1</w:t>
            </w:r>
          </w:p>
        </w:tc>
        <w:tc>
          <w:tcPr>
            <w:tcW w:w="986" w:type="dxa"/>
          </w:tcPr>
          <w:p w:rsidR="00000000" w:rsidRDefault="00000000">
            <w:pPr>
              <w:pStyle w:val="BodyTextIndent2"/>
              <w:spacing w:after="120"/>
              <w:ind w:left="0" w:firstLine="0"/>
              <w:jc w:val="right"/>
              <w:rPr>
                <w:sz w:val="17"/>
              </w:rPr>
            </w:pPr>
            <w:r>
              <w:rPr>
                <w:sz w:val="17"/>
              </w:rPr>
              <w:t>…</w:t>
            </w:r>
          </w:p>
        </w:tc>
      </w:tr>
      <w:tr w:rsidR="00000000">
        <w:tblPrEx>
          <w:tblCellMar>
            <w:top w:w="0" w:type="dxa"/>
            <w:bottom w:w="0" w:type="dxa"/>
          </w:tblCellMar>
        </w:tblPrEx>
        <w:tc>
          <w:tcPr>
            <w:tcW w:w="2178" w:type="dxa"/>
          </w:tcPr>
          <w:p w:rsidR="00000000" w:rsidRDefault="00000000">
            <w:pPr>
              <w:pStyle w:val="BodyTextIndent2"/>
              <w:spacing w:after="120"/>
              <w:ind w:left="0" w:firstLine="0"/>
              <w:jc w:val="left"/>
              <w:rPr>
                <w:b/>
                <w:sz w:val="17"/>
              </w:rPr>
            </w:pPr>
            <w:r>
              <w:rPr>
                <w:b/>
                <w:sz w:val="17"/>
              </w:rPr>
              <w:t>Rural areas:</w:t>
            </w:r>
          </w:p>
        </w:tc>
        <w:tc>
          <w:tcPr>
            <w:tcW w:w="787" w:type="dxa"/>
          </w:tcPr>
          <w:p w:rsidR="00000000" w:rsidRDefault="00000000">
            <w:pPr>
              <w:pStyle w:val="BodyTextIndent2"/>
              <w:spacing w:after="120"/>
              <w:ind w:left="0" w:firstLine="0"/>
              <w:jc w:val="right"/>
              <w:rPr>
                <w:sz w:val="17"/>
              </w:rPr>
            </w:pPr>
          </w:p>
        </w:tc>
        <w:tc>
          <w:tcPr>
            <w:tcW w:w="1067" w:type="dxa"/>
          </w:tcPr>
          <w:p w:rsidR="00000000" w:rsidRDefault="00000000">
            <w:pPr>
              <w:pStyle w:val="BodyTextIndent2"/>
              <w:spacing w:after="120"/>
              <w:ind w:left="0" w:firstLine="0"/>
              <w:jc w:val="right"/>
              <w:rPr>
                <w:sz w:val="17"/>
              </w:rPr>
            </w:pPr>
          </w:p>
        </w:tc>
        <w:tc>
          <w:tcPr>
            <w:tcW w:w="986" w:type="dxa"/>
          </w:tcPr>
          <w:p w:rsidR="00000000" w:rsidRDefault="00000000">
            <w:pPr>
              <w:pStyle w:val="BodyTextIndent2"/>
              <w:spacing w:after="120"/>
              <w:ind w:left="0" w:firstLine="0"/>
              <w:jc w:val="right"/>
              <w:rPr>
                <w:sz w:val="17"/>
              </w:rPr>
            </w:pPr>
          </w:p>
        </w:tc>
      </w:tr>
      <w:tr w:rsidR="00000000">
        <w:tblPrEx>
          <w:tblCellMar>
            <w:top w:w="0" w:type="dxa"/>
            <w:bottom w:w="0" w:type="dxa"/>
          </w:tblCellMar>
        </w:tblPrEx>
        <w:tc>
          <w:tcPr>
            <w:tcW w:w="2178" w:type="dxa"/>
          </w:tcPr>
          <w:p w:rsidR="00000000" w:rsidRDefault="00000000">
            <w:pPr>
              <w:pStyle w:val="BodyTextIndent2"/>
              <w:spacing w:after="120"/>
              <w:ind w:left="0" w:firstLine="0"/>
              <w:jc w:val="left"/>
              <w:rPr>
                <w:sz w:val="17"/>
              </w:rPr>
            </w:pPr>
            <w:r>
              <w:rPr>
                <w:sz w:val="17"/>
              </w:rPr>
              <w:t>Schools (number)</w:t>
            </w:r>
          </w:p>
        </w:tc>
        <w:tc>
          <w:tcPr>
            <w:tcW w:w="787" w:type="dxa"/>
          </w:tcPr>
          <w:p w:rsidR="00000000" w:rsidRDefault="00000000">
            <w:pPr>
              <w:pStyle w:val="BodyTextIndent2"/>
              <w:spacing w:after="120"/>
              <w:ind w:left="0" w:firstLine="0"/>
              <w:jc w:val="right"/>
              <w:rPr>
                <w:sz w:val="17"/>
              </w:rPr>
            </w:pPr>
            <w:r>
              <w:rPr>
                <w:sz w:val="17"/>
              </w:rPr>
              <w:t>6 210</w:t>
            </w:r>
          </w:p>
        </w:tc>
        <w:tc>
          <w:tcPr>
            <w:tcW w:w="1067" w:type="dxa"/>
          </w:tcPr>
          <w:p w:rsidR="00000000" w:rsidRDefault="00000000">
            <w:pPr>
              <w:pStyle w:val="BodyTextIndent2"/>
              <w:spacing w:after="120"/>
              <w:ind w:left="0" w:firstLine="0"/>
              <w:jc w:val="right"/>
              <w:rPr>
                <w:sz w:val="17"/>
              </w:rPr>
            </w:pPr>
            <w:r>
              <w:rPr>
                <w:sz w:val="17"/>
              </w:rPr>
              <w:t>6 210</w:t>
            </w:r>
          </w:p>
        </w:tc>
        <w:tc>
          <w:tcPr>
            <w:tcW w:w="986" w:type="dxa"/>
          </w:tcPr>
          <w:p w:rsidR="00000000" w:rsidRDefault="00000000">
            <w:pPr>
              <w:pStyle w:val="BodyTextIndent2"/>
              <w:spacing w:after="120"/>
              <w:ind w:left="0" w:firstLine="0"/>
              <w:jc w:val="right"/>
              <w:rPr>
                <w:sz w:val="17"/>
              </w:rPr>
            </w:pPr>
            <w:r>
              <w:rPr>
                <w:sz w:val="17"/>
              </w:rPr>
              <w:t>…</w:t>
            </w:r>
          </w:p>
        </w:tc>
      </w:tr>
      <w:tr w:rsidR="00000000">
        <w:tblPrEx>
          <w:tblCellMar>
            <w:top w:w="0" w:type="dxa"/>
            <w:bottom w:w="0" w:type="dxa"/>
          </w:tblCellMar>
        </w:tblPrEx>
        <w:tc>
          <w:tcPr>
            <w:tcW w:w="2178" w:type="dxa"/>
          </w:tcPr>
          <w:p w:rsidR="00000000" w:rsidRDefault="00000000">
            <w:pPr>
              <w:pStyle w:val="BodyTextIndent2"/>
              <w:spacing w:after="120"/>
              <w:ind w:left="0" w:firstLine="0"/>
              <w:jc w:val="left"/>
              <w:rPr>
                <w:sz w:val="17"/>
              </w:rPr>
            </w:pPr>
            <w:r>
              <w:rPr>
                <w:sz w:val="17"/>
              </w:rPr>
              <w:t>Teachers (number)</w:t>
            </w:r>
          </w:p>
        </w:tc>
        <w:tc>
          <w:tcPr>
            <w:tcW w:w="787" w:type="dxa"/>
          </w:tcPr>
          <w:p w:rsidR="00000000" w:rsidRDefault="00000000">
            <w:pPr>
              <w:pStyle w:val="BodyTextIndent2"/>
              <w:spacing w:after="120"/>
              <w:ind w:left="0" w:firstLine="0"/>
              <w:jc w:val="right"/>
              <w:rPr>
                <w:sz w:val="17"/>
              </w:rPr>
            </w:pPr>
            <w:r>
              <w:rPr>
                <w:sz w:val="17"/>
              </w:rPr>
              <w:t>42 534</w:t>
            </w:r>
          </w:p>
        </w:tc>
        <w:tc>
          <w:tcPr>
            <w:tcW w:w="1067" w:type="dxa"/>
          </w:tcPr>
          <w:p w:rsidR="00000000" w:rsidRDefault="00000000">
            <w:pPr>
              <w:pStyle w:val="BodyTextIndent2"/>
              <w:spacing w:after="120"/>
              <w:ind w:left="0" w:firstLine="0"/>
              <w:jc w:val="right"/>
              <w:rPr>
                <w:sz w:val="17"/>
              </w:rPr>
            </w:pPr>
            <w:r>
              <w:rPr>
                <w:sz w:val="17"/>
              </w:rPr>
              <w:t>100 679</w:t>
            </w:r>
          </w:p>
        </w:tc>
        <w:tc>
          <w:tcPr>
            <w:tcW w:w="986" w:type="dxa"/>
          </w:tcPr>
          <w:p w:rsidR="00000000" w:rsidRDefault="00000000">
            <w:pPr>
              <w:pStyle w:val="BodyTextIndent2"/>
              <w:spacing w:after="120"/>
              <w:ind w:left="0" w:firstLine="0"/>
              <w:jc w:val="right"/>
              <w:rPr>
                <w:sz w:val="17"/>
              </w:rPr>
            </w:pPr>
            <w:r>
              <w:rPr>
                <w:sz w:val="17"/>
              </w:rPr>
              <w:t>…</w:t>
            </w:r>
          </w:p>
        </w:tc>
      </w:tr>
      <w:tr w:rsidR="00000000">
        <w:tblPrEx>
          <w:tblCellMar>
            <w:top w:w="0" w:type="dxa"/>
            <w:bottom w:w="0" w:type="dxa"/>
          </w:tblCellMar>
        </w:tblPrEx>
        <w:tc>
          <w:tcPr>
            <w:tcW w:w="2178" w:type="dxa"/>
          </w:tcPr>
          <w:p w:rsidR="00000000" w:rsidRDefault="00000000">
            <w:pPr>
              <w:pStyle w:val="BodyTextIndent2"/>
              <w:spacing w:after="120"/>
              <w:ind w:left="0" w:firstLine="0"/>
              <w:jc w:val="left"/>
              <w:rPr>
                <w:sz w:val="17"/>
              </w:rPr>
            </w:pPr>
            <w:r>
              <w:rPr>
                <w:sz w:val="17"/>
              </w:rPr>
              <w:t>Pupils (in thousands)</w:t>
            </w:r>
          </w:p>
        </w:tc>
        <w:tc>
          <w:tcPr>
            <w:tcW w:w="787" w:type="dxa"/>
          </w:tcPr>
          <w:p w:rsidR="00000000" w:rsidRDefault="00000000">
            <w:pPr>
              <w:pStyle w:val="BodyTextIndent2"/>
              <w:spacing w:after="120"/>
              <w:ind w:left="0" w:firstLine="0"/>
              <w:jc w:val="right"/>
              <w:rPr>
                <w:sz w:val="17"/>
              </w:rPr>
            </w:pPr>
            <w:r>
              <w:rPr>
                <w:sz w:val="17"/>
              </w:rPr>
              <w:t>633.5</w:t>
            </w:r>
          </w:p>
        </w:tc>
        <w:tc>
          <w:tcPr>
            <w:tcW w:w="1067" w:type="dxa"/>
          </w:tcPr>
          <w:p w:rsidR="00000000" w:rsidRDefault="00000000">
            <w:pPr>
              <w:pStyle w:val="BodyTextIndent2"/>
              <w:spacing w:after="120"/>
              <w:ind w:left="0" w:firstLine="0"/>
              <w:jc w:val="right"/>
              <w:rPr>
                <w:sz w:val="17"/>
              </w:rPr>
            </w:pPr>
            <w:r>
              <w:rPr>
                <w:sz w:val="17"/>
              </w:rPr>
              <w:t>893.9</w:t>
            </w:r>
          </w:p>
        </w:tc>
        <w:tc>
          <w:tcPr>
            <w:tcW w:w="986" w:type="dxa"/>
          </w:tcPr>
          <w:p w:rsidR="00000000" w:rsidRDefault="00000000">
            <w:pPr>
              <w:pStyle w:val="BodyTextIndent2"/>
              <w:spacing w:after="120"/>
              <w:ind w:left="0" w:firstLine="0"/>
              <w:jc w:val="right"/>
              <w:rPr>
                <w:sz w:val="17"/>
              </w:rPr>
            </w:pPr>
            <w:r>
              <w:rPr>
                <w:sz w:val="17"/>
              </w:rPr>
              <w:t>…</w:t>
            </w:r>
          </w:p>
        </w:tc>
      </w:tr>
      <w:tr w:rsidR="00000000">
        <w:tblPrEx>
          <w:tblCellMar>
            <w:top w:w="0" w:type="dxa"/>
            <w:bottom w:w="0" w:type="dxa"/>
          </w:tblCellMar>
        </w:tblPrEx>
        <w:tc>
          <w:tcPr>
            <w:tcW w:w="2178" w:type="dxa"/>
          </w:tcPr>
          <w:p w:rsidR="00000000" w:rsidRDefault="00000000">
            <w:pPr>
              <w:pStyle w:val="BodyTextIndent2"/>
              <w:spacing w:after="120"/>
              <w:ind w:left="0" w:firstLine="0"/>
              <w:jc w:val="left"/>
              <w:rPr>
                <w:sz w:val="17"/>
              </w:rPr>
            </w:pPr>
            <w:r>
              <w:rPr>
                <w:sz w:val="17"/>
              </w:rPr>
              <w:t>Girl pupils (in thousands)</w:t>
            </w:r>
          </w:p>
        </w:tc>
        <w:tc>
          <w:tcPr>
            <w:tcW w:w="787" w:type="dxa"/>
          </w:tcPr>
          <w:p w:rsidR="00000000" w:rsidRDefault="00000000">
            <w:pPr>
              <w:pStyle w:val="BodyTextIndent2"/>
              <w:spacing w:after="120"/>
              <w:ind w:left="0" w:firstLine="0"/>
              <w:jc w:val="right"/>
              <w:rPr>
                <w:sz w:val="17"/>
              </w:rPr>
            </w:pPr>
            <w:r>
              <w:rPr>
                <w:sz w:val="17"/>
              </w:rPr>
              <w:t>315.5</w:t>
            </w:r>
          </w:p>
        </w:tc>
        <w:tc>
          <w:tcPr>
            <w:tcW w:w="1067" w:type="dxa"/>
          </w:tcPr>
          <w:p w:rsidR="00000000" w:rsidRDefault="00000000">
            <w:pPr>
              <w:pStyle w:val="BodyTextIndent2"/>
              <w:spacing w:after="120"/>
              <w:ind w:left="0" w:firstLine="0"/>
              <w:jc w:val="right"/>
              <w:rPr>
                <w:sz w:val="17"/>
              </w:rPr>
            </w:pPr>
            <w:r>
              <w:rPr>
                <w:sz w:val="17"/>
              </w:rPr>
              <w:t>448.7</w:t>
            </w:r>
          </w:p>
        </w:tc>
        <w:tc>
          <w:tcPr>
            <w:tcW w:w="986" w:type="dxa"/>
          </w:tcPr>
          <w:p w:rsidR="00000000" w:rsidRDefault="00000000">
            <w:pPr>
              <w:pStyle w:val="BodyTextIndent2"/>
              <w:spacing w:after="120"/>
              <w:ind w:left="0" w:firstLine="0"/>
              <w:jc w:val="right"/>
              <w:rPr>
                <w:sz w:val="17"/>
              </w:rPr>
            </w:pPr>
            <w:r>
              <w:rPr>
                <w:sz w:val="17"/>
              </w:rPr>
              <w:t>…</w:t>
            </w:r>
          </w:p>
        </w:tc>
      </w:tr>
      <w:tr w:rsidR="00000000">
        <w:tblPrEx>
          <w:tblCellMar>
            <w:top w:w="0" w:type="dxa"/>
            <w:bottom w:w="0" w:type="dxa"/>
          </w:tblCellMar>
        </w:tblPrEx>
        <w:tc>
          <w:tcPr>
            <w:tcW w:w="2178" w:type="dxa"/>
            <w:tcBorders>
              <w:bottom w:val="single" w:sz="12" w:space="0" w:color="auto"/>
            </w:tcBorders>
          </w:tcPr>
          <w:p w:rsidR="00000000" w:rsidRDefault="00000000">
            <w:pPr>
              <w:pStyle w:val="BodyTextIndent2"/>
              <w:spacing w:after="120"/>
              <w:ind w:left="0" w:firstLine="0"/>
              <w:jc w:val="left"/>
              <w:rPr>
                <w:sz w:val="17"/>
              </w:rPr>
            </w:pPr>
            <w:r>
              <w:rPr>
                <w:sz w:val="17"/>
              </w:rPr>
              <w:t>Girls (as a percentage)</w:t>
            </w:r>
          </w:p>
        </w:tc>
        <w:tc>
          <w:tcPr>
            <w:tcW w:w="787" w:type="dxa"/>
            <w:tcBorders>
              <w:bottom w:val="single" w:sz="12" w:space="0" w:color="auto"/>
            </w:tcBorders>
          </w:tcPr>
          <w:p w:rsidR="00000000" w:rsidRDefault="00000000">
            <w:pPr>
              <w:pStyle w:val="BodyTextIndent2"/>
              <w:spacing w:after="120"/>
              <w:ind w:left="0" w:firstLine="0"/>
              <w:jc w:val="right"/>
              <w:rPr>
                <w:sz w:val="17"/>
              </w:rPr>
            </w:pPr>
            <w:r>
              <w:rPr>
                <w:sz w:val="17"/>
              </w:rPr>
              <w:t>49.8</w:t>
            </w:r>
          </w:p>
        </w:tc>
        <w:tc>
          <w:tcPr>
            <w:tcW w:w="1067" w:type="dxa"/>
            <w:tcBorders>
              <w:bottom w:val="single" w:sz="12" w:space="0" w:color="auto"/>
            </w:tcBorders>
          </w:tcPr>
          <w:p w:rsidR="00000000" w:rsidRDefault="00000000">
            <w:pPr>
              <w:pStyle w:val="BodyTextIndent2"/>
              <w:spacing w:after="120"/>
              <w:ind w:left="0" w:firstLine="0"/>
              <w:jc w:val="right"/>
              <w:rPr>
                <w:sz w:val="17"/>
              </w:rPr>
            </w:pPr>
            <w:r>
              <w:rPr>
                <w:sz w:val="17"/>
              </w:rPr>
              <w:t>50.2</w:t>
            </w:r>
          </w:p>
        </w:tc>
        <w:tc>
          <w:tcPr>
            <w:tcW w:w="986" w:type="dxa"/>
            <w:tcBorders>
              <w:bottom w:val="single" w:sz="12" w:space="0" w:color="auto"/>
            </w:tcBorders>
          </w:tcPr>
          <w:p w:rsidR="00000000" w:rsidRDefault="00000000">
            <w:pPr>
              <w:pStyle w:val="BodyTextIndent2"/>
              <w:spacing w:after="120"/>
              <w:ind w:left="0" w:firstLine="0"/>
              <w:jc w:val="right"/>
              <w:rPr>
                <w:sz w:val="17"/>
              </w:rPr>
            </w:pPr>
          </w:p>
        </w:tc>
      </w:tr>
    </w:tbl>
    <w:p w:rsidR="00000000" w:rsidRDefault="00000000">
      <w:pPr>
        <w:pStyle w:val="BodyTextIndent2"/>
        <w:spacing w:after="120"/>
        <w:rPr>
          <w:sz w:val="17"/>
        </w:rPr>
      </w:pPr>
      <w:r>
        <w:rPr>
          <w:noProof/>
          <w:w w:val="100"/>
        </w:rPr>
        <w:pict>
          <v:shape id="_x0000_s2074" type="#_x0000_t202" style="position:absolute;left:0;text-align:left;margin-left:-15.05pt;margin-top:2.7pt;width:262.5pt;height:42.3pt;z-index:16;mso-position-horizontal:absolute;mso-position-horizontal-relative:text;mso-position-vertical:absolute;mso-position-vertical-relative:text" o:allowincell="f" stroked="f">
            <v:textbox style="mso-next-textbox:#_x0000_s2074">
              <w:txbxContent>
                <w:p w:rsidR="00000000" w:rsidRDefault="00000000">
                  <w:pPr>
                    <w:pStyle w:val="Small"/>
                    <w:tabs>
                      <w:tab w:val="clear" w:pos="9965"/>
                      <w:tab w:val="left" w:pos="477"/>
                    </w:tabs>
                    <w:spacing w:line="200" w:lineRule="exact"/>
                    <w:ind w:left="477" w:hanging="477"/>
                    <w:rPr>
                      <w:spacing w:val="4"/>
                      <w:w w:val="103"/>
                    </w:rPr>
                  </w:pPr>
                  <w:r>
                    <w:rPr>
                      <w:spacing w:val="4"/>
                      <w:w w:val="103"/>
                    </w:rPr>
                    <w:t xml:space="preserve">       *</w:t>
                  </w:r>
                  <w:r>
                    <w:rPr>
                      <w:spacing w:val="4"/>
                      <w:w w:val="103"/>
                    </w:rPr>
                    <w:tab/>
                    <w:t>In Kazakhstan, primary and general secondary schools are combined. So the number of primary and general secondary schools is the same.</w:t>
                  </w:r>
                </w:p>
              </w:txbxContent>
            </v:textbox>
          </v:shape>
        </w:pict>
      </w:r>
    </w:p>
    <w:p w:rsidR="00000000" w:rsidRDefault="00000000">
      <w:pPr>
        <w:pStyle w:val="BodyTextIndent2"/>
        <w:spacing w:after="120"/>
        <w:ind w:left="0" w:firstLine="0"/>
      </w:pPr>
      <w:r>
        <w:tab/>
      </w:r>
      <w:r>
        <w:rPr>
          <w:b/>
        </w:rPr>
        <w:t>(b)</w:t>
      </w:r>
      <w:r>
        <w:rPr>
          <w:b/>
        </w:rPr>
        <w:tab/>
        <w:t>Access to the same curricula, the same examinations, teaching staff with qualifications of the same standard and school premises and equipment of the same quality;</w:t>
      </w:r>
    </w:p>
    <w:p w:rsidR="00000000" w:rsidRDefault="00000000">
      <w:pPr>
        <w:pStyle w:val="BodyTextIndent2"/>
        <w:spacing w:after="120"/>
        <w:ind w:left="0" w:firstLine="0"/>
      </w:pPr>
      <w:r>
        <w:t>86.</w:t>
      </w:r>
      <w:r>
        <w:tab/>
        <w:t>See paragraph “a”.</w:t>
      </w:r>
    </w:p>
    <w:p w:rsidR="00000000" w:rsidRDefault="00000000">
      <w:pPr>
        <w:pStyle w:val="D12r"/>
      </w:pPr>
    </w:p>
    <w:p w:rsidR="00000000" w:rsidRDefault="00000000">
      <w:pPr>
        <w:pStyle w:val="BodyTextIndent2"/>
        <w:spacing w:after="120"/>
        <w:ind w:left="0" w:firstLine="0"/>
      </w:pPr>
      <w:r>
        <w:tab/>
      </w:r>
      <w:r>
        <w:rPr>
          <w:b/>
        </w:rPr>
        <w:t>(c)</w:t>
      </w:r>
      <w:r>
        <w:rPr>
          <w:b/>
        </w:rPr>
        <w:tab/>
        <w:t>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w:t>
      </w:r>
      <w:r>
        <w:t xml:space="preserve">; </w:t>
      </w:r>
    </w:p>
    <w:p w:rsidR="00000000" w:rsidRDefault="00000000">
      <w:pPr>
        <w:pStyle w:val="BodyTextIndent2"/>
        <w:spacing w:after="120"/>
        <w:ind w:left="0" w:firstLine="0"/>
      </w:pPr>
      <w:r>
        <w:t>87.</w:t>
      </w:r>
      <w:r>
        <w:tab/>
        <w:t>Within the higher-education system of the Republic, all curricula, textbooks and other teaching materials are uniform in terms of contents and are intended for all students irrespective of gender.</w:t>
      </w:r>
    </w:p>
    <w:p w:rsidR="00000000" w:rsidRDefault="00000000">
      <w:pPr>
        <w:pStyle w:val="BodyTextIndent2"/>
        <w:spacing w:after="120"/>
        <w:ind w:left="0" w:firstLine="0"/>
      </w:pPr>
      <w:r>
        <w:t>88.</w:t>
      </w:r>
      <w:r>
        <w:tab/>
        <w:t>The secondary-education system of the Republic is based mainly on co-education. However, within the system of higher education a Women’s Pedagogical Institute has existed for several decades. This is the only higher-education institution in Kazakhstan in which teaching is exclusively in the Kazakh language and in which girls from rural areas comprise a majority of the student body.</w:t>
      </w:r>
    </w:p>
    <w:p w:rsidR="00000000" w:rsidRDefault="00000000">
      <w:pPr>
        <w:pStyle w:val="BodyTextIndent2"/>
        <w:spacing w:after="120"/>
        <w:ind w:left="0" w:firstLine="0"/>
      </w:pPr>
      <w:r>
        <w:tab/>
        <w:t>Recently, separate secondary schools have appeared, including the Kazakh-Turkish women’s lycée in the city of Kyzylorda.</w:t>
      </w:r>
    </w:p>
    <w:p w:rsidR="00000000" w:rsidRDefault="00000000">
      <w:pPr>
        <w:pStyle w:val="D12r"/>
      </w:pPr>
    </w:p>
    <w:p w:rsidR="00000000" w:rsidRDefault="00000000">
      <w:pPr>
        <w:pStyle w:val="BodyTextIndent2"/>
        <w:spacing w:after="120"/>
        <w:ind w:left="0" w:firstLine="0"/>
        <w:rPr>
          <w:b/>
        </w:rPr>
      </w:pPr>
      <w:r>
        <w:tab/>
      </w:r>
      <w:r>
        <w:rPr>
          <w:b/>
        </w:rPr>
        <w:t>(d)</w:t>
      </w:r>
      <w:r>
        <w:rPr>
          <w:b/>
        </w:rPr>
        <w:tab/>
        <w:t>The same opportunities to benefit from scholarships and other study grants;</w:t>
      </w:r>
    </w:p>
    <w:p w:rsidR="00000000" w:rsidRDefault="00000000">
      <w:pPr>
        <w:pStyle w:val="BodyTextIndent2"/>
        <w:spacing w:after="120"/>
        <w:ind w:left="0" w:firstLine="0"/>
      </w:pPr>
      <w:r>
        <w:t>89.</w:t>
      </w:r>
      <w:r>
        <w:tab/>
        <w:t>Scholarships and other study grants are provided on an equal basis irrespective of gender.</w:t>
      </w:r>
    </w:p>
    <w:p w:rsidR="00000000" w:rsidRDefault="00000000">
      <w:pPr>
        <w:pStyle w:val="D12r"/>
      </w:pPr>
    </w:p>
    <w:p w:rsidR="00000000" w:rsidRDefault="00000000">
      <w:pPr>
        <w:pStyle w:val="BodyTextIndent2"/>
        <w:spacing w:after="120"/>
        <w:ind w:left="0" w:firstLine="0"/>
        <w:rPr>
          <w:b/>
        </w:rPr>
      </w:pPr>
      <w:r>
        <w:tab/>
      </w:r>
      <w:r>
        <w:rPr>
          <w:b/>
        </w:rPr>
        <w:t>(e)</w:t>
      </w:r>
      <w:r>
        <w:rPr>
          <w:b/>
        </w:rPr>
        <w:tab/>
        <w:t>The same opportunities for access to programmes of continuing education, including adult and functional literacy programmes, particularly those aimed at reducing, at the earliest possible time, any gap in education existing between men and women;</w:t>
      </w:r>
    </w:p>
    <w:p w:rsidR="00000000" w:rsidRDefault="00000000">
      <w:pPr>
        <w:pStyle w:val="BodyTextIndent2"/>
        <w:spacing w:after="120"/>
        <w:ind w:left="0" w:firstLine="0"/>
      </w:pPr>
      <w:r>
        <w:t>90.</w:t>
      </w:r>
      <w:r>
        <w:tab/>
        <w:t>Taking into account the higher level of education among women, it may be noted that the existing knowledge gap is not in men’s favour.</w:t>
      </w:r>
    </w:p>
    <w:p w:rsidR="00000000" w:rsidRDefault="00000000">
      <w:pPr>
        <w:pStyle w:val="BodyTextIndent2"/>
        <w:spacing w:after="120"/>
        <w:ind w:left="0" w:firstLine="0"/>
      </w:pPr>
      <w:r>
        <w:tab/>
        <w:t>The Labour Code of 21 July 1972 contains a number of provisions aimed at encouraging continued education, including the expansion of literacy among adults, regardless of gender. They include:</w:t>
      </w:r>
    </w:p>
    <w:p w:rsidR="00000000" w:rsidRDefault="00000000">
      <w:pPr>
        <w:pStyle w:val="BodyTextIndent2"/>
        <w:spacing w:after="120"/>
        <w:ind w:left="0" w:firstLine="0"/>
      </w:pPr>
      <w:r>
        <w:tab/>
        <w:t>Reduction of the workweek for students of evening and external general secondary schools (art. 186) by one day, with a wage of 50 per cent for that day, and for rural students, by two days;</w:t>
      </w:r>
    </w:p>
    <w:p w:rsidR="00000000" w:rsidRDefault="00000000">
      <w:pPr>
        <w:pStyle w:val="BodyTextIndent2"/>
        <w:spacing w:after="120"/>
        <w:ind w:left="0" w:firstLine="0"/>
      </w:pPr>
      <w:r>
        <w:tab/>
        <w:t>Paid leave (art. 187) of up to 20 days to sit for final examinations at evening and external general secondary schools, of up to 30 days (art. 189) to sit for examinations at vocational schools, and up to 40 days (art. 193) to sit for examinations at evening and external higher and specialized secondary educational establishments;</w:t>
      </w:r>
    </w:p>
    <w:p w:rsidR="00000000" w:rsidRDefault="00000000">
      <w:pPr>
        <w:pStyle w:val="BodyTextIndent2"/>
        <w:spacing w:after="120"/>
        <w:ind w:left="0" w:firstLine="0"/>
      </w:pPr>
      <w:r>
        <w:tab/>
        <w:t>Unpaid leave (art. 190) of up to 15 days to sit for entrance examinations to higher and specialized secondary educational establishments.</w:t>
      </w:r>
    </w:p>
    <w:p w:rsidR="00000000" w:rsidRDefault="00000000">
      <w:pPr>
        <w:pStyle w:val="D12r"/>
      </w:pPr>
    </w:p>
    <w:p w:rsidR="00000000" w:rsidRDefault="00000000">
      <w:pPr>
        <w:pStyle w:val="BodyTextIndent2"/>
        <w:spacing w:after="120"/>
        <w:ind w:left="0" w:firstLine="0"/>
        <w:rPr>
          <w:b/>
        </w:rPr>
      </w:pPr>
      <w:r>
        <w:tab/>
      </w:r>
      <w:r>
        <w:rPr>
          <w:b/>
        </w:rPr>
        <w:t>(f)</w:t>
      </w:r>
      <w:r>
        <w:rPr>
          <w:b/>
        </w:rPr>
        <w:tab/>
        <w:t>The reduction of female student drop-out rates and the organization of programmes for girls and women who have left school prematurely;</w:t>
      </w:r>
    </w:p>
    <w:p w:rsidR="00000000" w:rsidRDefault="00000000">
      <w:pPr>
        <w:pStyle w:val="BodyTextIndent2"/>
        <w:spacing w:after="120"/>
        <w:ind w:left="0" w:firstLine="0"/>
      </w:pPr>
      <w:r>
        <w:t>91.</w:t>
      </w:r>
      <w:r>
        <w:tab/>
        <w:t>No data available.</w:t>
      </w:r>
    </w:p>
    <w:p w:rsidR="00000000" w:rsidRDefault="00000000">
      <w:pPr>
        <w:pStyle w:val="D12r"/>
      </w:pPr>
    </w:p>
    <w:p w:rsidR="00000000" w:rsidRDefault="00000000">
      <w:pPr>
        <w:pStyle w:val="BodyTextIndent2"/>
        <w:spacing w:after="120"/>
        <w:ind w:left="0" w:firstLine="0"/>
        <w:rPr>
          <w:b/>
        </w:rPr>
      </w:pPr>
      <w:r>
        <w:tab/>
      </w:r>
      <w:r>
        <w:rPr>
          <w:b/>
        </w:rPr>
        <w:t>(g)</w:t>
      </w:r>
      <w:r>
        <w:rPr>
          <w:b/>
        </w:rPr>
        <w:tab/>
        <w:t>The same opportunities to participate actively in sports and physical education;</w:t>
      </w:r>
    </w:p>
    <w:p w:rsidR="00000000" w:rsidRDefault="00000000">
      <w:pPr>
        <w:pStyle w:val="BodyTextIndent2"/>
        <w:spacing w:after="120"/>
        <w:ind w:left="0" w:firstLine="0"/>
      </w:pPr>
      <w:r>
        <w:t>92.</w:t>
      </w:r>
      <w:r>
        <w:tab/>
        <w:t>Physical training in those educational establishments where facilities are available is compulsory for all students irrespective of gender.</w:t>
      </w:r>
    </w:p>
    <w:p w:rsidR="00000000" w:rsidRDefault="00000000">
      <w:pPr>
        <w:pStyle w:val="D12r"/>
      </w:pPr>
    </w:p>
    <w:p w:rsidR="00000000" w:rsidRDefault="00000000">
      <w:pPr>
        <w:pStyle w:val="BodyTextIndent2"/>
        <w:spacing w:after="120"/>
        <w:ind w:left="0" w:firstLine="0"/>
        <w:rPr>
          <w:b/>
        </w:rPr>
      </w:pPr>
      <w:r>
        <w:rPr>
          <w:spacing w:val="0"/>
        </w:rPr>
        <w:tab/>
      </w:r>
      <w:r>
        <w:rPr>
          <w:b/>
          <w:spacing w:val="0"/>
        </w:rPr>
        <w:t>(h)</w:t>
      </w:r>
      <w:r>
        <w:rPr>
          <w:b/>
          <w:spacing w:val="0"/>
        </w:rPr>
        <w:tab/>
        <w:t>Access to specific educational</w:t>
      </w:r>
      <w:r>
        <w:rPr>
          <w:b/>
        </w:rPr>
        <w:t xml:space="preserve"> information to help to ensure the health and well-being of families, including information and advice on family planning.</w:t>
      </w:r>
    </w:p>
    <w:p w:rsidR="00000000" w:rsidRDefault="00000000">
      <w:pPr>
        <w:pStyle w:val="BodyTextIndent2"/>
        <w:spacing w:after="120"/>
        <w:ind w:left="0" w:firstLine="0"/>
      </w:pPr>
      <w:r>
        <w:t>93.</w:t>
      </w:r>
      <w:r>
        <w:tab/>
        <w:t>A selective poll of schoolchildren has revealed a lack of medical and hygienic knowledge and habits conducive to a healthy lifestyle.</w:t>
      </w:r>
    </w:p>
    <w:p w:rsidR="00000000" w:rsidRDefault="00000000">
      <w:pPr>
        <w:pStyle w:val="BodyTextIndent2"/>
        <w:spacing w:after="120"/>
        <w:ind w:left="0" w:firstLine="0"/>
      </w:pPr>
      <w:r>
        <w:tab/>
        <w:t>Thus, 47 per cent of children do not regularly take part in sports, up to 60 per cent smoke tobacco, 30 per cent drink alcohol occasionally, 6 per cent have experimented at least once with narcotic or toxic substances, and up to 30 per cent of children and teenagers have sexual intercourse at an early age.</w:t>
      </w:r>
    </w:p>
    <w:p w:rsidR="00000000" w:rsidRDefault="00000000">
      <w:pPr>
        <w:pStyle w:val="BodyTextIndent2"/>
        <w:spacing w:after="120"/>
        <w:ind w:left="0" w:firstLine="0"/>
      </w:pPr>
      <w:r>
        <w:tab/>
        <w:t>For the whole period of schooling, children either contract, or suffer a tenfold aggravation of, respiratory, ophthalmic (myopia), digestive, urino-genital, neuro-psychological or locomotory diseases or disorders.</w:t>
      </w:r>
    </w:p>
    <w:p w:rsidR="00000000" w:rsidRDefault="00000000">
      <w:pPr>
        <w:pStyle w:val="BodyTextIndent2"/>
        <w:spacing w:after="120"/>
        <w:ind w:left="0" w:firstLine="0"/>
      </w:pPr>
      <w:r>
        <w:tab/>
        <w:t>That is why great attention has been paid recently in educational institutions to instilling a healthy lifestyle.</w:t>
      </w:r>
    </w:p>
    <w:p w:rsidR="00000000" w:rsidRDefault="00000000">
      <w:pPr>
        <w:pStyle w:val="BodyTextIndent2"/>
        <w:spacing w:after="120"/>
        <w:ind w:left="0" w:firstLine="0"/>
      </w:pPr>
      <w:r>
        <w:tab/>
        <w:t>In 1996, in answer to the question “Where do you learn about healthy lifestyles and the problems of sex?”, only 3-5 per cent of pupils replied “At school”; in 1998, 65 per cent of polled schoolchildren gave that answer.</w:t>
      </w:r>
    </w:p>
    <w:p w:rsidR="00000000" w:rsidRDefault="00000000">
      <w:pPr>
        <w:pStyle w:val="BodyTextIndent2"/>
        <w:spacing w:after="120"/>
        <w:ind w:left="0" w:firstLine="0"/>
      </w:pPr>
      <w:r>
        <w:tab/>
        <w:t>Both teachers and students are given physical-fitness tests, as recommended by the President, and new forms of conditioning and health improvement are being introduced. “Health days” are held regularly.</w:t>
      </w:r>
    </w:p>
    <w:p w:rsidR="00000000" w:rsidRDefault="00000000">
      <w:pPr>
        <w:pStyle w:val="BodyTextIndent2"/>
        <w:spacing w:after="120"/>
        <w:ind w:left="0" w:firstLine="0"/>
      </w:pPr>
      <w:r>
        <w:tab/>
        <w:t>A training programme and a teacher’s manual were developed for the subject of moral and sexual education, a set of programmes for pupils, students, teachers and parents was elaborated for AIDS prevention, and an educational programme “Changes” for teenage girls was developed.</w:t>
      </w:r>
    </w:p>
    <w:p w:rsidR="00000000" w:rsidRDefault="00000000">
      <w:pPr>
        <w:pStyle w:val="BodyTextIndent2"/>
        <w:spacing w:after="120"/>
        <w:ind w:left="0" w:firstLine="0"/>
      </w:pPr>
      <w:r>
        <w:tab/>
        <w:t>The Ministry of Health, Education and Sports is planning to draft a law on moral and sexual education.</w:t>
      </w:r>
    </w:p>
    <w:p w:rsidR="00000000" w:rsidRDefault="00000000">
      <w:pPr>
        <w:pStyle w:val="D12r"/>
      </w:pPr>
    </w:p>
    <w:p w:rsidR="00000000" w:rsidRDefault="00000000">
      <w:pPr>
        <w:pStyle w:val="BodyTextIndent2"/>
        <w:spacing w:after="120"/>
        <w:ind w:left="0" w:firstLine="0"/>
        <w:rPr>
          <w:b/>
        </w:rPr>
      </w:pPr>
      <w:r>
        <w:rPr>
          <w:b/>
        </w:rPr>
        <w:tab/>
        <w:t>Article 11</w:t>
      </w:r>
    </w:p>
    <w:p w:rsidR="00000000" w:rsidRDefault="00000000">
      <w:pPr>
        <w:pStyle w:val="BodyTextIndent2"/>
        <w:spacing w:after="120"/>
        <w:ind w:left="0" w:firstLine="0"/>
        <w:rPr>
          <w:b/>
        </w:rPr>
      </w:pPr>
      <w:r>
        <w:rPr>
          <w:b/>
        </w:rPr>
        <w:t>1.</w:t>
      </w:r>
      <w:r>
        <w:rPr>
          <w:b/>
        </w:rPr>
        <w:tab/>
        <w:t>States Parties shall take all appropriate measures to eliminate discrimination against women in the field of employment in order to ensure, on a basis of equality of men and women, the same rights, in particular:</w:t>
      </w:r>
    </w:p>
    <w:p w:rsidR="00000000" w:rsidRDefault="00000000">
      <w:pPr>
        <w:pStyle w:val="BodyTextIndent2"/>
        <w:spacing w:after="120"/>
        <w:ind w:left="0" w:firstLine="0"/>
        <w:rPr>
          <w:b/>
        </w:rPr>
      </w:pPr>
      <w:r>
        <w:rPr>
          <w:b/>
        </w:rPr>
        <w:tab/>
        <w:t>(a)</w:t>
      </w:r>
      <w:r>
        <w:rPr>
          <w:b/>
        </w:rPr>
        <w:tab/>
        <w:t>The right to work as an inalienable right of all human beings;</w:t>
      </w:r>
    </w:p>
    <w:p w:rsidR="00000000" w:rsidRDefault="00000000">
      <w:pPr>
        <w:pStyle w:val="BodyTextIndent2"/>
        <w:spacing w:after="120"/>
        <w:ind w:left="0" w:firstLine="0"/>
        <w:rPr>
          <w:b/>
        </w:rPr>
      </w:pPr>
      <w:r>
        <w:rPr>
          <w:b/>
        </w:rPr>
        <w:tab/>
        <w:t>(b)</w:t>
      </w:r>
      <w:r>
        <w:rPr>
          <w:b/>
        </w:rPr>
        <w:tab/>
        <w:t>The right to the same employment opportunities, including the application of the same criteria for selection in matters of employment;</w:t>
      </w:r>
    </w:p>
    <w:p w:rsidR="00000000" w:rsidRDefault="00000000">
      <w:pPr>
        <w:pStyle w:val="BodyTextIndent2"/>
        <w:spacing w:after="120"/>
        <w:ind w:left="0" w:firstLine="0"/>
        <w:rPr>
          <w:b/>
        </w:rPr>
      </w:pPr>
      <w:r>
        <w:rPr>
          <w:b/>
        </w:rPr>
        <w:tab/>
        <w:t>(c)</w:t>
      </w:r>
      <w:r>
        <w:rPr>
          <w:b/>
        </w:rPr>
        <w:tab/>
        <w:t>The right to free choice of profession and employment, the right to promotion, job security and all benefits and conditions of service and the right to receive vocational training and retraining, including apprenticeships, advanced vocational training and recurrent training;</w:t>
      </w:r>
    </w:p>
    <w:p w:rsidR="00000000" w:rsidRDefault="00000000">
      <w:pPr>
        <w:pStyle w:val="BodyTextIndent2"/>
        <w:spacing w:after="120"/>
        <w:ind w:left="0" w:firstLine="0"/>
        <w:rPr>
          <w:b/>
        </w:rPr>
      </w:pPr>
      <w:r>
        <w:rPr>
          <w:b/>
        </w:rPr>
        <w:tab/>
        <w:t>(d)</w:t>
      </w:r>
      <w:r>
        <w:rPr>
          <w:b/>
        </w:rPr>
        <w:tab/>
        <w:t>The right to equal remuneration, including benefits, and to equal treatment in respect of work of equal value, as well as equality of treatment in the evaluation of the quality of work;</w:t>
      </w:r>
    </w:p>
    <w:p w:rsidR="00000000" w:rsidRDefault="00000000">
      <w:pPr>
        <w:pStyle w:val="BodyTextIndent2"/>
        <w:spacing w:after="120"/>
        <w:ind w:left="0" w:firstLine="0"/>
        <w:rPr>
          <w:b/>
        </w:rPr>
      </w:pPr>
      <w:r>
        <w:rPr>
          <w:b/>
        </w:rPr>
        <w:tab/>
        <w:t>(e)</w:t>
      </w:r>
      <w:r>
        <w:rPr>
          <w:b/>
        </w:rPr>
        <w:tab/>
        <w:t>The right to social security, particularly in cases of retirement, unemployment, sickness, invalidity and old age and other incapacity to work, as well as the right to paid leave;</w:t>
      </w:r>
    </w:p>
    <w:p w:rsidR="00000000" w:rsidRDefault="00000000">
      <w:pPr>
        <w:pStyle w:val="BodyTextIndent2"/>
        <w:spacing w:after="120"/>
        <w:ind w:left="0" w:firstLine="0"/>
      </w:pPr>
      <w:r>
        <w:rPr>
          <w:b/>
        </w:rPr>
        <w:tab/>
        <w:t>(f)</w:t>
      </w:r>
      <w:r>
        <w:rPr>
          <w:b/>
        </w:rPr>
        <w:tab/>
        <w:t>The right to protection of health and to safety in working conditions, including the safeguarding of the function of reproduction.</w:t>
      </w:r>
    </w:p>
    <w:p w:rsidR="00000000" w:rsidRDefault="00000000">
      <w:pPr>
        <w:pStyle w:val="BodyTextIndent2"/>
        <w:spacing w:after="120"/>
        <w:ind w:left="0" w:firstLine="0"/>
        <w:rPr>
          <w:b/>
        </w:rPr>
      </w:pPr>
      <w:r>
        <w:rPr>
          <w:b/>
        </w:rPr>
        <w:t>2.</w:t>
      </w:r>
      <w:r>
        <w:rPr>
          <w:b/>
        </w:rPr>
        <w:tab/>
        <w:t>In order to prevent discrimination against women on the grounds of marriage or maternity and to ensure their effective right to work, States Parties shall take appropriate measures:</w:t>
      </w:r>
    </w:p>
    <w:p w:rsidR="00000000" w:rsidRDefault="00000000">
      <w:pPr>
        <w:pStyle w:val="BodyTextIndent2"/>
        <w:spacing w:after="120"/>
        <w:ind w:left="0" w:firstLine="0"/>
        <w:rPr>
          <w:b/>
        </w:rPr>
      </w:pPr>
      <w:r>
        <w:rPr>
          <w:b/>
        </w:rPr>
        <w:tab/>
        <w:t>(a)</w:t>
      </w:r>
      <w:r>
        <w:rPr>
          <w:b/>
        </w:rPr>
        <w:tab/>
        <w:t>To prohibit, subject to the imposition of sanctions, dismissal on the grounds of pregnancy or of maternity leave and discrimination in dismissals on the basis of marital status;</w:t>
      </w:r>
    </w:p>
    <w:p w:rsidR="00000000" w:rsidRDefault="00000000">
      <w:pPr>
        <w:pStyle w:val="BodyTextIndent2"/>
        <w:spacing w:after="120"/>
        <w:ind w:left="0" w:firstLine="0"/>
        <w:rPr>
          <w:b/>
        </w:rPr>
      </w:pPr>
      <w:r>
        <w:rPr>
          <w:b/>
        </w:rPr>
        <w:tab/>
        <w:t>(b)</w:t>
      </w:r>
      <w:r>
        <w:rPr>
          <w:b/>
        </w:rPr>
        <w:tab/>
        <w:t>To introduce maternity leave with pay or with comparable social benefits without loss of former employment, seniority or social allowances;</w:t>
      </w:r>
    </w:p>
    <w:p w:rsidR="00000000" w:rsidRDefault="00000000">
      <w:pPr>
        <w:pStyle w:val="BodyTextIndent2"/>
        <w:spacing w:after="120"/>
        <w:ind w:left="0" w:firstLine="0"/>
        <w:rPr>
          <w:b/>
        </w:rPr>
      </w:pPr>
      <w:r>
        <w:rPr>
          <w:b/>
        </w:rPr>
        <w:tab/>
        <w:t>(c)</w:t>
      </w:r>
      <w:r>
        <w:rPr>
          <w:b/>
        </w:rPr>
        <w:tab/>
        <w:t>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w:t>
      </w:r>
    </w:p>
    <w:p w:rsidR="00000000" w:rsidRDefault="00000000">
      <w:pPr>
        <w:pStyle w:val="BodyTextIndent2"/>
        <w:spacing w:after="120"/>
        <w:ind w:left="0" w:firstLine="0"/>
        <w:rPr>
          <w:b/>
        </w:rPr>
      </w:pPr>
      <w:r>
        <w:rPr>
          <w:b/>
        </w:rPr>
        <w:tab/>
        <w:t>(d)</w:t>
      </w:r>
      <w:r>
        <w:rPr>
          <w:b/>
        </w:rPr>
        <w:tab/>
        <w:t>To provide special protection to women during pregnancy in types of work proved to be harmful to them.</w:t>
      </w:r>
    </w:p>
    <w:p w:rsidR="00000000" w:rsidRDefault="00000000">
      <w:pPr>
        <w:pStyle w:val="BodyTextIndent2"/>
        <w:spacing w:after="120"/>
        <w:ind w:left="0" w:firstLine="0"/>
      </w:pPr>
      <w:r>
        <w:rPr>
          <w:b/>
        </w:rPr>
        <w:t>3.</w:t>
      </w:r>
      <w:r>
        <w:rPr>
          <w:b/>
        </w:rPr>
        <w:tab/>
        <w:t>Protective legislation relating to matters covered in this article shall be reviewed periodically in the light of scientific and technological knowledge and shall be revised, repealed or extended as necessary.</w:t>
      </w:r>
      <w:r>
        <w:t xml:space="preserve"> </w:t>
      </w:r>
    </w:p>
    <w:p w:rsidR="00000000" w:rsidRDefault="00000000">
      <w:pPr>
        <w:pStyle w:val="D12r"/>
      </w:pPr>
    </w:p>
    <w:p w:rsidR="00000000" w:rsidRDefault="00000000">
      <w:pPr>
        <w:pStyle w:val="DH2"/>
      </w:pPr>
      <w:r>
        <w:tab/>
        <w:t>Poverty</w:t>
      </w:r>
    </w:p>
    <w:p w:rsidR="00000000" w:rsidRDefault="00000000">
      <w:pPr>
        <w:pStyle w:val="D12r"/>
      </w:pPr>
    </w:p>
    <w:p w:rsidR="00000000" w:rsidRDefault="00000000">
      <w:pPr>
        <w:pStyle w:val="BodyTextIndent2"/>
        <w:spacing w:after="120"/>
        <w:ind w:left="0" w:firstLine="0"/>
      </w:pPr>
      <w:r>
        <w:t>94.</w:t>
      </w:r>
      <w:r>
        <w:tab/>
        <w:t>Starting in January 1999, the Ministry of Labour and Social Security began setting a poverty level, equal to the level of food poverty (which depends on one’s economic situation and purchasing power and amounts to 70 per cent of the subsistence level). In the first quarter of 1999 the poverty level was established at 2,280 tenge, rising in the second quarter to 2,383 tenge.</w:t>
      </w:r>
    </w:p>
    <w:p w:rsidR="00000000" w:rsidRDefault="00000000">
      <w:pPr>
        <w:pStyle w:val="BodyTextIndent2"/>
        <w:spacing w:after="120"/>
        <w:ind w:left="0" w:firstLine="0"/>
      </w:pPr>
      <w:r>
        <w:tab/>
        <w:t>A family below the poverty level cannot apply for social support, since such support, if granted on a wide scale, would be considered an unacceptable burden for the State budget. That is why the poverty level is used only as a tool to assess the living standards of the population. Another criterion is used to determine the necessity of providing social support, namely, twice the monthly figure per family member, amounting to approximately half the figure for the poverty level and 40 per cent of the subsistence level.</w:t>
      </w:r>
    </w:p>
    <w:p w:rsidR="00000000" w:rsidRDefault="00000000">
      <w:pPr>
        <w:pStyle w:val="BodyTextIndent2"/>
        <w:spacing w:after="120"/>
        <w:ind w:left="0" w:firstLine="0"/>
      </w:pPr>
      <w:r>
        <w:tab/>
        <w:t>The plan providing for measures to implement the Government’s Programme of Action for 1998-2000 had envisaged development of a State programme for support to the poor and homeless. However, in the light of the worsening economic situation in the Republic, this programme was omitted from the plan.</w:t>
      </w:r>
    </w:p>
    <w:p w:rsidR="00000000" w:rsidRDefault="00000000">
      <w:pPr>
        <w:pStyle w:val="BodyTextIndent2"/>
        <w:spacing w:after="120"/>
        <w:ind w:left="0" w:firstLine="0"/>
      </w:pPr>
      <w:r>
        <w:tab/>
        <w:t>The proportion of the population living below the poverty level, according to the Statistical Agency of the Republic of Kazakhstan, in 1998 was 18.3 per cent, while in 1999, according to forecasts by the Statistical Agency, it will constitute 23 per cent of the total population.</w:t>
      </w:r>
    </w:p>
    <w:p w:rsidR="00000000" w:rsidRDefault="00000000">
      <w:pPr>
        <w:pStyle w:val="BodyTextIndent2"/>
        <w:spacing w:after="120"/>
        <w:ind w:left="0" w:firstLine="0"/>
      </w:pPr>
      <w:r>
        <w:tab/>
        <w:t>The proportion of the population with incomes below the subsistence level is considerably higher.</w:t>
      </w:r>
    </w:p>
    <w:p w:rsidR="00000000" w:rsidRDefault="00000000">
      <w:pPr>
        <w:pStyle w:val="BodyTextIndent2"/>
        <w:spacing w:after="120"/>
        <w:ind w:left="0" w:firstLine="0"/>
      </w:pPr>
      <w:r>
        <w:tab/>
        <w:t>The number of poor people in the south is higher than the average for the Republic. Nearly two out of three poor people live in the south or east of the country.</w:t>
      </w:r>
    </w:p>
    <w:p w:rsidR="00000000" w:rsidRDefault="00000000">
      <w:pPr>
        <w:pStyle w:val="D12r"/>
      </w:pPr>
    </w:p>
    <w:p w:rsidR="00000000" w:rsidRDefault="00000000">
      <w:pPr>
        <w:pStyle w:val="BodyTextIndent2"/>
        <w:ind w:left="0" w:firstLine="0"/>
      </w:pPr>
      <w:r>
        <w:t>Table 27</w:t>
      </w:r>
    </w:p>
    <w:p w:rsidR="00000000" w:rsidRDefault="00000000">
      <w:pPr>
        <w:pStyle w:val="BodyTextIndent2"/>
        <w:spacing w:after="120"/>
        <w:ind w:left="0" w:firstLine="0"/>
        <w:rPr>
          <w:b/>
        </w:rPr>
      </w:pPr>
      <w:r>
        <w:rPr>
          <w:b/>
        </w:rPr>
        <w:t>Wages and pensions indexes (1991=100 per cent)</w:t>
      </w:r>
    </w:p>
    <w:p w:rsidR="00000000" w:rsidRDefault="00000000">
      <w:pPr>
        <w:pStyle w:val="D12r"/>
      </w:pPr>
    </w:p>
    <w:tbl>
      <w:tblPr>
        <w:tblW w:w="0" w:type="auto"/>
        <w:tblInd w:w="-106" w:type="dxa"/>
        <w:tblLayout w:type="fixed"/>
        <w:tblLook w:val="0000" w:firstRow="0" w:lastRow="0" w:firstColumn="0" w:lastColumn="0" w:noHBand="0" w:noVBand="0"/>
      </w:tblPr>
      <w:tblGrid>
        <w:gridCol w:w="1548"/>
        <w:gridCol w:w="621"/>
        <w:gridCol w:w="657"/>
        <w:gridCol w:w="567"/>
        <w:gridCol w:w="558"/>
        <w:gridCol w:w="585"/>
        <w:gridCol w:w="576"/>
      </w:tblGrid>
      <w:tr w:rsidR="00000000">
        <w:tblPrEx>
          <w:tblCellMar>
            <w:top w:w="0" w:type="dxa"/>
            <w:bottom w:w="0" w:type="dxa"/>
          </w:tblCellMar>
        </w:tblPrEx>
        <w:tc>
          <w:tcPr>
            <w:tcW w:w="1548" w:type="dxa"/>
            <w:tcBorders>
              <w:top w:val="single" w:sz="4" w:space="0" w:color="auto"/>
              <w:bottom w:val="single" w:sz="12" w:space="0" w:color="auto"/>
            </w:tcBorders>
          </w:tcPr>
          <w:p w:rsidR="00000000" w:rsidRDefault="00000000">
            <w:pPr>
              <w:pStyle w:val="BodyTextIndent2"/>
              <w:spacing w:after="120"/>
              <w:ind w:left="0" w:firstLine="0"/>
              <w:jc w:val="left"/>
              <w:rPr>
                <w:i/>
                <w:sz w:val="14"/>
              </w:rPr>
            </w:pPr>
          </w:p>
        </w:tc>
        <w:tc>
          <w:tcPr>
            <w:tcW w:w="621"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1992</w:t>
            </w:r>
          </w:p>
        </w:tc>
        <w:tc>
          <w:tcPr>
            <w:tcW w:w="657"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1993</w:t>
            </w:r>
          </w:p>
        </w:tc>
        <w:tc>
          <w:tcPr>
            <w:tcW w:w="567"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1994</w:t>
            </w:r>
          </w:p>
        </w:tc>
        <w:tc>
          <w:tcPr>
            <w:tcW w:w="558"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1995</w:t>
            </w:r>
          </w:p>
        </w:tc>
        <w:tc>
          <w:tcPr>
            <w:tcW w:w="585"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1996</w:t>
            </w:r>
          </w:p>
        </w:tc>
        <w:tc>
          <w:tcPr>
            <w:tcW w:w="576"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1997</w:t>
            </w:r>
          </w:p>
        </w:tc>
      </w:tr>
      <w:tr w:rsidR="00000000">
        <w:tblPrEx>
          <w:tblCellMar>
            <w:top w:w="0" w:type="dxa"/>
            <w:bottom w:w="0" w:type="dxa"/>
          </w:tblCellMar>
        </w:tblPrEx>
        <w:tc>
          <w:tcPr>
            <w:tcW w:w="1548" w:type="dxa"/>
            <w:tcBorders>
              <w:top w:val="single" w:sz="12" w:space="0" w:color="auto"/>
            </w:tcBorders>
          </w:tcPr>
          <w:p w:rsidR="00000000" w:rsidRDefault="00000000">
            <w:pPr>
              <w:pStyle w:val="BodyTextIndent2"/>
              <w:spacing w:after="120"/>
              <w:ind w:left="0" w:firstLine="0"/>
              <w:jc w:val="left"/>
              <w:rPr>
                <w:sz w:val="17"/>
              </w:rPr>
            </w:pPr>
            <w:r>
              <w:rPr>
                <w:sz w:val="17"/>
              </w:rPr>
              <w:t>Real annual average wage</w:t>
            </w:r>
          </w:p>
        </w:tc>
        <w:tc>
          <w:tcPr>
            <w:tcW w:w="621" w:type="dxa"/>
            <w:tcBorders>
              <w:top w:val="single" w:sz="12" w:space="0" w:color="auto"/>
            </w:tcBorders>
          </w:tcPr>
          <w:p w:rsidR="00000000" w:rsidRDefault="00000000">
            <w:pPr>
              <w:pStyle w:val="BodyTextIndent2"/>
              <w:spacing w:after="120"/>
              <w:ind w:left="0" w:firstLine="0"/>
              <w:jc w:val="right"/>
              <w:rPr>
                <w:sz w:val="17"/>
              </w:rPr>
            </w:pPr>
            <w:r>
              <w:rPr>
                <w:sz w:val="17"/>
              </w:rPr>
              <w:t>85.9</w:t>
            </w:r>
          </w:p>
        </w:tc>
        <w:tc>
          <w:tcPr>
            <w:tcW w:w="657" w:type="dxa"/>
            <w:tcBorders>
              <w:top w:val="single" w:sz="12" w:space="0" w:color="auto"/>
            </w:tcBorders>
          </w:tcPr>
          <w:p w:rsidR="00000000" w:rsidRDefault="00000000">
            <w:pPr>
              <w:pStyle w:val="BodyTextIndent2"/>
              <w:spacing w:after="120"/>
              <w:ind w:left="0" w:firstLine="0"/>
              <w:jc w:val="right"/>
              <w:rPr>
                <w:sz w:val="17"/>
              </w:rPr>
            </w:pPr>
            <w:r>
              <w:rPr>
                <w:sz w:val="17"/>
              </w:rPr>
              <w:t>67.6</w:t>
            </w:r>
          </w:p>
        </w:tc>
        <w:tc>
          <w:tcPr>
            <w:tcW w:w="567" w:type="dxa"/>
            <w:tcBorders>
              <w:top w:val="single" w:sz="12" w:space="0" w:color="auto"/>
            </w:tcBorders>
          </w:tcPr>
          <w:p w:rsidR="00000000" w:rsidRDefault="00000000">
            <w:pPr>
              <w:pStyle w:val="BodyTextIndent2"/>
              <w:spacing w:after="120"/>
              <w:ind w:left="0" w:firstLine="0"/>
              <w:jc w:val="right"/>
              <w:rPr>
                <w:sz w:val="17"/>
              </w:rPr>
            </w:pPr>
            <w:r>
              <w:rPr>
                <w:sz w:val="17"/>
              </w:rPr>
              <w:t>46.1</w:t>
            </w:r>
          </w:p>
        </w:tc>
        <w:tc>
          <w:tcPr>
            <w:tcW w:w="558" w:type="dxa"/>
            <w:tcBorders>
              <w:top w:val="single" w:sz="12" w:space="0" w:color="auto"/>
            </w:tcBorders>
          </w:tcPr>
          <w:p w:rsidR="00000000" w:rsidRDefault="00000000">
            <w:pPr>
              <w:pStyle w:val="BodyTextIndent2"/>
              <w:spacing w:after="120"/>
              <w:ind w:left="0" w:firstLine="0"/>
              <w:jc w:val="right"/>
              <w:rPr>
                <w:sz w:val="17"/>
              </w:rPr>
            </w:pPr>
            <w:r>
              <w:rPr>
                <w:sz w:val="17"/>
              </w:rPr>
              <w:t>46.3</w:t>
            </w:r>
          </w:p>
        </w:tc>
        <w:tc>
          <w:tcPr>
            <w:tcW w:w="585" w:type="dxa"/>
            <w:tcBorders>
              <w:top w:val="single" w:sz="12" w:space="0" w:color="auto"/>
            </w:tcBorders>
          </w:tcPr>
          <w:p w:rsidR="00000000" w:rsidRDefault="00000000">
            <w:pPr>
              <w:pStyle w:val="BodyTextIndent2"/>
              <w:spacing w:after="120"/>
              <w:ind w:left="0" w:firstLine="0"/>
              <w:jc w:val="right"/>
              <w:rPr>
                <w:sz w:val="17"/>
              </w:rPr>
            </w:pPr>
            <w:r>
              <w:rPr>
                <w:sz w:val="17"/>
              </w:rPr>
              <w:t>47.5</w:t>
            </w:r>
          </w:p>
        </w:tc>
        <w:tc>
          <w:tcPr>
            <w:tcW w:w="576" w:type="dxa"/>
            <w:tcBorders>
              <w:top w:val="single" w:sz="12" w:space="0" w:color="auto"/>
            </w:tcBorders>
          </w:tcPr>
          <w:p w:rsidR="00000000" w:rsidRDefault="00000000">
            <w:pPr>
              <w:pStyle w:val="BodyTextIndent2"/>
              <w:spacing w:after="120"/>
              <w:ind w:left="0" w:firstLine="0"/>
              <w:jc w:val="right"/>
              <w:rPr>
                <w:sz w:val="17"/>
              </w:rPr>
            </w:pPr>
            <w:r>
              <w:rPr>
                <w:sz w:val="17"/>
              </w:rPr>
              <w:t>50.6</w:t>
            </w:r>
          </w:p>
        </w:tc>
      </w:tr>
      <w:tr w:rsidR="00000000">
        <w:tblPrEx>
          <w:tblCellMar>
            <w:top w:w="0" w:type="dxa"/>
            <w:bottom w:w="0" w:type="dxa"/>
          </w:tblCellMar>
        </w:tblPrEx>
        <w:tc>
          <w:tcPr>
            <w:tcW w:w="1548" w:type="dxa"/>
          </w:tcPr>
          <w:p w:rsidR="00000000" w:rsidRDefault="00000000">
            <w:pPr>
              <w:pStyle w:val="BodyTextIndent2"/>
              <w:spacing w:after="120"/>
              <w:ind w:left="0" w:firstLine="0"/>
              <w:jc w:val="left"/>
              <w:rPr>
                <w:sz w:val="17"/>
              </w:rPr>
            </w:pPr>
            <w:r>
              <w:rPr>
                <w:sz w:val="17"/>
              </w:rPr>
              <w:t>Official minimum wage</w:t>
            </w:r>
          </w:p>
        </w:tc>
        <w:tc>
          <w:tcPr>
            <w:tcW w:w="621" w:type="dxa"/>
          </w:tcPr>
          <w:p w:rsidR="00000000" w:rsidRDefault="00000000">
            <w:pPr>
              <w:pStyle w:val="BodyTextIndent2"/>
              <w:spacing w:after="120"/>
              <w:ind w:left="0" w:firstLine="0"/>
              <w:jc w:val="right"/>
              <w:rPr>
                <w:sz w:val="17"/>
              </w:rPr>
            </w:pPr>
            <w:r>
              <w:rPr>
                <w:sz w:val="17"/>
              </w:rPr>
              <w:t>41.9</w:t>
            </w:r>
          </w:p>
        </w:tc>
        <w:tc>
          <w:tcPr>
            <w:tcW w:w="657" w:type="dxa"/>
          </w:tcPr>
          <w:p w:rsidR="00000000" w:rsidRDefault="00000000">
            <w:pPr>
              <w:pStyle w:val="BodyTextIndent2"/>
              <w:spacing w:after="120"/>
              <w:ind w:left="0" w:firstLine="0"/>
              <w:jc w:val="right"/>
              <w:rPr>
                <w:sz w:val="17"/>
              </w:rPr>
            </w:pPr>
            <w:r>
              <w:rPr>
                <w:sz w:val="17"/>
              </w:rPr>
              <w:t>26.4</w:t>
            </w:r>
          </w:p>
        </w:tc>
        <w:tc>
          <w:tcPr>
            <w:tcW w:w="567" w:type="dxa"/>
          </w:tcPr>
          <w:p w:rsidR="00000000" w:rsidRDefault="00000000">
            <w:pPr>
              <w:pStyle w:val="BodyTextIndent2"/>
              <w:spacing w:after="120"/>
              <w:ind w:left="0" w:firstLine="0"/>
              <w:jc w:val="right"/>
              <w:rPr>
                <w:sz w:val="17"/>
              </w:rPr>
            </w:pPr>
            <w:r>
              <w:rPr>
                <w:sz w:val="17"/>
              </w:rPr>
              <w:t>12.4</w:t>
            </w:r>
          </w:p>
        </w:tc>
        <w:tc>
          <w:tcPr>
            <w:tcW w:w="558" w:type="dxa"/>
          </w:tcPr>
          <w:p w:rsidR="00000000" w:rsidRDefault="00000000">
            <w:pPr>
              <w:pStyle w:val="BodyTextIndent2"/>
              <w:spacing w:after="120"/>
              <w:ind w:left="0" w:firstLine="0"/>
              <w:jc w:val="right"/>
              <w:rPr>
                <w:sz w:val="17"/>
              </w:rPr>
            </w:pPr>
            <w:r>
              <w:rPr>
                <w:sz w:val="17"/>
              </w:rPr>
              <w:t>9.7</w:t>
            </w:r>
          </w:p>
        </w:tc>
        <w:tc>
          <w:tcPr>
            <w:tcW w:w="585" w:type="dxa"/>
          </w:tcPr>
          <w:p w:rsidR="00000000" w:rsidRDefault="00000000">
            <w:pPr>
              <w:pStyle w:val="BodyTextIndent2"/>
              <w:spacing w:after="120"/>
              <w:ind w:left="0" w:firstLine="0"/>
              <w:jc w:val="right"/>
              <w:rPr>
                <w:sz w:val="17"/>
              </w:rPr>
            </w:pPr>
            <w:r>
              <w:rPr>
                <w:sz w:val="17"/>
              </w:rPr>
              <w:t>41.2</w:t>
            </w:r>
          </w:p>
        </w:tc>
        <w:tc>
          <w:tcPr>
            <w:tcW w:w="576" w:type="dxa"/>
          </w:tcPr>
          <w:p w:rsidR="00000000" w:rsidRDefault="00000000">
            <w:pPr>
              <w:pStyle w:val="BodyTextIndent2"/>
              <w:spacing w:after="120"/>
              <w:ind w:left="0" w:firstLine="0"/>
              <w:jc w:val="right"/>
              <w:rPr>
                <w:sz w:val="17"/>
              </w:rPr>
            </w:pPr>
            <w:r>
              <w:rPr>
                <w:sz w:val="17"/>
              </w:rPr>
              <w:t>48.2</w:t>
            </w:r>
          </w:p>
        </w:tc>
      </w:tr>
      <w:tr w:rsidR="00000000">
        <w:tblPrEx>
          <w:tblCellMar>
            <w:top w:w="0" w:type="dxa"/>
            <w:bottom w:w="0" w:type="dxa"/>
          </w:tblCellMar>
        </w:tblPrEx>
        <w:tc>
          <w:tcPr>
            <w:tcW w:w="1548" w:type="dxa"/>
            <w:tcBorders>
              <w:bottom w:val="single" w:sz="12" w:space="0" w:color="auto"/>
            </w:tcBorders>
          </w:tcPr>
          <w:p w:rsidR="00000000" w:rsidRDefault="00000000">
            <w:pPr>
              <w:pStyle w:val="BodyTextIndent2"/>
              <w:spacing w:after="120"/>
              <w:ind w:left="0" w:firstLine="0"/>
              <w:jc w:val="left"/>
              <w:rPr>
                <w:sz w:val="17"/>
              </w:rPr>
            </w:pPr>
            <w:r>
              <w:rPr>
                <w:sz w:val="17"/>
              </w:rPr>
              <w:t>Average pension</w:t>
            </w:r>
          </w:p>
        </w:tc>
        <w:tc>
          <w:tcPr>
            <w:tcW w:w="621" w:type="dxa"/>
            <w:tcBorders>
              <w:bottom w:val="single" w:sz="12" w:space="0" w:color="auto"/>
            </w:tcBorders>
          </w:tcPr>
          <w:p w:rsidR="00000000" w:rsidRDefault="00000000">
            <w:pPr>
              <w:pStyle w:val="BodyTextIndent2"/>
              <w:spacing w:after="120"/>
              <w:ind w:left="0" w:firstLine="0"/>
              <w:jc w:val="right"/>
              <w:rPr>
                <w:sz w:val="17"/>
              </w:rPr>
            </w:pPr>
            <w:r>
              <w:rPr>
                <w:sz w:val="17"/>
              </w:rPr>
              <w:t>98.7</w:t>
            </w:r>
          </w:p>
        </w:tc>
        <w:tc>
          <w:tcPr>
            <w:tcW w:w="657" w:type="dxa"/>
            <w:tcBorders>
              <w:bottom w:val="single" w:sz="12" w:space="0" w:color="auto"/>
            </w:tcBorders>
          </w:tcPr>
          <w:p w:rsidR="00000000" w:rsidRDefault="00000000">
            <w:pPr>
              <w:pStyle w:val="BodyTextIndent2"/>
              <w:spacing w:after="120"/>
              <w:ind w:left="0" w:firstLine="0"/>
              <w:jc w:val="right"/>
              <w:rPr>
                <w:sz w:val="17"/>
              </w:rPr>
            </w:pPr>
            <w:r>
              <w:rPr>
                <w:sz w:val="17"/>
              </w:rPr>
              <w:t>153.3</w:t>
            </w:r>
          </w:p>
        </w:tc>
        <w:tc>
          <w:tcPr>
            <w:tcW w:w="567" w:type="dxa"/>
            <w:tcBorders>
              <w:bottom w:val="single" w:sz="12" w:space="0" w:color="auto"/>
            </w:tcBorders>
          </w:tcPr>
          <w:p w:rsidR="00000000" w:rsidRDefault="00000000">
            <w:pPr>
              <w:pStyle w:val="BodyTextIndent2"/>
              <w:spacing w:after="120"/>
              <w:ind w:left="0" w:firstLine="0"/>
              <w:jc w:val="right"/>
              <w:rPr>
                <w:sz w:val="17"/>
              </w:rPr>
            </w:pPr>
            <w:r>
              <w:rPr>
                <w:sz w:val="17"/>
              </w:rPr>
              <w:t>63.4</w:t>
            </w:r>
          </w:p>
        </w:tc>
        <w:tc>
          <w:tcPr>
            <w:tcW w:w="558" w:type="dxa"/>
            <w:tcBorders>
              <w:bottom w:val="single" w:sz="12" w:space="0" w:color="auto"/>
            </w:tcBorders>
          </w:tcPr>
          <w:p w:rsidR="00000000" w:rsidRDefault="00000000">
            <w:pPr>
              <w:pStyle w:val="BodyTextIndent2"/>
              <w:spacing w:after="120"/>
              <w:ind w:left="0" w:firstLine="0"/>
              <w:jc w:val="right"/>
              <w:rPr>
                <w:sz w:val="17"/>
              </w:rPr>
            </w:pPr>
            <w:r>
              <w:rPr>
                <w:sz w:val="17"/>
              </w:rPr>
              <w:t>43.2</w:t>
            </w:r>
          </w:p>
        </w:tc>
        <w:tc>
          <w:tcPr>
            <w:tcW w:w="585" w:type="dxa"/>
            <w:tcBorders>
              <w:bottom w:val="single" w:sz="12" w:space="0" w:color="auto"/>
            </w:tcBorders>
          </w:tcPr>
          <w:p w:rsidR="00000000" w:rsidRDefault="00000000">
            <w:pPr>
              <w:pStyle w:val="BodyTextIndent2"/>
              <w:spacing w:after="120"/>
              <w:ind w:left="0" w:firstLine="0"/>
              <w:jc w:val="right"/>
              <w:rPr>
                <w:sz w:val="17"/>
              </w:rPr>
            </w:pPr>
            <w:r>
              <w:rPr>
                <w:sz w:val="17"/>
              </w:rPr>
              <w:t>54.2</w:t>
            </w:r>
          </w:p>
        </w:tc>
        <w:tc>
          <w:tcPr>
            <w:tcW w:w="576" w:type="dxa"/>
            <w:tcBorders>
              <w:bottom w:val="single" w:sz="12" w:space="0" w:color="auto"/>
            </w:tcBorders>
          </w:tcPr>
          <w:p w:rsidR="00000000" w:rsidRDefault="00000000">
            <w:pPr>
              <w:pStyle w:val="BodyTextIndent2"/>
              <w:spacing w:after="120"/>
              <w:ind w:left="0" w:firstLine="0"/>
              <w:jc w:val="right"/>
              <w:rPr>
                <w:sz w:val="17"/>
              </w:rPr>
            </w:pPr>
            <w:r>
              <w:rPr>
                <w:sz w:val="17"/>
              </w:rPr>
              <w:t>50.0</w:t>
            </w:r>
          </w:p>
        </w:tc>
      </w:tr>
    </w:tbl>
    <w:p w:rsidR="00000000" w:rsidRDefault="00000000">
      <w:pPr>
        <w:pStyle w:val="BodyTextIndent2"/>
        <w:spacing w:after="120"/>
        <w:ind w:left="0" w:firstLine="0"/>
      </w:pPr>
    </w:p>
    <w:p w:rsidR="00000000" w:rsidRDefault="00000000">
      <w:pPr>
        <w:pStyle w:val="DH2"/>
      </w:pPr>
      <w:r>
        <w:tab/>
        <w:t>Unemployment</w:t>
      </w:r>
    </w:p>
    <w:p w:rsidR="00000000" w:rsidRDefault="00000000">
      <w:pPr>
        <w:pStyle w:val="D12r"/>
      </w:pPr>
    </w:p>
    <w:p w:rsidR="00000000" w:rsidRDefault="00000000">
      <w:pPr>
        <w:pStyle w:val="BodyTextIndent2"/>
        <w:spacing w:after="120"/>
        <w:ind w:left="0" w:firstLine="0"/>
      </w:pPr>
      <w:r>
        <w:t>95.</w:t>
      </w:r>
      <w:r>
        <w:tab/>
        <w:t>In 1998, a total of 537,300 people applied to the State employment agencies, including 295,900 women; 105,300 applicants were placed in jobs, including 49,300 women; 382,000 people were registered as unemployed, including 220,100 women; unemployment benefits were granted to 363,100 people; 39,900 people participated in public works, including 19,600 women; 17,100 unemployed were trained or re-trained, including 10,400 women; and 15,200 people were placed in jobs after training, including 9,100 women. In the first half of 1999, 185,400 job-seekers applied to the competent employment agencies, including 100,000 women; 33,200 were placed in jobs, including 16,800 women; 120,300 were registered as unemployed, including 69,900 women; 32,600 participated in public works, including 21,700 women; 5,600 received vocational training, including 3,400 women; and 4,900 were placed in jobs after training, including 3,100 women.</w:t>
      </w:r>
    </w:p>
    <w:p w:rsidR="00000000" w:rsidRDefault="00000000">
      <w:pPr>
        <w:pStyle w:val="BodyTextIndent2"/>
        <w:spacing w:after="120"/>
        <w:ind w:left="0" w:firstLine="0"/>
      </w:pPr>
    </w:p>
    <w:p w:rsidR="00000000" w:rsidRDefault="00000000">
      <w:pPr>
        <w:pStyle w:val="BodyTextIndent2"/>
        <w:spacing w:after="120"/>
        <w:ind w:left="0" w:firstLine="0"/>
      </w:pPr>
    </w:p>
    <w:p w:rsidR="00000000" w:rsidRDefault="00000000">
      <w:pPr>
        <w:pStyle w:val="BodyTextIndent2"/>
        <w:spacing w:after="120"/>
        <w:ind w:left="0" w:firstLine="0"/>
        <w:sectPr w:rsidR="00000000">
          <w:pgSz w:w="12240" w:h="15840"/>
          <w:pgMar w:top="1742" w:right="1195" w:bottom="1901" w:left="1195" w:header="576" w:footer="1037" w:gutter="0"/>
          <w:cols w:num="2" w:space="245"/>
          <w:docGrid w:linePitch="360"/>
        </w:sectPr>
      </w:pPr>
    </w:p>
    <w:p w:rsidR="00000000" w:rsidRDefault="00000000">
      <w:pPr>
        <w:pStyle w:val="BodyTextIndent2"/>
        <w:spacing w:after="120"/>
        <w:ind w:left="0" w:firstLine="0"/>
        <w:jc w:val="left"/>
        <w:rPr>
          <w:b/>
        </w:rPr>
      </w:pPr>
      <w:r>
        <w:t>Table 28</w:t>
      </w:r>
      <w:r>
        <w:br/>
      </w:r>
      <w:r>
        <w:rPr>
          <w:b/>
        </w:rPr>
        <w:t>Comparative table of the number of employed and unemployed (in thousands)</w:t>
      </w:r>
    </w:p>
    <w:p w:rsidR="00000000" w:rsidRDefault="00000000">
      <w:pPr>
        <w:pStyle w:val="D12r"/>
      </w:pPr>
    </w:p>
    <w:tbl>
      <w:tblPr>
        <w:tblW w:w="0" w:type="auto"/>
        <w:tblInd w:w="20" w:type="dxa"/>
        <w:tblLayout w:type="fixed"/>
        <w:tblLook w:val="0000" w:firstRow="0" w:lastRow="0" w:firstColumn="0" w:lastColumn="0" w:noHBand="0" w:noVBand="0"/>
      </w:tblPr>
      <w:tblGrid>
        <w:gridCol w:w="3744"/>
        <w:gridCol w:w="792"/>
        <w:gridCol w:w="909"/>
        <w:gridCol w:w="864"/>
        <w:gridCol w:w="927"/>
        <w:gridCol w:w="909"/>
        <w:gridCol w:w="837"/>
        <w:gridCol w:w="864"/>
      </w:tblGrid>
      <w:tr w:rsidR="00000000">
        <w:tblPrEx>
          <w:tblCellMar>
            <w:top w:w="0" w:type="dxa"/>
            <w:bottom w:w="0" w:type="dxa"/>
          </w:tblCellMar>
        </w:tblPrEx>
        <w:tc>
          <w:tcPr>
            <w:tcW w:w="3744" w:type="dxa"/>
            <w:tcBorders>
              <w:top w:val="single" w:sz="4" w:space="0" w:color="auto"/>
              <w:bottom w:val="single" w:sz="12" w:space="0" w:color="auto"/>
            </w:tcBorders>
          </w:tcPr>
          <w:p w:rsidR="00000000" w:rsidRDefault="00000000">
            <w:pPr>
              <w:pStyle w:val="BodyTextIndent2"/>
              <w:tabs>
                <w:tab w:val="clear" w:pos="475"/>
                <w:tab w:val="clear" w:pos="965"/>
                <w:tab w:val="clear" w:pos="1440"/>
                <w:tab w:val="clear" w:pos="1915"/>
                <w:tab w:val="left" w:pos="252"/>
                <w:tab w:val="left" w:pos="513"/>
                <w:tab w:val="left" w:pos="783"/>
                <w:tab w:val="left" w:pos="1071"/>
              </w:tabs>
              <w:spacing w:after="120"/>
              <w:ind w:left="0" w:firstLine="0"/>
              <w:jc w:val="left"/>
              <w:rPr>
                <w:i/>
                <w:sz w:val="14"/>
              </w:rPr>
            </w:pPr>
          </w:p>
        </w:tc>
        <w:tc>
          <w:tcPr>
            <w:tcW w:w="792"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1991</w:t>
            </w:r>
          </w:p>
        </w:tc>
        <w:tc>
          <w:tcPr>
            <w:tcW w:w="909"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1992</w:t>
            </w:r>
          </w:p>
        </w:tc>
        <w:tc>
          <w:tcPr>
            <w:tcW w:w="864"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1993</w:t>
            </w:r>
          </w:p>
        </w:tc>
        <w:tc>
          <w:tcPr>
            <w:tcW w:w="927"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1994</w:t>
            </w:r>
          </w:p>
        </w:tc>
        <w:tc>
          <w:tcPr>
            <w:tcW w:w="909"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1995</w:t>
            </w:r>
          </w:p>
        </w:tc>
        <w:tc>
          <w:tcPr>
            <w:tcW w:w="837"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1996</w:t>
            </w:r>
          </w:p>
        </w:tc>
        <w:tc>
          <w:tcPr>
            <w:tcW w:w="864"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1997</w:t>
            </w:r>
          </w:p>
        </w:tc>
      </w:tr>
      <w:tr w:rsidR="00000000">
        <w:tblPrEx>
          <w:tblCellMar>
            <w:top w:w="0" w:type="dxa"/>
            <w:bottom w:w="0" w:type="dxa"/>
          </w:tblCellMar>
        </w:tblPrEx>
        <w:tc>
          <w:tcPr>
            <w:tcW w:w="3744" w:type="dxa"/>
            <w:tcBorders>
              <w:top w:val="single" w:sz="12" w:space="0" w:color="auto"/>
            </w:tcBorders>
          </w:tcPr>
          <w:p w:rsidR="00000000" w:rsidRDefault="00000000">
            <w:pPr>
              <w:pStyle w:val="BodyTextIndent2"/>
              <w:tabs>
                <w:tab w:val="clear" w:pos="475"/>
                <w:tab w:val="clear" w:pos="965"/>
                <w:tab w:val="clear" w:pos="1440"/>
                <w:tab w:val="clear" w:pos="1915"/>
                <w:tab w:val="left" w:pos="252"/>
                <w:tab w:val="left" w:pos="513"/>
                <w:tab w:val="left" w:pos="783"/>
                <w:tab w:val="left" w:pos="1071"/>
              </w:tabs>
              <w:spacing w:after="120"/>
              <w:ind w:left="0" w:firstLine="0"/>
              <w:jc w:val="left"/>
              <w:rPr>
                <w:sz w:val="17"/>
              </w:rPr>
            </w:pPr>
            <w:r>
              <w:rPr>
                <w:sz w:val="17"/>
              </w:rPr>
              <w:t>Total number of employed</w:t>
            </w:r>
          </w:p>
        </w:tc>
        <w:tc>
          <w:tcPr>
            <w:tcW w:w="792" w:type="dxa"/>
            <w:tcBorders>
              <w:top w:val="single" w:sz="12" w:space="0" w:color="auto"/>
            </w:tcBorders>
          </w:tcPr>
          <w:p w:rsidR="00000000" w:rsidRDefault="00000000">
            <w:pPr>
              <w:pStyle w:val="BodyTextIndent2"/>
              <w:spacing w:after="120"/>
              <w:ind w:left="0" w:firstLine="0"/>
              <w:jc w:val="right"/>
              <w:rPr>
                <w:sz w:val="17"/>
              </w:rPr>
            </w:pPr>
            <w:r>
              <w:rPr>
                <w:sz w:val="17"/>
              </w:rPr>
              <w:t>7 716.2</w:t>
            </w:r>
          </w:p>
        </w:tc>
        <w:tc>
          <w:tcPr>
            <w:tcW w:w="909" w:type="dxa"/>
            <w:tcBorders>
              <w:top w:val="single" w:sz="12" w:space="0" w:color="auto"/>
            </w:tcBorders>
          </w:tcPr>
          <w:p w:rsidR="00000000" w:rsidRDefault="00000000">
            <w:pPr>
              <w:pStyle w:val="BodyTextIndent2"/>
              <w:spacing w:after="120"/>
              <w:ind w:left="0" w:firstLine="0"/>
              <w:jc w:val="right"/>
              <w:rPr>
                <w:sz w:val="17"/>
              </w:rPr>
            </w:pPr>
            <w:r>
              <w:rPr>
                <w:sz w:val="17"/>
              </w:rPr>
              <w:t>7 571.9</w:t>
            </w:r>
          </w:p>
        </w:tc>
        <w:tc>
          <w:tcPr>
            <w:tcW w:w="864" w:type="dxa"/>
            <w:tcBorders>
              <w:top w:val="single" w:sz="12" w:space="0" w:color="auto"/>
            </w:tcBorders>
          </w:tcPr>
          <w:p w:rsidR="00000000" w:rsidRDefault="00000000">
            <w:pPr>
              <w:pStyle w:val="BodyTextIndent2"/>
              <w:spacing w:after="120"/>
              <w:ind w:left="0" w:firstLine="0"/>
              <w:jc w:val="right"/>
              <w:rPr>
                <w:sz w:val="17"/>
              </w:rPr>
            </w:pPr>
            <w:r>
              <w:rPr>
                <w:sz w:val="17"/>
              </w:rPr>
              <w:t>6 926.3</w:t>
            </w:r>
          </w:p>
        </w:tc>
        <w:tc>
          <w:tcPr>
            <w:tcW w:w="927" w:type="dxa"/>
            <w:tcBorders>
              <w:top w:val="single" w:sz="12" w:space="0" w:color="auto"/>
            </w:tcBorders>
          </w:tcPr>
          <w:p w:rsidR="00000000" w:rsidRDefault="00000000">
            <w:pPr>
              <w:pStyle w:val="BodyTextIndent2"/>
              <w:spacing w:after="120"/>
              <w:ind w:left="0" w:firstLine="0"/>
              <w:jc w:val="right"/>
              <w:rPr>
                <w:sz w:val="17"/>
              </w:rPr>
            </w:pPr>
            <w:r>
              <w:rPr>
                <w:sz w:val="17"/>
              </w:rPr>
              <w:t>6 581.8</w:t>
            </w:r>
          </w:p>
        </w:tc>
        <w:tc>
          <w:tcPr>
            <w:tcW w:w="909" w:type="dxa"/>
            <w:tcBorders>
              <w:top w:val="single" w:sz="12" w:space="0" w:color="auto"/>
            </w:tcBorders>
          </w:tcPr>
          <w:p w:rsidR="00000000" w:rsidRDefault="00000000">
            <w:pPr>
              <w:pStyle w:val="BodyTextIndent2"/>
              <w:spacing w:after="120"/>
              <w:ind w:left="0" w:firstLine="0"/>
              <w:jc w:val="right"/>
              <w:rPr>
                <w:sz w:val="17"/>
              </w:rPr>
            </w:pPr>
            <w:r>
              <w:rPr>
                <w:sz w:val="17"/>
              </w:rPr>
              <w:t>6 551.5</w:t>
            </w:r>
          </w:p>
        </w:tc>
        <w:tc>
          <w:tcPr>
            <w:tcW w:w="837" w:type="dxa"/>
            <w:tcBorders>
              <w:top w:val="single" w:sz="12" w:space="0" w:color="auto"/>
            </w:tcBorders>
          </w:tcPr>
          <w:p w:rsidR="00000000" w:rsidRDefault="00000000">
            <w:pPr>
              <w:pStyle w:val="BodyTextIndent2"/>
              <w:spacing w:after="120"/>
              <w:ind w:left="0" w:firstLine="0"/>
              <w:jc w:val="right"/>
              <w:rPr>
                <w:sz w:val="17"/>
              </w:rPr>
            </w:pPr>
            <w:r>
              <w:rPr>
                <w:sz w:val="17"/>
              </w:rPr>
              <w:t>6 518.9</w:t>
            </w:r>
          </w:p>
        </w:tc>
        <w:tc>
          <w:tcPr>
            <w:tcW w:w="864" w:type="dxa"/>
            <w:tcBorders>
              <w:top w:val="single" w:sz="12" w:space="0" w:color="auto"/>
            </w:tcBorders>
          </w:tcPr>
          <w:p w:rsidR="00000000" w:rsidRDefault="00000000">
            <w:pPr>
              <w:pStyle w:val="BodyTextIndent2"/>
              <w:spacing w:after="120"/>
              <w:ind w:left="0" w:firstLine="0"/>
              <w:jc w:val="right"/>
              <w:rPr>
                <w:sz w:val="17"/>
              </w:rPr>
            </w:pPr>
            <w:r>
              <w:rPr>
                <w:sz w:val="17"/>
              </w:rPr>
              <w:t>6 472.3</w:t>
            </w:r>
          </w:p>
        </w:tc>
      </w:tr>
      <w:tr w:rsidR="00000000">
        <w:tblPrEx>
          <w:tblCellMar>
            <w:top w:w="0" w:type="dxa"/>
            <w:bottom w:w="0" w:type="dxa"/>
          </w:tblCellMar>
        </w:tblPrEx>
        <w:tc>
          <w:tcPr>
            <w:tcW w:w="3744" w:type="dxa"/>
          </w:tcPr>
          <w:p w:rsidR="00000000" w:rsidRDefault="00000000">
            <w:pPr>
              <w:pStyle w:val="BodyTextIndent2"/>
              <w:tabs>
                <w:tab w:val="clear" w:pos="475"/>
                <w:tab w:val="clear" w:pos="965"/>
                <w:tab w:val="clear" w:pos="1440"/>
                <w:tab w:val="clear" w:pos="1915"/>
                <w:tab w:val="left" w:pos="252"/>
                <w:tab w:val="left" w:pos="513"/>
                <w:tab w:val="left" w:pos="783"/>
                <w:tab w:val="left" w:pos="1071"/>
              </w:tabs>
              <w:spacing w:after="120"/>
              <w:ind w:left="0" w:firstLine="0"/>
              <w:jc w:val="left"/>
              <w:rPr>
                <w:sz w:val="17"/>
              </w:rPr>
            </w:pPr>
            <w:r>
              <w:rPr>
                <w:sz w:val="17"/>
              </w:rPr>
              <w:tab/>
              <w:t>Including:</w:t>
            </w:r>
          </w:p>
        </w:tc>
        <w:tc>
          <w:tcPr>
            <w:tcW w:w="792" w:type="dxa"/>
          </w:tcPr>
          <w:p w:rsidR="00000000" w:rsidRDefault="00000000">
            <w:pPr>
              <w:pStyle w:val="BodyTextIndent2"/>
              <w:spacing w:after="120"/>
              <w:ind w:left="0" w:firstLine="0"/>
              <w:jc w:val="right"/>
              <w:rPr>
                <w:sz w:val="17"/>
              </w:rPr>
            </w:pPr>
          </w:p>
        </w:tc>
        <w:tc>
          <w:tcPr>
            <w:tcW w:w="909" w:type="dxa"/>
          </w:tcPr>
          <w:p w:rsidR="00000000" w:rsidRDefault="00000000">
            <w:pPr>
              <w:pStyle w:val="BodyTextIndent2"/>
              <w:spacing w:after="120"/>
              <w:ind w:left="0" w:firstLine="0"/>
              <w:jc w:val="right"/>
              <w:rPr>
                <w:sz w:val="17"/>
              </w:rPr>
            </w:pPr>
          </w:p>
        </w:tc>
        <w:tc>
          <w:tcPr>
            <w:tcW w:w="864" w:type="dxa"/>
          </w:tcPr>
          <w:p w:rsidR="00000000" w:rsidRDefault="00000000">
            <w:pPr>
              <w:pStyle w:val="BodyTextIndent2"/>
              <w:spacing w:after="120"/>
              <w:ind w:left="0" w:firstLine="0"/>
              <w:jc w:val="right"/>
              <w:rPr>
                <w:sz w:val="17"/>
              </w:rPr>
            </w:pPr>
          </w:p>
        </w:tc>
        <w:tc>
          <w:tcPr>
            <w:tcW w:w="927" w:type="dxa"/>
          </w:tcPr>
          <w:p w:rsidR="00000000" w:rsidRDefault="00000000">
            <w:pPr>
              <w:pStyle w:val="BodyTextIndent2"/>
              <w:spacing w:after="120"/>
              <w:ind w:left="0" w:firstLine="0"/>
              <w:jc w:val="right"/>
              <w:rPr>
                <w:sz w:val="17"/>
              </w:rPr>
            </w:pPr>
          </w:p>
        </w:tc>
        <w:tc>
          <w:tcPr>
            <w:tcW w:w="909" w:type="dxa"/>
          </w:tcPr>
          <w:p w:rsidR="00000000" w:rsidRDefault="00000000">
            <w:pPr>
              <w:pStyle w:val="BodyTextIndent2"/>
              <w:spacing w:after="120"/>
              <w:ind w:left="0" w:firstLine="0"/>
              <w:jc w:val="right"/>
              <w:rPr>
                <w:sz w:val="17"/>
              </w:rPr>
            </w:pPr>
          </w:p>
        </w:tc>
        <w:tc>
          <w:tcPr>
            <w:tcW w:w="837" w:type="dxa"/>
          </w:tcPr>
          <w:p w:rsidR="00000000" w:rsidRDefault="00000000">
            <w:pPr>
              <w:pStyle w:val="BodyTextIndent2"/>
              <w:spacing w:after="120"/>
              <w:ind w:left="0" w:firstLine="0"/>
              <w:jc w:val="right"/>
              <w:rPr>
                <w:sz w:val="17"/>
              </w:rPr>
            </w:pPr>
          </w:p>
        </w:tc>
        <w:tc>
          <w:tcPr>
            <w:tcW w:w="864" w:type="dxa"/>
          </w:tcPr>
          <w:p w:rsidR="00000000" w:rsidRDefault="00000000">
            <w:pPr>
              <w:pStyle w:val="BodyTextIndent2"/>
              <w:spacing w:after="120"/>
              <w:ind w:left="0" w:firstLine="0"/>
              <w:jc w:val="right"/>
              <w:rPr>
                <w:sz w:val="17"/>
              </w:rPr>
            </w:pPr>
          </w:p>
        </w:tc>
      </w:tr>
      <w:tr w:rsidR="00000000">
        <w:tblPrEx>
          <w:tblCellMar>
            <w:top w:w="0" w:type="dxa"/>
            <w:bottom w:w="0" w:type="dxa"/>
          </w:tblCellMar>
        </w:tblPrEx>
        <w:tc>
          <w:tcPr>
            <w:tcW w:w="3744" w:type="dxa"/>
          </w:tcPr>
          <w:p w:rsidR="00000000" w:rsidRDefault="00000000">
            <w:pPr>
              <w:pStyle w:val="BodyTextIndent2"/>
              <w:tabs>
                <w:tab w:val="clear" w:pos="475"/>
                <w:tab w:val="clear" w:pos="965"/>
                <w:tab w:val="clear" w:pos="1440"/>
                <w:tab w:val="clear" w:pos="1915"/>
                <w:tab w:val="left" w:pos="252"/>
                <w:tab w:val="left" w:pos="513"/>
                <w:tab w:val="left" w:pos="783"/>
                <w:tab w:val="left" w:pos="1071"/>
              </w:tabs>
              <w:spacing w:after="120"/>
              <w:ind w:left="0" w:firstLine="0"/>
              <w:jc w:val="left"/>
              <w:rPr>
                <w:sz w:val="17"/>
              </w:rPr>
            </w:pPr>
            <w:r>
              <w:rPr>
                <w:sz w:val="17"/>
              </w:rPr>
              <w:tab/>
            </w:r>
            <w:r>
              <w:rPr>
                <w:sz w:val="17"/>
              </w:rPr>
              <w:tab/>
              <w:t>Men</w:t>
            </w:r>
          </w:p>
        </w:tc>
        <w:tc>
          <w:tcPr>
            <w:tcW w:w="792" w:type="dxa"/>
          </w:tcPr>
          <w:p w:rsidR="00000000" w:rsidRDefault="00000000">
            <w:pPr>
              <w:pStyle w:val="BodyTextIndent2"/>
              <w:spacing w:after="120"/>
              <w:ind w:left="0" w:firstLine="0"/>
              <w:jc w:val="right"/>
              <w:rPr>
                <w:sz w:val="17"/>
              </w:rPr>
            </w:pPr>
            <w:r>
              <w:rPr>
                <w:sz w:val="17"/>
              </w:rPr>
              <w:t>3 935.3</w:t>
            </w:r>
          </w:p>
        </w:tc>
        <w:tc>
          <w:tcPr>
            <w:tcW w:w="909" w:type="dxa"/>
          </w:tcPr>
          <w:p w:rsidR="00000000" w:rsidRDefault="00000000">
            <w:pPr>
              <w:pStyle w:val="BodyTextIndent2"/>
              <w:spacing w:after="120"/>
              <w:ind w:left="0" w:firstLine="0"/>
              <w:jc w:val="right"/>
              <w:rPr>
                <w:sz w:val="17"/>
              </w:rPr>
            </w:pPr>
            <w:r>
              <w:rPr>
                <w:sz w:val="17"/>
              </w:rPr>
              <w:t>4 013.1</w:t>
            </w:r>
          </w:p>
        </w:tc>
        <w:tc>
          <w:tcPr>
            <w:tcW w:w="864" w:type="dxa"/>
          </w:tcPr>
          <w:p w:rsidR="00000000" w:rsidRDefault="00000000">
            <w:pPr>
              <w:pStyle w:val="BodyTextIndent2"/>
              <w:spacing w:after="120"/>
              <w:ind w:left="0" w:firstLine="0"/>
              <w:jc w:val="right"/>
              <w:rPr>
                <w:sz w:val="17"/>
              </w:rPr>
            </w:pPr>
            <w:r>
              <w:rPr>
                <w:sz w:val="17"/>
              </w:rPr>
              <w:t>3 670.9</w:t>
            </w:r>
          </w:p>
        </w:tc>
        <w:tc>
          <w:tcPr>
            <w:tcW w:w="927" w:type="dxa"/>
          </w:tcPr>
          <w:p w:rsidR="00000000" w:rsidRDefault="00000000">
            <w:pPr>
              <w:pStyle w:val="BodyTextIndent2"/>
              <w:spacing w:after="120"/>
              <w:ind w:left="0" w:firstLine="0"/>
              <w:jc w:val="right"/>
              <w:rPr>
                <w:sz w:val="17"/>
              </w:rPr>
            </w:pPr>
            <w:r>
              <w:rPr>
                <w:sz w:val="17"/>
              </w:rPr>
              <w:t>3 422.5</w:t>
            </w:r>
          </w:p>
        </w:tc>
        <w:tc>
          <w:tcPr>
            <w:tcW w:w="909" w:type="dxa"/>
          </w:tcPr>
          <w:p w:rsidR="00000000" w:rsidRDefault="00000000">
            <w:pPr>
              <w:pStyle w:val="BodyTextIndent2"/>
              <w:spacing w:after="120"/>
              <w:ind w:left="0" w:firstLine="0"/>
              <w:jc w:val="right"/>
              <w:rPr>
                <w:sz w:val="17"/>
              </w:rPr>
            </w:pPr>
            <w:r>
              <w:rPr>
                <w:sz w:val="17"/>
              </w:rPr>
              <w:t>3 472.3</w:t>
            </w:r>
          </w:p>
        </w:tc>
        <w:tc>
          <w:tcPr>
            <w:tcW w:w="837" w:type="dxa"/>
          </w:tcPr>
          <w:p w:rsidR="00000000" w:rsidRDefault="00000000">
            <w:pPr>
              <w:pStyle w:val="BodyTextIndent2"/>
              <w:spacing w:after="120"/>
              <w:ind w:left="0" w:firstLine="0"/>
              <w:jc w:val="right"/>
              <w:rPr>
                <w:sz w:val="17"/>
              </w:rPr>
            </w:pPr>
            <w:r>
              <w:rPr>
                <w:sz w:val="17"/>
              </w:rPr>
              <w:t>3 494.1</w:t>
            </w:r>
          </w:p>
        </w:tc>
        <w:tc>
          <w:tcPr>
            <w:tcW w:w="864" w:type="dxa"/>
          </w:tcPr>
          <w:p w:rsidR="00000000" w:rsidRDefault="00000000">
            <w:pPr>
              <w:pStyle w:val="BodyTextIndent2"/>
              <w:spacing w:after="120"/>
              <w:ind w:left="0" w:firstLine="0"/>
              <w:jc w:val="right"/>
              <w:rPr>
                <w:sz w:val="17"/>
              </w:rPr>
            </w:pPr>
            <w:r>
              <w:rPr>
                <w:sz w:val="17"/>
              </w:rPr>
              <w:t>3 520.9</w:t>
            </w:r>
          </w:p>
        </w:tc>
      </w:tr>
      <w:tr w:rsidR="00000000">
        <w:tblPrEx>
          <w:tblCellMar>
            <w:top w:w="0" w:type="dxa"/>
            <w:bottom w:w="0" w:type="dxa"/>
          </w:tblCellMar>
        </w:tblPrEx>
        <w:tc>
          <w:tcPr>
            <w:tcW w:w="3744" w:type="dxa"/>
          </w:tcPr>
          <w:p w:rsidR="00000000" w:rsidRDefault="00000000">
            <w:pPr>
              <w:pStyle w:val="BodyTextIndent2"/>
              <w:tabs>
                <w:tab w:val="clear" w:pos="475"/>
                <w:tab w:val="clear" w:pos="965"/>
                <w:tab w:val="clear" w:pos="1440"/>
                <w:tab w:val="clear" w:pos="1915"/>
                <w:tab w:val="left" w:pos="252"/>
                <w:tab w:val="left" w:pos="513"/>
                <w:tab w:val="left" w:pos="783"/>
                <w:tab w:val="left" w:pos="1071"/>
              </w:tabs>
              <w:spacing w:after="120"/>
              <w:ind w:left="0" w:firstLine="0"/>
              <w:jc w:val="left"/>
              <w:rPr>
                <w:b/>
                <w:sz w:val="17"/>
              </w:rPr>
            </w:pPr>
            <w:r>
              <w:rPr>
                <w:b/>
                <w:sz w:val="17"/>
              </w:rPr>
              <w:tab/>
            </w:r>
            <w:r>
              <w:rPr>
                <w:b/>
                <w:sz w:val="17"/>
              </w:rPr>
              <w:tab/>
              <w:t>Women</w:t>
            </w:r>
          </w:p>
        </w:tc>
        <w:tc>
          <w:tcPr>
            <w:tcW w:w="792" w:type="dxa"/>
          </w:tcPr>
          <w:p w:rsidR="00000000" w:rsidRDefault="00000000">
            <w:pPr>
              <w:pStyle w:val="BodyTextIndent2"/>
              <w:spacing w:after="120"/>
              <w:ind w:left="0" w:firstLine="0"/>
              <w:jc w:val="right"/>
              <w:rPr>
                <w:b/>
                <w:sz w:val="17"/>
              </w:rPr>
            </w:pPr>
            <w:r>
              <w:rPr>
                <w:b/>
                <w:sz w:val="17"/>
              </w:rPr>
              <w:t>3 780.9</w:t>
            </w:r>
          </w:p>
        </w:tc>
        <w:tc>
          <w:tcPr>
            <w:tcW w:w="909" w:type="dxa"/>
          </w:tcPr>
          <w:p w:rsidR="00000000" w:rsidRDefault="00000000">
            <w:pPr>
              <w:pStyle w:val="BodyTextIndent2"/>
              <w:spacing w:after="120"/>
              <w:ind w:left="0" w:firstLine="0"/>
              <w:jc w:val="right"/>
              <w:rPr>
                <w:b/>
                <w:sz w:val="17"/>
              </w:rPr>
            </w:pPr>
            <w:r>
              <w:rPr>
                <w:b/>
                <w:sz w:val="17"/>
              </w:rPr>
              <w:t>3 558.8</w:t>
            </w:r>
          </w:p>
        </w:tc>
        <w:tc>
          <w:tcPr>
            <w:tcW w:w="864" w:type="dxa"/>
          </w:tcPr>
          <w:p w:rsidR="00000000" w:rsidRDefault="00000000">
            <w:pPr>
              <w:pStyle w:val="BodyTextIndent2"/>
              <w:spacing w:after="120"/>
              <w:ind w:left="0" w:firstLine="0"/>
              <w:jc w:val="right"/>
              <w:rPr>
                <w:b/>
                <w:sz w:val="17"/>
              </w:rPr>
            </w:pPr>
            <w:r>
              <w:rPr>
                <w:b/>
                <w:sz w:val="17"/>
              </w:rPr>
              <w:t>3 255.4</w:t>
            </w:r>
          </w:p>
        </w:tc>
        <w:tc>
          <w:tcPr>
            <w:tcW w:w="927" w:type="dxa"/>
          </w:tcPr>
          <w:p w:rsidR="00000000" w:rsidRDefault="00000000">
            <w:pPr>
              <w:pStyle w:val="BodyTextIndent2"/>
              <w:spacing w:after="120"/>
              <w:ind w:left="0" w:firstLine="0"/>
              <w:jc w:val="right"/>
              <w:rPr>
                <w:b/>
                <w:sz w:val="17"/>
              </w:rPr>
            </w:pPr>
            <w:r>
              <w:rPr>
                <w:b/>
                <w:sz w:val="17"/>
              </w:rPr>
              <w:t>3 159.3</w:t>
            </w:r>
          </w:p>
        </w:tc>
        <w:tc>
          <w:tcPr>
            <w:tcW w:w="909" w:type="dxa"/>
          </w:tcPr>
          <w:p w:rsidR="00000000" w:rsidRDefault="00000000">
            <w:pPr>
              <w:pStyle w:val="BodyTextIndent2"/>
              <w:spacing w:after="120"/>
              <w:ind w:left="0" w:firstLine="0"/>
              <w:jc w:val="right"/>
              <w:rPr>
                <w:b/>
                <w:sz w:val="17"/>
              </w:rPr>
            </w:pPr>
            <w:r>
              <w:rPr>
                <w:b/>
                <w:sz w:val="17"/>
              </w:rPr>
              <w:t>3 079.2</w:t>
            </w:r>
          </w:p>
        </w:tc>
        <w:tc>
          <w:tcPr>
            <w:tcW w:w="837" w:type="dxa"/>
          </w:tcPr>
          <w:p w:rsidR="00000000" w:rsidRDefault="00000000">
            <w:pPr>
              <w:pStyle w:val="BodyTextIndent2"/>
              <w:spacing w:after="120"/>
              <w:ind w:left="0" w:firstLine="0"/>
              <w:jc w:val="right"/>
              <w:rPr>
                <w:b/>
                <w:sz w:val="17"/>
              </w:rPr>
            </w:pPr>
            <w:r>
              <w:rPr>
                <w:b/>
                <w:sz w:val="17"/>
              </w:rPr>
              <w:t>3 024.8</w:t>
            </w:r>
          </w:p>
        </w:tc>
        <w:tc>
          <w:tcPr>
            <w:tcW w:w="864" w:type="dxa"/>
          </w:tcPr>
          <w:p w:rsidR="00000000" w:rsidRDefault="00000000">
            <w:pPr>
              <w:pStyle w:val="BodyTextIndent2"/>
              <w:spacing w:after="120"/>
              <w:ind w:left="0" w:firstLine="0"/>
              <w:jc w:val="right"/>
              <w:rPr>
                <w:b/>
                <w:sz w:val="17"/>
              </w:rPr>
            </w:pPr>
            <w:r>
              <w:rPr>
                <w:b/>
                <w:sz w:val="17"/>
              </w:rPr>
              <w:t>2 951.4</w:t>
            </w:r>
          </w:p>
        </w:tc>
      </w:tr>
      <w:tr w:rsidR="00000000">
        <w:tblPrEx>
          <w:tblCellMar>
            <w:top w:w="0" w:type="dxa"/>
            <w:bottom w:w="0" w:type="dxa"/>
          </w:tblCellMar>
        </w:tblPrEx>
        <w:tc>
          <w:tcPr>
            <w:tcW w:w="3744" w:type="dxa"/>
          </w:tcPr>
          <w:p w:rsidR="00000000" w:rsidRDefault="00000000">
            <w:pPr>
              <w:pStyle w:val="BodyTextIndent2"/>
              <w:tabs>
                <w:tab w:val="clear" w:pos="475"/>
                <w:tab w:val="clear" w:pos="965"/>
                <w:tab w:val="clear" w:pos="1440"/>
                <w:tab w:val="clear" w:pos="1915"/>
                <w:tab w:val="left" w:pos="252"/>
                <w:tab w:val="left" w:pos="513"/>
                <w:tab w:val="left" w:pos="783"/>
                <w:tab w:val="left" w:pos="1071"/>
              </w:tabs>
              <w:spacing w:after="120"/>
              <w:ind w:left="0" w:firstLine="0"/>
              <w:jc w:val="left"/>
              <w:rPr>
                <w:sz w:val="17"/>
              </w:rPr>
            </w:pPr>
            <w:r>
              <w:rPr>
                <w:sz w:val="17"/>
              </w:rPr>
              <w:t>Total number of unemployed</w:t>
            </w:r>
          </w:p>
        </w:tc>
        <w:tc>
          <w:tcPr>
            <w:tcW w:w="792" w:type="dxa"/>
          </w:tcPr>
          <w:p w:rsidR="00000000" w:rsidRDefault="00000000">
            <w:pPr>
              <w:pStyle w:val="BodyTextIndent2"/>
              <w:spacing w:after="120"/>
              <w:ind w:left="0" w:firstLine="0"/>
              <w:jc w:val="right"/>
              <w:rPr>
                <w:sz w:val="17"/>
              </w:rPr>
            </w:pPr>
            <w:r>
              <w:rPr>
                <w:sz w:val="17"/>
              </w:rPr>
              <w:t>…</w:t>
            </w:r>
          </w:p>
        </w:tc>
        <w:tc>
          <w:tcPr>
            <w:tcW w:w="909" w:type="dxa"/>
          </w:tcPr>
          <w:p w:rsidR="00000000" w:rsidRDefault="00000000">
            <w:pPr>
              <w:pStyle w:val="BodyTextIndent2"/>
              <w:spacing w:after="120"/>
              <w:ind w:left="0" w:firstLine="0"/>
              <w:jc w:val="right"/>
              <w:rPr>
                <w:sz w:val="17"/>
              </w:rPr>
            </w:pPr>
            <w:r>
              <w:rPr>
                <w:sz w:val="17"/>
              </w:rPr>
              <w:t>…</w:t>
            </w:r>
          </w:p>
        </w:tc>
        <w:tc>
          <w:tcPr>
            <w:tcW w:w="864" w:type="dxa"/>
          </w:tcPr>
          <w:p w:rsidR="00000000" w:rsidRDefault="00000000">
            <w:pPr>
              <w:pStyle w:val="BodyTextIndent2"/>
              <w:spacing w:after="120"/>
              <w:ind w:left="0" w:firstLine="0"/>
              <w:jc w:val="right"/>
              <w:rPr>
                <w:sz w:val="17"/>
              </w:rPr>
            </w:pPr>
            <w:r>
              <w:rPr>
                <w:sz w:val="17"/>
              </w:rPr>
              <w:t>…</w:t>
            </w:r>
          </w:p>
        </w:tc>
        <w:tc>
          <w:tcPr>
            <w:tcW w:w="927" w:type="dxa"/>
          </w:tcPr>
          <w:p w:rsidR="00000000" w:rsidRDefault="00000000">
            <w:pPr>
              <w:pStyle w:val="BodyTextIndent2"/>
              <w:spacing w:after="120"/>
              <w:ind w:left="0" w:firstLine="0"/>
              <w:jc w:val="right"/>
              <w:rPr>
                <w:sz w:val="17"/>
              </w:rPr>
            </w:pPr>
            <w:r>
              <w:rPr>
                <w:sz w:val="17"/>
              </w:rPr>
              <w:t>536.4</w:t>
            </w:r>
          </w:p>
        </w:tc>
        <w:tc>
          <w:tcPr>
            <w:tcW w:w="909" w:type="dxa"/>
          </w:tcPr>
          <w:p w:rsidR="00000000" w:rsidRDefault="00000000">
            <w:pPr>
              <w:pStyle w:val="BodyTextIndent2"/>
              <w:spacing w:after="120"/>
              <w:ind w:left="0" w:firstLine="0"/>
              <w:jc w:val="right"/>
              <w:rPr>
                <w:sz w:val="17"/>
              </w:rPr>
            </w:pPr>
            <w:r>
              <w:rPr>
                <w:sz w:val="17"/>
              </w:rPr>
              <w:t>808.3</w:t>
            </w:r>
          </w:p>
        </w:tc>
        <w:tc>
          <w:tcPr>
            <w:tcW w:w="837" w:type="dxa"/>
          </w:tcPr>
          <w:p w:rsidR="00000000" w:rsidRDefault="00000000">
            <w:pPr>
              <w:pStyle w:val="BodyTextIndent2"/>
              <w:spacing w:after="120"/>
              <w:ind w:left="0" w:firstLine="0"/>
              <w:jc w:val="right"/>
              <w:rPr>
                <w:sz w:val="17"/>
              </w:rPr>
            </w:pPr>
            <w:r>
              <w:rPr>
                <w:sz w:val="17"/>
              </w:rPr>
              <w:t>970.6</w:t>
            </w:r>
          </w:p>
        </w:tc>
        <w:tc>
          <w:tcPr>
            <w:tcW w:w="864" w:type="dxa"/>
          </w:tcPr>
          <w:p w:rsidR="00000000" w:rsidRDefault="00000000">
            <w:pPr>
              <w:pStyle w:val="BodyTextIndent2"/>
              <w:spacing w:after="120"/>
              <w:ind w:left="0" w:firstLine="0"/>
              <w:jc w:val="right"/>
              <w:rPr>
                <w:sz w:val="17"/>
              </w:rPr>
            </w:pPr>
            <w:r>
              <w:rPr>
                <w:sz w:val="17"/>
              </w:rPr>
              <w:t>967.8</w:t>
            </w:r>
          </w:p>
        </w:tc>
      </w:tr>
      <w:tr w:rsidR="00000000">
        <w:tblPrEx>
          <w:tblCellMar>
            <w:top w:w="0" w:type="dxa"/>
            <w:bottom w:w="0" w:type="dxa"/>
          </w:tblCellMar>
        </w:tblPrEx>
        <w:tc>
          <w:tcPr>
            <w:tcW w:w="3744" w:type="dxa"/>
          </w:tcPr>
          <w:p w:rsidR="00000000" w:rsidRDefault="00000000">
            <w:pPr>
              <w:pStyle w:val="BodyTextIndent2"/>
              <w:tabs>
                <w:tab w:val="clear" w:pos="475"/>
                <w:tab w:val="clear" w:pos="965"/>
                <w:tab w:val="clear" w:pos="1440"/>
                <w:tab w:val="clear" w:pos="1915"/>
                <w:tab w:val="left" w:pos="252"/>
                <w:tab w:val="left" w:pos="513"/>
                <w:tab w:val="left" w:pos="783"/>
                <w:tab w:val="left" w:pos="1071"/>
              </w:tabs>
              <w:spacing w:after="120"/>
              <w:ind w:left="0" w:firstLine="0"/>
              <w:jc w:val="left"/>
              <w:rPr>
                <w:sz w:val="17"/>
              </w:rPr>
            </w:pPr>
            <w:r>
              <w:rPr>
                <w:sz w:val="17"/>
              </w:rPr>
              <w:tab/>
              <w:t>Including</w:t>
            </w:r>
          </w:p>
        </w:tc>
        <w:tc>
          <w:tcPr>
            <w:tcW w:w="792" w:type="dxa"/>
          </w:tcPr>
          <w:p w:rsidR="00000000" w:rsidRDefault="00000000">
            <w:pPr>
              <w:pStyle w:val="BodyTextIndent2"/>
              <w:spacing w:after="120"/>
              <w:ind w:left="0" w:firstLine="0"/>
              <w:jc w:val="right"/>
              <w:rPr>
                <w:sz w:val="17"/>
              </w:rPr>
            </w:pPr>
          </w:p>
        </w:tc>
        <w:tc>
          <w:tcPr>
            <w:tcW w:w="909" w:type="dxa"/>
          </w:tcPr>
          <w:p w:rsidR="00000000" w:rsidRDefault="00000000">
            <w:pPr>
              <w:pStyle w:val="BodyTextIndent2"/>
              <w:spacing w:after="120"/>
              <w:ind w:left="0" w:firstLine="0"/>
              <w:jc w:val="right"/>
              <w:rPr>
                <w:sz w:val="17"/>
              </w:rPr>
            </w:pPr>
          </w:p>
        </w:tc>
        <w:tc>
          <w:tcPr>
            <w:tcW w:w="864" w:type="dxa"/>
          </w:tcPr>
          <w:p w:rsidR="00000000" w:rsidRDefault="00000000">
            <w:pPr>
              <w:pStyle w:val="BodyTextIndent2"/>
              <w:spacing w:after="120"/>
              <w:ind w:left="0" w:firstLine="0"/>
              <w:jc w:val="right"/>
              <w:rPr>
                <w:sz w:val="17"/>
              </w:rPr>
            </w:pPr>
          </w:p>
        </w:tc>
        <w:tc>
          <w:tcPr>
            <w:tcW w:w="927" w:type="dxa"/>
          </w:tcPr>
          <w:p w:rsidR="00000000" w:rsidRDefault="00000000">
            <w:pPr>
              <w:pStyle w:val="BodyTextIndent2"/>
              <w:spacing w:after="120"/>
              <w:ind w:left="0" w:firstLine="0"/>
              <w:jc w:val="right"/>
              <w:rPr>
                <w:sz w:val="17"/>
              </w:rPr>
            </w:pPr>
          </w:p>
        </w:tc>
        <w:tc>
          <w:tcPr>
            <w:tcW w:w="909" w:type="dxa"/>
          </w:tcPr>
          <w:p w:rsidR="00000000" w:rsidRDefault="00000000">
            <w:pPr>
              <w:pStyle w:val="BodyTextIndent2"/>
              <w:spacing w:after="120"/>
              <w:ind w:left="0" w:firstLine="0"/>
              <w:jc w:val="right"/>
              <w:rPr>
                <w:sz w:val="17"/>
              </w:rPr>
            </w:pPr>
          </w:p>
        </w:tc>
        <w:tc>
          <w:tcPr>
            <w:tcW w:w="837" w:type="dxa"/>
          </w:tcPr>
          <w:p w:rsidR="00000000" w:rsidRDefault="00000000">
            <w:pPr>
              <w:pStyle w:val="BodyTextIndent2"/>
              <w:spacing w:after="120"/>
              <w:ind w:left="0" w:firstLine="0"/>
              <w:jc w:val="right"/>
              <w:rPr>
                <w:sz w:val="17"/>
              </w:rPr>
            </w:pPr>
          </w:p>
        </w:tc>
        <w:tc>
          <w:tcPr>
            <w:tcW w:w="864" w:type="dxa"/>
          </w:tcPr>
          <w:p w:rsidR="00000000" w:rsidRDefault="00000000">
            <w:pPr>
              <w:pStyle w:val="BodyTextIndent2"/>
              <w:spacing w:after="120"/>
              <w:ind w:left="0" w:firstLine="0"/>
              <w:jc w:val="right"/>
              <w:rPr>
                <w:sz w:val="17"/>
              </w:rPr>
            </w:pPr>
          </w:p>
        </w:tc>
      </w:tr>
      <w:tr w:rsidR="00000000">
        <w:tblPrEx>
          <w:tblCellMar>
            <w:top w:w="0" w:type="dxa"/>
            <w:bottom w:w="0" w:type="dxa"/>
          </w:tblCellMar>
        </w:tblPrEx>
        <w:tc>
          <w:tcPr>
            <w:tcW w:w="3744" w:type="dxa"/>
          </w:tcPr>
          <w:p w:rsidR="00000000" w:rsidRDefault="00000000">
            <w:pPr>
              <w:pStyle w:val="BodyTextIndent2"/>
              <w:tabs>
                <w:tab w:val="clear" w:pos="475"/>
                <w:tab w:val="clear" w:pos="965"/>
                <w:tab w:val="clear" w:pos="1440"/>
                <w:tab w:val="clear" w:pos="1915"/>
                <w:tab w:val="left" w:pos="252"/>
                <w:tab w:val="left" w:pos="513"/>
                <w:tab w:val="left" w:pos="783"/>
                <w:tab w:val="left" w:pos="1071"/>
              </w:tabs>
              <w:spacing w:after="120"/>
              <w:ind w:left="0" w:firstLine="0"/>
              <w:jc w:val="left"/>
              <w:rPr>
                <w:sz w:val="17"/>
              </w:rPr>
            </w:pPr>
            <w:r>
              <w:rPr>
                <w:sz w:val="17"/>
              </w:rPr>
              <w:tab/>
            </w:r>
            <w:r>
              <w:rPr>
                <w:sz w:val="17"/>
              </w:rPr>
              <w:tab/>
              <w:t>Men</w:t>
            </w:r>
          </w:p>
        </w:tc>
        <w:tc>
          <w:tcPr>
            <w:tcW w:w="792" w:type="dxa"/>
          </w:tcPr>
          <w:p w:rsidR="00000000" w:rsidRDefault="00000000">
            <w:pPr>
              <w:pStyle w:val="BodyTextIndent2"/>
              <w:spacing w:after="120"/>
              <w:ind w:left="0" w:firstLine="0"/>
              <w:jc w:val="right"/>
              <w:rPr>
                <w:sz w:val="17"/>
              </w:rPr>
            </w:pPr>
            <w:r>
              <w:rPr>
                <w:sz w:val="17"/>
              </w:rPr>
              <w:t>…</w:t>
            </w:r>
          </w:p>
        </w:tc>
        <w:tc>
          <w:tcPr>
            <w:tcW w:w="909" w:type="dxa"/>
          </w:tcPr>
          <w:p w:rsidR="00000000" w:rsidRDefault="00000000">
            <w:pPr>
              <w:pStyle w:val="BodyTextIndent2"/>
              <w:spacing w:after="120"/>
              <w:ind w:left="0" w:firstLine="0"/>
              <w:jc w:val="right"/>
              <w:rPr>
                <w:sz w:val="17"/>
              </w:rPr>
            </w:pPr>
            <w:r>
              <w:rPr>
                <w:sz w:val="17"/>
              </w:rPr>
              <w:t>…</w:t>
            </w:r>
          </w:p>
        </w:tc>
        <w:tc>
          <w:tcPr>
            <w:tcW w:w="864" w:type="dxa"/>
          </w:tcPr>
          <w:p w:rsidR="00000000" w:rsidRDefault="00000000">
            <w:pPr>
              <w:pStyle w:val="BodyTextIndent2"/>
              <w:spacing w:after="120"/>
              <w:ind w:left="0" w:firstLine="0"/>
              <w:jc w:val="right"/>
              <w:rPr>
                <w:sz w:val="17"/>
              </w:rPr>
            </w:pPr>
            <w:r>
              <w:rPr>
                <w:sz w:val="17"/>
              </w:rPr>
              <w:t>…</w:t>
            </w:r>
          </w:p>
        </w:tc>
        <w:tc>
          <w:tcPr>
            <w:tcW w:w="927" w:type="dxa"/>
          </w:tcPr>
          <w:p w:rsidR="00000000" w:rsidRDefault="00000000">
            <w:pPr>
              <w:pStyle w:val="BodyTextIndent2"/>
              <w:spacing w:after="120"/>
              <w:ind w:left="0" w:firstLine="0"/>
              <w:jc w:val="right"/>
              <w:rPr>
                <w:sz w:val="17"/>
              </w:rPr>
            </w:pPr>
            <w:r>
              <w:rPr>
                <w:sz w:val="17"/>
              </w:rPr>
              <w:t>188.8</w:t>
            </w:r>
          </w:p>
        </w:tc>
        <w:tc>
          <w:tcPr>
            <w:tcW w:w="909" w:type="dxa"/>
          </w:tcPr>
          <w:p w:rsidR="00000000" w:rsidRDefault="00000000">
            <w:pPr>
              <w:pStyle w:val="BodyTextIndent2"/>
              <w:spacing w:after="120"/>
              <w:ind w:left="0" w:firstLine="0"/>
              <w:jc w:val="right"/>
              <w:rPr>
                <w:sz w:val="17"/>
              </w:rPr>
            </w:pPr>
            <w:r>
              <w:rPr>
                <w:sz w:val="17"/>
              </w:rPr>
              <w:t>322.5</w:t>
            </w:r>
          </w:p>
        </w:tc>
        <w:tc>
          <w:tcPr>
            <w:tcW w:w="837" w:type="dxa"/>
          </w:tcPr>
          <w:p w:rsidR="00000000" w:rsidRDefault="00000000">
            <w:pPr>
              <w:pStyle w:val="BodyTextIndent2"/>
              <w:spacing w:after="120"/>
              <w:ind w:left="0" w:firstLine="0"/>
              <w:jc w:val="right"/>
              <w:rPr>
                <w:sz w:val="17"/>
              </w:rPr>
            </w:pPr>
            <w:r>
              <w:rPr>
                <w:sz w:val="17"/>
              </w:rPr>
              <w:t>357.2</w:t>
            </w:r>
          </w:p>
        </w:tc>
        <w:tc>
          <w:tcPr>
            <w:tcW w:w="864" w:type="dxa"/>
          </w:tcPr>
          <w:p w:rsidR="00000000" w:rsidRDefault="00000000">
            <w:pPr>
              <w:pStyle w:val="BodyTextIndent2"/>
              <w:spacing w:after="120"/>
              <w:ind w:left="0" w:firstLine="0"/>
              <w:jc w:val="right"/>
              <w:rPr>
                <w:sz w:val="17"/>
              </w:rPr>
            </w:pPr>
            <w:r>
              <w:rPr>
                <w:sz w:val="17"/>
              </w:rPr>
              <w:t>323.2</w:t>
            </w:r>
          </w:p>
        </w:tc>
      </w:tr>
      <w:tr w:rsidR="00000000">
        <w:tblPrEx>
          <w:tblCellMar>
            <w:top w:w="0" w:type="dxa"/>
            <w:bottom w:w="0" w:type="dxa"/>
          </w:tblCellMar>
        </w:tblPrEx>
        <w:tc>
          <w:tcPr>
            <w:tcW w:w="3744" w:type="dxa"/>
          </w:tcPr>
          <w:p w:rsidR="00000000" w:rsidRDefault="00000000">
            <w:pPr>
              <w:pStyle w:val="BodyTextIndent2"/>
              <w:tabs>
                <w:tab w:val="clear" w:pos="475"/>
                <w:tab w:val="clear" w:pos="965"/>
                <w:tab w:val="clear" w:pos="1440"/>
                <w:tab w:val="clear" w:pos="1915"/>
                <w:tab w:val="left" w:pos="252"/>
                <w:tab w:val="left" w:pos="513"/>
                <w:tab w:val="left" w:pos="783"/>
                <w:tab w:val="left" w:pos="1071"/>
              </w:tabs>
              <w:spacing w:after="120"/>
              <w:ind w:left="0" w:firstLine="0"/>
              <w:jc w:val="left"/>
              <w:rPr>
                <w:b/>
                <w:sz w:val="17"/>
              </w:rPr>
            </w:pPr>
            <w:r>
              <w:rPr>
                <w:b/>
                <w:sz w:val="17"/>
              </w:rPr>
              <w:tab/>
            </w:r>
            <w:r>
              <w:rPr>
                <w:b/>
                <w:sz w:val="17"/>
              </w:rPr>
              <w:tab/>
              <w:t>Women</w:t>
            </w:r>
          </w:p>
        </w:tc>
        <w:tc>
          <w:tcPr>
            <w:tcW w:w="792" w:type="dxa"/>
          </w:tcPr>
          <w:p w:rsidR="00000000" w:rsidRDefault="00000000">
            <w:pPr>
              <w:pStyle w:val="BodyTextIndent2"/>
              <w:spacing w:after="120"/>
              <w:ind w:left="0" w:firstLine="0"/>
              <w:jc w:val="right"/>
              <w:rPr>
                <w:b/>
                <w:sz w:val="17"/>
              </w:rPr>
            </w:pPr>
            <w:r>
              <w:rPr>
                <w:b/>
                <w:sz w:val="17"/>
              </w:rPr>
              <w:t>…</w:t>
            </w:r>
          </w:p>
        </w:tc>
        <w:tc>
          <w:tcPr>
            <w:tcW w:w="909" w:type="dxa"/>
          </w:tcPr>
          <w:p w:rsidR="00000000" w:rsidRDefault="00000000">
            <w:pPr>
              <w:pStyle w:val="BodyTextIndent2"/>
              <w:spacing w:after="120"/>
              <w:ind w:left="0" w:firstLine="0"/>
              <w:jc w:val="right"/>
              <w:rPr>
                <w:b/>
                <w:sz w:val="17"/>
              </w:rPr>
            </w:pPr>
            <w:r>
              <w:rPr>
                <w:b/>
                <w:sz w:val="17"/>
              </w:rPr>
              <w:t>…</w:t>
            </w:r>
          </w:p>
        </w:tc>
        <w:tc>
          <w:tcPr>
            <w:tcW w:w="864" w:type="dxa"/>
          </w:tcPr>
          <w:p w:rsidR="00000000" w:rsidRDefault="00000000">
            <w:pPr>
              <w:pStyle w:val="BodyTextIndent2"/>
              <w:spacing w:after="120"/>
              <w:ind w:left="0" w:firstLine="0"/>
              <w:jc w:val="right"/>
              <w:rPr>
                <w:b/>
                <w:sz w:val="17"/>
              </w:rPr>
            </w:pPr>
            <w:r>
              <w:rPr>
                <w:b/>
                <w:sz w:val="17"/>
              </w:rPr>
              <w:t>…</w:t>
            </w:r>
          </w:p>
        </w:tc>
        <w:tc>
          <w:tcPr>
            <w:tcW w:w="927" w:type="dxa"/>
          </w:tcPr>
          <w:p w:rsidR="00000000" w:rsidRDefault="00000000">
            <w:pPr>
              <w:pStyle w:val="BodyTextIndent2"/>
              <w:spacing w:after="120"/>
              <w:ind w:left="0" w:firstLine="0"/>
              <w:jc w:val="right"/>
              <w:rPr>
                <w:b/>
                <w:sz w:val="17"/>
              </w:rPr>
            </w:pPr>
            <w:r>
              <w:rPr>
                <w:b/>
                <w:sz w:val="17"/>
              </w:rPr>
              <w:t>347.6</w:t>
            </w:r>
          </w:p>
        </w:tc>
        <w:tc>
          <w:tcPr>
            <w:tcW w:w="909" w:type="dxa"/>
          </w:tcPr>
          <w:p w:rsidR="00000000" w:rsidRDefault="00000000">
            <w:pPr>
              <w:pStyle w:val="BodyTextIndent2"/>
              <w:spacing w:after="120"/>
              <w:ind w:left="0" w:firstLine="0"/>
              <w:jc w:val="right"/>
              <w:rPr>
                <w:b/>
                <w:sz w:val="17"/>
              </w:rPr>
            </w:pPr>
            <w:r>
              <w:rPr>
                <w:b/>
                <w:sz w:val="17"/>
              </w:rPr>
              <w:t>485.8</w:t>
            </w:r>
          </w:p>
        </w:tc>
        <w:tc>
          <w:tcPr>
            <w:tcW w:w="837" w:type="dxa"/>
          </w:tcPr>
          <w:p w:rsidR="00000000" w:rsidRDefault="00000000">
            <w:pPr>
              <w:pStyle w:val="BodyTextIndent2"/>
              <w:spacing w:after="120"/>
              <w:ind w:left="0" w:firstLine="0"/>
              <w:jc w:val="right"/>
              <w:rPr>
                <w:b/>
                <w:sz w:val="17"/>
              </w:rPr>
            </w:pPr>
            <w:r>
              <w:rPr>
                <w:b/>
                <w:sz w:val="17"/>
              </w:rPr>
              <w:t>613.4</w:t>
            </w:r>
          </w:p>
        </w:tc>
        <w:tc>
          <w:tcPr>
            <w:tcW w:w="864" w:type="dxa"/>
          </w:tcPr>
          <w:p w:rsidR="00000000" w:rsidRDefault="00000000">
            <w:pPr>
              <w:pStyle w:val="BodyTextIndent2"/>
              <w:spacing w:after="120"/>
              <w:ind w:left="0" w:firstLine="0"/>
              <w:jc w:val="right"/>
              <w:rPr>
                <w:b/>
                <w:sz w:val="17"/>
              </w:rPr>
            </w:pPr>
            <w:r>
              <w:rPr>
                <w:b/>
                <w:sz w:val="17"/>
              </w:rPr>
              <w:t>644.6</w:t>
            </w:r>
          </w:p>
        </w:tc>
      </w:tr>
      <w:tr w:rsidR="00000000">
        <w:tblPrEx>
          <w:tblCellMar>
            <w:top w:w="0" w:type="dxa"/>
            <w:bottom w:w="0" w:type="dxa"/>
          </w:tblCellMar>
        </w:tblPrEx>
        <w:tc>
          <w:tcPr>
            <w:tcW w:w="3744" w:type="dxa"/>
          </w:tcPr>
          <w:p w:rsidR="00000000" w:rsidRDefault="00000000">
            <w:pPr>
              <w:pStyle w:val="BodyTextIndent2"/>
              <w:tabs>
                <w:tab w:val="clear" w:pos="475"/>
                <w:tab w:val="clear" w:pos="965"/>
                <w:tab w:val="clear" w:pos="1440"/>
                <w:tab w:val="clear" w:pos="1915"/>
                <w:tab w:val="left" w:pos="252"/>
                <w:tab w:val="left" w:pos="513"/>
                <w:tab w:val="left" w:pos="783"/>
                <w:tab w:val="left" w:pos="1071"/>
              </w:tabs>
              <w:spacing w:after="120"/>
              <w:ind w:left="0" w:firstLine="0"/>
              <w:jc w:val="left"/>
              <w:rPr>
                <w:sz w:val="17"/>
              </w:rPr>
            </w:pPr>
            <w:r>
              <w:rPr>
                <w:sz w:val="17"/>
              </w:rPr>
              <w:tab/>
              <w:t>Including</w:t>
            </w:r>
          </w:p>
        </w:tc>
        <w:tc>
          <w:tcPr>
            <w:tcW w:w="792" w:type="dxa"/>
          </w:tcPr>
          <w:p w:rsidR="00000000" w:rsidRDefault="00000000">
            <w:pPr>
              <w:pStyle w:val="BodyTextIndent2"/>
              <w:spacing w:after="120"/>
              <w:ind w:left="0" w:firstLine="0"/>
              <w:jc w:val="right"/>
              <w:rPr>
                <w:sz w:val="17"/>
              </w:rPr>
            </w:pPr>
          </w:p>
        </w:tc>
        <w:tc>
          <w:tcPr>
            <w:tcW w:w="909" w:type="dxa"/>
          </w:tcPr>
          <w:p w:rsidR="00000000" w:rsidRDefault="00000000">
            <w:pPr>
              <w:pStyle w:val="BodyTextIndent2"/>
              <w:spacing w:after="120"/>
              <w:ind w:left="0" w:firstLine="0"/>
              <w:jc w:val="right"/>
              <w:rPr>
                <w:sz w:val="17"/>
              </w:rPr>
            </w:pPr>
          </w:p>
        </w:tc>
        <w:tc>
          <w:tcPr>
            <w:tcW w:w="864" w:type="dxa"/>
          </w:tcPr>
          <w:p w:rsidR="00000000" w:rsidRDefault="00000000">
            <w:pPr>
              <w:pStyle w:val="BodyTextIndent2"/>
              <w:spacing w:after="120"/>
              <w:ind w:left="0" w:firstLine="0"/>
              <w:jc w:val="right"/>
              <w:rPr>
                <w:sz w:val="17"/>
              </w:rPr>
            </w:pPr>
          </w:p>
        </w:tc>
        <w:tc>
          <w:tcPr>
            <w:tcW w:w="927" w:type="dxa"/>
          </w:tcPr>
          <w:p w:rsidR="00000000" w:rsidRDefault="00000000">
            <w:pPr>
              <w:pStyle w:val="BodyTextIndent2"/>
              <w:spacing w:after="120"/>
              <w:ind w:left="0" w:firstLine="0"/>
              <w:jc w:val="right"/>
              <w:rPr>
                <w:sz w:val="17"/>
              </w:rPr>
            </w:pPr>
          </w:p>
        </w:tc>
        <w:tc>
          <w:tcPr>
            <w:tcW w:w="909" w:type="dxa"/>
          </w:tcPr>
          <w:p w:rsidR="00000000" w:rsidRDefault="00000000">
            <w:pPr>
              <w:pStyle w:val="BodyTextIndent2"/>
              <w:spacing w:after="120"/>
              <w:ind w:left="0" w:firstLine="0"/>
              <w:jc w:val="right"/>
              <w:rPr>
                <w:sz w:val="17"/>
              </w:rPr>
            </w:pPr>
          </w:p>
        </w:tc>
        <w:tc>
          <w:tcPr>
            <w:tcW w:w="837" w:type="dxa"/>
          </w:tcPr>
          <w:p w:rsidR="00000000" w:rsidRDefault="00000000">
            <w:pPr>
              <w:pStyle w:val="BodyTextIndent2"/>
              <w:spacing w:after="120"/>
              <w:ind w:left="0" w:firstLine="0"/>
              <w:jc w:val="right"/>
              <w:rPr>
                <w:sz w:val="17"/>
              </w:rPr>
            </w:pPr>
          </w:p>
        </w:tc>
        <w:tc>
          <w:tcPr>
            <w:tcW w:w="864" w:type="dxa"/>
          </w:tcPr>
          <w:p w:rsidR="00000000" w:rsidRDefault="00000000">
            <w:pPr>
              <w:pStyle w:val="BodyTextIndent2"/>
              <w:spacing w:after="120"/>
              <w:ind w:left="0" w:firstLine="0"/>
              <w:jc w:val="right"/>
              <w:rPr>
                <w:sz w:val="17"/>
              </w:rPr>
            </w:pPr>
          </w:p>
        </w:tc>
      </w:tr>
      <w:tr w:rsidR="00000000">
        <w:tblPrEx>
          <w:tblCellMar>
            <w:top w:w="0" w:type="dxa"/>
            <w:bottom w:w="0" w:type="dxa"/>
          </w:tblCellMar>
        </w:tblPrEx>
        <w:tc>
          <w:tcPr>
            <w:tcW w:w="3744" w:type="dxa"/>
          </w:tcPr>
          <w:p w:rsidR="00000000" w:rsidRDefault="00000000">
            <w:pPr>
              <w:pStyle w:val="BodyTextIndent2"/>
              <w:tabs>
                <w:tab w:val="clear" w:pos="475"/>
                <w:tab w:val="clear" w:pos="965"/>
                <w:tab w:val="clear" w:pos="1440"/>
                <w:tab w:val="clear" w:pos="1915"/>
                <w:tab w:val="left" w:pos="252"/>
                <w:tab w:val="left" w:pos="513"/>
                <w:tab w:val="left" w:pos="783"/>
                <w:tab w:val="left" w:pos="1071"/>
              </w:tabs>
              <w:spacing w:after="120"/>
              <w:ind w:left="0" w:firstLine="0"/>
              <w:jc w:val="left"/>
              <w:rPr>
                <w:sz w:val="17"/>
              </w:rPr>
            </w:pPr>
            <w:r>
              <w:rPr>
                <w:sz w:val="17"/>
              </w:rPr>
              <w:tab/>
            </w:r>
            <w:r>
              <w:rPr>
                <w:sz w:val="17"/>
              </w:rPr>
              <w:tab/>
              <w:t>Registered</w:t>
            </w:r>
          </w:p>
        </w:tc>
        <w:tc>
          <w:tcPr>
            <w:tcW w:w="792" w:type="dxa"/>
          </w:tcPr>
          <w:p w:rsidR="00000000" w:rsidRDefault="00000000">
            <w:pPr>
              <w:pStyle w:val="BodyTextIndent2"/>
              <w:spacing w:after="120"/>
              <w:ind w:left="0" w:firstLine="0"/>
              <w:jc w:val="right"/>
              <w:rPr>
                <w:sz w:val="17"/>
              </w:rPr>
            </w:pPr>
            <w:r>
              <w:rPr>
                <w:sz w:val="17"/>
              </w:rPr>
              <w:t>4.0</w:t>
            </w:r>
          </w:p>
        </w:tc>
        <w:tc>
          <w:tcPr>
            <w:tcW w:w="909" w:type="dxa"/>
          </w:tcPr>
          <w:p w:rsidR="00000000" w:rsidRDefault="00000000">
            <w:pPr>
              <w:pStyle w:val="BodyTextIndent2"/>
              <w:spacing w:after="120"/>
              <w:ind w:left="0" w:firstLine="0"/>
              <w:jc w:val="right"/>
              <w:rPr>
                <w:sz w:val="17"/>
              </w:rPr>
            </w:pPr>
            <w:r>
              <w:rPr>
                <w:sz w:val="17"/>
              </w:rPr>
              <w:t>33.7</w:t>
            </w:r>
          </w:p>
        </w:tc>
        <w:tc>
          <w:tcPr>
            <w:tcW w:w="864" w:type="dxa"/>
          </w:tcPr>
          <w:p w:rsidR="00000000" w:rsidRDefault="00000000">
            <w:pPr>
              <w:pStyle w:val="BodyTextIndent2"/>
              <w:spacing w:after="120"/>
              <w:ind w:left="0" w:firstLine="0"/>
              <w:jc w:val="right"/>
              <w:rPr>
                <w:sz w:val="17"/>
              </w:rPr>
            </w:pPr>
            <w:r>
              <w:rPr>
                <w:sz w:val="17"/>
              </w:rPr>
              <w:t>40.5</w:t>
            </w:r>
          </w:p>
        </w:tc>
        <w:tc>
          <w:tcPr>
            <w:tcW w:w="927" w:type="dxa"/>
          </w:tcPr>
          <w:p w:rsidR="00000000" w:rsidRDefault="00000000">
            <w:pPr>
              <w:pStyle w:val="BodyTextIndent2"/>
              <w:spacing w:after="120"/>
              <w:ind w:left="0" w:firstLine="0"/>
              <w:jc w:val="right"/>
              <w:rPr>
                <w:sz w:val="17"/>
              </w:rPr>
            </w:pPr>
            <w:r>
              <w:rPr>
                <w:sz w:val="17"/>
              </w:rPr>
              <w:t>70.1</w:t>
            </w:r>
          </w:p>
        </w:tc>
        <w:tc>
          <w:tcPr>
            <w:tcW w:w="909" w:type="dxa"/>
          </w:tcPr>
          <w:p w:rsidR="00000000" w:rsidRDefault="00000000">
            <w:pPr>
              <w:pStyle w:val="BodyTextIndent2"/>
              <w:spacing w:after="120"/>
              <w:ind w:left="0" w:firstLine="0"/>
              <w:jc w:val="right"/>
              <w:rPr>
                <w:sz w:val="17"/>
              </w:rPr>
            </w:pPr>
            <w:r>
              <w:rPr>
                <w:sz w:val="17"/>
              </w:rPr>
              <w:t>139.6</w:t>
            </w:r>
          </w:p>
        </w:tc>
        <w:tc>
          <w:tcPr>
            <w:tcW w:w="837" w:type="dxa"/>
          </w:tcPr>
          <w:p w:rsidR="00000000" w:rsidRDefault="00000000">
            <w:pPr>
              <w:pStyle w:val="BodyTextIndent2"/>
              <w:spacing w:after="120"/>
              <w:ind w:left="0" w:firstLine="0"/>
              <w:jc w:val="right"/>
              <w:rPr>
                <w:sz w:val="17"/>
              </w:rPr>
            </w:pPr>
            <w:r>
              <w:rPr>
                <w:sz w:val="17"/>
              </w:rPr>
              <w:t>282.4</w:t>
            </w:r>
          </w:p>
        </w:tc>
        <w:tc>
          <w:tcPr>
            <w:tcW w:w="864" w:type="dxa"/>
          </w:tcPr>
          <w:p w:rsidR="00000000" w:rsidRDefault="00000000">
            <w:pPr>
              <w:pStyle w:val="BodyTextIndent2"/>
              <w:spacing w:after="120"/>
              <w:ind w:left="0" w:firstLine="0"/>
              <w:jc w:val="right"/>
              <w:rPr>
                <w:sz w:val="17"/>
              </w:rPr>
            </w:pPr>
            <w:r>
              <w:rPr>
                <w:sz w:val="17"/>
              </w:rPr>
              <w:t>257.5</w:t>
            </w:r>
          </w:p>
        </w:tc>
      </w:tr>
      <w:tr w:rsidR="00000000">
        <w:tblPrEx>
          <w:tblCellMar>
            <w:top w:w="0" w:type="dxa"/>
            <w:bottom w:w="0" w:type="dxa"/>
          </w:tblCellMar>
        </w:tblPrEx>
        <w:tc>
          <w:tcPr>
            <w:tcW w:w="3744" w:type="dxa"/>
          </w:tcPr>
          <w:p w:rsidR="00000000" w:rsidRDefault="00000000">
            <w:pPr>
              <w:pStyle w:val="BodyTextIndent2"/>
              <w:tabs>
                <w:tab w:val="clear" w:pos="475"/>
                <w:tab w:val="clear" w:pos="965"/>
                <w:tab w:val="clear" w:pos="1440"/>
                <w:tab w:val="clear" w:pos="1915"/>
                <w:tab w:val="left" w:pos="252"/>
                <w:tab w:val="left" w:pos="513"/>
                <w:tab w:val="left" w:pos="783"/>
                <w:tab w:val="left" w:pos="1071"/>
              </w:tabs>
              <w:spacing w:after="120"/>
              <w:ind w:left="0" w:firstLine="0"/>
              <w:jc w:val="left"/>
              <w:rPr>
                <w:sz w:val="17"/>
              </w:rPr>
            </w:pPr>
            <w:r>
              <w:rPr>
                <w:sz w:val="17"/>
              </w:rPr>
              <w:tab/>
            </w:r>
            <w:r>
              <w:rPr>
                <w:sz w:val="17"/>
              </w:rPr>
              <w:tab/>
            </w:r>
            <w:r>
              <w:rPr>
                <w:sz w:val="17"/>
              </w:rPr>
              <w:tab/>
              <w:t>Including</w:t>
            </w:r>
          </w:p>
        </w:tc>
        <w:tc>
          <w:tcPr>
            <w:tcW w:w="792" w:type="dxa"/>
          </w:tcPr>
          <w:p w:rsidR="00000000" w:rsidRDefault="00000000">
            <w:pPr>
              <w:pStyle w:val="BodyTextIndent2"/>
              <w:spacing w:after="120"/>
              <w:ind w:left="0" w:firstLine="0"/>
              <w:jc w:val="right"/>
              <w:rPr>
                <w:sz w:val="17"/>
              </w:rPr>
            </w:pPr>
          </w:p>
        </w:tc>
        <w:tc>
          <w:tcPr>
            <w:tcW w:w="909" w:type="dxa"/>
          </w:tcPr>
          <w:p w:rsidR="00000000" w:rsidRDefault="00000000">
            <w:pPr>
              <w:pStyle w:val="BodyTextIndent2"/>
              <w:spacing w:after="120"/>
              <w:ind w:left="0" w:firstLine="0"/>
              <w:jc w:val="right"/>
              <w:rPr>
                <w:sz w:val="17"/>
              </w:rPr>
            </w:pPr>
          </w:p>
        </w:tc>
        <w:tc>
          <w:tcPr>
            <w:tcW w:w="864" w:type="dxa"/>
          </w:tcPr>
          <w:p w:rsidR="00000000" w:rsidRDefault="00000000">
            <w:pPr>
              <w:pStyle w:val="BodyTextIndent2"/>
              <w:spacing w:after="120"/>
              <w:ind w:left="0" w:firstLine="0"/>
              <w:jc w:val="right"/>
              <w:rPr>
                <w:sz w:val="17"/>
              </w:rPr>
            </w:pPr>
          </w:p>
        </w:tc>
        <w:tc>
          <w:tcPr>
            <w:tcW w:w="927" w:type="dxa"/>
          </w:tcPr>
          <w:p w:rsidR="00000000" w:rsidRDefault="00000000">
            <w:pPr>
              <w:pStyle w:val="BodyTextIndent2"/>
              <w:spacing w:after="120"/>
              <w:ind w:left="0" w:firstLine="0"/>
              <w:jc w:val="right"/>
              <w:rPr>
                <w:sz w:val="17"/>
              </w:rPr>
            </w:pPr>
          </w:p>
        </w:tc>
        <w:tc>
          <w:tcPr>
            <w:tcW w:w="909" w:type="dxa"/>
          </w:tcPr>
          <w:p w:rsidR="00000000" w:rsidRDefault="00000000">
            <w:pPr>
              <w:pStyle w:val="BodyTextIndent2"/>
              <w:spacing w:after="120"/>
              <w:ind w:left="0" w:firstLine="0"/>
              <w:jc w:val="right"/>
              <w:rPr>
                <w:sz w:val="17"/>
              </w:rPr>
            </w:pPr>
          </w:p>
        </w:tc>
        <w:tc>
          <w:tcPr>
            <w:tcW w:w="837" w:type="dxa"/>
          </w:tcPr>
          <w:p w:rsidR="00000000" w:rsidRDefault="00000000">
            <w:pPr>
              <w:pStyle w:val="BodyTextIndent2"/>
              <w:spacing w:after="120"/>
              <w:ind w:left="0" w:firstLine="0"/>
              <w:jc w:val="right"/>
              <w:rPr>
                <w:sz w:val="17"/>
              </w:rPr>
            </w:pPr>
          </w:p>
        </w:tc>
        <w:tc>
          <w:tcPr>
            <w:tcW w:w="864" w:type="dxa"/>
          </w:tcPr>
          <w:p w:rsidR="00000000" w:rsidRDefault="00000000">
            <w:pPr>
              <w:pStyle w:val="BodyTextIndent2"/>
              <w:spacing w:after="120"/>
              <w:ind w:left="0" w:firstLine="0"/>
              <w:jc w:val="right"/>
              <w:rPr>
                <w:sz w:val="17"/>
              </w:rPr>
            </w:pPr>
          </w:p>
        </w:tc>
      </w:tr>
      <w:tr w:rsidR="00000000">
        <w:tblPrEx>
          <w:tblCellMar>
            <w:top w:w="0" w:type="dxa"/>
            <w:bottom w:w="0" w:type="dxa"/>
          </w:tblCellMar>
        </w:tblPrEx>
        <w:tc>
          <w:tcPr>
            <w:tcW w:w="3744" w:type="dxa"/>
          </w:tcPr>
          <w:p w:rsidR="00000000" w:rsidRDefault="00000000">
            <w:pPr>
              <w:pStyle w:val="BodyTextIndent2"/>
              <w:tabs>
                <w:tab w:val="clear" w:pos="475"/>
                <w:tab w:val="clear" w:pos="965"/>
                <w:tab w:val="clear" w:pos="1440"/>
                <w:tab w:val="clear" w:pos="1915"/>
                <w:tab w:val="left" w:pos="252"/>
                <w:tab w:val="left" w:pos="513"/>
                <w:tab w:val="left" w:pos="783"/>
                <w:tab w:val="left" w:pos="1071"/>
              </w:tabs>
              <w:spacing w:after="120"/>
              <w:ind w:left="0" w:firstLine="0"/>
              <w:jc w:val="left"/>
              <w:rPr>
                <w:sz w:val="17"/>
              </w:rPr>
            </w:pPr>
            <w:r>
              <w:rPr>
                <w:sz w:val="17"/>
              </w:rPr>
              <w:tab/>
            </w:r>
            <w:r>
              <w:rPr>
                <w:sz w:val="17"/>
              </w:rPr>
              <w:tab/>
            </w:r>
            <w:r>
              <w:rPr>
                <w:sz w:val="17"/>
              </w:rPr>
              <w:tab/>
            </w:r>
            <w:r>
              <w:rPr>
                <w:sz w:val="17"/>
              </w:rPr>
              <w:tab/>
              <w:t>Men</w:t>
            </w:r>
          </w:p>
        </w:tc>
        <w:tc>
          <w:tcPr>
            <w:tcW w:w="792" w:type="dxa"/>
          </w:tcPr>
          <w:p w:rsidR="00000000" w:rsidRDefault="00000000">
            <w:pPr>
              <w:pStyle w:val="BodyTextIndent2"/>
              <w:spacing w:after="120"/>
              <w:ind w:left="0" w:firstLine="0"/>
              <w:jc w:val="right"/>
              <w:rPr>
                <w:sz w:val="17"/>
              </w:rPr>
            </w:pPr>
            <w:r>
              <w:rPr>
                <w:sz w:val="17"/>
              </w:rPr>
              <w:t>1.0</w:t>
            </w:r>
          </w:p>
        </w:tc>
        <w:tc>
          <w:tcPr>
            <w:tcW w:w="909" w:type="dxa"/>
          </w:tcPr>
          <w:p w:rsidR="00000000" w:rsidRDefault="00000000">
            <w:pPr>
              <w:pStyle w:val="BodyTextIndent2"/>
              <w:spacing w:after="120"/>
              <w:ind w:left="0" w:firstLine="0"/>
              <w:jc w:val="right"/>
              <w:rPr>
                <w:sz w:val="17"/>
              </w:rPr>
            </w:pPr>
            <w:r>
              <w:rPr>
                <w:sz w:val="17"/>
              </w:rPr>
              <w:t>8.6</w:t>
            </w:r>
          </w:p>
        </w:tc>
        <w:tc>
          <w:tcPr>
            <w:tcW w:w="864" w:type="dxa"/>
          </w:tcPr>
          <w:p w:rsidR="00000000" w:rsidRDefault="00000000">
            <w:pPr>
              <w:pStyle w:val="BodyTextIndent2"/>
              <w:spacing w:after="120"/>
              <w:ind w:left="0" w:firstLine="0"/>
              <w:jc w:val="right"/>
              <w:rPr>
                <w:sz w:val="17"/>
              </w:rPr>
            </w:pPr>
            <w:r>
              <w:rPr>
                <w:sz w:val="17"/>
              </w:rPr>
              <w:t>12.1</w:t>
            </w:r>
          </w:p>
        </w:tc>
        <w:tc>
          <w:tcPr>
            <w:tcW w:w="927" w:type="dxa"/>
          </w:tcPr>
          <w:p w:rsidR="00000000" w:rsidRDefault="00000000">
            <w:pPr>
              <w:pStyle w:val="BodyTextIndent2"/>
              <w:spacing w:after="120"/>
              <w:ind w:left="0" w:firstLine="0"/>
              <w:jc w:val="right"/>
              <w:rPr>
                <w:sz w:val="17"/>
              </w:rPr>
            </w:pPr>
            <w:r>
              <w:rPr>
                <w:sz w:val="17"/>
              </w:rPr>
              <w:t>24.7</w:t>
            </w:r>
          </w:p>
        </w:tc>
        <w:tc>
          <w:tcPr>
            <w:tcW w:w="909" w:type="dxa"/>
          </w:tcPr>
          <w:p w:rsidR="00000000" w:rsidRDefault="00000000">
            <w:pPr>
              <w:pStyle w:val="BodyTextIndent2"/>
              <w:spacing w:after="120"/>
              <w:ind w:left="0" w:firstLine="0"/>
              <w:jc w:val="right"/>
              <w:rPr>
                <w:sz w:val="17"/>
              </w:rPr>
            </w:pPr>
            <w:r>
              <w:rPr>
                <w:sz w:val="17"/>
              </w:rPr>
              <w:t>55.7</w:t>
            </w:r>
          </w:p>
        </w:tc>
        <w:tc>
          <w:tcPr>
            <w:tcW w:w="837" w:type="dxa"/>
          </w:tcPr>
          <w:p w:rsidR="00000000" w:rsidRDefault="00000000">
            <w:pPr>
              <w:pStyle w:val="BodyTextIndent2"/>
              <w:spacing w:after="120"/>
              <w:ind w:left="0" w:firstLine="0"/>
              <w:jc w:val="right"/>
              <w:rPr>
                <w:sz w:val="17"/>
              </w:rPr>
            </w:pPr>
            <w:r>
              <w:rPr>
                <w:sz w:val="17"/>
              </w:rPr>
              <w:t>104.0</w:t>
            </w:r>
          </w:p>
        </w:tc>
        <w:tc>
          <w:tcPr>
            <w:tcW w:w="864" w:type="dxa"/>
          </w:tcPr>
          <w:p w:rsidR="00000000" w:rsidRDefault="00000000">
            <w:pPr>
              <w:pStyle w:val="BodyTextIndent2"/>
              <w:spacing w:after="120"/>
              <w:ind w:left="0" w:firstLine="0"/>
              <w:jc w:val="right"/>
              <w:rPr>
                <w:sz w:val="17"/>
              </w:rPr>
            </w:pPr>
            <w:r>
              <w:rPr>
                <w:sz w:val="17"/>
              </w:rPr>
              <w:t>86.0</w:t>
            </w:r>
          </w:p>
        </w:tc>
      </w:tr>
      <w:tr w:rsidR="00000000">
        <w:tblPrEx>
          <w:tblCellMar>
            <w:top w:w="0" w:type="dxa"/>
            <w:bottom w:w="0" w:type="dxa"/>
          </w:tblCellMar>
        </w:tblPrEx>
        <w:tc>
          <w:tcPr>
            <w:tcW w:w="3744" w:type="dxa"/>
            <w:tcBorders>
              <w:bottom w:val="single" w:sz="12" w:space="0" w:color="auto"/>
            </w:tcBorders>
          </w:tcPr>
          <w:p w:rsidR="00000000" w:rsidRDefault="00000000">
            <w:pPr>
              <w:pStyle w:val="BodyTextIndent2"/>
              <w:tabs>
                <w:tab w:val="clear" w:pos="475"/>
                <w:tab w:val="clear" w:pos="965"/>
                <w:tab w:val="clear" w:pos="1440"/>
                <w:tab w:val="clear" w:pos="1915"/>
                <w:tab w:val="left" w:pos="252"/>
                <w:tab w:val="left" w:pos="513"/>
                <w:tab w:val="left" w:pos="783"/>
                <w:tab w:val="left" w:pos="1071"/>
              </w:tabs>
              <w:spacing w:after="120"/>
              <w:ind w:left="0" w:firstLine="0"/>
              <w:jc w:val="left"/>
              <w:rPr>
                <w:b/>
                <w:sz w:val="17"/>
              </w:rPr>
            </w:pPr>
            <w:r>
              <w:rPr>
                <w:b/>
                <w:sz w:val="17"/>
              </w:rPr>
              <w:tab/>
            </w:r>
            <w:r>
              <w:rPr>
                <w:b/>
                <w:sz w:val="17"/>
              </w:rPr>
              <w:tab/>
            </w:r>
            <w:r>
              <w:rPr>
                <w:b/>
                <w:sz w:val="17"/>
              </w:rPr>
              <w:tab/>
            </w:r>
            <w:r>
              <w:rPr>
                <w:b/>
                <w:sz w:val="17"/>
              </w:rPr>
              <w:tab/>
              <w:t>Women</w:t>
            </w:r>
          </w:p>
        </w:tc>
        <w:tc>
          <w:tcPr>
            <w:tcW w:w="792" w:type="dxa"/>
            <w:tcBorders>
              <w:bottom w:val="single" w:sz="12" w:space="0" w:color="auto"/>
            </w:tcBorders>
          </w:tcPr>
          <w:p w:rsidR="00000000" w:rsidRDefault="00000000">
            <w:pPr>
              <w:pStyle w:val="BodyTextIndent2"/>
              <w:spacing w:after="120"/>
              <w:ind w:left="0" w:firstLine="0"/>
              <w:jc w:val="right"/>
              <w:rPr>
                <w:b/>
                <w:sz w:val="17"/>
              </w:rPr>
            </w:pPr>
            <w:r>
              <w:rPr>
                <w:b/>
                <w:sz w:val="17"/>
              </w:rPr>
              <w:t>3.0</w:t>
            </w:r>
          </w:p>
        </w:tc>
        <w:tc>
          <w:tcPr>
            <w:tcW w:w="909" w:type="dxa"/>
            <w:tcBorders>
              <w:bottom w:val="single" w:sz="12" w:space="0" w:color="auto"/>
            </w:tcBorders>
          </w:tcPr>
          <w:p w:rsidR="00000000" w:rsidRDefault="00000000">
            <w:pPr>
              <w:pStyle w:val="BodyTextIndent2"/>
              <w:spacing w:after="120"/>
              <w:ind w:left="0" w:firstLine="0"/>
              <w:jc w:val="right"/>
              <w:rPr>
                <w:b/>
                <w:sz w:val="17"/>
              </w:rPr>
            </w:pPr>
            <w:r>
              <w:rPr>
                <w:b/>
                <w:sz w:val="17"/>
              </w:rPr>
              <w:t>25.1</w:t>
            </w:r>
          </w:p>
        </w:tc>
        <w:tc>
          <w:tcPr>
            <w:tcW w:w="864" w:type="dxa"/>
            <w:tcBorders>
              <w:bottom w:val="single" w:sz="12" w:space="0" w:color="auto"/>
            </w:tcBorders>
          </w:tcPr>
          <w:p w:rsidR="00000000" w:rsidRDefault="00000000">
            <w:pPr>
              <w:pStyle w:val="BodyTextIndent2"/>
              <w:spacing w:after="120"/>
              <w:ind w:left="0" w:firstLine="0"/>
              <w:jc w:val="right"/>
              <w:rPr>
                <w:b/>
                <w:sz w:val="17"/>
              </w:rPr>
            </w:pPr>
            <w:r>
              <w:rPr>
                <w:b/>
                <w:sz w:val="17"/>
              </w:rPr>
              <w:t>28.4</w:t>
            </w:r>
          </w:p>
        </w:tc>
        <w:tc>
          <w:tcPr>
            <w:tcW w:w="927" w:type="dxa"/>
            <w:tcBorders>
              <w:bottom w:val="single" w:sz="12" w:space="0" w:color="auto"/>
            </w:tcBorders>
          </w:tcPr>
          <w:p w:rsidR="00000000" w:rsidRDefault="00000000">
            <w:pPr>
              <w:pStyle w:val="BodyTextIndent2"/>
              <w:spacing w:after="120"/>
              <w:ind w:left="0" w:firstLine="0"/>
              <w:jc w:val="right"/>
              <w:rPr>
                <w:b/>
                <w:sz w:val="17"/>
              </w:rPr>
            </w:pPr>
            <w:r>
              <w:rPr>
                <w:b/>
                <w:sz w:val="17"/>
              </w:rPr>
              <w:t>45.4</w:t>
            </w:r>
          </w:p>
        </w:tc>
        <w:tc>
          <w:tcPr>
            <w:tcW w:w="909" w:type="dxa"/>
            <w:tcBorders>
              <w:bottom w:val="single" w:sz="12" w:space="0" w:color="auto"/>
            </w:tcBorders>
          </w:tcPr>
          <w:p w:rsidR="00000000" w:rsidRDefault="00000000">
            <w:pPr>
              <w:pStyle w:val="BodyTextIndent2"/>
              <w:spacing w:after="120"/>
              <w:ind w:left="0" w:firstLine="0"/>
              <w:jc w:val="right"/>
              <w:rPr>
                <w:b/>
                <w:sz w:val="17"/>
              </w:rPr>
            </w:pPr>
            <w:r>
              <w:rPr>
                <w:b/>
                <w:sz w:val="17"/>
              </w:rPr>
              <w:t>83.9</w:t>
            </w:r>
          </w:p>
        </w:tc>
        <w:tc>
          <w:tcPr>
            <w:tcW w:w="837" w:type="dxa"/>
            <w:tcBorders>
              <w:bottom w:val="single" w:sz="12" w:space="0" w:color="auto"/>
            </w:tcBorders>
          </w:tcPr>
          <w:p w:rsidR="00000000" w:rsidRDefault="00000000">
            <w:pPr>
              <w:pStyle w:val="BodyTextIndent2"/>
              <w:spacing w:after="120"/>
              <w:ind w:left="0" w:firstLine="0"/>
              <w:jc w:val="right"/>
              <w:rPr>
                <w:b/>
                <w:sz w:val="17"/>
              </w:rPr>
            </w:pPr>
            <w:r>
              <w:rPr>
                <w:b/>
                <w:sz w:val="17"/>
              </w:rPr>
              <w:t>178.4</w:t>
            </w:r>
          </w:p>
        </w:tc>
        <w:tc>
          <w:tcPr>
            <w:tcW w:w="864" w:type="dxa"/>
            <w:tcBorders>
              <w:bottom w:val="single" w:sz="12" w:space="0" w:color="auto"/>
            </w:tcBorders>
          </w:tcPr>
          <w:p w:rsidR="00000000" w:rsidRDefault="00000000">
            <w:pPr>
              <w:pStyle w:val="BodyTextIndent2"/>
              <w:spacing w:after="120"/>
              <w:ind w:left="0" w:firstLine="0"/>
              <w:jc w:val="right"/>
              <w:rPr>
                <w:b/>
                <w:sz w:val="17"/>
              </w:rPr>
            </w:pPr>
            <w:r>
              <w:rPr>
                <w:b/>
                <w:sz w:val="17"/>
              </w:rPr>
              <w:t>171.5</w:t>
            </w:r>
          </w:p>
        </w:tc>
      </w:tr>
    </w:tbl>
    <w:p w:rsidR="00000000" w:rsidRDefault="00000000">
      <w:pPr>
        <w:pStyle w:val="D12r"/>
      </w:pPr>
    </w:p>
    <w:p w:rsidR="00000000" w:rsidRDefault="00000000">
      <w:pPr>
        <w:pStyle w:val="BodyTextIndent2"/>
        <w:spacing w:after="120"/>
        <w:ind w:left="0" w:firstLine="0"/>
      </w:pPr>
    </w:p>
    <w:p w:rsidR="00000000" w:rsidRDefault="00000000">
      <w:pPr>
        <w:pStyle w:val="BodyTextIndent2"/>
        <w:spacing w:after="120"/>
        <w:ind w:left="0" w:firstLine="0"/>
        <w:sectPr w:rsidR="00000000">
          <w:type w:val="continuous"/>
          <w:pgSz w:w="12240" w:h="15840"/>
          <w:pgMar w:top="1742" w:right="1195" w:bottom="1901" w:left="1195" w:header="576" w:footer="1037" w:gutter="0"/>
          <w:cols w:space="720"/>
          <w:docGrid w:linePitch="360"/>
        </w:sectPr>
      </w:pPr>
    </w:p>
    <w:p w:rsidR="00000000" w:rsidRDefault="00000000">
      <w:pPr>
        <w:pStyle w:val="BodyTextIndent2"/>
        <w:spacing w:after="120"/>
        <w:ind w:left="0" w:firstLine="0"/>
      </w:pPr>
      <w:r>
        <w:tab/>
        <w:t>The changes currently taking place in the political, economic and social fields have also affected employment.</w:t>
      </w:r>
    </w:p>
    <w:p w:rsidR="00000000" w:rsidRDefault="00000000">
      <w:pPr>
        <w:pStyle w:val="BodyTextIndent2"/>
        <w:spacing w:after="120"/>
        <w:ind w:left="0" w:firstLine="0"/>
      </w:pPr>
      <w:r>
        <w:tab/>
        <w:t>Unemployment is becoming a constant factor in the development of the labour market and in the sharpening of competition for jobs. Characteristic features of the labour market are the following:</w:t>
      </w:r>
    </w:p>
    <w:p w:rsidR="00000000" w:rsidRDefault="00000000">
      <w:pPr>
        <w:pStyle w:val="BodyTextIndent2"/>
        <w:spacing w:after="120"/>
        <w:ind w:left="0" w:firstLine="0"/>
      </w:pPr>
      <w:r>
        <w:tab/>
        <w:t>A growing imbalance between demand for and supply of manpower;</w:t>
      </w:r>
    </w:p>
    <w:p w:rsidR="00000000" w:rsidRDefault="00000000">
      <w:pPr>
        <w:pStyle w:val="BodyTextIndent2"/>
        <w:spacing w:after="120"/>
        <w:ind w:left="0" w:firstLine="0"/>
      </w:pPr>
      <w:r>
        <w:tab/>
        <w:t>A significant level of unregulated employment in the informal sector of the economy;</w:t>
      </w:r>
    </w:p>
    <w:p w:rsidR="00000000" w:rsidRDefault="00000000">
      <w:pPr>
        <w:pStyle w:val="BodyTextIndent2"/>
        <w:spacing w:after="120"/>
        <w:ind w:left="0" w:firstLine="0"/>
      </w:pPr>
      <w:r>
        <w:tab/>
        <w:t>Growing labour intensity, with a re-distribution of manpower among the economic sectors and various types of economic activity;</w:t>
      </w:r>
    </w:p>
    <w:p w:rsidR="00000000" w:rsidRDefault="00000000">
      <w:pPr>
        <w:pStyle w:val="BodyTextIndent2"/>
        <w:spacing w:after="120"/>
        <w:ind w:left="0" w:firstLine="0"/>
      </w:pPr>
      <w:r>
        <w:tab/>
        <w:t>The low cost of manpower, which has significantly lagged behind the cost of living;</w:t>
      </w:r>
    </w:p>
    <w:p w:rsidR="00000000" w:rsidRDefault="00000000">
      <w:pPr>
        <w:pStyle w:val="BodyTextIndent2"/>
        <w:spacing w:after="120"/>
        <w:ind w:left="0" w:firstLine="0"/>
      </w:pPr>
      <w:r>
        <w:tab/>
        <w:t>The large-scale persistence of partial unemployment or hidden unemployment;</w:t>
      </w:r>
    </w:p>
    <w:p w:rsidR="00000000" w:rsidRDefault="00000000">
      <w:pPr>
        <w:pStyle w:val="BodyTextIndent2"/>
        <w:spacing w:after="120"/>
        <w:ind w:left="0" w:firstLine="0"/>
      </w:pPr>
      <w:r>
        <w:tab/>
        <w:t>A significant level of female unemployment.</w:t>
      </w:r>
    </w:p>
    <w:p w:rsidR="00000000" w:rsidRDefault="00000000">
      <w:pPr>
        <w:pStyle w:val="BodyTextIndent2"/>
        <w:spacing w:after="120"/>
        <w:ind w:left="0" w:firstLine="0"/>
      </w:pPr>
      <w:r>
        <w:tab/>
        <w:t>A typical present-day unemployed person in Kazakhstan is a woman (58.1 per cent) of total, with general secondary (45.2 per cent) or specialized secondary (37.9 per cent) education, aged between 30 and 50 years (60.4 per cent), and whose length of service is more than ten years (58.7 per cent).</w:t>
      </w:r>
    </w:p>
    <w:p w:rsidR="00000000" w:rsidRDefault="00000000">
      <w:pPr>
        <w:pStyle w:val="BodyTextIndent2"/>
        <w:spacing w:after="120"/>
        <w:ind w:left="0" w:firstLine="0"/>
      </w:pPr>
      <w:r>
        <w:tab/>
        <w:t>Over the past two years the number of long-term unemployed (more than one year) has considerably increased. They make up approximately 15 per cent of the total number of those who have applied, and are mostly women.</w:t>
      </w:r>
    </w:p>
    <w:p w:rsidR="00000000" w:rsidRDefault="00000000">
      <w:pPr>
        <w:pStyle w:val="BodyTextIndent2"/>
        <w:spacing w:after="120"/>
        <w:ind w:left="0" w:firstLine="0"/>
      </w:pPr>
      <w:r>
        <w:tab/>
        <w:t>As the competition for jobs grows, the tendency to discriminate against women in job recruitment and dismissal is getting stronger, especially against women with minor children and women over 40.</w:t>
      </w:r>
    </w:p>
    <w:p w:rsidR="00000000" w:rsidRDefault="00000000">
      <w:pPr>
        <w:pStyle w:val="BodyTextIndent2"/>
        <w:spacing w:after="120"/>
        <w:ind w:left="0" w:firstLine="0"/>
      </w:pPr>
      <w:r>
        <w:tab/>
        <w:t>The drop in aggregate demand for manpower, including workers applying to the State employment services, is the main problem of the labour market. Whereas in 1995, in Almaty — the most prosperous region of the Republic — there were up to two vacancies for every person unemployed, in 1996 there were five or six unemployed applying for every vacancy; in 1997 there were 13 applicants and by 1998, the number had risen to 16.</w:t>
      </w:r>
    </w:p>
    <w:p w:rsidR="00000000" w:rsidRDefault="00000000">
      <w:pPr>
        <w:pStyle w:val="BodyTextIndent2"/>
        <w:spacing w:after="120"/>
        <w:ind w:left="0" w:firstLine="0"/>
      </w:pPr>
      <w:r>
        <w:tab/>
        <w:t>The employment services have a fairly large database of vacancies listed by occupation, but they cannot be filled, as the employers pay a low wage that does not meet the cost of living, or they delay payment. Those in greatest demand on the labour market are: cooks, waiters, barmen, shop-assistants, construction workers, drivers, loaders, specialists in maintenance of electric-power grids and equipment, and other occupations which do not require vocational training. Today, except for shop-assistants, these occupations are predominantly “male”.</w:t>
      </w:r>
    </w:p>
    <w:p w:rsidR="00000000" w:rsidRDefault="00000000">
      <w:pPr>
        <w:pStyle w:val="BodyTextIndent2"/>
        <w:spacing w:after="120"/>
        <w:ind w:left="0" w:firstLine="0"/>
      </w:pPr>
      <w:r>
        <w:rPr>
          <w:noProof/>
          <w:w w:val="100"/>
        </w:rPr>
        <w:pict>
          <v:shape id="_x0000_s2077" type="#_x0000_t202" style="position:absolute;left:0;text-align:left;margin-left:241.3pt;margin-top:-69.4pt;width:261pt;height:117pt;z-index:17;mso-position-horizontal:absolute;mso-position-horizontal-relative:text;mso-position-vertical:absolute;mso-position-vertical-relative:text" o:allowincell="f" stroked="f">
            <v:textbox>
              <w:txbxContent>
                <w:p w:rsidR="00000000" w:rsidRDefault="00000000">
                  <w:pPr>
                    <w:pStyle w:val="DualTxt"/>
                    <w:tabs>
                      <w:tab w:val="clear" w:pos="480"/>
                      <w:tab w:val="clear" w:pos="960"/>
                      <w:tab w:val="clear" w:pos="1440"/>
                      <w:tab w:val="clear" w:pos="1915"/>
                      <w:tab w:val="clear" w:pos="2405"/>
                      <w:tab w:val="clear" w:pos="2880"/>
                      <w:tab w:val="clear" w:pos="3355"/>
                    </w:tabs>
                    <w:spacing w:after="0"/>
                  </w:pPr>
                  <w:r>
                    <w:t xml:space="preserve">(underlined are the positions which the employer would like to have filled by men): </w:t>
                  </w:r>
                  <w:r>
                    <w:rPr>
                      <w:u w:val="single"/>
                    </w:rPr>
                    <w:t>insurance agents</w:t>
                  </w:r>
                  <w:r>
                    <w:t xml:space="preserve">, advertising agents, trade (commercial) agents, </w:t>
                  </w:r>
                  <w:r>
                    <w:rPr>
                      <w:u w:val="single"/>
                    </w:rPr>
                    <w:t>brokers</w:t>
                  </w:r>
                  <w:r>
                    <w:t xml:space="preserve">, secretaries/ assistants with knowledge of several languages, </w:t>
                  </w:r>
                  <w:r>
                    <w:rPr>
                      <w:u w:val="single"/>
                    </w:rPr>
                    <w:t>managers</w:t>
                  </w:r>
                  <w:r>
                    <w:t xml:space="preserve"> and translators/interpreters. A study of applications submitted to employment agencies clearly indicates that employers prefer to see men in practically all positions, excluding those which require longer training and do not call for decision-making.</w:t>
                  </w:r>
                </w:p>
              </w:txbxContent>
            </v:textbox>
          </v:shape>
        </w:pict>
      </w:r>
      <w:r>
        <w:tab/>
        <w:t xml:space="preserve">As for the specialists of a “new caliber”, i.e. those possessing the skills to work under the new economic conditions, those in most demand — judging from </w:t>
      </w:r>
      <w:r>
        <w:rPr>
          <w:spacing w:val="0"/>
        </w:rPr>
        <w:t>applications to employment agencies — are the</w:t>
      </w:r>
      <w:r>
        <w:t xml:space="preserve"> following</w:t>
      </w:r>
    </w:p>
    <w:p w:rsidR="00000000" w:rsidRDefault="00000000">
      <w:pPr>
        <w:pStyle w:val="BodyTextIndent2"/>
        <w:spacing w:line="20" w:lineRule="exact"/>
        <w:ind w:left="0" w:firstLine="0"/>
      </w:pPr>
    </w:p>
    <w:p w:rsidR="00000000" w:rsidRDefault="00000000">
      <w:pPr>
        <w:pStyle w:val="BodyTextIndent2"/>
        <w:spacing w:after="120"/>
        <w:ind w:left="0" w:firstLine="0"/>
        <w:sectPr w:rsidR="00000000">
          <w:type w:val="continuous"/>
          <w:pgSz w:w="12240" w:h="15840"/>
          <w:pgMar w:top="1742" w:right="1195" w:bottom="1901" w:left="1195" w:header="576" w:footer="1037" w:gutter="0"/>
          <w:cols w:num="2" w:space="245"/>
          <w:docGrid w:linePitch="360"/>
        </w:sectPr>
      </w:pPr>
    </w:p>
    <w:p w:rsidR="00000000" w:rsidRDefault="00000000">
      <w:pPr>
        <w:pStyle w:val="BodyTextIndent2"/>
        <w:ind w:left="0" w:firstLine="0"/>
      </w:pPr>
      <w:r>
        <w:t>Table 29</w:t>
      </w:r>
    </w:p>
    <w:p w:rsidR="00000000" w:rsidRDefault="00000000">
      <w:pPr>
        <w:pStyle w:val="BodyTextIndent2"/>
        <w:spacing w:after="120"/>
        <w:ind w:left="0" w:firstLine="0"/>
        <w:rPr>
          <w:b/>
        </w:rPr>
      </w:pPr>
      <w:r>
        <w:rPr>
          <w:b/>
        </w:rPr>
        <w:t>Length of unemployment, by number of persons</w:t>
      </w:r>
    </w:p>
    <w:p w:rsidR="00000000" w:rsidRDefault="00000000">
      <w:pPr>
        <w:pStyle w:val="D12r"/>
      </w:pPr>
    </w:p>
    <w:tbl>
      <w:tblPr>
        <w:tblW w:w="0" w:type="auto"/>
        <w:tblInd w:w="20" w:type="dxa"/>
        <w:tblLayout w:type="fixed"/>
        <w:tblLook w:val="0000" w:firstRow="0" w:lastRow="0" w:firstColumn="0" w:lastColumn="0" w:noHBand="0" w:noVBand="0"/>
      </w:tblPr>
      <w:tblGrid>
        <w:gridCol w:w="5112"/>
        <w:gridCol w:w="1080"/>
        <w:gridCol w:w="1980"/>
        <w:gridCol w:w="1701"/>
      </w:tblGrid>
      <w:tr w:rsidR="00000000">
        <w:tblPrEx>
          <w:tblCellMar>
            <w:top w:w="0" w:type="dxa"/>
            <w:bottom w:w="0" w:type="dxa"/>
          </w:tblCellMar>
        </w:tblPrEx>
        <w:trPr>
          <w:cantSplit/>
        </w:trPr>
        <w:tc>
          <w:tcPr>
            <w:tcW w:w="5112" w:type="dxa"/>
            <w:tcBorders>
              <w:top w:val="single" w:sz="4" w:space="0" w:color="auto"/>
            </w:tcBorders>
          </w:tcPr>
          <w:p w:rsidR="00000000" w:rsidRDefault="00000000">
            <w:pPr>
              <w:pStyle w:val="BodyTextIndent2"/>
              <w:spacing w:after="120"/>
              <w:ind w:left="0" w:firstLine="0"/>
              <w:jc w:val="left"/>
              <w:rPr>
                <w:i/>
                <w:sz w:val="14"/>
              </w:rPr>
            </w:pPr>
          </w:p>
        </w:tc>
        <w:tc>
          <w:tcPr>
            <w:tcW w:w="4761" w:type="dxa"/>
            <w:gridSpan w:val="3"/>
            <w:tcBorders>
              <w:top w:val="single" w:sz="4" w:space="0" w:color="auto"/>
              <w:bottom w:val="single" w:sz="4" w:space="0" w:color="auto"/>
            </w:tcBorders>
          </w:tcPr>
          <w:p w:rsidR="00000000" w:rsidRDefault="00000000">
            <w:pPr>
              <w:pStyle w:val="BodyTextIndent2"/>
              <w:spacing w:after="120"/>
              <w:ind w:left="0" w:firstLine="0"/>
              <w:jc w:val="center"/>
              <w:rPr>
                <w:i/>
                <w:sz w:val="14"/>
              </w:rPr>
            </w:pPr>
            <w:r>
              <w:rPr>
                <w:i/>
                <w:sz w:val="14"/>
              </w:rPr>
              <w:t>Unemployed</w:t>
            </w:r>
          </w:p>
        </w:tc>
      </w:tr>
      <w:tr w:rsidR="00000000">
        <w:tblPrEx>
          <w:tblCellMar>
            <w:top w:w="0" w:type="dxa"/>
            <w:bottom w:w="0" w:type="dxa"/>
          </w:tblCellMar>
        </w:tblPrEx>
        <w:tc>
          <w:tcPr>
            <w:tcW w:w="5112" w:type="dxa"/>
            <w:tcBorders>
              <w:bottom w:val="single" w:sz="12" w:space="0" w:color="auto"/>
            </w:tcBorders>
          </w:tcPr>
          <w:p w:rsidR="00000000" w:rsidRDefault="00000000">
            <w:pPr>
              <w:pStyle w:val="BodyTextIndent2"/>
              <w:spacing w:after="120"/>
              <w:ind w:left="0" w:firstLine="0"/>
              <w:jc w:val="left"/>
              <w:rPr>
                <w:i/>
                <w:sz w:val="14"/>
              </w:rPr>
            </w:pPr>
          </w:p>
        </w:tc>
        <w:tc>
          <w:tcPr>
            <w:tcW w:w="1080"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Total</w:t>
            </w:r>
          </w:p>
        </w:tc>
        <w:tc>
          <w:tcPr>
            <w:tcW w:w="1980"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Number of women in total</w:t>
            </w:r>
          </w:p>
        </w:tc>
        <w:tc>
          <w:tcPr>
            <w:tcW w:w="1701"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As a percentage of total</w:t>
            </w:r>
          </w:p>
        </w:tc>
      </w:tr>
      <w:tr w:rsidR="00000000">
        <w:tblPrEx>
          <w:tblCellMar>
            <w:top w:w="0" w:type="dxa"/>
            <w:bottom w:w="0" w:type="dxa"/>
          </w:tblCellMar>
        </w:tblPrEx>
        <w:tc>
          <w:tcPr>
            <w:tcW w:w="5112" w:type="dxa"/>
            <w:tcBorders>
              <w:top w:val="single" w:sz="12" w:space="0" w:color="auto"/>
            </w:tcBorders>
          </w:tcPr>
          <w:p w:rsidR="00000000" w:rsidRDefault="00000000">
            <w:pPr>
              <w:pStyle w:val="BodyTextIndent2"/>
              <w:spacing w:after="120"/>
              <w:ind w:left="0" w:firstLine="0"/>
              <w:jc w:val="left"/>
              <w:rPr>
                <w:b/>
                <w:sz w:val="17"/>
              </w:rPr>
            </w:pPr>
            <w:r>
              <w:rPr>
                <w:b/>
                <w:sz w:val="17"/>
              </w:rPr>
              <w:t>By the end of 1996:</w:t>
            </w:r>
          </w:p>
        </w:tc>
        <w:tc>
          <w:tcPr>
            <w:tcW w:w="1080" w:type="dxa"/>
            <w:tcBorders>
              <w:top w:val="single" w:sz="12" w:space="0" w:color="auto"/>
            </w:tcBorders>
          </w:tcPr>
          <w:p w:rsidR="00000000" w:rsidRDefault="00000000">
            <w:pPr>
              <w:pStyle w:val="BodyTextIndent2"/>
              <w:spacing w:after="120"/>
              <w:ind w:left="0" w:firstLine="0"/>
              <w:jc w:val="right"/>
              <w:rPr>
                <w:sz w:val="17"/>
              </w:rPr>
            </w:pPr>
          </w:p>
        </w:tc>
        <w:tc>
          <w:tcPr>
            <w:tcW w:w="1980" w:type="dxa"/>
            <w:tcBorders>
              <w:top w:val="single" w:sz="12" w:space="0" w:color="auto"/>
            </w:tcBorders>
          </w:tcPr>
          <w:p w:rsidR="00000000" w:rsidRDefault="00000000">
            <w:pPr>
              <w:pStyle w:val="BodyTextIndent2"/>
              <w:spacing w:after="120"/>
              <w:ind w:left="0" w:firstLine="0"/>
              <w:jc w:val="right"/>
              <w:rPr>
                <w:sz w:val="17"/>
              </w:rPr>
            </w:pPr>
          </w:p>
        </w:tc>
        <w:tc>
          <w:tcPr>
            <w:tcW w:w="1701" w:type="dxa"/>
            <w:tcBorders>
              <w:top w:val="single" w:sz="12" w:space="0" w:color="auto"/>
            </w:tcBorders>
          </w:tcPr>
          <w:p w:rsidR="00000000" w:rsidRDefault="00000000">
            <w:pPr>
              <w:pStyle w:val="BodyTextIndent2"/>
              <w:spacing w:after="120"/>
              <w:ind w:left="0" w:firstLine="0"/>
              <w:jc w:val="right"/>
              <w:rPr>
                <w:sz w:val="17"/>
              </w:rPr>
            </w:pPr>
          </w:p>
        </w:tc>
      </w:tr>
      <w:tr w:rsidR="00000000">
        <w:tblPrEx>
          <w:tblCellMar>
            <w:top w:w="0" w:type="dxa"/>
            <w:bottom w:w="0" w:type="dxa"/>
          </w:tblCellMar>
        </w:tblPrEx>
        <w:tc>
          <w:tcPr>
            <w:tcW w:w="5112" w:type="dxa"/>
          </w:tcPr>
          <w:p w:rsidR="00000000" w:rsidRDefault="00000000">
            <w:pPr>
              <w:pStyle w:val="BodyTextIndent2"/>
              <w:spacing w:after="120"/>
              <w:ind w:left="0" w:firstLine="0"/>
              <w:jc w:val="left"/>
              <w:rPr>
                <w:sz w:val="17"/>
              </w:rPr>
            </w:pPr>
            <w:r>
              <w:rPr>
                <w:sz w:val="17"/>
              </w:rPr>
              <w:t>Total number of unemployed</w:t>
            </w:r>
          </w:p>
        </w:tc>
        <w:tc>
          <w:tcPr>
            <w:tcW w:w="1080" w:type="dxa"/>
          </w:tcPr>
          <w:p w:rsidR="00000000" w:rsidRDefault="00000000">
            <w:pPr>
              <w:pStyle w:val="BodyTextIndent2"/>
              <w:spacing w:after="120"/>
              <w:ind w:left="0" w:firstLine="0"/>
              <w:jc w:val="right"/>
              <w:rPr>
                <w:sz w:val="17"/>
              </w:rPr>
            </w:pPr>
            <w:r>
              <w:rPr>
                <w:sz w:val="17"/>
              </w:rPr>
              <w:t>282 409</w:t>
            </w:r>
          </w:p>
        </w:tc>
        <w:tc>
          <w:tcPr>
            <w:tcW w:w="1980" w:type="dxa"/>
          </w:tcPr>
          <w:p w:rsidR="00000000" w:rsidRDefault="00000000">
            <w:pPr>
              <w:pStyle w:val="BodyTextIndent2"/>
              <w:spacing w:after="120"/>
              <w:ind w:left="0" w:firstLine="0"/>
              <w:jc w:val="right"/>
              <w:rPr>
                <w:sz w:val="17"/>
              </w:rPr>
            </w:pPr>
            <w:r>
              <w:rPr>
                <w:sz w:val="17"/>
              </w:rPr>
              <w:t>178 433</w:t>
            </w:r>
          </w:p>
        </w:tc>
        <w:tc>
          <w:tcPr>
            <w:tcW w:w="1701" w:type="dxa"/>
          </w:tcPr>
          <w:p w:rsidR="00000000" w:rsidRDefault="00000000">
            <w:pPr>
              <w:pStyle w:val="BodyTextIndent2"/>
              <w:spacing w:after="120"/>
              <w:ind w:left="0" w:firstLine="0"/>
              <w:jc w:val="right"/>
              <w:rPr>
                <w:sz w:val="17"/>
              </w:rPr>
            </w:pPr>
            <w:r>
              <w:rPr>
                <w:sz w:val="17"/>
              </w:rPr>
              <w:t>63.2</w:t>
            </w:r>
          </w:p>
        </w:tc>
      </w:tr>
      <w:tr w:rsidR="00000000">
        <w:tblPrEx>
          <w:tblCellMar>
            <w:top w:w="0" w:type="dxa"/>
            <w:bottom w:w="0" w:type="dxa"/>
          </w:tblCellMar>
        </w:tblPrEx>
        <w:tc>
          <w:tcPr>
            <w:tcW w:w="5112" w:type="dxa"/>
          </w:tcPr>
          <w:p w:rsidR="00000000" w:rsidRDefault="00000000">
            <w:pPr>
              <w:pStyle w:val="BodyTextIndent2"/>
              <w:spacing w:after="120"/>
              <w:ind w:left="0" w:firstLine="0"/>
              <w:jc w:val="left"/>
              <w:rPr>
                <w:sz w:val="17"/>
              </w:rPr>
            </w:pPr>
            <w:r>
              <w:rPr>
                <w:sz w:val="17"/>
              </w:rPr>
              <w:tab/>
              <w:t>Comprising those unemployed for a period of:</w:t>
            </w:r>
          </w:p>
        </w:tc>
        <w:tc>
          <w:tcPr>
            <w:tcW w:w="1080" w:type="dxa"/>
          </w:tcPr>
          <w:p w:rsidR="00000000" w:rsidRDefault="00000000">
            <w:pPr>
              <w:pStyle w:val="BodyTextIndent2"/>
              <w:spacing w:after="120"/>
              <w:ind w:left="0" w:firstLine="0"/>
              <w:jc w:val="right"/>
              <w:rPr>
                <w:sz w:val="17"/>
              </w:rPr>
            </w:pPr>
          </w:p>
        </w:tc>
        <w:tc>
          <w:tcPr>
            <w:tcW w:w="1980" w:type="dxa"/>
          </w:tcPr>
          <w:p w:rsidR="00000000" w:rsidRDefault="00000000">
            <w:pPr>
              <w:pStyle w:val="BodyTextIndent2"/>
              <w:spacing w:after="120"/>
              <w:ind w:left="0" w:firstLine="0"/>
              <w:jc w:val="right"/>
              <w:rPr>
                <w:sz w:val="17"/>
              </w:rPr>
            </w:pPr>
          </w:p>
        </w:tc>
        <w:tc>
          <w:tcPr>
            <w:tcW w:w="1701" w:type="dxa"/>
          </w:tcPr>
          <w:p w:rsidR="00000000" w:rsidRDefault="00000000">
            <w:pPr>
              <w:pStyle w:val="BodyTextIndent2"/>
              <w:spacing w:after="120"/>
              <w:ind w:left="0" w:firstLine="0"/>
              <w:jc w:val="right"/>
              <w:rPr>
                <w:sz w:val="17"/>
              </w:rPr>
            </w:pPr>
          </w:p>
        </w:tc>
      </w:tr>
      <w:tr w:rsidR="00000000">
        <w:tblPrEx>
          <w:tblCellMar>
            <w:top w:w="0" w:type="dxa"/>
            <w:bottom w:w="0" w:type="dxa"/>
          </w:tblCellMar>
        </w:tblPrEx>
        <w:tc>
          <w:tcPr>
            <w:tcW w:w="5112" w:type="dxa"/>
          </w:tcPr>
          <w:p w:rsidR="00000000" w:rsidRDefault="00000000">
            <w:pPr>
              <w:pStyle w:val="BodyTextIndent2"/>
              <w:spacing w:after="120"/>
              <w:ind w:left="0" w:firstLine="0"/>
              <w:jc w:val="left"/>
              <w:rPr>
                <w:sz w:val="17"/>
              </w:rPr>
            </w:pPr>
            <w:r>
              <w:rPr>
                <w:sz w:val="17"/>
              </w:rPr>
              <w:tab/>
            </w:r>
            <w:r>
              <w:rPr>
                <w:sz w:val="17"/>
              </w:rPr>
              <w:tab/>
              <w:t>Up to 1 month</w:t>
            </w:r>
          </w:p>
        </w:tc>
        <w:tc>
          <w:tcPr>
            <w:tcW w:w="1080" w:type="dxa"/>
          </w:tcPr>
          <w:p w:rsidR="00000000" w:rsidRDefault="00000000">
            <w:pPr>
              <w:pStyle w:val="BodyTextIndent2"/>
              <w:spacing w:after="120"/>
              <w:ind w:left="0" w:firstLine="0"/>
              <w:jc w:val="right"/>
              <w:rPr>
                <w:sz w:val="17"/>
              </w:rPr>
            </w:pPr>
            <w:r>
              <w:rPr>
                <w:sz w:val="17"/>
              </w:rPr>
              <w:t>33 043</w:t>
            </w:r>
          </w:p>
        </w:tc>
        <w:tc>
          <w:tcPr>
            <w:tcW w:w="1980" w:type="dxa"/>
          </w:tcPr>
          <w:p w:rsidR="00000000" w:rsidRDefault="00000000">
            <w:pPr>
              <w:pStyle w:val="BodyTextIndent2"/>
              <w:spacing w:after="120"/>
              <w:ind w:left="0" w:firstLine="0"/>
              <w:jc w:val="right"/>
              <w:rPr>
                <w:sz w:val="17"/>
              </w:rPr>
            </w:pPr>
            <w:r>
              <w:rPr>
                <w:sz w:val="17"/>
              </w:rPr>
              <w:t>20 848</w:t>
            </w:r>
          </w:p>
        </w:tc>
        <w:tc>
          <w:tcPr>
            <w:tcW w:w="1701" w:type="dxa"/>
          </w:tcPr>
          <w:p w:rsidR="00000000" w:rsidRDefault="00000000">
            <w:pPr>
              <w:pStyle w:val="BodyTextIndent2"/>
              <w:spacing w:after="120"/>
              <w:ind w:left="0" w:firstLine="0"/>
              <w:jc w:val="right"/>
              <w:rPr>
                <w:sz w:val="17"/>
              </w:rPr>
            </w:pPr>
            <w:r>
              <w:rPr>
                <w:sz w:val="17"/>
              </w:rPr>
              <w:t>63.1</w:t>
            </w:r>
          </w:p>
        </w:tc>
      </w:tr>
      <w:tr w:rsidR="00000000">
        <w:tblPrEx>
          <w:tblCellMar>
            <w:top w:w="0" w:type="dxa"/>
            <w:bottom w:w="0" w:type="dxa"/>
          </w:tblCellMar>
        </w:tblPrEx>
        <w:tc>
          <w:tcPr>
            <w:tcW w:w="5112" w:type="dxa"/>
          </w:tcPr>
          <w:p w:rsidR="00000000" w:rsidRDefault="00000000">
            <w:pPr>
              <w:pStyle w:val="BodyTextIndent2"/>
              <w:spacing w:after="120"/>
              <w:ind w:left="0" w:firstLine="0"/>
              <w:jc w:val="left"/>
              <w:rPr>
                <w:sz w:val="17"/>
              </w:rPr>
            </w:pPr>
            <w:r>
              <w:rPr>
                <w:sz w:val="17"/>
              </w:rPr>
              <w:tab/>
            </w:r>
            <w:r>
              <w:rPr>
                <w:sz w:val="17"/>
              </w:rPr>
              <w:tab/>
              <w:t>1 to 3 months</w:t>
            </w:r>
          </w:p>
        </w:tc>
        <w:tc>
          <w:tcPr>
            <w:tcW w:w="1080" w:type="dxa"/>
          </w:tcPr>
          <w:p w:rsidR="00000000" w:rsidRDefault="00000000">
            <w:pPr>
              <w:pStyle w:val="BodyTextIndent2"/>
              <w:spacing w:after="120"/>
              <w:ind w:left="0" w:firstLine="0"/>
              <w:jc w:val="right"/>
              <w:rPr>
                <w:sz w:val="17"/>
              </w:rPr>
            </w:pPr>
            <w:r>
              <w:rPr>
                <w:sz w:val="17"/>
              </w:rPr>
              <w:t>63 709</w:t>
            </w:r>
          </w:p>
        </w:tc>
        <w:tc>
          <w:tcPr>
            <w:tcW w:w="1980" w:type="dxa"/>
          </w:tcPr>
          <w:p w:rsidR="00000000" w:rsidRDefault="00000000">
            <w:pPr>
              <w:pStyle w:val="BodyTextIndent2"/>
              <w:spacing w:after="120"/>
              <w:ind w:left="0" w:firstLine="0"/>
              <w:jc w:val="right"/>
              <w:rPr>
                <w:sz w:val="17"/>
              </w:rPr>
            </w:pPr>
            <w:r>
              <w:rPr>
                <w:sz w:val="17"/>
              </w:rPr>
              <w:t>40 355</w:t>
            </w:r>
          </w:p>
        </w:tc>
        <w:tc>
          <w:tcPr>
            <w:tcW w:w="1701" w:type="dxa"/>
          </w:tcPr>
          <w:p w:rsidR="00000000" w:rsidRDefault="00000000">
            <w:pPr>
              <w:pStyle w:val="BodyTextIndent2"/>
              <w:spacing w:after="120"/>
              <w:ind w:left="0" w:firstLine="0"/>
              <w:jc w:val="right"/>
              <w:rPr>
                <w:sz w:val="17"/>
              </w:rPr>
            </w:pPr>
            <w:r>
              <w:rPr>
                <w:sz w:val="17"/>
              </w:rPr>
              <w:t>63.3</w:t>
            </w:r>
          </w:p>
        </w:tc>
      </w:tr>
      <w:tr w:rsidR="00000000">
        <w:tblPrEx>
          <w:tblCellMar>
            <w:top w:w="0" w:type="dxa"/>
            <w:bottom w:w="0" w:type="dxa"/>
          </w:tblCellMar>
        </w:tblPrEx>
        <w:tc>
          <w:tcPr>
            <w:tcW w:w="5112" w:type="dxa"/>
          </w:tcPr>
          <w:p w:rsidR="00000000" w:rsidRDefault="00000000">
            <w:pPr>
              <w:pStyle w:val="BodyTextIndent2"/>
              <w:spacing w:after="120"/>
              <w:ind w:left="0" w:firstLine="0"/>
              <w:jc w:val="left"/>
              <w:rPr>
                <w:sz w:val="17"/>
              </w:rPr>
            </w:pPr>
            <w:r>
              <w:rPr>
                <w:sz w:val="17"/>
              </w:rPr>
              <w:tab/>
            </w:r>
            <w:r>
              <w:rPr>
                <w:sz w:val="17"/>
              </w:rPr>
              <w:tab/>
              <w:t>3 to 6 months</w:t>
            </w:r>
          </w:p>
        </w:tc>
        <w:tc>
          <w:tcPr>
            <w:tcW w:w="1080" w:type="dxa"/>
          </w:tcPr>
          <w:p w:rsidR="00000000" w:rsidRDefault="00000000">
            <w:pPr>
              <w:pStyle w:val="BodyTextIndent2"/>
              <w:spacing w:after="120"/>
              <w:ind w:left="0" w:firstLine="0"/>
              <w:jc w:val="right"/>
              <w:rPr>
                <w:sz w:val="17"/>
              </w:rPr>
            </w:pPr>
            <w:r>
              <w:rPr>
                <w:sz w:val="17"/>
              </w:rPr>
              <w:t>75 660</w:t>
            </w:r>
          </w:p>
        </w:tc>
        <w:tc>
          <w:tcPr>
            <w:tcW w:w="1980" w:type="dxa"/>
          </w:tcPr>
          <w:p w:rsidR="00000000" w:rsidRDefault="00000000">
            <w:pPr>
              <w:pStyle w:val="BodyTextIndent2"/>
              <w:spacing w:after="120"/>
              <w:ind w:left="0" w:firstLine="0"/>
              <w:jc w:val="right"/>
              <w:rPr>
                <w:sz w:val="17"/>
              </w:rPr>
            </w:pPr>
            <w:r>
              <w:rPr>
                <w:sz w:val="17"/>
              </w:rPr>
              <w:t>48 651</w:t>
            </w:r>
          </w:p>
        </w:tc>
        <w:tc>
          <w:tcPr>
            <w:tcW w:w="1701" w:type="dxa"/>
          </w:tcPr>
          <w:p w:rsidR="00000000" w:rsidRDefault="00000000">
            <w:pPr>
              <w:pStyle w:val="BodyTextIndent2"/>
              <w:spacing w:after="120"/>
              <w:ind w:left="0" w:firstLine="0"/>
              <w:jc w:val="right"/>
              <w:rPr>
                <w:sz w:val="17"/>
              </w:rPr>
            </w:pPr>
            <w:r>
              <w:rPr>
                <w:sz w:val="17"/>
              </w:rPr>
              <w:t>64.3</w:t>
            </w:r>
          </w:p>
        </w:tc>
      </w:tr>
      <w:tr w:rsidR="00000000">
        <w:tblPrEx>
          <w:tblCellMar>
            <w:top w:w="0" w:type="dxa"/>
            <w:bottom w:w="0" w:type="dxa"/>
          </w:tblCellMar>
        </w:tblPrEx>
        <w:tc>
          <w:tcPr>
            <w:tcW w:w="5112" w:type="dxa"/>
          </w:tcPr>
          <w:p w:rsidR="00000000" w:rsidRDefault="00000000">
            <w:pPr>
              <w:pStyle w:val="BodyTextIndent2"/>
              <w:spacing w:after="120"/>
              <w:ind w:left="0" w:firstLine="0"/>
              <w:jc w:val="left"/>
              <w:rPr>
                <w:sz w:val="17"/>
              </w:rPr>
            </w:pPr>
            <w:r>
              <w:rPr>
                <w:sz w:val="17"/>
              </w:rPr>
              <w:tab/>
            </w:r>
            <w:r>
              <w:rPr>
                <w:sz w:val="17"/>
              </w:rPr>
              <w:tab/>
              <w:t>6 to 12 months</w:t>
            </w:r>
          </w:p>
        </w:tc>
        <w:tc>
          <w:tcPr>
            <w:tcW w:w="1080" w:type="dxa"/>
          </w:tcPr>
          <w:p w:rsidR="00000000" w:rsidRDefault="00000000">
            <w:pPr>
              <w:pStyle w:val="BodyTextIndent2"/>
              <w:spacing w:after="120"/>
              <w:ind w:left="0" w:firstLine="0"/>
              <w:jc w:val="right"/>
              <w:rPr>
                <w:sz w:val="17"/>
              </w:rPr>
            </w:pPr>
            <w:r>
              <w:rPr>
                <w:sz w:val="17"/>
              </w:rPr>
              <w:t>76 033</w:t>
            </w:r>
          </w:p>
        </w:tc>
        <w:tc>
          <w:tcPr>
            <w:tcW w:w="1980" w:type="dxa"/>
          </w:tcPr>
          <w:p w:rsidR="00000000" w:rsidRDefault="00000000">
            <w:pPr>
              <w:pStyle w:val="BodyTextIndent2"/>
              <w:spacing w:after="120"/>
              <w:ind w:left="0" w:firstLine="0"/>
              <w:jc w:val="right"/>
              <w:rPr>
                <w:sz w:val="17"/>
              </w:rPr>
            </w:pPr>
            <w:r>
              <w:rPr>
                <w:sz w:val="17"/>
              </w:rPr>
              <w:t>48 220</w:t>
            </w:r>
          </w:p>
        </w:tc>
        <w:tc>
          <w:tcPr>
            <w:tcW w:w="1701" w:type="dxa"/>
          </w:tcPr>
          <w:p w:rsidR="00000000" w:rsidRDefault="00000000">
            <w:pPr>
              <w:pStyle w:val="BodyTextIndent2"/>
              <w:spacing w:after="120"/>
              <w:ind w:left="0" w:firstLine="0"/>
              <w:jc w:val="right"/>
              <w:rPr>
                <w:sz w:val="17"/>
              </w:rPr>
            </w:pPr>
            <w:r>
              <w:rPr>
                <w:sz w:val="17"/>
              </w:rPr>
              <w:t>63.4</w:t>
            </w:r>
          </w:p>
        </w:tc>
      </w:tr>
      <w:tr w:rsidR="00000000">
        <w:tblPrEx>
          <w:tblCellMar>
            <w:top w:w="0" w:type="dxa"/>
            <w:bottom w:w="0" w:type="dxa"/>
          </w:tblCellMar>
        </w:tblPrEx>
        <w:tc>
          <w:tcPr>
            <w:tcW w:w="5112" w:type="dxa"/>
          </w:tcPr>
          <w:p w:rsidR="00000000" w:rsidRDefault="00000000">
            <w:pPr>
              <w:pStyle w:val="BodyTextIndent2"/>
              <w:spacing w:after="120"/>
              <w:ind w:left="0" w:firstLine="0"/>
              <w:jc w:val="left"/>
              <w:rPr>
                <w:sz w:val="17"/>
              </w:rPr>
            </w:pPr>
            <w:r>
              <w:rPr>
                <w:sz w:val="17"/>
              </w:rPr>
              <w:tab/>
            </w:r>
            <w:r>
              <w:rPr>
                <w:sz w:val="17"/>
              </w:rPr>
              <w:tab/>
              <w:t>More than 1 year</w:t>
            </w:r>
          </w:p>
        </w:tc>
        <w:tc>
          <w:tcPr>
            <w:tcW w:w="1080" w:type="dxa"/>
          </w:tcPr>
          <w:p w:rsidR="00000000" w:rsidRDefault="00000000">
            <w:pPr>
              <w:pStyle w:val="BodyTextIndent2"/>
              <w:spacing w:after="120"/>
              <w:ind w:left="0" w:firstLine="0"/>
              <w:jc w:val="right"/>
              <w:rPr>
                <w:sz w:val="17"/>
              </w:rPr>
            </w:pPr>
            <w:r>
              <w:rPr>
                <w:sz w:val="17"/>
              </w:rPr>
              <w:t>33 964</w:t>
            </w:r>
          </w:p>
        </w:tc>
        <w:tc>
          <w:tcPr>
            <w:tcW w:w="1980" w:type="dxa"/>
          </w:tcPr>
          <w:p w:rsidR="00000000" w:rsidRDefault="00000000">
            <w:pPr>
              <w:pStyle w:val="BodyTextIndent2"/>
              <w:spacing w:after="120"/>
              <w:ind w:left="0" w:firstLine="0"/>
              <w:jc w:val="right"/>
              <w:rPr>
                <w:sz w:val="17"/>
              </w:rPr>
            </w:pPr>
            <w:r>
              <w:rPr>
                <w:sz w:val="17"/>
              </w:rPr>
              <w:t>20 359</w:t>
            </w:r>
          </w:p>
        </w:tc>
        <w:tc>
          <w:tcPr>
            <w:tcW w:w="1701" w:type="dxa"/>
          </w:tcPr>
          <w:p w:rsidR="00000000" w:rsidRDefault="00000000">
            <w:pPr>
              <w:pStyle w:val="BodyTextIndent2"/>
              <w:spacing w:after="120"/>
              <w:ind w:left="0" w:firstLine="0"/>
              <w:jc w:val="right"/>
              <w:rPr>
                <w:sz w:val="17"/>
              </w:rPr>
            </w:pPr>
            <w:r>
              <w:rPr>
                <w:sz w:val="17"/>
              </w:rPr>
              <w:t>59.9</w:t>
            </w:r>
          </w:p>
        </w:tc>
      </w:tr>
      <w:tr w:rsidR="00000000">
        <w:tblPrEx>
          <w:tblCellMar>
            <w:top w:w="0" w:type="dxa"/>
            <w:bottom w:w="0" w:type="dxa"/>
          </w:tblCellMar>
        </w:tblPrEx>
        <w:tc>
          <w:tcPr>
            <w:tcW w:w="5112" w:type="dxa"/>
          </w:tcPr>
          <w:p w:rsidR="00000000" w:rsidRDefault="00000000">
            <w:pPr>
              <w:pStyle w:val="BodyTextIndent2"/>
              <w:spacing w:after="120"/>
              <w:ind w:left="0" w:firstLine="0"/>
              <w:jc w:val="left"/>
              <w:rPr>
                <w:sz w:val="17"/>
              </w:rPr>
            </w:pPr>
            <w:r>
              <w:rPr>
                <w:sz w:val="17"/>
              </w:rPr>
              <w:t>Average length of unemployment, in months</w:t>
            </w:r>
          </w:p>
        </w:tc>
        <w:tc>
          <w:tcPr>
            <w:tcW w:w="1080" w:type="dxa"/>
          </w:tcPr>
          <w:p w:rsidR="00000000" w:rsidRDefault="00000000">
            <w:pPr>
              <w:pStyle w:val="BodyTextIndent2"/>
              <w:spacing w:after="120"/>
              <w:ind w:left="0" w:firstLine="0"/>
              <w:jc w:val="right"/>
              <w:rPr>
                <w:sz w:val="17"/>
              </w:rPr>
            </w:pPr>
            <w:r>
              <w:rPr>
                <w:sz w:val="17"/>
              </w:rPr>
              <w:t>5.9</w:t>
            </w:r>
          </w:p>
        </w:tc>
        <w:tc>
          <w:tcPr>
            <w:tcW w:w="1980" w:type="dxa"/>
          </w:tcPr>
          <w:p w:rsidR="00000000" w:rsidRDefault="00000000">
            <w:pPr>
              <w:pStyle w:val="BodyTextIndent2"/>
              <w:spacing w:after="120"/>
              <w:ind w:left="0" w:firstLine="0"/>
              <w:jc w:val="right"/>
              <w:rPr>
                <w:sz w:val="17"/>
              </w:rPr>
            </w:pPr>
            <w:r>
              <w:rPr>
                <w:sz w:val="17"/>
              </w:rPr>
              <w:t>5.9</w:t>
            </w:r>
          </w:p>
        </w:tc>
        <w:tc>
          <w:tcPr>
            <w:tcW w:w="1701" w:type="dxa"/>
          </w:tcPr>
          <w:p w:rsidR="00000000" w:rsidRDefault="00000000">
            <w:pPr>
              <w:pStyle w:val="BodyTextIndent2"/>
              <w:spacing w:after="120"/>
              <w:ind w:left="0" w:firstLine="0"/>
              <w:jc w:val="right"/>
              <w:rPr>
                <w:sz w:val="17"/>
              </w:rPr>
            </w:pPr>
          </w:p>
        </w:tc>
      </w:tr>
      <w:tr w:rsidR="00000000">
        <w:tblPrEx>
          <w:tblCellMar>
            <w:top w:w="0" w:type="dxa"/>
            <w:bottom w:w="0" w:type="dxa"/>
          </w:tblCellMar>
        </w:tblPrEx>
        <w:tc>
          <w:tcPr>
            <w:tcW w:w="5112" w:type="dxa"/>
          </w:tcPr>
          <w:p w:rsidR="00000000" w:rsidRDefault="00000000">
            <w:pPr>
              <w:pStyle w:val="BodyTextIndent2"/>
              <w:spacing w:after="120"/>
              <w:ind w:left="0" w:firstLine="0"/>
              <w:jc w:val="left"/>
              <w:rPr>
                <w:b/>
                <w:sz w:val="17"/>
              </w:rPr>
            </w:pPr>
            <w:r>
              <w:rPr>
                <w:b/>
                <w:sz w:val="17"/>
              </w:rPr>
              <w:t>By the end of 1997:</w:t>
            </w:r>
          </w:p>
        </w:tc>
        <w:tc>
          <w:tcPr>
            <w:tcW w:w="1080" w:type="dxa"/>
          </w:tcPr>
          <w:p w:rsidR="00000000" w:rsidRDefault="00000000">
            <w:pPr>
              <w:pStyle w:val="BodyTextIndent2"/>
              <w:spacing w:after="120"/>
              <w:ind w:left="0" w:firstLine="0"/>
              <w:jc w:val="right"/>
              <w:rPr>
                <w:sz w:val="17"/>
              </w:rPr>
            </w:pPr>
          </w:p>
        </w:tc>
        <w:tc>
          <w:tcPr>
            <w:tcW w:w="1980" w:type="dxa"/>
          </w:tcPr>
          <w:p w:rsidR="00000000" w:rsidRDefault="00000000">
            <w:pPr>
              <w:pStyle w:val="BodyTextIndent2"/>
              <w:spacing w:after="120"/>
              <w:ind w:left="0" w:firstLine="0"/>
              <w:jc w:val="right"/>
              <w:rPr>
                <w:sz w:val="17"/>
              </w:rPr>
            </w:pPr>
          </w:p>
        </w:tc>
        <w:tc>
          <w:tcPr>
            <w:tcW w:w="1701" w:type="dxa"/>
          </w:tcPr>
          <w:p w:rsidR="00000000" w:rsidRDefault="00000000">
            <w:pPr>
              <w:pStyle w:val="BodyTextIndent2"/>
              <w:spacing w:after="120"/>
              <w:ind w:left="0" w:firstLine="0"/>
              <w:jc w:val="right"/>
              <w:rPr>
                <w:sz w:val="17"/>
              </w:rPr>
            </w:pPr>
          </w:p>
        </w:tc>
      </w:tr>
      <w:tr w:rsidR="00000000">
        <w:tblPrEx>
          <w:tblCellMar>
            <w:top w:w="0" w:type="dxa"/>
            <w:bottom w:w="0" w:type="dxa"/>
          </w:tblCellMar>
        </w:tblPrEx>
        <w:tc>
          <w:tcPr>
            <w:tcW w:w="5112" w:type="dxa"/>
          </w:tcPr>
          <w:p w:rsidR="00000000" w:rsidRDefault="00000000">
            <w:pPr>
              <w:pStyle w:val="BodyTextIndent2"/>
              <w:spacing w:after="120"/>
              <w:ind w:left="0" w:firstLine="0"/>
              <w:jc w:val="left"/>
              <w:rPr>
                <w:sz w:val="17"/>
              </w:rPr>
            </w:pPr>
            <w:r>
              <w:rPr>
                <w:sz w:val="17"/>
              </w:rPr>
              <w:t>Total number of unemployed</w:t>
            </w:r>
          </w:p>
        </w:tc>
        <w:tc>
          <w:tcPr>
            <w:tcW w:w="1080" w:type="dxa"/>
          </w:tcPr>
          <w:p w:rsidR="00000000" w:rsidRDefault="00000000">
            <w:pPr>
              <w:pStyle w:val="BodyTextIndent2"/>
              <w:spacing w:after="120"/>
              <w:ind w:left="0" w:firstLine="0"/>
              <w:jc w:val="right"/>
              <w:rPr>
                <w:sz w:val="17"/>
              </w:rPr>
            </w:pPr>
            <w:r>
              <w:rPr>
                <w:sz w:val="17"/>
              </w:rPr>
              <w:t>257 484</w:t>
            </w:r>
          </w:p>
        </w:tc>
        <w:tc>
          <w:tcPr>
            <w:tcW w:w="1980" w:type="dxa"/>
          </w:tcPr>
          <w:p w:rsidR="00000000" w:rsidRDefault="00000000">
            <w:pPr>
              <w:pStyle w:val="BodyTextIndent2"/>
              <w:spacing w:after="120"/>
              <w:ind w:left="0" w:firstLine="0"/>
              <w:jc w:val="right"/>
              <w:rPr>
                <w:sz w:val="17"/>
              </w:rPr>
            </w:pPr>
            <w:r>
              <w:rPr>
                <w:sz w:val="17"/>
              </w:rPr>
              <w:t>171 498</w:t>
            </w:r>
          </w:p>
        </w:tc>
        <w:tc>
          <w:tcPr>
            <w:tcW w:w="1701" w:type="dxa"/>
          </w:tcPr>
          <w:p w:rsidR="00000000" w:rsidRDefault="00000000">
            <w:pPr>
              <w:pStyle w:val="BodyTextIndent2"/>
              <w:spacing w:after="120"/>
              <w:ind w:left="0" w:firstLine="0"/>
              <w:jc w:val="right"/>
              <w:rPr>
                <w:sz w:val="17"/>
              </w:rPr>
            </w:pPr>
            <w:r>
              <w:rPr>
                <w:sz w:val="17"/>
              </w:rPr>
              <w:t>66.6</w:t>
            </w:r>
          </w:p>
        </w:tc>
      </w:tr>
      <w:tr w:rsidR="00000000">
        <w:tblPrEx>
          <w:tblCellMar>
            <w:top w:w="0" w:type="dxa"/>
            <w:bottom w:w="0" w:type="dxa"/>
          </w:tblCellMar>
        </w:tblPrEx>
        <w:tc>
          <w:tcPr>
            <w:tcW w:w="5112" w:type="dxa"/>
          </w:tcPr>
          <w:p w:rsidR="00000000" w:rsidRDefault="00000000">
            <w:pPr>
              <w:pStyle w:val="BodyTextIndent2"/>
              <w:spacing w:after="120"/>
              <w:ind w:left="0" w:firstLine="0"/>
              <w:jc w:val="left"/>
              <w:rPr>
                <w:sz w:val="17"/>
              </w:rPr>
            </w:pPr>
            <w:r>
              <w:rPr>
                <w:sz w:val="17"/>
              </w:rPr>
              <w:tab/>
              <w:t>Comprising those unemployed for a period of:</w:t>
            </w:r>
          </w:p>
        </w:tc>
        <w:tc>
          <w:tcPr>
            <w:tcW w:w="1080" w:type="dxa"/>
          </w:tcPr>
          <w:p w:rsidR="00000000" w:rsidRDefault="00000000">
            <w:pPr>
              <w:pStyle w:val="BodyTextIndent2"/>
              <w:spacing w:after="120"/>
              <w:ind w:left="0" w:firstLine="0"/>
              <w:jc w:val="right"/>
              <w:rPr>
                <w:sz w:val="17"/>
              </w:rPr>
            </w:pPr>
          </w:p>
        </w:tc>
        <w:tc>
          <w:tcPr>
            <w:tcW w:w="1980" w:type="dxa"/>
          </w:tcPr>
          <w:p w:rsidR="00000000" w:rsidRDefault="00000000">
            <w:pPr>
              <w:pStyle w:val="BodyTextIndent2"/>
              <w:spacing w:after="120"/>
              <w:ind w:left="0" w:firstLine="0"/>
              <w:jc w:val="right"/>
              <w:rPr>
                <w:sz w:val="17"/>
              </w:rPr>
            </w:pPr>
          </w:p>
        </w:tc>
        <w:tc>
          <w:tcPr>
            <w:tcW w:w="1701" w:type="dxa"/>
          </w:tcPr>
          <w:p w:rsidR="00000000" w:rsidRDefault="00000000">
            <w:pPr>
              <w:pStyle w:val="BodyTextIndent2"/>
              <w:spacing w:after="120"/>
              <w:ind w:left="0" w:firstLine="0"/>
              <w:jc w:val="right"/>
              <w:rPr>
                <w:sz w:val="17"/>
              </w:rPr>
            </w:pPr>
          </w:p>
        </w:tc>
      </w:tr>
      <w:tr w:rsidR="00000000">
        <w:tblPrEx>
          <w:tblCellMar>
            <w:top w:w="0" w:type="dxa"/>
            <w:bottom w:w="0" w:type="dxa"/>
          </w:tblCellMar>
        </w:tblPrEx>
        <w:tc>
          <w:tcPr>
            <w:tcW w:w="5112" w:type="dxa"/>
          </w:tcPr>
          <w:p w:rsidR="00000000" w:rsidRDefault="00000000">
            <w:pPr>
              <w:pStyle w:val="BodyTextIndent2"/>
              <w:spacing w:after="120"/>
              <w:ind w:left="0" w:firstLine="0"/>
              <w:jc w:val="left"/>
              <w:rPr>
                <w:sz w:val="17"/>
              </w:rPr>
            </w:pPr>
            <w:r>
              <w:rPr>
                <w:sz w:val="17"/>
              </w:rPr>
              <w:tab/>
            </w:r>
            <w:r>
              <w:rPr>
                <w:sz w:val="17"/>
              </w:rPr>
              <w:tab/>
              <w:t>Up to 1 month</w:t>
            </w:r>
          </w:p>
        </w:tc>
        <w:tc>
          <w:tcPr>
            <w:tcW w:w="1080" w:type="dxa"/>
          </w:tcPr>
          <w:p w:rsidR="00000000" w:rsidRDefault="00000000">
            <w:pPr>
              <w:pStyle w:val="BodyTextIndent2"/>
              <w:spacing w:after="120"/>
              <w:ind w:left="0" w:firstLine="0"/>
              <w:jc w:val="right"/>
              <w:rPr>
                <w:sz w:val="17"/>
              </w:rPr>
            </w:pPr>
            <w:r>
              <w:rPr>
                <w:sz w:val="17"/>
              </w:rPr>
              <w:t>28 266</w:t>
            </w:r>
          </w:p>
        </w:tc>
        <w:tc>
          <w:tcPr>
            <w:tcW w:w="1980" w:type="dxa"/>
          </w:tcPr>
          <w:p w:rsidR="00000000" w:rsidRDefault="00000000">
            <w:pPr>
              <w:pStyle w:val="BodyTextIndent2"/>
              <w:spacing w:after="120"/>
              <w:ind w:left="0" w:firstLine="0"/>
              <w:jc w:val="right"/>
              <w:rPr>
                <w:sz w:val="17"/>
              </w:rPr>
            </w:pPr>
            <w:r>
              <w:rPr>
                <w:sz w:val="17"/>
              </w:rPr>
              <w:t>18 177</w:t>
            </w:r>
          </w:p>
        </w:tc>
        <w:tc>
          <w:tcPr>
            <w:tcW w:w="1701" w:type="dxa"/>
          </w:tcPr>
          <w:p w:rsidR="00000000" w:rsidRDefault="00000000">
            <w:pPr>
              <w:pStyle w:val="BodyTextIndent2"/>
              <w:spacing w:after="120"/>
              <w:ind w:left="0" w:firstLine="0"/>
              <w:jc w:val="right"/>
              <w:rPr>
                <w:sz w:val="17"/>
              </w:rPr>
            </w:pPr>
            <w:r>
              <w:rPr>
                <w:sz w:val="17"/>
              </w:rPr>
              <w:t>64.3</w:t>
            </w:r>
          </w:p>
        </w:tc>
      </w:tr>
      <w:tr w:rsidR="00000000">
        <w:tblPrEx>
          <w:tblCellMar>
            <w:top w:w="0" w:type="dxa"/>
            <w:bottom w:w="0" w:type="dxa"/>
          </w:tblCellMar>
        </w:tblPrEx>
        <w:tc>
          <w:tcPr>
            <w:tcW w:w="5112" w:type="dxa"/>
          </w:tcPr>
          <w:p w:rsidR="00000000" w:rsidRDefault="00000000">
            <w:pPr>
              <w:pStyle w:val="BodyTextIndent2"/>
              <w:spacing w:after="120"/>
              <w:ind w:left="0" w:firstLine="0"/>
              <w:jc w:val="left"/>
              <w:rPr>
                <w:sz w:val="17"/>
              </w:rPr>
            </w:pPr>
            <w:r>
              <w:rPr>
                <w:sz w:val="17"/>
              </w:rPr>
              <w:tab/>
            </w:r>
            <w:r>
              <w:rPr>
                <w:sz w:val="17"/>
              </w:rPr>
              <w:tab/>
              <w:t>1 to 3 months</w:t>
            </w:r>
          </w:p>
        </w:tc>
        <w:tc>
          <w:tcPr>
            <w:tcW w:w="1080" w:type="dxa"/>
          </w:tcPr>
          <w:p w:rsidR="00000000" w:rsidRDefault="00000000">
            <w:pPr>
              <w:pStyle w:val="BodyTextIndent2"/>
              <w:spacing w:after="120"/>
              <w:ind w:left="0" w:firstLine="0"/>
              <w:jc w:val="right"/>
              <w:rPr>
                <w:sz w:val="17"/>
              </w:rPr>
            </w:pPr>
            <w:r>
              <w:rPr>
                <w:sz w:val="17"/>
              </w:rPr>
              <w:t>62 209</w:t>
            </w:r>
          </w:p>
        </w:tc>
        <w:tc>
          <w:tcPr>
            <w:tcW w:w="1980" w:type="dxa"/>
          </w:tcPr>
          <w:p w:rsidR="00000000" w:rsidRDefault="00000000">
            <w:pPr>
              <w:pStyle w:val="BodyTextIndent2"/>
              <w:spacing w:after="120"/>
              <w:ind w:left="0" w:firstLine="0"/>
              <w:jc w:val="right"/>
              <w:rPr>
                <w:sz w:val="17"/>
              </w:rPr>
            </w:pPr>
            <w:r>
              <w:rPr>
                <w:sz w:val="17"/>
              </w:rPr>
              <w:t>40 751</w:t>
            </w:r>
          </w:p>
        </w:tc>
        <w:tc>
          <w:tcPr>
            <w:tcW w:w="1701" w:type="dxa"/>
          </w:tcPr>
          <w:p w:rsidR="00000000" w:rsidRDefault="00000000">
            <w:pPr>
              <w:pStyle w:val="BodyTextIndent2"/>
              <w:spacing w:after="120"/>
              <w:ind w:left="0" w:firstLine="0"/>
              <w:jc w:val="right"/>
              <w:rPr>
                <w:sz w:val="17"/>
              </w:rPr>
            </w:pPr>
            <w:r>
              <w:rPr>
                <w:sz w:val="17"/>
              </w:rPr>
              <w:t>65.5</w:t>
            </w:r>
          </w:p>
        </w:tc>
      </w:tr>
      <w:tr w:rsidR="00000000">
        <w:tblPrEx>
          <w:tblCellMar>
            <w:top w:w="0" w:type="dxa"/>
            <w:bottom w:w="0" w:type="dxa"/>
          </w:tblCellMar>
        </w:tblPrEx>
        <w:tc>
          <w:tcPr>
            <w:tcW w:w="5112" w:type="dxa"/>
          </w:tcPr>
          <w:p w:rsidR="00000000" w:rsidRDefault="00000000">
            <w:pPr>
              <w:pStyle w:val="BodyTextIndent2"/>
              <w:spacing w:after="120"/>
              <w:ind w:left="0" w:firstLine="0"/>
              <w:jc w:val="left"/>
              <w:rPr>
                <w:sz w:val="17"/>
              </w:rPr>
            </w:pPr>
            <w:r>
              <w:rPr>
                <w:sz w:val="17"/>
              </w:rPr>
              <w:tab/>
            </w:r>
            <w:r>
              <w:rPr>
                <w:sz w:val="17"/>
              </w:rPr>
              <w:tab/>
              <w:t>3 to 6 months</w:t>
            </w:r>
          </w:p>
        </w:tc>
        <w:tc>
          <w:tcPr>
            <w:tcW w:w="1080" w:type="dxa"/>
          </w:tcPr>
          <w:p w:rsidR="00000000" w:rsidRDefault="00000000">
            <w:pPr>
              <w:pStyle w:val="BodyTextIndent2"/>
              <w:spacing w:after="120"/>
              <w:ind w:left="0" w:firstLine="0"/>
              <w:jc w:val="right"/>
              <w:rPr>
                <w:sz w:val="17"/>
              </w:rPr>
            </w:pPr>
            <w:r>
              <w:rPr>
                <w:sz w:val="17"/>
              </w:rPr>
              <w:t>71 241</w:t>
            </w:r>
          </w:p>
        </w:tc>
        <w:tc>
          <w:tcPr>
            <w:tcW w:w="1980" w:type="dxa"/>
          </w:tcPr>
          <w:p w:rsidR="00000000" w:rsidRDefault="00000000">
            <w:pPr>
              <w:pStyle w:val="BodyTextIndent2"/>
              <w:spacing w:after="120"/>
              <w:ind w:left="0" w:firstLine="0"/>
              <w:jc w:val="right"/>
              <w:rPr>
                <w:sz w:val="17"/>
              </w:rPr>
            </w:pPr>
            <w:r>
              <w:rPr>
                <w:sz w:val="17"/>
              </w:rPr>
              <w:t>48 711</w:t>
            </w:r>
          </w:p>
        </w:tc>
        <w:tc>
          <w:tcPr>
            <w:tcW w:w="1701" w:type="dxa"/>
          </w:tcPr>
          <w:p w:rsidR="00000000" w:rsidRDefault="00000000">
            <w:pPr>
              <w:pStyle w:val="BodyTextIndent2"/>
              <w:spacing w:after="120"/>
              <w:ind w:left="0" w:firstLine="0"/>
              <w:jc w:val="right"/>
              <w:rPr>
                <w:sz w:val="17"/>
              </w:rPr>
            </w:pPr>
            <w:r>
              <w:rPr>
                <w:sz w:val="17"/>
              </w:rPr>
              <w:t>68.4</w:t>
            </w:r>
          </w:p>
        </w:tc>
      </w:tr>
      <w:tr w:rsidR="00000000">
        <w:tblPrEx>
          <w:tblCellMar>
            <w:top w:w="0" w:type="dxa"/>
            <w:bottom w:w="0" w:type="dxa"/>
          </w:tblCellMar>
        </w:tblPrEx>
        <w:tc>
          <w:tcPr>
            <w:tcW w:w="5112" w:type="dxa"/>
          </w:tcPr>
          <w:p w:rsidR="00000000" w:rsidRDefault="00000000">
            <w:pPr>
              <w:pStyle w:val="BodyTextIndent2"/>
              <w:spacing w:after="120"/>
              <w:ind w:left="0" w:firstLine="0"/>
              <w:jc w:val="left"/>
              <w:rPr>
                <w:sz w:val="17"/>
              </w:rPr>
            </w:pPr>
            <w:r>
              <w:rPr>
                <w:sz w:val="17"/>
              </w:rPr>
              <w:tab/>
            </w:r>
            <w:r>
              <w:rPr>
                <w:sz w:val="17"/>
              </w:rPr>
              <w:tab/>
              <w:t>6 to 12 months</w:t>
            </w:r>
          </w:p>
        </w:tc>
        <w:tc>
          <w:tcPr>
            <w:tcW w:w="1080" w:type="dxa"/>
          </w:tcPr>
          <w:p w:rsidR="00000000" w:rsidRDefault="00000000">
            <w:pPr>
              <w:pStyle w:val="BodyTextIndent2"/>
              <w:spacing w:after="120"/>
              <w:ind w:left="0" w:firstLine="0"/>
              <w:jc w:val="right"/>
              <w:rPr>
                <w:sz w:val="17"/>
              </w:rPr>
            </w:pPr>
            <w:r>
              <w:rPr>
                <w:sz w:val="17"/>
              </w:rPr>
              <w:t>59 733</w:t>
            </w:r>
          </w:p>
        </w:tc>
        <w:tc>
          <w:tcPr>
            <w:tcW w:w="1980" w:type="dxa"/>
          </w:tcPr>
          <w:p w:rsidR="00000000" w:rsidRDefault="00000000">
            <w:pPr>
              <w:pStyle w:val="BodyTextIndent2"/>
              <w:spacing w:after="120"/>
              <w:ind w:left="0" w:firstLine="0"/>
              <w:jc w:val="right"/>
              <w:rPr>
                <w:sz w:val="17"/>
              </w:rPr>
            </w:pPr>
            <w:r>
              <w:rPr>
                <w:sz w:val="17"/>
              </w:rPr>
              <w:t>40 263</w:t>
            </w:r>
          </w:p>
        </w:tc>
        <w:tc>
          <w:tcPr>
            <w:tcW w:w="1701" w:type="dxa"/>
          </w:tcPr>
          <w:p w:rsidR="00000000" w:rsidRDefault="00000000">
            <w:pPr>
              <w:pStyle w:val="BodyTextIndent2"/>
              <w:spacing w:after="120"/>
              <w:ind w:left="0" w:firstLine="0"/>
              <w:jc w:val="right"/>
              <w:rPr>
                <w:sz w:val="17"/>
              </w:rPr>
            </w:pPr>
            <w:r>
              <w:rPr>
                <w:sz w:val="17"/>
              </w:rPr>
              <w:t>67.4</w:t>
            </w:r>
          </w:p>
        </w:tc>
      </w:tr>
      <w:tr w:rsidR="00000000">
        <w:tblPrEx>
          <w:tblCellMar>
            <w:top w:w="0" w:type="dxa"/>
            <w:bottom w:w="0" w:type="dxa"/>
          </w:tblCellMar>
        </w:tblPrEx>
        <w:tc>
          <w:tcPr>
            <w:tcW w:w="5112" w:type="dxa"/>
          </w:tcPr>
          <w:p w:rsidR="00000000" w:rsidRDefault="00000000">
            <w:pPr>
              <w:pStyle w:val="BodyTextIndent2"/>
              <w:spacing w:after="120"/>
              <w:ind w:left="0" w:firstLine="0"/>
              <w:jc w:val="left"/>
              <w:rPr>
                <w:sz w:val="17"/>
              </w:rPr>
            </w:pPr>
            <w:r>
              <w:rPr>
                <w:sz w:val="17"/>
              </w:rPr>
              <w:tab/>
            </w:r>
            <w:r>
              <w:rPr>
                <w:sz w:val="17"/>
              </w:rPr>
              <w:tab/>
              <w:t>More than 1 year</w:t>
            </w:r>
          </w:p>
        </w:tc>
        <w:tc>
          <w:tcPr>
            <w:tcW w:w="1080" w:type="dxa"/>
          </w:tcPr>
          <w:p w:rsidR="00000000" w:rsidRDefault="00000000">
            <w:pPr>
              <w:pStyle w:val="BodyTextIndent2"/>
              <w:spacing w:after="120"/>
              <w:ind w:left="0" w:firstLine="0"/>
              <w:jc w:val="right"/>
              <w:rPr>
                <w:sz w:val="17"/>
              </w:rPr>
            </w:pPr>
            <w:r>
              <w:rPr>
                <w:sz w:val="17"/>
              </w:rPr>
              <w:t>36 035</w:t>
            </w:r>
          </w:p>
        </w:tc>
        <w:tc>
          <w:tcPr>
            <w:tcW w:w="1980" w:type="dxa"/>
          </w:tcPr>
          <w:p w:rsidR="00000000" w:rsidRDefault="00000000">
            <w:pPr>
              <w:pStyle w:val="BodyTextIndent2"/>
              <w:spacing w:after="120"/>
              <w:ind w:left="0" w:firstLine="0"/>
              <w:jc w:val="right"/>
              <w:rPr>
                <w:sz w:val="17"/>
              </w:rPr>
            </w:pPr>
            <w:r>
              <w:rPr>
                <w:sz w:val="17"/>
              </w:rPr>
              <w:t>23 596</w:t>
            </w:r>
          </w:p>
        </w:tc>
        <w:tc>
          <w:tcPr>
            <w:tcW w:w="1701" w:type="dxa"/>
          </w:tcPr>
          <w:p w:rsidR="00000000" w:rsidRDefault="00000000">
            <w:pPr>
              <w:pStyle w:val="BodyTextIndent2"/>
              <w:spacing w:after="120"/>
              <w:ind w:left="0" w:firstLine="0"/>
              <w:jc w:val="right"/>
              <w:rPr>
                <w:sz w:val="17"/>
              </w:rPr>
            </w:pPr>
            <w:r>
              <w:rPr>
                <w:sz w:val="17"/>
              </w:rPr>
              <w:t>65.5</w:t>
            </w:r>
          </w:p>
        </w:tc>
      </w:tr>
      <w:tr w:rsidR="00000000">
        <w:tblPrEx>
          <w:tblCellMar>
            <w:top w:w="0" w:type="dxa"/>
            <w:bottom w:w="0" w:type="dxa"/>
          </w:tblCellMar>
        </w:tblPrEx>
        <w:tc>
          <w:tcPr>
            <w:tcW w:w="5112" w:type="dxa"/>
          </w:tcPr>
          <w:p w:rsidR="00000000" w:rsidRDefault="00000000">
            <w:pPr>
              <w:pStyle w:val="BodyTextIndent2"/>
              <w:spacing w:after="120"/>
              <w:ind w:left="0" w:firstLine="0"/>
              <w:jc w:val="left"/>
              <w:rPr>
                <w:sz w:val="17"/>
              </w:rPr>
            </w:pPr>
            <w:r>
              <w:rPr>
                <w:sz w:val="17"/>
              </w:rPr>
              <w:t>Average length of unemployment, in months</w:t>
            </w:r>
          </w:p>
        </w:tc>
        <w:tc>
          <w:tcPr>
            <w:tcW w:w="1080" w:type="dxa"/>
          </w:tcPr>
          <w:p w:rsidR="00000000" w:rsidRDefault="00000000">
            <w:pPr>
              <w:pStyle w:val="BodyTextIndent2"/>
              <w:spacing w:after="120"/>
              <w:ind w:left="0" w:firstLine="0"/>
              <w:jc w:val="right"/>
              <w:rPr>
                <w:sz w:val="17"/>
              </w:rPr>
            </w:pPr>
            <w:r>
              <w:rPr>
                <w:sz w:val="17"/>
              </w:rPr>
              <w:t>6.0</w:t>
            </w:r>
          </w:p>
        </w:tc>
        <w:tc>
          <w:tcPr>
            <w:tcW w:w="1980" w:type="dxa"/>
          </w:tcPr>
          <w:p w:rsidR="00000000" w:rsidRDefault="00000000">
            <w:pPr>
              <w:pStyle w:val="BodyTextIndent2"/>
              <w:spacing w:after="120"/>
              <w:ind w:left="0" w:firstLine="0"/>
              <w:jc w:val="right"/>
              <w:rPr>
                <w:sz w:val="17"/>
              </w:rPr>
            </w:pPr>
            <w:r>
              <w:rPr>
                <w:sz w:val="17"/>
              </w:rPr>
              <w:t>6.0</w:t>
            </w:r>
          </w:p>
        </w:tc>
        <w:tc>
          <w:tcPr>
            <w:tcW w:w="1701" w:type="dxa"/>
          </w:tcPr>
          <w:p w:rsidR="00000000" w:rsidRDefault="00000000">
            <w:pPr>
              <w:pStyle w:val="BodyTextIndent2"/>
              <w:spacing w:after="120"/>
              <w:ind w:left="0" w:firstLine="0"/>
              <w:jc w:val="right"/>
              <w:rPr>
                <w:sz w:val="17"/>
              </w:rPr>
            </w:pPr>
          </w:p>
        </w:tc>
      </w:tr>
      <w:tr w:rsidR="00000000">
        <w:tblPrEx>
          <w:tblCellMar>
            <w:top w:w="0" w:type="dxa"/>
            <w:bottom w:w="0" w:type="dxa"/>
          </w:tblCellMar>
        </w:tblPrEx>
        <w:tc>
          <w:tcPr>
            <w:tcW w:w="5112" w:type="dxa"/>
          </w:tcPr>
          <w:p w:rsidR="00000000" w:rsidRDefault="00000000">
            <w:pPr>
              <w:pStyle w:val="BodyTextIndent2"/>
              <w:spacing w:after="120"/>
              <w:ind w:left="0" w:firstLine="0"/>
              <w:jc w:val="left"/>
              <w:rPr>
                <w:b/>
                <w:sz w:val="17"/>
              </w:rPr>
            </w:pPr>
            <w:r>
              <w:rPr>
                <w:b/>
                <w:sz w:val="17"/>
              </w:rPr>
              <w:t>By the end of 1998:</w:t>
            </w:r>
          </w:p>
        </w:tc>
        <w:tc>
          <w:tcPr>
            <w:tcW w:w="1080" w:type="dxa"/>
          </w:tcPr>
          <w:p w:rsidR="00000000" w:rsidRDefault="00000000">
            <w:pPr>
              <w:pStyle w:val="BodyTextIndent2"/>
              <w:spacing w:after="120"/>
              <w:ind w:left="0" w:firstLine="0"/>
              <w:jc w:val="right"/>
              <w:rPr>
                <w:sz w:val="17"/>
              </w:rPr>
            </w:pPr>
          </w:p>
        </w:tc>
        <w:tc>
          <w:tcPr>
            <w:tcW w:w="1980" w:type="dxa"/>
          </w:tcPr>
          <w:p w:rsidR="00000000" w:rsidRDefault="00000000">
            <w:pPr>
              <w:pStyle w:val="BodyTextIndent2"/>
              <w:spacing w:after="120"/>
              <w:ind w:left="0" w:firstLine="0"/>
              <w:jc w:val="right"/>
              <w:rPr>
                <w:sz w:val="17"/>
              </w:rPr>
            </w:pPr>
          </w:p>
        </w:tc>
        <w:tc>
          <w:tcPr>
            <w:tcW w:w="1701" w:type="dxa"/>
          </w:tcPr>
          <w:p w:rsidR="00000000" w:rsidRDefault="00000000">
            <w:pPr>
              <w:pStyle w:val="BodyTextIndent2"/>
              <w:spacing w:after="120"/>
              <w:ind w:left="0" w:firstLine="0"/>
              <w:jc w:val="right"/>
              <w:rPr>
                <w:sz w:val="17"/>
              </w:rPr>
            </w:pPr>
          </w:p>
        </w:tc>
      </w:tr>
      <w:tr w:rsidR="00000000">
        <w:tblPrEx>
          <w:tblCellMar>
            <w:top w:w="0" w:type="dxa"/>
            <w:bottom w:w="0" w:type="dxa"/>
          </w:tblCellMar>
        </w:tblPrEx>
        <w:tc>
          <w:tcPr>
            <w:tcW w:w="5112" w:type="dxa"/>
          </w:tcPr>
          <w:p w:rsidR="00000000" w:rsidRDefault="00000000">
            <w:pPr>
              <w:pStyle w:val="BodyTextIndent2"/>
              <w:spacing w:after="120"/>
              <w:ind w:left="0" w:firstLine="0"/>
              <w:jc w:val="left"/>
              <w:rPr>
                <w:sz w:val="17"/>
              </w:rPr>
            </w:pPr>
            <w:r>
              <w:rPr>
                <w:sz w:val="17"/>
              </w:rPr>
              <w:t>Total number of unemployed</w:t>
            </w:r>
          </w:p>
        </w:tc>
        <w:tc>
          <w:tcPr>
            <w:tcW w:w="1080" w:type="dxa"/>
          </w:tcPr>
          <w:p w:rsidR="00000000" w:rsidRDefault="00000000">
            <w:pPr>
              <w:pStyle w:val="BodyTextIndent2"/>
              <w:spacing w:after="120"/>
              <w:ind w:left="0" w:firstLine="0"/>
              <w:jc w:val="right"/>
              <w:rPr>
                <w:sz w:val="17"/>
              </w:rPr>
            </w:pPr>
            <w:r>
              <w:rPr>
                <w:sz w:val="17"/>
              </w:rPr>
              <w:t>251 939</w:t>
            </w:r>
          </w:p>
        </w:tc>
        <w:tc>
          <w:tcPr>
            <w:tcW w:w="1980" w:type="dxa"/>
          </w:tcPr>
          <w:p w:rsidR="00000000" w:rsidRDefault="00000000">
            <w:pPr>
              <w:pStyle w:val="BodyTextIndent2"/>
              <w:spacing w:after="120"/>
              <w:ind w:left="0" w:firstLine="0"/>
              <w:jc w:val="right"/>
              <w:rPr>
                <w:sz w:val="17"/>
              </w:rPr>
            </w:pPr>
            <w:r>
              <w:rPr>
                <w:sz w:val="17"/>
              </w:rPr>
              <w:t>156 415</w:t>
            </w:r>
          </w:p>
        </w:tc>
        <w:tc>
          <w:tcPr>
            <w:tcW w:w="1701" w:type="dxa"/>
          </w:tcPr>
          <w:p w:rsidR="00000000" w:rsidRDefault="00000000">
            <w:pPr>
              <w:pStyle w:val="BodyTextIndent2"/>
              <w:spacing w:after="120"/>
              <w:ind w:left="0" w:firstLine="0"/>
              <w:jc w:val="right"/>
              <w:rPr>
                <w:sz w:val="17"/>
              </w:rPr>
            </w:pPr>
            <w:r>
              <w:rPr>
                <w:sz w:val="17"/>
              </w:rPr>
              <w:t>62.1</w:t>
            </w:r>
          </w:p>
        </w:tc>
      </w:tr>
      <w:tr w:rsidR="00000000">
        <w:tblPrEx>
          <w:tblCellMar>
            <w:top w:w="0" w:type="dxa"/>
            <w:bottom w:w="0" w:type="dxa"/>
          </w:tblCellMar>
        </w:tblPrEx>
        <w:tc>
          <w:tcPr>
            <w:tcW w:w="5112" w:type="dxa"/>
          </w:tcPr>
          <w:p w:rsidR="00000000" w:rsidRDefault="00000000">
            <w:pPr>
              <w:pStyle w:val="BodyTextIndent2"/>
              <w:spacing w:after="120"/>
              <w:ind w:left="0" w:firstLine="0"/>
              <w:jc w:val="left"/>
              <w:rPr>
                <w:sz w:val="17"/>
              </w:rPr>
            </w:pPr>
            <w:r>
              <w:rPr>
                <w:sz w:val="17"/>
              </w:rPr>
              <w:tab/>
              <w:t>Comprising those unemployed for a period of:</w:t>
            </w:r>
          </w:p>
        </w:tc>
        <w:tc>
          <w:tcPr>
            <w:tcW w:w="1080" w:type="dxa"/>
          </w:tcPr>
          <w:p w:rsidR="00000000" w:rsidRDefault="00000000">
            <w:pPr>
              <w:pStyle w:val="BodyTextIndent2"/>
              <w:spacing w:after="120"/>
              <w:ind w:left="0" w:firstLine="0"/>
              <w:jc w:val="right"/>
              <w:rPr>
                <w:sz w:val="17"/>
              </w:rPr>
            </w:pPr>
          </w:p>
        </w:tc>
        <w:tc>
          <w:tcPr>
            <w:tcW w:w="1980" w:type="dxa"/>
          </w:tcPr>
          <w:p w:rsidR="00000000" w:rsidRDefault="00000000">
            <w:pPr>
              <w:pStyle w:val="BodyTextIndent2"/>
              <w:spacing w:after="120"/>
              <w:ind w:left="0" w:firstLine="0"/>
              <w:jc w:val="right"/>
              <w:rPr>
                <w:sz w:val="17"/>
              </w:rPr>
            </w:pPr>
          </w:p>
        </w:tc>
        <w:tc>
          <w:tcPr>
            <w:tcW w:w="1701" w:type="dxa"/>
          </w:tcPr>
          <w:p w:rsidR="00000000" w:rsidRDefault="00000000">
            <w:pPr>
              <w:pStyle w:val="BodyTextIndent2"/>
              <w:spacing w:after="120"/>
              <w:ind w:left="0" w:firstLine="0"/>
              <w:jc w:val="right"/>
              <w:rPr>
                <w:sz w:val="17"/>
              </w:rPr>
            </w:pPr>
          </w:p>
        </w:tc>
      </w:tr>
      <w:tr w:rsidR="00000000">
        <w:tblPrEx>
          <w:tblCellMar>
            <w:top w:w="0" w:type="dxa"/>
            <w:bottom w:w="0" w:type="dxa"/>
          </w:tblCellMar>
        </w:tblPrEx>
        <w:tc>
          <w:tcPr>
            <w:tcW w:w="5112" w:type="dxa"/>
          </w:tcPr>
          <w:p w:rsidR="00000000" w:rsidRDefault="00000000">
            <w:pPr>
              <w:pStyle w:val="BodyTextIndent2"/>
              <w:spacing w:after="120"/>
              <w:ind w:left="0" w:firstLine="0"/>
              <w:jc w:val="left"/>
              <w:rPr>
                <w:sz w:val="17"/>
              </w:rPr>
            </w:pPr>
            <w:r>
              <w:rPr>
                <w:sz w:val="17"/>
              </w:rPr>
              <w:tab/>
            </w:r>
            <w:r>
              <w:rPr>
                <w:sz w:val="17"/>
              </w:rPr>
              <w:tab/>
              <w:t>Up to 1 month</w:t>
            </w:r>
          </w:p>
        </w:tc>
        <w:tc>
          <w:tcPr>
            <w:tcW w:w="1080" w:type="dxa"/>
          </w:tcPr>
          <w:p w:rsidR="00000000" w:rsidRDefault="00000000">
            <w:pPr>
              <w:pStyle w:val="BodyTextIndent2"/>
              <w:spacing w:after="120"/>
              <w:ind w:left="0" w:firstLine="0"/>
              <w:jc w:val="right"/>
              <w:rPr>
                <w:sz w:val="17"/>
              </w:rPr>
            </w:pPr>
            <w:r>
              <w:rPr>
                <w:sz w:val="17"/>
              </w:rPr>
              <w:t>31 955</w:t>
            </w:r>
          </w:p>
        </w:tc>
        <w:tc>
          <w:tcPr>
            <w:tcW w:w="1980" w:type="dxa"/>
          </w:tcPr>
          <w:p w:rsidR="00000000" w:rsidRDefault="00000000">
            <w:pPr>
              <w:pStyle w:val="BodyTextIndent2"/>
              <w:spacing w:after="120"/>
              <w:ind w:left="0" w:firstLine="0"/>
              <w:jc w:val="right"/>
              <w:rPr>
                <w:sz w:val="17"/>
              </w:rPr>
            </w:pPr>
            <w:r>
              <w:rPr>
                <w:sz w:val="17"/>
              </w:rPr>
              <w:t>19 091</w:t>
            </w:r>
          </w:p>
        </w:tc>
        <w:tc>
          <w:tcPr>
            <w:tcW w:w="1701" w:type="dxa"/>
          </w:tcPr>
          <w:p w:rsidR="00000000" w:rsidRDefault="00000000">
            <w:pPr>
              <w:pStyle w:val="BodyTextIndent2"/>
              <w:spacing w:after="120"/>
              <w:ind w:left="0" w:firstLine="0"/>
              <w:jc w:val="right"/>
              <w:rPr>
                <w:sz w:val="17"/>
              </w:rPr>
            </w:pPr>
            <w:r>
              <w:rPr>
                <w:sz w:val="17"/>
              </w:rPr>
              <w:t>59.7</w:t>
            </w:r>
          </w:p>
        </w:tc>
      </w:tr>
      <w:tr w:rsidR="00000000">
        <w:tblPrEx>
          <w:tblCellMar>
            <w:top w:w="0" w:type="dxa"/>
            <w:bottom w:w="0" w:type="dxa"/>
          </w:tblCellMar>
        </w:tblPrEx>
        <w:tc>
          <w:tcPr>
            <w:tcW w:w="5112" w:type="dxa"/>
          </w:tcPr>
          <w:p w:rsidR="00000000" w:rsidRDefault="00000000">
            <w:pPr>
              <w:pStyle w:val="BodyTextIndent2"/>
              <w:spacing w:after="120"/>
              <w:ind w:left="0" w:firstLine="0"/>
              <w:jc w:val="left"/>
              <w:rPr>
                <w:sz w:val="17"/>
              </w:rPr>
            </w:pPr>
            <w:r>
              <w:rPr>
                <w:sz w:val="17"/>
              </w:rPr>
              <w:tab/>
            </w:r>
            <w:r>
              <w:rPr>
                <w:sz w:val="17"/>
              </w:rPr>
              <w:tab/>
              <w:t>1 to 3 months</w:t>
            </w:r>
          </w:p>
        </w:tc>
        <w:tc>
          <w:tcPr>
            <w:tcW w:w="1080" w:type="dxa"/>
          </w:tcPr>
          <w:p w:rsidR="00000000" w:rsidRDefault="00000000">
            <w:pPr>
              <w:pStyle w:val="BodyTextIndent2"/>
              <w:spacing w:after="120"/>
              <w:ind w:left="0" w:firstLine="0"/>
              <w:jc w:val="right"/>
              <w:rPr>
                <w:sz w:val="17"/>
              </w:rPr>
            </w:pPr>
            <w:r>
              <w:rPr>
                <w:sz w:val="17"/>
              </w:rPr>
              <w:t>56 518</w:t>
            </w:r>
          </w:p>
        </w:tc>
        <w:tc>
          <w:tcPr>
            <w:tcW w:w="1980" w:type="dxa"/>
          </w:tcPr>
          <w:p w:rsidR="00000000" w:rsidRDefault="00000000">
            <w:pPr>
              <w:pStyle w:val="BodyTextIndent2"/>
              <w:spacing w:after="120"/>
              <w:ind w:left="0" w:firstLine="0"/>
              <w:jc w:val="right"/>
              <w:rPr>
                <w:sz w:val="17"/>
              </w:rPr>
            </w:pPr>
            <w:r>
              <w:rPr>
                <w:sz w:val="17"/>
              </w:rPr>
              <w:t>35 177</w:t>
            </w:r>
          </w:p>
        </w:tc>
        <w:tc>
          <w:tcPr>
            <w:tcW w:w="1701" w:type="dxa"/>
          </w:tcPr>
          <w:p w:rsidR="00000000" w:rsidRDefault="00000000">
            <w:pPr>
              <w:pStyle w:val="BodyTextIndent2"/>
              <w:spacing w:after="120"/>
              <w:ind w:left="0" w:firstLine="0"/>
              <w:jc w:val="right"/>
              <w:rPr>
                <w:sz w:val="17"/>
              </w:rPr>
            </w:pPr>
            <w:r>
              <w:rPr>
                <w:sz w:val="17"/>
              </w:rPr>
              <w:t>62.2</w:t>
            </w:r>
          </w:p>
        </w:tc>
      </w:tr>
      <w:tr w:rsidR="00000000">
        <w:tblPrEx>
          <w:tblCellMar>
            <w:top w:w="0" w:type="dxa"/>
            <w:bottom w:w="0" w:type="dxa"/>
          </w:tblCellMar>
        </w:tblPrEx>
        <w:tc>
          <w:tcPr>
            <w:tcW w:w="5112" w:type="dxa"/>
          </w:tcPr>
          <w:p w:rsidR="00000000" w:rsidRDefault="00000000">
            <w:pPr>
              <w:pStyle w:val="BodyTextIndent2"/>
              <w:spacing w:after="120"/>
              <w:ind w:left="0" w:firstLine="0"/>
              <w:jc w:val="left"/>
              <w:rPr>
                <w:sz w:val="17"/>
              </w:rPr>
            </w:pPr>
            <w:r>
              <w:rPr>
                <w:sz w:val="17"/>
              </w:rPr>
              <w:tab/>
            </w:r>
            <w:r>
              <w:rPr>
                <w:sz w:val="17"/>
              </w:rPr>
              <w:tab/>
              <w:t>3 to 6 months</w:t>
            </w:r>
          </w:p>
        </w:tc>
        <w:tc>
          <w:tcPr>
            <w:tcW w:w="1080" w:type="dxa"/>
          </w:tcPr>
          <w:p w:rsidR="00000000" w:rsidRDefault="00000000">
            <w:pPr>
              <w:pStyle w:val="BodyTextIndent2"/>
              <w:spacing w:after="120"/>
              <w:ind w:left="0" w:firstLine="0"/>
              <w:jc w:val="right"/>
              <w:rPr>
                <w:sz w:val="17"/>
              </w:rPr>
            </w:pPr>
            <w:r>
              <w:rPr>
                <w:sz w:val="17"/>
              </w:rPr>
              <w:t>65 355</w:t>
            </w:r>
          </w:p>
        </w:tc>
        <w:tc>
          <w:tcPr>
            <w:tcW w:w="1980" w:type="dxa"/>
          </w:tcPr>
          <w:p w:rsidR="00000000" w:rsidRDefault="00000000">
            <w:pPr>
              <w:pStyle w:val="BodyTextIndent2"/>
              <w:spacing w:after="120"/>
              <w:ind w:left="0" w:firstLine="0"/>
              <w:jc w:val="right"/>
              <w:rPr>
                <w:sz w:val="17"/>
              </w:rPr>
            </w:pPr>
            <w:r>
              <w:rPr>
                <w:sz w:val="17"/>
              </w:rPr>
              <w:t>40 890</w:t>
            </w:r>
          </w:p>
        </w:tc>
        <w:tc>
          <w:tcPr>
            <w:tcW w:w="1701" w:type="dxa"/>
          </w:tcPr>
          <w:p w:rsidR="00000000" w:rsidRDefault="00000000">
            <w:pPr>
              <w:pStyle w:val="BodyTextIndent2"/>
              <w:spacing w:after="120"/>
              <w:ind w:left="0" w:firstLine="0"/>
              <w:jc w:val="right"/>
              <w:rPr>
                <w:sz w:val="17"/>
              </w:rPr>
            </w:pPr>
            <w:r>
              <w:rPr>
                <w:sz w:val="17"/>
              </w:rPr>
              <w:t>62.6</w:t>
            </w:r>
          </w:p>
        </w:tc>
      </w:tr>
      <w:tr w:rsidR="00000000">
        <w:tblPrEx>
          <w:tblCellMar>
            <w:top w:w="0" w:type="dxa"/>
            <w:bottom w:w="0" w:type="dxa"/>
          </w:tblCellMar>
        </w:tblPrEx>
        <w:tc>
          <w:tcPr>
            <w:tcW w:w="5112" w:type="dxa"/>
          </w:tcPr>
          <w:p w:rsidR="00000000" w:rsidRDefault="00000000">
            <w:pPr>
              <w:pStyle w:val="BodyTextIndent2"/>
              <w:spacing w:after="120"/>
              <w:ind w:left="0" w:firstLine="0"/>
              <w:jc w:val="left"/>
              <w:rPr>
                <w:sz w:val="17"/>
              </w:rPr>
            </w:pPr>
            <w:r>
              <w:rPr>
                <w:sz w:val="17"/>
              </w:rPr>
              <w:tab/>
            </w:r>
            <w:r>
              <w:rPr>
                <w:sz w:val="17"/>
              </w:rPr>
              <w:tab/>
              <w:t>6 to 12 months</w:t>
            </w:r>
          </w:p>
        </w:tc>
        <w:tc>
          <w:tcPr>
            <w:tcW w:w="1080" w:type="dxa"/>
          </w:tcPr>
          <w:p w:rsidR="00000000" w:rsidRDefault="00000000">
            <w:pPr>
              <w:pStyle w:val="BodyTextIndent2"/>
              <w:spacing w:after="120"/>
              <w:ind w:left="0" w:firstLine="0"/>
              <w:jc w:val="right"/>
              <w:rPr>
                <w:sz w:val="17"/>
              </w:rPr>
            </w:pPr>
            <w:r>
              <w:rPr>
                <w:sz w:val="17"/>
              </w:rPr>
              <w:t>63 425</w:t>
            </w:r>
          </w:p>
        </w:tc>
        <w:tc>
          <w:tcPr>
            <w:tcW w:w="1980" w:type="dxa"/>
          </w:tcPr>
          <w:p w:rsidR="00000000" w:rsidRDefault="00000000">
            <w:pPr>
              <w:pStyle w:val="BodyTextIndent2"/>
              <w:spacing w:after="120"/>
              <w:ind w:left="0" w:firstLine="0"/>
              <w:jc w:val="right"/>
              <w:rPr>
                <w:sz w:val="17"/>
              </w:rPr>
            </w:pPr>
            <w:r>
              <w:rPr>
                <w:sz w:val="17"/>
              </w:rPr>
              <w:t>38 036</w:t>
            </w:r>
          </w:p>
        </w:tc>
        <w:tc>
          <w:tcPr>
            <w:tcW w:w="1701" w:type="dxa"/>
          </w:tcPr>
          <w:p w:rsidR="00000000" w:rsidRDefault="00000000">
            <w:pPr>
              <w:pStyle w:val="BodyTextIndent2"/>
              <w:spacing w:after="120"/>
              <w:ind w:left="0" w:firstLine="0"/>
              <w:jc w:val="right"/>
              <w:rPr>
                <w:sz w:val="17"/>
              </w:rPr>
            </w:pPr>
            <w:r>
              <w:rPr>
                <w:sz w:val="17"/>
              </w:rPr>
              <w:t>60.0</w:t>
            </w:r>
          </w:p>
        </w:tc>
      </w:tr>
      <w:tr w:rsidR="00000000">
        <w:tblPrEx>
          <w:tblCellMar>
            <w:top w:w="0" w:type="dxa"/>
            <w:bottom w:w="0" w:type="dxa"/>
          </w:tblCellMar>
        </w:tblPrEx>
        <w:tc>
          <w:tcPr>
            <w:tcW w:w="5112" w:type="dxa"/>
          </w:tcPr>
          <w:p w:rsidR="00000000" w:rsidRDefault="00000000">
            <w:pPr>
              <w:pStyle w:val="BodyTextIndent2"/>
              <w:spacing w:after="120"/>
              <w:ind w:left="0" w:firstLine="0"/>
              <w:jc w:val="left"/>
              <w:rPr>
                <w:sz w:val="17"/>
              </w:rPr>
            </w:pPr>
            <w:r>
              <w:rPr>
                <w:sz w:val="17"/>
              </w:rPr>
              <w:tab/>
            </w:r>
            <w:r>
              <w:rPr>
                <w:sz w:val="17"/>
              </w:rPr>
              <w:tab/>
              <w:t>More than 1 year</w:t>
            </w:r>
          </w:p>
        </w:tc>
        <w:tc>
          <w:tcPr>
            <w:tcW w:w="1080" w:type="dxa"/>
          </w:tcPr>
          <w:p w:rsidR="00000000" w:rsidRDefault="00000000">
            <w:pPr>
              <w:pStyle w:val="BodyTextIndent2"/>
              <w:spacing w:after="120"/>
              <w:ind w:left="0" w:firstLine="0"/>
              <w:jc w:val="right"/>
              <w:rPr>
                <w:sz w:val="17"/>
              </w:rPr>
            </w:pPr>
            <w:r>
              <w:rPr>
                <w:sz w:val="17"/>
              </w:rPr>
              <w:t>34 686</w:t>
            </w:r>
          </w:p>
        </w:tc>
        <w:tc>
          <w:tcPr>
            <w:tcW w:w="1980" w:type="dxa"/>
          </w:tcPr>
          <w:p w:rsidR="00000000" w:rsidRDefault="00000000">
            <w:pPr>
              <w:pStyle w:val="BodyTextIndent2"/>
              <w:spacing w:after="120"/>
              <w:ind w:left="0" w:firstLine="0"/>
              <w:jc w:val="right"/>
              <w:rPr>
                <w:sz w:val="17"/>
              </w:rPr>
            </w:pPr>
            <w:r>
              <w:rPr>
                <w:sz w:val="17"/>
              </w:rPr>
              <w:t>23 221</w:t>
            </w:r>
          </w:p>
        </w:tc>
        <w:tc>
          <w:tcPr>
            <w:tcW w:w="1701" w:type="dxa"/>
          </w:tcPr>
          <w:p w:rsidR="00000000" w:rsidRDefault="00000000">
            <w:pPr>
              <w:pStyle w:val="BodyTextIndent2"/>
              <w:spacing w:after="120"/>
              <w:ind w:left="0" w:firstLine="0"/>
              <w:jc w:val="right"/>
              <w:rPr>
                <w:sz w:val="17"/>
              </w:rPr>
            </w:pPr>
            <w:r>
              <w:rPr>
                <w:sz w:val="17"/>
              </w:rPr>
              <w:t>66.9</w:t>
            </w:r>
          </w:p>
        </w:tc>
      </w:tr>
      <w:tr w:rsidR="00000000">
        <w:tblPrEx>
          <w:tblCellMar>
            <w:top w:w="0" w:type="dxa"/>
            <w:bottom w:w="0" w:type="dxa"/>
          </w:tblCellMar>
        </w:tblPrEx>
        <w:tc>
          <w:tcPr>
            <w:tcW w:w="5112" w:type="dxa"/>
            <w:tcBorders>
              <w:bottom w:val="single" w:sz="12" w:space="0" w:color="auto"/>
            </w:tcBorders>
          </w:tcPr>
          <w:p w:rsidR="00000000" w:rsidRDefault="00000000">
            <w:pPr>
              <w:pStyle w:val="BodyTextIndent2"/>
              <w:spacing w:after="120"/>
              <w:ind w:left="0" w:firstLine="0"/>
              <w:jc w:val="left"/>
              <w:rPr>
                <w:sz w:val="17"/>
              </w:rPr>
            </w:pPr>
            <w:r>
              <w:rPr>
                <w:sz w:val="17"/>
              </w:rPr>
              <w:t>Average length of unemployment, in months</w:t>
            </w:r>
          </w:p>
        </w:tc>
        <w:tc>
          <w:tcPr>
            <w:tcW w:w="1080" w:type="dxa"/>
            <w:tcBorders>
              <w:bottom w:val="single" w:sz="12" w:space="0" w:color="auto"/>
            </w:tcBorders>
          </w:tcPr>
          <w:p w:rsidR="00000000" w:rsidRDefault="00000000">
            <w:pPr>
              <w:pStyle w:val="BodyTextIndent2"/>
              <w:spacing w:after="120"/>
              <w:ind w:left="0" w:firstLine="0"/>
              <w:jc w:val="right"/>
              <w:rPr>
                <w:sz w:val="17"/>
              </w:rPr>
            </w:pPr>
            <w:r>
              <w:rPr>
                <w:sz w:val="17"/>
              </w:rPr>
              <w:t>6.0</w:t>
            </w:r>
          </w:p>
        </w:tc>
        <w:tc>
          <w:tcPr>
            <w:tcW w:w="1980" w:type="dxa"/>
            <w:tcBorders>
              <w:bottom w:val="single" w:sz="12" w:space="0" w:color="auto"/>
            </w:tcBorders>
          </w:tcPr>
          <w:p w:rsidR="00000000" w:rsidRDefault="00000000">
            <w:pPr>
              <w:pStyle w:val="BodyTextIndent2"/>
              <w:spacing w:after="120"/>
              <w:ind w:left="0" w:firstLine="0"/>
              <w:jc w:val="right"/>
              <w:rPr>
                <w:sz w:val="17"/>
              </w:rPr>
            </w:pPr>
            <w:r>
              <w:rPr>
                <w:sz w:val="17"/>
              </w:rPr>
              <w:t>6.1</w:t>
            </w:r>
          </w:p>
        </w:tc>
        <w:tc>
          <w:tcPr>
            <w:tcW w:w="1701" w:type="dxa"/>
            <w:tcBorders>
              <w:bottom w:val="single" w:sz="12" w:space="0" w:color="auto"/>
            </w:tcBorders>
          </w:tcPr>
          <w:p w:rsidR="00000000" w:rsidRDefault="00000000">
            <w:pPr>
              <w:pStyle w:val="BodyTextIndent2"/>
              <w:spacing w:after="120"/>
              <w:ind w:left="0" w:firstLine="0"/>
              <w:jc w:val="right"/>
              <w:rPr>
                <w:sz w:val="17"/>
              </w:rPr>
            </w:pPr>
          </w:p>
        </w:tc>
      </w:tr>
    </w:tbl>
    <w:p w:rsidR="00000000" w:rsidRDefault="00000000">
      <w:pPr>
        <w:pStyle w:val="BodyTextIndent2"/>
        <w:ind w:left="0" w:firstLine="0"/>
      </w:pPr>
    </w:p>
    <w:p w:rsidR="00000000" w:rsidRDefault="00000000">
      <w:pPr>
        <w:pStyle w:val="BodyTextIndent2"/>
        <w:ind w:left="0" w:firstLine="0"/>
      </w:pPr>
    </w:p>
    <w:p w:rsidR="00000000" w:rsidRDefault="00000000">
      <w:pPr>
        <w:pStyle w:val="BodyTextIndent2"/>
        <w:ind w:left="0" w:firstLine="0"/>
      </w:pPr>
      <w:r>
        <w:t>Table 30</w:t>
      </w:r>
    </w:p>
    <w:p w:rsidR="00000000" w:rsidRDefault="00000000">
      <w:pPr>
        <w:pStyle w:val="BodyTextIndent2"/>
        <w:spacing w:after="120"/>
        <w:ind w:left="0" w:firstLine="0"/>
        <w:rPr>
          <w:b/>
        </w:rPr>
      </w:pPr>
      <w:r>
        <w:rPr>
          <w:b/>
        </w:rPr>
        <w:t>Placement of women in jobs (data of the Kazakh Ministry of Labour and Social Security)</w:t>
      </w:r>
    </w:p>
    <w:p w:rsidR="00000000" w:rsidRDefault="00000000">
      <w:pPr>
        <w:pStyle w:val="D12r"/>
      </w:pPr>
    </w:p>
    <w:tbl>
      <w:tblPr>
        <w:tblW w:w="0" w:type="auto"/>
        <w:tblInd w:w="-52" w:type="dxa"/>
        <w:tblLayout w:type="fixed"/>
        <w:tblLook w:val="0000" w:firstRow="0" w:lastRow="0" w:firstColumn="0" w:lastColumn="0" w:noHBand="0" w:noVBand="0"/>
      </w:tblPr>
      <w:tblGrid>
        <w:gridCol w:w="2133"/>
        <w:gridCol w:w="828"/>
        <w:gridCol w:w="556"/>
        <w:gridCol w:w="236"/>
        <w:gridCol w:w="828"/>
        <w:gridCol w:w="540"/>
        <w:gridCol w:w="243"/>
        <w:gridCol w:w="819"/>
        <w:gridCol w:w="540"/>
        <w:gridCol w:w="243"/>
        <w:gridCol w:w="828"/>
        <w:gridCol w:w="610"/>
        <w:gridCol w:w="236"/>
        <w:gridCol w:w="855"/>
        <w:gridCol w:w="549"/>
      </w:tblGrid>
      <w:tr w:rsidR="00000000">
        <w:tblPrEx>
          <w:tblCellMar>
            <w:top w:w="0" w:type="dxa"/>
            <w:bottom w:w="0" w:type="dxa"/>
          </w:tblCellMar>
        </w:tblPrEx>
        <w:tc>
          <w:tcPr>
            <w:tcW w:w="2133" w:type="dxa"/>
            <w:tcBorders>
              <w:top w:val="single" w:sz="4" w:space="0" w:color="auto"/>
            </w:tcBorders>
          </w:tcPr>
          <w:p w:rsidR="00000000" w:rsidRDefault="00000000">
            <w:pPr>
              <w:pStyle w:val="BodyTextIndent2"/>
              <w:tabs>
                <w:tab w:val="clear" w:pos="475"/>
                <w:tab w:val="clear" w:pos="965"/>
                <w:tab w:val="left" w:pos="171"/>
                <w:tab w:val="left" w:pos="351"/>
              </w:tabs>
              <w:spacing w:after="120" w:line="200" w:lineRule="exact"/>
              <w:ind w:left="0" w:firstLine="0"/>
              <w:jc w:val="center"/>
              <w:rPr>
                <w:i/>
                <w:sz w:val="14"/>
              </w:rPr>
            </w:pPr>
          </w:p>
        </w:tc>
        <w:tc>
          <w:tcPr>
            <w:tcW w:w="1384" w:type="dxa"/>
            <w:gridSpan w:val="2"/>
            <w:tcBorders>
              <w:top w:val="single" w:sz="4" w:space="0" w:color="auto"/>
              <w:bottom w:val="single" w:sz="4" w:space="0" w:color="auto"/>
            </w:tcBorders>
          </w:tcPr>
          <w:p w:rsidR="00000000" w:rsidRDefault="00000000">
            <w:pPr>
              <w:pStyle w:val="BodyTextIndent2"/>
              <w:spacing w:after="120" w:line="200" w:lineRule="exact"/>
              <w:ind w:left="0" w:firstLine="0"/>
              <w:jc w:val="center"/>
              <w:rPr>
                <w:i/>
                <w:sz w:val="14"/>
              </w:rPr>
            </w:pPr>
            <w:r>
              <w:rPr>
                <w:i/>
                <w:sz w:val="14"/>
              </w:rPr>
              <w:t>1994</w:t>
            </w:r>
          </w:p>
        </w:tc>
        <w:tc>
          <w:tcPr>
            <w:tcW w:w="236" w:type="dxa"/>
            <w:tcBorders>
              <w:top w:val="single" w:sz="4" w:space="0" w:color="auto"/>
            </w:tcBorders>
          </w:tcPr>
          <w:p w:rsidR="00000000" w:rsidRDefault="00000000">
            <w:pPr>
              <w:pStyle w:val="BodyTextIndent2"/>
              <w:spacing w:after="120" w:line="200" w:lineRule="exact"/>
              <w:ind w:left="0" w:firstLine="0"/>
              <w:jc w:val="center"/>
              <w:rPr>
                <w:i/>
                <w:spacing w:val="-4"/>
                <w:sz w:val="2"/>
              </w:rPr>
            </w:pPr>
          </w:p>
        </w:tc>
        <w:tc>
          <w:tcPr>
            <w:tcW w:w="1368" w:type="dxa"/>
            <w:gridSpan w:val="2"/>
            <w:tcBorders>
              <w:top w:val="single" w:sz="4" w:space="0" w:color="auto"/>
              <w:bottom w:val="single" w:sz="4" w:space="0" w:color="auto"/>
            </w:tcBorders>
          </w:tcPr>
          <w:p w:rsidR="00000000" w:rsidRDefault="00000000">
            <w:pPr>
              <w:pStyle w:val="BodyTextIndent2"/>
              <w:spacing w:after="120" w:line="200" w:lineRule="exact"/>
              <w:ind w:left="0" w:firstLine="0"/>
              <w:jc w:val="center"/>
              <w:rPr>
                <w:i/>
                <w:sz w:val="14"/>
              </w:rPr>
            </w:pPr>
            <w:r>
              <w:rPr>
                <w:i/>
                <w:sz w:val="14"/>
              </w:rPr>
              <w:t>1995</w:t>
            </w:r>
          </w:p>
        </w:tc>
        <w:tc>
          <w:tcPr>
            <w:tcW w:w="243" w:type="dxa"/>
            <w:tcBorders>
              <w:top w:val="single" w:sz="4" w:space="0" w:color="auto"/>
            </w:tcBorders>
          </w:tcPr>
          <w:p w:rsidR="00000000" w:rsidRDefault="00000000">
            <w:pPr>
              <w:pStyle w:val="BodyTextIndent2"/>
              <w:spacing w:after="120" w:line="200" w:lineRule="exact"/>
              <w:ind w:left="0" w:firstLine="0"/>
              <w:jc w:val="center"/>
              <w:rPr>
                <w:i/>
                <w:sz w:val="14"/>
              </w:rPr>
            </w:pPr>
          </w:p>
        </w:tc>
        <w:tc>
          <w:tcPr>
            <w:tcW w:w="1359" w:type="dxa"/>
            <w:gridSpan w:val="2"/>
            <w:tcBorders>
              <w:top w:val="single" w:sz="4" w:space="0" w:color="auto"/>
              <w:bottom w:val="single" w:sz="4" w:space="0" w:color="auto"/>
            </w:tcBorders>
          </w:tcPr>
          <w:p w:rsidR="00000000" w:rsidRDefault="00000000">
            <w:pPr>
              <w:pStyle w:val="BodyTextIndent2"/>
              <w:spacing w:after="120" w:line="200" w:lineRule="exact"/>
              <w:ind w:left="0" w:firstLine="0"/>
              <w:jc w:val="center"/>
              <w:rPr>
                <w:i/>
                <w:sz w:val="14"/>
              </w:rPr>
            </w:pPr>
            <w:r>
              <w:rPr>
                <w:i/>
                <w:sz w:val="14"/>
              </w:rPr>
              <w:t>1996</w:t>
            </w:r>
          </w:p>
        </w:tc>
        <w:tc>
          <w:tcPr>
            <w:tcW w:w="243" w:type="dxa"/>
            <w:tcBorders>
              <w:top w:val="single" w:sz="4" w:space="0" w:color="auto"/>
            </w:tcBorders>
          </w:tcPr>
          <w:p w:rsidR="00000000" w:rsidRDefault="00000000">
            <w:pPr>
              <w:pStyle w:val="BodyTextIndent2"/>
              <w:spacing w:after="120" w:line="200" w:lineRule="exact"/>
              <w:ind w:left="0" w:firstLine="0"/>
              <w:jc w:val="center"/>
              <w:rPr>
                <w:i/>
                <w:sz w:val="14"/>
              </w:rPr>
            </w:pPr>
          </w:p>
        </w:tc>
        <w:tc>
          <w:tcPr>
            <w:tcW w:w="1438" w:type="dxa"/>
            <w:gridSpan w:val="2"/>
            <w:tcBorders>
              <w:top w:val="single" w:sz="4" w:space="0" w:color="auto"/>
              <w:bottom w:val="single" w:sz="4" w:space="0" w:color="auto"/>
            </w:tcBorders>
          </w:tcPr>
          <w:p w:rsidR="00000000" w:rsidRDefault="00000000">
            <w:pPr>
              <w:pStyle w:val="BodyTextIndent2"/>
              <w:spacing w:after="120" w:line="200" w:lineRule="exact"/>
              <w:ind w:left="0" w:firstLine="0"/>
              <w:jc w:val="center"/>
              <w:rPr>
                <w:i/>
                <w:sz w:val="14"/>
              </w:rPr>
            </w:pPr>
            <w:r>
              <w:rPr>
                <w:i/>
                <w:sz w:val="14"/>
              </w:rPr>
              <w:t>1997</w:t>
            </w:r>
          </w:p>
        </w:tc>
        <w:tc>
          <w:tcPr>
            <w:tcW w:w="236" w:type="dxa"/>
            <w:tcBorders>
              <w:top w:val="single" w:sz="4" w:space="0" w:color="auto"/>
            </w:tcBorders>
          </w:tcPr>
          <w:p w:rsidR="00000000" w:rsidRDefault="00000000">
            <w:pPr>
              <w:pStyle w:val="BodyTextIndent2"/>
              <w:spacing w:after="120" w:line="200" w:lineRule="exact"/>
              <w:ind w:left="0" w:firstLine="0"/>
              <w:jc w:val="center"/>
              <w:rPr>
                <w:i/>
                <w:sz w:val="14"/>
              </w:rPr>
            </w:pPr>
          </w:p>
        </w:tc>
        <w:tc>
          <w:tcPr>
            <w:tcW w:w="1404" w:type="dxa"/>
            <w:gridSpan w:val="2"/>
            <w:tcBorders>
              <w:top w:val="single" w:sz="4" w:space="0" w:color="auto"/>
              <w:bottom w:val="single" w:sz="4" w:space="0" w:color="auto"/>
            </w:tcBorders>
          </w:tcPr>
          <w:p w:rsidR="00000000" w:rsidRDefault="00000000">
            <w:pPr>
              <w:pStyle w:val="BodyTextIndent2"/>
              <w:spacing w:after="120" w:line="200" w:lineRule="exact"/>
              <w:ind w:left="0" w:firstLine="0"/>
              <w:jc w:val="center"/>
              <w:rPr>
                <w:i/>
                <w:sz w:val="14"/>
              </w:rPr>
            </w:pPr>
            <w:r>
              <w:rPr>
                <w:i/>
                <w:sz w:val="14"/>
              </w:rPr>
              <w:t>1998</w:t>
            </w:r>
          </w:p>
        </w:tc>
      </w:tr>
      <w:tr w:rsidR="00000000">
        <w:tblPrEx>
          <w:tblCellMar>
            <w:top w:w="0" w:type="dxa"/>
            <w:bottom w:w="0" w:type="dxa"/>
          </w:tblCellMar>
        </w:tblPrEx>
        <w:tc>
          <w:tcPr>
            <w:tcW w:w="2133" w:type="dxa"/>
            <w:tcBorders>
              <w:bottom w:val="single" w:sz="12" w:space="0" w:color="auto"/>
            </w:tcBorders>
          </w:tcPr>
          <w:p w:rsidR="00000000" w:rsidRDefault="00000000">
            <w:pPr>
              <w:pStyle w:val="BodyTextIndent2"/>
              <w:tabs>
                <w:tab w:val="clear" w:pos="475"/>
                <w:tab w:val="clear" w:pos="965"/>
                <w:tab w:val="left" w:pos="171"/>
                <w:tab w:val="left" w:pos="351"/>
              </w:tabs>
              <w:spacing w:after="120" w:line="200" w:lineRule="exact"/>
              <w:ind w:left="0" w:firstLine="0"/>
              <w:jc w:val="left"/>
              <w:rPr>
                <w:i/>
                <w:sz w:val="14"/>
              </w:rPr>
            </w:pPr>
          </w:p>
        </w:tc>
        <w:tc>
          <w:tcPr>
            <w:tcW w:w="828" w:type="dxa"/>
            <w:tcBorders>
              <w:top w:val="single" w:sz="4" w:space="0" w:color="auto"/>
              <w:bottom w:val="single" w:sz="12" w:space="0" w:color="auto"/>
            </w:tcBorders>
          </w:tcPr>
          <w:p w:rsidR="00000000" w:rsidRDefault="00000000">
            <w:pPr>
              <w:pStyle w:val="BodyTextIndent2"/>
              <w:spacing w:after="120" w:line="200" w:lineRule="exact"/>
              <w:ind w:left="0" w:firstLine="0"/>
              <w:jc w:val="right"/>
              <w:rPr>
                <w:i/>
                <w:sz w:val="14"/>
              </w:rPr>
            </w:pPr>
            <w:r>
              <w:rPr>
                <w:i/>
                <w:sz w:val="14"/>
              </w:rPr>
              <w:t>Women</w:t>
            </w:r>
          </w:p>
        </w:tc>
        <w:tc>
          <w:tcPr>
            <w:tcW w:w="556" w:type="dxa"/>
            <w:tcBorders>
              <w:top w:val="single" w:sz="4" w:space="0" w:color="auto"/>
              <w:bottom w:val="single" w:sz="12" w:space="0" w:color="auto"/>
            </w:tcBorders>
          </w:tcPr>
          <w:p w:rsidR="00000000" w:rsidRDefault="00000000">
            <w:pPr>
              <w:pStyle w:val="BodyTextIndent2"/>
              <w:spacing w:after="120" w:line="200" w:lineRule="exact"/>
              <w:ind w:left="0" w:firstLine="0"/>
              <w:jc w:val="right"/>
              <w:rPr>
                <w:i/>
                <w:sz w:val="14"/>
              </w:rPr>
            </w:pPr>
            <w:r>
              <w:rPr>
                <w:i/>
                <w:sz w:val="14"/>
              </w:rPr>
              <w:t>As a % of total</w:t>
            </w:r>
          </w:p>
        </w:tc>
        <w:tc>
          <w:tcPr>
            <w:tcW w:w="236" w:type="dxa"/>
            <w:tcBorders>
              <w:bottom w:val="single" w:sz="12" w:space="0" w:color="auto"/>
            </w:tcBorders>
          </w:tcPr>
          <w:p w:rsidR="00000000" w:rsidRDefault="00000000">
            <w:pPr>
              <w:pStyle w:val="BodyTextIndent2"/>
              <w:spacing w:after="120" w:line="200" w:lineRule="exact"/>
              <w:ind w:left="0" w:firstLine="0"/>
              <w:jc w:val="right"/>
              <w:rPr>
                <w:i/>
                <w:spacing w:val="-4"/>
                <w:sz w:val="2"/>
              </w:rPr>
            </w:pPr>
          </w:p>
        </w:tc>
        <w:tc>
          <w:tcPr>
            <w:tcW w:w="828" w:type="dxa"/>
            <w:tcBorders>
              <w:top w:val="single" w:sz="4" w:space="0" w:color="auto"/>
              <w:bottom w:val="single" w:sz="12" w:space="0" w:color="auto"/>
            </w:tcBorders>
          </w:tcPr>
          <w:p w:rsidR="00000000" w:rsidRDefault="00000000">
            <w:pPr>
              <w:pStyle w:val="BodyTextIndent2"/>
              <w:spacing w:after="120" w:line="200" w:lineRule="exact"/>
              <w:ind w:left="0" w:firstLine="0"/>
              <w:jc w:val="right"/>
              <w:rPr>
                <w:i/>
                <w:sz w:val="14"/>
              </w:rPr>
            </w:pPr>
            <w:r>
              <w:rPr>
                <w:i/>
                <w:sz w:val="14"/>
              </w:rPr>
              <w:t>Women</w:t>
            </w:r>
          </w:p>
        </w:tc>
        <w:tc>
          <w:tcPr>
            <w:tcW w:w="540" w:type="dxa"/>
            <w:tcBorders>
              <w:top w:val="single" w:sz="4" w:space="0" w:color="auto"/>
              <w:bottom w:val="single" w:sz="12" w:space="0" w:color="auto"/>
            </w:tcBorders>
          </w:tcPr>
          <w:p w:rsidR="00000000" w:rsidRDefault="00000000">
            <w:pPr>
              <w:pStyle w:val="BodyTextIndent2"/>
              <w:spacing w:after="120" w:line="200" w:lineRule="exact"/>
              <w:ind w:left="0" w:firstLine="0"/>
              <w:jc w:val="right"/>
              <w:rPr>
                <w:i/>
                <w:sz w:val="14"/>
              </w:rPr>
            </w:pPr>
            <w:r>
              <w:rPr>
                <w:i/>
                <w:sz w:val="14"/>
              </w:rPr>
              <w:t>As a % of total</w:t>
            </w:r>
          </w:p>
        </w:tc>
        <w:tc>
          <w:tcPr>
            <w:tcW w:w="243" w:type="dxa"/>
            <w:tcBorders>
              <w:bottom w:val="single" w:sz="12" w:space="0" w:color="auto"/>
            </w:tcBorders>
          </w:tcPr>
          <w:p w:rsidR="00000000" w:rsidRDefault="00000000">
            <w:pPr>
              <w:pStyle w:val="BodyTextIndent2"/>
              <w:spacing w:after="120" w:line="200" w:lineRule="exact"/>
              <w:ind w:left="0" w:firstLine="0"/>
              <w:jc w:val="right"/>
              <w:rPr>
                <w:i/>
                <w:sz w:val="14"/>
              </w:rPr>
            </w:pPr>
          </w:p>
        </w:tc>
        <w:tc>
          <w:tcPr>
            <w:tcW w:w="819" w:type="dxa"/>
            <w:tcBorders>
              <w:top w:val="single" w:sz="4" w:space="0" w:color="auto"/>
              <w:bottom w:val="single" w:sz="12" w:space="0" w:color="auto"/>
            </w:tcBorders>
          </w:tcPr>
          <w:p w:rsidR="00000000" w:rsidRDefault="00000000">
            <w:pPr>
              <w:pStyle w:val="BodyTextIndent2"/>
              <w:spacing w:after="120" w:line="200" w:lineRule="exact"/>
              <w:ind w:left="0" w:firstLine="0"/>
              <w:jc w:val="right"/>
              <w:rPr>
                <w:i/>
                <w:sz w:val="14"/>
              </w:rPr>
            </w:pPr>
            <w:r>
              <w:rPr>
                <w:i/>
                <w:sz w:val="14"/>
              </w:rPr>
              <w:t>Women</w:t>
            </w:r>
          </w:p>
        </w:tc>
        <w:tc>
          <w:tcPr>
            <w:tcW w:w="540" w:type="dxa"/>
            <w:tcBorders>
              <w:top w:val="single" w:sz="4" w:space="0" w:color="auto"/>
              <w:bottom w:val="single" w:sz="12" w:space="0" w:color="auto"/>
            </w:tcBorders>
          </w:tcPr>
          <w:p w:rsidR="00000000" w:rsidRDefault="00000000">
            <w:pPr>
              <w:pStyle w:val="BodyTextIndent2"/>
              <w:spacing w:after="120" w:line="200" w:lineRule="exact"/>
              <w:ind w:left="0" w:firstLine="0"/>
              <w:jc w:val="right"/>
              <w:rPr>
                <w:i/>
                <w:sz w:val="14"/>
              </w:rPr>
            </w:pPr>
            <w:r>
              <w:rPr>
                <w:i/>
                <w:sz w:val="14"/>
              </w:rPr>
              <w:t>As a % of total</w:t>
            </w:r>
          </w:p>
        </w:tc>
        <w:tc>
          <w:tcPr>
            <w:tcW w:w="243" w:type="dxa"/>
            <w:tcBorders>
              <w:bottom w:val="single" w:sz="12" w:space="0" w:color="auto"/>
            </w:tcBorders>
          </w:tcPr>
          <w:p w:rsidR="00000000" w:rsidRDefault="00000000">
            <w:pPr>
              <w:pStyle w:val="BodyTextIndent2"/>
              <w:spacing w:after="120" w:line="200" w:lineRule="exact"/>
              <w:ind w:left="0" w:firstLine="0"/>
              <w:jc w:val="right"/>
              <w:rPr>
                <w:i/>
                <w:sz w:val="14"/>
              </w:rPr>
            </w:pPr>
          </w:p>
        </w:tc>
        <w:tc>
          <w:tcPr>
            <w:tcW w:w="828" w:type="dxa"/>
            <w:tcBorders>
              <w:top w:val="single" w:sz="4" w:space="0" w:color="auto"/>
              <w:bottom w:val="single" w:sz="12" w:space="0" w:color="auto"/>
            </w:tcBorders>
          </w:tcPr>
          <w:p w:rsidR="00000000" w:rsidRDefault="00000000">
            <w:pPr>
              <w:pStyle w:val="BodyTextIndent2"/>
              <w:spacing w:after="120" w:line="200" w:lineRule="exact"/>
              <w:ind w:left="0" w:firstLine="0"/>
              <w:jc w:val="right"/>
              <w:rPr>
                <w:i/>
                <w:sz w:val="14"/>
              </w:rPr>
            </w:pPr>
            <w:r>
              <w:rPr>
                <w:i/>
                <w:sz w:val="14"/>
              </w:rPr>
              <w:t>Women</w:t>
            </w:r>
          </w:p>
        </w:tc>
        <w:tc>
          <w:tcPr>
            <w:tcW w:w="610" w:type="dxa"/>
            <w:tcBorders>
              <w:top w:val="single" w:sz="4" w:space="0" w:color="auto"/>
              <w:bottom w:val="single" w:sz="12" w:space="0" w:color="auto"/>
            </w:tcBorders>
          </w:tcPr>
          <w:p w:rsidR="00000000" w:rsidRDefault="00000000">
            <w:pPr>
              <w:pStyle w:val="BodyTextIndent2"/>
              <w:spacing w:after="120" w:line="200" w:lineRule="exact"/>
              <w:ind w:left="0" w:firstLine="0"/>
              <w:jc w:val="right"/>
              <w:rPr>
                <w:i/>
                <w:sz w:val="14"/>
              </w:rPr>
            </w:pPr>
            <w:r>
              <w:rPr>
                <w:i/>
                <w:sz w:val="14"/>
              </w:rPr>
              <w:t>As a % of total</w:t>
            </w:r>
          </w:p>
        </w:tc>
        <w:tc>
          <w:tcPr>
            <w:tcW w:w="236" w:type="dxa"/>
            <w:tcBorders>
              <w:bottom w:val="single" w:sz="12" w:space="0" w:color="auto"/>
            </w:tcBorders>
          </w:tcPr>
          <w:p w:rsidR="00000000" w:rsidRDefault="00000000">
            <w:pPr>
              <w:pStyle w:val="BodyTextIndent2"/>
              <w:spacing w:after="120" w:line="200" w:lineRule="exact"/>
              <w:ind w:left="0" w:firstLine="0"/>
              <w:jc w:val="right"/>
              <w:rPr>
                <w:i/>
                <w:sz w:val="14"/>
              </w:rPr>
            </w:pPr>
          </w:p>
        </w:tc>
        <w:tc>
          <w:tcPr>
            <w:tcW w:w="855" w:type="dxa"/>
            <w:tcBorders>
              <w:top w:val="single" w:sz="4" w:space="0" w:color="auto"/>
              <w:bottom w:val="single" w:sz="12" w:space="0" w:color="auto"/>
            </w:tcBorders>
          </w:tcPr>
          <w:p w:rsidR="00000000" w:rsidRDefault="00000000">
            <w:pPr>
              <w:pStyle w:val="BodyTextIndent2"/>
              <w:spacing w:after="120" w:line="200" w:lineRule="exact"/>
              <w:ind w:left="0" w:firstLine="0"/>
              <w:jc w:val="right"/>
              <w:rPr>
                <w:i/>
                <w:sz w:val="14"/>
              </w:rPr>
            </w:pPr>
            <w:r>
              <w:rPr>
                <w:i/>
                <w:sz w:val="14"/>
              </w:rPr>
              <w:t>Women</w:t>
            </w:r>
          </w:p>
        </w:tc>
        <w:tc>
          <w:tcPr>
            <w:tcW w:w="549" w:type="dxa"/>
            <w:tcBorders>
              <w:top w:val="single" w:sz="4" w:space="0" w:color="auto"/>
              <w:bottom w:val="single" w:sz="12" w:space="0" w:color="auto"/>
            </w:tcBorders>
          </w:tcPr>
          <w:p w:rsidR="00000000" w:rsidRDefault="00000000">
            <w:pPr>
              <w:pStyle w:val="BodyTextIndent2"/>
              <w:spacing w:after="120" w:line="200" w:lineRule="exact"/>
              <w:ind w:left="0" w:firstLine="0"/>
              <w:jc w:val="right"/>
              <w:rPr>
                <w:i/>
                <w:sz w:val="14"/>
              </w:rPr>
            </w:pPr>
            <w:r>
              <w:rPr>
                <w:i/>
                <w:sz w:val="14"/>
              </w:rPr>
              <w:t>As a % of total</w:t>
            </w:r>
          </w:p>
        </w:tc>
      </w:tr>
      <w:tr w:rsidR="00000000">
        <w:tblPrEx>
          <w:tblCellMar>
            <w:top w:w="0" w:type="dxa"/>
            <w:bottom w:w="0" w:type="dxa"/>
          </w:tblCellMar>
        </w:tblPrEx>
        <w:tc>
          <w:tcPr>
            <w:tcW w:w="2133" w:type="dxa"/>
            <w:tcBorders>
              <w:top w:val="single" w:sz="12" w:space="0" w:color="auto"/>
            </w:tcBorders>
          </w:tcPr>
          <w:p w:rsidR="00000000" w:rsidRDefault="00000000">
            <w:pPr>
              <w:pStyle w:val="BodyTextIndent2"/>
              <w:tabs>
                <w:tab w:val="clear" w:pos="475"/>
                <w:tab w:val="clear" w:pos="965"/>
                <w:tab w:val="left" w:pos="171"/>
                <w:tab w:val="left" w:pos="351"/>
              </w:tabs>
              <w:spacing w:after="120"/>
              <w:ind w:left="0" w:firstLine="0"/>
              <w:jc w:val="left"/>
              <w:rPr>
                <w:sz w:val="17"/>
              </w:rPr>
            </w:pPr>
            <w:r>
              <w:rPr>
                <w:sz w:val="17"/>
              </w:rPr>
              <w:t>Number of those officially registered as unemployed at the end of the year</w:t>
            </w:r>
          </w:p>
        </w:tc>
        <w:tc>
          <w:tcPr>
            <w:tcW w:w="828" w:type="dxa"/>
            <w:tcBorders>
              <w:top w:val="single" w:sz="12" w:space="0" w:color="auto"/>
            </w:tcBorders>
          </w:tcPr>
          <w:p w:rsidR="00000000" w:rsidRDefault="00000000">
            <w:pPr>
              <w:pStyle w:val="BodyTextIndent2"/>
              <w:spacing w:after="120"/>
              <w:ind w:left="0" w:firstLine="0"/>
              <w:jc w:val="right"/>
              <w:rPr>
                <w:sz w:val="17"/>
              </w:rPr>
            </w:pPr>
            <w:r>
              <w:rPr>
                <w:sz w:val="17"/>
              </w:rPr>
              <w:t>45 409</w:t>
            </w:r>
          </w:p>
        </w:tc>
        <w:tc>
          <w:tcPr>
            <w:tcW w:w="556" w:type="dxa"/>
            <w:tcBorders>
              <w:top w:val="single" w:sz="12" w:space="0" w:color="auto"/>
            </w:tcBorders>
          </w:tcPr>
          <w:p w:rsidR="00000000" w:rsidRDefault="00000000">
            <w:pPr>
              <w:pStyle w:val="BodyTextIndent2"/>
              <w:spacing w:after="120"/>
              <w:ind w:left="0" w:firstLine="0"/>
              <w:jc w:val="right"/>
              <w:rPr>
                <w:sz w:val="17"/>
              </w:rPr>
            </w:pPr>
            <w:r>
              <w:rPr>
                <w:sz w:val="17"/>
              </w:rPr>
              <w:t>64.8</w:t>
            </w:r>
          </w:p>
        </w:tc>
        <w:tc>
          <w:tcPr>
            <w:tcW w:w="236" w:type="dxa"/>
            <w:tcBorders>
              <w:top w:val="single" w:sz="12" w:space="0" w:color="auto"/>
            </w:tcBorders>
          </w:tcPr>
          <w:p w:rsidR="00000000" w:rsidRDefault="00000000">
            <w:pPr>
              <w:pStyle w:val="BodyTextIndent2"/>
              <w:spacing w:after="120"/>
              <w:ind w:left="0" w:firstLine="0"/>
              <w:jc w:val="right"/>
              <w:rPr>
                <w:spacing w:val="-4"/>
                <w:sz w:val="2"/>
              </w:rPr>
            </w:pPr>
          </w:p>
        </w:tc>
        <w:tc>
          <w:tcPr>
            <w:tcW w:w="828" w:type="dxa"/>
            <w:tcBorders>
              <w:top w:val="single" w:sz="12" w:space="0" w:color="auto"/>
            </w:tcBorders>
          </w:tcPr>
          <w:p w:rsidR="00000000" w:rsidRDefault="00000000">
            <w:pPr>
              <w:pStyle w:val="BodyTextIndent2"/>
              <w:spacing w:after="120"/>
              <w:ind w:left="0" w:firstLine="0"/>
              <w:jc w:val="right"/>
              <w:rPr>
                <w:sz w:val="17"/>
              </w:rPr>
            </w:pPr>
            <w:r>
              <w:rPr>
                <w:sz w:val="17"/>
              </w:rPr>
              <w:t>83 957</w:t>
            </w:r>
          </w:p>
        </w:tc>
        <w:tc>
          <w:tcPr>
            <w:tcW w:w="540" w:type="dxa"/>
            <w:tcBorders>
              <w:top w:val="single" w:sz="12" w:space="0" w:color="auto"/>
            </w:tcBorders>
          </w:tcPr>
          <w:p w:rsidR="00000000" w:rsidRDefault="00000000">
            <w:pPr>
              <w:pStyle w:val="BodyTextIndent2"/>
              <w:spacing w:after="120"/>
              <w:ind w:left="0" w:firstLine="0"/>
              <w:jc w:val="right"/>
              <w:rPr>
                <w:sz w:val="17"/>
              </w:rPr>
            </w:pPr>
            <w:r>
              <w:rPr>
                <w:sz w:val="17"/>
              </w:rPr>
              <w:t>60.2</w:t>
            </w:r>
          </w:p>
        </w:tc>
        <w:tc>
          <w:tcPr>
            <w:tcW w:w="243" w:type="dxa"/>
            <w:tcBorders>
              <w:top w:val="single" w:sz="12" w:space="0" w:color="auto"/>
            </w:tcBorders>
          </w:tcPr>
          <w:p w:rsidR="00000000" w:rsidRDefault="00000000">
            <w:pPr>
              <w:pStyle w:val="BodyTextIndent2"/>
              <w:spacing w:after="120"/>
              <w:ind w:left="0" w:firstLine="0"/>
              <w:jc w:val="right"/>
              <w:rPr>
                <w:sz w:val="17"/>
              </w:rPr>
            </w:pPr>
          </w:p>
        </w:tc>
        <w:tc>
          <w:tcPr>
            <w:tcW w:w="819" w:type="dxa"/>
            <w:tcBorders>
              <w:top w:val="single" w:sz="12" w:space="0" w:color="auto"/>
            </w:tcBorders>
          </w:tcPr>
          <w:p w:rsidR="00000000" w:rsidRDefault="00000000">
            <w:pPr>
              <w:pStyle w:val="BodyTextIndent2"/>
              <w:spacing w:after="120"/>
              <w:ind w:left="0" w:firstLine="0"/>
              <w:jc w:val="right"/>
              <w:rPr>
                <w:sz w:val="17"/>
              </w:rPr>
            </w:pPr>
            <w:r>
              <w:rPr>
                <w:sz w:val="17"/>
              </w:rPr>
              <w:t>178 433</w:t>
            </w:r>
          </w:p>
        </w:tc>
        <w:tc>
          <w:tcPr>
            <w:tcW w:w="540" w:type="dxa"/>
            <w:tcBorders>
              <w:top w:val="single" w:sz="12" w:space="0" w:color="auto"/>
            </w:tcBorders>
          </w:tcPr>
          <w:p w:rsidR="00000000" w:rsidRDefault="00000000">
            <w:pPr>
              <w:pStyle w:val="BodyTextIndent2"/>
              <w:spacing w:after="120"/>
              <w:ind w:left="0" w:firstLine="0"/>
              <w:jc w:val="right"/>
              <w:rPr>
                <w:sz w:val="17"/>
              </w:rPr>
            </w:pPr>
            <w:r>
              <w:rPr>
                <w:sz w:val="17"/>
              </w:rPr>
              <w:t>63.2</w:t>
            </w:r>
          </w:p>
        </w:tc>
        <w:tc>
          <w:tcPr>
            <w:tcW w:w="243" w:type="dxa"/>
            <w:tcBorders>
              <w:top w:val="single" w:sz="12" w:space="0" w:color="auto"/>
            </w:tcBorders>
          </w:tcPr>
          <w:p w:rsidR="00000000" w:rsidRDefault="00000000">
            <w:pPr>
              <w:pStyle w:val="BodyTextIndent2"/>
              <w:spacing w:after="120"/>
              <w:ind w:left="0" w:firstLine="0"/>
              <w:jc w:val="right"/>
              <w:rPr>
                <w:sz w:val="17"/>
              </w:rPr>
            </w:pPr>
          </w:p>
        </w:tc>
        <w:tc>
          <w:tcPr>
            <w:tcW w:w="828" w:type="dxa"/>
            <w:tcBorders>
              <w:top w:val="single" w:sz="12" w:space="0" w:color="auto"/>
            </w:tcBorders>
          </w:tcPr>
          <w:p w:rsidR="00000000" w:rsidRDefault="00000000">
            <w:pPr>
              <w:pStyle w:val="BodyTextIndent2"/>
              <w:spacing w:after="120"/>
              <w:ind w:left="0" w:firstLine="0"/>
              <w:jc w:val="right"/>
              <w:rPr>
                <w:sz w:val="17"/>
              </w:rPr>
            </w:pPr>
            <w:r>
              <w:rPr>
                <w:sz w:val="17"/>
              </w:rPr>
              <w:t>171 498</w:t>
            </w:r>
          </w:p>
        </w:tc>
        <w:tc>
          <w:tcPr>
            <w:tcW w:w="610" w:type="dxa"/>
            <w:tcBorders>
              <w:top w:val="single" w:sz="12" w:space="0" w:color="auto"/>
            </w:tcBorders>
          </w:tcPr>
          <w:p w:rsidR="00000000" w:rsidRDefault="00000000">
            <w:pPr>
              <w:pStyle w:val="BodyTextIndent2"/>
              <w:spacing w:after="120"/>
              <w:ind w:left="0" w:firstLine="0"/>
              <w:jc w:val="right"/>
              <w:rPr>
                <w:sz w:val="17"/>
              </w:rPr>
            </w:pPr>
            <w:r>
              <w:rPr>
                <w:sz w:val="17"/>
              </w:rPr>
              <w:t>66.6</w:t>
            </w:r>
          </w:p>
        </w:tc>
        <w:tc>
          <w:tcPr>
            <w:tcW w:w="236" w:type="dxa"/>
            <w:tcBorders>
              <w:top w:val="single" w:sz="12" w:space="0" w:color="auto"/>
            </w:tcBorders>
          </w:tcPr>
          <w:p w:rsidR="00000000" w:rsidRDefault="00000000">
            <w:pPr>
              <w:pStyle w:val="BodyTextIndent2"/>
              <w:spacing w:after="120"/>
              <w:ind w:left="0" w:firstLine="0"/>
              <w:jc w:val="right"/>
              <w:rPr>
                <w:sz w:val="17"/>
              </w:rPr>
            </w:pPr>
          </w:p>
        </w:tc>
        <w:tc>
          <w:tcPr>
            <w:tcW w:w="855" w:type="dxa"/>
            <w:tcBorders>
              <w:top w:val="single" w:sz="12" w:space="0" w:color="auto"/>
            </w:tcBorders>
          </w:tcPr>
          <w:p w:rsidR="00000000" w:rsidRDefault="00000000">
            <w:pPr>
              <w:pStyle w:val="BodyTextIndent2"/>
              <w:spacing w:after="120"/>
              <w:ind w:left="0" w:firstLine="0"/>
              <w:jc w:val="right"/>
              <w:rPr>
                <w:sz w:val="17"/>
              </w:rPr>
            </w:pPr>
            <w:r>
              <w:rPr>
                <w:sz w:val="17"/>
              </w:rPr>
              <w:t>156 415</w:t>
            </w:r>
          </w:p>
        </w:tc>
        <w:tc>
          <w:tcPr>
            <w:tcW w:w="549" w:type="dxa"/>
            <w:tcBorders>
              <w:top w:val="single" w:sz="12" w:space="0" w:color="auto"/>
            </w:tcBorders>
          </w:tcPr>
          <w:p w:rsidR="00000000" w:rsidRDefault="00000000">
            <w:pPr>
              <w:pStyle w:val="BodyTextIndent2"/>
              <w:spacing w:after="120"/>
              <w:ind w:left="0" w:firstLine="0"/>
              <w:jc w:val="right"/>
              <w:rPr>
                <w:sz w:val="17"/>
              </w:rPr>
            </w:pPr>
            <w:r>
              <w:rPr>
                <w:sz w:val="17"/>
              </w:rPr>
              <w:t>62.1</w:t>
            </w:r>
          </w:p>
        </w:tc>
      </w:tr>
      <w:tr w:rsidR="00000000">
        <w:tblPrEx>
          <w:tblCellMar>
            <w:top w:w="0" w:type="dxa"/>
            <w:bottom w:w="0" w:type="dxa"/>
          </w:tblCellMar>
        </w:tblPrEx>
        <w:tc>
          <w:tcPr>
            <w:tcW w:w="2133" w:type="dxa"/>
          </w:tcPr>
          <w:p w:rsidR="00000000" w:rsidRDefault="00000000">
            <w:pPr>
              <w:pStyle w:val="BodyTextIndent2"/>
              <w:tabs>
                <w:tab w:val="clear" w:pos="475"/>
                <w:tab w:val="clear" w:pos="965"/>
                <w:tab w:val="left" w:pos="171"/>
                <w:tab w:val="left" w:pos="351"/>
              </w:tabs>
              <w:spacing w:after="120"/>
              <w:ind w:left="0" w:firstLine="0"/>
              <w:jc w:val="left"/>
              <w:rPr>
                <w:sz w:val="17"/>
              </w:rPr>
            </w:pPr>
            <w:r>
              <w:rPr>
                <w:sz w:val="17"/>
              </w:rPr>
              <w:t>Including residents of rural areas</w:t>
            </w:r>
          </w:p>
        </w:tc>
        <w:tc>
          <w:tcPr>
            <w:tcW w:w="828" w:type="dxa"/>
          </w:tcPr>
          <w:p w:rsidR="00000000" w:rsidRDefault="00000000">
            <w:pPr>
              <w:pStyle w:val="BodyTextIndent2"/>
              <w:spacing w:after="120"/>
              <w:ind w:left="0" w:firstLine="0"/>
              <w:jc w:val="right"/>
              <w:rPr>
                <w:sz w:val="17"/>
              </w:rPr>
            </w:pPr>
            <w:r>
              <w:rPr>
                <w:sz w:val="17"/>
              </w:rPr>
              <w:t>23 833</w:t>
            </w:r>
          </w:p>
        </w:tc>
        <w:tc>
          <w:tcPr>
            <w:tcW w:w="556" w:type="dxa"/>
          </w:tcPr>
          <w:p w:rsidR="00000000" w:rsidRDefault="00000000">
            <w:pPr>
              <w:pStyle w:val="BodyTextIndent2"/>
              <w:spacing w:after="120"/>
              <w:ind w:left="0" w:firstLine="0"/>
              <w:jc w:val="right"/>
              <w:rPr>
                <w:sz w:val="17"/>
              </w:rPr>
            </w:pPr>
            <w:r>
              <w:rPr>
                <w:sz w:val="17"/>
              </w:rPr>
              <w:t>63.4</w:t>
            </w:r>
          </w:p>
        </w:tc>
        <w:tc>
          <w:tcPr>
            <w:tcW w:w="236" w:type="dxa"/>
          </w:tcPr>
          <w:p w:rsidR="00000000" w:rsidRDefault="00000000">
            <w:pPr>
              <w:pStyle w:val="BodyTextIndent2"/>
              <w:spacing w:after="120"/>
              <w:ind w:left="0" w:firstLine="0"/>
              <w:jc w:val="right"/>
              <w:rPr>
                <w:spacing w:val="-4"/>
                <w:sz w:val="2"/>
              </w:rPr>
            </w:pPr>
          </w:p>
        </w:tc>
        <w:tc>
          <w:tcPr>
            <w:tcW w:w="828" w:type="dxa"/>
          </w:tcPr>
          <w:p w:rsidR="00000000" w:rsidRDefault="00000000">
            <w:pPr>
              <w:pStyle w:val="BodyTextIndent2"/>
              <w:spacing w:after="120"/>
              <w:ind w:left="0" w:firstLine="0"/>
              <w:jc w:val="right"/>
              <w:rPr>
                <w:sz w:val="17"/>
              </w:rPr>
            </w:pPr>
            <w:r>
              <w:rPr>
                <w:sz w:val="17"/>
              </w:rPr>
              <w:t>44 366</w:t>
            </w:r>
          </w:p>
        </w:tc>
        <w:tc>
          <w:tcPr>
            <w:tcW w:w="540" w:type="dxa"/>
          </w:tcPr>
          <w:p w:rsidR="00000000" w:rsidRDefault="00000000">
            <w:pPr>
              <w:pStyle w:val="BodyTextIndent2"/>
              <w:spacing w:after="120"/>
              <w:ind w:left="0" w:firstLine="0"/>
              <w:jc w:val="right"/>
              <w:rPr>
                <w:sz w:val="17"/>
              </w:rPr>
            </w:pPr>
            <w:r>
              <w:rPr>
                <w:sz w:val="17"/>
              </w:rPr>
              <w:t>58</w:t>
            </w:r>
          </w:p>
        </w:tc>
        <w:tc>
          <w:tcPr>
            <w:tcW w:w="243" w:type="dxa"/>
          </w:tcPr>
          <w:p w:rsidR="00000000" w:rsidRDefault="00000000">
            <w:pPr>
              <w:pStyle w:val="BodyTextIndent2"/>
              <w:spacing w:after="120"/>
              <w:ind w:left="0" w:firstLine="0"/>
              <w:jc w:val="right"/>
              <w:rPr>
                <w:sz w:val="17"/>
              </w:rPr>
            </w:pPr>
          </w:p>
        </w:tc>
        <w:tc>
          <w:tcPr>
            <w:tcW w:w="819" w:type="dxa"/>
          </w:tcPr>
          <w:p w:rsidR="00000000" w:rsidRDefault="00000000">
            <w:pPr>
              <w:pStyle w:val="BodyTextIndent2"/>
              <w:spacing w:after="120"/>
              <w:ind w:left="0" w:firstLine="0"/>
              <w:jc w:val="right"/>
              <w:rPr>
                <w:sz w:val="17"/>
              </w:rPr>
            </w:pPr>
            <w:r>
              <w:rPr>
                <w:sz w:val="17"/>
              </w:rPr>
              <w:t>80 616</w:t>
            </w:r>
          </w:p>
        </w:tc>
        <w:tc>
          <w:tcPr>
            <w:tcW w:w="540" w:type="dxa"/>
          </w:tcPr>
          <w:p w:rsidR="00000000" w:rsidRDefault="00000000">
            <w:pPr>
              <w:pStyle w:val="BodyTextIndent2"/>
              <w:spacing w:after="120"/>
              <w:ind w:left="0" w:firstLine="0"/>
              <w:jc w:val="right"/>
              <w:rPr>
                <w:sz w:val="17"/>
              </w:rPr>
            </w:pPr>
            <w:r>
              <w:rPr>
                <w:sz w:val="17"/>
              </w:rPr>
              <w:t>57.7</w:t>
            </w:r>
          </w:p>
        </w:tc>
        <w:tc>
          <w:tcPr>
            <w:tcW w:w="243" w:type="dxa"/>
          </w:tcPr>
          <w:p w:rsidR="00000000" w:rsidRDefault="00000000">
            <w:pPr>
              <w:pStyle w:val="BodyTextIndent2"/>
              <w:spacing w:after="120"/>
              <w:ind w:left="0" w:firstLine="0"/>
              <w:jc w:val="right"/>
              <w:rPr>
                <w:sz w:val="17"/>
              </w:rPr>
            </w:pPr>
          </w:p>
        </w:tc>
        <w:tc>
          <w:tcPr>
            <w:tcW w:w="828" w:type="dxa"/>
          </w:tcPr>
          <w:p w:rsidR="00000000" w:rsidRDefault="00000000">
            <w:pPr>
              <w:pStyle w:val="BodyTextIndent2"/>
              <w:spacing w:after="120"/>
              <w:ind w:left="0" w:firstLine="0"/>
              <w:jc w:val="right"/>
              <w:rPr>
                <w:sz w:val="17"/>
              </w:rPr>
            </w:pPr>
            <w:r>
              <w:rPr>
                <w:sz w:val="17"/>
              </w:rPr>
              <w:t>59195</w:t>
            </w:r>
          </w:p>
        </w:tc>
        <w:tc>
          <w:tcPr>
            <w:tcW w:w="610" w:type="dxa"/>
          </w:tcPr>
          <w:p w:rsidR="00000000" w:rsidRDefault="00000000">
            <w:pPr>
              <w:pStyle w:val="BodyTextIndent2"/>
              <w:spacing w:after="120"/>
              <w:ind w:left="0" w:firstLine="0"/>
              <w:jc w:val="right"/>
              <w:rPr>
                <w:sz w:val="17"/>
              </w:rPr>
            </w:pPr>
            <w:r>
              <w:rPr>
                <w:sz w:val="17"/>
              </w:rPr>
              <w:t>60.7</w:t>
            </w:r>
          </w:p>
        </w:tc>
        <w:tc>
          <w:tcPr>
            <w:tcW w:w="236" w:type="dxa"/>
          </w:tcPr>
          <w:p w:rsidR="00000000" w:rsidRDefault="00000000">
            <w:pPr>
              <w:pStyle w:val="BodyTextIndent2"/>
              <w:spacing w:after="120"/>
              <w:ind w:left="0" w:firstLine="0"/>
              <w:jc w:val="right"/>
              <w:rPr>
                <w:sz w:val="17"/>
              </w:rPr>
            </w:pPr>
          </w:p>
        </w:tc>
        <w:tc>
          <w:tcPr>
            <w:tcW w:w="855" w:type="dxa"/>
          </w:tcPr>
          <w:p w:rsidR="00000000" w:rsidRDefault="00000000">
            <w:pPr>
              <w:pStyle w:val="BodyTextIndent2"/>
              <w:spacing w:after="120"/>
              <w:ind w:left="0" w:firstLine="0"/>
              <w:jc w:val="right"/>
              <w:rPr>
                <w:sz w:val="17"/>
              </w:rPr>
            </w:pPr>
            <w:r>
              <w:rPr>
                <w:sz w:val="17"/>
              </w:rPr>
              <w:t>51 031</w:t>
            </w:r>
          </w:p>
        </w:tc>
        <w:tc>
          <w:tcPr>
            <w:tcW w:w="549" w:type="dxa"/>
          </w:tcPr>
          <w:p w:rsidR="00000000" w:rsidRDefault="00000000">
            <w:pPr>
              <w:pStyle w:val="BodyTextIndent2"/>
              <w:spacing w:after="120"/>
              <w:ind w:left="0" w:firstLine="0"/>
              <w:jc w:val="right"/>
              <w:rPr>
                <w:sz w:val="17"/>
              </w:rPr>
            </w:pPr>
            <w:r>
              <w:rPr>
                <w:sz w:val="17"/>
              </w:rPr>
              <w:t>54.7</w:t>
            </w:r>
          </w:p>
        </w:tc>
      </w:tr>
      <w:tr w:rsidR="00000000">
        <w:tblPrEx>
          <w:tblCellMar>
            <w:top w:w="0" w:type="dxa"/>
            <w:bottom w:w="0" w:type="dxa"/>
          </w:tblCellMar>
        </w:tblPrEx>
        <w:tc>
          <w:tcPr>
            <w:tcW w:w="2133" w:type="dxa"/>
          </w:tcPr>
          <w:p w:rsidR="00000000" w:rsidRDefault="00000000">
            <w:pPr>
              <w:pStyle w:val="BodyTextIndent2"/>
              <w:tabs>
                <w:tab w:val="clear" w:pos="475"/>
                <w:tab w:val="clear" w:pos="965"/>
                <w:tab w:val="left" w:pos="171"/>
                <w:tab w:val="left" w:pos="351"/>
              </w:tabs>
              <w:spacing w:after="120"/>
              <w:ind w:left="0" w:firstLine="0"/>
              <w:jc w:val="left"/>
              <w:rPr>
                <w:sz w:val="17"/>
              </w:rPr>
            </w:pPr>
            <w:r>
              <w:rPr>
                <w:sz w:val="17"/>
              </w:rPr>
              <w:t>Level of officially registered unemployment as a per cent of the economically active population at the end of the year</w:t>
            </w:r>
          </w:p>
        </w:tc>
        <w:tc>
          <w:tcPr>
            <w:tcW w:w="828" w:type="dxa"/>
          </w:tcPr>
          <w:p w:rsidR="00000000" w:rsidRDefault="00000000">
            <w:pPr>
              <w:pStyle w:val="BodyTextIndent2"/>
              <w:spacing w:after="120"/>
              <w:ind w:left="0" w:firstLine="0"/>
              <w:jc w:val="right"/>
              <w:rPr>
                <w:sz w:val="17"/>
              </w:rPr>
            </w:pPr>
            <w:r>
              <w:rPr>
                <w:sz w:val="17"/>
              </w:rPr>
              <w:t>x</w:t>
            </w:r>
          </w:p>
        </w:tc>
        <w:tc>
          <w:tcPr>
            <w:tcW w:w="556" w:type="dxa"/>
          </w:tcPr>
          <w:p w:rsidR="00000000" w:rsidRDefault="00000000">
            <w:pPr>
              <w:pStyle w:val="BodyTextIndent2"/>
              <w:spacing w:after="120"/>
              <w:ind w:left="0" w:firstLine="0"/>
              <w:jc w:val="right"/>
              <w:rPr>
                <w:sz w:val="17"/>
              </w:rPr>
            </w:pPr>
            <w:r>
              <w:rPr>
                <w:sz w:val="17"/>
              </w:rPr>
              <w:t>1.4</w:t>
            </w:r>
          </w:p>
        </w:tc>
        <w:tc>
          <w:tcPr>
            <w:tcW w:w="236" w:type="dxa"/>
          </w:tcPr>
          <w:p w:rsidR="00000000" w:rsidRDefault="00000000">
            <w:pPr>
              <w:pStyle w:val="BodyTextIndent2"/>
              <w:spacing w:after="120"/>
              <w:ind w:left="0" w:firstLine="0"/>
              <w:jc w:val="right"/>
              <w:rPr>
                <w:spacing w:val="-4"/>
                <w:sz w:val="2"/>
              </w:rPr>
            </w:pPr>
          </w:p>
        </w:tc>
        <w:tc>
          <w:tcPr>
            <w:tcW w:w="828" w:type="dxa"/>
          </w:tcPr>
          <w:p w:rsidR="00000000" w:rsidRDefault="00000000">
            <w:pPr>
              <w:pStyle w:val="BodyTextIndent2"/>
              <w:spacing w:after="120"/>
              <w:ind w:left="0" w:firstLine="0"/>
              <w:jc w:val="right"/>
              <w:rPr>
                <w:sz w:val="17"/>
              </w:rPr>
            </w:pPr>
            <w:r>
              <w:rPr>
                <w:sz w:val="17"/>
              </w:rPr>
              <w:t>x</w:t>
            </w:r>
          </w:p>
        </w:tc>
        <w:tc>
          <w:tcPr>
            <w:tcW w:w="540" w:type="dxa"/>
          </w:tcPr>
          <w:p w:rsidR="00000000" w:rsidRDefault="00000000">
            <w:pPr>
              <w:pStyle w:val="BodyTextIndent2"/>
              <w:spacing w:after="120"/>
              <w:ind w:left="0" w:firstLine="0"/>
              <w:jc w:val="right"/>
              <w:rPr>
                <w:sz w:val="17"/>
              </w:rPr>
            </w:pPr>
            <w:r>
              <w:rPr>
                <w:sz w:val="17"/>
              </w:rPr>
              <w:t>2.7</w:t>
            </w:r>
          </w:p>
        </w:tc>
        <w:tc>
          <w:tcPr>
            <w:tcW w:w="243" w:type="dxa"/>
          </w:tcPr>
          <w:p w:rsidR="00000000" w:rsidRDefault="00000000">
            <w:pPr>
              <w:pStyle w:val="BodyTextIndent2"/>
              <w:spacing w:after="120"/>
              <w:ind w:left="0" w:firstLine="0"/>
              <w:jc w:val="right"/>
              <w:rPr>
                <w:sz w:val="17"/>
              </w:rPr>
            </w:pPr>
          </w:p>
        </w:tc>
        <w:tc>
          <w:tcPr>
            <w:tcW w:w="819" w:type="dxa"/>
          </w:tcPr>
          <w:p w:rsidR="00000000" w:rsidRDefault="00000000">
            <w:pPr>
              <w:pStyle w:val="BodyTextIndent2"/>
              <w:spacing w:after="120"/>
              <w:ind w:left="0" w:firstLine="0"/>
              <w:jc w:val="right"/>
              <w:rPr>
                <w:sz w:val="17"/>
              </w:rPr>
            </w:pPr>
            <w:r>
              <w:rPr>
                <w:sz w:val="17"/>
              </w:rPr>
              <w:t>x</w:t>
            </w:r>
          </w:p>
        </w:tc>
        <w:tc>
          <w:tcPr>
            <w:tcW w:w="540" w:type="dxa"/>
          </w:tcPr>
          <w:p w:rsidR="00000000" w:rsidRDefault="00000000">
            <w:pPr>
              <w:pStyle w:val="BodyTextIndent2"/>
              <w:spacing w:after="120"/>
              <w:ind w:left="0" w:firstLine="0"/>
              <w:jc w:val="right"/>
              <w:rPr>
                <w:sz w:val="17"/>
              </w:rPr>
            </w:pPr>
            <w:r>
              <w:rPr>
                <w:sz w:val="17"/>
              </w:rPr>
              <w:t>5.6</w:t>
            </w:r>
          </w:p>
        </w:tc>
        <w:tc>
          <w:tcPr>
            <w:tcW w:w="243" w:type="dxa"/>
          </w:tcPr>
          <w:p w:rsidR="00000000" w:rsidRDefault="00000000">
            <w:pPr>
              <w:pStyle w:val="BodyTextIndent2"/>
              <w:spacing w:after="120"/>
              <w:ind w:left="0" w:firstLine="0"/>
              <w:jc w:val="right"/>
              <w:rPr>
                <w:sz w:val="17"/>
              </w:rPr>
            </w:pPr>
          </w:p>
        </w:tc>
        <w:tc>
          <w:tcPr>
            <w:tcW w:w="828" w:type="dxa"/>
          </w:tcPr>
          <w:p w:rsidR="00000000" w:rsidRDefault="00000000">
            <w:pPr>
              <w:pStyle w:val="BodyTextIndent2"/>
              <w:spacing w:after="120"/>
              <w:ind w:left="0" w:firstLine="0"/>
              <w:jc w:val="right"/>
              <w:rPr>
                <w:sz w:val="17"/>
              </w:rPr>
            </w:pPr>
            <w:r>
              <w:rPr>
                <w:sz w:val="17"/>
              </w:rPr>
              <w:t>x</w:t>
            </w:r>
          </w:p>
        </w:tc>
        <w:tc>
          <w:tcPr>
            <w:tcW w:w="610" w:type="dxa"/>
          </w:tcPr>
          <w:p w:rsidR="00000000" w:rsidRDefault="00000000">
            <w:pPr>
              <w:pStyle w:val="BodyTextIndent2"/>
              <w:spacing w:after="120"/>
              <w:ind w:left="0" w:firstLine="0"/>
              <w:jc w:val="right"/>
              <w:rPr>
                <w:sz w:val="17"/>
              </w:rPr>
            </w:pPr>
            <w:r>
              <w:rPr>
                <w:sz w:val="17"/>
              </w:rPr>
              <w:t>5.5</w:t>
            </w:r>
          </w:p>
        </w:tc>
        <w:tc>
          <w:tcPr>
            <w:tcW w:w="236" w:type="dxa"/>
          </w:tcPr>
          <w:p w:rsidR="00000000" w:rsidRDefault="00000000">
            <w:pPr>
              <w:pStyle w:val="BodyTextIndent2"/>
              <w:spacing w:after="120"/>
              <w:ind w:left="0" w:firstLine="0"/>
              <w:jc w:val="right"/>
              <w:rPr>
                <w:sz w:val="17"/>
              </w:rPr>
            </w:pPr>
          </w:p>
        </w:tc>
        <w:tc>
          <w:tcPr>
            <w:tcW w:w="855" w:type="dxa"/>
          </w:tcPr>
          <w:p w:rsidR="00000000" w:rsidRDefault="00000000">
            <w:pPr>
              <w:pStyle w:val="BodyTextIndent2"/>
              <w:spacing w:after="120"/>
              <w:ind w:left="0" w:firstLine="0"/>
              <w:jc w:val="right"/>
              <w:rPr>
                <w:sz w:val="17"/>
              </w:rPr>
            </w:pPr>
            <w:r>
              <w:rPr>
                <w:sz w:val="17"/>
              </w:rPr>
              <w:t>x</w:t>
            </w:r>
          </w:p>
        </w:tc>
        <w:tc>
          <w:tcPr>
            <w:tcW w:w="549" w:type="dxa"/>
          </w:tcPr>
          <w:p w:rsidR="00000000" w:rsidRDefault="00000000">
            <w:pPr>
              <w:pStyle w:val="BodyTextIndent2"/>
              <w:spacing w:after="120"/>
              <w:ind w:left="0" w:firstLine="0"/>
              <w:jc w:val="right"/>
              <w:rPr>
                <w:sz w:val="17"/>
              </w:rPr>
            </w:pPr>
            <w:r>
              <w:rPr>
                <w:sz w:val="17"/>
              </w:rPr>
              <w:t>5.0*</w:t>
            </w:r>
          </w:p>
        </w:tc>
      </w:tr>
      <w:tr w:rsidR="00000000">
        <w:tblPrEx>
          <w:tblCellMar>
            <w:top w:w="0" w:type="dxa"/>
            <w:bottom w:w="0" w:type="dxa"/>
          </w:tblCellMar>
        </w:tblPrEx>
        <w:tc>
          <w:tcPr>
            <w:tcW w:w="2133" w:type="dxa"/>
          </w:tcPr>
          <w:p w:rsidR="00000000" w:rsidRDefault="00000000">
            <w:pPr>
              <w:pStyle w:val="BodyTextIndent2"/>
              <w:tabs>
                <w:tab w:val="clear" w:pos="475"/>
                <w:tab w:val="clear" w:pos="965"/>
                <w:tab w:val="left" w:pos="171"/>
                <w:tab w:val="left" w:pos="351"/>
              </w:tabs>
              <w:spacing w:after="120"/>
              <w:ind w:left="0" w:firstLine="0"/>
              <w:jc w:val="left"/>
              <w:rPr>
                <w:sz w:val="17"/>
              </w:rPr>
            </w:pPr>
            <w:r>
              <w:rPr>
                <w:sz w:val="17"/>
              </w:rPr>
              <w:t>Those who applied for jobs during the year</w:t>
            </w:r>
          </w:p>
        </w:tc>
        <w:tc>
          <w:tcPr>
            <w:tcW w:w="828" w:type="dxa"/>
          </w:tcPr>
          <w:p w:rsidR="00000000" w:rsidRDefault="00000000">
            <w:pPr>
              <w:pStyle w:val="BodyTextIndent2"/>
              <w:spacing w:after="120"/>
              <w:ind w:left="0" w:firstLine="0"/>
              <w:jc w:val="right"/>
              <w:rPr>
                <w:sz w:val="17"/>
              </w:rPr>
            </w:pPr>
            <w:r>
              <w:rPr>
                <w:sz w:val="17"/>
              </w:rPr>
              <w:t>136 219</w:t>
            </w:r>
          </w:p>
        </w:tc>
        <w:tc>
          <w:tcPr>
            <w:tcW w:w="556" w:type="dxa"/>
          </w:tcPr>
          <w:p w:rsidR="00000000" w:rsidRDefault="00000000">
            <w:pPr>
              <w:pStyle w:val="BodyTextIndent2"/>
              <w:spacing w:after="120"/>
              <w:ind w:left="0" w:firstLine="0"/>
              <w:jc w:val="right"/>
              <w:rPr>
                <w:sz w:val="17"/>
              </w:rPr>
            </w:pPr>
            <w:r>
              <w:rPr>
                <w:sz w:val="17"/>
              </w:rPr>
              <w:t>50.3</w:t>
            </w:r>
          </w:p>
        </w:tc>
        <w:tc>
          <w:tcPr>
            <w:tcW w:w="236" w:type="dxa"/>
          </w:tcPr>
          <w:p w:rsidR="00000000" w:rsidRDefault="00000000">
            <w:pPr>
              <w:pStyle w:val="BodyTextIndent2"/>
              <w:spacing w:after="120"/>
              <w:ind w:left="0" w:firstLine="0"/>
              <w:jc w:val="right"/>
              <w:rPr>
                <w:spacing w:val="-4"/>
                <w:sz w:val="2"/>
              </w:rPr>
            </w:pPr>
          </w:p>
        </w:tc>
        <w:tc>
          <w:tcPr>
            <w:tcW w:w="828" w:type="dxa"/>
          </w:tcPr>
          <w:p w:rsidR="00000000" w:rsidRDefault="00000000">
            <w:pPr>
              <w:pStyle w:val="BodyTextIndent2"/>
              <w:spacing w:after="120"/>
              <w:ind w:left="0" w:firstLine="0"/>
              <w:jc w:val="right"/>
              <w:rPr>
                <w:sz w:val="17"/>
              </w:rPr>
            </w:pPr>
            <w:r>
              <w:rPr>
                <w:sz w:val="17"/>
              </w:rPr>
              <w:t>177 848</w:t>
            </w:r>
          </w:p>
        </w:tc>
        <w:tc>
          <w:tcPr>
            <w:tcW w:w="540" w:type="dxa"/>
          </w:tcPr>
          <w:p w:rsidR="00000000" w:rsidRDefault="00000000">
            <w:pPr>
              <w:pStyle w:val="BodyTextIndent2"/>
              <w:spacing w:after="120"/>
              <w:ind w:left="0" w:firstLine="0"/>
              <w:jc w:val="right"/>
              <w:rPr>
                <w:sz w:val="17"/>
              </w:rPr>
            </w:pPr>
            <w:r>
              <w:rPr>
                <w:sz w:val="17"/>
              </w:rPr>
              <w:t>50.5</w:t>
            </w:r>
          </w:p>
        </w:tc>
        <w:tc>
          <w:tcPr>
            <w:tcW w:w="243" w:type="dxa"/>
          </w:tcPr>
          <w:p w:rsidR="00000000" w:rsidRDefault="00000000">
            <w:pPr>
              <w:pStyle w:val="BodyTextIndent2"/>
              <w:spacing w:after="120"/>
              <w:ind w:left="0" w:firstLine="0"/>
              <w:jc w:val="right"/>
              <w:rPr>
                <w:sz w:val="17"/>
              </w:rPr>
            </w:pPr>
          </w:p>
        </w:tc>
        <w:tc>
          <w:tcPr>
            <w:tcW w:w="819" w:type="dxa"/>
          </w:tcPr>
          <w:p w:rsidR="00000000" w:rsidRDefault="00000000">
            <w:pPr>
              <w:pStyle w:val="BodyTextIndent2"/>
              <w:spacing w:after="120"/>
              <w:ind w:left="0" w:firstLine="0"/>
              <w:jc w:val="right"/>
              <w:rPr>
                <w:sz w:val="17"/>
              </w:rPr>
            </w:pPr>
            <w:r>
              <w:rPr>
                <w:sz w:val="17"/>
              </w:rPr>
              <w:t>313 546</w:t>
            </w:r>
          </w:p>
        </w:tc>
        <w:tc>
          <w:tcPr>
            <w:tcW w:w="540" w:type="dxa"/>
          </w:tcPr>
          <w:p w:rsidR="00000000" w:rsidRDefault="00000000">
            <w:pPr>
              <w:pStyle w:val="BodyTextIndent2"/>
              <w:spacing w:after="120"/>
              <w:ind w:left="0" w:firstLine="0"/>
              <w:jc w:val="right"/>
              <w:rPr>
                <w:sz w:val="17"/>
              </w:rPr>
            </w:pPr>
            <w:r>
              <w:rPr>
                <w:sz w:val="17"/>
              </w:rPr>
              <w:t>55.8</w:t>
            </w:r>
          </w:p>
        </w:tc>
        <w:tc>
          <w:tcPr>
            <w:tcW w:w="243" w:type="dxa"/>
          </w:tcPr>
          <w:p w:rsidR="00000000" w:rsidRDefault="00000000">
            <w:pPr>
              <w:pStyle w:val="BodyTextIndent2"/>
              <w:spacing w:after="120"/>
              <w:ind w:left="0" w:firstLine="0"/>
              <w:jc w:val="right"/>
              <w:rPr>
                <w:sz w:val="17"/>
              </w:rPr>
            </w:pPr>
          </w:p>
        </w:tc>
        <w:tc>
          <w:tcPr>
            <w:tcW w:w="828" w:type="dxa"/>
          </w:tcPr>
          <w:p w:rsidR="00000000" w:rsidRDefault="00000000">
            <w:pPr>
              <w:pStyle w:val="BodyTextIndent2"/>
              <w:spacing w:after="120"/>
              <w:ind w:left="0" w:firstLine="0"/>
              <w:jc w:val="right"/>
              <w:rPr>
                <w:sz w:val="17"/>
              </w:rPr>
            </w:pPr>
            <w:r>
              <w:rPr>
                <w:sz w:val="17"/>
              </w:rPr>
              <w:t>316 971</w:t>
            </w:r>
          </w:p>
        </w:tc>
        <w:tc>
          <w:tcPr>
            <w:tcW w:w="610" w:type="dxa"/>
          </w:tcPr>
          <w:p w:rsidR="00000000" w:rsidRDefault="00000000">
            <w:pPr>
              <w:pStyle w:val="BodyTextIndent2"/>
              <w:spacing w:after="120"/>
              <w:ind w:left="0" w:firstLine="0"/>
              <w:jc w:val="right"/>
              <w:rPr>
                <w:sz w:val="17"/>
              </w:rPr>
            </w:pPr>
            <w:r>
              <w:rPr>
                <w:sz w:val="17"/>
              </w:rPr>
              <w:t>59.4</w:t>
            </w:r>
          </w:p>
        </w:tc>
        <w:tc>
          <w:tcPr>
            <w:tcW w:w="236" w:type="dxa"/>
          </w:tcPr>
          <w:p w:rsidR="00000000" w:rsidRDefault="00000000">
            <w:pPr>
              <w:pStyle w:val="BodyTextIndent2"/>
              <w:spacing w:after="120"/>
              <w:ind w:left="0" w:firstLine="0"/>
              <w:jc w:val="right"/>
              <w:rPr>
                <w:sz w:val="17"/>
              </w:rPr>
            </w:pPr>
          </w:p>
        </w:tc>
        <w:tc>
          <w:tcPr>
            <w:tcW w:w="855" w:type="dxa"/>
          </w:tcPr>
          <w:p w:rsidR="00000000" w:rsidRDefault="00000000">
            <w:pPr>
              <w:pStyle w:val="BodyTextIndent2"/>
              <w:spacing w:after="120"/>
              <w:ind w:left="0" w:firstLine="0"/>
              <w:jc w:val="right"/>
              <w:rPr>
                <w:sz w:val="17"/>
              </w:rPr>
            </w:pPr>
            <w:r>
              <w:rPr>
                <w:sz w:val="17"/>
              </w:rPr>
              <w:t>295 939</w:t>
            </w:r>
          </w:p>
        </w:tc>
        <w:tc>
          <w:tcPr>
            <w:tcW w:w="549" w:type="dxa"/>
          </w:tcPr>
          <w:p w:rsidR="00000000" w:rsidRDefault="00000000">
            <w:pPr>
              <w:pStyle w:val="BodyTextIndent2"/>
              <w:spacing w:after="120"/>
              <w:ind w:left="0" w:firstLine="0"/>
              <w:jc w:val="right"/>
              <w:rPr>
                <w:sz w:val="17"/>
              </w:rPr>
            </w:pPr>
            <w:r>
              <w:rPr>
                <w:sz w:val="17"/>
              </w:rPr>
              <w:t>55.1</w:t>
            </w:r>
          </w:p>
        </w:tc>
      </w:tr>
      <w:tr w:rsidR="00000000">
        <w:tblPrEx>
          <w:tblCellMar>
            <w:top w:w="0" w:type="dxa"/>
            <w:bottom w:w="0" w:type="dxa"/>
          </w:tblCellMar>
        </w:tblPrEx>
        <w:tc>
          <w:tcPr>
            <w:tcW w:w="2133" w:type="dxa"/>
          </w:tcPr>
          <w:p w:rsidR="00000000" w:rsidRDefault="00000000">
            <w:pPr>
              <w:pStyle w:val="BodyTextIndent2"/>
              <w:tabs>
                <w:tab w:val="clear" w:pos="475"/>
                <w:tab w:val="clear" w:pos="965"/>
                <w:tab w:val="left" w:pos="171"/>
                <w:tab w:val="left" w:pos="351"/>
              </w:tabs>
              <w:spacing w:after="120"/>
              <w:ind w:left="0" w:firstLine="0"/>
              <w:jc w:val="left"/>
              <w:rPr>
                <w:sz w:val="17"/>
              </w:rPr>
            </w:pPr>
            <w:r>
              <w:rPr>
                <w:sz w:val="17"/>
              </w:rPr>
              <w:t>Placed in jobs during the year</w:t>
            </w:r>
          </w:p>
        </w:tc>
        <w:tc>
          <w:tcPr>
            <w:tcW w:w="828" w:type="dxa"/>
          </w:tcPr>
          <w:p w:rsidR="00000000" w:rsidRDefault="00000000">
            <w:pPr>
              <w:pStyle w:val="BodyTextIndent2"/>
              <w:spacing w:after="120"/>
              <w:ind w:left="0" w:firstLine="0"/>
              <w:jc w:val="right"/>
              <w:rPr>
                <w:sz w:val="17"/>
              </w:rPr>
            </w:pPr>
            <w:r>
              <w:rPr>
                <w:sz w:val="17"/>
              </w:rPr>
              <w:t>39 560</w:t>
            </w:r>
          </w:p>
        </w:tc>
        <w:tc>
          <w:tcPr>
            <w:tcW w:w="556" w:type="dxa"/>
          </w:tcPr>
          <w:p w:rsidR="00000000" w:rsidRDefault="00000000">
            <w:pPr>
              <w:pStyle w:val="BodyTextIndent2"/>
              <w:spacing w:after="120"/>
              <w:ind w:left="0" w:firstLine="0"/>
              <w:jc w:val="right"/>
              <w:rPr>
                <w:sz w:val="17"/>
              </w:rPr>
            </w:pPr>
            <w:r>
              <w:rPr>
                <w:sz w:val="17"/>
              </w:rPr>
              <w:t>42.3</w:t>
            </w:r>
          </w:p>
        </w:tc>
        <w:tc>
          <w:tcPr>
            <w:tcW w:w="236" w:type="dxa"/>
          </w:tcPr>
          <w:p w:rsidR="00000000" w:rsidRDefault="00000000">
            <w:pPr>
              <w:pStyle w:val="BodyTextIndent2"/>
              <w:spacing w:after="120"/>
              <w:ind w:left="0" w:firstLine="0"/>
              <w:jc w:val="right"/>
              <w:rPr>
                <w:spacing w:val="-4"/>
                <w:sz w:val="2"/>
              </w:rPr>
            </w:pPr>
          </w:p>
        </w:tc>
        <w:tc>
          <w:tcPr>
            <w:tcW w:w="828" w:type="dxa"/>
          </w:tcPr>
          <w:p w:rsidR="00000000" w:rsidRDefault="00000000">
            <w:pPr>
              <w:pStyle w:val="BodyTextIndent2"/>
              <w:spacing w:after="120"/>
              <w:ind w:left="0" w:firstLine="0"/>
              <w:jc w:val="right"/>
              <w:rPr>
                <w:sz w:val="17"/>
              </w:rPr>
            </w:pPr>
            <w:r>
              <w:rPr>
                <w:sz w:val="17"/>
              </w:rPr>
              <w:t>36 779</w:t>
            </w:r>
          </w:p>
        </w:tc>
        <w:tc>
          <w:tcPr>
            <w:tcW w:w="540" w:type="dxa"/>
          </w:tcPr>
          <w:p w:rsidR="00000000" w:rsidRDefault="00000000">
            <w:pPr>
              <w:pStyle w:val="BodyTextIndent2"/>
              <w:spacing w:after="120"/>
              <w:ind w:left="0" w:firstLine="0"/>
              <w:jc w:val="right"/>
              <w:rPr>
                <w:sz w:val="17"/>
              </w:rPr>
            </w:pPr>
            <w:r>
              <w:rPr>
                <w:sz w:val="17"/>
              </w:rPr>
              <w:t>39.9</w:t>
            </w:r>
          </w:p>
        </w:tc>
        <w:tc>
          <w:tcPr>
            <w:tcW w:w="243" w:type="dxa"/>
          </w:tcPr>
          <w:p w:rsidR="00000000" w:rsidRDefault="00000000">
            <w:pPr>
              <w:pStyle w:val="BodyTextIndent2"/>
              <w:spacing w:after="120"/>
              <w:ind w:left="0" w:firstLine="0"/>
              <w:jc w:val="right"/>
              <w:rPr>
                <w:sz w:val="17"/>
              </w:rPr>
            </w:pPr>
          </w:p>
        </w:tc>
        <w:tc>
          <w:tcPr>
            <w:tcW w:w="819" w:type="dxa"/>
          </w:tcPr>
          <w:p w:rsidR="00000000" w:rsidRDefault="00000000">
            <w:pPr>
              <w:pStyle w:val="BodyTextIndent2"/>
              <w:spacing w:after="120"/>
              <w:ind w:left="0" w:firstLine="0"/>
              <w:jc w:val="right"/>
              <w:rPr>
                <w:sz w:val="17"/>
              </w:rPr>
            </w:pPr>
            <w:r>
              <w:rPr>
                <w:sz w:val="17"/>
              </w:rPr>
              <w:t>40 887</w:t>
            </w:r>
          </w:p>
        </w:tc>
        <w:tc>
          <w:tcPr>
            <w:tcW w:w="540" w:type="dxa"/>
          </w:tcPr>
          <w:p w:rsidR="00000000" w:rsidRDefault="00000000">
            <w:pPr>
              <w:pStyle w:val="BodyTextIndent2"/>
              <w:spacing w:after="120"/>
              <w:ind w:left="0" w:firstLine="0"/>
              <w:jc w:val="right"/>
              <w:rPr>
                <w:sz w:val="17"/>
              </w:rPr>
            </w:pPr>
            <w:r>
              <w:rPr>
                <w:sz w:val="17"/>
              </w:rPr>
              <w:t>40.7</w:t>
            </w:r>
          </w:p>
        </w:tc>
        <w:tc>
          <w:tcPr>
            <w:tcW w:w="243" w:type="dxa"/>
          </w:tcPr>
          <w:p w:rsidR="00000000" w:rsidRDefault="00000000">
            <w:pPr>
              <w:pStyle w:val="BodyTextIndent2"/>
              <w:spacing w:after="120"/>
              <w:ind w:left="0" w:firstLine="0"/>
              <w:jc w:val="right"/>
              <w:rPr>
                <w:sz w:val="17"/>
              </w:rPr>
            </w:pPr>
          </w:p>
        </w:tc>
        <w:tc>
          <w:tcPr>
            <w:tcW w:w="828" w:type="dxa"/>
          </w:tcPr>
          <w:p w:rsidR="00000000" w:rsidRDefault="00000000">
            <w:pPr>
              <w:pStyle w:val="BodyTextIndent2"/>
              <w:spacing w:after="120"/>
              <w:ind w:left="0" w:firstLine="0"/>
              <w:jc w:val="right"/>
              <w:rPr>
                <w:sz w:val="17"/>
              </w:rPr>
            </w:pPr>
            <w:r>
              <w:rPr>
                <w:sz w:val="17"/>
              </w:rPr>
              <w:t>42 262</w:t>
            </w:r>
          </w:p>
        </w:tc>
        <w:tc>
          <w:tcPr>
            <w:tcW w:w="610" w:type="dxa"/>
          </w:tcPr>
          <w:p w:rsidR="00000000" w:rsidRDefault="00000000">
            <w:pPr>
              <w:pStyle w:val="BodyTextIndent2"/>
              <w:spacing w:after="120"/>
              <w:ind w:left="0" w:firstLine="0"/>
              <w:jc w:val="right"/>
              <w:rPr>
                <w:sz w:val="17"/>
              </w:rPr>
            </w:pPr>
            <w:r>
              <w:rPr>
                <w:sz w:val="17"/>
              </w:rPr>
              <w:t>43.8</w:t>
            </w:r>
          </w:p>
        </w:tc>
        <w:tc>
          <w:tcPr>
            <w:tcW w:w="236" w:type="dxa"/>
          </w:tcPr>
          <w:p w:rsidR="00000000" w:rsidRDefault="00000000">
            <w:pPr>
              <w:pStyle w:val="BodyTextIndent2"/>
              <w:spacing w:after="120"/>
              <w:ind w:left="0" w:firstLine="0"/>
              <w:jc w:val="right"/>
              <w:rPr>
                <w:sz w:val="17"/>
              </w:rPr>
            </w:pPr>
          </w:p>
        </w:tc>
        <w:tc>
          <w:tcPr>
            <w:tcW w:w="855" w:type="dxa"/>
          </w:tcPr>
          <w:p w:rsidR="00000000" w:rsidRDefault="00000000">
            <w:pPr>
              <w:pStyle w:val="BodyTextIndent2"/>
              <w:spacing w:after="120"/>
              <w:ind w:left="0" w:firstLine="0"/>
              <w:jc w:val="right"/>
              <w:rPr>
                <w:sz w:val="17"/>
              </w:rPr>
            </w:pPr>
            <w:r>
              <w:rPr>
                <w:sz w:val="17"/>
              </w:rPr>
              <w:t>49 317</w:t>
            </w:r>
          </w:p>
        </w:tc>
        <w:tc>
          <w:tcPr>
            <w:tcW w:w="549" w:type="dxa"/>
          </w:tcPr>
          <w:p w:rsidR="00000000" w:rsidRDefault="00000000">
            <w:pPr>
              <w:pStyle w:val="BodyTextIndent2"/>
              <w:spacing w:after="120"/>
              <w:ind w:left="0" w:firstLine="0"/>
              <w:jc w:val="right"/>
              <w:rPr>
                <w:sz w:val="17"/>
              </w:rPr>
            </w:pPr>
            <w:r>
              <w:rPr>
                <w:sz w:val="17"/>
              </w:rPr>
              <w:t>46.8</w:t>
            </w:r>
          </w:p>
        </w:tc>
      </w:tr>
      <w:tr w:rsidR="00000000">
        <w:tblPrEx>
          <w:tblCellMar>
            <w:top w:w="0" w:type="dxa"/>
            <w:bottom w:w="0" w:type="dxa"/>
          </w:tblCellMar>
        </w:tblPrEx>
        <w:tc>
          <w:tcPr>
            <w:tcW w:w="2133" w:type="dxa"/>
          </w:tcPr>
          <w:p w:rsidR="00000000" w:rsidRDefault="00000000">
            <w:pPr>
              <w:pStyle w:val="BodyTextIndent2"/>
              <w:tabs>
                <w:tab w:val="clear" w:pos="475"/>
                <w:tab w:val="clear" w:pos="965"/>
                <w:tab w:val="left" w:pos="171"/>
                <w:tab w:val="left" w:pos="351"/>
              </w:tabs>
              <w:spacing w:after="120"/>
              <w:ind w:left="0" w:firstLine="0"/>
              <w:jc w:val="left"/>
              <w:rPr>
                <w:sz w:val="17"/>
              </w:rPr>
            </w:pPr>
            <w:r>
              <w:rPr>
                <w:sz w:val="17"/>
              </w:rPr>
              <w:tab/>
              <w:t>Comprising:</w:t>
            </w:r>
          </w:p>
        </w:tc>
        <w:tc>
          <w:tcPr>
            <w:tcW w:w="828" w:type="dxa"/>
          </w:tcPr>
          <w:p w:rsidR="00000000" w:rsidRDefault="00000000">
            <w:pPr>
              <w:pStyle w:val="BodyTextIndent2"/>
              <w:spacing w:after="120"/>
              <w:ind w:left="0" w:firstLine="0"/>
              <w:jc w:val="right"/>
              <w:rPr>
                <w:sz w:val="17"/>
              </w:rPr>
            </w:pPr>
          </w:p>
        </w:tc>
        <w:tc>
          <w:tcPr>
            <w:tcW w:w="556" w:type="dxa"/>
          </w:tcPr>
          <w:p w:rsidR="00000000" w:rsidRDefault="00000000">
            <w:pPr>
              <w:pStyle w:val="BodyTextIndent2"/>
              <w:spacing w:after="120"/>
              <w:ind w:left="0" w:firstLine="0"/>
              <w:jc w:val="right"/>
              <w:rPr>
                <w:sz w:val="17"/>
              </w:rPr>
            </w:pPr>
          </w:p>
        </w:tc>
        <w:tc>
          <w:tcPr>
            <w:tcW w:w="236" w:type="dxa"/>
          </w:tcPr>
          <w:p w:rsidR="00000000" w:rsidRDefault="00000000">
            <w:pPr>
              <w:pStyle w:val="BodyTextIndent2"/>
              <w:spacing w:after="120"/>
              <w:ind w:left="0" w:firstLine="0"/>
              <w:jc w:val="right"/>
              <w:rPr>
                <w:spacing w:val="-4"/>
                <w:sz w:val="2"/>
              </w:rPr>
            </w:pPr>
          </w:p>
        </w:tc>
        <w:tc>
          <w:tcPr>
            <w:tcW w:w="828" w:type="dxa"/>
          </w:tcPr>
          <w:p w:rsidR="00000000" w:rsidRDefault="00000000">
            <w:pPr>
              <w:pStyle w:val="BodyTextIndent2"/>
              <w:spacing w:after="120"/>
              <w:ind w:left="0" w:firstLine="0"/>
              <w:jc w:val="right"/>
              <w:rPr>
                <w:sz w:val="17"/>
              </w:rPr>
            </w:pPr>
          </w:p>
        </w:tc>
        <w:tc>
          <w:tcPr>
            <w:tcW w:w="540" w:type="dxa"/>
          </w:tcPr>
          <w:p w:rsidR="00000000" w:rsidRDefault="00000000">
            <w:pPr>
              <w:pStyle w:val="BodyTextIndent2"/>
              <w:spacing w:after="120"/>
              <w:ind w:left="0" w:firstLine="0"/>
              <w:jc w:val="right"/>
              <w:rPr>
                <w:sz w:val="17"/>
              </w:rPr>
            </w:pPr>
          </w:p>
        </w:tc>
        <w:tc>
          <w:tcPr>
            <w:tcW w:w="243" w:type="dxa"/>
          </w:tcPr>
          <w:p w:rsidR="00000000" w:rsidRDefault="00000000">
            <w:pPr>
              <w:pStyle w:val="BodyTextIndent2"/>
              <w:spacing w:after="120"/>
              <w:ind w:left="0" w:firstLine="0"/>
              <w:jc w:val="right"/>
              <w:rPr>
                <w:sz w:val="17"/>
              </w:rPr>
            </w:pPr>
          </w:p>
        </w:tc>
        <w:tc>
          <w:tcPr>
            <w:tcW w:w="819" w:type="dxa"/>
          </w:tcPr>
          <w:p w:rsidR="00000000" w:rsidRDefault="00000000">
            <w:pPr>
              <w:pStyle w:val="BodyTextIndent2"/>
              <w:spacing w:after="120"/>
              <w:ind w:left="0" w:firstLine="0"/>
              <w:jc w:val="right"/>
              <w:rPr>
                <w:sz w:val="17"/>
              </w:rPr>
            </w:pPr>
          </w:p>
        </w:tc>
        <w:tc>
          <w:tcPr>
            <w:tcW w:w="540" w:type="dxa"/>
          </w:tcPr>
          <w:p w:rsidR="00000000" w:rsidRDefault="00000000">
            <w:pPr>
              <w:pStyle w:val="BodyTextIndent2"/>
              <w:spacing w:after="120"/>
              <w:ind w:left="0" w:firstLine="0"/>
              <w:jc w:val="right"/>
              <w:rPr>
                <w:sz w:val="17"/>
              </w:rPr>
            </w:pPr>
          </w:p>
        </w:tc>
        <w:tc>
          <w:tcPr>
            <w:tcW w:w="243" w:type="dxa"/>
          </w:tcPr>
          <w:p w:rsidR="00000000" w:rsidRDefault="00000000">
            <w:pPr>
              <w:pStyle w:val="BodyTextIndent2"/>
              <w:spacing w:after="120"/>
              <w:ind w:left="0" w:firstLine="0"/>
              <w:jc w:val="right"/>
              <w:rPr>
                <w:sz w:val="17"/>
              </w:rPr>
            </w:pPr>
          </w:p>
        </w:tc>
        <w:tc>
          <w:tcPr>
            <w:tcW w:w="828" w:type="dxa"/>
          </w:tcPr>
          <w:p w:rsidR="00000000" w:rsidRDefault="00000000">
            <w:pPr>
              <w:pStyle w:val="BodyTextIndent2"/>
              <w:spacing w:after="120"/>
              <w:ind w:left="0" w:firstLine="0"/>
              <w:jc w:val="right"/>
              <w:rPr>
                <w:sz w:val="17"/>
              </w:rPr>
            </w:pPr>
          </w:p>
        </w:tc>
        <w:tc>
          <w:tcPr>
            <w:tcW w:w="610" w:type="dxa"/>
          </w:tcPr>
          <w:p w:rsidR="00000000" w:rsidRDefault="00000000">
            <w:pPr>
              <w:pStyle w:val="BodyTextIndent2"/>
              <w:spacing w:after="120"/>
              <w:ind w:left="0" w:firstLine="0"/>
              <w:jc w:val="right"/>
              <w:rPr>
                <w:sz w:val="17"/>
              </w:rPr>
            </w:pPr>
          </w:p>
        </w:tc>
        <w:tc>
          <w:tcPr>
            <w:tcW w:w="236" w:type="dxa"/>
          </w:tcPr>
          <w:p w:rsidR="00000000" w:rsidRDefault="00000000">
            <w:pPr>
              <w:pStyle w:val="BodyTextIndent2"/>
              <w:spacing w:after="120"/>
              <w:ind w:left="0" w:firstLine="0"/>
              <w:jc w:val="right"/>
              <w:rPr>
                <w:sz w:val="17"/>
              </w:rPr>
            </w:pPr>
          </w:p>
        </w:tc>
        <w:tc>
          <w:tcPr>
            <w:tcW w:w="855" w:type="dxa"/>
          </w:tcPr>
          <w:p w:rsidR="00000000" w:rsidRDefault="00000000">
            <w:pPr>
              <w:pStyle w:val="BodyTextIndent2"/>
              <w:spacing w:after="120"/>
              <w:ind w:left="0" w:firstLine="0"/>
              <w:jc w:val="right"/>
              <w:rPr>
                <w:sz w:val="17"/>
              </w:rPr>
            </w:pPr>
          </w:p>
        </w:tc>
        <w:tc>
          <w:tcPr>
            <w:tcW w:w="549" w:type="dxa"/>
          </w:tcPr>
          <w:p w:rsidR="00000000" w:rsidRDefault="00000000">
            <w:pPr>
              <w:pStyle w:val="BodyTextIndent2"/>
              <w:spacing w:after="120"/>
              <w:ind w:left="0" w:firstLine="0"/>
              <w:jc w:val="right"/>
              <w:rPr>
                <w:sz w:val="17"/>
              </w:rPr>
            </w:pPr>
          </w:p>
        </w:tc>
      </w:tr>
      <w:tr w:rsidR="00000000">
        <w:tblPrEx>
          <w:tblCellMar>
            <w:top w:w="0" w:type="dxa"/>
            <w:bottom w:w="0" w:type="dxa"/>
          </w:tblCellMar>
        </w:tblPrEx>
        <w:tc>
          <w:tcPr>
            <w:tcW w:w="2133" w:type="dxa"/>
          </w:tcPr>
          <w:p w:rsidR="00000000" w:rsidRDefault="00000000">
            <w:pPr>
              <w:pStyle w:val="BodyTextIndent2"/>
              <w:tabs>
                <w:tab w:val="clear" w:pos="475"/>
                <w:tab w:val="clear" w:pos="965"/>
                <w:tab w:val="left" w:pos="171"/>
                <w:tab w:val="left" w:pos="351"/>
              </w:tabs>
              <w:spacing w:after="120"/>
              <w:ind w:left="0" w:firstLine="0"/>
              <w:jc w:val="left"/>
              <w:rPr>
                <w:sz w:val="17"/>
              </w:rPr>
            </w:pPr>
            <w:r>
              <w:rPr>
                <w:sz w:val="17"/>
              </w:rPr>
              <w:tab/>
            </w:r>
            <w:r>
              <w:rPr>
                <w:sz w:val="17"/>
              </w:rPr>
              <w:tab/>
              <w:t>Workers</w:t>
            </w:r>
          </w:p>
        </w:tc>
        <w:tc>
          <w:tcPr>
            <w:tcW w:w="828" w:type="dxa"/>
          </w:tcPr>
          <w:p w:rsidR="00000000" w:rsidRDefault="00000000">
            <w:pPr>
              <w:pStyle w:val="BodyTextIndent2"/>
              <w:spacing w:after="120"/>
              <w:ind w:left="0" w:firstLine="0"/>
              <w:jc w:val="right"/>
              <w:rPr>
                <w:sz w:val="17"/>
              </w:rPr>
            </w:pPr>
            <w:r>
              <w:rPr>
                <w:sz w:val="17"/>
              </w:rPr>
              <w:t>26 458</w:t>
            </w:r>
          </w:p>
        </w:tc>
        <w:tc>
          <w:tcPr>
            <w:tcW w:w="556" w:type="dxa"/>
          </w:tcPr>
          <w:p w:rsidR="00000000" w:rsidRDefault="00000000">
            <w:pPr>
              <w:pStyle w:val="BodyTextIndent2"/>
              <w:spacing w:after="120"/>
              <w:ind w:left="0" w:firstLine="0"/>
              <w:jc w:val="right"/>
              <w:rPr>
                <w:sz w:val="17"/>
              </w:rPr>
            </w:pPr>
            <w:r>
              <w:rPr>
                <w:sz w:val="17"/>
              </w:rPr>
              <w:t>36.1</w:t>
            </w:r>
          </w:p>
        </w:tc>
        <w:tc>
          <w:tcPr>
            <w:tcW w:w="236" w:type="dxa"/>
          </w:tcPr>
          <w:p w:rsidR="00000000" w:rsidRDefault="00000000">
            <w:pPr>
              <w:pStyle w:val="BodyTextIndent2"/>
              <w:spacing w:after="120"/>
              <w:ind w:left="0" w:firstLine="0"/>
              <w:jc w:val="right"/>
              <w:rPr>
                <w:spacing w:val="-4"/>
                <w:sz w:val="2"/>
              </w:rPr>
            </w:pPr>
          </w:p>
        </w:tc>
        <w:tc>
          <w:tcPr>
            <w:tcW w:w="828" w:type="dxa"/>
          </w:tcPr>
          <w:p w:rsidR="00000000" w:rsidRDefault="00000000">
            <w:pPr>
              <w:pStyle w:val="BodyTextIndent2"/>
              <w:spacing w:after="120"/>
              <w:ind w:left="0" w:firstLine="0"/>
              <w:jc w:val="right"/>
              <w:rPr>
                <w:sz w:val="17"/>
              </w:rPr>
            </w:pPr>
            <w:r>
              <w:rPr>
                <w:sz w:val="17"/>
              </w:rPr>
              <w:t>24 781</w:t>
            </w:r>
          </w:p>
        </w:tc>
        <w:tc>
          <w:tcPr>
            <w:tcW w:w="540" w:type="dxa"/>
          </w:tcPr>
          <w:p w:rsidR="00000000" w:rsidRDefault="00000000">
            <w:pPr>
              <w:pStyle w:val="BodyTextIndent2"/>
              <w:spacing w:after="120"/>
              <w:ind w:left="0" w:firstLine="0"/>
              <w:jc w:val="right"/>
              <w:rPr>
                <w:sz w:val="17"/>
              </w:rPr>
            </w:pPr>
            <w:r>
              <w:rPr>
                <w:sz w:val="17"/>
              </w:rPr>
              <w:t>33.6</w:t>
            </w:r>
          </w:p>
        </w:tc>
        <w:tc>
          <w:tcPr>
            <w:tcW w:w="243" w:type="dxa"/>
          </w:tcPr>
          <w:p w:rsidR="00000000" w:rsidRDefault="00000000">
            <w:pPr>
              <w:pStyle w:val="BodyTextIndent2"/>
              <w:spacing w:after="120"/>
              <w:ind w:left="0" w:firstLine="0"/>
              <w:jc w:val="right"/>
              <w:rPr>
                <w:sz w:val="17"/>
              </w:rPr>
            </w:pPr>
          </w:p>
        </w:tc>
        <w:tc>
          <w:tcPr>
            <w:tcW w:w="819" w:type="dxa"/>
          </w:tcPr>
          <w:p w:rsidR="00000000" w:rsidRDefault="00000000">
            <w:pPr>
              <w:pStyle w:val="BodyTextIndent2"/>
              <w:spacing w:after="120"/>
              <w:ind w:left="0" w:firstLine="0"/>
              <w:jc w:val="right"/>
              <w:rPr>
                <w:sz w:val="17"/>
              </w:rPr>
            </w:pPr>
            <w:r>
              <w:rPr>
                <w:sz w:val="17"/>
              </w:rPr>
              <w:t>27 505</w:t>
            </w:r>
          </w:p>
        </w:tc>
        <w:tc>
          <w:tcPr>
            <w:tcW w:w="540" w:type="dxa"/>
          </w:tcPr>
          <w:p w:rsidR="00000000" w:rsidRDefault="00000000">
            <w:pPr>
              <w:pStyle w:val="BodyTextIndent2"/>
              <w:spacing w:after="120"/>
              <w:ind w:left="0" w:firstLine="0"/>
              <w:jc w:val="right"/>
              <w:rPr>
                <w:sz w:val="17"/>
              </w:rPr>
            </w:pPr>
            <w:r>
              <w:rPr>
                <w:sz w:val="17"/>
              </w:rPr>
              <w:t>34.8</w:t>
            </w:r>
          </w:p>
        </w:tc>
        <w:tc>
          <w:tcPr>
            <w:tcW w:w="243" w:type="dxa"/>
          </w:tcPr>
          <w:p w:rsidR="00000000" w:rsidRDefault="00000000">
            <w:pPr>
              <w:pStyle w:val="BodyTextIndent2"/>
              <w:spacing w:after="120"/>
              <w:ind w:left="0" w:firstLine="0"/>
              <w:jc w:val="right"/>
              <w:rPr>
                <w:sz w:val="17"/>
              </w:rPr>
            </w:pPr>
          </w:p>
        </w:tc>
        <w:tc>
          <w:tcPr>
            <w:tcW w:w="828" w:type="dxa"/>
          </w:tcPr>
          <w:p w:rsidR="00000000" w:rsidRDefault="00000000">
            <w:pPr>
              <w:pStyle w:val="BodyTextIndent2"/>
              <w:spacing w:after="120"/>
              <w:ind w:left="0" w:firstLine="0"/>
              <w:jc w:val="right"/>
              <w:rPr>
                <w:sz w:val="17"/>
              </w:rPr>
            </w:pPr>
            <w:r>
              <w:rPr>
                <w:sz w:val="17"/>
              </w:rPr>
              <w:t>26 244</w:t>
            </w:r>
          </w:p>
        </w:tc>
        <w:tc>
          <w:tcPr>
            <w:tcW w:w="610" w:type="dxa"/>
          </w:tcPr>
          <w:p w:rsidR="00000000" w:rsidRDefault="00000000">
            <w:pPr>
              <w:pStyle w:val="BodyTextIndent2"/>
              <w:spacing w:after="120"/>
              <w:ind w:left="0" w:firstLine="0"/>
              <w:jc w:val="right"/>
              <w:rPr>
                <w:sz w:val="17"/>
              </w:rPr>
            </w:pPr>
            <w:r>
              <w:rPr>
                <w:sz w:val="17"/>
              </w:rPr>
              <w:t>36.5</w:t>
            </w:r>
          </w:p>
        </w:tc>
        <w:tc>
          <w:tcPr>
            <w:tcW w:w="236" w:type="dxa"/>
          </w:tcPr>
          <w:p w:rsidR="00000000" w:rsidRDefault="00000000">
            <w:pPr>
              <w:pStyle w:val="BodyTextIndent2"/>
              <w:spacing w:after="120"/>
              <w:ind w:left="0" w:firstLine="0"/>
              <w:jc w:val="right"/>
              <w:rPr>
                <w:sz w:val="17"/>
              </w:rPr>
            </w:pPr>
          </w:p>
        </w:tc>
        <w:tc>
          <w:tcPr>
            <w:tcW w:w="855" w:type="dxa"/>
          </w:tcPr>
          <w:p w:rsidR="00000000" w:rsidRDefault="00000000">
            <w:pPr>
              <w:pStyle w:val="BodyTextIndent2"/>
              <w:spacing w:after="120"/>
              <w:ind w:left="0" w:firstLine="0"/>
              <w:jc w:val="right"/>
              <w:rPr>
                <w:sz w:val="17"/>
              </w:rPr>
            </w:pPr>
            <w:r>
              <w:rPr>
                <w:sz w:val="17"/>
              </w:rPr>
              <w:t>30 717</w:t>
            </w:r>
          </w:p>
        </w:tc>
        <w:tc>
          <w:tcPr>
            <w:tcW w:w="549" w:type="dxa"/>
          </w:tcPr>
          <w:p w:rsidR="00000000" w:rsidRDefault="00000000">
            <w:pPr>
              <w:pStyle w:val="BodyTextIndent2"/>
              <w:spacing w:after="120"/>
              <w:ind w:left="0" w:firstLine="0"/>
              <w:jc w:val="right"/>
              <w:rPr>
                <w:sz w:val="17"/>
              </w:rPr>
            </w:pPr>
            <w:r>
              <w:rPr>
                <w:sz w:val="17"/>
              </w:rPr>
              <w:t>39.7</w:t>
            </w:r>
          </w:p>
        </w:tc>
      </w:tr>
      <w:tr w:rsidR="00000000">
        <w:tblPrEx>
          <w:tblCellMar>
            <w:top w:w="0" w:type="dxa"/>
            <w:bottom w:w="0" w:type="dxa"/>
          </w:tblCellMar>
        </w:tblPrEx>
        <w:tc>
          <w:tcPr>
            <w:tcW w:w="2133" w:type="dxa"/>
          </w:tcPr>
          <w:p w:rsidR="00000000" w:rsidRDefault="00000000">
            <w:pPr>
              <w:pStyle w:val="BodyTextIndent2"/>
              <w:tabs>
                <w:tab w:val="clear" w:pos="475"/>
                <w:tab w:val="clear" w:pos="965"/>
                <w:tab w:val="left" w:pos="171"/>
                <w:tab w:val="left" w:pos="351"/>
              </w:tabs>
              <w:spacing w:after="120"/>
              <w:ind w:left="0" w:firstLine="0"/>
              <w:jc w:val="left"/>
              <w:rPr>
                <w:sz w:val="17"/>
              </w:rPr>
            </w:pPr>
            <w:r>
              <w:rPr>
                <w:sz w:val="17"/>
              </w:rPr>
              <w:tab/>
            </w:r>
            <w:r>
              <w:rPr>
                <w:sz w:val="17"/>
              </w:rPr>
              <w:tab/>
              <w:t>Office employees</w:t>
            </w:r>
          </w:p>
        </w:tc>
        <w:tc>
          <w:tcPr>
            <w:tcW w:w="828" w:type="dxa"/>
          </w:tcPr>
          <w:p w:rsidR="00000000" w:rsidRDefault="00000000">
            <w:pPr>
              <w:pStyle w:val="BodyTextIndent2"/>
              <w:spacing w:after="120"/>
              <w:ind w:left="0" w:firstLine="0"/>
              <w:jc w:val="right"/>
              <w:rPr>
                <w:sz w:val="17"/>
              </w:rPr>
            </w:pPr>
            <w:r>
              <w:rPr>
                <w:sz w:val="17"/>
              </w:rPr>
              <w:t>13 102</w:t>
            </w:r>
          </w:p>
        </w:tc>
        <w:tc>
          <w:tcPr>
            <w:tcW w:w="556" w:type="dxa"/>
          </w:tcPr>
          <w:p w:rsidR="00000000" w:rsidRDefault="00000000">
            <w:pPr>
              <w:pStyle w:val="BodyTextIndent2"/>
              <w:spacing w:after="120"/>
              <w:ind w:left="0" w:firstLine="0"/>
              <w:jc w:val="right"/>
              <w:rPr>
                <w:sz w:val="17"/>
              </w:rPr>
            </w:pPr>
            <w:r>
              <w:rPr>
                <w:sz w:val="17"/>
              </w:rPr>
              <w:t>65.1</w:t>
            </w:r>
          </w:p>
        </w:tc>
        <w:tc>
          <w:tcPr>
            <w:tcW w:w="236" w:type="dxa"/>
          </w:tcPr>
          <w:p w:rsidR="00000000" w:rsidRDefault="00000000">
            <w:pPr>
              <w:pStyle w:val="BodyTextIndent2"/>
              <w:spacing w:after="120"/>
              <w:ind w:left="0" w:firstLine="0"/>
              <w:jc w:val="right"/>
              <w:rPr>
                <w:spacing w:val="-4"/>
                <w:sz w:val="2"/>
              </w:rPr>
            </w:pPr>
          </w:p>
        </w:tc>
        <w:tc>
          <w:tcPr>
            <w:tcW w:w="828" w:type="dxa"/>
          </w:tcPr>
          <w:p w:rsidR="00000000" w:rsidRDefault="00000000">
            <w:pPr>
              <w:pStyle w:val="BodyTextIndent2"/>
              <w:spacing w:after="120"/>
              <w:ind w:left="0" w:firstLine="0"/>
              <w:jc w:val="right"/>
              <w:rPr>
                <w:sz w:val="17"/>
              </w:rPr>
            </w:pPr>
            <w:r>
              <w:rPr>
                <w:sz w:val="17"/>
              </w:rPr>
              <w:t>11 998</w:t>
            </w:r>
          </w:p>
        </w:tc>
        <w:tc>
          <w:tcPr>
            <w:tcW w:w="540" w:type="dxa"/>
          </w:tcPr>
          <w:p w:rsidR="00000000" w:rsidRDefault="00000000">
            <w:pPr>
              <w:pStyle w:val="BodyTextIndent2"/>
              <w:spacing w:after="120"/>
              <w:ind w:left="0" w:firstLine="0"/>
              <w:jc w:val="right"/>
              <w:rPr>
                <w:sz w:val="17"/>
              </w:rPr>
            </w:pPr>
            <w:r>
              <w:rPr>
                <w:sz w:val="17"/>
              </w:rPr>
              <w:t>65.0</w:t>
            </w:r>
          </w:p>
        </w:tc>
        <w:tc>
          <w:tcPr>
            <w:tcW w:w="243" w:type="dxa"/>
          </w:tcPr>
          <w:p w:rsidR="00000000" w:rsidRDefault="00000000">
            <w:pPr>
              <w:pStyle w:val="BodyTextIndent2"/>
              <w:spacing w:after="120"/>
              <w:ind w:left="0" w:firstLine="0"/>
              <w:jc w:val="right"/>
              <w:rPr>
                <w:sz w:val="17"/>
              </w:rPr>
            </w:pPr>
          </w:p>
        </w:tc>
        <w:tc>
          <w:tcPr>
            <w:tcW w:w="819" w:type="dxa"/>
          </w:tcPr>
          <w:p w:rsidR="00000000" w:rsidRDefault="00000000">
            <w:pPr>
              <w:pStyle w:val="BodyTextIndent2"/>
              <w:spacing w:after="120"/>
              <w:ind w:left="0" w:firstLine="0"/>
              <w:jc w:val="right"/>
              <w:rPr>
                <w:sz w:val="17"/>
              </w:rPr>
            </w:pPr>
            <w:r>
              <w:rPr>
                <w:sz w:val="17"/>
              </w:rPr>
              <w:t>13 382</w:t>
            </w:r>
          </w:p>
        </w:tc>
        <w:tc>
          <w:tcPr>
            <w:tcW w:w="540" w:type="dxa"/>
          </w:tcPr>
          <w:p w:rsidR="00000000" w:rsidRDefault="00000000">
            <w:pPr>
              <w:pStyle w:val="BodyTextIndent2"/>
              <w:spacing w:after="120"/>
              <w:ind w:left="0" w:firstLine="0"/>
              <w:jc w:val="right"/>
              <w:rPr>
                <w:sz w:val="17"/>
              </w:rPr>
            </w:pPr>
            <w:r>
              <w:rPr>
                <w:sz w:val="17"/>
              </w:rPr>
              <w:t>62.7</w:t>
            </w:r>
          </w:p>
        </w:tc>
        <w:tc>
          <w:tcPr>
            <w:tcW w:w="243" w:type="dxa"/>
          </w:tcPr>
          <w:p w:rsidR="00000000" w:rsidRDefault="00000000">
            <w:pPr>
              <w:pStyle w:val="BodyTextIndent2"/>
              <w:spacing w:after="120"/>
              <w:ind w:left="0" w:firstLine="0"/>
              <w:jc w:val="right"/>
              <w:rPr>
                <w:sz w:val="17"/>
              </w:rPr>
            </w:pPr>
          </w:p>
        </w:tc>
        <w:tc>
          <w:tcPr>
            <w:tcW w:w="828" w:type="dxa"/>
          </w:tcPr>
          <w:p w:rsidR="00000000" w:rsidRDefault="00000000">
            <w:pPr>
              <w:pStyle w:val="BodyTextIndent2"/>
              <w:spacing w:after="120"/>
              <w:ind w:left="0" w:firstLine="0"/>
              <w:jc w:val="right"/>
              <w:rPr>
                <w:sz w:val="17"/>
              </w:rPr>
            </w:pPr>
            <w:r>
              <w:rPr>
                <w:sz w:val="17"/>
              </w:rPr>
              <w:t>16 018</w:t>
            </w:r>
          </w:p>
        </w:tc>
        <w:tc>
          <w:tcPr>
            <w:tcW w:w="610" w:type="dxa"/>
          </w:tcPr>
          <w:p w:rsidR="00000000" w:rsidRDefault="00000000">
            <w:pPr>
              <w:pStyle w:val="BodyTextIndent2"/>
              <w:spacing w:after="120"/>
              <w:ind w:left="0" w:firstLine="0"/>
              <w:jc w:val="right"/>
              <w:rPr>
                <w:sz w:val="17"/>
              </w:rPr>
            </w:pPr>
            <w:r>
              <w:rPr>
                <w:sz w:val="17"/>
              </w:rPr>
              <w:t>65.1</w:t>
            </w:r>
          </w:p>
        </w:tc>
        <w:tc>
          <w:tcPr>
            <w:tcW w:w="236" w:type="dxa"/>
          </w:tcPr>
          <w:p w:rsidR="00000000" w:rsidRDefault="00000000">
            <w:pPr>
              <w:pStyle w:val="BodyTextIndent2"/>
              <w:spacing w:after="120"/>
              <w:ind w:left="0" w:firstLine="0"/>
              <w:jc w:val="right"/>
              <w:rPr>
                <w:sz w:val="17"/>
              </w:rPr>
            </w:pPr>
          </w:p>
        </w:tc>
        <w:tc>
          <w:tcPr>
            <w:tcW w:w="855" w:type="dxa"/>
          </w:tcPr>
          <w:p w:rsidR="00000000" w:rsidRDefault="00000000">
            <w:pPr>
              <w:pStyle w:val="BodyTextIndent2"/>
              <w:spacing w:after="120"/>
              <w:ind w:left="0" w:firstLine="0"/>
              <w:jc w:val="right"/>
              <w:rPr>
                <w:sz w:val="17"/>
              </w:rPr>
            </w:pPr>
            <w:r>
              <w:rPr>
                <w:sz w:val="17"/>
              </w:rPr>
              <w:t>18 600</w:t>
            </w:r>
          </w:p>
        </w:tc>
        <w:tc>
          <w:tcPr>
            <w:tcW w:w="549" w:type="dxa"/>
          </w:tcPr>
          <w:p w:rsidR="00000000" w:rsidRDefault="00000000">
            <w:pPr>
              <w:pStyle w:val="BodyTextIndent2"/>
              <w:spacing w:after="120"/>
              <w:ind w:left="0" w:firstLine="0"/>
              <w:jc w:val="right"/>
              <w:rPr>
                <w:sz w:val="17"/>
              </w:rPr>
            </w:pPr>
            <w:r>
              <w:rPr>
                <w:sz w:val="17"/>
              </w:rPr>
              <w:t>66.6</w:t>
            </w:r>
          </w:p>
        </w:tc>
      </w:tr>
      <w:tr w:rsidR="00000000">
        <w:tblPrEx>
          <w:tblCellMar>
            <w:top w:w="0" w:type="dxa"/>
            <w:bottom w:w="0" w:type="dxa"/>
          </w:tblCellMar>
        </w:tblPrEx>
        <w:tc>
          <w:tcPr>
            <w:tcW w:w="2133" w:type="dxa"/>
          </w:tcPr>
          <w:p w:rsidR="00000000" w:rsidRDefault="00000000">
            <w:pPr>
              <w:pStyle w:val="BodyTextIndent2"/>
              <w:tabs>
                <w:tab w:val="clear" w:pos="475"/>
                <w:tab w:val="clear" w:pos="965"/>
                <w:tab w:val="left" w:pos="171"/>
                <w:tab w:val="left" w:pos="351"/>
              </w:tabs>
              <w:spacing w:after="120"/>
              <w:ind w:left="171" w:hanging="171"/>
              <w:jc w:val="left"/>
              <w:rPr>
                <w:sz w:val="17"/>
              </w:rPr>
            </w:pPr>
            <w:r>
              <w:rPr>
                <w:sz w:val="17"/>
              </w:rPr>
              <w:tab/>
              <w:t>Among those placed in jobs:</w:t>
            </w:r>
          </w:p>
        </w:tc>
        <w:tc>
          <w:tcPr>
            <w:tcW w:w="828" w:type="dxa"/>
          </w:tcPr>
          <w:p w:rsidR="00000000" w:rsidRDefault="00000000">
            <w:pPr>
              <w:pStyle w:val="BodyTextIndent2"/>
              <w:spacing w:after="120"/>
              <w:ind w:left="0" w:firstLine="0"/>
              <w:jc w:val="right"/>
              <w:rPr>
                <w:sz w:val="17"/>
              </w:rPr>
            </w:pPr>
          </w:p>
        </w:tc>
        <w:tc>
          <w:tcPr>
            <w:tcW w:w="556" w:type="dxa"/>
          </w:tcPr>
          <w:p w:rsidR="00000000" w:rsidRDefault="00000000">
            <w:pPr>
              <w:pStyle w:val="BodyTextIndent2"/>
              <w:spacing w:after="120"/>
              <w:ind w:left="0" w:firstLine="0"/>
              <w:jc w:val="right"/>
              <w:rPr>
                <w:sz w:val="17"/>
              </w:rPr>
            </w:pPr>
          </w:p>
        </w:tc>
        <w:tc>
          <w:tcPr>
            <w:tcW w:w="236" w:type="dxa"/>
          </w:tcPr>
          <w:p w:rsidR="00000000" w:rsidRDefault="00000000">
            <w:pPr>
              <w:pStyle w:val="BodyTextIndent2"/>
              <w:spacing w:after="120"/>
              <w:ind w:left="0" w:firstLine="0"/>
              <w:jc w:val="right"/>
              <w:rPr>
                <w:spacing w:val="-4"/>
                <w:sz w:val="2"/>
              </w:rPr>
            </w:pPr>
          </w:p>
        </w:tc>
        <w:tc>
          <w:tcPr>
            <w:tcW w:w="828" w:type="dxa"/>
          </w:tcPr>
          <w:p w:rsidR="00000000" w:rsidRDefault="00000000">
            <w:pPr>
              <w:pStyle w:val="BodyTextIndent2"/>
              <w:spacing w:after="120"/>
              <w:ind w:left="0" w:firstLine="0"/>
              <w:jc w:val="right"/>
              <w:rPr>
                <w:sz w:val="17"/>
              </w:rPr>
            </w:pPr>
          </w:p>
        </w:tc>
        <w:tc>
          <w:tcPr>
            <w:tcW w:w="540" w:type="dxa"/>
          </w:tcPr>
          <w:p w:rsidR="00000000" w:rsidRDefault="00000000">
            <w:pPr>
              <w:pStyle w:val="BodyTextIndent2"/>
              <w:spacing w:after="120"/>
              <w:ind w:left="0" w:firstLine="0"/>
              <w:jc w:val="right"/>
              <w:rPr>
                <w:sz w:val="17"/>
              </w:rPr>
            </w:pPr>
          </w:p>
        </w:tc>
        <w:tc>
          <w:tcPr>
            <w:tcW w:w="243" w:type="dxa"/>
          </w:tcPr>
          <w:p w:rsidR="00000000" w:rsidRDefault="00000000">
            <w:pPr>
              <w:pStyle w:val="BodyTextIndent2"/>
              <w:spacing w:after="120"/>
              <w:ind w:left="0" w:firstLine="0"/>
              <w:jc w:val="right"/>
              <w:rPr>
                <w:sz w:val="17"/>
              </w:rPr>
            </w:pPr>
          </w:p>
        </w:tc>
        <w:tc>
          <w:tcPr>
            <w:tcW w:w="819" w:type="dxa"/>
          </w:tcPr>
          <w:p w:rsidR="00000000" w:rsidRDefault="00000000">
            <w:pPr>
              <w:pStyle w:val="BodyTextIndent2"/>
              <w:spacing w:after="120"/>
              <w:ind w:left="0" w:firstLine="0"/>
              <w:jc w:val="right"/>
              <w:rPr>
                <w:sz w:val="17"/>
              </w:rPr>
            </w:pPr>
          </w:p>
        </w:tc>
        <w:tc>
          <w:tcPr>
            <w:tcW w:w="540" w:type="dxa"/>
          </w:tcPr>
          <w:p w:rsidR="00000000" w:rsidRDefault="00000000">
            <w:pPr>
              <w:pStyle w:val="BodyTextIndent2"/>
              <w:spacing w:after="120"/>
              <w:ind w:left="0" w:firstLine="0"/>
              <w:jc w:val="right"/>
              <w:rPr>
                <w:sz w:val="17"/>
              </w:rPr>
            </w:pPr>
          </w:p>
        </w:tc>
        <w:tc>
          <w:tcPr>
            <w:tcW w:w="243" w:type="dxa"/>
          </w:tcPr>
          <w:p w:rsidR="00000000" w:rsidRDefault="00000000">
            <w:pPr>
              <w:pStyle w:val="BodyTextIndent2"/>
              <w:spacing w:after="120"/>
              <w:ind w:left="0" w:firstLine="0"/>
              <w:jc w:val="right"/>
              <w:rPr>
                <w:sz w:val="17"/>
              </w:rPr>
            </w:pPr>
          </w:p>
        </w:tc>
        <w:tc>
          <w:tcPr>
            <w:tcW w:w="828" w:type="dxa"/>
          </w:tcPr>
          <w:p w:rsidR="00000000" w:rsidRDefault="00000000">
            <w:pPr>
              <w:pStyle w:val="BodyTextIndent2"/>
              <w:spacing w:after="120"/>
              <w:ind w:left="0" w:firstLine="0"/>
              <w:jc w:val="right"/>
              <w:rPr>
                <w:sz w:val="17"/>
              </w:rPr>
            </w:pPr>
          </w:p>
        </w:tc>
        <w:tc>
          <w:tcPr>
            <w:tcW w:w="610" w:type="dxa"/>
          </w:tcPr>
          <w:p w:rsidR="00000000" w:rsidRDefault="00000000">
            <w:pPr>
              <w:pStyle w:val="BodyTextIndent2"/>
              <w:spacing w:after="120"/>
              <w:ind w:left="0" w:firstLine="0"/>
              <w:jc w:val="right"/>
              <w:rPr>
                <w:sz w:val="17"/>
              </w:rPr>
            </w:pPr>
          </w:p>
        </w:tc>
        <w:tc>
          <w:tcPr>
            <w:tcW w:w="236" w:type="dxa"/>
          </w:tcPr>
          <w:p w:rsidR="00000000" w:rsidRDefault="00000000">
            <w:pPr>
              <w:pStyle w:val="BodyTextIndent2"/>
              <w:spacing w:after="120"/>
              <w:ind w:left="0" w:firstLine="0"/>
              <w:jc w:val="right"/>
              <w:rPr>
                <w:sz w:val="17"/>
              </w:rPr>
            </w:pPr>
          </w:p>
        </w:tc>
        <w:tc>
          <w:tcPr>
            <w:tcW w:w="855" w:type="dxa"/>
          </w:tcPr>
          <w:p w:rsidR="00000000" w:rsidRDefault="00000000">
            <w:pPr>
              <w:pStyle w:val="BodyTextIndent2"/>
              <w:spacing w:after="120"/>
              <w:ind w:left="0" w:firstLine="0"/>
              <w:jc w:val="right"/>
              <w:rPr>
                <w:sz w:val="17"/>
              </w:rPr>
            </w:pPr>
          </w:p>
        </w:tc>
        <w:tc>
          <w:tcPr>
            <w:tcW w:w="549" w:type="dxa"/>
          </w:tcPr>
          <w:p w:rsidR="00000000" w:rsidRDefault="00000000">
            <w:pPr>
              <w:pStyle w:val="BodyTextIndent2"/>
              <w:spacing w:after="120"/>
              <w:ind w:left="0" w:firstLine="0"/>
              <w:jc w:val="right"/>
              <w:rPr>
                <w:sz w:val="17"/>
              </w:rPr>
            </w:pPr>
          </w:p>
        </w:tc>
      </w:tr>
      <w:tr w:rsidR="00000000">
        <w:tblPrEx>
          <w:tblCellMar>
            <w:top w:w="0" w:type="dxa"/>
            <w:bottom w:w="0" w:type="dxa"/>
          </w:tblCellMar>
        </w:tblPrEx>
        <w:tc>
          <w:tcPr>
            <w:tcW w:w="2133" w:type="dxa"/>
          </w:tcPr>
          <w:p w:rsidR="00000000" w:rsidRDefault="00000000">
            <w:pPr>
              <w:pStyle w:val="BodyTextIndent2"/>
              <w:tabs>
                <w:tab w:val="clear" w:pos="475"/>
                <w:tab w:val="clear" w:pos="965"/>
                <w:tab w:val="left" w:pos="171"/>
                <w:tab w:val="left" w:pos="351"/>
              </w:tabs>
              <w:spacing w:after="120"/>
              <w:ind w:left="351" w:hanging="351"/>
              <w:jc w:val="left"/>
              <w:rPr>
                <w:sz w:val="17"/>
              </w:rPr>
            </w:pPr>
            <w:r>
              <w:rPr>
                <w:sz w:val="17"/>
              </w:rPr>
              <w:tab/>
            </w:r>
            <w:r>
              <w:rPr>
                <w:sz w:val="17"/>
              </w:rPr>
              <w:tab/>
              <w:t>Persons of pre-retirement age</w:t>
            </w:r>
          </w:p>
        </w:tc>
        <w:tc>
          <w:tcPr>
            <w:tcW w:w="828" w:type="dxa"/>
          </w:tcPr>
          <w:p w:rsidR="00000000" w:rsidRDefault="00000000">
            <w:pPr>
              <w:pStyle w:val="BodyTextIndent2"/>
              <w:spacing w:after="120"/>
              <w:ind w:left="0" w:firstLine="0"/>
              <w:jc w:val="right"/>
              <w:rPr>
                <w:sz w:val="17"/>
              </w:rPr>
            </w:pPr>
            <w:r>
              <w:rPr>
                <w:sz w:val="17"/>
              </w:rPr>
              <w:t>427</w:t>
            </w:r>
          </w:p>
        </w:tc>
        <w:tc>
          <w:tcPr>
            <w:tcW w:w="556" w:type="dxa"/>
          </w:tcPr>
          <w:p w:rsidR="00000000" w:rsidRDefault="00000000">
            <w:pPr>
              <w:pStyle w:val="BodyTextIndent2"/>
              <w:spacing w:after="120"/>
              <w:ind w:left="0" w:firstLine="0"/>
              <w:jc w:val="right"/>
              <w:rPr>
                <w:sz w:val="17"/>
              </w:rPr>
            </w:pPr>
            <w:r>
              <w:rPr>
                <w:sz w:val="17"/>
              </w:rPr>
              <w:t>46.1</w:t>
            </w:r>
          </w:p>
        </w:tc>
        <w:tc>
          <w:tcPr>
            <w:tcW w:w="236" w:type="dxa"/>
          </w:tcPr>
          <w:p w:rsidR="00000000" w:rsidRDefault="00000000">
            <w:pPr>
              <w:pStyle w:val="BodyTextIndent2"/>
              <w:spacing w:after="120"/>
              <w:ind w:left="0" w:firstLine="0"/>
              <w:jc w:val="right"/>
              <w:rPr>
                <w:spacing w:val="-4"/>
                <w:sz w:val="2"/>
              </w:rPr>
            </w:pPr>
          </w:p>
        </w:tc>
        <w:tc>
          <w:tcPr>
            <w:tcW w:w="828" w:type="dxa"/>
          </w:tcPr>
          <w:p w:rsidR="00000000" w:rsidRDefault="00000000">
            <w:pPr>
              <w:pStyle w:val="BodyTextIndent2"/>
              <w:spacing w:after="120"/>
              <w:ind w:left="0" w:firstLine="0"/>
              <w:jc w:val="right"/>
              <w:rPr>
                <w:sz w:val="17"/>
              </w:rPr>
            </w:pPr>
            <w:r>
              <w:rPr>
                <w:sz w:val="17"/>
              </w:rPr>
              <w:t>494</w:t>
            </w:r>
          </w:p>
        </w:tc>
        <w:tc>
          <w:tcPr>
            <w:tcW w:w="540" w:type="dxa"/>
          </w:tcPr>
          <w:p w:rsidR="00000000" w:rsidRDefault="00000000">
            <w:pPr>
              <w:pStyle w:val="BodyTextIndent2"/>
              <w:spacing w:after="120"/>
              <w:ind w:left="0" w:firstLine="0"/>
              <w:jc w:val="right"/>
              <w:rPr>
                <w:sz w:val="17"/>
              </w:rPr>
            </w:pPr>
            <w:r>
              <w:rPr>
                <w:sz w:val="17"/>
              </w:rPr>
              <w:t>41.8</w:t>
            </w:r>
          </w:p>
        </w:tc>
        <w:tc>
          <w:tcPr>
            <w:tcW w:w="243" w:type="dxa"/>
          </w:tcPr>
          <w:p w:rsidR="00000000" w:rsidRDefault="00000000">
            <w:pPr>
              <w:pStyle w:val="BodyTextIndent2"/>
              <w:spacing w:after="120"/>
              <w:ind w:left="0" w:firstLine="0"/>
              <w:jc w:val="right"/>
              <w:rPr>
                <w:sz w:val="17"/>
              </w:rPr>
            </w:pPr>
          </w:p>
        </w:tc>
        <w:tc>
          <w:tcPr>
            <w:tcW w:w="819" w:type="dxa"/>
          </w:tcPr>
          <w:p w:rsidR="00000000" w:rsidRDefault="00000000">
            <w:pPr>
              <w:pStyle w:val="BodyTextIndent2"/>
              <w:spacing w:after="120"/>
              <w:ind w:left="0" w:firstLine="0"/>
              <w:jc w:val="right"/>
              <w:rPr>
                <w:sz w:val="17"/>
              </w:rPr>
            </w:pPr>
            <w:r>
              <w:rPr>
                <w:sz w:val="17"/>
              </w:rPr>
              <w:t>295</w:t>
            </w:r>
          </w:p>
        </w:tc>
        <w:tc>
          <w:tcPr>
            <w:tcW w:w="540" w:type="dxa"/>
          </w:tcPr>
          <w:p w:rsidR="00000000" w:rsidRDefault="00000000">
            <w:pPr>
              <w:pStyle w:val="BodyTextIndent2"/>
              <w:spacing w:after="120"/>
              <w:ind w:left="0" w:firstLine="0"/>
              <w:jc w:val="right"/>
              <w:rPr>
                <w:sz w:val="17"/>
              </w:rPr>
            </w:pPr>
            <w:r>
              <w:rPr>
                <w:sz w:val="17"/>
              </w:rPr>
              <w:t>37.4</w:t>
            </w:r>
          </w:p>
        </w:tc>
        <w:tc>
          <w:tcPr>
            <w:tcW w:w="243" w:type="dxa"/>
          </w:tcPr>
          <w:p w:rsidR="00000000" w:rsidRDefault="00000000">
            <w:pPr>
              <w:pStyle w:val="BodyTextIndent2"/>
              <w:spacing w:after="120"/>
              <w:ind w:left="0" w:firstLine="0"/>
              <w:jc w:val="right"/>
              <w:rPr>
                <w:sz w:val="17"/>
              </w:rPr>
            </w:pPr>
          </w:p>
        </w:tc>
        <w:tc>
          <w:tcPr>
            <w:tcW w:w="828" w:type="dxa"/>
          </w:tcPr>
          <w:p w:rsidR="00000000" w:rsidRDefault="00000000">
            <w:pPr>
              <w:pStyle w:val="BodyTextIndent2"/>
              <w:spacing w:after="120"/>
              <w:ind w:left="0" w:firstLine="0"/>
              <w:jc w:val="right"/>
              <w:rPr>
                <w:sz w:val="17"/>
              </w:rPr>
            </w:pPr>
            <w:r>
              <w:rPr>
                <w:sz w:val="17"/>
              </w:rPr>
              <w:t>202</w:t>
            </w:r>
          </w:p>
        </w:tc>
        <w:tc>
          <w:tcPr>
            <w:tcW w:w="610" w:type="dxa"/>
          </w:tcPr>
          <w:p w:rsidR="00000000" w:rsidRDefault="00000000">
            <w:pPr>
              <w:pStyle w:val="BodyTextIndent2"/>
              <w:spacing w:after="120"/>
              <w:ind w:left="0" w:firstLine="0"/>
              <w:jc w:val="right"/>
              <w:rPr>
                <w:sz w:val="17"/>
              </w:rPr>
            </w:pPr>
            <w:r>
              <w:rPr>
                <w:sz w:val="17"/>
              </w:rPr>
              <w:t>33.9</w:t>
            </w:r>
          </w:p>
        </w:tc>
        <w:tc>
          <w:tcPr>
            <w:tcW w:w="236" w:type="dxa"/>
          </w:tcPr>
          <w:p w:rsidR="00000000" w:rsidRDefault="00000000">
            <w:pPr>
              <w:pStyle w:val="BodyTextIndent2"/>
              <w:spacing w:after="120"/>
              <w:ind w:left="0" w:firstLine="0"/>
              <w:jc w:val="right"/>
              <w:rPr>
                <w:sz w:val="17"/>
              </w:rPr>
            </w:pPr>
          </w:p>
        </w:tc>
        <w:tc>
          <w:tcPr>
            <w:tcW w:w="855" w:type="dxa"/>
          </w:tcPr>
          <w:p w:rsidR="00000000" w:rsidRDefault="00000000">
            <w:pPr>
              <w:pStyle w:val="BodyTextIndent2"/>
              <w:spacing w:after="120"/>
              <w:ind w:left="0" w:firstLine="0"/>
              <w:jc w:val="right"/>
              <w:rPr>
                <w:sz w:val="17"/>
              </w:rPr>
            </w:pPr>
            <w:r>
              <w:rPr>
                <w:sz w:val="17"/>
              </w:rPr>
              <w:t>175</w:t>
            </w:r>
          </w:p>
        </w:tc>
        <w:tc>
          <w:tcPr>
            <w:tcW w:w="549" w:type="dxa"/>
          </w:tcPr>
          <w:p w:rsidR="00000000" w:rsidRDefault="00000000">
            <w:pPr>
              <w:pStyle w:val="BodyTextIndent2"/>
              <w:spacing w:after="120"/>
              <w:ind w:left="0" w:firstLine="0"/>
              <w:jc w:val="right"/>
              <w:rPr>
                <w:sz w:val="17"/>
              </w:rPr>
            </w:pPr>
            <w:r>
              <w:rPr>
                <w:sz w:val="17"/>
              </w:rPr>
              <w:t>31.9</w:t>
            </w:r>
          </w:p>
        </w:tc>
      </w:tr>
      <w:tr w:rsidR="00000000">
        <w:tblPrEx>
          <w:tblCellMar>
            <w:top w:w="0" w:type="dxa"/>
            <w:bottom w:w="0" w:type="dxa"/>
          </w:tblCellMar>
        </w:tblPrEx>
        <w:tc>
          <w:tcPr>
            <w:tcW w:w="2133" w:type="dxa"/>
            <w:tcBorders>
              <w:bottom w:val="single" w:sz="12" w:space="0" w:color="auto"/>
            </w:tcBorders>
          </w:tcPr>
          <w:p w:rsidR="00000000" w:rsidRDefault="00000000">
            <w:pPr>
              <w:pStyle w:val="BodyTextIndent2"/>
              <w:tabs>
                <w:tab w:val="clear" w:pos="475"/>
                <w:tab w:val="clear" w:pos="965"/>
                <w:tab w:val="left" w:pos="171"/>
                <w:tab w:val="left" w:pos="351"/>
              </w:tabs>
              <w:spacing w:after="120"/>
              <w:ind w:left="0" w:firstLine="0"/>
              <w:jc w:val="left"/>
              <w:rPr>
                <w:sz w:val="17"/>
              </w:rPr>
            </w:pPr>
            <w:r>
              <w:rPr>
                <w:sz w:val="17"/>
              </w:rPr>
              <w:t>Registered as unemployed during the year</w:t>
            </w:r>
          </w:p>
        </w:tc>
        <w:tc>
          <w:tcPr>
            <w:tcW w:w="828" w:type="dxa"/>
            <w:tcBorders>
              <w:bottom w:val="single" w:sz="12" w:space="0" w:color="auto"/>
            </w:tcBorders>
          </w:tcPr>
          <w:p w:rsidR="00000000" w:rsidRDefault="00000000">
            <w:pPr>
              <w:pStyle w:val="BodyTextIndent2"/>
              <w:spacing w:after="120"/>
              <w:ind w:left="0" w:firstLine="0"/>
              <w:jc w:val="right"/>
              <w:rPr>
                <w:sz w:val="17"/>
              </w:rPr>
            </w:pPr>
            <w:r>
              <w:rPr>
                <w:sz w:val="17"/>
              </w:rPr>
              <w:t>66 216</w:t>
            </w:r>
          </w:p>
        </w:tc>
        <w:tc>
          <w:tcPr>
            <w:tcW w:w="556" w:type="dxa"/>
            <w:tcBorders>
              <w:bottom w:val="single" w:sz="12" w:space="0" w:color="auto"/>
            </w:tcBorders>
          </w:tcPr>
          <w:p w:rsidR="00000000" w:rsidRDefault="00000000">
            <w:pPr>
              <w:pStyle w:val="BodyTextIndent2"/>
              <w:spacing w:after="120"/>
              <w:ind w:left="0" w:firstLine="0"/>
              <w:jc w:val="right"/>
              <w:rPr>
                <w:sz w:val="17"/>
              </w:rPr>
            </w:pPr>
            <w:r>
              <w:rPr>
                <w:sz w:val="17"/>
              </w:rPr>
              <w:t>58.6</w:t>
            </w:r>
          </w:p>
        </w:tc>
        <w:tc>
          <w:tcPr>
            <w:tcW w:w="236" w:type="dxa"/>
            <w:tcBorders>
              <w:bottom w:val="single" w:sz="12" w:space="0" w:color="auto"/>
            </w:tcBorders>
          </w:tcPr>
          <w:p w:rsidR="00000000" w:rsidRDefault="00000000">
            <w:pPr>
              <w:pStyle w:val="BodyTextIndent2"/>
              <w:spacing w:after="120"/>
              <w:ind w:left="0" w:firstLine="0"/>
              <w:jc w:val="right"/>
              <w:rPr>
                <w:spacing w:val="-4"/>
                <w:sz w:val="2"/>
              </w:rPr>
            </w:pPr>
          </w:p>
        </w:tc>
        <w:tc>
          <w:tcPr>
            <w:tcW w:w="828" w:type="dxa"/>
            <w:tcBorders>
              <w:bottom w:val="single" w:sz="12" w:space="0" w:color="auto"/>
            </w:tcBorders>
          </w:tcPr>
          <w:p w:rsidR="00000000" w:rsidRDefault="00000000">
            <w:pPr>
              <w:pStyle w:val="BodyTextIndent2"/>
              <w:spacing w:after="120"/>
              <w:ind w:left="0" w:firstLine="0"/>
              <w:jc w:val="right"/>
              <w:rPr>
                <w:sz w:val="17"/>
              </w:rPr>
            </w:pPr>
            <w:r>
              <w:rPr>
                <w:sz w:val="17"/>
              </w:rPr>
              <w:t>114 695</w:t>
            </w:r>
          </w:p>
        </w:tc>
        <w:tc>
          <w:tcPr>
            <w:tcW w:w="540" w:type="dxa"/>
            <w:tcBorders>
              <w:bottom w:val="single" w:sz="12" w:space="0" w:color="auto"/>
            </w:tcBorders>
          </w:tcPr>
          <w:p w:rsidR="00000000" w:rsidRDefault="00000000">
            <w:pPr>
              <w:pStyle w:val="BodyTextIndent2"/>
              <w:spacing w:after="120"/>
              <w:ind w:left="0" w:firstLine="0"/>
              <w:jc w:val="right"/>
              <w:rPr>
                <w:sz w:val="17"/>
              </w:rPr>
            </w:pPr>
            <w:r>
              <w:rPr>
                <w:sz w:val="17"/>
              </w:rPr>
              <w:t>56.5</w:t>
            </w:r>
          </w:p>
        </w:tc>
        <w:tc>
          <w:tcPr>
            <w:tcW w:w="243" w:type="dxa"/>
            <w:tcBorders>
              <w:bottom w:val="single" w:sz="12" w:space="0" w:color="auto"/>
            </w:tcBorders>
          </w:tcPr>
          <w:p w:rsidR="00000000" w:rsidRDefault="00000000">
            <w:pPr>
              <w:pStyle w:val="BodyTextIndent2"/>
              <w:spacing w:after="120"/>
              <w:ind w:left="0" w:firstLine="0"/>
              <w:jc w:val="right"/>
              <w:rPr>
                <w:sz w:val="17"/>
              </w:rPr>
            </w:pPr>
          </w:p>
        </w:tc>
        <w:tc>
          <w:tcPr>
            <w:tcW w:w="819" w:type="dxa"/>
            <w:tcBorders>
              <w:bottom w:val="single" w:sz="12" w:space="0" w:color="auto"/>
            </w:tcBorders>
          </w:tcPr>
          <w:p w:rsidR="00000000" w:rsidRDefault="00000000">
            <w:pPr>
              <w:pStyle w:val="BodyTextIndent2"/>
              <w:spacing w:after="120"/>
              <w:ind w:left="0" w:firstLine="0"/>
              <w:jc w:val="right"/>
              <w:rPr>
                <w:sz w:val="17"/>
              </w:rPr>
            </w:pPr>
            <w:r>
              <w:rPr>
                <w:sz w:val="17"/>
              </w:rPr>
              <w:t>235 065</w:t>
            </w:r>
          </w:p>
        </w:tc>
        <w:tc>
          <w:tcPr>
            <w:tcW w:w="540" w:type="dxa"/>
            <w:tcBorders>
              <w:bottom w:val="single" w:sz="12" w:space="0" w:color="auto"/>
            </w:tcBorders>
          </w:tcPr>
          <w:p w:rsidR="00000000" w:rsidRDefault="00000000">
            <w:pPr>
              <w:pStyle w:val="BodyTextIndent2"/>
              <w:spacing w:after="120"/>
              <w:ind w:left="0" w:firstLine="0"/>
              <w:jc w:val="right"/>
              <w:rPr>
                <w:sz w:val="17"/>
              </w:rPr>
            </w:pPr>
            <w:r>
              <w:rPr>
                <w:sz w:val="17"/>
              </w:rPr>
              <w:t>60.0</w:t>
            </w:r>
          </w:p>
        </w:tc>
        <w:tc>
          <w:tcPr>
            <w:tcW w:w="243" w:type="dxa"/>
            <w:tcBorders>
              <w:bottom w:val="single" w:sz="12" w:space="0" w:color="auto"/>
            </w:tcBorders>
          </w:tcPr>
          <w:p w:rsidR="00000000" w:rsidRDefault="00000000">
            <w:pPr>
              <w:pStyle w:val="BodyTextIndent2"/>
              <w:spacing w:after="120"/>
              <w:ind w:left="0" w:firstLine="0"/>
              <w:jc w:val="right"/>
              <w:rPr>
                <w:sz w:val="17"/>
              </w:rPr>
            </w:pPr>
          </w:p>
        </w:tc>
        <w:tc>
          <w:tcPr>
            <w:tcW w:w="828" w:type="dxa"/>
            <w:tcBorders>
              <w:bottom w:val="single" w:sz="12" w:space="0" w:color="auto"/>
            </w:tcBorders>
          </w:tcPr>
          <w:p w:rsidR="00000000" w:rsidRDefault="00000000">
            <w:pPr>
              <w:pStyle w:val="BodyTextIndent2"/>
              <w:spacing w:after="120"/>
              <w:ind w:left="0" w:firstLine="0"/>
              <w:jc w:val="right"/>
              <w:rPr>
                <w:sz w:val="17"/>
              </w:rPr>
            </w:pPr>
            <w:r>
              <w:rPr>
                <w:sz w:val="17"/>
              </w:rPr>
              <w:t>243 354</w:t>
            </w:r>
          </w:p>
        </w:tc>
        <w:tc>
          <w:tcPr>
            <w:tcW w:w="610" w:type="dxa"/>
            <w:tcBorders>
              <w:bottom w:val="single" w:sz="12" w:space="0" w:color="auto"/>
            </w:tcBorders>
          </w:tcPr>
          <w:p w:rsidR="00000000" w:rsidRDefault="00000000">
            <w:pPr>
              <w:pStyle w:val="BodyTextIndent2"/>
              <w:spacing w:after="120"/>
              <w:ind w:left="0" w:firstLine="0"/>
              <w:jc w:val="right"/>
              <w:rPr>
                <w:sz w:val="17"/>
              </w:rPr>
            </w:pPr>
            <w:r>
              <w:rPr>
                <w:sz w:val="17"/>
              </w:rPr>
              <w:t>63.6</w:t>
            </w:r>
          </w:p>
        </w:tc>
        <w:tc>
          <w:tcPr>
            <w:tcW w:w="236" w:type="dxa"/>
            <w:tcBorders>
              <w:bottom w:val="single" w:sz="12" w:space="0" w:color="auto"/>
            </w:tcBorders>
          </w:tcPr>
          <w:p w:rsidR="00000000" w:rsidRDefault="00000000">
            <w:pPr>
              <w:pStyle w:val="BodyTextIndent2"/>
              <w:spacing w:after="120"/>
              <w:ind w:left="0" w:firstLine="0"/>
              <w:jc w:val="right"/>
              <w:rPr>
                <w:sz w:val="17"/>
              </w:rPr>
            </w:pPr>
          </w:p>
        </w:tc>
        <w:tc>
          <w:tcPr>
            <w:tcW w:w="855" w:type="dxa"/>
            <w:tcBorders>
              <w:bottom w:val="single" w:sz="12" w:space="0" w:color="auto"/>
            </w:tcBorders>
          </w:tcPr>
          <w:p w:rsidR="00000000" w:rsidRDefault="00000000">
            <w:pPr>
              <w:pStyle w:val="BodyTextIndent2"/>
              <w:spacing w:after="120"/>
              <w:ind w:left="0" w:firstLine="0"/>
              <w:jc w:val="right"/>
              <w:rPr>
                <w:sz w:val="17"/>
              </w:rPr>
            </w:pPr>
            <w:r>
              <w:rPr>
                <w:sz w:val="17"/>
              </w:rPr>
              <w:t>220 130</w:t>
            </w:r>
          </w:p>
        </w:tc>
        <w:tc>
          <w:tcPr>
            <w:tcW w:w="549" w:type="dxa"/>
            <w:tcBorders>
              <w:bottom w:val="single" w:sz="12" w:space="0" w:color="auto"/>
            </w:tcBorders>
          </w:tcPr>
          <w:p w:rsidR="00000000" w:rsidRDefault="00000000">
            <w:pPr>
              <w:pStyle w:val="BodyTextIndent2"/>
              <w:spacing w:after="120"/>
              <w:ind w:left="0" w:firstLine="0"/>
              <w:jc w:val="right"/>
              <w:rPr>
                <w:sz w:val="17"/>
              </w:rPr>
            </w:pPr>
            <w:r>
              <w:rPr>
                <w:sz w:val="17"/>
              </w:rPr>
              <w:t>57.6</w:t>
            </w:r>
          </w:p>
        </w:tc>
      </w:tr>
    </w:tbl>
    <w:p w:rsidR="00000000" w:rsidRDefault="00000000">
      <w:pPr>
        <w:pStyle w:val="D12r"/>
      </w:pPr>
    </w:p>
    <w:p w:rsidR="00000000" w:rsidRDefault="00000000">
      <w:pPr>
        <w:pStyle w:val="BodyTextIndent2"/>
        <w:spacing w:after="120"/>
        <w:ind w:left="0" w:firstLine="0"/>
        <w:rPr>
          <w:sz w:val="17"/>
        </w:rPr>
      </w:pPr>
      <w:r>
        <w:rPr>
          <w:sz w:val="17"/>
        </w:rPr>
        <w:t xml:space="preserve">       *</w:t>
      </w:r>
      <w:r>
        <w:rPr>
          <w:sz w:val="17"/>
        </w:rPr>
        <w:tab/>
        <w:t>Estimated data.</w:t>
      </w:r>
    </w:p>
    <w:p w:rsidR="00000000" w:rsidRDefault="00000000">
      <w:pPr>
        <w:pStyle w:val="BodyTextIndent2"/>
        <w:spacing w:after="120"/>
        <w:ind w:left="0" w:firstLine="0"/>
      </w:pPr>
    </w:p>
    <w:p w:rsidR="00000000" w:rsidRDefault="00000000">
      <w:pPr>
        <w:pStyle w:val="BodyTextIndent2"/>
        <w:spacing w:after="120"/>
        <w:ind w:left="0" w:firstLine="0"/>
        <w:sectPr w:rsidR="00000000">
          <w:type w:val="continuous"/>
          <w:pgSz w:w="12240" w:h="15840"/>
          <w:pgMar w:top="1742" w:right="1195" w:bottom="1901" w:left="1195" w:header="576" w:footer="1037" w:gutter="0"/>
          <w:cols w:space="720"/>
          <w:docGrid w:linePitch="360"/>
        </w:sectPr>
      </w:pPr>
    </w:p>
    <w:p w:rsidR="00000000" w:rsidRDefault="00000000">
      <w:pPr>
        <w:pStyle w:val="BodyTextIndent2"/>
        <w:spacing w:after="120"/>
        <w:ind w:left="0" w:firstLine="0"/>
      </w:pPr>
      <w:r>
        <w:tab/>
      </w:r>
      <w:r>
        <w:rPr>
          <w:b/>
        </w:rPr>
        <w:t>(a)</w:t>
      </w:r>
      <w:r>
        <w:rPr>
          <w:b/>
        </w:rPr>
        <w:tab/>
        <w:t>The right to work as an inalienable right of all human beings;</w:t>
      </w:r>
    </w:p>
    <w:p w:rsidR="00000000" w:rsidRDefault="00000000">
      <w:pPr>
        <w:pStyle w:val="BodyTextIndent2"/>
        <w:spacing w:after="120"/>
        <w:ind w:left="0" w:firstLine="0"/>
      </w:pPr>
      <w:r>
        <w:t>96.</w:t>
      </w:r>
      <w:r>
        <w:tab/>
        <w:t>The right to work is guaranteed in article 24 of the Constitution:</w:t>
      </w:r>
    </w:p>
    <w:p w:rsidR="00000000" w:rsidRDefault="00000000">
      <w:pPr>
        <w:pStyle w:val="BodyTextIndent2"/>
        <w:spacing w:after="120"/>
      </w:pPr>
      <w:r>
        <w:tab/>
      </w:r>
      <w:r>
        <w:tab/>
        <w:t>Everyone has the right to freedom of employment and free choice of employment and profession. Forced labour is permitted only on the sentence of a court, in a state of emergency or under martial law.</w:t>
      </w:r>
    </w:p>
    <w:p w:rsidR="00000000" w:rsidRDefault="00000000">
      <w:pPr>
        <w:pStyle w:val="BodyTextIndent2"/>
        <w:spacing w:after="120"/>
        <w:ind w:left="0" w:firstLine="0"/>
      </w:pPr>
      <w:r>
        <w:tab/>
        <w:t>A broader interpretation of the right to work is provided in article 4 of the Law on employment of 30 December 1998, which contains the following provisions:</w:t>
      </w:r>
    </w:p>
    <w:p w:rsidR="00000000" w:rsidRDefault="00000000">
      <w:pPr>
        <w:pStyle w:val="BodyTextIndent2"/>
        <w:spacing w:after="120"/>
      </w:pPr>
      <w:r>
        <w:tab/>
        <w:t>1.</w:t>
      </w:r>
      <w:r>
        <w:tab/>
        <w:t>The State shall ensure the pursuit of a policy that promotes the attainment by citizens of productive and freely chosen employment.</w:t>
      </w:r>
    </w:p>
    <w:p w:rsidR="00000000" w:rsidRDefault="00000000">
      <w:pPr>
        <w:pStyle w:val="BodyTextIndent2"/>
        <w:spacing w:after="120"/>
      </w:pPr>
      <w:r>
        <w:tab/>
        <w:t>2.</w:t>
      </w:r>
      <w:r>
        <w:tab/>
        <w:t>State policy in the field of employment shall be aimed at:</w:t>
      </w:r>
    </w:p>
    <w:p w:rsidR="00000000" w:rsidRDefault="00000000">
      <w:pPr>
        <w:pStyle w:val="BodyTextIndent2"/>
        <w:spacing w:after="120"/>
      </w:pPr>
      <w:r>
        <w:tab/>
      </w:r>
      <w:r>
        <w:tab/>
        <w:t>Ensuring equal opportunities for all citizens residing permanently in the territory of the Republic of Kazakhstan, irrespective of race, nationality, sex, language, social and professional status, property, origin, religious views, opinions and membership of public organizations, in the choice of employment and in job placement.</w:t>
      </w:r>
    </w:p>
    <w:p w:rsidR="00000000" w:rsidRDefault="00000000">
      <w:pPr>
        <w:pStyle w:val="D12r"/>
      </w:pPr>
    </w:p>
    <w:p w:rsidR="00000000" w:rsidRDefault="00000000">
      <w:pPr>
        <w:pStyle w:val="BodyTextIndent2"/>
        <w:spacing w:after="120"/>
        <w:ind w:left="0" w:firstLine="0"/>
      </w:pPr>
      <w:r>
        <w:tab/>
      </w:r>
      <w:r>
        <w:rPr>
          <w:b/>
        </w:rPr>
        <w:t>(b)</w:t>
      </w:r>
      <w:r>
        <w:rPr>
          <w:b/>
        </w:rPr>
        <w:tab/>
        <w:t xml:space="preserve">The right to the same employment opportunities, including the application of the same criteria for selection in matters of employment; </w:t>
      </w:r>
    </w:p>
    <w:p w:rsidR="00000000" w:rsidRDefault="00000000">
      <w:pPr>
        <w:pStyle w:val="BodyTextIndent2"/>
        <w:spacing w:after="120"/>
        <w:ind w:left="0" w:firstLine="0"/>
      </w:pPr>
      <w:r>
        <w:t>97.</w:t>
      </w:r>
      <w:r>
        <w:tab/>
        <w:t>Article 16 of the Labour Code of the Kazakh Soviet Socialist Republic of 21 July 1972, which remains in force in the Republic of Kazakhstan, contains the following provision:</w:t>
      </w:r>
    </w:p>
    <w:p w:rsidR="00000000" w:rsidRDefault="00000000">
      <w:pPr>
        <w:pStyle w:val="BodyTextIndent2"/>
        <w:spacing w:after="120"/>
      </w:pPr>
      <w:r>
        <w:tab/>
      </w:r>
      <w:r>
        <w:tab/>
        <w:t>No direct or indirect restriction of rights of any kind, nor the establishment in respect of recruitment of direct or indirect advantages based on sex, race, nationality or religious views shall be permitted.</w:t>
      </w:r>
    </w:p>
    <w:p w:rsidR="00000000" w:rsidRDefault="00000000">
      <w:pPr>
        <w:pStyle w:val="BodyTextIndent2"/>
        <w:spacing w:after="120"/>
        <w:ind w:left="0" w:firstLine="0"/>
      </w:pPr>
      <w:r>
        <w:tab/>
        <w:t>The Law on employment of 15 December 1990 introduced additional guarantees in respect of employment of the population (article 7), including:</w:t>
      </w:r>
    </w:p>
    <w:p w:rsidR="00000000" w:rsidRDefault="00000000">
      <w:pPr>
        <w:pStyle w:val="BodyTextIndent2"/>
        <w:spacing w:after="120"/>
      </w:pPr>
      <w:r>
        <w:tab/>
      </w:r>
      <w:r>
        <w:tab/>
        <w:t>Provision free of charge of vocational guidance services, vocational training and retraining, information on job vacancies, intermediary help in selecting suitable work and with job placement;</w:t>
      </w:r>
    </w:p>
    <w:p w:rsidR="00000000" w:rsidRDefault="00000000">
      <w:pPr>
        <w:pStyle w:val="BodyTextIndent2"/>
        <w:spacing w:after="120"/>
      </w:pPr>
      <w:r>
        <w:tab/>
      </w:r>
      <w:r>
        <w:tab/>
        <w:t>Protection against groundless refusal to hire and dismissal, and assistance with job retention;</w:t>
      </w:r>
    </w:p>
    <w:p w:rsidR="00000000" w:rsidRDefault="00000000">
      <w:pPr>
        <w:pStyle w:val="BodyTextIndent2"/>
        <w:spacing w:after="120"/>
      </w:pPr>
      <w:r>
        <w:tab/>
      </w:r>
      <w:r>
        <w:tab/>
        <w:t>Protection from all forms of discrimination and, for all workers, equal opportunities to enter a profession and obtain employment and equal conditions of service and working conditions.</w:t>
      </w:r>
    </w:p>
    <w:p w:rsidR="00000000" w:rsidRDefault="00000000">
      <w:pPr>
        <w:pStyle w:val="BodyTextIndent2"/>
        <w:spacing w:after="120"/>
        <w:ind w:left="0" w:firstLine="0"/>
      </w:pPr>
      <w:r>
        <w:t>98.</w:t>
      </w:r>
      <w:r>
        <w:tab/>
        <w:t>Article 17 of the Law on labour protection, adopted by the Supreme Council of the Republic of Kazakhstan on 22 January 1993, contains the following provision, which obliges employers to apply unequal criteria in the recruitment of men and women:</w:t>
      </w:r>
    </w:p>
    <w:p w:rsidR="00000000" w:rsidRDefault="00000000">
      <w:pPr>
        <w:pStyle w:val="BodyTextIndent2"/>
        <w:spacing w:after="120"/>
      </w:pPr>
      <w:r>
        <w:tab/>
      </w:r>
      <w:r>
        <w:tab/>
        <w:t>All women and persons under 18 years shall undergo a medical examination before being hired and, thereafter, shall undergo mandatory annual medical examinations until reaching the age of 45, in the case of women, and 18, in the case of minors.</w:t>
      </w:r>
    </w:p>
    <w:p w:rsidR="00000000" w:rsidRDefault="00000000">
      <w:pPr>
        <w:pStyle w:val="D12r"/>
      </w:pPr>
    </w:p>
    <w:p w:rsidR="00000000" w:rsidRDefault="00000000">
      <w:pPr>
        <w:pStyle w:val="BodyTextIndent2"/>
        <w:spacing w:after="120"/>
        <w:ind w:left="0" w:firstLine="0"/>
        <w:rPr>
          <w:b/>
        </w:rPr>
      </w:pPr>
      <w:r>
        <w:tab/>
      </w:r>
      <w:r>
        <w:rPr>
          <w:b/>
        </w:rPr>
        <w:t>(c)</w:t>
      </w:r>
      <w:r>
        <w:rPr>
          <w:b/>
        </w:rPr>
        <w:tab/>
        <w:t xml:space="preserve">The right to free choice of profession and employment, the right to promotion, job security and all benefits and conditions of service and the right to receive vocational training and retraining, including apprenticeships, advanced vocational training and recurrent training; </w:t>
      </w:r>
    </w:p>
    <w:p w:rsidR="00000000" w:rsidRDefault="00000000">
      <w:pPr>
        <w:pStyle w:val="BodyTextIndent2"/>
        <w:spacing w:after="120"/>
        <w:ind w:left="0" w:firstLine="0"/>
      </w:pPr>
      <w:r>
        <w:t>99.</w:t>
      </w:r>
      <w:r>
        <w:tab/>
        <w:t>Article 24 of the Constitution states:</w:t>
      </w:r>
    </w:p>
    <w:p w:rsidR="00000000" w:rsidRDefault="00000000">
      <w:pPr>
        <w:pStyle w:val="BodyTextIndent2"/>
        <w:spacing w:after="120"/>
      </w:pPr>
      <w:r>
        <w:tab/>
      </w:r>
      <w:r>
        <w:tab/>
        <w:t>Everyone has the right to freedom of employment and free choice of employment and profession. Forced labour is permitted only on the sentence of a court, in a state of emergency or under martial law.</w:t>
      </w:r>
    </w:p>
    <w:p w:rsidR="00000000" w:rsidRDefault="00000000">
      <w:pPr>
        <w:pStyle w:val="BodyTextIndent2"/>
        <w:spacing w:after="120"/>
        <w:ind w:left="0" w:firstLine="0"/>
      </w:pPr>
      <w:r>
        <w:tab/>
        <w:t>The document “Concept of State policy for the advancement of women in the Republic of Kazakhstan”, which was approved by a presidential decree of 5 March 1997 and is considered to define the overarching strategy of State policy in relation to women, establishes the following priorities for the realization of constitutional rights and opportunities in the labour market:</w:t>
      </w:r>
    </w:p>
    <w:p w:rsidR="00000000" w:rsidRDefault="00000000">
      <w:pPr>
        <w:pStyle w:val="BodyTextIndent2"/>
        <w:spacing w:after="120"/>
      </w:pPr>
      <w:r>
        <w:tab/>
      </w:r>
      <w:r>
        <w:tab/>
        <w:t xml:space="preserve">Establishment of real equality of rights and opportunities of women and men in the labour market, and creation of conditions for the enhancement of women’s competitiveness and their adaptation to the new economic relations; alignment of the legislation of the Republic of Kazakhstan with the international instruments on equality of opportunities and treatment in the field of employment ratified by Kazakhstan; evaluation of policy on equal rights and opportunities of men and women in the labour market and of existing normative legal acts </w:t>
      </w:r>
      <w:r>
        <w:rPr>
          <w:spacing w:val="0"/>
        </w:rPr>
        <w:t xml:space="preserve">(recruitment, dismissal, professional </w:t>
      </w:r>
      <w:r>
        <w:t>development), and development of mechanisms for their effective application; strengthening of the vocational training system, creation of conditions for vocational readaptation, and provision of advanced training or retraining for women with breaks in their employment history; organization of continuous gender analysis of the legal norms regulating labour relations and prohibiting discrimination on grounds of sex or age; elaboration of measures to realize the principles of equal pay for equal work and work of equal value and to eliminate the pay gap between branches with predominantly male or female workforces; creation of conditions for ensuring employment of women with reduced competitiveness (disabled women, mothers of large families, single mothers, wives of military personnel); development of a system of measures to encourage employers to employ and recruit vulnerable categories of the population, and guaranteeing for these categories of legal protection in case of infringement of their employment rights.</w:t>
      </w:r>
    </w:p>
    <w:p w:rsidR="00000000" w:rsidRDefault="00000000">
      <w:pPr>
        <w:pStyle w:val="BodyTextIndent2"/>
        <w:spacing w:after="120"/>
        <w:ind w:left="0" w:firstLine="0"/>
      </w:pPr>
      <w:r>
        <w:tab/>
        <w:t>As to its legal nature, the Concept does not enjoy the status of a normative legal act. The State has yet to adopt any legal State acts for the realization of the principles and provisions contained in the Concept.</w:t>
      </w:r>
    </w:p>
    <w:p w:rsidR="00000000" w:rsidRDefault="00000000">
      <w:pPr>
        <w:pStyle w:val="BodyTextIndent2"/>
        <w:spacing w:after="120"/>
        <w:ind w:left="0" w:firstLine="0"/>
      </w:pPr>
      <w:r>
        <w:tab/>
        <w:t>Article 5 of the Law on employment of the population of 30 December 1998 incorporated the concept of discrimination in the State guarantees in the field of employment:</w:t>
      </w:r>
    </w:p>
    <w:p w:rsidR="00000000" w:rsidRDefault="00000000">
      <w:pPr>
        <w:pStyle w:val="BodyTextIndent2"/>
        <w:spacing w:after="120"/>
        <w:ind w:left="0" w:firstLine="0"/>
      </w:pPr>
      <w:r>
        <w:tab/>
      </w:r>
      <w:r>
        <w:tab/>
        <w:t>The State shall guarantee citizens:</w:t>
      </w:r>
    </w:p>
    <w:p w:rsidR="00000000" w:rsidRDefault="00000000">
      <w:pPr>
        <w:pStyle w:val="BodyTextIndent2"/>
        <w:spacing w:after="120"/>
      </w:pPr>
      <w:r>
        <w:tab/>
        <w:t>(1)</w:t>
      </w:r>
      <w:r>
        <w:tab/>
        <w:t>Free choice of employment and protection of their employment rights;</w:t>
      </w:r>
    </w:p>
    <w:p w:rsidR="00000000" w:rsidRDefault="00000000">
      <w:pPr>
        <w:pStyle w:val="BodyTextIndent2"/>
        <w:spacing w:after="120"/>
      </w:pPr>
      <w:r>
        <w:tab/>
        <w:t>(2)</w:t>
      </w:r>
      <w:r>
        <w:tab/>
        <w:t>Protection from all forms of discrimination and, for all workers, equal opportunities to enter a profession and obtain employment</w:t>
      </w:r>
    </w:p>
    <w:p w:rsidR="00000000" w:rsidRDefault="00000000">
      <w:pPr>
        <w:pStyle w:val="BodyTextIndent2"/>
        <w:spacing w:after="120"/>
      </w:pPr>
      <w:r>
        <w:tab/>
        <w:t>(3)</w:t>
      </w:r>
      <w:r>
        <w:tab/>
        <w:t>Choice of suitable employment and job placement.</w:t>
      </w:r>
    </w:p>
    <w:p w:rsidR="00000000" w:rsidRDefault="00000000">
      <w:pPr>
        <w:pStyle w:val="D12r"/>
      </w:pPr>
    </w:p>
    <w:p w:rsidR="00000000" w:rsidRDefault="00000000">
      <w:pPr>
        <w:pStyle w:val="DH2"/>
      </w:pPr>
      <w:r>
        <w:tab/>
        <w:t>Restrictions on the employment of women</w:t>
      </w:r>
    </w:p>
    <w:p w:rsidR="00000000" w:rsidRDefault="00000000">
      <w:pPr>
        <w:pStyle w:val="D12r"/>
      </w:pPr>
    </w:p>
    <w:p w:rsidR="00000000" w:rsidRDefault="00000000">
      <w:pPr>
        <w:pStyle w:val="BodyTextIndent2"/>
        <w:spacing w:after="120"/>
        <w:ind w:left="0" w:firstLine="0"/>
      </w:pPr>
      <w:r>
        <w:t>100.</w:t>
      </w:r>
      <w:r>
        <w:tab/>
        <w:t>Articles 154 and 155 of the Labour Code of the Kazakh Soviet Socialist Republic of 21 July 1972 established the following restrictions on the employment of women, which remain in force to this day:</w:t>
      </w:r>
    </w:p>
    <w:p w:rsidR="00000000" w:rsidRDefault="00000000">
      <w:pPr>
        <w:pStyle w:val="BodyTextIndent2"/>
        <w:spacing w:after="120"/>
      </w:pPr>
      <w:r>
        <w:tab/>
      </w:r>
      <w:r>
        <w:tab/>
        <w:t>Article 154. The employment of women in heavy work, in jobs with hazardous working conditions and in jobs underground, with the exception of certain jobs underground (non-manual work, provision of health and consumer services), shall be prohibited.</w:t>
      </w:r>
    </w:p>
    <w:p w:rsidR="00000000" w:rsidRDefault="00000000">
      <w:pPr>
        <w:pStyle w:val="BodyTextIndent2"/>
        <w:spacing w:after="120"/>
      </w:pPr>
      <w:r>
        <w:tab/>
      </w:r>
      <w:r>
        <w:tab/>
        <w:t>A list of heavy work and jobs with hazardous working conditions in which the employment of women is prohibited shall be approved in accordance with the procedure established by law.</w:t>
      </w:r>
    </w:p>
    <w:p w:rsidR="00000000" w:rsidRDefault="00000000">
      <w:pPr>
        <w:pStyle w:val="BodyTextIndent2"/>
        <w:spacing w:after="120"/>
      </w:pPr>
      <w:r>
        <w:tab/>
      </w:r>
      <w:r>
        <w:tab/>
        <w:t>The carrying and movement by women of heavy loads that exceed the limits established for them shall be prohibited.</w:t>
      </w:r>
    </w:p>
    <w:p w:rsidR="00000000" w:rsidRDefault="00000000">
      <w:pPr>
        <w:pStyle w:val="BodyTextIndent2"/>
        <w:spacing w:after="120"/>
      </w:pPr>
      <w:r>
        <w:tab/>
      </w:r>
      <w:r>
        <w:tab/>
        <w:t>Article 155. Restriction of the employment of women in night work</w:t>
      </w:r>
    </w:p>
    <w:p w:rsidR="00000000" w:rsidRDefault="00000000">
      <w:pPr>
        <w:pStyle w:val="BodyTextIndent2"/>
        <w:spacing w:after="120"/>
      </w:pPr>
      <w:r>
        <w:tab/>
      </w:r>
      <w:r>
        <w:tab/>
        <w:t>The assignment of women to night work shall be permitted only in those branches of the economy where this is called for because of special need and shall be allowed as a temporary measure.</w:t>
      </w:r>
    </w:p>
    <w:p w:rsidR="00000000" w:rsidRDefault="00000000">
      <w:pPr>
        <w:pStyle w:val="BodyTextIndent2"/>
        <w:spacing w:after="120"/>
        <w:ind w:left="0" w:firstLine="0"/>
      </w:pPr>
      <w:r>
        <w:tab/>
        <w:t>Article 17 of the Law on labour protection, adopted by the Supreme Soviet of the Republic of Kazakhstan on 22 January 1993, contains the following provision restricting women’s right to free choice of profession and employment:</w:t>
      </w:r>
    </w:p>
    <w:p w:rsidR="00000000" w:rsidRDefault="00000000">
      <w:pPr>
        <w:pStyle w:val="BodyTextIndent2"/>
        <w:spacing w:after="120"/>
      </w:pPr>
      <w:r>
        <w:tab/>
      </w:r>
      <w:r>
        <w:tab/>
        <w:t>The employment of women and persons under 18 years of age in jobs with hazardous or dangerous working conditions and in jobs involving the lifting or movement of heavy loads by hand shall be restricted in accordance with the procedure established by law.</w:t>
      </w:r>
    </w:p>
    <w:p w:rsidR="00000000" w:rsidRDefault="00000000">
      <w:pPr>
        <w:pStyle w:val="BodyTextIndent2"/>
        <w:spacing w:after="120"/>
        <w:ind w:left="0" w:firstLine="0"/>
      </w:pPr>
      <w:r>
        <w:tab/>
        <w:t>In conformity with the provisions of the two aforementioned laws, women are not employed in motor transport to drive vehicles with a carrying capacity exceeding 3.5 tons, nor in a number of other highly paid professions.</w:t>
      </w:r>
    </w:p>
    <w:p w:rsidR="00000000" w:rsidRDefault="00000000">
      <w:pPr>
        <w:pStyle w:val="D12r"/>
      </w:pPr>
    </w:p>
    <w:p w:rsidR="00000000" w:rsidRDefault="00000000">
      <w:pPr>
        <w:pStyle w:val="DH2"/>
      </w:pPr>
      <w:r>
        <w:tab/>
        <w:t>Military personnel</w:t>
      </w:r>
    </w:p>
    <w:p w:rsidR="00000000" w:rsidRDefault="00000000">
      <w:pPr>
        <w:pStyle w:val="D12r"/>
      </w:pPr>
    </w:p>
    <w:p w:rsidR="00000000" w:rsidRDefault="00000000">
      <w:pPr>
        <w:pStyle w:val="BodyTextIndent2"/>
        <w:spacing w:after="120"/>
        <w:ind w:left="0" w:firstLine="0"/>
      </w:pPr>
      <w:r>
        <w:tab/>
        <w:t>The Ministry of Defence has drawn up a list of military posts in which women may serve.</w:t>
      </w:r>
    </w:p>
    <w:p w:rsidR="00000000" w:rsidRDefault="00000000">
      <w:pPr>
        <w:pStyle w:val="BodyTextIndent2"/>
        <w:spacing w:after="120"/>
        <w:ind w:left="0" w:firstLine="0"/>
      </w:pPr>
      <w:r>
        <w:tab/>
        <w:t>It is intended to broaden the sphere of women’s participation in the military to include the command level of units and sub-units.</w:t>
      </w:r>
    </w:p>
    <w:p w:rsidR="00000000" w:rsidRDefault="00000000">
      <w:pPr>
        <w:pStyle w:val="BodyTextIndent2"/>
        <w:spacing w:after="120"/>
        <w:ind w:left="0" w:firstLine="0"/>
      </w:pPr>
      <w:r>
        <w:t>101.</w:t>
      </w:r>
      <w:r>
        <w:tab/>
        <w:t>The Law on pensions of the Republic of Kazakhstan of 20 June 1997 contains a rule (art. 11) under which periods spent by the wives of officers, ensigns, warrant officers and re-enlisted military personnel residing with their husbands in locations in which there is no possibility of finding employment in their profession, but not exceeding ten years in total, are counted towards the length of service required for award of a pension.</w:t>
      </w:r>
    </w:p>
    <w:p w:rsidR="00000000" w:rsidRDefault="00000000">
      <w:pPr>
        <w:pStyle w:val="BodyTextIndent2"/>
        <w:spacing w:after="120"/>
        <w:ind w:left="0" w:firstLine="0"/>
      </w:pPr>
      <w:r>
        <w:tab/>
        <w:t>There is no equivalent rule in relation to husbands.</w:t>
      </w:r>
    </w:p>
    <w:p w:rsidR="00000000" w:rsidRDefault="00000000">
      <w:pPr>
        <w:pStyle w:val="D12r"/>
      </w:pPr>
    </w:p>
    <w:p w:rsidR="00000000" w:rsidRDefault="00000000">
      <w:pPr>
        <w:pStyle w:val="DH2"/>
        <w:ind w:left="475" w:hanging="475"/>
      </w:pPr>
      <w:r>
        <w:tab/>
        <w:t>Additional guarantees in respect of job placement for socially vulnerable sections of the population</w:t>
      </w:r>
    </w:p>
    <w:p w:rsidR="00000000" w:rsidRDefault="00000000">
      <w:pPr>
        <w:pStyle w:val="D12r"/>
      </w:pPr>
    </w:p>
    <w:p w:rsidR="00000000" w:rsidRDefault="00000000">
      <w:pPr>
        <w:pStyle w:val="BodyTextIndent2"/>
        <w:spacing w:after="120"/>
        <w:ind w:left="0" w:firstLine="0"/>
      </w:pPr>
      <w:r>
        <w:t>102.</w:t>
      </w:r>
      <w:r>
        <w:tab/>
        <w:t>Since 1990, Kazakhstan has been taking measures to provide additional guarantees in respect of job placement for persons requiring social protection.</w:t>
      </w:r>
    </w:p>
    <w:p w:rsidR="00000000" w:rsidRDefault="00000000">
      <w:pPr>
        <w:pStyle w:val="BodyTextIndent2"/>
        <w:spacing w:after="120"/>
        <w:ind w:left="0" w:firstLine="0"/>
      </w:pPr>
      <w:r>
        <w:tab/>
        <w:t>The Law on employment of 15 December 1990 established the following categories of persons requiring social protection:</w:t>
      </w:r>
    </w:p>
    <w:p w:rsidR="00000000" w:rsidRDefault="00000000">
      <w:pPr>
        <w:pStyle w:val="BodyTextIndent2"/>
        <w:spacing w:after="120"/>
      </w:pPr>
      <w:r>
        <w:tab/>
        <w:t>Single parents and parents of large families having minor children;</w:t>
      </w:r>
    </w:p>
    <w:p w:rsidR="00000000" w:rsidRDefault="00000000">
      <w:pPr>
        <w:pStyle w:val="BodyTextIndent2"/>
        <w:spacing w:after="120"/>
        <w:ind w:left="0" w:firstLine="0"/>
      </w:pPr>
      <w:r>
        <w:tab/>
        <w:t>Persons having two or more dependants;</w:t>
      </w:r>
    </w:p>
    <w:p w:rsidR="00000000" w:rsidRDefault="00000000">
      <w:pPr>
        <w:pStyle w:val="BodyTextIndent2"/>
        <w:spacing w:after="120"/>
        <w:ind w:left="0" w:firstLine="0"/>
      </w:pPr>
      <w:r>
        <w:tab/>
        <w:t>Young people under 20 years of age;</w:t>
      </w:r>
    </w:p>
    <w:p w:rsidR="00000000" w:rsidRDefault="00000000">
      <w:pPr>
        <w:pStyle w:val="BodyTextIndent2"/>
        <w:spacing w:after="120"/>
        <w:ind w:left="0" w:firstLine="0"/>
      </w:pPr>
      <w:r>
        <w:tab/>
        <w:t>Disabled persons;</w:t>
      </w:r>
    </w:p>
    <w:p w:rsidR="00000000" w:rsidRDefault="00000000">
      <w:pPr>
        <w:pStyle w:val="BodyTextIndent2"/>
        <w:spacing w:after="120"/>
        <w:ind w:left="0" w:firstLine="0"/>
      </w:pPr>
      <w:r>
        <w:tab/>
        <w:t>Persons nearing retirement age;</w:t>
      </w:r>
    </w:p>
    <w:p w:rsidR="00000000" w:rsidRDefault="00000000">
      <w:pPr>
        <w:pStyle w:val="BodyTextIndent2"/>
        <w:spacing w:after="120"/>
        <w:ind w:left="0" w:firstLine="0"/>
      </w:pPr>
      <w:r>
        <w:tab/>
        <w:t>Persons transferred from the army to the reserve;</w:t>
      </w:r>
    </w:p>
    <w:p w:rsidR="00000000" w:rsidRDefault="00000000">
      <w:pPr>
        <w:pStyle w:val="BodyTextIndent2"/>
        <w:spacing w:after="120"/>
      </w:pPr>
      <w:r>
        <w:tab/>
        <w:t>Military personnel who have fought abroad (as a rule, those who fought in Afghanistan);</w:t>
      </w:r>
    </w:p>
    <w:p w:rsidR="00000000" w:rsidRDefault="00000000">
      <w:pPr>
        <w:pStyle w:val="BodyTextIndent2"/>
        <w:spacing w:after="120"/>
        <w:ind w:left="0" w:firstLine="0"/>
      </w:pPr>
      <w:r>
        <w:tab/>
        <w:t>Citizens released from detention centres;</w:t>
      </w:r>
    </w:p>
    <w:p w:rsidR="00000000" w:rsidRDefault="00000000">
      <w:pPr>
        <w:pStyle w:val="BodyTextIndent2"/>
        <w:spacing w:after="120"/>
      </w:pPr>
      <w:r>
        <w:tab/>
        <w:t>Persons who have undergone treatment on the order of a court;</w:t>
      </w:r>
    </w:p>
    <w:p w:rsidR="00000000" w:rsidRDefault="00000000">
      <w:pPr>
        <w:pStyle w:val="BodyTextIndent2"/>
        <w:spacing w:after="120"/>
        <w:ind w:left="0" w:firstLine="0"/>
      </w:pPr>
      <w:r>
        <w:tab/>
        <w:t>Forced migrants.</w:t>
      </w:r>
    </w:p>
    <w:p w:rsidR="00000000" w:rsidRDefault="00000000">
      <w:pPr>
        <w:pStyle w:val="BodyTextIndent2"/>
        <w:spacing w:after="120"/>
        <w:ind w:left="0" w:firstLine="0"/>
      </w:pPr>
      <w:r>
        <w:tab/>
        <w:t>This Law provided that local authorities could fix, for enterprises and organizations located in their territories, minimum numbers of special posts to be reserved for such persons, which number should not exceed 3 per cent of the total number of workers.</w:t>
      </w:r>
    </w:p>
    <w:p w:rsidR="00000000" w:rsidRDefault="00000000">
      <w:pPr>
        <w:pStyle w:val="BodyTextIndent2"/>
        <w:spacing w:after="120"/>
        <w:ind w:left="0" w:firstLine="0"/>
      </w:pPr>
      <w:r>
        <w:tab/>
        <w:t>The Regulations on the establishment of quotas for the recruitment of persons requiring social protection and experiencing difficulties in obtaining employment, which were approved by the Cabinet of Ministers on 4 November 1991, added the long-term unemployed to the categories of citizens requiring special social assistance.</w:t>
      </w:r>
    </w:p>
    <w:p w:rsidR="00000000" w:rsidRDefault="00000000">
      <w:pPr>
        <w:pStyle w:val="BodyTextIndent2"/>
        <w:spacing w:after="120"/>
        <w:ind w:left="0" w:firstLine="0"/>
      </w:pPr>
      <w:r>
        <w:tab/>
        <w:t>On 15 December 1992, refugees, forced migrants and members of their families were included in these categories.</w:t>
      </w:r>
    </w:p>
    <w:p w:rsidR="00000000" w:rsidRDefault="00000000">
      <w:pPr>
        <w:pStyle w:val="BodyTextIndent2"/>
        <w:spacing w:after="120"/>
        <w:ind w:left="0" w:firstLine="0"/>
      </w:pPr>
      <w:r>
        <w:tab/>
        <w:t>The Law on employment of 30 December 1998 added the following categories (article 5):</w:t>
      </w:r>
    </w:p>
    <w:p w:rsidR="00000000" w:rsidRDefault="00000000">
      <w:pPr>
        <w:pStyle w:val="BodyTextIndent2"/>
        <w:spacing w:after="120"/>
        <w:ind w:left="0" w:firstLine="0"/>
      </w:pPr>
      <w:r>
        <w:tab/>
        <w:t>Women;</w:t>
      </w:r>
    </w:p>
    <w:p w:rsidR="00000000" w:rsidRDefault="00000000">
      <w:pPr>
        <w:pStyle w:val="BodyTextIndent2"/>
        <w:spacing w:after="120"/>
        <w:ind w:left="0" w:firstLine="0"/>
      </w:pPr>
      <w:r>
        <w:tab/>
        <w:t>Persons residing in rural areas;</w:t>
      </w:r>
    </w:p>
    <w:p w:rsidR="00000000" w:rsidRDefault="00000000">
      <w:pPr>
        <w:pStyle w:val="BodyTextIndent2"/>
        <w:spacing w:after="120"/>
        <w:ind w:left="0" w:firstLine="0"/>
      </w:pPr>
      <w:r>
        <w:tab/>
        <w:t>Persons residing in environmental disaster areas.</w:t>
      </w:r>
    </w:p>
    <w:p w:rsidR="00000000" w:rsidRDefault="00000000">
      <w:pPr>
        <w:pStyle w:val="BodyTextIndent2"/>
        <w:spacing w:after="120"/>
        <w:ind w:left="0" w:firstLine="0"/>
      </w:pPr>
      <w:r>
        <w:tab/>
        <w:t>This Law, in article 17, obliges local executive authorities to fix, for organizations located in their territories, annual quotas for the recruitment of persons in the categories indicated. Model rules on the establishment, in respect of organization, of minimum numbers of posts (quotas) for the recruitment of persons requiring social protection were approved by a resolution of the Government of the Republic of Kazakhstan of 25 June 1999. These rules stipulate that local executive authorities must set, in respect of organizations, quotas for the recruitment of persons in particular need of social protection, which quotas should not exceed 5 per cent of the total number of workers.</w:t>
      </w:r>
    </w:p>
    <w:p w:rsidR="00000000" w:rsidRDefault="00000000">
      <w:pPr>
        <w:pStyle w:val="BodyTextIndent2"/>
        <w:spacing w:after="120"/>
        <w:ind w:left="0" w:firstLine="0"/>
      </w:pPr>
      <w:r>
        <w:t>103.</w:t>
      </w:r>
      <w:r>
        <w:tab/>
        <w:t>The status of women in the vertical employment structure is quite discouraging. Despite the fact that the overwhelming majority of specialists and administrative personnel are women, the number of women managers at all levels is very low and is steadily declining.</w:t>
      </w:r>
    </w:p>
    <w:p w:rsidR="00000000" w:rsidRDefault="00000000">
      <w:pPr>
        <w:pStyle w:val="BodyTextIndent2"/>
        <w:ind w:left="0" w:firstLine="0"/>
      </w:pPr>
    </w:p>
    <w:p w:rsidR="00000000" w:rsidRDefault="00000000">
      <w:pPr>
        <w:pStyle w:val="BodyTextIndent2"/>
        <w:spacing w:after="120" w:line="240" w:lineRule="exact"/>
        <w:ind w:left="0" w:firstLine="0"/>
        <w:sectPr w:rsidR="00000000">
          <w:pgSz w:w="12240" w:h="15840"/>
          <w:pgMar w:top="1742" w:right="1195" w:bottom="1901" w:left="1195" w:header="576" w:footer="1037" w:gutter="0"/>
          <w:cols w:num="2" w:space="245"/>
          <w:docGrid w:linePitch="360"/>
        </w:sectPr>
      </w:pPr>
    </w:p>
    <w:p w:rsidR="00000000" w:rsidRDefault="00000000">
      <w:pPr>
        <w:pStyle w:val="BodyTextIndent2"/>
        <w:ind w:left="0" w:firstLine="0"/>
      </w:pPr>
      <w:r>
        <w:t>Table 31</w:t>
      </w:r>
    </w:p>
    <w:p w:rsidR="00000000" w:rsidRDefault="00000000">
      <w:pPr>
        <w:pStyle w:val="BodyTextIndent2"/>
        <w:spacing w:after="120"/>
        <w:ind w:left="0" w:firstLine="0"/>
        <w:rPr>
          <w:b/>
        </w:rPr>
      </w:pPr>
      <w:r>
        <w:rPr>
          <w:b/>
        </w:rPr>
        <w:t>Number of economically active persons</w:t>
      </w:r>
    </w:p>
    <w:tbl>
      <w:tblPr>
        <w:tblW w:w="0" w:type="auto"/>
        <w:tblInd w:w="-106" w:type="dxa"/>
        <w:tblLayout w:type="fixed"/>
        <w:tblLook w:val="0000" w:firstRow="0" w:lastRow="0" w:firstColumn="0" w:lastColumn="0" w:noHBand="0" w:noVBand="0"/>
      </w:tblPr>
      <w:tblGrid>
        <w:gridCol w:w="1737"/>
        <w:gridCol w:w="882"/>
        <w:gridCol w:w="792"/>
        <w:gridCol w:w="907"/>
        <w:gridCol w:w="236"/>
        <w:gridCol w:w="837"/>
        <w:gridCol w:w="819"/>
        <w:gridCol w:w="961"/>
        <w:gridCol w:w="236"/>
        <w:gridCol w:w="882"/>
        <w:gridCol w:w="828"/>
        <w:gridCol w:w="949"/>
      </w:tblGrid>
      <w:tr w:rsidR="00000000">
        <w:tblPrEx>
          <w:tblCellMar>
            <w:top w:w="0" w:type="dxa"/>
            <w:bottom w:w="0" w:type="dxa"/>
          </w:tblCellMar>
        </w:tblPrEx>
        <w:trPr>
          <w:cantSplit/>
        </w:trPr>
        <w:tc>
          <w:tcPr>
            <w:tcW w:w="1737" w:type="dxa"/>
            <w:tcBorders>
              <w:top w:val="single" w:sz="4" w:space="0" w:color="auto"/>
            </w:tcBorders>
          </w:tcPr>
          <w:p w:rsidR="00000000" w:rsidRDefault="00000000">
            <w:pPr>
              <w:pStyle w:val="BodyTextIndent2"/>
              <w:tabs>
                <w:tab w:val="clear" w:pos="475"/>
                <w:tab w:val="clear" w:pos="965"/>
                <w:tab w:val="left" w:pos="153"/>
                <w:tab w:val="left" w:pos="288"/>
              </w:tabs>
              <w:spacing w:after="120"/>
              <w:ind w:left="0" w:firstLine="0"/>
              <w:jc w:val="left"/>
              <w:rPr>
                <w:i/>
                <w:sz w:val="14"/>
              </w:rPr>
            </w:pPr>
          </w:p>
        </w:tc>
        <w:tc>
          <w:tcPr>
            <w:tcW w:w="2581" w:type="dxa"/>
            <w:gridSpan w:val="3"/>
            <w:tcBorders>
              <w:top w:val="single" w:sz="4" w:space="0" w:color="auto"/>
              <w:bottom w:val="single" w:sz="4" w:space="0" w:color="auto"/>
            </w:tcBorders>
          </w:tcPr>
          <w:p w:rsidR="00000000" w:rsidRDefault="00000000">
            <w:pPr>
              <w:pStyle w:val="BodyTextIndent2"/>
              <w:spacing w:after="120"/>
              <w:ind w:left="0" w:firstLine="0"/>
              <w:jc w:val="center"/>
              <w:rPr>
                <w:i/>
                <w:sz w:val="14"/>
              </w:rPr>
            </w:pPr>
            <w:r>
              <w:rPr>
                <w:i/>
                <w:sz w:val="14"/>
              </w:rPr>
              <w:t>1996</w:t>
            </w:r>
          </w:p>
        </w:tc>
        <w:tc>
          <w:tcPr>
            <w:tcW w:w="236" w:type="dxa"/>
            <w:tcBorders>
              <w:top w:val="single" w:sz="4" w:space="0" w:color="auto"/>
            </w:tcBorders>
          </w:tcPr>
          <w:p w:rsidR="00000000" w:rsidRDefault="00000000">
            <w:pPr>
              <w:pStyle w:val="BodyTextIndent2"/>
              <w:spacing w:after="120"/>
              <w:ind w:left="0" w:firstLine="0"/>
              <w:jc w:val="center"/>
              <w:rPr>
                <w:i/>
                <w:sz w:val="14"/>
              </w:rPr>
            </w:pPr>
          </w:p>
        </w:tc>
        <w:tc>
          <w:tcPr>
            <w:tcW w:w="2617" w:type="dxa"/>
            <w:gridSpan w:val="3"/>
            <w:tcBorders>
              <w:top w:val="single" w:sz="4" w:space="0" w:color="auto"/>
              <w:bottom w:val="single" w:sz="4" w:space="0" w:color="auto"/>
            </w:tcBorders>
          </w:tcPr>
          <w:p w:rsidR="00000000" w:rsidRDefault="00000000">
            <w:pPr>
              <w:pStyle w:val="BodyTextIndent2"/>
              <w:spacing w:after="120"/>
              <w:ind w:left="0" w:firstLine="0"/>
              <w:jc w:val="center"/>
              <w:rPr>
                <w:i/>
                <w:sz w:val="14"/>
              </w:rPr>
            </w:pPr>
            <w:r>
              <w:rPr>
                <w:i/>
                <w:sz w:val="14"/>
              </w:rPr>
              <w:t>1997</w:t>
            </w:r>
          </w:p>
        </w:tc>
        <w:tc>
          <w:tcPr>
            <w:tcW w:w="236" w:type="dxa"/>
            <w:tcBorders>
              <w:top w:val="single" w:sz="4" w:space="0" w:color="auto"/>
            </w:tcBorders>
          </w:tcPr>
          <w:p w:rsidR="00000000" w:rsidRDefault="00000000">
            <w:pPr>
              <w:pStyle w:val="BodyTextIndent2"/>
              <w:spacing w:after="120"/>
              <w:ind w:left="0" w:firstLine="0"/>
              <w:jc w:val="center"/>
              <w:rPr>
                <w:i/>
                <w:sz w:val="14"/>
              </w:rPr>
            </w:pPr>
          </w:p>
        </w:tc>
        <w:tc>
          <w:tcPr>
            <w:tcW w:w="2659" w:type="dxa"/>
            <w:gridSpan w:val="3"/>
            <w:tcBorders>
              <w:top w:val="single" w:sz="4" w:space="0" w:color="auto"/>
              <w:bottom w:val="single" w:sz="4" w:space="0" w:color="auto"/>
            </w:tcBorders>
          </w:tcPr>
          <w:p w:rsidR="00000000" w:rsidRDefault="00000000">
            <w:pPr>
              <w:pStyle w:val="BodyTextIndent2"/>
              <w:spacing w:after="120"/>
              <w:ind w:left="0" w:firstLine="0"/>
              <w:jc w:val="center"/>
              <w:rPr>
                <w:i/>
                <w:sz w:val="14"/>
              </w:rPr>
            </w:pPr>
            <w:r>
              <w:rPr>
                <w:i/>
                <w:sz w:val="14"/>
              </w:rPr>
              <w:t>1998</w:t>
            </w:r>
          </w:p>
        </w:tc>
      </w:tr>
      <w:tr w:rsidR="00000000">
        <w:tblPrEx>
          <w:tblCellMar>
            <w:top w:w="0" w:type="dxa"/>
            <w:bottom w:w="0" w:type="dxa"/>
          </w:tblCellMar>
        </w:tblPrEx>
        <w:tc>
          <w:tcPr>
            <w:tcW w:w="1737" w:type="dxa"/>
            <w:tcBorders>
              <w:bottom w:val="single" w:sz="12" w:space="0" w:color="auto"/>
            </w:tcBorders>
          </w:tcPr>
          <w:p w:rsidR="00000000" w:rsidRDefault="00000000">
            <w:pPr>
              <w:pStyle w:val="BodyTextIndent2"/>
              <w:tabs>
                <w:tab w:val="clear" w:pos="475"/>
                <w:tab w:val="clear" w:pos="965"/>
                <w:tab w:val="left" w:pos="153"/>
                <w:tab w:val="left" w:pos="288"/>
              </w:tabs>
              <w:spacing w:after="120"/>
              <w:ind w:left="0" w:firstLine="0"/>
              <w:jc w:val="left"/>
              <w:rPr>
                <w:i/>
                <w:sz w:val="14"/>
              </w:rPr>
            </w:pPr>
          </w:p>
        </w:tc>
        <w:tc>
          <w:tcPr>
            <w:tcW w:w="882"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Total, thousands</w:t>
            </w:r>
          </w:p>
        </w:tc>
        <w:tc>
          <w:tcPr>
            <w:tcW w:w="792"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Of whom women</w:t>
            </w:r>
          </w:p>
        </w:tc>
        <w:tc>
          <w:tcPr>
            <w:tcW w:w="907"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Proportion of women, percentage</w:t>
            </w:r>
          </w:p>
        </w:tc>
        <w:tc>
          <w:tcPr>
            <w:tcW w:w="236" w:type="dxa"/>
            <w:tcBorders>
              <w:bottom w:val="single" w:sz="12" w:space="0" w:color="auto"/>
            </w:tcBorders>
          </w:tcPr>
          <w:p w:rsidR="00000000" w:rsidRDefault="00000000">
            <w:pPr>
              <w:pStyle w:val="BodyTextIndent2"/>
              <w:spacing w:after="120"/>
              <w:ind w:left="0" w:firstLine="0"/>
              <w:jc w:val="right"/>
              <w:rPr>
                <w:i/>
                <w:sz w:val="14"/>
              </w:rPr>
            </w:pPr>
          </w:p>
        </w:tc>
        <w:tc>
          <w:tcPr>
            <w:tcW w:w="837"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Total, thousands</w:t>
            </w:r>
          </w:p>
        </w:tc>
        <w:tc>
          <w:tcPr>
            <w:tcW w:w="819"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Of whom women</w:t>
            </w:r>
          </w:p>
        </w:tc>
        <w:tc>
          <w:tcPr>
            <w:tcW w:w="961"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Proportion of women, percentage</w:t>
            </w:r>
          </w:p>
        </w:tc>
        <w:tc>
          <w:tcPr>
            <w:tcW w:w="236" w:type="dxa"/>
            <w:tcBorders>
              <w:bottom w:val="single" w:sz="12" w:space="0" w:color="auto"/>
            </w:tcBorders>
          </w:tcPr>
          <w:p w:rsidR="00000000" w:rsidRDefault="00000000">
            <w:pPr>
              <w:pStyle w:val="BodyTextIndent2"/>
              <w:spacing w:after="120"/>
              <w:ind w:left="0" w:firstLine="0"/>
              <w:jc w:val="right"/>
              <w:rPr>
                <w:i/>
                <w:sz w:val="14"/>
              </w:rPr>
            </w:pPr>
          </w:p>
        </w:tc>
        <w:tc>
          <w:tcPr>
            <w:tcW w:w="882"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Total, thousands</w:t>
            </w:r>
          </w:p>
        </w:tc>
        <w:tc>
          <w:tcPr>
            <w:tcW w:w="828"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Of whom women</w:t>
            </w:r>
          </w:p>
        </w:tc>
        <w:tc>
          <w:tcPr>
            <w:tcW w:w="949"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Proportion of women, percentage</w:t>
            </w:r>
          </w:p>
        </w:tc>
      </w:tr>
      <w:tr w:rsidR="00000000">
        <w:tblPrEx>
          <w:tblCellMar>
            <w:top w:w="0" w:type="dxa"/>
            <w:bottom w:w="0" w:type="dxa"/>
          </w:tblCellMar>
        </w:tblPrEx>
        <w:tc>
          <w:tcPr>
            <w:tcW w:w="1737" w:type="dxa"/>
            <w:tcBorders>
              <w:top w:val="single" w:sz="12" w:space="0" w:color="auto"/>
            </w:tcBorders>
          </w:tcPr>
          <w:p w:rsidR="00000000" w:rsidRDefault="00000000">
            <w:pPr>
              <w:pStyle w:val="BodyTextIndent2"/>
              <w:tabs>
                <w:tab w:val="clear" w:pos="475"/>
                <w:tab w:val="clear" w:pos="965"/>
                <w:tab w:val="left" w:pos="153"/>
                <w:tab w:val="left" w:pos="288"/>
              </w:tabs>
              <w:spacing w:after="120"/>
              <w:ind w:left="0" w:firstLine="0"/>
              <w:jc w:val="left"/>
              <w:rPr>
                <w:sz w:val="17"/>
              </w:rPr>
            </w:pPr>
            <w:r>
              <w:rPr>
                <w:sz w:val="17"/>
              </w:rPr>
              <w:t>Average number of economically active persons per annum*</w:t>
            </w:r>
          </w:p>
        </w:tc>
        <w:tc>
          <w:tcPr>
            <w:tcW w:w="882" w:type="dxa"/>
            <w:tcBorders>
              <w:top w:val="single" w:sz="12" w:space="0" w:color="auto"/>
            </w:tcBorders>
          </w:tcPr>
          <w:p w:rsidR="00000000" w:rsidRDefault="00000000">
            <w:pPr>
              <w:pStyle w:val="BodyTextIndent2"/>
              <w:spacing w:after="120"/>
              <w:ind w:left="0" w:firstLine="0"/>
              <w:jc w:val="right"/>
              <w:rPr>
                <w:sz w:val="17"/>
              </w:rPr>
            </w:pPr>
            <w:r>
              <w:rPr>
                <w:sz w:val="17"/>
              </w:rPr>
              <w:t>6 518.9</w:t>
            </w:r>
          </w:p>
        </w:tc>
        <w:tc>
          <w:tcPr>
            <w:tcW w:w="792" w:type="dxa"/>
            <w:tcBorders>
              <w:top w:val="single" w:sz="12" w:space="0" w:color="auto"/>
            </w:tcBorders>
          </w:tcPr>
          <w:p w:rsidR="00000000" w:rsidRDefault="00000000">
            <w:pPr>
              <w:pStyle w:val="BodyTextIndent2"/>
              <w:spacing w:after="120"/>
              <w:ind w:left="0" w:firstLine="0"/>
              <w:jc w:val="right"/>
              <w:rPr>
                <w:sz w:val="17"/>
              </w:rPr>
            </w:pPr>
            <w:r>
              <w:rPr>
                <w:sz w:val="17"/>
              </w:rPr>
              <w:t>3 024.8</w:t>
            </w:r>
          </w:p>
        </w:tc>
        <w:tc>
          <w:tcPr>
            <w:tcW w:w="907" w:type="dxa"/>
            <w:tcBorders>
              <w:top w:val="single" w:sz="12" w:space="0" w:color="auto"/>
            </w:tcBorders>
          </w:tcPr>
          <w:p w:rsidR="00000000" w:rsidRDefault="00000000">
            <w:pPr>
              <w:pStyle w:val="BodyTextIndent2"/>
              <w:spacing w:after="120"/>
              <w:ind w:left="0" w:firstLine="0"/>
              <w:jc w:val="right"/>
              <w:rPr>
                <w:sz w:val="17"/>
              </w:rPr>
            </w:pPr>
            <w:r>
              <w:rPr>
                <w:sz w:val="17"/>
              </w:rPr>
              <w:t>46.4</w:t>
            </w:r>
          </w:p>
        </w:tc>
        <w:tc>
          <w:tcPr>
            <w:tcW w:w="236" w:type="dxa"/>
            <w:tcBorders>
              <w:top w:val="single" w:sz="12" w:space="0" w:color="auto"/>
            </w:tcBorders>
          </w:tcPr>
          <w:p w:rsidR="00000000" w:rsidRDefault="00000000">
            <w:pPr>
              <w:pStyle w:val="BodyTextIndent2"/>
              <w:spacing w:after="120"/>
              <w:ind w:left="0" w:firstLine="0"/>
              <w:jc w:val="right"/>
              <w:rPr>
                <w:sz w:val="17"/>
              </w:rPr>
            </w:pPr>
          </w:p>
        </w:tc>
        <w:tc>
          <w:tcPr>
            <w:tcW w:w="837" w:type="dxa"/>
            <w:tcBorders>
              <w:top w:val="single" w:sz="12" w:space="0" w:color="auto"/>
            </w:tcBorders>
          </w:tcPr>
          <w:p w:rsidR="00000000" w:rsidRDefault="00000000">
            <w:pPr>
              <w:pStyle w:val="BodyTextIndent2"/>
              <w:spacing w:after="120"/>
              <w:ind w:left="0" w:firstLine="0"/>
              <w:jc w:val="right"/>
              <w:rPr>
                <w:sz w:val="17"/>
              </w:rPr>
            </w:pPr>
            <w:r>
              <w:rPr>
                <w:sz w:val="17"/>
              </w:rPr>
              <w:t>6 472.3</w:t>
            </w:r>
          </w:p>
        </w:tc>
        <w:tc>
          <w:tcPr>
            <w:tcW w:w="819" w:type="dxa"/>
            <w:tcBorders>
              <w:top w:val="single" w:sz="12" w:space="0" w:color="auto"/>
            </w:tcBorders>
          </w:tcPr>
          <w:p w:rsidR="00000000" w:rsidRDefault="00000000">
            <w:pPr>
              <w:pStyle w:val="BodyTextIndent2"/>
              <w:spacing w:after="120"/>
              <w:ind w:left="0" w:firstLine="0"/>
              <w:jc w:val="right"/>
              <w:rPr>
                <w:sz w:val="17"/>
              </w:rPr>
            </w:pPr>
            <w:r>
              <w:rPr>
                <w:sz w:val="17"/>
              </w:rPr>
              <w:t>2 951.4</w:t>
            </w:r>
          </w:p>
        </w:tc>
        <w:tc>
          <w:tcPr>
            <w:tcW w:w="961" w:type="dxa"/>
            <w:tcBorders>
              <w:top w:val="single" w:sz="12" w:space="0" w:color="auto"/>
            </w:tcBorders>
          </w:tcPr>
          <w:p w:rsidR="00000000" w:rsidRDefault="00000000">
            <w:pPr>
              <w:pStyle w:val="BodyTextIndent2"/>
              <w:spacing w:after="120"/>
              <w:ind w:left="0" w:firstLine="0"/>
              <w:jc w:val="right"/>
              <w:rPr>
                <w:sz w:val="17"/>
              </w:rPr>
            </w:pPr>
            <w:r>
              <w:rPr>
                <w:sz w:val="17"/>
              </w:rPr>
              <w:t>45.6</w:t>
            </w:r>
          </w:p>
        </w:tc>
        <w:tc>
          <w:tcPr>
            <w:tcW w:w="236" w:type="dxa"/>
            <w:tcBorders>
              <w:top w:val="single" w:sz="12" w:space="0" w:color="auto"/>
            </w:tcBorders>
          </w:tcPr>
          <w:p w:rsidR="00000000" w:rsidRDefault="00000000">
            <w:pPr>
              <w:pStyle w:val="BodyTextIndent2"/>
              <w:spacing w:after="120"/>
              <w:ind w:left="0" w:firstLine="0"/>
              <w:jc w:val="right"/>
              <w:rPr>
                <w:sz w:val="17"/>
              </w:rPr>
            </w:pPr>
          </w:p>
        </w:tc>
        <w:tc>
          <w:tcPr>
            <w:tcW w:w="882" w:type="dxa"/>
            <w:tcBorders>
              <w:top w:val="single" w:sz="12" w:space="0" w:color="auto"/>
            </w:tcBorders>
          </w:tcPr>
          <w:p w:rsidR="00000000" w:rsidRDefault="00000000">
            <w:pPr>
              <w:pStyle w:val="BodyTextIndent2"/>
              <w:spacing w:after="120"/>
              <w:ind w:left="0" w:firstLine="0"/>
              <w:jc w:val="right"/>
              <w:rPr>
                <w:sz w:val="17"/>
              </w:rPr>
            </w:pPr>
            <w:r>
              <w:rPr>
                <w:sz w:val="17"/>
              </w:rPr>
              <w:t>6 300</w:t>
            </w:r>
          </w:p>
        </w:tc>
        <w:tc>
          <w:tcPr>
            <w:tcW w:w="828" w:type="dxa"/>
            <w:tcBorders>
              <w:top w:val="single" w:sz="12" w:space="0" w:color="auto"/>
            </w:tcBorders>
          </w:tcPr>
          <w:p w:rsidR="00000000" w:rsidRDefault="00000000">
            <w:pPr>
              <w:pStyle w:val="BodyTextIndent2"/>
              <w:spacing w:after="120"/>
              <w:ind w:left="0" w:firstLine="0"/>
              <w:jc w:val="right"/>
              <w:rPr>
                <w:sz w:val="17"/>
              </w:rPr>
            </w:pPr>
            <w:r>
              <w:rPr>
                <w:sz w:val="17"/>
              </w:rPr>
              <w:t>2 885.4</w:t>
            </w:r>
          </w:p>
        </w:tc>
        <w:tc>
          <w:tcPr>
            <w:tcW w:w="949" w:type="dxa"/>
            <w:tcBorders>
              <w:top w:val="single" w:sz="12" w:space="0" w:color="auto"/>
            </w:tcBorders>
          </w:tcPr>
          <w:p w:rsidR="00000000" w:rsidRDefault="00000000">
            <w:pPr>
              <w:pStyle w:val="BodyTextIndent2"/>
              <w:spacing w:after="120"/>
              <w:ind w:left="0" w:firstLine="0"/>
              <w:jc w:val="right"/>
              <w:rPr>
                <w:sz w:val="17"/>
              </w:rPr>
            </w:pPr>
            <w:r>
              <w:rPr>
                <w:sz w:val="17"/>
              </w:rPr>
              <w:t>45.8</w:t>
            </w:r>
          </w:p>
        </w:tc>
      </w:tr>
      <w:tr w:rsidR="00000000">
        <w:tblPrEx>
          <w:tblCellMar>
            <w:top w:w="0" w:type="dxa"/>
            <w:bottom w:w="0" w:type="dxa"/>
          </w:tblCellMar>
        </w:tblPrEx>
        <w:tc>
          <w:tcPr>
            <w:tcW w:w="1737" w:type="dxa"/>
          </w:tcPr>
          <w:p w:rsidR="00000000" w:rsidRDefault="00000000">
            <w:pPr>
              <w:pStyle w:val="BodyTextIndent2"/>
              <w:tabs>
                <w:tab w:val="clear" w:pos="475"/>
                <w:tab w:val="clear" w:pos="965"/>
                <w:tab w:val="left" w:pos="108"/>
                <w:tab w:val="left" w:pos="153"/>
                <w:tab w:val="left" w:pos="261"/>
                <w:tab w:val="left" w:pos="288"/>
              </w:tabs>
              <w:spacing w:after="120"/>
              <w:ind w:left="0" w:firstLine="0"/>
              <w:jc w:val="left"/>
              <w:rPr>
                <w:sz w:val="17"/>
              </w:rPr>
            </w:pPr>
            <w:r>
              <w:rPr>
                <w:sz w:val="17"/>
              </w:rPr>
              <w:t>Average number of employed persons per annum**</w:t>
            </w:r>
          </w:p>
        </w:tc>
        <w:tc>
          <w:tcPr>
            <w:tcW w:w="882" w:type="dxa"/>
          </w:tcPr>
          <w:p w:rsidR="00000000" w:rsidRDefault="00000000">
            <w:pPr>
              <w:pStyle w:val="BodyTextIndent2"/>
              <w:spacing w:after="120"/>
              <w:ind w:left="0" w:firstLine="0"/>
              <w:jc w:val="right"/>
              <w:rPr>
                <w:sz w:val="17"/>
              </w:rPr>
            </w:pPr>
            <w:r>
              <w:rPr>
                <w:sz w:val="17"/>
              </w:rPr>
              <w:t>4 380.5</w:t>
            </w:r>
          </w:p>
        </w:tc>
        <w:tc>
          <w:tcPr>
            <w:tcW w:w="792" w:type="dxa"/>
          </w:tcPr>
          <w:p w:rsidR="00000000" w:rsidRDefault="00000000">
            <w:pPr>
              <w:pStyle w:val="BodyTextIndent2"/>
              <w:spacing w:after="120"/>
              <w:ind w:left="0" w:firstLine="0"/>
              <w:jc w:val="right"/>
              <w:rPr>
                <w:sz w:val="17"/>
              </w:rPr>
            </w:pPr>
            <w:r>
              <w:rPr>
                <w:sz w:val="17"/>
              </w:rPr>
              <w:t>2 084.6</w:t>
            </w:r>
          </w:p>
        </w:tc>
        <w:tc>
          <w:tcPr>
            <w:tcW w:w="907" w:type="dxa"/>
          </w:tcPr>
          <w:p w:rsidR="00000000" w:rsidRDefault="00000000">
            <w:pPr>
              <w:pStyle w:val="BodyTextIndent2"/>
              <w:spacing w:after="120"/>
              <w:ind w:left="0" w:firstLine="0"/>
              <w:jc w:val="right"/>
              <w:rPr>
                <w:sz w:val="17"/>
              </w:rPr>
            </w:pPr>
            <w:r>
              <w:rPr>
                <w:sz w:val="17"/>
              </w:rPr>
              <w:t>47.6</w:t>
            </w:r>
          </w:p>
        </w:tc>
        <w:tc>
          <w:tcPr>
            <w:tcW w:w="236" w:type="dxa"/>
          </w:tcPr>
          <w:p w:rsidR="00000000" w:rsidRDefault="00000000">
            <w:pPr>
              <w:pStyle w:val="BodyTextIndent2"/>
              <w:spacing w:after="120"/>
              <w:ind w:left="0" w:firstLine="0"/>
              <w:jc w:val="right"/>
              <w:rPr>
                <w:sz w:val="17"/>
              </w:rPr>
            </w:pPr>
          </w:p>
        </w:tc>
        <w:tc>
          <w:tcPr>
            <w:tcW w:w="837" w:type="dxa"/>
          </w:tcPr>
          <w:p w:rsidR="00000000" w:rsidRDefault="00000000">
            <w:pPr>
              <w:pStyle w:val="BodyTextIndent2"/>
              <w:spacing w:after="120"/>
              <w:ind w:left="0" w:firstLine="0"/>
              <w:jc w:val="right"/>
              <w:rPr>
                <w:sz w:val="17"/>
              </w:rPr>
            </w:pPr>
            <w:r>
              <w:rPr>
                <w:sz w:val="17"/>
              </w:rPr>
              <w:t>3 628.8</w:t>
            </w:r>
          </w:p>
        </w:tc>
        <w:tc>
          <w:tcPr>
            <w:tcW w:w="819" w:type="dxa"/>
          </w:tcPr>
          <w:p w:rsidR="00000000" w:rsidRDefault="00000000">
            <w:pPr>
              <w:pStyle w:val="BodyTextIndent2"/>
              <w:spacing w:after="120"/>
              <w:ind w:left="0" w:firstLine="0"/>
              <w:jc w:val="right"/>
              <w:rPr>
                <w:sz w:val="17"/>
              </w:rPr>
            </w:pPr>
            <w:r>
              <w:rPr>
                <w:sz w:val="17"/>
              </w:rPr>
              <w:t>1 728.2</w:t>
            </w:r>
          </w:p>
        </w:tc>
        <w:tc>
          <w:tcPr>
            <w:tcW w:w="961" w:type="dxa"/>
          </w:tcPr>
          <w:p w:rsidR="00000000" w:rsidRDefault="00000000">
            <w:pPr>
              <w:pStyle w:val="BodyTextIndent2"/>
              <w:spacing w:after="120"/>
              <w:ind w:left="0" w:firstLine="0"/>
              <w:jc w:val="right"/>
              <w:rPr>
                <w:sz w:val="17"/>
              </w:rPr>
            </w:pPr>
            <w:r>
              <w:rPr>
                <w:sz w:val="17"/>
              </w:rPr>
              <w:t>47.6</w:t>
            </w:r>
          </w:p>
        </w:tc>
        <w:tc>
          <w:tcPr>
            <w:tcW w:w="236" w:type="dxa"/>
          </w:tcPr>
          <w:p w:rsidR="00000000" w:rsidRDefault="00000000">
            <w:pPr>
              <w:pStyle w:val="BodyTextIndent2"/>
              <w:spacing w:after="120"/>
              <w:ind w:left="0" w:firstLine="0"/>
              <w:jc w:val="right"/>
              <w:rPr>
                <w:sz w:val="17"/>
              </w:rPr>
            </w:pPr>
          </w:p>
        </w:tc>
        <w:tc>
          <w:tcPr>
            <w:tcW w:w="882" w:type="dxa"/>
          </w:tcPr>
          <w:p w:rsidR="00000000" w:rsidRDefault="00000000">
            <w:pPr>
              <w:pStyle w:val="BodyTextIndent2"/>
              <w:spacing w:after="120"/>
              <w:ind w:left="0" w:firstLine="0"/>
              <w:jc w:val="right"/>
              <w:rPr>
                <w:sz w:val="17"/>
              </w:rPr>
            </w:pPr>
            <w:r>
              <w:rPr>
                <w:sz w:val="17"/>
              </w:rPr>
              <w:t>3 070.6</w:t>
            </w:r>
          </w:p>
        </w:tc>
        <w:tc>
          <w:tcPr>
            <w:tcW w:w="828" w:type="dxa"/>
          </w:tcPr>
          <w:p w:rsidR="00000000" w:rsidRDefault="00000000">
            <w:pPr>
              <w:pStyle w:val="BodyTextIndent2"/>
              <w:spacing w:after="120"/>
              <w:ind w:left="0" w:firstLine="0"/>
              <w:jc w:val="right"/>
              <w:rPr>
                <w:sz w:val="17"/>
              </w:rPr>
            </w:pPr>
            <w:r>
              <w:rPr>
                <w:sz w:val="17"/>
              </w:rPr>
              <w:t>1 405</w:t>
            </w:r>
          </w:p>
        </w:tc>
        <w:tc>
          <w:tcPr>
            <w:tcW w:w="949" w:type="dxa"/>
          </w:tcPr>
          <w:p w:rsidR="00000000" w:rsidRDefault="00000000">
            <w:pPr>
              <w:pStyle w:val="BodyTextIndent2"/>
              <w:spacing w:after="120"/>
              <w:ind w:left="0" w:firstLine="0"/>
              <w:jc w:val="right"/>
              <w:rPr>
                <w:sz w:val="17"/>
              </w:rPr>
            </w:pPr>
            <w:r>
              <w:rPr>
                <w:sz w:val="17"/>
              </w:rPr>
              <w:t>45.8</w:t>
            </w:r>
          </w:p>
        </w:tc>
      </w:tr>
      <w:tr w:rsidR="00000000">
        <w:tblPrEx>
          <w:tblCellMar>
            <w:top w:w="0" w:type="dxa"/>
            <w:bottom w:w="0" w:type="dxa"/>
          </w:tblCellMar>
        </w:tblPrEx>
        <w:tc>
          <w:tcPr>
            <w:tcW w:w="1737" w:type="dxa"/>
          </w:tcPr>
          <w:p w:rsidR="00000000" w:rsidRDefault="00000000">
            <w:pPr>
              <w:pStyle w:val="BodyTextIndent2"/>
              <w:tabs>
                <w:tab w:val="clear" w:pos="475"/>
                <w:tab w:val="clear" w:pos="965"/>
                <w:tab w:val="left" w:pos="153"/>
                <w:tab w:val="left" w:pos="288"/>
              </w:tabs>
              <w:spacing w:after="120"/>
              <w:ind w:left="0" w:firstLine="0"/>
              <w:jc w:val="left"/>
              <w:rPr>
                <w:sz w:val="17"/>
              </w:rPr>
            </w:pPr>
            <w:r>
              <w:rPr>
                <w:sz w:val="17"/>
              </w:rPr>
              <w:t>Consisting of</w:t>
            </w:r>
          </w:p>
        </w:tc>
        <w:tc>
          <w:tcPr>
            <w:tcW w:w="882" w:type="dxa"/>
          </w:tcPr>
          <w:p w:rsidR="00000000" w:rsidRDefault="00000000">
            <w:pPr>
              <w:pStyle w:val="BodyTextIndent2"/>
              <w:spacing w:after="120"/>
              <w:ind w:left="0" w:firstLine="0"/>
              <w:jc w:val="right"/>
              <w:rPr>
                <w:sz w:val="17"/>
              </w:rPr>
            </w:pPr>
          </w:p>
        </w:tc>
        <w:tc>
          <w:tcPr>
            <w:tcW w:w="792" w:type="dxa"/>
          </w:tcPr>
          <w:p w:rsidR="00000000" w:rsidRDefault="00000000">
            <w:pPr>
              <w:pStyle w:val="BodyTextIndent2"/>
              <w:spacing w:after="120"/>
              <w:ind w:left="0" w:firstLine="0"/>
              <w:jc w:val="right"/>
              <w:rPr>
                <w:sz w:val="17"/>
              </w:rPr>
            </w:pPr>
          </w:p>
        </w:tc>
        <w:tc>
          <w:tcPr>
            <w:tcW w:w="907" w:type="dxa"/>
          </w:tcPr>
          <w:p w:rsidR="00000000" w:rsidRDefault="00000000">
            <w:pPr>
              <w:pStyle w:val="BodyTextIndent2"/>
              <w:spacing w:after="120"/>
              <w:ind w:left="0" w:firstLine="0"/>
              <w:jc w:val="right"/>
              <w:rPr>
                <w:sz w:val="17"/>
              </w:rPr>
            </w:pPr>
          </w:p>
        </w:tc>
        <w:tc>
          <w:tcPr>
            <w:tcW w:w="236" w:type="dxa"/>
          </w:tcPr>
          <w:p w:rsidR="00000000" w:rsidRDefault="00000000">
            <w:pPr>
              <w:pStyle w:val="BodyTextIndent2"/>
              <w:spacing w:after="120"/>
              <w:ind w:left="0" w:firstLine="0"/>
              <w:jc w:val="right"/>
              <w:rPr>
                <w:sz w:val="17"/>
              </w:rPr>
            </w:pPr>
          </w:p>
        </w:tc>
        <w:tc>
          <w:tcPr>
            <w:tcW w:w="837" w:type="dxa"/>
          </w:tcPr>
          <w:p w:rsidR="00000000" w:rsidRDefault="00000000">
            <w:pPr>
              <w:pStyle w:val="BodyTextIndent2"/>
              <w:spacing w:after="120"/>
              <w:ind w:left="0" w:firstLine="0"/>
              <w:jc w:val="right"/>
              <w:rPr>
                <w:sz w:val="17"/>
              </w:rPr>
            </w:pPr>
          </w:p>
        </w:tc>
        <w:tc>
          <w:tcPr>
            <w:tcW w:w="819" w:type="dxa"/>
          </w:tcPr>
          <w:p w:rsidR="00000000" w:rsidRDefault="00000000">
            <w:pPr>
              <w:pStyle w:val="BodyTextIndent2"/>
              <w:spacing w:after="120"/>
              <w:ind w:left="0" w:firstLine="0"/>
              <w:jc w:val="right"/>
              <w:rPr>
                <w:sz w:val="17"/>
              </w:rPr>
            </w:pPr>
          </w:p>
        </w:tc>
        <w:tc>
          <w:tcPr>
            <w:tcW w:w="961" w:type="dxa"/>
          </w:tcPr>
          <w:p w:rsidR="00000000" w:rsidRDefault="00000000">
            <w:pPr>
              <w:pStyle w:val="BodyTextIndent2"/>
              <w:spacing w:after="120"/>
              <w:ind w:left="0" w:firstLine="0"/>
              <w:jc w:val="right"/>
              <w:rPr>
                <w:sz w:val="17"/>
              </w:rPr>
            </w:pPr>
          </w:p>
        </w:tc>
        <w:tc>
          <w:tcPr>
            <w:tcW w:w="236" w:type="dxa"/>
          </w:tcPr>
          <w:p w:rsidR="00000000" w:rsidRDefault="00000000">
            <w:pPr>
              <w:pStyle w:val="BodyTextIndent2"/>
              <w:spacing w:after="120"/>
              <w:ind w:left="0" w:firstLine="0"/>
              <w:jc w:val="right"/>
              <w:rPr>
                <w:sz w:val="17"/>
              </w:rPr>
            </w:pPr>
          </w:p>
        </w:tc>
        <w:tc>
          <w:tcPr>
            <w:tcW w:w="882" w:type="dxa"/>
          </w:tcPr>
          <w:p w:rsidR="00000000" w:rsidRDefault="00000000">
            <w:pPr>
              <w:pStyle w:val="BodyTextIndent2"/>
              <w:spacing w:after="120"/>
              <w:ind w:left="0" w:firstLine="0"/>
              <w:jc w:val="right"/>
              <w:rPr>
                <w:sz w:val="17"/>
              </w:rPr>
            </w:pPr>
          </w:p>
        </w:tc>
        <w:tc>
          <w:tcPr>
            <w:tcW w:w="828" w:type="dxa"/>
          </w:tcPr>
          <w:p w:rsidR="00000000" w:rsidRDefault="00000000">
            <w:pPr>
              <w:pStyle w:val="BodyTextIndent2"/>
              <w:spacing w:after="120"/>
              <w:ind w:left="0" w:firstLine="0"/>
              <w:jc w:val="right"/>
              <w:rPr>
                <w:sz w:val="17"/>
              </w:rPr>
            </w:pPr>
          </w:p>
        </w:tc>
        <w:tc>
          <w:tcPr>
            <w:tcW w:w="949" w:type="dxa"/>
          </w:tcPr>
          <w:p w:rsidR="00000000" w:rsidRDefault="00000000">
            <w:pPr>
              <w:pStyle w:val="BodyTextIndent2"/>
              <w:spacing w:after="120"/>
              <w:ind w:left="0" w:firstLine="0"/>
              <w:jc w:val="right"/>
              <w:rPr>
                <w:sz w:val="17"/>
              </w:rPr>
            </w:pPr>
          </w:p>
        </w:tc>
      </w:tr>
      <w:tr w:rsidR="00000000">
        <w:tblPrEx>
          <w:tblCellMar>
            <w:top w:w="0" w:type="dxa"/>
            <w:bottom w:w="0" w:type="dxa"/>
          </w:tblCellMar>
        </w:tblPrEx>
        <w:tc>
          <w:tcPr>
            <w:tcW w:w="1737" w:type="dxa"/>
          </w:tcPr>
          <w:p w:rsidR="00000000" w:rsidRDefault="00000000">
            <w:pPr>
              <w:pStyle w:val="BodyTextIndent2"/>
              <w:tabs>
                <w:tab w:val="clear" w:pos="475"/>
                <w:tab w:val="clear" w:pos="965"/>
                <w:tab w:val="left" w:pos="153"/>
                <w:tab w:val="left" w:pos="288"/>
              </w:tabs>
              <w:spacing w:after="120"/>
              <w:ind w:left="360" w:hanging="360"/>
              <w:jc w:val="left"/>
              <w:rPr>
                <w:sz w:val="17"/>
              </w:rPr>
            </w:pPr>
            <w:r>
              <w:rPr>
                <w:sz w:val="17"/>
              </w:rPr>
              <w:t>Manual workers</w:t>
            </w:r>
          </w:p>
        </w:tc>
        <w:tc>
          <w:tcPr>
            <w:tcW w:w="882" w:type="dxa"/>
          </w:tcPr>
          <w:p w:rsidR="00000000" w:rsidRDefault="00000000">
            <w:pPr>
              <w:pStyle w:val="BodyTextIndent2"/>
              <w:spacing w:after="120"/>
              <w:ind w:left="0" w:firstLine="0"/>
              <w:jc w:val="right"/>
              <w:rPr>
                <w:sz w:val="17"/>
              </w:rPr>
            </w:pPr>
            <w:r>
              <w:rPr>
                <w:sz w:val="17"/>
              </w:rPr>
              <w:t>2 864.9</w:t>
            </w:r>
          </w:p>
        </w:tc>
        <w:tc>
          <w:tcPr>
            <w:tcW w:w="792" w:type="dxa"/>
          </w:tcPr>
          <w:p w:rsidR="00000000" w:rsidRDefault="00000000">
            <w:pPr>
              <w:pStyle w:val="BodyTextIndent2"/>
              <w:spacing w:after="120"/>
              <w:ind w:left="0" w:firstLine="0"/>
              <w:jc w:val="right"/>
              <w:rPr>
                <w:sz w:val="17"/>
              </w:rPr>
            </w:pPr>
            <w:r>
              <w:rPr>
                <w:sz w:val="17"/>
              </w:rPr>
              <w:t>1 085.6</w:t>
            </w:r>
          </w:p>
        </w:tc>
        <w:tc>
          <w:tcPr>
            <w:tcW w:w="907" w:type="dxa"/>
          </w:tcPr>
          <w:p w:rsidR="00000000" w:rsidRDefault="00000000">
            <w:pPr>
              <w:pStyle w:val="BodyTextIndent2"/>
              <w:spacing w:after="120"/>
              <w:ind w:left="0" w:firstLine="0"/>
              <w:jc w:val="right"/>
              <w:rPr>
                <w:sz w:val="17"/>
              </w:rPr>
            </w:pPr>
            <w:r>
              <w:rPr>
                <w:sz w:val="17"/>
              </w:rPr>
              <w:t>37.9</w:t>
            </w:r>
          </w:p>
        </w:tc>
        <w:tc>
          <w:tcPr>
            <w:tcW w:w="236" w:type="dxa"/>
          </w:tcPr>
          <w:p w:rsidR="00000000" w:rsidRDefault="00000000">
            <w:pPr>
              <w:pStyle w:val="BodyTextIndent2"/>
              <w:spacing w:after="120"/>
              <w:ind w:left="0" w:firstLine="0"/>
              <w:jc w:val="right"/>
              <w:rPr>
                <w:sz w:val="17"/>
              </w:rPr>
            </w:pPr>
          </w:p>
        </w:tc>
        <w:tc>
          <w:tcPr>
            <w:tcW w:w="837" w:type="dxa"/>
          </w:tcPr>
          <w:p w:rsidR="00000000" w:rsidRDefault="00000000">
            <w:pPr>
              <w:pStyle w:val="BodyTextIndent2"/>
              <w:spacing w:after="120"/>
              <w:ind w:left="0" w:firstLine="0"/>
              <w:jc w:val="right"/>
              <w:rPr>
                <w:sz w:val="17"/>
              </w:rPr>
            </w:pPr>
            <w:r>
              <w:rPr>
                <w:sz w:val="17"/>
              </w:rPr>
              <w:t>2 298.4</w:t>
            </w:r>
          </w:p>
        </w:tc>
        <w:tc>
          <w:tcPr>
            <w:tcW w:w="819" w:type="dxa"/>
          </w:tcPr>
          <w:p w:rsidR="00000000" w:rsidRDefault="00000000">
            <w:pPr>
              <w:pStyle w:val="BodyTextIndent2"/>
              <w:spacing w:after="120"/>
              <w:ind w:left="0" w:firstLine="0"/>
              <w:jc w:val="right"/>
              <w:rPr>
                <w:sz w:val="17"/>
              </w:rPr>
            </w:pPr>
            <w:r>
              <w:rPr>
                <w:sz w:val="17"/>
              </w:rPr>
              <w:t>844.5</w:t>
            </w:r>
          </w:p>
        </w:tc>
        <w:tc>
          <w:tcPr>
            <w:tcW w:w="961" w:type="dxa"/>
          </w:tcPr>
          <w:p w:rsidR="00000000" w:rsidRDefault="00000000">
            <w:pPr>
              <w:pStyle w:val="BodyTextIndent2"/>
              <w:spacing w:after="120"/>
              <w:ind w:left="0" w:firstLine="0"/>
              <w:jc w:val="right"/>
              <w:rPr>
                <w:sz w:val="17"/>
              </w:rPr>
            </w:pPr>
            <w:r>
              <w:rPr>
                <w:sz w:val="17"/>
              </w:rPr>
              <w:t>36.7</w:t>
            </w:r>
          </w:p>
        </w:tc>
        <w:tc>
          <w:tcPr>
            <w:tcW w:w="236" w:type="dxa"/>
          </w:tcPr>
          <w:p w:rsidR="00000000" w:rsidRDefault="00000000">
            <w:pPr>
              <w:pStyle w:val="BodyTextIndent2"/>
              <w:spacing w:after="120"/>
              <w:ind w:left="0" w:firstLine="0"/>
              <w:jc w:val="right"/>
              <w:rPr>
                <w:sz w:val="17"/>
              </w:rPr>
            </w:pPr>
          </w:p>
        </w:tc>
        <w:tc>
          <w:tcPr>
            <w:tcW w:w="882" w:type="dxa"/>
          </w:tcPr>
          <w:p w:rsidR="00000000" w:rsidRDefault="00000000">
            <w:pPr>
              <w:pStyle w:val="BodyTextIndent2"/>
              <w:spacing w:after="120"/>
              <w:ind w:left="0" w:firstLine="0"/>
              <w:jc w:val="right"/>
              <w:rPr>
                <w:sz w:val="17"/>
              </w:rPr>
            </w:pPr>
            <w:r>
              <w:rPr>
                <w:sz w:val="17"/>
              </w:rPr>
              <w:t>1 852.8</w:t>
            </w:r>
          </w:p>
        </w:tc>
        <w:tc>
          <w:tcPr>
            <w:tcW w:w="828" w:type="dxa"/>
          </w:tcPr>
          <w:p w:rsidR="00000000" w:rsidRDefault="00000000">
            <w:pPr>
              <w:pStyle w:val="BodyTextIndent2"/>
              <w:spacing w:after="120"/>
              <w:ind w:left="0" w:firstLine="0"/>
              <w:jc w:val="right"/>
              <w:rPr>
                <w:sz w:val="17"/>
              </w:rPr>
            </w:pPr>
            <w:r>
              <w:rPr>
                <w:sz w:val="17"/>
              </w:rPr>
              <w:t>627.1</w:t>
            </w:r>
          </w:p>
        </w:tc>
        <w:tc>
          <w:tcPr>
            <w:tcW w:w="949" w:type="dxa"/>
          </w:tcPr>
          <w:p w:rsidR="00000000" w:rsidRDefault="00000000">
            <w:pPr>
              <w:pStyle w:val="BodyTextIndent2"/>
              <w:spacing w:after="120"/>
              <w:ind w:left="0" w:firstLine="0"/>
              <w:jc w:val="right"/>
              <w:rPr>
                <w:sz w:val="17"/>
              </w:rPr>
            </w:pPr>
            <w:r>
              <w:rPr>
                <w:sz w:val="17"/>
              </w:rPr>
              <w:t>33.8</w:t>
            </w:r>
          </w:p>
        </w:tc>
      </w:tr>
      <w:tr w:rsidR="00000000">
        <w:tblPrEx>
          <w:tblCellMar>
            <w:top w:w="0" w:type="dxa"/>
            <w:bottom w:w="0" w:type="dxa"/>
          </w:tblCellMar>
        </w:tblPrEx>
        <w:tc>
          <w:tcPr>
            <w:tcW w:w="1737" w:type="dxa"/>
          </w:tcPr>
          <w:p w:rsidR="00000000" w:rsidRDefault="00000000">
            <w:pPr>
              <w:pStyle w:val="BodyTextIndent2"/>
              <w:tabs>
                <w:tab w:val="clear" w:pos="475"/>
                <w:tab w:val="clear" w:pos="965"/>
                <w:tab w:val="left" w:pos="0"/>
                <w:tab w:val="left" w:pos="153"/>
              </w:tabs>
              <w:spacing w:after="120"/>
              <w:ind w:left="0" w:firstLine="0"/>
              <w:jc w:val="left"/>
              <w:rPr>
                <w:sz w:val="17"/>
              </w:rPr>
            </w:pPr>
            <w:r>
              <w:rPr>
                <w:sz w:val="17"/>
              </w:rPr>
              <w:t>Non-manual workers</w:t>
            </w:r>
          </w:p>
        </w:tc>
        <w:tc>
          <w:tcPr>
            <w:tcW w:w="882" w:type="dxa"/>
          </w:tcPr>
          <w:p w:rsidR="00000000" w:rsidRDefault="00000000">
            <w:pPr>
              <w:pStyle w:val="BodyTextIndent2"/>
              <w:spacing w:after="120"/>
              <w:ind w:left="0" w:firstLine="0"/>
              <w:jc w:val="right"/>
              <w:rPr>
                <w:sz w:val="17"/>
              </w:rPr>
            </w:pPr>
            <w:r>
              <w:rPr>
                <w:sz w:val="17"/>
              </w:rPr>
              <w:t>1 515.6</w:t>
            </w:r>
          </w:p>
        </w:tc>
        <w:tc>
          <w:tcPr>
            <w:tcW w:w="792" w:type="dxa"/>
          </w:tcPr>
          <w:p w:rsidR="00000000" w:rsidRDefault="00000000">
            <w:pPr>
              <w:pStyle w:val="BodyTextIndent2"/>
              <w:spacing w:after="120"/>
              <w:ind w:left="0" w:firstLine="0"/>
              <w:jc w:val="right"/>
              <w:rPr>
                <w:sz w:val="17"/>
              </w:rPr>
            </w:pPr>
            <w:r>
              <w:rPr>
                <w:sz w:val="17"/>
              </w:rPr>
              <w:t>999</w:t>
            </w:r>
          </w:p>
        </w:tc>
        <w:tc>
          <w:tcPr>
            <w:tcW w:w="907" w:type="dxa"/>
          </w:tcPr>
          <w:p w:rsidR="00000000" w:rsidRDefault="00000000">
            <w:pPr>
              <w:pStyle w:val="BodyTextIndent2"/>
              <w:spacing w:after="120"/>
              <w:ind w:left="0" w:firstLine="0"/>
              <w:jc w:val="right"/>
              <w:rPr>
                <w:sz w:val="17"/>
              </w:rPr>
            </w:pPr>
            <w:r>
              <w:rPr>
                <w:sz w:val="17"/>
              </w:rPr>
              <w:t>65.9</w:t>
            </w:r>
          </w:p>
        </w:tc>
        <w:tc>
          <w:tcPr>
            <w:tcW w:w="236" w:type="dxa"/>
          </w:tcPr>
          <w:p w:rsidR="00000000" w:rsidRDefault="00000000">
            <w:pPr>
              <w:pStyle w:val="BodyTextIndent2"/>
              <w:spacing w:after="120"/>
              <w:ind w:left="0" w:firstLine="0"/>
              <w:jc w:val="right"/>
              <w:rPr>
                <w:sz w:val="17"/>
              </w:rPr>
            </w:pPr>
          </w:p>
        </w:tc>
        <w:tc>
          <w:tcPr>
            <w:tcW w:w="837" w:type="dxa"/>
          </w:tcPr>
          <w:p w:rsidR="00000000" w:rsidRDefault="00000000">
            <w:pPr>
              <w:pStyle w:val="BodyTextIndent2"/>
              <w:spacing w:after="120"/>
              <w:ind w:left="0" w:firstLine="0"/>
              <w:jc w:val="right"/>
              <w:rPr>
                <w:sz w:val="17"/>
              </w:rPr>
            </w:pPr>
            <w:r>
              <w:rPr>
                <w:sz w:val="17"/>
              </w:rPr>
              <w:t>1 330.4</w:t>
            </w:r>
          </w:p>
        </w:tc>
        <w:tc>
          <w:tcPr>
            <w:tcW w:w="819" w:type="dxa"/>
          </w:tcPr>
          <w:p w:rsidR="00000000" w:rsidRDefault="00000000">
            <w:pPr>
              <w:pStyle w:val="BodyTextIndent2"/>
              <w:spacing w:after="120"/>
              <w:ind w:left="0" w:firstLine="0"/>
              <w:jc w:val="right"/>
              <w:rPr>
                <w:sz w:val="17"/>
              </w:rPr>
            </w:pPr>
            <w:r>
              <w:rPr>
                <w:sz w:val="17"/>
              </w:rPr>
              <w:t>883.7</w:t>
            </w:r>
          </w:p>
        </w:tc>
        <w:tc>
          <w:tcPr>
            <w:tcW w:w="961" w:type="dxa"/>
          </w:tcPr>
          <w:p w:rsidR="00000000" w:rsidRDefault="00000000">
            <w:pPr>
              <w:pStyle w:val="BodyTextIndent2"/>
              <w:spacing w:after="120"/>
              <w:ind w:left="0" w:firstLine="0"/>
              <w:jc w:val="right"/>
              <w:rPr>
                <w:sz w:val="17"/>
              </w:rPr>
            </w:pPr>
            <w:r>
              <w:rPr>
                <w:sz w:val="17"/>
              </w:rPr>
              <w:t>66.4</w:t>
            </w:r>
          </w:p>
        </w:tc>
        <w:tc>
          <w:tcPr>
            <w:tcW w:w="236" w:type="dxa"/>
          </w:tcPr>
          <w:p w:rsidR="00000000" w:rsidRDefault="00000000">
            <w:pPr>
              <w:pStyle w:val="BodyTextIndent2"/>
              <w:spacing w:after="120"/>
              <w:ind w:left="0" w:firstLine="0"/>
              <w:jc w:val="right"/>
              <w:rPr>
                <w:sz w:val="17"/>
              </w:rPr>
            </w:pPr>
          </w:p>
        </w:tc>
        <w:tc>
          <w:tcPr>
            <w:tcW w:w="882" w:type="dxa"/>
          </w:tcPr>
          <w:p w:rsidR="00000000" w:rsidRDefault="00000000">
            <w:pPr>
              <w:pStyle w:val="BodyTextIndent2"/>
              <w:spacing w:after="120"/>
              <w:ind w:left="0" w:firstLine="0"/>
              <w:jc w:val="right"/>
              <w:rPr>
                <w:sz w:val="17"/>
              </w:rPr>
            </w:pPr>
            <w:r>
              <w:rPr>
                <w:sz w:val="17"/>
              </w:rPr>
              <w:t>1 217.8</w:t>
            </w:r>
          </w:p>
        </w:tc>
        <w:tc>
          <w:tcPr>
            <w:tcW w:w="828" w:type="dxa"/>
          </w:tcPr>
          <w:p w:rsidR="00000000" w:rsidRDefault="00000000">
            <w:pPr>
              <w:pStyle w:val="BodyTextIndent2"/>
              <w:spacing w:after="120"/>
              <w:ind w:left="0" w:firstLine="0"/>
              <w:jc w:val="right"/>
              <w:rPr>
                <w:sz w:val="17"/>
              </w:rPr>
            </w:pPr>
            <w:r>
              <w:rPr>
                <w:sz w:val="17"/>
              </w:rPr>
              <w:t>777.9</w:t>
            </w:r>
          </w:p>
        </w:tc>
        <w:tc>
          <w:tcPr>
            <w:tcW w:w="949" w:type="dxa"/>
          </w:tcPr>
          <w:p w:rsidR="00000000" w:rsidRDefault="00000000">
            <w:pPr>
              <w:pStyle w:val="BodyTextIndent2"/>
              <w:spacing w:after="120"/>
              <w:ind w:left="0" w:firstLine="0"/>
              <w:jc w:val="right"/>
              <w:rPr>
                <w:sz w:val="17"/>
              </w:rPr>
            </w:pPr>
            <w:r>
              <w:rPr>
                <w:sz w:val="17"/>
              </w:rPr>
              <w:t>63.9</w:t>
            </w:r>
          </w:p>
        </w:tc>
      </w:tr>
      <w:tr w:rsidR="00000000">
        <w:tblPrEx>
          <w:tblCellMar>
            <w:top w:w="0" w:type="dxa"/>
            <w:bottom w:w="0" w:type="dxa"/>
          </w:tblCellMar>
        </w:tblPrEx>
        <w:tc>
          <w:tcPr>
            <w:tcW w:w="1737" w:type="dxa"/>
          </w:tcPr>
          <w:p w:rsidR="00000000" w:rsidRDefault="00000000">
            <w:pPr>
              <w:pStyle w:val="BodyTextIndent2"/>
              <w:tabs>
                <w:tab w:val="clear" w:pos="475"/>
                <w:tab w:val="clear" w:pos="965"/>
                <w:tab w:val="left" w:pos="153"/>
                <w:tab w:val="left" w:pos="288"/>
              </w:tabs>
              <w:spacing w:after="120"/>
              <w:ind w:left="0" w:firstLine="0"/>
              <w:jc w:val="left"/>
              <w:rPr>
                <w:sz w:val="17"/>
              </w:rPr>
            </w:pPr>
            <w:r>
              <w:rPr>
                <w:sz w:val="17"/>
              </w:rPr>
              <w:t>Including</w:t>
            </w:r>
          </w:p>
        </w:tc>
        <w:tc>
          <w:tcPr>
            <w:tcW w:w="882" w:type="dxa"/>
          </w:tcPr>
          <w:p w:rsidR="00000000" w:rsidRDefault="00000000">
            <w:pPr>
              <w:pStyle w:val="BodyTextIndent2"/>
              <w:spacing w:after="120"/>
              <w:ind w:left="0" w:firstLine="0"/>
              <w:jc w:val="right"/>
              <w:rPr>
                <w:sz w:val="17"/>
              </w:rPr>
            </w:pPr>
          </w:p>
        </w:tc>
        <w:tc>
          <w:tcPr>
            <w:tcW w:w="792" w:type="dxa"/>
          </w:tcPr>
          <w:p w:rsidR="00000000" w:rsidRDefault="00000000">
            <w:pPr>
              <w:pStyle w:val="BodyTextIndent2"/>
              <w:spacing w:after="120"/>
              <w:ind w:left="0" w:firstLine="0"/>
              <w:jc w:val="right"/>
              <w:rPr>
                <w:sz w:val="17"/>
              </w:rPr>
            </w:pPr>
          </w:p>
        </w:tc>
        <w:tc>
          <w:tcPr>
            <w:tcW w:w="907" w:type="dxa"/>
          </w:tcPr>
          <w:p w:rsidR="00000000" w:rsidRDefault="00000000">
            <w:pPr>
              <w:pStyle w:val="BodyTextIndent2"/>
              <w:spacing w:after="120"/>
              <w:ind w:left="0" w:firstLine="0"/>
              <w:jc w:val="right"/>
              <w:rPr>
                <w:sz w:val="17"/>
              </w:rPr>
            </w:pPr>
          </w:p>
        </w:tc>
        <w:tc>
          <w:tcPr>
            <w:tcW w:w="236" w:type="dxa"/>
          </w:tcPr>
          <w:p w:rsidR="00000000" w:rsidRDefault="00000000">
            <w:pPr>
              <w:pStyle w:val="BodyTextIndent2"/>
              <w:spacing w:after="120"/>
              <w:ind w:left="0" w:firstLine="0"/>
              <w:jc w:val="right"/>
              <w:rPr>
                <w:sz w:val="17"/>
              </w:rPr>
            </w:pPr>
          </w:p>
        </w:tc>
        <w:tc>
          <w:tcPr>
            <w:tcW w:w="837" w:type="dxa"/>
          </w:tcPr>
          <w:p w:rsidR="00000000" w:rsidRDefault="00000000">
            <w:pPr>
              <w:pStyle w:val="BodyTextIndent2"/>
              <w:spacing w:after="120"/>
              <w:ind w:left="0" w:firstLine="0"/>
              <w:jc w:val="right"/>
              <w:rPr>
                <w:sz w:val="17"/>
              </w:rPr>
            </w:pPr>
          </w:p>
        </w:tc>
        <w:tc>
          <w:tcPr>
            <w:tcW w:w="819" w:type="dxa"/>
          </w:tcPr>
          <w:p w:rsidR="00000000" w:rsidRDefault="00000000">
            <w:pPr>
              <w:pStyle w:val="BodyTextIndent2"/>
              <w:spacing w:after="120"/>
              <w:ind w:left="0" w:firstLine="0"/>
              <w:jc w:val="right"/>
              <w:rPr>
                <w:sz w:val="17"/>
              </w:rPr>
            </w:pPr>
          </w:p>
        </w:tc>
        <w:tc>
          <w:tcPr>
            <w:tcW w:w="961" w:type="dxa"/>
          </w:tcPr>
          <w:p w:rsidR="00000000" w:rsidRDefault="00000000">
            <w:pPr>
              <w:pStyle w:val="BodyTextIndent2"/>
              <w:spacing w:after="120"/>
              <w:ind w:left="0" w:firstLine="0"/>
              <w:jc w:val="right"/>
              <w:rPr>
                <w:sz w:val="17"/>
              </w:rPr>
            </w:pPr>
          </w:p>
        </w:tc>
        <w:tc>
          <w:tcPr>
            <w:tcW w:w="236" w:type="dxa"/>
          </w:tcPr>
          <w:p w:rsidR="00000000" w:rsidRDefault="00000000">
            <w:pPr>
              <w:pStyle w:val="BodyTextIndent2"/>
              <w:spacing w:after="120"/>
              <w:ind w:left="0" w:firstLine="0"/>
              <w:jc w:val="right"/>
              <w:rPr>
                <w:sz w:val="17"/>
              </w:rPr>
            </w:pPr>
          </w:p>
        </w:tc>
        <w:tc>
          <w:tcPr>
            <w:tcW w:w="882" w:type="dxa"/>
          </w:tcPr>
          <w:p w:rsidR="00000000" w:rsidRDefault="00000000">
            <w:pPr>
              <w:pStyle w:val="BodyTextIndent2"/>
              <w:spacing w:after="120"/>
              <w:ind w:left="0" w:firstLine="0"/>
              <w:jc w:val="right"/>
              <w:rPr>
                <w:sz w:val="17"/>
              </w:rPr>
            </w:pPr>
          </w:p>
        </w:tc>
        <w:tc>
          <w:tcPr>
            <w:tcW w:w="828" w:type="dxa"/>
          </w:tcPr>
          <w:p w:rsidR="00000000" w:rsidRDefault="00000000">
            <w:pPr>
              <w:pStyle w:val="BodyTextIndent2"/>
              <w:spacing w:after="120"/>
              <w:ind w:left="0" w:firstLine="0"/>
              <w:jc w:val="right"/>
              <w:rPr>
                <w:sz w:val="17"/>
              </w:rPr>
            </w:pPr>
          </w:p>
        </w:tc>
        <w:tc>
          <w:tcPr>
            <w:tcW w:w="949" w:type="dxa"/>
          </w:tcPr>
          <w:p w:rsidR="00000000" w:rsidRDefault="00000000">
            <w:pPr>
              <w:pStyle w:val="BodyTextIndent2"/>
              <w:spacing w:after="120"/>
              <w:ind w:left="0" w:firstLine="0"/>
              <w:jc w:val="right"/>
              <w:rPr>
                <w:sz w:val="17"/>
              </w:rPr>
            </w:pPr>
          </w:p>
        </w:tc>
      </w:tr>
      <w:tr w:rsidR="00000000">
        <w:tblPrEx>
          <w:tblCellMar>
            <w:top w:w="0" w:type="dxa"/>
            <w:bottom w:w="0" w:type="dxa"/>
          </w:tblCellMar>
        </w:tblPrEx>
        <w:tc>
          <w:tcPr>
            <w:tcW w:w="1737" w:type="dxa"/>
          </w:tcPr>
          <w:p w:rsidR="00000000" w:rsidRDefault="00000000">
            <w:pPr>
              <w:pStyle w:val="BodyTextIndent2"/>
              <w:tabs>
                <w:tab w:val="clear" w:pos="475"/>
                <w:tab w:val="clear" w:pos="965"/>
                <w:tab w:val="left" w:pos="153"/>
                <w:tab w:val="left" w:pos="288"/>
              </w:tabs>
              <w:spacing w:after="120"/>
              <w:ind w:left="0" w:firstLine="0"/>
              <w:jc w:val="left"/>
              <w:rPr>
                <w:b/>
                <w:sz w:val="17"/>
              </w:rPr>
            </w:pPr>
            <w:r>
              <w:rPr>
                <w:b/>
                <w:sz w:val="17"/>
              </w:rPr>
              <w:t>Managers</w:t>
            </w:r>
          </w:p>
        </w:tc>
        <w:tc>
          <w:tcPr>
            <w:tcW w:w="882" w:type="dxa"/>
          </w:tcPr>
          <w:p w:rsidR="00000000" w:rsidRDefault="00000000">
            <w:pPr>
              <w:pStyle w:val="BodyTextIndent2"/>
              <w:spacing w:after="120"/>
              <w:ind w:left="0" w:firstLine="0"/>
              <w:jc w:val="right"/>
              <w:rPr>
                <w:b/>
                <w:sz w:val="17"/>
              </w:rPr>
            </w:pPr>
            <w:r>
              <w:rPr>
                <w:b/>
                <w:sz w:val="17"/>
              </w:rPr>
              <w:t>250.4</w:t>
            </w:r>
          </w:p>
        </w:tc>
        <w:tc>
          <w:tcPr>
            <w:tcW w:w="792" w:type="dxa"/>
          </w:tcPr>
          <w:p w:rsidR="00000000" w:rsidRDefault="00000000">
            <w:pPr>
              <w:pStyle w:val="BodyTextIndent2"/>
              <w:spacing w:after="120"/>
              <w:ind w:left="0" w:firstLine="0"/>
              <w:jc w:val="right"/>
              <w:rPr>
                <w:b/>
                <w:sz w:val="17"/>
              </w:rPr>
            </w:pPr>
            <w:r>
              <w:rPr>
                <w:b/>
                <w:sz w:val="17"/>
              </w:rPr>
              <w:t>93.9</w:t>
            </w:r>
          </w:p>
        </w:tc>
        <w:tc>
          <w:tcPr>
            <w:tcW w:w="907" w:type="dxa"/>
          </w:tcPr>
          <w:p w:rsidR="00000000" w:rsidRDefault="00000000">
            <w:pPr>
              <w:pStyle w:val="BodyTextIndent2"/>
              <w:spacing w:after="120"/>
              <w:ind w:left="0" w:firstLine="0"/>
              <w:jc w:val="right"/>
              <w:rPr>
                <w:b/>
                <w:sz w:val="17"/>
              </w:rPr>
            </w:pPr>
            <w:r>
              <w:rPr>
                <w:b/>
                <w:sz w:val="17"/>
              </w:rPr>
              <w:t>37.5</w:t>
            </w:r>
          </w:p>
        </w:tc>
        <w:tc>
          <w:tcPr>
            <w:tcW w:w="236" w:type="dxa"/>
          </w:tcPr>
          <w:p w:rsidR="00000000" w:rsidRDefault="00000000">
            <w:pPr>
              <w:pStyle w:val="BodyTextIndent2"/>
              <w:spacing w:after="120"/>
              <w:ind w:left="0" w:firstLine="0"/>
              <w:jc w:val="right"/>
              <w:rPr>
                <w:b/>
                <w:sz w:val="17"/>
              </w:rPr>
            </w:pPr>
          </w:p>
        </w:tc>
        <w:tc>
          <w:tcPr>
            <w:tcW w:w="837" w:type="dxa"/>
          </w:tcPr>
          <w:p w:rsidR="00000000" w:rsidRDefault="00000000">
            <w:pPr>
              <w:pStyle w:val="BodyTextIndent2"/>
              <w:spacing w:after="120"/>
              <w:ind w:left="0" w:firstLine="0"/>
              <w:jc w:val="right"/>
              <w:rPr>
                <w:b/>
                <w:sz w:val="17"/>
              </w:rPr>
            </w:pPr>
            <w:r>
              <w:rPr>
                <w:b/>
                <w:sz w:val="17"/>
              </w:rPr>
              <w:t>220.8</w:t>
            </w:r>
          </w:p>
        </w:tc>
        <w:tc>
          <w:tcPr>
            <w:tcW w:w="819" w:type="dxa"/>
          </w:tcPr>
          <w:p w:rsidR="00000000" w:rsidRDefault="00000000">
            <w:pPr>
              <w:pStyle w:val="BodyTextIndent2"/>
              <w:spacing w:after="120"/>
              <w:ind w:left="0" w:firstLine="0"/>
              <w:jc w:val="right"/>
              <w:rPr>
                <w:b/>
                <w:sz w:val="17"/>
              </w:rPr>
            </w:pPr>
            <w:r>
              <w:rPr>
                <w:b/>
                <w:sz w:val="17"/>
              </w:rPr>
              <w:t>80.6</w:t>
            </w:r>
          </w:p>
        </w:tc>
        <w:tc>
          <w:tcPr>
            <w:tcW w:w="961" w:type="dxa"/>
          </w:tcPr>
          <w:p w:rsidR="00000000" w:rsidRDefault="00000000">
            <w:pPr>
              <w:pStyle w:val="BodyTextIndent2"/>
              <w:spacing w:after="120"/>
              <w:ind w:left="0" w:firstLine="0"/>
              <w:jc w:val="right"/>
              <w:rPr>
                <w:b/>
                <w:sz w:val="17"/>
              </w:rPr>
            </w:pPr>
            <w:r>
              <w:rPr>
                <w:b/>
                <w:sz w:val="17"/>
              </w:rPr>
              <w:t>36.5</w:t>
            </w:r>
          </w:p>
        </w:tc>
        <w:tc>
          <w:tcPr>
            <w:tcW w:w="236" w:type="dxa"/>
          </w:tcPr>
          <w:p w:rsidR="00000000" w:rsidRDefault="00000000">
            <w:pPr>
              <w:pStyle w:val="BodyTextIndent2"/>
              <w:spacing w:after="120"/>
              <w:ind w:left="0" w:firstLine="0"/>
              <w:jc w:val="right"/>
              <w:rPr>
                <w:b/>
                <w:sz w:val="17"/>
              </w:rPr>
            </w:pPr>
          </w:p>
        </w:tc>
        <w:tc>
          <w:tcPr>
            <w:tcW w:w="882" w:type="dxa"/>
          </w:tcPr>
          <w:p w:rsidR="00000000" w:rsidRDefault="00000000">
            <w:pPr>
              <w:pStyle w:val="BodyTextIndent2"/>
              <w:spacing w:after="120"/>
              <w:ind w:left="0" w:firstLine="0"/>
              <w:jc w:val="right"/>
              <w:rPr>
                <w:b/>
                <w:sz w:val="17"/>
              </w:rPr>
            </w:pPr>
            <w:r>
              <w:rPr>
                <w:b/>
                <w:sz w:val="17"/>
              </w:rPr>
              <w:t>189.1</w:t>
            </w:r>
          </w:p>
        </w:tc>
        <w:tc>
          <w:tcPr>
            <w:tcW w:w="828" w:type="dxa"/>
          </w:tcPr>
          <w:p w:rsidR="00000000" w:rsidRDefault="00000000">
            <w:pPr>
              <w:pStyle w:val="BodyTextIndent2"/>
              <w:spacing w:after="120"/>
              <w:ind w:left="0" w:firstLine="0"/>
              <w:jc w:val="right"/>
              <w:rPr>
                <w:b/>
                <w:sz w:val="17"/>
              </w:rPr>
            </w:pPr>
            <w:r>
              <w:rPr>
                <w:b/>
                <w:sz w:val="17"/>
              </w:rPr>
              <w:t>67.2</w:t>
            </w:r>
          </w:p>
        </w:tc>
        <w:tc>
          <w:tcPr>
            <w:tcW w:w="949" w:type="dxa"/>
          </w:tcPr>
          <w:p w:rsidR="00000000" w:rsidRDefault="00000000">
            <w:pPr>
              <w:pStyle w:val="BodyTextIndent2"/>
              <w:spacing w:after="120"/>
              <w:ind w:left="0" w:firstLine="0"/>
              <w:jc w:val="right"/>
              <w:rPr>
                <w:b/>
                <w:sz w:val="17"/>
              </w:rPr>
            </w:pPr>
            <w:r>
              <w:rPr>
                <w:b/>
                <w:sz w:val="17"/>
              </w:rPr>
              <w:t>35.5</w:t>
            </w:r>
          </w:p>
        </w:tc>
      </w:tr>
      <w:tr w:rsidR="00000000">
        <w:tblPrEx>
          <w:tblCellMar>
            <w:top w:w="0" w:type="dxa"/>
            <w:bottom w:w="0" w:type="dxa"/>
          </w:tblCellMar>
        </w:tblPrEx>
        <w:tc>
          <w:tcPr>
            <w:tcW w:w="1737" w:type="dxa"/>
          </w:tcPr>
          <w:p w:rsidR="00000000" w:rsidRDefault="00000000">
            <w:pPr>
              <w:pStyle w:val="BodyTextIndent2"/>
              <w:tabs>
                <w:tab w:val="clear" w:pos="475"/>
                <w:tab w:val="clear" w:pos="965"/>
                <w:tab w:val="left" w:pos="153"/>
                <w:tab w:val="left" w:pos="288"/>
              </w:tabs>
              <w:spacing w:after="120"/>
              <w:ind w:left="0" w:firstLine="0"/>
              <w:jc w:val="left"/>
              <w:rPr>
                <w:sz w:val="17"/>
              </w:rPr>
            </w:pPr>
            <w:r>
              <w:rPr>
                <w:sz w:val="17"/>
              </w:rPr>
              <w:t>Specialists</w:t>
            </w:r>
          </w:p>
        </w:tc>
        <w:tc>
          <w:tcPr>
            <w:tcW w:w="882" w:type="dxa"/>
          </w:tcPr>
          <w:p w:rsidR="00000000" w:rsidRDefault="00000000">
            <w:pPr>
              <w:pStyle w:val="BodyTextIndent2"/>
              <w:spacing w:after="120"/>
              <w:ind w:left="0" w:firstLine="0"/>
              <w:jc w:val="right"/>
              <w:rPr>
                <w:sz w:val="17"/>
              </w:rPr>
            </w:pPr>
            <w:r>
              <w:rPr>
                <w:sz w:val="17"/>
              </w:rPr>
              <w:t>1 086.1</w:t>
            </w:r>
          </w:p>
        </w:tc>
        <w:tc>
          <w:tcPr>
            <w:tcW w:w="792" w:type="dxa"/>
          </w:tcPr>
          <w:p w:rsidR="00000000" w:rsidRDefault="00000000">
            <w:pPr>
              <w:pStyle w:val="BodyTextIndent2"/>
              <w:spacing w:after="120"/>
              <w:ind w:left="0" w:firstLine="0"/>
              <w:jc w:val="right"/>
              <w:rPr>
                <w:sz w:val="17"/>
              </w:rPr>
            </w:pPr>
            <w:r>
              <w:rPr>
                <w:sz w:val="17"/>
              </w:rPr>
              <w:t>783.2</w:t>
            </w:r>
          </w:p>
        </w:tc>
        <w:tc>
          <w:tcPr>
            <w:tcW w:w="907" w:type="dxa"/>
          </w:tcPr>
          <w:p w:rsidR="00000000" w:rsidRDefault="00000000">
            <w:pPr>
              <w:pStyle w:val="BodyTextIndent2"/>
              <w:spacing w:after="120"/>
              <w:ind w:left="0" w:firstLine="0"/>
              <w:jc w:val="right"/>
              <w:rPr>
                <w:sz w:val="17"/>
              </w:rPr>
            </w:pPr>
            <w:r>
              <w:rPr>
                <w:sz w:val="17"/>
              </w:rPr>
              <w:t>72.1</w:t>
            </w:r>
          </w:p>
        </w:tc>
        <w:tc>
          <w:tcPr>
            <w:tcW w:w="236" w:type="dxa"/>
          </w:tcPr>
          <w:p w:rsidR="00000000" w:rsidRDefault="00000000">
            <w:pPr>
              <w:pStyle w:val="BodyTextIndent2"/>
              <w:spacing w:after="120"/>
              <w:ind w:left="0" w:firstLine="0"/>
              <w:jc w:val="right"/>
              <w:rPr>
                <w:sz w:val="17"/>
              </w:rPr>
            </w:pPr>
          </w:p>
        </w:tc>
        <w:tc>
          <w:tcPr>
            <w:tcW w:w="837" w:type="dxa"/>
          </w:tcPr>
          <w:p w:rsidR="00000000" w:rsidRDefault="00000000">
            <w:pPr>
              <w:pStyle w:val="BodyTextIndent2"/>
              <w:spacing w:after="120"/>
              <w:ind w:left="0" w:firstLine="0"/>
              <w:jc w:val="right"/>
              <w:rPr>
                <w:sz w:val="17"/>
              </w:rPr>
            </w:pPr>
            <w:r>
              <w:rPr>
                <w:sz w:val="17"/>
              </w:rPr>
              <w:t>942.2</w:t>
            </w:r>
          </w:p>
        </w:tc>
        <w:tc>
          <w:tcPr>
            <w:tcW w:w="819" w:type="dxa"/>
          </w:tcPr>
          <w:p w:rsidR="00000000" w:rsidRDefault="00000000">
            <w:pPr>
              <w:pStyle w:val="BodyTextIndent2"/>
              <w:spacing w:after="120"/>
              <w:ind w:left="0" w:firstLine="0"/>
              <w:jc w:val="right"/>
              <w:rPr>
                <w:sz w:val="17"/>
              </w:rPr>
            </w:pPr>
            <w:r>
              <w:rPr>
                <w:sz w:val="17"/>
              </w:rPr>
              <w:t>691.1</w:t>
            </w:r>
          </w:p>
        </w:tc>
        <w:tc>
          <w:tcPr>
            <w:tcW w:w="961" w:type="dxa"/>
          </w:tcPr>
          <w:p w:rsidR="00000000" w:rsidRDefault="00000000">
            <w:pPr>
              <w:pStyle w:val="BodyTextIndent2"/>
              <w:spacing w:after="120"/>
              <w:ind w:left="0" w:firstLine="0"/>
              <w:jc w:val="right"/>
              <w:rPr>
                <w:sz w:val="17"/>
              </w:rPr>
            </w:pPr>
            <w:r>
              <w:rPr>
                <w:sz w:val="17"/>
              </w:rPr>
              <w:t>73.3</w:t>
            </w:r>
          </w:p>
        </w:tc>
        <w:tc>
          <w:tcPr>
            <w:tcW w:w="236" w:type="dxa"/>
          </w:tcPr>
          <w:p w:rsidR="00000000" w:rsidRDefault="00000000">
            <w:pPr>
              <w:pStyle w:val="BodyTextIndent2"/>
              <w:spacing w:after="120"/>
              <w:ind w:left="0" w:firstLine="0"/>
              <w:jc w:val="right"/>
              <w:rPr>
                <w:sz w:val="17"/>
              </w:rPr>
            </w:pPr>
          </w:p>
        </w:tc>
        <w:tc>
          <w:tcPr>
            <w:tcW w:w="882" w:type="dxa"/>
          </w:tcPr>
          <w:p w:rsidR="00000000" w:rsidRDefault="00000000">
            <w:pPr>
              <w:pStyle w:val="BodyTextIndent2"/>
              <w:spacing w:after="120"/>
              <w:ind w:left="0" w:firstLine="0"/>
              <w:jc w:val="right"/>
              <w:rPr>
                <w:sz w:val="17"/>
              </w:rPr>
            </w:pPr>
            <w:r>
              <w:rPr>
                <w:sz w:val="17"/>
              </w:rPr>
              <w:t>884.5</w:t>
            </w:r>
          </w:p>
        </w:tc>
        <w:tc>
          <w:tcPr>
            <w:tcW w:w="828" w:type="dxa"/>
          </w:tcPr>
          <w:p w:rsidR="00000000" w:rsidRDefault="00000000">
            <w:pPr>
              <w:pStyle w:val="BodyTextIndent2"/>
              <w:spacing w:after="120"/>
              <w:ind w:left="0" w:firstLine="0"/>
              <w:jc w:val="right"/>
              <w:rPr>
                <w:sz w:val="17"/>
              </w:rPr>
            </w:pPr>
            <w:r>
              <w:rPr>
                <w:sz w:val="17"/>
              </w:rPr>
              <w:t>617.8</w:t>
            </w:r>
          </w:p>
        </w:tc>
        <w:tc>
          <w:tcPr>
            <w:tcW w:w="949" w:type="dxa"/>
          </w:tcPr>
          <w:p w:rsidR="00000000" w:rsidRDefault="00000000">
            <w:pPr>
              <w:pStyle w:val="BodyTextIndent2"/>
              <w:spacing w:after="120"/>
              <w:ind w:left="0" w:firstLine="0"/>
              <w:jc w:val="right"/>
              <w:rPr>
                <w:sz w:val="17"/>
              </w:rPr>
            </w:pPr>
            <w:r>
              <w:rPr>
                <w:sz w:val="17"/>
              </w:rPr>
              <w:t>69.8</w:t>
            </w:r>
          </w:p>
        </w:tc>
      </w:tr>
      <w:tr w:rsidR="00000000">
        <w:tblPrEx>
          <w:tblCellMar>
            <w:top w:w="0" w:type="dxa"/>
            <w:bottom w:w="0" w:type="dxa"/>
          </w:tblCellMar>
        </w:tblPrEx>
        <w:tc>
          <w:tcPr>
            <w:tcW w:w="1737" w:type="dxa"/>
            <w:tcBorders>
              <w:bottom w:val="single" w:sz="12" w:space="0" w:color="auto"/>
            </w:tcBorders>
          </w:tcPr>
          <w:p w:rsidR="00000000" w:rsidRDefault="00000000">
            <w:pPr>
              <w:pStyle w:val="BodyTextIndent2"/>
              <w:tabs>
                <w:tab w:val="clear" w:pos="475"/>
                <w:tab w:val="clear" w:pos="965"/>
                <w:tab w:val="left" w:pos="0"/>
                <w:tab w:val="left" w:pos="153"/>
              </w:tabs>
              <w:spacing w:after="120"/>
              <w:ind w:left="0" w:firstLine="0"/>
              <w:jc w:val="left"/>
              <w:rPr>
                <w:sz w:val="17"/>
              </w:rPr>
            </w:pPr>
            <w:r>
              <w:rPr>
                <w:sz w:val="17"/>
              </w:rPr>
              <w:t>Other non-manual workers</w:t>
            </w:r>
          </w:p>
        </w:tc>
        <w:tc>
          <w:tcPr>
            <w:tcW w:w="882" w:type="dxa"/>
            <w:tcBorders>
              <w:bottom w:val="single" w:sz="12" w:space="0" w:color="auto"/>
            </w:tcBorders>
          </w:tcPr>
          <w:p w:rsidR="00000000" w:rsidRDefault="00000000">
            <w:pPr>
              <w:pStyle w:val="BodyTextIndent2"/>
              <w:spacing w:after="120"/>
              <w:ind w:left="0" w:firstLine="0"/>
              <w:jc w:val="right"/>
              <w:rPr>
                <w:sz w:val="17"/>
              </w:rPr>
            </w:pPr>
            <w:r>
              <w:rPr>
                <w:sz w:val="17"/>
              </w:rPr>
              <w:t>179.1</w:t>
            </w:r>
          </w:p>
        </w:tc>
        <w:tc>
          <w:tcPr>
            <w:tcW w:w="792" w:type="dxa"/>
            <w:tcBorders>
              <w:bottom w:val="single" w:sz="12" w:space="0" w:color="auto"/>
            </w:tcBorders>
          </w:tcPr>
          <w:p w:rsidR="00000000" w:rsidRDefault="00000000">
            <w:pPr>
              <w:pStyle w:val="BodyTextIndent2"/>
              <w:spacing w:after="120"/>
              <w:ind w:left="0" w:firstLine="0"/>
              <w:jc w:val="right"/>
              <w:rPr>
                <w:sz w:val="17"/>
              </w:rPr>
            </w:pPr>
            <w:r>
              <w:rPr>
                <w:sz w:val="17"/>
              </w:rPr>
              <w:t>121.9</w:t>
            </w:r>
          </w:p>
        </w:tc>
        <w:tc>
          <w:tcPr>
            <w:tcW w:w="907" w:type="dxa"/>
            <w:tcBorders>
              <w:bottom w:val="single" w:sz="12" w:space="0" w:color="auto"/>
            </w:tcBorders>
          </w:tcPr>
          <w:p w:rsidR="00000000" w:rsidRDefault="00000000">
            <w:pPr>
              <w:pStyle w:val="BodyTextIndent2"/>
              <w:spacing w:after="120"/>
              <w:ind w:left="0" w:firstLine="0"/>
              <w:jc w:val="right"/>
              <w:rPr>
                <w:sz w:val="17"/>
              </w:rPr>
            </w:pPr>
            <w:r>
              <w:rPr>
                <w:sz w:val="17"/>
              </w:rPr>
              <w:t>68.1</w:t>
            </w:r>
          </w:p>
        </w:tc>
        <w:tc>
          <w:tcPr>
            <w:tcW w:w="236" w:type="dxa"/>
            <w:tcBorders>
              <w:bottom w:val="single" w:sz="12" w:space="0" w:color="auto"/>
            </w:tcBorders>
          </w:tcPr>
          <w:p w:rsidR="00000000" w:rsidRDefault="00000000">
            <w:pPr>
              <w:pStyle w:val="BodyTextIndent2"/>
              <w:spacing w:after="120"/>
              <w:ind w:left="0" w:firstLine="0"/>
              <w:jc w:val="right"/>
              <w:rPr>
                <w:sz w:val="17"/>
              </w:rPr>
            </w:pPr>
          </w:p>
        </w:tc>
        <w:tc>
          <w:tcPr>
            <w:tcW w:w="837" w:type="dxa"/>
            <w:tcBorders>
              <w:bottom w:val="single" w:sz="12" w:space="0" w:color="auto"/>
            </w:tcBorders>
          </w:tcPr>
          <w:p w:rsidR="00000000" w:rsidRDefault="00000000">
            <w:pPr>
              <w:pStyle w:val="BodyTextIndent2"/>
              <w:spacing w:after="120"/>
              <w:ind w:left="0" w:firstLine="0"/>
              <w:jc w:val="right"/>
              <w:rPr>
                <w:sz w:val="17"/>
              </w:rPr>
            </w:pPr>
            <w:r>
              <w:rPr>
                <w:sz w:val="17"/>
              </w:rPr>
              <w:t>167.4</w:t>
            </w:r>
          </w:p>
        </w:tc>
        <w:tc>
          <w:tcPr>
            <w:tcW w:w="819" w:type="dxa"/>
            <w:tcBorders>
              <w:bottom w:val="single" w:sz="12" w:space="0" w:color="auto"/>
            </w:tcBorders>
          </w:tcPr>
          <w:p w:rsidR="00000000" w:rsidRDefault="00000000">
            <w:pPr>
              <w:pStyle w:val="BodyTextIndent2"/>
              <w:spacing w:after="120"/>
              <w:ind w:left="0" w:firstLine="0"/>
              <w:jc w:val="right"/>
              <w:rPr>
                <w:sz w:val="17"/>
              </w:rPr>
            </w:pPr>
            <w:r>
              <w:rPr>
                <w:sz w:val="17"/>
              </w:rPr>
              <w:t>112</w:t>
            </w:r>
          </w:p>
        </w:tc>
        <w:tc>
          <w:tcPr>
            <w:tcW w:w="961" w:type="dxa"/>
            <w:tcBorders>
              <w:bottom w:val="single" w:sz="12" w:space="0" w:color="auto"/>
            </w:tcBorders>
          </w:tcPr>
          <w:p w:rsidR="00000000" w:rsidRDefault="00000000">
            <w:pPr>
              <w:pStyle w:val="BodyTextIndent2"/>
              <w:spacing w:after="120"/>
              <w:ind w:left="0" w:firstLine="0"/>
              <w:jc w:val="right"/>
              <w:rPr>
                <w:sz w:val="17"/>
              </w:rPr>
            </w:pPr>
            <w:r>
              <w:rPr>
                <w:sz w:val="17"/>
              </w:rPr>
              <w:t>66.9</w:t>
            </w:r>
          </w:p>
        </w:tc>
        <w:tc>
          <w:tcPr>
            <w:tcW w:w="236" w:type="dxa"/>
            <w:tcBorders>
              <w:bottom w:val="single" w:sz="12" w:space="0" w:color="auto"/>
            </w:tcBorders>
          </w:tcPr>
          <w:p w:rsidR="00000000" w:rsidRDefault="00000000">
            <w:pPr>
              <w:pStyle w:val="BodyTextIndent2"/>
              <w:spacing w:after="120"/>
              <w:ind w:left="0" w:firstLine="0"/>
              <w:jc w:val="right"/>
              <w:rPr>
                <w:sz w:val="17"/>
              </w:rPr>
            </w:pPr>
          </w:p>
        </w:tc>
        <w:tc>
          <w:tcPr>
            <w:tcW w:w="882" w:type="dxa"/>
            <w:tcBorders>
              <w:bottom w:val="single" w:sz="12" w:space="0" w:color="auto"/>
            </w:tcBorders>
          </w:tcPr>
          <w:p w:rsidR="00000000" w:rsidRDefault="00000000">
            <w:pPr>
              <w:pStyle w:val="BodyTextIndent2"/>
              <w:spacing w:after="120"/>
              <w:ind w:left="0" w:firstLine="0"/>
              <w:jc w:val="right"/>
              <w:rPr>
                <w:sz w:val="17"/>
              </w:rPr>
            </w:pPr>
            <w:r>
              <w:rPr>
                <w:sz w:val="17"/>
              </w:rPr>
              <w:t>144.2</w:t>
            </w:r>
          </w:p>
        </w:tc>
        <w:tc>
          <w:tcPr>
            <w:tcW w:w="828" w:type="dxa"/>
            <w:tcBorders>
              <w:bottom w:val="single" w:sz="12" w:space="0" w:color="auto"/>
            </w:tcBorders>
          </w:tcPr>
          <w:p w:rsidR="00000000" w:rsidRDefault="00000000">
            <w:pPr>
              <w:pStyle w:val="BodyTextIndent2"/>
              <w:spacing w:after="120"/>
              <w:ind w:left="0" w:firstLine="0"/>
              <w:jc w:val="right"/>
              <w:rPr>
                <w:sz w:val="17"/>
              </w:rPr>
            </w:pPr>
            <w:r>
              <w:rPr>
                <w:sz w:val="17"/>
              </w:rPr>
              <w:t>92.9</w:t>
            </w:r>
          </w:p>
        </w:tc>
        <w:tc>
          <w:tcPr>
            <w:tcW w:w="949" w:type="dxa"/>
            <w:tcBorders>
              <w:bottom w:val="single" w:sz="12" w:space="0" w:color="auto"/>
            </w:tcBorders>
          </w:tcPr>
          <w:p w:rsidR="00000000" w:rsidRDefault="00000000">
            <w:pPr>
              <w:pStyle w:val="BodyTextIndent2"/>
              <w:spacing w:after="120"/>
              <w:ind w:left="0" w:firstLine="0"/>
              <w:jc w:val="right"/>
              <w:rPr>
                <w:sz w:val="17"/>
              </w:rPr>
            </w:pPr>
            <w:r>
              <w:rPr>
                <w:sz w:val="17"/>
              </w:rPr>
              <w:t>64.4</w:t>
            </w:r>
          </w:p>
        </w:tc>
      </w:tr>
    </w:tbl>
    <w:p w:rsidR="00000000" w:rsidRDefault="00000000">
      <w:pPr>
        <w:pStyle w:val="D12r"/>
      </w:pPr>
    </w:p>
    <w:p w:rsidR="00000000" w:rsidRDefault="00000000">
      <w:pPr>
        <w:pStyle w:val="BodyTextIndent2"/>
        <w:ind w:left="0" w:firstLine="0"/>
        <w:rPr>
          <w:sz w:val="17"/>
        </w:rPr>
      </w:pPr>
      <w:r>
        <w:rPr>
          <w:sz w:val="17"/>
        </w:rPr>
        <w:t xml:space="preserve">      *</w:t>
      </w:r>
      <w:r>
        <w:rPr>
          <w:sz w:val="17"/>
        </w:rPr>
        <w:tab/>
        <w:t>1998 data are provisional.</w:t>
      </w:r>
    </w:p>
    <w:p w:rsidR="00000000" w:rsidRDefault="00000000">
      <w:pPr>
        <w:pStyle w:val="BodyTextIndent2"/>
        <w:spacing w:after="120"/>
      </w:pPr>
      <w:r>
        <w:rPr>
          <w:sz w:val="17"/>
        </w:rPr>
        <w:t xml:space="preserve">    **</w:t>
      </w:r>
      <w:r>
        <w:rPr>
          <w:sz w:val="17"/>
        </w:rPr>
        <w:tab/>
        <w:t>Data cited do not take into account small enterprises with 50 employees or less.</w:t>
      </w:r>
    </w:p>
    <w:p w:rsidR="00000000" w:rsidRDefault="00000000">
      <w:pPr>
        <w:pStyle w:val="BodyTextIndent2"/>
        <w:spacing w:after="120"/>
        <w:ind w:left="0" w:firstLine="0"/>
      </w:pPr>
    </w:p>
    <w:p w:rsidR="00000000" w:rsidRDefault="00000000">
      <w:pPr>
        <w:pStyle w:val="BodyTextIndent2"/>
        <w:spacing w:after="120"/>
        <w:ind w:left="0" w:firstLine="0"/>
        <w:sectPr w:rsidR="00000000">
          <w:pgSz w:w="12240" w:h="15840"/>
          <w:pgMar w:top="1742" w:right="1195" w:bottom="1901" w:left="1195" w:header="576" w:footer="1037" w:gutter="0"/>
          <w:cols w:space="720"/>
          <w:docGrid w:linePitch="360"/>
        </w:sectPr>
      </w:pPr>
    </w:p>
    <w:p w:rsidR="00000000" w:rsidRDefault="00000000">
      <w:pPr>
        <w:pStyle w:val="BodyTextIndent2"/>
        <w:spacing w:after="120"/>
        <w:ind w:left="0" w:firstLine="0"/>
        <w:rPr>
          <w:b/>
        </w:rPr>
      </w:pPr>
      <w:r>
        <w:tab/>
      </w:r>
      <w:r>
        <w:rPr>
          <w:b/>
        </w:rPr>
        <w:t>(d)</w:t>
      </w:r>
      <w:r>
        <w:rPr>
          <w:b/>
        </w:rPr>
        <w:tab/>
        <w:t>The right to equal remuneration, including benefits, and to equal treatment in respect of work of equal value, as well as equality of treatment in the evaluation of the quality of work;</w:t>
      </w:r>
    </w:p>
    <w:p w:rsidR="00000000" w:rsidRDefault="00000000">
      <w:pPr>
        <w:pStyle w:val="BodyTextIndent2"/>
        <w:spacing w:after="120"/>
        <w:ind w:left="0" w:firstLine="0"/>
      </w:pPr>
      <w:r>
        <w:t>104.</w:t>
      </w:r>
      <w:r>
        <w:tab/>
        <w:t>Article 24 of the Constitution guarantees certain rights in the field of labour relations:</w:t>
      </w:r>
    </w:p>
    <w:p w:rsidR="00000000" w:rsidRDefault="00000000">
      <w:pPr>
        <w:pStyle w:val="BodyTextIndent2"/>
        <w:spacing w:after="120"/>
      </w:pPr>
      <w:r>
        <w:tab/>
      </w:r>
      <w:r>
        <w:tab/>
        <w:t>Everyone has the right to working conditions that meet safety and health requirements, to remuneration for labour without any discrimination, and to social protection from unemployment.</w:t>
      </w:r>
    </w:p>
    <w:p w:rsidR="00000000" w:rsidRDefault="00000000">
      <w:pPr>
        <w:pStyle w:val="BodyTextIndent2"/>
        <w:spacing w:after="120"/>
        <w:ind w:left="0" w:firstLine="0"/>
      </w:pPr>
      <w:r>
        <w:tab/>
        <w:t>Article 75 of the Labour Code of the Kazakh SSR of 21 June 1972 prohibits any reduction of the amount of pay on grounds of sex, age, race or nationality.</w:t>
      </w:r>
    </w:p>
    <w:p w:rsidR="00000000" w:rsidRDefault="00000000">
      <w:pPr>
        <w:pStyle w:val="BodyTextIndent2"/>
        <w:spacing w:after="120"/>
        <w:ind w:left="0" w:firstLine="0"/>
      </w:pPr>
      <w:r>
        <w:t>105.</w:t>
      </w:r>
      <w:r>
        <w:tab/>
        <w:t>There are no disaggregated statistical data on the average pay of working women.</w:t>
      </w:r>
    </w:p>
    <w:p w:rsidR="00000000" w:rsidRDefault="00000000">
      <w:pPr>
        <w:pStyle w:val="BodyTextIndent2"/>
        <w:spacing w:after="120"/>
        <w:ind w:left="0" w:firstLine="0"/>
      </w:pPr>
      <w:r>
        <w:tab/>
        <w:t>Starting in 1999, the Statistics Agency will track, at 6-month intervals, the following data in respect of women (but only for organizations with more than 50 employees): number, share of the wage fund, average monthly nominal pay, recruitment and departure.</w:t>
      </w:r>
    </w:p>
    <w:p w:rsidR="00000000" w:rsidRDefault="00000000">
      <w:pPr>
        <w:pStyle w:val="D12r"/>
      </w:pPr>
    </w:p>
    <w:p w:rsidR="00000000" w:rsidRDefault="00000000">
      <w:pPr>
        <w:pStyle w:val="DH2"/>
      </w:pPr>
      <w:r>
        <w:tab/>
        <w:t>Average pay by economic branch</w:t>
      </w:r>
    </w:p>
    <w:p w:rsidR="00000000" w:rsidRDefault="00000000">
      <w:pPr>
        <w:pStyle w:val="D12r"/>
        <w:keepNext/>
        <w:keepLines/>
      </w:pPr>
    </w:p>
    <w:p w:rsidR="00000000" w:rsidRDefault="00000000">
      <w:pPr>
        <w:pStyle w:val="BodyTextIndent2"/>
        <w:keepNext/>
        <w:keepLines/>
        <w:spacing w:after="120"/>
        <w:ind w:left="0" w:firstLine="0"/>
      </w:pPr>
      <w:r>
        <w:tab/>
        <w:t>There are no statistical data on the average pay of working women. For information purposes, the average monthly pay (in tenge) of workers by type of economic activity for the period January to December 1998 was as follows: overall — 9,682; agriculture, hunting and forestry — 3,891; industry — 13,826; construction — 11,864; commerce, and repair of cars and household appliances — 7,985; transport and communications — 11,926; finance — 19,030; government — 10,313; education — 7,244; health and social services — 6,397.</w:t>
      </w:r>
    </w:p>
    <w:p w:rsidR="00000000" w:rsidRDefault="00000000">
      <w:pPr>
        <w:pStyle w:val="BodyTextIndent2"/>
        <w:spacing w:after="120"/>
        <w:ind w:left="0" w:firstLine="0"/>
        <w:rPr>
          <w:b/>
        </w:rPr>
      </w:pPr>
      <w:r>
        <w:tab/>
      </w:r>
      <w:r>
        <w:rPr>
          <w:b/>
        </w:rPr>
        <w:t>(e)</w:t>
      </w:r>
      <w:r>
        <w:rPr>
          <w:b/>
        </w:rPr>
        <w:tab/>
        <w:t xml:space="preserve">The right to social security, particularly in cases of retirement, unemployment, sickness, invalidity and old age and other incapacity to work, as well as the right to paid leave; </w:t>
      </w:r>
    </w:p>
    <w:p w:rsidR="00000000" w:rsidRDefault="00000000">
      <w:pPr>
        <w:pStyle w:val="BodyTextIndent2"/>
        <w:spacing w:after="120"/>
        <w:ind w:left="0" w:firstLine="0"/>
      </w:pPr>
      <w:r>
        <w:t>106.</w:t>
      </w:r>
      <w:r>
        <w:tab/>
        <w:t>The right to social protection from unemployment is established in article 24 of the Constitution, the right to rest and to annual paid leave in article 24, paragraph 4, of the Constitution, and the right to social security in cases of retirement, sickness, invalidity and old age in article 28, paragraph 1, of the Constitution.</w:t>
      </w:r>
    </w:p>
    <w:p w:rsidR="00000000" w:rsidRDefault="00000000">
      <w:pPr>
        <w:pStyle w:val="BodyTextIndent2"/>
        <w:spacing w:after="120"/>
        <w:ind w:left="0" w:firstLine="0"/>
      </w:pPr>
      <w:r>
        <w:tab/>
        <w:t>The Labour Code of the Kazakh SSR of 21 June 1972 established compulsory State social insurance of the following types:</w:t>
      </w:r>
    </w:p>
    <w:p w:rsidR="00000000" w:rsidRDefault="00000000">
      <w:pPr>
        <w:pStyle w:val="BodyTextIndent2"/>
        <w:spacing w:after="120"/>
        <w:ind w:left="0" w:firstLine="0"/>
      </w:pPr>
      <w:r>
        <w:tab/>
        <w:t>Temporary disability benefit, including in case of disability caused by industrial injuries or occupational diseases (art. 234);</w:t>
      </w:r>
    </w:p>
    <w:p w:rsidR="00000000" w:rsidRDefault="00000000">
      <w:pPr>
        <w:pStyle w:val="BodyTextIndent2"/>
        <w:spacing w:after="120"/>
        <w:ind w:left="0" w:firstLine="0"/>
      </w:pPr>
      <w:r>
        <w:tab/>
        <w:t>Maternity benefit (art. 235);</w:t>
      </w:r>
    </w:p>
    <w:p w:rsidR="00000000" w:rsidRDefault="00000000">
      <w:pPr>
        <w:pStyle w:val="BodyTextIndent2"/>
        <w:spacing w:after="120"/>
        <w:ind w:left="0" w:firstLine="0"/>
      </w:pPr>
      <w:r>
        <w:tab/>
        <w:t>Treatment at a sanatorium;</w:t>
      </w:r>
    </w:p>
    <w:p w:rsidR="00000000" w:rsidRDefault="00000000">
      <w:pPr>
        <w:pStyle w:val="BodyTextIndent2"/>
        <w:spacing w:after="120"/>
        <w:ind w:left="0" w:firstLine="0"/>
      </w:pPr>
      <w:r>
        <w:tab/>
        <w:t>Allowance paid on the birth of a child;</w:t>
      </w:r>
    </w:p>
    <w:p w:rsidR="00000000" w:rsidRDefault="00000000">
      <w:pPr>
        <w:pStyle w:val="BodyTextIndent2"/>
        <w:spacing w:after="120"/>
        <w:ind w:left="0" w:firstLine="0"/>
      </w:pPr>
      <w:r>
        <w:tab/>
        <w:t>Funeral expenses allowance;</w:t>
      </w:r>
    </w:p>
    <w:p w:rsidR="00000000" w:rsidRDefault="00000000">
      <w:pPr>
        <w:pStyle w:val="BodyTextIndent2"/>
        <w:spacing w:after="120"/>
        <w:ind w:left="0" w:firstLine="0"/>
      </w:pPr>
      <w:r>
        <w:tab/>
        <w:t>Pensions in cases of old age, invalidity or loss of the breadwinner (art. 236, 237 and 238).</w:t>
      </w:r>
    </w:p>
    <w:p w:rsidR="00000000" w:rsidRDefault="00000000">
      <w:pPr>
        <w:pStyle w:val="BodyTextIndent2"/>
        <w:spacing w:after="120"/>
        <w:ind w:left="0" w:firstLine="0"/>
      </w:pPr>
      <w:r>
        <w:tab/>
        <w:t>The Labour Code was amended by the Law of 17 December 1998, which abolished articles 236, 237 and 238 and added the following types of compulsory social security:</w:t>
      </w:r>
    </w:p>
    <w:p w:rsidR="00000000" w:rsidRDefault="00000000">
      <w:pPr>
        <w:pStyle w:val="BodyTextIndent2"/>
        <w:spacing w:after="120"/>
        <w:ind w:left="0" w:firstLine="0"/>
      </w:pPr>
      <w:r>
        <w:tab/>
        <w:t>Social assistance in case of unemployment;</w:t>
      </w:r>
    </w:p>
    <w:p w:rsidR="00000000" w:rsidRDefault="00000000">
      <w:pPr>
        <w:pStyle w:val="BodyTextIndent2"/>
        <w:spacing w:after="120"/>
        <w:ind w:left="0" w:firstLine="0"/>
      </w:pPr>
      <w:r>
        <w:tab/>
        <w:t>Provision of a guaranteed amount of free medical care.</w:t>
      </w:r>
    </w:p>
    <w:p w:rsidR="00000000" w:rsidRDefault="00000000">
      <w:pPr>
        <w:pStyle w:val="BodyTextIndent2"/>
        <w:spacing w:after="120"/>
        <w:ind w:left="0" w:firstLine="0"/>
      </w:pPr>
      <w:r>
        <w:tab/>
        <w:t>The Law on special State benefits in the Republic of Kazakhstan of 5 April 1999 abolished compulsory social security, replacing it with employer-funded social security for workers.</w:t>
      </w:r>
    </w:p>
    <w:p w:rsidR="00000000" w:rsidRDefault="00000000">
      <w:pPr>
        <w:pStyle w:val="D12r"/>
      </w:pPr>
    </w:p>
    <w:p w:rsidR="00000000" w:rsidRDefault="00000000">
      <w:pPr>
        <w:pStyle w:val="DH2"/>
      </w:pPr>
      <w:r>
        <w:tab/>
        <w:t>Temporary disability benefit</w:t>
      </w:r>
    </w:p>
    <w:p w:rsidR="00000000" w:rsidRDefault="00000000">
      <w:pPr>
        <w:pStyle w:val="D12r"/>
      </w:pPr>
    </w:p>
    <w:p w:rsidR="00000000" w:rsidRDefault="00000000">
      <w:pPr>
        <w:pStyle w:val="BodyTextIndent2"/>
        <w:spacing w:after="120"/>
        <w:ind w:left="0" w:firstLine="0"/>
      </w:pPr>
      <w:r>
        <w:t>107.</w:t>
      </w:r>
      <w:r>
        <w:tab/>
        <w:t>The Labour Code of the Kazakh SSR of 21 June 1972 stipulated that temporary disability benefit should be paid in an amount equivalent to full pay, subject to uninterrupted service.</w:t>
      </w:r>
    </w:p>
    <w:p w:rsidR="00000000" w:rsidRDefault="00000000">
      <w:pPr>
        <w:pStyle w:val="BodyTextIndent2"/>
        <w:spacing w:after="120"/>
        <w:ind w:left="0" w:firstLine="0"/>
      </w:pPr>
      <w:r>
        <w:tab/>
        <w:t>The Law of 17 December 1998 put a ceiling on the amount of temporary disability benefit of 15 accounting indexes, or 9,900 tenge per month (US$ 115) as at 1 January 1999.</w:t>
      </w:r>
    </w:p>
    <w:p w:rsidR="00000000" w:rsidRDefault="00000000">
      <w:pPr>
        <w:pStyle w:val="BodyTextIndent2"/>
        <w:spacing w:after="120"/>
        <w:ind w:left="0" w:firstLine="0"/>
      </w:pPr>
      <w:r>
        <w:tab/>
        <w:t>Temporary disability benefit in case of industrial injury or occupational illness continued to be paid in an amount equivalent to 100 per cent of the average wage.</w:t>
      </w:r>
    </w:p>
    <w:p w:rsidR="00000000" w:rsidRDefault="00000000">
      <w:pPr>
        <w:pStyle w:val="BodyTextIndent2"/>
        <w:spacing w:after="120"/>
        <w:ind w:left="0" w:firstLine="0"/>
      </w:pPr>
      <w:r>
        <w:tab/>
        <w:t>From 1 January to 17 April 1999, temporary disability benefit paid to working citizens was based on the average monthly wage, subject to a ceiling of 15 monthly accounting indexes. Temporary disability benefit was paid either by State institutions from the savings made in respect of the wage fund or by employers from their own funds, depending on the main place of work.</w:t>
      </w:r>
    </w:p>
    <w:p w:rsidR="00000000" w:rsidRDefault="00000000">
      <w:pPr>
        <w:pStyle w:val="BodyTextIndent2"/>
        <w:spacing w:after="120"/>
        <w:ind w:left="0" w:firstLine="0"/>
      </w:pPr>
      <w:r>
        <w:tab/>
        <w:t>Since 18 April 1999, temporary disability benefit paid to working citizens has been based on the average monthly wage, subject to a ceiling of 10 monthly accounting indexes with the employer bearing the expense.</w:t>
      </w:r>
    </w:p>
    <w:p w:rsidR="00000000" w:rsidRDefault="00000000">
      <w:pPr>
        <w:pStyle w:val="D12r"/>
      </w:pPr>
    </w:p>
    <w:p w:rsidR="00000000" w:rsidRDefault="00000000">
      <w:pPr>
        <w:pStyle w:val="DH2"/>
      </w:pPr>
      <w:r>
        <w:tab/>
        <w:t>Special categories of the population</w:t>
      </w:r>
    </w:p>
    <w:p w:rsidR="00000000" w:rsidRDefault="00000000">
      <w:pPr>
        <w:pStyle w:val="D12r"/>
      </w:pPr>
    </w:p>
    <w:p w:rsidR="00000000" w:rsidRDefault="00000000">
      <w:pPr>
        <w:pStyle w:val="BodyTextIndent2"/>
        <w:spacing w:after="120"/>
        <w:ind w:left="0" w:firstLine="0"/>
      </w:pPr>
      <w:r>
        <w:t>108.</w:t>
      </w:r>
      <w:r>
        <w:tab/>
        <w:t>The Law of the Republic of Kazakhstan of 17 December 1998 amending and supplementing certain legislative acts of the Republic of Kazakhstan on social security issues provided that the allowance for care of a sick child residing in an area affected by nuclear testing should be paid at the full rate, to one of the parents or to the persons replacing them, for the entire period of the illness.</w:t>
      </w:r>
    </w:p>
    <w:p w:rsidR="00000000" w:rsidRDefault="00000000">
      <w:pPr>
        <w:pStyle w:val="D12r"/>
      </w:pPr>
    </w:p>
    <w:p w:rsidR="00000000" w:rsidRDefault="00000000">
      <w:pPr>
        <w:pStyle w:val="DH2"/>
      </w:pPr>
      <w:r>
        <w:tab/>
        <w:t>Maternity benefit</w:t>
      </w:r>
    </w:p>
    <w:p w:rsidR="00000000" w:rsidRDefault="00000000">
      <w:pPr>
        <w:pStyle w:val="D12r"/>
      </w:pPr>
    </w:p>
    <w:p w:rsidR="00000000" w:rsidRDefault="00000000">
      <w:pPr>
        <w:pStyle w:val="BodyTextIndent2"/>
        <w:spacing w:after="120"/>
        <w:ind w:left="0" w:firstLine="0"/>
      </w:pPr>
      <w:r>
        <w:t>109.</w:t>
      </w:r>
      <w:r>
        <w:tab/>
        <w:t>The Labour Code of the Kazakh SSR of 21 June 1972 stipulated that the level of maternity benefit should be equivalent to the full amount of the average wage.</w:t>
      </w:r>
    </w:p>
    <w:p w:rsidR="00000000" w:rsidRDefault="00000000">
      <w:pPr>
        <w:pStyle w:val="BodyTextIndent2"/>
        <w:spacing w:after="120"/>
        <w:ind w:left="0" w:firstLine="0"/>
      </w:pPr>
      <w:r>
        <w:tab/>
        <w:t>Under this Code, the length of maternity leave was 112 calendar days (56 before and 56 after the birth, or, in case of difficult deliveries or multiple births, 70 calendar days after the birth or births).</w:t>
      </w:r>
    </w:p>
    <w:p w:rsidR="00000000" w:rsidRDefault="00000000">
      <w:pPr>
        <w:pStyle w:val="BodyTextIndent2"/>
        <w:spacing w:after="120"/>
        <w:ind w:left="0" w:firstLine="0"/>
      </w:pPr>
      <w:r>
        <w:tab/>
        <w:t>The Law of 6 December 1990 increased the duration of maternity leave to 126 days (70 days before and 56 days after the birth).</w:t>
      </w:r>
    </w:p>
    <w:p w:rsidR="00000000" w:rsidRDefault="00000000">
      <w:pPr>
        <w:pStyle w:val="BodyTextIndent2"/>
        <w:spacing w:after="120"/>
        <w:ind w:left="0" w:firstLine="0"/>
      </w:pPr>
      <w:r>
        <w:tab/>
        <w:t>From 1 January to 17 April 1999, working women received maternity benefit in an amount equivalent to full pay for the entire period of maternity leave. Maternity benefit was paid either by State institutions from the savings made in respect of the wage fund or by other employers from their own funds, depending on the main place of work.</w:t>
      </w:r>
    </w:p>
    <w:p w:rsidR="00000000" w:rsidRDefault="00000000">
      <w:pPr>
        <w:pStyle w:val="BodyTextIndent2"/>
        <w:spacing w:after="120"/>
        <w:ind w:left="0" w:firstLine="0"/>
      </w:pPr>
      <w:r>
        <w:tab/>
        <w:t>Since 18 April 1999, maternity benefit has been paid by employers out of their own funds, taking the average monthly wage as a basis and subject to a ceiling of 10 monthly accounting indexes.</w:t>
      </w:r>
    </w:p>
    <w:p w:rsidR="00000000" w:rsidRDefault="00000000">
      <w:pPr>
        <w:pStyle w:val="D12r"/>
      </w:pPr>
    </w:p>
    <w:p w:rsidR="00000000" w:rsidRDefault="00000000">
      <w:pPr>
        <w:pStyle w:val="DH2"/>
      </w:pPr>
      <w:r>
        <w:tab/>
        <w:t>Special categories of the population</w:t>
      </w:r>
    </w:p>
    <w:p w:rsidR="00000000" w:rsidRDefault="00000000">
      <w:pPr>
        <w:pStyle w:val="D12r"/>
      </w:pPr>
    </w:p>
    <w:p w:rsidR="00000000" w:rsidRDefault="00000000">
      <w:pPr>
        <w:pStyle w:val="BodyTextIndent2"/>
        <w:spacing w:after="120"/>
        <w:ind w:left="0" w:firstLine="0"/>
      </w:pPr>
      <w:r>
        <w:t>108.</w:t>
      </w:r>
      <w:r>
        <w:tab/>
        <w:t>The Law of the Republic of Kazakhstan of 17 December 1998 amending and supplementing certain legislative acts of the Republic of Kazakhstan on social security issues provided that, for women residing in areas affected by nuclear testing, the length of maternity leave should be 170 calendar days for normal births and 184 days in case of difficult deliveries or multiple births.</w:t>
      </w:r>
    </w:p>
    <w:p w:rsidR="00000000" w:rsidRDefault="00000000">
      <w:pPr>
        <w:pStyle w:val="DH2"/>
        <w:ind w:left="475" w:hanging="475"/>
      </w:pPr>
      <w:r>
        <w:tab/>
        <w:t>Guarantees and compensation in case of unemployment</w:t>
      </w:r>
    </w:p>
    <w:p w:rsidR="00000000" w:rsidRDefault="00000000">
      <w:pPr>
        <w:pStyle w:val="D12r"/>
      </w:pPr>
    </w:p>
    <w:p w:rsidR="00000000" w:rsidRDefault="00000000">
      <w:pPr>
        <w:pStyle w:val="BodyTextIndent2"/>
        <w:spacing w:after="120"/>
        <w:ind w:left="0" w:firstLine="0"/>
      </w:pPr>
      <w:r>
        <w:t>111.</w:t>
      </w:r>
      <w:r>
        <w:tab/>
        <w:t>The Law on employment of 15 December 1990 established the following types of social guarantees and compensation:</w:t>
      </w:r>
    </w:p>
    <w:p w:rsidR="00000000" w:rsidRDefault="00000000">
      <w:pPr>
        <w:pStyle w:val="BodyTextIndent2"/>
        <w:spacing w:after="120"/>
        <w:ind w:left="0" w:firstLine="0"/>
      </w:pPr>
      <w:r>
        <w:tab/>
        <w:t>Preservation of total length of service and uninterrupted service (which plays the main role in the award of pensions);</w:t>
      </w:r>
    </w:p>
    <w:p w:rsidR="00000000" w:rsidRDefault="00000000">
      <w:pPr>
        <w:pStyle w:val="BodyTextIndent2"/>
        <w:spacing w:after="120"/>
        <w:ind w:left="0" w:firstLine="0"/>
      </w:pPr>
      <w:r>
        <w:tab/>
        <w:t>Payment of grants during periods of vocational training, advanced training or retraining;</w:t>
      </w:r>
    </w:p>
    <w:p w:rsidR="00000000" w:rsidRDefault="00000000">
      <w:pPr>
        <w:pStyle w:val="BodyTextIndent2"/>
        <w:spacing w:after="120"/>
        <w:ind w:left="0" w:firstLine="0"/>
      </w:pPr>
      <w:r>
        <w:tab/>
        <w:t>Remuneration for labour on paid public works;</w:t>
      </w:r>
    </w:p>
    <w:p w:rsidR="00000000" w:rsidRDefault="00000000">
      <w:pPr>
        <w:pStyle w:val="BodyTextIndent2"/>
        <w:spacing w:after="120"/>
        <w:ind w:left="0" w:firstLine="0"/>
      </w:pPr>
      <w:r>
        <w:tab/>
        <w:t>Unemployment benefit;</w:t>
      </w:r>
    </w:p>
    <w:p w:rsidR="00000000" w:rsidRDefault="00000000">
      <w:pPr>
        <w:pStyle w:val="BodyTextIndent2"/>
        <w:spacing w:after="120"/>
        <w:ind w:left="0" w:firstLine="0"/>
      </w:pPr>
      <w:r>
        <w:tab/>
        <w:t>Provision of material assistance to the unemployed person and his or her dependants, either older persons or minor children;</w:t>
      </w:r>
    </w:p>
    <w:p w:rsidR="00000000" w:rsidRDefault="00000000">
      <w:pPr>
        <w:pStyle w:val="BodyTextIndent2"/>
        <w:spacing w:after="120"/>
        <w:ind w:left="0" w:firstLine="0"/>
      </w:pPr>
      <w:r>
        <w:tab/>
        <w:t>Possibility of early retirement (up to two years in advance) for persons nearing retirement age.</w:t>
      </w:r>
    </w:p>
    <w:p w:rsidR="00000000" w:rsidRDefault="00000000">
      <w:pPr>
        <w:pStyle w:val="D12r"/>
      </w:pPr>
    </w:p>
    <w:p w:rsidR="00000000" w:rsidRDefault="00000000">
      <w:pPr>
        <w:pStyle w:val="DH2"/>
      </w:pPr>
      <w:r>
        <w:tab/>
        <w:t>Unemployment benefit</w:t>
      </w:r>
    </w:p>
    <w:p w:rsidR="00000000" w:rsidRDefault="00000000">
      <w:pPr>
        <w:pStyle w:val="D12r"/>
        <w:keepNext/>
        <w:keepLines/>
      </w:pPr>
    </w:p>
    <w:p w:rsidR="00000000" w:rsidRDefault="00000000">
      <w:pPr>
        <w:pStyle w:val="BodyTextIndent2"/>
        <w:keepNext/>
        <w:keepLines/>
        <w:spacing w:after="120"/>
        <w:ind w:left="0" w:firstLine="0"/>
      </w:pPr>
      <w:r>
        <w:t>112.</w:t>
      </w:r>
      <w:r>
        <w:tab/>
        <w:t>The Law on employment of 15 December 1990 (articles 28-32) made the following stipulations in respect of the amount of unemployment benefit and the period of entitlement:</w:t>
      </w:r>
    </w:p>
    <w:p w:rsidR="00000000" w:rsidRDefault="00000000">
      <w:pPr>
        <w:pStyle w:val="BodyTextIndent2"/>
        <w:spacing w:after="120"/>
        <w:ind w:left="0" w:firstLine="0"/>
      </w:pPr>
      <w:r>
        <w:tab/>
        <w:t>Not less than 50 per cent of the pay at the last place of work for up to 26 weeks in any 12-month period (up to 36 weeks in the case of unemployed persons nearing retirement age);</w:t>
      </w:r>
    </w:p>
    <w:p w:rsidR="00000000" w:rsidRDefault="00000000">
      <w:pPr>
        <w:pStyle w:val="BodyTextIndent2"/>
        <w:spacing w:after="120"/>
        <w:ind w:left="0" w:firstLine="0"/>
      </w:pPr>
      <w:r>
        <w:tab/>
        <w:t>Not less than the official subsistence wage and not more than the average wage in Kazakhstan;</w:t>
      </w:r>
    </w:p>
    <w:p w:rsidR="00000000" w:rsidRDefault="00000000">
      <w:pPr>
        <w:pStyle w:val="BodyTextIndent2"/>
        <w:spacing w:after="120"/>
        <w:ind w:left="0" w:firstLine="0"/>
      </w:pPr>
      <w:r>
        <w:tab/>
        <w:t>For first-time job seekers, not less than 75 per cent of the official subsistence wage for up to 13 weeks;</w:t>
      </w:r>
    </w:p>
    <w:p w:rsidR="00000000" w:rsidRDefault="00000000">
      <w:pPr>
        <w:pStyle w:val="BodyTextIndent2"/>
        <w:spacing w:after="120"/>
        <w:ind w:left="0" w:firstLine="0"/>
      </w:pPr>
      <w:r>
        <w:tab/>
        <w:t>For persons wishing to resume work after a prolonged interruption (generally women), from 75 to 100 per cent of the official subsistence wage for up to 13 weeks in any 12-month period;</w:t>
      </w:r>
    </w:p>
    <w:p w:rsidR="00000000" w:rsidRDefault="00000000">
      <w:pPr>
        <w:pStyle w:val="BodyTextIndent2"/>
        <w:spacing w:after="120"/>
        <w:ind w:left="0" w:firstLine="0"/>
      </w:pPr>
      <w:r>
        <w:tab/>
        <w:t>For unemployed persons having children under 14 years or other dependants, amount of the benefit to be increased by 10 per cent per dependant.</w:t>
      </w:r>
    </w:p>
    <w:p w:rsidR="00000000" w:rsidRDefault="00000000">
      <w:pPr>
        <w:pStyle w:val="BodyTextIndent2"/>
        <w:spacing w:after="120"/>
        <w:ind w:left="0" w:firstLine="0"/>
      </w:pPr>
      <w:r>
        <w:tab/>
        <w:t>There were additional benefits for persons unemployed as a result of the liquidation of an enterprise or because of lay-offs: a monthly severance allowance and payment, for a period of three months, of an amount equivalent to the average wage.</w:t>
      </w:r>
    </w:p>
    <w:p w:rsidR="00000000" w:rsidRDefault="00000000">
      <w:pPr>
        <w:pStyle w:val="D12r"/>
      </w:pPr>
    </w:p>
    <w:p w:rsidR="00000000" w:rsidRDefault="00000000">
      <w:pPr>
        <w:pStyle w:val="DH2"/>
        <w:ind w:left="475" w:hanging="475"/>
      </w:pPr>
      <w:r>
        <w:tab/>
        <w:t>Grants paid to unemployed persons during periods of advanced training or retraining</w:t>
      </w:r>
    </w:p>
    <w:p w:rsidR="00000000" w:rsidRDefault="00000000">
      <w:pPr>
        <w:pStyle w:val="D12r"/>
      </w:pPr>
    </w:p>
    <w:p w:rsidR="00000000" w:rsidRDefault="00000000">
      <w:pPr>
        <w:pStyle w:val="BodyTextIndent2"/>
        <w:spacing w:after="120"/>
        <w:ind w:left="0" w:firstLine="0"/>
      </w:pPr>
      <w:r>
        <w:tab/>
        <w:t>The Law on employment of 15 December 1990 (art. 34) made the following stipulations in respect of the amount of the grants paid to unemployed persons during periods of advanced training or retraining and the period of entitlement:</w:t>
      </w:r>
    </w:p>
    <w:p w:rsidR="00000000" w:rsidRDefault="00000000">
      <w:pPr>
        <w:pStyle w:val="BodyTextIndent2"/>
        <w:spacing w:after="120"/>
        <w:ind w:left="0" w:firstLine="0"/>
      </w:pPr>
      <w:r>
        <w:tab/>
        <w:t>100 per cent of the pay at the last place of work, but not less than the official subsistence wage;</w:t>
      </w:r>
    </w:p>
    <w:p w:rsidR="00000000" w:rsidRDefault="00000000">
      <w:pPr>
        <w:pStyle w:val="BodyTextIndent2"/>
        <w:spacing w:after="120"/>
        <w:ind w:left="0" w:firstLine="0"/>
      </w:pPr>
      <w:r>
        <w:tab/>
        <w:t>For citizens unemployed for a prolonged period (more than one year), 50 per cent of the average wage in Kazakhstan;</w:t>
      </w:r>
    </w:p>
    <w:p w:rsidR="00000000" w:rsidRDefault="00000000">
      <w:pPr>
        <w:pStyle w:val="BodyTextIndent2"/>
        <w:spacing w:after="120"/>
        <w:ind w:left="0" w:firstLine="0"/>
      </w:pPr>
      <w:r>
        <w:tab/>
        <w:t>For first-time job seekers, 100 per cent of the official subsistence wage.</w:t>
      </w:r>
    </w:p>
    <w:p w:rsidR="00000000" w:rsidRDefault="00000000">
      <w:pPr>
        <w:pStyle w:val="BodyTextIndent2"/>
        <w:spacing w:after="120"/>
        <w:ind w:left="0" w:firstLine="0"/>
      </w:pPr>
      <w:r>
        <w:tab/>
        <w:t>Since 1 January 1999, unemployment benefit has not been paid. Since 1 April 1999, in accordance with the Law of 5 April 1999 amending the Law on employment, unemployment benefit and grants paid to unemployed persons have been abolished and replaced by material assistance and temporary financial assistance, respectively. However, since the amounts are not specified, almost no such assistance is provided.</w:t>
      </w:r>
    </w:p>
    <w:p w:rsidR="00000000" w:rsidRDefault="00000000">
      <w:pPr>
        <w:pStyle w:val="BodyTextIndent2"/>
        <w:spacing w:after="120"/>
        <w:ind w:left="0" w:firstLine="0"/>
      </w:pPr>
      <w:r>
        <w:tab/>
        <w:t>The decision of the Government of 22 July 1999 approving temporary rules on the provision of targeted social assistance obliged local authorities to provide material assistance in respect of the funerals of unemployed persons.</w:t>
      </w:r>
    </w:p>
    <w:p w:rsidR="00000000" w:rsidRDefault="00000000">
      <w:pPr>
        <w:pStyle w:val="D12r"/>
      </w:pPr>
    </w:p>
    <w:p w:rsidR="00000000" w:rsidRDefault="00000000">
      <w:pPr>
        <w:pStyle w:val="DH2"/>
      </w:pPr>
      <w:r>
        <w:tab/>
        <w:t>Special population categories</w:t>
      </w:r>
    </w:p>
    <w:p w:rsidR="00000000" w:rsidRDefault="00000000">
      <w:pPr>
        <w:pStyle w:val="D12r"/>
      </w:pPr>
    </w:p>
    <w:p w:rsidR="00000000" w:rsidRDefault="00000000">
      <w:pPr>
        <w:pStyle w:val="BodyTextIndent2"/>
        <w:spacing w:after="120"/>
        <w:ind w:left="0" w:firstLine="0"/>
      </w:pPr>
      <w:r>
        <w:t>113.</w:t>
      </w:r>
      <w:r>
        <w:tab/>
        <w:t>Under the Law of 30 June 1992 on the social protection of victims of the environmental disaster in the Aral Sea region, the following additional social guarantees and compensation are provided to unemployed workers in the disaster area:</w:t>
      </w:r>
    </w:p>
    <w:p w:rsidR="00000000" w:rsidRDefault="00000000">
      <w:pPr>
        <w:pStyle w:val="BodyTextIndent2"/>
        <w:spacing w:after="120"/>
        <w:ind w:left="0" w:firstLine="0"/>
      </w:pPr>
      <w:r>
        <w:tab/>
        <w:t>An unemployment benefit equivalent to not less than 75 per cent of their base salary at their last place of work, but not exceeding the average wage.</w:t>
      </w:r>
    </w:p>
    <w:p w:rsidR="00000000" w:rsidRDefault="00000000">
      <w:pPr>
        <w:pStyle w:val="BodyTextIndent2"/>
        <w:spacing w:after="120"/>
        <w:ind w:left="0" w:firstLine="0"/>
      </w:pPr>
      <w:r>
        <w:t>114.</w:t>
      </w:r>
      <w:r>
        <w:tab/>
        <w:t>Indebtedness for social expenditure (unemployment benefits, scholarships, public works) from the State Employment Support Fund for 1998 amounted to 3,279.8 million tenge, including 3,233.2 million tenge for unemployment benefits. Pursuant to resolution No. 68 of the Government of the Republic of Kazakhstan, of 29 January 1999, the State Employment Support Fund has been liquidated as of 1 January 1999. For the first quarter of 1999, unemployment benefits in the amount of 53.1 million tenge from the budget of the Republic were allocated, but not paid, to 21,200 people. The issue of discharging the debt for social expenditure is currently being considered by the Government of Kazakhstan.</w:t>
      </w:r>
    </w:p>
    <w:p w:rsidR="00000000" w:rsidRDefault="00000000">
      <w:pPr>
        <w:pStyle w:val="BodyTextIndent2"/>
        <w:spacing w:after="120"/>
        <w:ind w:left="0" w:firstLine="0"/>
      </w:pPr>
      <w:r>
        <w:t>115.</w:t>
      </w:r>
      <w:r>
        <w:tab/>
        <w:t>The Law on employment of 30 December 1998 reduced the level of social protection against the effects of unemployment for citizens of Kazakhstan by significantly reducing the rate for unemployment benefits, which, under the old law, had stood at 50 per cent of the person’s pay at the last place of work; under the new law, the rate was changed to 3.5 times the accounting index, or 2,310 tenge ($26) per month, as from 1 January 1999.</w:t>
      </w:r>
    </w:p>
    <w:p w:rsidR="00000000" w:rsidRDefault="00000000">
      <w:pPr>
        <w:pStyle w:val="BodyTextIndent2"/>
        <w:spacing w:after="120"/>
        <w:ind w:left="0" w:firstLine="0"/>
      </w:pPr>
      <w:r>
        <w:tab/>
        <w:t>Under the old law, scholarships for unemployed persons receiving training had represented 100 per cent of the person’s pay at the last place of work; under the new law, the amount was reduced to three times the accounting index, or 1,980 tenge ($23) per month, as from 1 January 1999.</w:t>
      </w:r>
    </w:p>
    <w:p w:rsidR="00000000" w:rsidRDefault="00000000">
      <w:pPr>
        <w:pStyle w:val="BodyTextIndent2"/>
        <w:spacing w:after="120"/>
        <w:ind w:left="0" w:firstLine="0"/>
      </w:pPr>
      <w:r>
        <w:tab/>
        <w:t>For persons of pre-retirement age, the period for benefit payments had been nine months; the new law reduced it to six months.</w:t>
      </w:r>
    </w:p>
    <w:p w:rsidR="00000000" w:rsidRDefault="00000000">
      <w:pPr>
        <w:pStyle w:val="BodyTextIndent2"/>
        <w:spacing w:after="120"/>
        <w:ind w:left="0" w:firstLine="0"/>
      </w:pPr>
      <w:r>
        <w:tab/>
        <w:t>The new law also abolished the increase of 10 per cent for each dependant.</w:t>
      </w:r>
    </w:p>
    <w:p w:rsidR="00000000" w:rsidRDefault="00000000">
      <w:pPr>
        <w:pStyle w:val="BodyTextIndent2"/>
        <w:spacing w:after="120"/>
        <w:ind w:left="0" w:firstLine="0"/>
      </w:pPr>
      <w:r>
        <w:tab/>
        <w:t>The Law of 5 April 1999 amending the Law on Employment abolished unemployment benefits and replaced them with financial assistance.</w:t>
      </w:r>
    </w:p>
    <w:p w:rsidR="00000000" w:rsidRDefault="00000000">
      <w:pPr>
        <w:pStyle w:val="D12r"/>
      </w:pPr>
    </w:p>
    <w:p w:rsidR="00000000" w:rsidRDefault="00000000">
      <w:pPr>
        <w:pStyle w:val="DH2"/>
      </w:pPr>
      <w:r>
        <w:tab/>
        <w:t>Pensions</w:t>
      </w:r>
    </w:p>
    <w:p w:rsidR="00000000" w:rsidRDefault="00000000">
      <w:pPr>
        <w:pStyle w:val="D12r"/>
      </w:pPr>
    </w:p>
    <w:p w:rsidR="00000000" w:rsidRDefault="00000000">
      <w:pPr>
        <w:pStyle w:val="BodyTextIndent2"/>
        <w:spacing w:after="120"/>
        <w:ind w:left="0" w:firstLine="0"/>
      </w:pPr>
      <w:r>
        <w:t>116.</w:t>
      </w:r>
      <w:r>
        <w:tab/>
        <w:t>To some degree, Kazakhstan’s pension laws take into account unpaid housework and the time spent on child care for working women by providing that women are entitled to retire five years earlier than men, and, accordingly, requiring five fewer years of service for women than for men.</w:t>
      </w:r>
    </w:p>
    <w:p w:rsidR="00000000" w:rsidRDefault="00000000">
      <w:pPr>
        <w:pStyle w:val="BodyTextIndent2"/>
        <w:spacing w:after="120"/>
        <w:ind w:left="0" w:firstLine="0"/>
      </w:pPr>
      <w:r>
        <w:tab/>
        <w:t>In the future, this approach may change. Under the scheme for reforming Kazakhstan’s pension system, which was approved by the Government on 12 May 1997, the retirement age for men and women would be gradually raised and made equal by 2016. This scheme forms the basis for the current pension reform, which is modelled on the experience of Chile.</w:t>
      </w:r>
    </w:p>
    <w:p w:rsidR="00000000" w:rsidRDefault="00000000">
      <w:pPr>
        <w:pStyle w:val="D12r"/>
      </w:pPr>
    </w:p>
    <w:p w:rsidR="00000000" w:rsidRDefault="00000000">
      <w:pPr>
        <w:pStyle w:val="BodyTextIndent2"/>
        <w:keepNext/>
        <w:keepLines/>
        <w:spacing w:after="120"/>
        <w:ind w:left="0" w:firstLine="0"/>
        <w:rPr>
          <w:b/>
        </w:rPr>
      </w:pPr>
      <w:r>
        <w:tab/>
      </w:r>
      <w:r>
        <w:rPr>
          <w:b/>
        </w:rPr>
        <w:t>(f)</w:t>
      </w:r>
      <w:r>
        <w:rPr>
          <w:b/>
        </w:rPr>
        <w:tab/>
        <w:t>The right to protection of health and to safety in working conditions, including the safeguarding of the function of reproduction.</w:t>
      </w:r>
    </w:p>
    <w:p w:rsidR="00000000" w:rsidRDefault="00000000">
      <w:pPr>
        <w:pStyle w:val="BodyTextIndent2"/>
        <w:keepNext/>
        <w:keepLines/>
        <w:spacing w:after="120"/>
        <w:ind w:left="0" w:firstLine="0"/>
      </w:pPr>
      <w:r>
        <w:tab/>
        <w:t>In 1996, in the areas of industry, construction, transport and communications, more than 100,000 women were employed in workplaces that did not meet health and hygiene requirements and standards.</w:t>
      </w:r>
    </w:p>
    <w:p w:rsidR="00000000" w:rsidRDefault="00000000">
      <w:pPr>
        <w:pStyle w:val="BodyTextIndent2"/>
        <w:spacing w:after="120"/>
        <w:ind w:left="0" w:firstLine="0"/>
      </w:pPr>
      <w:r>
        <w:tab/>
        <w:t>Article 24, paragraph 2, of the Constitution provides that:</w:t>
      </w:r>
    </w:p>
    <w:p w:rsidR="00000000" w:rsidRDefault="00000000">
      <w:pPr>
        <w:pStyle w:val="BodyTextIndent2"/>
        <w:spacing w:after="120"/>
        <w:ind w:left="0" w:firstLine="0"/>
      </w:pPr>
      <w:r>
        <w:tab/>
        <w:t>“Everyone has the right to safe and hygienic working conditions, to just remuneration for labour without discrimination and to social protection against unemployment”.</w:t>
      </w:r>
    </w:p>
    <w:p w:rsidR="00000000" w:rsidRDefault="00000000">
      <w:pPr>
        <w:pStyle w:val="BodyTextIndent2"/>
        <w:spacing w:after="120"/>
        <w:ind w:left="0" w:firstLine="0"/>
      </w:pPr>
      <w:r>
        <w:tab/>
        <w:t>Article 17 of the Law on employment protection, adopted by the Supreme Council of Kazakhstan on 22 January 1993, provides that, in jobs in which women and young people under the age of 18 are required to lift and move heavy loads by hand, the management must provide for mechanization, automation and other facilities for the transport of such loads.</w:t>
      </w:r>
    </w:p>
    <w:p w:rsidR="00000000" w:rsidRDefault="00000000">
      <w:pPr>
        <w:pStyle w:val="BodyTextIndent2"/>
        <w:spacing w:after="120"/>
        <w:ind w:left="0" w:firstLine="0"/>
      </w:pPr>
      <w:r>
        <w:tab/>
        <w:t>If loading by lifting and moving heavy objects could cause harm, such loading may not be done by hand.</w:t>
      </w:r>
    </w:p>
    <w:p w:rsidR="00000000" w:rsidRDefault="00000000">
      <w:pPr>
        <w:pStyle w:val="BodyTextIndent2"/>
        <w:spacing w:after="120"/>
        <w:ind w:left="0" w:firstLine="0"/>
      </w:pPr>
      <w:r>
        <w:tab/>
        <w:t>Pregnant women may not perform jobs which would require them to lift and move heavy loads by hand.</w:t>
      </w:r>
    </w:p>
    <w:p w:rsidR="00000000" w:rsidRDefault="00000000">
      <w:pPr>
        <w:pStyle w:val="BodyTextIndent2"/>
        <w:spacing w:after="120"/>
        <w:ind w:left="0" w:firstLine="0"/>
      </w:pPr>
      <w:r>
        <w:tab/>
        <w:t>On medical advice, pregnant women are transferred to easier work that does not involve exposure to dangerous or harmful factors of production, in accordance with the relevant legislation.</w:t>
      </w:r>
    </w:p>
    <w:p w:rsidR="00000000" w:rsidRDefault="00000000">
      <w:pPr>
        <w:pStyle w:val="D12r"/>
      </w:pPr>
    </w:p>
    <w:p w:rsidR="00000000" w:rsidRDefault="00000000">
      <w:pPr>
        <w:pStyle w:val="BodyTextIndent2"/>
        <w:keepNext/>
        <w:keepLines/>
        <w:spacing w:after="120"/>
        <w:ind w:left="0" w:firstLine="0"/>
        <w:rPr>
          <w:b/>
        </w:rPr>
      </w:pPr>
      <w:r>
        <w:rPr>
          <w:b/>
        </w:rPr>
        <w:t>2.</w:t>
      </w:r>
      <w:r>
        <w:rPr>
          <w:b/>
        </w:rPr>
        <w:tab/>
        <w:t>In order to prevent discrimination against women on the grounds of marriage or maternity and to ensure their effective right to work, States Parties shall take appropriate measures:</w:t>
      </w:r>
    </w:p>
    <w:p w:rsidR="00000000" w:rsidRDefault="00000000">
      <w:pPr>
        <w:pStyle w:val="BodyTextIndent2"/>
        <w:keepNext/>
        <w:keepLines/>
        <w:spacing w:after="120"/>
        <w:ind w:left="0" w:firstLine="0"/>
      </w:pPr>
      <w:r>
        <w:rPr>
          <w:b/>
        </w:rPr>
        <w:tab/>
        <w:t>(a)</w:t>
      </w:r>
      <w:r>
        <w:rPr>
          <w:b/>
        </w:rPr>
        <w:tab/>
        <w:t xml:space="preserve">To prohibit, subject to the imposition of sanctions, dismissal on the grounds of pregnancy or of maternity leave and discrimination in dismissals on the basis of marital status; </w:t>
      </w:r>
    </w:p>
    <w:p w:rsidR="00000000" w:rsidRDefault="00000000">
      <w:pPr>
        <w:pStyle w:val="BodyTextIndent2"/>
        <w:spacing w:after="120"/>
        <w:ind w:left="0" w:firstLine="0"/>
      </w:pPr>
      <w:r>
        <w:tab/>
        <w:t>Article 164 of the Labour Code of the Kazakh SSR, of 21 July 1972, established the following guarantees concerning the hiring, and prohibiting the dismissal, of pregnant women and women with children:</w:t>
      </w:r>
    </w:p>
    <w:p w:rsidR="00000000" w:rsidRDefault="00000000">
      <w:pPr>
        <w:pStyle w:val="BodyTextIndent2"/>
        <w:keepNext/>
        <w:keepLines/>
        <w:spacing w:after="120"/>
        <w:ind w:left="0" w:firstLine="0"/>
      </w:pPr>
      <w:r>
        <w:tab/>
        <w:t>An employer may not refuse to employ a woman or reduce her pay because she is pregnant or has a child or children under the age of three, or, in the case of single mothers, under the age of 14 (in the case of disabled children, under the age of 16).</w:t>
      </w:r>
    </w:p>
    <w:p w:rsidR="00000000" w:rsidRDefault="00000000">
      <w:pPr>
        <w:pStyle w:val="BodyTextIndent2"/>
        <w:spacing w:after="120"/>
        <w:ind w:left="0" w:firstLine="0"/>
      </w:pPr>
      <w:r>
        <w:tab/>
        <w:t>If a woman in one of the above-mentioned categories is refused employment, the employer must inform her in writing of the reasons for the refusal. A refusal of employment may be appealed against in the People’s Court.</w:t>
      </w:r>
    </w:p>
    <w:p w:rsidR="00000000" w:rsidRDefault="00000000">
      <w:pPr>
        <w:pStyle w:val="BodyTextIndent2"/>
        <w:spacing w:after="120"/>
        <w:ind w:left="0" w:firstLine="0"/>
      </w:pPr>
      <w:r>
        <w:tab/>
        <w:t>The dismissal of pregnant women and women with children under the age of three (or 15, in the case of single mothers, or 16, in the case of disabled children) at the employer’s initiative is not permitted, unless the entire enterprise, institution or organization is liquidated, in which case dismissal is permitted with mandatory job placement. Employers are also obligated to provide job placement for women in the above-mentioned categories if the latter are dismissed at the end of a fixed-term employment contract. They shall continue to be paid at the average wage during the period of job placement, but not for more than three months from the date of expiry of the fixed-term employment agreement.</w:t>
      </w:r>
    </w:p>
    <w:p w:rsidR="00000000" w:rsidRDefault="00000000">
      <w:pPr>
        <w:pStyle w:val="BodyTextIndent2"/>
        <w:spacing w:after="120"/>
        <w:ind w:left="0" w:firstLine="0"/>
      </w:pPr>
      <w:r>
        <w:tab/>
        <w:t>Under article 127 of the Criminal Code which had been in force until 1 January 1998, an employer who refused to employ a woman because she was pregnant or breastfeeding, or who reduced a woman’s pay or dismissed her for those reasons, was subject to a penalty of up to six months’ community service or dismissal from his or her post.</w:t>
      </w:r>
    </w:p>
    <w:p w:rsidR="00000000" w:rsidRDefault="00000000">
      <w:pPr>
        <w:pStyle w:val="BodyTextIndent2"/>
        <w:spacing w:after="120"/>
        <w:ind w:left="0" w:firstLine="0"/>
      </w:pPr>
      <w:r>
        <w:tab/>
        <w:t>Article 148, paragraph 2, of the new Criminal Code establishes different penalties for such offences: a fine of between 200 and 500 times the monthly accounting index (132,000 to 330,000 tenge as of 1 January 1999), or loss of entitlement to occupy certain posts for a period of up to five years. No penalties are established for reducing a woman’s pay for the above-mentioned reasons.</w:t>
      </w:r>
    </w:p>
    <w:p w:rsidR="00000000" w:rsidRDefault="00000000">
      <w:pPr>
        <w:pStyle w:val="D12r"/>
      </w:pPr>
    </w:p>
    <w:p w:rsidR="00000000" w:rsidRDefault="00000000">
      <w:pPr>
        <w:pStyle w:val="BodyTextIndent2"/>
        <w:spacing w:after="120"/>
        <w:ind w:left="0" w:firstLine="0"/>
        <w:rPr>
          <w:b/>
        </w:rPr>
      </w:pPr>
      <w:r>
        <w:rPr>
          <w:b/>
        </w:rPr>
        <w:tab/>
        <w:t>(b)</w:t>
      </w:r>
      <w:r>
        <w:rPr>
          <w:b/>
        </w:rPr>
        <w:tab/>
        <w:t>To introduce maternity leave with pay or with comparable social benefits without loss of former employment, seniority or social allowances;</w:t>
      </w:r>
    </w:p>
    <w:p w:rsidR="00000000" w:rsidRDefault="00000000">
      <w:pPr>
        <w:pStyle w:val="BodyTextIndent2"/>
        <w:spacing w:after="120"/>
        <w:ind w:left="0" w:firstLine="0"/>
      </w:pPr>
      <w:r>
        <w:tab/>
        <w:t>Articles 159 to 163 and 235 of the Labour Code of the Kazakh SSR, of 21 July 1972, established the following types of leave and social allowances:</w:t>
      </w:r>
    </w:p>
    <w:p w:rsidR="00000000" w:rsidRDefault="00000000">
      <w:pPr>
        <w:pStyle w:val="BodyTextIndent2"/>
        <w:spacing w:after="120"/>
        <w:ind w:left="0" w:firstLine="0"/>
      </w:pPr>
    </w:p>
    <w:p w:rsidR="00000000" w:rsidRDefault="00000000">
      <w:pPr>
        <w:pStyle w:val="BodyTextIndent2"/>
        <w:spacing w:after="120"/>
        <w:ind w:left="0" w:firstLine="0"/>
      </w:pPr>
    </w:p>
    <w:p w:rsidR="00000000" w:rsidRDefault="00000000">
      <w:pPr>
        <w:pStyle w:val="BodyTextIndent2"/>
        <w:spacing w:after="120"/>
        <w:ind w:left="0" w:firstLine="0"/>
      </w:pPr>
      <w:r>
        <w:tab/>
        <w:t>For pregnancy and childbirth: see paragraph 109 for details.</w:t>
      </w:r>
    </w:p>
    <w:p w:rsidR="00000000" w:rsidRDefault="00000000">
      <w:pPr>
        <w:pStyle w:val="D12r"/>
      </w:pPr>
    </w:p>
    <w:p w:rsidR="00000000" w:rsidRDefault="00000000">
      <w:pPr>
        <w:pStyle w:val="BodyTextIndent2"/>
        <w:spacing w:after="120"/>
        <w:ind w:left="0" w:firstLine="0"/>
        <w:rPr>
          <w:b/>
        </w:rPr>
      </w:pPr>
      <w:r>
        <w:rPr>
          <w:b/>
        </w:rPr>
        <w:tab/>
        <w:t>(c)</w:t>
      </w:r>
      <w:r>
        <w:rPr>
          <w:b/>
        </w:rPr>
        <w:tab/>
        <w:t>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w:t>
      </w:r>
    </w:p>
    <w:p w:rsidR="00000000" w:rsidRDefault="00000000">
      <w:pPr>
        <w:pStyle w:val="BodyTextIndent2"/>
        <w:spacing w:after="120"/>
        <w:ind w:left="0" w:firstLine="0"/>
      </w:pPr>
      <w:r>
        <w:tab/>
        <w:t>Article 159 of the Labour Code of the Kazakh SSR, of 21 July 1972, provided that women could, at their request, take leave with partial pay until their child reached the age of one year without losing their post or office.</w:t>
      </w:r>
    </w:p>
    <w:p w:rsidR="00000000" w:rsidRDefault="00000000">
      <w:pPr>
        <w:pStyle w:val="BodyTextIndent2"/>
        <w:spacing w:after="120"/>
        <w:ind w:left="0" w:firstLine="0"/>
      </w:pPr>
      <w:r>
        <w:tab/>
        <w:t>In addition to this leave with partial pay, women could take unpaid leave until their child reached the age of three years, also without losing their post or office.</w:t>
      </w:r>
    </w:p>
    <w:p w:rsidR="00000000" w:rsidRDefault="00000000">
      <w:pPr>
        <w:pStyle w:val="BodyTextIndent2"/>
        <w:spacing w:after="120"/>
        <w:ind w:left="0" w:firstLine="0"/>
      </w:pPr>
      <w:r>
        <w:tab/>
        <w:t>A law of 6 December 1990 increased the period of leave with partial pay to 18 months and, for the first time, made the leave with partial pay and additional unpaid leave available not only to mothers, but also to fathers, grandmothers, grandfathers and other persons declared by the parents to be actually caring for the child.</w:t>
      </w:r>
    </w:p>
    <w:p w:rsidR="00000000" w:rsidRDefault="00000000">
      <w:pPr>
        <w:pStyle w:val="BodyTextIndent2"/>
        <w:spacing w:after="120"/>
        <w:ind w:left="0" w:firstLine="0"/>
      </w:pPr>
      <w:r>
        <w:tab/>
        <w:t>This law also afforded women or other persons caring for the child the opportunity to work part-time or at home, while retaining their right to receive child-care benefits.</w:t>
      </w:r>
    </w:p>
    <w:p w:rsidR="00000000" w:rsidRDefault="00000000">
      <w:pPr>
        <w:pStyle w:val="BodyTextIndent2"/>
        <w:spacing w:after="120"/>
        <w:ind w:left="0" w:firstLine="0"/>
      </w:pPr>
      <w:r>
        <w:tab/>
        <w:t>A law of 26 June 1992 abolished the compensation (of 60 roubles a month) previously paid to employed citizens on the 18-month child-care leave.</w:t>
      </w:r>
    </w:p>
    <w:p w:rsidR="00000000" w:rsidRDefault="00000000">
      <w:pPr>
        <w:pStyle w:val="BodyTextIndent2"/>
        <w:spacing w:after="120"/>
        <w:ind w:left="0" w:firstLine="0"/>
      </w:pPr>
      <w:r>
        <w:tab/>
        <w:t>A law of 5 April 1999 abolished the leave with partial pay for purposes of child care.</w:t>
      </w:r>
    </w:p>
    <w:p w:rsidR="00000000" w:rsidRDefault="00000000">
      <w:pPr>
        <w:pStyle w:val="BodyTextIndent2"/>
        <w:keepNext/>
        <w:keepLines/>
        <w:spacing w:after="120"/>
        <w:ind w:left="0" w:firstLine="0"/>
      </w:pPr>
      <w:r>
        <w:tab/>
        <w:t>The Labour Code also provides for the following:</w:t>
      </w:r>
    </w:p>
    <w:p w:rsidR="00000000" w:rsidRDefault="00000000">
      <w:pPr>
        <w:pStyle w:val="BodyTextIndent2"/>
        <w:keepNext/>
        <w:keepLines/>
        <w:spacing w:after="120"/>
        <w:ind w:left="0" w:firstLine="0"/>
      </w:pPr>
      <w:r>
        <w:tab/>
        <w:t>In article 163: breaks for feeding a child, which are counted as working time and are paid at the average wage for women with children up to the age of 18 months;</w:t>
      </w:r>
    </w:p>
    <w:p w:rsidR="00000000" w:rsidRDefault="00000000">
      <w:pPr>
        <w:pStyle w:val="BodyTextIndent2"/>
        <w:spacing w:after="120"/>
        <w:ind w:left="0" w:firstLine="0"/>
      </w:pPr>
      <w:r>
        <w:tab/>
        <w:t>In article 166: the organization, in enterprises with many women workers, of day-care centres and kindergartens, breastfeeding rooms and rooms for women’s personal hygiene;</w:t>
      </w:r>
    </w:p>
    <w:p w:rsidR="00000000" w:rsidRDefault="00000000">
      <w:pPr>
        <w:pStyle w:val="BodyTextIndent2"/>
        <w:keepNext/>
        <w:keepLines/>
        <w:spacing w:after="120"/>
        <w:ind w:left="0" w:firstLine="0"/>
      </w:pPr>
      <w:r>
        <w:tab/>
        <w:t>In article 158: the possibility, for women with children under the age of 18 months who cannot carry out their former jobs, to transfer to another job while retaining the average pay of their former job until the child has reached the age of 18 months;</w:t>
      </w:r>
    </w:p>
    <w:p w:rsidR="00000000" w:rsidRDefault="00000000">
      <w:pPr>
        <w:pStyle w:val="BodyTextIndent2"/>
        <w:spacing w:after="120"/>
        <w:ind w:left="0" w:firstLine="0"/>
      </w:pPr>
      <w:r>
        <w:tab/>
        <w:t>In article 74: short-term leave without pay for workers requiring it on account of family circumstances.</w:t>
      </w:r>
    </w:p>
    <w:p w:rsidR="00000000" w:rsidRDefault="00000000">
      <w:pPr>
        <w:pStyle w:val="BodyTextIndent2"/>
        <w:spacing w:after="120"/>
        <w:ind w:left="0" w:firstLine="0"/>
      </w:pPr>
      <w:r>
        <w:tab/>
        <w:t>Kazakhstan’s tax legislation has required, since 1995, that social services related to the combination of family obligations with work responsibilities should be accounted as expenses which the enterprise may make only out of taxable profits.</w:t>
      </w:r>
    </w:p>
    <w:p w:rsidR="00000000" w:rsidRDefault="00000000">
      <w:pPr>
        <w:pStyle w:val="D12r"/>
      </w:pPr>
    </w:p>
    <w:p w:rsidR="00000000" w:rsidRDefault="00000000">
      <w:pPr>
        <w:pStyle w:val="BodyTextIndent2"/>
        <w:spacing w:after="120"/>
        <w:ind w:left="0" w:firstLine="0"/>
      </w:pPr>
      <w:r>
        <w:rPr>
          <w:b/>
        </w:rPr>
        <w:tab/>
        <w:t>(d)</w:t>
      </w:r>
      <w:r>
        <w:rPr>
          <w:b/>
        </w:rPr>
        <w:tab/>
        <w:t>To provide special protection to women during pregnancy in types of work proved to be harmful to them.</w:t>
      </w:r>
      <w:r>
        <w:t xml:space="preserve"> </w:t>
      </w:r>
    </w:p>
    <w:p w:rsidR="00000000" w:rsidRDefault="00000000">
      <w:pPr>
        <w:pStyle w:val="BodyTextIndent2"/>
        <w:spacing w:after="120"/>
        <w:ind w:left="0" w:firstLine="0"/>
      </w:pPr>
      <w:r>
        <w:tab/>
        <w:t>Under articles 47, 53 and 156 of the Labour Code of the Kazakh Soviet Socialist Republic, of 21 July 1972, pregnant women and women with children under the age of three may not be hired to do night work, overtime work or weekend and holiday work, nor may they be sent on business trips. (The hours between 10 p.m. and 6 a.m. are considered to be night-time hours.)</w:t>
      </w:r>
    </w:p>
    <w:p w:rsidR="00000000" w:rsidRDefault="00000000">
      <w:pPr>
        <w:pStyle w:val="BodyTextIndent2"/>
        <w:spacing w:after="120"/>
        <w:ind w:left="0" w:firstLine="0"/>
      </w:pPr>
      <w:r>
        <w:tab/>
        <w:t>On medical advice (article 158), productivity and service standards are lowered for pregnant women, or the women are transferred to easier jobs that do not involve exposure to unhealthy factors of production, while retaining the average pay of their former jobs.</w:t>
      </w:r>
    </w:p>
    <w:p w:rsidR="00000000" w:rsidRDefault="00000000">
      <w:pPr>
        <w:pStyle w:val="BodyTextIndent2"/>
        <w:spacing w:after="120"/>
        <w:ind w:left="0" w:firstLine="0"/>
      </w:pPr>
      <w:r>
        <w:tab/>
        <w:t>Under article 17 of the Labour Protection Act, adopted by the Supreme Council of the Republic of Kazakhstan on 22 January 1993, pregnant women may not perform jobs which would require them to lift and move heavy loads by hand.</w:t>
      </w:r>
    </w:p>
    <w:p w:rsidR="00000000" w:rsidRDefault="00000000">
      <w:pPr>
        <w:pStyle w:val="BodyTextIndent2"/>
        <w:spacing w:after="120"/>
        <w:ind w:left="0" w:firstLine="0"/>
      </w:pPr>
      <w:r>
        <w:tab/>
        <w:t>Under article 54 of the Law of 19 May 1997 on health care for citizens of the Republic of Kazakhstan, maternity is protected through optimal job placement for pregnant women and facilities for enabling them to follow medical advice, as well as the establishment of individual work schedules and part-time working hours.</w:t>
      </w:r>
    </w:p>
    <w:p w:rsidR="00000000" w:rsidRDefault="00000000">
      <w:pPr>
        <w:pStyle w:val="D12r"/>
      </w:pPr>
    </w:p>
    <w:p w:rsidR="00000000" w:rsidRDefault="00000000">
      <w:pPr>
        <w:pStyle w:val="BodyTextIndent2"/>
        <w:keepNext/>
        <w:keepLines/>
        <w:spacing w:after="120"/>
        <w:ind w:left="0" w:firstLine="0"/>
        <w:rPr>
          <w:b/>
        </w:rPr>
      </w:pPr>
      <w:r>
        <w:rPr>
          <w:b/>
        </w:rPr>
        <w:t>3.</w:t>
      </w:r>
      <w:r>
        <w:rPr>
          <w:b/>
        </w:rPr>
        <w:tab/>
        <w:t xml:space="preserve">Protective legislation relating to matters covered in this article shall be reviewed periodically in the light of scientific and technological knowledge and shall be revised, repealed or extended as necessary. </w:t>
      </w:r>
    </w:p>
    <w:p w:rsidR="00000000" w:rsidRDefault="00000000">
      <w:pPr>
        <w:pStyle w:val="BodyTextIndent2"/>
        <w:keepNext/>
        <w:keepLines/>
        <w:spacing w:after="120"/>
        <w:ind w:left="0" w:firstLine="0"/>
      </w:pPr>
      <w:r>
        <w:tab/>
        <w:t>The decision of the Government of Kazakhstan on basic guidelines for improving labour conditions and protection in certain branches of Kazakhstan’s economy for the period 1997-2000, adopted on 21 January 1997, provided for the preparation, in 1998, of a list of occupations, professions and jobs in which women should not be employed because they involved difficult and unhealthy working conditions, and, in 1999, of a complex hygienic, physiological and ergonomic assessment of the difficulty and intensity of women’s work and the establishment of the maximum allowable weight that can be lifted and moved by hand in the leading branches of the economy.</w:t>
      </w:r>
    </w:p>
    <w:p w:rsidR="00000000" w:rsidRDefault="00000000">
      <w:pPr>
        <w:pStyle w:val="D12r"/>
      </w:pPr>
    </w:p>
    <w:p w:rsidR="00000000" w:rsidRDefault="00000000">
      <w:pPr>
        <w:pStyle w:val="BodyTextIndent2"/>
        <w:spacing w:after="120"/>
        <w:ind w:left="0" w:firstLine="0"/>
        <w:rPr>
          <w:b/>
        </w:rPr>
      </w:pPr>
      <w:r>
        <w:rPr>
          <w:b/>
        </w:rPr>
        <w:tab/>
        <w:t>Article 12</w:t>
      </w:r>
    </w:p>
    <w:p w:rsidR="00000000" w:rsidRDefault="00000000">
      <w:pPr>
        <w:pStyle w:val="BodyTextIndent2"/>
        <w:spacing w:after="120"/>
        <w:ind w:left="0" w:firstLine="0"/>
      </w:pPr>
      <w:r>
        <w:rPr>
          <w:b/>
        </w:rPr>
        <w:t>1.</w:t>
      </w:r>
      <w:r>
        <w:rPr>
          <w:b/>
        </w:rPr>
        <w:tab/>
        <w:t xml:space="preserve">States Parties shall take all appropriate measures to eliminate discrimination against women in the field of health care in order to ensure, on the basis of equality of men and women, access to health services, including those relating to family planning. </w:t>
      </w:r>
    </w:p>
    <w:p w:rsidR="00000000" w:rsidRDefault="00000000">
      <w:pPr>
        <w:pStyle w:val="BodyTextIndent2"/>
        <w:spacing w:after="120"/>
        <w:ind w:left="0" w:firstLine="0"/>
      </w:pPr>
      <w:r>
        <w:t>117.</w:t>
      </w:r>
      <w:r>
        <w:tab/>
        <w:t>In certain regions of the country, especially in the south, there is inequality between men and women; family planning issues do not always depend on women.</w:t>
      </w:r>
    </w:p>
    <w:p w:rsidR="00000000" w:rsidRDefault="00000000">
      <w:pPr>
        <w:pStyle w:val="BodyTextIndent2"/>
        <w:spacing w:after="120"/>
        <w:ind w:left="0" w:firstLine="0"/>
      </w:pPr>
      <w:r>
        <w:tab/>
        <w:t>This results in deterioration in the health of women and children and a reduction in the birth rate, while the rate of complications during pregnancy and childbirth remains high and socially significant disease, particularly sexually transmitted diseases, are increasing rapidly.</w:t>
      </w:r>
    </w:p>
    <w:p w:rsidR="00000000" w:rsidRDefault="00000000">
      <w:pPr>
        <w:pStyle w:val="BodyTextIndent2"/>
        <w:spacing w:after="120"/>
        <w:ind w:left="0" w:firstLine="0"/>
      </w:pPr>
      <w:r>
        <w:tab/>
        <w:t>The widespread smoking of tobacco and the use of alcohol and narcotic drugs, particularly among young people, are a major factor in the deteriorating health of the population. About 60 per cent of men and 20 per cent of women in Kazakhstan are smokers, and about 70 per cent of men and 25 per cent of women drink alcohol. Serious concern has arisen concerning the national gene pool.</w:t>
      </w:r>
    </w:p>
    <w:p w:rsidR="00000000" w:rsidRDefault="00000000">
      <w:pPr>
        <w:pStyle w:val="BodyTextIndent2"/>
        <w:spacing w:after="120"/>
        <w:ind w:left="0" w:firstLine="0"/>
      </w:pPr>
      <w:r>
        <w:tab/>
        <w:t>The overall health indicator for women in the Republic is 20 per cent, whereas in the East Kazakhstan, Qyzylorda and South Kazakhstan regions it is 10 per cent or less.</w:t>
      </w:r>
    </w:p>
    <w:p w:rsidR="00000000" w:rsidRDefault="00000000">
      <w:pPr>
        <w:pStyle w:val="BodyTextIndent2"/>
        <w:spacing w:after="120"/>
        <w:ind w:left="0" w:firstLine="0"/>
      </w:pPr>
      <w:r>
        <w:tab/>
        <w:t>Seventy per cent of women in Kazakhstan suffer from anaemia; the figure for women in the South Kazakhstan region is 76 per cent, and for expectant mothers in the city of Almaty it is 63 per cent.</w:t>
      </w:r>
    </w:p>
    <w:p w:rsidR="00000000" w:rsidRDefault="00000000">
      <w:pPr>
        <w:pStyle w:val="BodyTextIndent2"/>
        <w:spacing w:after="120"/>
        <w:ind w:left="0" w:firstLine="0"/>
      </w:pPr>
      <w:r>
        <w:tab/>
        <w:t>It is disquieting to note that scientists are predicting a further deterioration in women’s health indicators in Kazakhstan in the immediate future. The basis of that forecast is the significant number of babies suffering from diseases at birth; according to data from the Scientific Centre for Paediatrics and Paediatric Surgery, the frequency of such conditions as diseases of the kidney and the endocrine system, and anaemia among children has doubled over the past 10 years.</w:t>
      </w:r>
    </w:p>
    <w:p w:rsidR="00000000" w:rsidRDefault="00000000">
      <w:pPr>
        <w:pStyle w:val="BodyTextIndent2"/>
        <w:spacing w:after="120"/>
        <w:ind w:left="0" w:firstLine="0"/>
      </w:pPr>
      <w:r>
        <w:tab/>
        <w:t>As the access of the population to health care in the Republic has deteriorated, a reform of public health provision has been put in Law.</w:t>
      </w:r>
    </w:p>
    <w:p w:rsidR="00000000" w:rsidRDefault="00000000">
      <w:pPr>
        <w:pStyle w:val="BodyTextIndent2"/>
        <w:spacing w:after="120"/>
        <w:ind w:left="0" w:firstLine="0"/>
      </w:pPr>
      <w:r>
        <w:t>118.</w:t>
      </w:r>
      <w:r>
        <w:tab/>
        <w:t>Article 29, paragraph 2 of the Constitution of 30 August 1995 entitles citizens to guaranteed free health care to the extent established by law.</w:t>
      </w:r>
    </w:p>
    <w:p w:rsidR="00000000" w:rsidRDefault="00000000">
      <w:pPr>
        <w:pStyle w:val="BodyTextIndent2"/>
        <w:spacing w:after="120"/>
        <w:ind w:left="0" w:firstLine="0"/>
      </w:pPr>
      <w:r>
        <w:tab/>
        <w:t>Article 4 of the Law on public health of 19 May 1997 guarantees that health care will be available free of charge within the limits ensured by the medical and sanitary, the medical and social, and the pharmaceutical services provided by State health-care organizations.</w:t>
      </w:r>
    </w:p>
    <w:p w:rsidR="00000000" w:rsidRDefault="00000000">
      <w:pPr>
        <w:pStyle w:val="BodyTextIndent2"/>
        <w:spacing w:after="120"/>
        <w:ind w:left="0" w:firstLine="0"/>
      </w:pPr>
      <w:r>
        <w:tab/>
        <w:t>At the same time, primary health care (art. 15, para. 3) is a fundamental, accessible and free medical service available to every citizen and includes: treatment for the most widespread diseases, cases of trauma, poisoning and other urgent situations, midwife aid, health promotion and epidemiological protection measures, prevention of major diseases, health education, activities in support of the family, motherhood, fatherhood and childhood, and other activities connected with the provision of medical services in the home.</w:t>
      </w:r>
    </w:p>
    <w:p w:rsidR="00000000" w:rsidRDefault="00000000">
      <w:pPr>
        <w:pStyle w:val="BodyTextIndent2"/>
        <w:spacing w:after="120"/>
        <w:ind w:left="0" w:firstLine="0"/>
      </w:pPr>
      <w:r>
        <w:tab/>
        <w:t>Emergency treatment (art. 15, para. 2) is provided without charge to adults and children in the case of life-threatening situations, accidents and acute and severe illness by special medical organizations forming part of the State health-care system.</w:t>
      </w:r>
    </w:p>
    <w:p w:rsidR="00000000" w:rsidRDefault="00000000">
      <w:pPr>
        <w:pStyle w:val="BodyTextIndent2"/>
        <w:spacing w:after="120"/>
        <w:ind w:left="0" w:firstLine="0"/>
      </w:pPr>
      <w:r>
        <w:tab/>
        <w:t>At the same time, home visits to patients to give first aid are guaranteed by law.</w:t>
      </w:r>
    </w:p>
    <w:p w:rsidR="00000000" w:rsidRDefault="00000000">
      <w:pPr>
        <w:pStyle w:val="BodyTextIndent2"/>
        <w:spacing w:after="120"/>
        <w:ind w:left="0" w:firstLine="0"/>
      </w:pPr>
      <w:r>
        <w:tab/>
        <w:t>The list of free medical services for the public is defined annually by a resolution of the Government in accordance with the annual Budget Act.</w:t>
      </w:r>
    </w:p>
    <w:p w:rsidR="00000000" w:rsidRDefault="00000000">
      <w:pPr>
        <w:pStyle w:val="BodyTextIndent2"/>
        <w:spacing w:after="120"/>
        <w:ind w:left="0" w:firstLine="0"/>
      </w:pPr>
      <w:r>
        <w:t>119.</w:t>
      </w:r>
      <w:r>
        <w:tab/>
        <w:t>The main emphasis of the health service in the Republic of Kazakhstan is on the provision of overall medical care for the population without reference to sex, social position or age. The reform of the health service is continuing, its ultimate objective being to raise the quality of the public medical services. A programme for the reduction of mortality among women during pregnancy and childbirth, the basic purpose of which is the optimization and sequencing of medical care, has been introduced in all regions. Women are entitled to a high level of physical and psychological health, and the state of health is determined by social, political and economic conditions. However, the majority of women in Kazakhstan do not assert this right. As a result of the reduction in expenditure on health care and the poorly thought out optimization of general medical facilities, there has been a deterioration in public medical services. In rural areas, there has been a sharp reduction in the number of primary health-care establishments, and as a result 1,200 auls (rural settlements) are without midwifery units, which used to be the main places where pregnant women and nursing mothers received primary health care. (Under the Government resolution of 26 April 1999, during the eight remaining months of that year 51 midwifery units were reinstated and 43 new midwifery units, 6 family outpatient units and 3 rural hospitals were reopened). In the past three years, the number of obstetric and gynaecological beds has fallen by one third. In certain regions, fees have begun to be charged (unofficially) for gynaecological services. At the present time, as a result of socio-economic problems that have arisen, women villagers are unable to obtain adequate food because of the cost of travel and sometimes, because of the lack of transport, are unable to report in good time at district and regional centres for examination and timely hospitalization.</w:t>
      </w:r>
    </w:p>
    <w:p w:rsidR="00000000" w:rsidRDefault="00000000">
      <w:pPr>
        <w:pStyle w:val="BodyTextIndent2"/>
        <w:spacing w:after="120"/>
        <w:ind w:left="0" w:firstLine="0"/>
      </w:pPr>
      <w:r>
        <w:t>120.</w:t>
      </w:r>
      <w:r>
        <w:tab/>
        <w:t>The high incidence of certain diseases is a serious problem for the State.</w:t>
      </w:r>
    </w:p>
    <w:p w:rsidR="00000000" w:rsidRDefault="00000000">
      <w:pPr>
        <w:pStyle w:val="BodyTextIndent2"/>
        <w:spacing w:after="120"/>
        <w:ind w:left="0" w:firstLine="0"/>
      </w:pPr>
      <w:r>
        <w:tab/>
        <w:t>Article 59 of the Law on public health of 19 May 1997 makes it obligatory for citizens suffering from tuberculosis, leprosy, AIDS, venereal diseases and quarantine infections to undergo screening and treatment if required to do so by medical organizations. If they refuse screening and treatment, citizens are treated on a compulsory basis.</w:t>
      </w:r>
    </w:p>
    <w:p w:rsidR="00000000" w:rsidRDefault="00000000">
      <w:pPr>
        <w:pStyle w:val="D12r"/>
      </w:pPr>
    </w:p>
    <w:p w:rsidR="00000000" w:rsidRDefault="00000000">
      <w:pPr>
        <w:pStyle w:val="DH2"/>
      </w:pPr>
      <w:r>
        <w:tab/>
        <w:t>Tuberculosis</w:t>
      </w:r>
    </w:p>
    <w:p w:rsidR="00000000" w:rsidRDefault="00000000">
      <w:pPr>
        <w:pStyle w:val="D12r"/>
        <w:keepNext/>
        <w:keepLines/>
      </w:pPr>
    </w:p>
    <w:p w:rsidR="00000000" w:rsidRDefault="00000000">
      <w:pPr>
        <w:pStyle w:val="BodyTextIndent2"/>
        <w:keepNext/>
        <w:keepLines/>
        <w:spacing w:after="120"/>
        <w:ind w:left="0" w:firstLine="0"/>
      </w:pPr>
      <w:r>
        <w:t>121.</w:t>
      </w:r>
      <w:r>
        <w:tab/>
        <w:t>The incidence of tuberculosis has reached epidemic proportions. For the period 1991 to 1997 the overall incidence of tuberculosis nationally increased by 41 per cent.</w:t>
      </w:r>
    </w:p>
    <w:p w:rsidR="00000000" w:rsidRDefault="00000000">
      <w:pPr>
        <w:pStyle w:val="BodyTextIndent2"/>
        <w:spacing w:after="120"/>
        <w:ind w:left="0" w:firstLine="0"/>
      </w:pPr>
      <w:r>
        <w:tab/>
        <w:t>Up to 14,500 new cases of active tuberculosis are recorded annually. At the end of 1998, there were 58,000 patients with active tuberculosis in TB clinics and institutions, including 13,000 with the contagious form of TB. About 208,000 people are suffering from the sequelae of tuberculosis.</w:t>
      </w:r>
    </w:p>
    <w:p w:rsidR="00000000" w:rsidRDefault="00000000">
      <w:pPr>
        <w:pStyle w:val="BodyTextIndent2"/>
        <w:spacing w:after="120"/>
        <w:ind w:left="0" w:firstLine="0"/>
      </w:pPr>
      <w:r>
        <w:tab/>
        <w:t>About 13,000 patients with active tuberculosis are in corrective labour institutions of the Ministry of Internal Affairs of Kazakhstan where 4,484 new cases of tuberculosis were reported in 1997. Incidence of the disease is 65 times higher among the “special contingent” [prisoners] than in the remainder of the population.</w:t>
      </w:r>
    </w:p>
    <w:p w:rsidR="00000000" w:rsidRDefault="00000000">
      <w:pPr>
        <w:pStyle w:val="BodyTextIndent2"/>
        <w:spacing w:after="120"/>
        <w:ind w:left="0" w:firstLine="0"/>
      </w:pPr>
      <w:r>
        <w:tab/>
        <w:t>In 1997 there were 5,948 deaths from tuberculosis in Kazakhstan, including 1,358 in corrective labour institutions of the Ministry of Internal Affairs.</w:t>
      </w:r>
    </w:p>
    <w:p w:rsidR="00000000" w:rsidRDefault="00000000">
      <w:pPr>
        <w:pStyle w:val="BodyTextIndent2"/>
        <w:spacing w:after="120"/>
        <w:ind w:left="0" w:firstLine="0"/>
      </w:pPr>
      <w:r>
        <w:tab/>
        <w:t>Analysis of the current situation shows that in Kazakhstan, as in other countries of the world, the spread of tuberculosis depends on social and economic factors, regional environmental conditions and the scale and quality of therapeutic care provided to the population. The availability and quality of medical care for tuberculosis patients has deteriorated in recent years and the therapeutic and preventive measures to combat the disease have proved ineffective.</w:t>
      </w:r>
    </w:p>
    <w:p w:rsidR="00000000" w:rsidRDefault="00000000">
      <w:pPr>
        <w:pStyle w:val="BodyTextIndent2"/>
        <w:spacing w:after="120"/>
        <w:ind w:left="0" w:firstLine="0"/>
      </w:pPr>
      <w:r>
        <w:tab/>
        <w:t>In this connection, on 4 September 1998, the Government adopted a special resolution on urgent measures to protect the population of the Republic of Kazakhstan from tuberculosis.</w:t>
      </w:r>
    </w:p>
    <w:p w:rsidR="00000000" w:rsidRDefault="00000000">
      <w:pPr>
        <w:pStyle w:val="D12r"/>
      </w:pPr>
    </w:p>
    <w:p w:rsidR="00000000" w:rsidRDefault="00000000">
      <w:pPr>
        <w:pStyle w:val="DH2"/>
      </w:pPr>
      <w:r>
        <w:tab/>
        <w:t>AIDS</w:t>
      </w:r>
    </w:p>
    <w:p w:rsidR="00000000" w:rsidRDefault="00000000">
      <w:pPr>
        <w:pStyle w:val="D12r"/>
      </w:pPr>
    </w:p>
    <w:p w:rsidR="00000000" w:rsidRDefault="00000000">
      <w:pPr>
        <w:pStyle w:val="BodyTextIndent2"/>
        <w:spacing w:after="120"/>
        <w:ind w:left="0" w:firstLine="0"/>
      </w:pPr>
      <w:r>
        <w:t>122.</w:t>
      </w:r>
      <w:r>
        <w:tab/>
        <w:t>The level of HIV infection has become a serious threat in Kazakhstan; as at 1 June 1999, there had been 919 cases and 59 people had died of AIDS.</w:t>
      </w:r>
    </w:p>
    <w:p w:rsidR="00000000" w:rsidRDefault="00000000">
      <w:pPr>
        <w:pStyle w:val="BodyTextIndent2"/>
        <w:spacing w:after="120"/>
        <w:ind w:left="0" w:firstLine="0"/>
      </w:pPr>
      <w:r>
        <w:tab/>
        <w:t>The growth in the number of cases of HIV infection in the period 1996-1998 (48 cases in 1996, 437 cases in 1997, 299 in 1998 and 85 cases in the first five months of 1999) is related to the outbreak in Temirtau where, according to official statistics, 3,000 of the 32,000 young people aged between 15 and 22 years are intravenous drug users.</w:t>
      </w:r>
    </w:p>
    <w:p w:rsidR="00000000" w:rsidRDefault="00000000">
      <w:pPr>
        <w:pStyle w:val="BodyTextIndent2"/>
        <w:spacing w:after="120"/>
        <w:ind w:left="0" w:firstLine="0"/>
      </w:pPr>
      <w:r>
        <w:tab/>
        <w:t>Since 1996, parietal infection (through the blood) has been the main means of transmission, particularly among drug addicts who accounted for 89 per cent of cases. Seven per cent of cases were sexually transmitted, about 0.2 per cent were cases of transmission from mother to child and in 4 per cent of cases the means of transmission was not identified.</w:t>
      </w:r>
    </w:p>
    <w:p w:rsidR="00000000" w:rsidRDefault="00000000">
      <w:pPr>
        <w:pStyle w:val="BodyTextIndent2"/>
        <w:spacing w:after="120"/>
        <w:ind w:left="0" w:firstLine="0"/>
      </w:pPr>
      <w:r>
        <w:tab/>
        <w:t>The predicted number of cases in 2000 is more than 10,000.</w:t>
      </w:r>
    </w:p>
    <w:p w:rsidR="00000000" w:rsidRDefault="00000000">
      <w:pPr>
        <w:pStyle w:val="BodyTextIndent2"/>
        <w:spacing w:after="120"/>
        <w:ind w:left="0" w:firstLine="0"/>
      </w:pPr>
      <w:r>
        <w:tab/>
        <w:t>As part of the programme entitled “Health of the Nation” the Government planned to take measures on AIDS prevention in 1998.</w:t>
      </w:r>
    </w:p>
    <w:p w:rsidR="00000000" w:rsidRDefault="00000000">
      <w:pPr>
        <w:pStyle w:val="BodyTextIndent2"/>
        <w:spacing w:after="120"/>
        <w:ind w:left="0" w:firstLine="0"/>
      </w:pPr>
      <w:r>
        <w:tab/>
        <w:t>The Law on prevention of AIDS of 5 October 1994 entitles everyone in the territory of Kazakhstan to have an anonymous HIV test. Where there is sufficient justification (art. 6) citizens of the Republic of Kazakhstan, foreigners and stateless persons are obliged to have a medical examination.</w:t>
      </w:r>
    </w:p>
    <w:p w:rsidR="00000000" w:rsidRDefault="00000000">
      <w:pPr>
        <w:pStyle w:val="BodyTextIndent2"/>
        <w:spacing w:after="120"/>
        <w:ind w:left="0" w:firstLine="0"/>
      </w:pPr>
      <w:r>
        <w:tab/>
        <w:t>Citizens of Kazakhstan and stateless persons (art. 7) are entitled to treatment free of charge in the event of HIV infection.</w:t>
      </w:r>
    </w:p>
    <w:p w:rsidR="00000000" w:rsidRDefault="00000000">
      <w:pPr>
        <w:pStyle w:val="BodyTextIndent2"/>
        <w:spacing w:after="120"/>
        <w:ind w:left="0" w:firstLine="0"/>
      </w:pPr>
      <w:r>
        <w:tab/>
        <w:t>Persons infected with HIV or suffering from AIDS may not be dismissed from their employment, be refused employment, be refused admission to educational establishments or have other rights infringed.</w:t>
      </w:r>
    </w:p>
    <w:p w:rsidR="00000000" w:rsidRDefault="00000000">
      <w:pPr>
        <w:pStyle w:val="D12r"/>
      </w:pPr>
    </w:p>
    <w:p w:rsidR="00000000" w:rsidRDefault="00000000">
      <w:pPr>
        <w:pStyle w:val="DH2"/>
      </w:pPr>
      <w:r>
        <w:tab/>
        <w:t>Venereal diseases</w:t>
      </w:r>
    </w:p>
    <w:p w:rsidR="00000000" w:rsidRDefault="00000000">
      <w:pPr>
        <w:pStyle w:val="D12r"/>
      </w:pPr>
    </w:p>
    <w:p w:rsidR="00000000" w:rsidRDefault="00000000">
      <w:pPr>
        <w:pStyle w:val="BodyTextIndent2"/>
        <w:spacing w:after="120"/>
        <w:ind w:left="0" w:firstLine="0"/>
      </w:pPr>
      <w:r>
        <w:t>123.</w:t>
      </w:r>
      <w:r>
        <w:tab/>
        <w:t xml:space="preserve">Sexually transmitted diseases have a major impact on reproductive health. In 1998 the number of recorded cases per 100,000 members of the population was 231.4 for syphilis and 81.9 for gonorrhoea. </w:t>
      </w:r>
    </w:p>
    <w:p w:rsidR="00000000" w:rsidRDefault="00000000">
      <w:pPr>
        <w:pStyle w:val="D12r"/>
      </w:pPr>
    </w:p>
    <w:p w:rsidR="00000000" w:rsidRDefault="00000000">
      <w:pPr>
        <w:pStyle w:val="BodyTextIndent2"/>
        <w:spacing w:after="120"/>
        <w:ind w:left="0" w:firstLine="0"/>
        <w:rPr>
          <w:b/>
        </w:rPr>
      </w:pPr>
      <w:r>
        <w:rPr>
          <w:b/>
        </w:rPr>
        <w:t>2.</w:t>
      </w:r>
      <w:r>
        <w:rPr>
          <w:b/>
        </w:rPr>
        <w:tab/>
        <w:t>Notwithstanding the provisions of paragraph 1 of this article, States Parties shall ensure to women appropriate services in connection with pregnancy, confinement and the postnatal period, granting free services where necessary, as well as adequate nutrition during pregnancy and lactation.</w:t>
      </w:r>
    </w:p>
    <w:p w:rsidR="00000000" w:rsidRDefault="00000000">
      <w:pPr>
        <w:pStyle w:val="BodyTextIndent2"/>
        <w:spacing w:after="120"/>
        <w:ind w:left="0" w:firstLine="0"/>
      </w:pPr>
      <w:r>
        <w:t>124.</w:t>
      </w:r>
      <w:r>
        <w:tab/>
        <w:t>See paragraph 1 of the commentary to article 12.</w:t>
      </w:r>
    </w:p>
    <w:p w:rsidR="00000000" w:rsidRDefault="00000000">
      <w:pPr>
        <w:pStyle w:val="BodyTextIndent2"/>
        <w:spacing w:after="120"/>
        <w:ind w:left="0" w:firstLine="0"/>
      </w:pPr>
      <w:r>
        <w:t>125.</w:t>
      </w:r>
      <w:r>
        <w:tab/>
        <w:t>According to article 54, paragraph 1, of the Law on public health of 19 May 1997, women are entitled to decide for themselves the issue of motherhood. For the protection of women’s health, other methods of preventing unwanted pregnancies may be used.</w:t>
      </w:r>
    </w:p>
    <w:p w:rsidR="00000000" w:rsidRDefault="00000000">
      <w:pPr>
        <w:pStyle w:val="BodyTextIndent2"/>
        <w:spacing w:after="120"/>
        <w:ind w:left="0" w:firstLine="0"/>
      </w:pPr>
      <w:r>
        <w:tab/>
        <w:t>This article is in conflict with the Law on marriage and the family of 17 December 1998 which provides (in art. 29) that questions of motherhood and fatherhood shall be decided jointly by the married couple.</w:t>
      </w:r>
    </w:p>
    <w:p w:rsidR="00000000" w:rsidRDefault="00000000">
      <w:pPr>
        <w:pStyle w:val="BodyTextIndent2"/>
        <w:spacing w:after="120"/>
        <w:ind w:left="0" w:firstLine="0"/>
      </w:pPr>
      <w:r>
        <w:rPr>
          <w:noProof/>
          <w:w w:val="100"/>
        </w:rPr>
        <w:pict>
          <v:shape id="_x0000_s2082" type="#_x0000_t202" style="position:absolute;left:0;text-align:left;margin-left:247pt;margin-top:-34.1pt;width:251.6pt;height:220.55pt;z-index:18;mso-position-horizontal:absolute;mso-position-horizontal-relative:text;mso-position-vertical:absolute;mso-position-vertical-relative:text" o:allowincell="f" stroked="f">
            <v:textbox>
              <w:txbxContent>
                <w:p w:rsidR="00000000" w:rsidRDefault="00000000">
                  <w:pPr>
                    <w:pStyle w:val="DualTxt"/>
                    <w:tabs>
                      <w:tab w:val="clear" w:pos="480"/>
                      <w:tab w:val="clear" w:pos="960"/>
                      <w:tab w:val="clear" w:pos="1440"/>
                      <w:tab w:val="clear" w:pos="1915"/>
                      <w:tab w:val="clear" w:pos="2405"/>
                      <w:tab w:val="clear" w:pos="2880"/>
                      <w:tab w:val="clear" w:pos="3355"/>
                      <w:tab w:val="left" w:pos="477"/>
                    </w:tabs>
                    <w:spacing w:after="0"/>
                  </w:pPr>
                  <w:r>
                    <w:tab/>
                    <w:t>Lack of knowledge about methods and means of contraception, the restricted use that is made of them for a number of reasons, including economic ones, and the earlier onset of puberty increase the risk of pregnancy and lead to a rise in the number of abortions among adolescents, which constitute up to 10 per cent of all abortions performed. Programmes on modern methods of contraception and family planning are more common in towns than in rural areas where the availability of contraceptives is restricted. In 1998, only 1.5 million women were provided with contraceptives, which was no more than 27 per cent of those who needed them. Fewer than 40 per cent of women between the ages of 15 and 24 use modern methods of family planning. More than half the abortions are in this age group.</w:t>
                  </w:r>
                </w:p>
              </w:txbxContent>
            </v:textbox>
          </v:shape>
        </w:pict>
      </w:r>
      <w:r>
        <w:tab/>
        <w:t>Article 54 is now the only legislative norm regulating the right to the interruption of pregnancy. Together with article 117 of the Criminal Code (illegal abortion), in force from 1 January 1998, without any qualification as to the elements of the crime, the Law prohibits the interruption of pregnancy except on medical grounds. In practice, this norm is not applied but its very existence is a matter of serious concern for a number of women’s NGOs that are in favour of the freedom of reproductive rights for both women and men.</w:t>
      </w:r>
    </w:p>
    <w:p w:rsidR="00000000" w:rsidRDefault="00000000">
      <w:pPr>
        <w:pStyle w:val="BodyTextIndent2"/>
        <w:spacing w:after="120"/>
        <w:ind w:left="0" w:firstLine="0"/>
      </w:pPr>
      <w:r>
        <w:t>126.</w:t>
      </w:r>
      <w:r>
        <w:tab/>
        <w:t>Generally speaking, abortions are a pressing problem for Kazakhstan. Although during the past eight years their number has almost halved, abortions remain one of the main causes of maternal mortality. In 1998, about 150,000 were registered.</w:t>
      </w:r>
    </w:p>
    <w:p w:rsidR="00000000" w:rsidRDefault="00000000">
      <w:pPr>
        <w:pStyle w:val="BodyTextIndent2"/>
        <w:spacing w:after="120"/>
        <w:ind w:left="0" w:firstLine="0"/>
        <w:sectPr w:rsidR="00000000">
          <w:type w:val="continuous"/>
          <w:pgSz w:w="12240" w:h="15840"/>
          <w:pgMar w:top="1742" w:right="1195" w:bottom="1901" w:left="1195" w:header="576" w:footer="1037" w:gutter="0"/>
          <w:cols w:num="2" w:space="245"/>
          <w:docGrid w:linePitch="360"/>
        </w:sectPr>
      </w:pPr>
    </w:p>
    <w:p w:rsidR="00000000" w:rsidRDefault="00000000">
      <w:pPr>
        <w:pStyle w:val="BodyTextIndent2"/>
        <w:ind w:left="0" w:firstLine="0"/>
      </w:pPr>
    </w:p>
    <w:p w:rsidR="00000000" w:rsidRDefault="00000000">
      <w:pPr>
        <w:pStyle w:val="D12r"/>
      </w:pPr>
    </w:p>
    <w:p w:rsidR="00000000" w:rsidRDefault="00000000">
      <w:pPr>
        <w:pStyle w:val="BodyTextIndent2"/>
        <w:ind w:left="0" w:firstLine="0"/>
      </w:pPr>
      <w:r>
        <w:tab/>
        <w:t>Table 32</w:t>
      </w:r>
    </w:p>
    <w:p w:rsidR="00000000" w:rsidRDefault="00000000">
      <w:pPr>
        <w:pStyle w:val="BodyTextIndent2"/>
        <w:spacing w:after="120"/>
        <w:ind w:left="0" w:firstLine="0"/>
        <w:rPr>
          <w:b/>
        </w:rPr>
      </w:pPr>
      <w:r>
        <w:rPr>
          <w:b/>
        </w:rPr>
        <w:tab/>
        <w:t>Registered abortions and use of contraceptives</w:t>
      </w:r>
    </w:p>
    <w:p w:rsidR="00000000" w:rsidRDefault="00000000">
      <w:pPr>
        <w:pStyle w:val="D12r"/>
      </w:pPr>
    </w:p>
    <w:tbl>
      <w:tblPr>
        <w:tblW w:w="0" w:type="auto"/>
        <w:tblInd w:w="479" w:type="dxa"/>
        <w:tblLayout w:type="fixed"/>
        <w:tblLook w:val="0000" w:firstRow="0" w:lastRow="0" w:firstColumn="0" w:lastColumn="0" w:noHBand="0" w:noVBand="0"/>
      </w:tblPr>
      <w:tblGrid>
        <w:gridCol w:w="2133"/>
        <w:gridCol w:w="2314"/>
        <w:gridCol w:w="2006"/>
        <w:gridCol w:w="1980"/>
      </w:tblGrid>
      <w:tr w:rsidR="00000000">
        <w:tblPrEx>
          <w:tblCellMar>
            <w:top w:w="0" w:type="dxa"/>
            <w:bottom w:w="0" w:type="dxa"/>
          </w:tblCellMar>
        </w:tblPrEx>
        <w:trPr>
          <w:cantSplit/>
        </w:trPr>
        <w:tc>
          <w:tcPr>
            <w:tcW w:w="2133" w:type="dxa"/>
            <w:tcBorders>
              <w:top w:val="single" w:sz="4" w:space="0" w:color="auto"/>
            </w:tcBorders>
          </w:tcPr>
          <w:p w:rsidR="00000000" w:rsidRDefault="00000000">
            <w:pPr>
              <w:pStyle w:val="BodyTextIndent2"/>
              <w:spacing w:after="120"/>
              <w:ind w:left="0" w:firstLine="0"/>
              <w:jc w:val="left"/>
              <w:rPr>
                <w:i/>
                <w:sz w:val="14"/>
              </w:rPr>
            </w:pPr>
          </w:p>
        </w:tc>
        <w:tc>
          <w:tcPr>
            <w:tcW w:w="4320" w:type="dxa"/>
            <w:gridSpan w:val="2"/>
            <w:tcBorders>
              <w:top w:val="single" w:sz="4" w:space="0" w:color="auto"/>
              <w:bottom w:val="single" w:sz="4" w:space="0" w:color="auto"/>
            </w:tcBorders>
          </w:tcPr>
          <w:p w:rsidR="00000000" w:rsidRDefault="00000000">
            <w:pPr>
              <w:pStyle w:val="BodyTextIndent2"/>
              <w:spacing w:after="120"/>
              <w:ind w:left="0" w:firstLine="0"/>
              <w:jc w:val="center"/>
              <w:rPr>
                <w:i/>
                <w:sz w:val="14"/>
              </w:rPr>
            </w:pPr>
            <w:r>
              <w:rPr>
                <w:i/>
                <w:sz w:val="14"/>
              </w:rPr>
              <w:t>Registered abortions, including mini-abortions</w:t>
            </w:r>
          </w:p>
        </w:tc>
        <w:tc>
          <w:tcPr>
            <w:tcW w:w="1980" w:type="dxa"/>
            <w:tcBorders>
              <w:top w:val="single" w:sz="4" w:space="0" w:color="auto"/>
            </w:tcBorders>
          </w:tcPr>
          <w:p w:rsidR="00000000" w:rsidRDefault="00000000">
            <w:pPr>
              <w:pStyle w:val="BodyTextIndent2"/>
              <w:spacing w:after="120"/>
              <w:ind w:left="0" w:firstLine="0"/>
              <w:jc w:val="right"/>
              <w:rPr>
                <w:i/>
                <w:sz w:val="14"/>
              </w:rPr>
            </w:pPr>
          </w:p>
        </w:tc>
      </w:tr>
      <w:tr w:rsidR="00000000">
        <w:tblPrEx>
          <w:tblCellMar>
            <w:top w:w="0" w:type="dxa"/>
            <w:bottom w:w="0" w:type="dxa"/>
          </w:tblCellMar>
        </w:tblPrEx>
        <w:tc>
          <w:tcPr>
            <w:tcW w:w="2133" w:type="dxa"/>
            <w:tcBorders>
              <w:bottom w:val="single" w:sz="12" w:space="0" w:color="auto"/>
            </w:tcBorders>
          </w:tcPr>
          <w:p w:rsidR="00000000" w:rsidRDefault="00000000">
            <w:pPr>
              <w:pStyle w:val="BodyTextIndent2"/>
              <w:spacing w:after="120"/>
              <w:ind w:left="0" w:firstLine="0"/>
              <w:jc w:val="left"/>
              <w:rPr>
                <w:i/>
                <w:sz w:val="14"/>
              </w:rPr>
            </w:pPr>
          </w:p>
        </w:tc>
        <w:tc>
          <w:tcPr>
            <w:tcW w:w="2314"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Total</w:t>
            </w:r>
          </w:p>
        </w:tc>
        <w:tc>
          <w:tcPr>
            <w:tcW w:w="2006"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Per 100 live and stillbirths</w:t>
            </w:r>
          </w:p>
        </w:tc>
        <w:tc>
          <w:tcPr>
            <w:tcW w:w="1980" w:type="dxa"/>
            <w:tcBorders>
              <w:bottom w:val="single" w:sz="12" w:space="0" w:color="auto"/>
            </w:tcBorders>
          </w:tcPr>
          <w:p w:rsidR="00000000" w:rsidRDefault="00000000">
            <w:pPr>
              <w:pStyle w:val="BodyTextIndent2"/>
              <w:spacing w:after="120"/>
              <w:ind w:left="0" w:firstLine="0"/>
              <w:jc w:val="right"/>
              <w:rPr>
                <w:i/>
                <w:sz w:val="14"/>
              </w:rPr>
            </w:pPr>
            <w:r>
              <w:rPr>
                <w:i/>
                <w:sz w:val="14"/>
              </w:rPr>
              <w:t>Number of women using contraceptives</w:t>
            </w:r>
          </w:p>
        </w:tc>
      </w:tr>
      <w:tr w:rsidR="00000000">
        <w:tblPrEx>
          <w:tblCellMar>
            <w:top w:w="0" w:type="dxa"/>
            <w:bottom w:w="0" w:type="dxa"/>
          </w:tblCellMar>
        </w:tblPrEx>
        <w:tc>
          <w:tcPr>
            <w:tcW w:w="2133" w:type="dxa"/>
            <w:tcBorders>
              <w:top w:val="single" w:sz="12" w:space="0" w:color="auto"/>
            </w:tcBorders>
          </w:tcPr>
          <w:p w:rsidR="00000000" w:rsidRDefault="00000000">
            <w:pPr>
              <w:pStyle w:val="BodyTextIndent2"/>
              <w:spacing w:after="120"/>
              <w:ind w:left="0" w:firstLine="0"/>
              <w:jc w:val="left"/>
              <w:rPr>
                <w:sz w:val="17"/>
              </w:rPr>
            </w:pPr>
            <w:r>
              <w:rPr>
                <w:sz w:val="17"/>
              </w:rPr>
              <w:t>1990</w:t>
            </w:r>
          </w:p>
        </w:tc>
        <w:tc>
          <w:tcPr>
            <w:tcW w:w="2314" w:type="dxa"/>
            <w:tcBorders>
              <w:top w:val="single" w:sz="12" w:space="0" w:color="auto"/>
            </w:tcBorders>
          </w:tcPr>
          <w:p w:rsidR="00000000" w:rsidRDefault="00000000">
            <w:pPr>
              <w:pStyle w:val="BodyTextIndent2"/>
              <w:spacing w:after="120"/>
              <w:ind w:left="0" w:firstLine="0"/>
              <w:jc w:val="right"/>
              <w:rPr>
                <w:sz w:val="17"/>
              </w:rPr>
            </w:pPr>
            <w:r>
              <w:rPr>
                <w:sz w:val="17"/>
              </w:rPr>
              <w:t>278 333</w:t>
            </w:r>
          </w:p>
        </w:tc>
        <w:tc>
          <w:tcPr>
            <w:tcW w:w="2006" w:type="dxa"/>
            <w:tcBorders>
              <w:top w:val="single" w:sz="12" w:space="0" w:color="auto"/>
            </w:tcBorders>
          </w:tcPr>
          <w:p w:rsidR="00000000" w:rsidRDefault="00000000">
            <w:pPr>
              <w:pStyle w:val="BodyTextIndent2"/>
              <w:spacing w:after="120"/>
              <w:ind w:left="0" w:firstLine="0"/>
              <w:jc w:val="right"/>
              <w:rPr>
                <w:sz w:val="17"/>
              </w:rPr>
            </w:pPr>
            <w:r>
              <w:rPr>
                <w:sz w:val="17"/>
              </w:rPr>
              <w:t>71.9</w:t>
            </w:r>
          </w:p>
        </w:tc>
        <w:tc>
          <w:tcPr>
            <w:tcW w:w="1980" w:type="dxa"/>
            <w:tcBorders>
              <w:top w:val="single" w:sz="12" w:space="0" w:color="auto"/>
            </w:tcBorders>
          </w:tcPr>
          <w:p w:rsidR="00000000" w:rsidRDefault="00000000">
            <w:pPr>
              <w:pStyle w:val="BodyTextIndent2"/>
              <w:spacing w:after="120"/>
              <w:ind w:left="0" w:firstLine="0"/>
              <w:jc w:val="right"/>
              <w:rPr>
                <w:sz w:val="17"/>
              </w:rPr>
            </w:pPr>
            <w:r>
              <w:rPr>
                <w:sz w:val="17"/>
              </w:rPr>
              <w:t>1 062 211</w:t>
            </w:r>
          </w:p>
        </w:tc>
      </w:tr>
      <w:tr w:rsidR="00000000">
        <w:tblPrEx>
          <w:tblCellMar>
            <w:top w:w="0" w:type="dxa"/>
            <w:bottom w:w="0" w:type="dxa"/>
          </w:tblCellMar>
        </w:tblPrEx>
        <w:tc>
          <w:tcPr>
            <w:tcW w:w="2133" w:type="dxa"/>
          </w:tcPr>
          <w:p w:rsidR="00000000" w:rsidRDefault="00000000">
            <w:pPr>
              <w:pStyle w:val="BodyTextIndent2"/>
              <w:spacing w:after="120"/>
              <w:ind w:left="0" w:firstLine="0"/>
              <w:jc w:val="left"/>
              <w:rPr>
                <w:sz w:val="17"/>
              </w:rPr>
            </w:pPr>
            <w:r>
              <w:rPr>
                <w:sz w:val="17"/>
              </w:rPr>
              <w:t>1991</w:t>
            </w:r>
          </w:p>
        </w:tc>
        <w:tc>
          <w:tcPr>
            <w:tcW w:w="2314" w:type="dxa"/>
          </w:tcPr>
          <w:p w:rsidR="00000000" w:rsidRDefault="00000000">
            <w:pPr>
              <w:pStyle w:val="BodyTextIndent2"/>
              <w:spacing w:after="120"/>
              <w:ind w:left="0" w:firstLine="0"/>
              <w:jc w:val="right"/>
              <w:rPr>
                <w:sz w:val="17"/>
              </w:rPr>
            </w:pPr>
            <w:r>
              <w:rPr>
                <w:sz w:val="17"/>
              </w:rPr>
              <w:t>358 484</w:t>
            </w:r>
          </w:p>
        </w:tc>
        <w:tc>
          <w:tcPr>
            <w:tcW w:w="2006" w:type="dxa"/>
          </w:tcPr>
          <w:p w:rsidR="00000000" w:rsidRDefault="00000000">
            <w:pPr>
              <w:pStyle w:val="BodyTextIndent2"/>
              <w:spacing w:after="120"/>
              <w:ind w:left="0" w:firstLine="0"/>
              <w:jc w:val="right"/>
              <w:rPr>
                <w:sz w:val="17"/>
              </w:rPr>
            </w:pPr>
            <w:r>
              <w:rPr>
                <w:sz w:val="17"/>
              </w:rPr>
              <w:t>76.7</w:t>
            </w:r>
          </w:p>
        </w:tc>
        <w:tc>
          <w:tcPr>
            <w:tcW w:w="1980" w:type="dxa"/>
          </w:tcPr>
          <w:p w:rsidR="00000000" w:rsidRDefault="00000000">
            <w:pPr>
              <w:pStyle w:val="BodyTextIndent2"/>
              <w:spacing w:after="120"/>
              <w:ind w:left="0" w:firstLine="0"/>
              <w:jc w:val="right"/>
              <w:rPr>
                <w:sz w:val="17"/>
              </w:rPr>
            </w:pPr>
            <w:r>
              <w:rPr>
                <w:sz w:val="17"/>
              </w:rPr>
              <w:t>1 119 461</w:t>
            </w:r>
          </w:p>
        </w:tc>
      </w:tr>
      <w:tr w:rsidR="00000000">
        <w:tblPrEx>
          <w:tblCellMar>
            <w:top w:w="0" w:type="dxa"/>
            <w:bottom w:w="0" w:type="dxa"/>
          </w:tblCellMar>
        </w:tblPrEx>
        <w:tc>
          <w:tcPr>
            <w:tcW w:w="2133" w:type="dxa"/>
          </w:tcPr>
          <w:p w:rsidR="00000000" w:rsidRDefault="00000000">
            <w:pPr>
              <w:pStyle w:val="BodyTextIndent2"/>
              <w:spacing w:after="120"/>
              <w:ind w:left="0" w:firstLine="0"/>
              <w:jc w:val="left"/>
              <w:rPr>
                <w:sz w:val="17"/>
              </w:rPr>
            </w:pPr>
            <w:r>
              <w:rPr>
                <w:sz w:val="17"/>
              </w:rPr>
              <w:t>1992</w:t>
            </w:r>
          </w:p>
        </w:tc>
        <w:tc>
          <w:tcPr>
            <w:tcW w:w="2314" w:type="dxa"/>
          </w:tcPr>
          <w:p w:rsidR="00000000" w:rsidRDefault="00000000">
            <w:pPr>
              <w:pStyle w:val="BodyTextIndent2"/>
              <w:spacing w:after="120"/>
              <w:ind w:left="0" w:firstLine="0"/>
              <w:jc w:val="right"/>
              <w:rPr>
                <w:sz w:val="17"/>
              </w:rPr>
            </w:pPr>
            <w:r>
              <w:rPr>
                <w:sz w:val="17"/>
              </w:rPr>
              <w:t>346 405</w:t>
            </w:r>
          </w:p>
        </w:tc>
        <w:tc>
          <w:tcPr>
            <w:tcW w:w="2006" w:type="dxa"/>
          </w:tcPr>
          <w:p w:rsidR="00000000" w:rsidRDefault="00000000">
            <w:pPr>
              <w:pStyle w:val="BodyTextIndent2"/>
              <w:spacing w:after="120"/>
              <w:ind w:left="0" w:firstLine="0"/>
              <w:jc w:val="right"/>
              <w:rPr>
                <w:sz w:val="17"/>
              </w:rPr>
            </w:pPr>
            <w:r>
              <w:rPr>
                <w:sz w:val="17"/>
              </w:rPr>
              <w:t>103.8</w:t>
            </w:r>
          </w:p>
        </w:tc>
        <w:tc>
          <w:tcPr>
            <w:tcW w:w="1980" w:type="dxa"/>
          </w:tcPr>
          <w:p w:rsidR="00000000" w:rsidRDefault="00000000">
            <w:pPr>
              <w:pStyle w:val="BodyTextIndent2"/>
              <w:spacing w:after="120"/>
              <w:ind w:left="0" w:firstLine="0"/>
              <w:jc w:val="right"/>
              <w:rPr>
                <w:sz w:val="17"/>
              </w:rPr>
            </w:pPr>
            <w:r>
              <w:rPr>
                <w:sz w:val="17"/>
              </w:rPr>
              <w:t>1 188 188</w:t>
            </w:r>
          </w:p>
        </w:tc>
      </w:tr>
      <w:tr w:rsidR="00000000">
        <w:tblPrEx>
          <w:tblCellMar>
            <w:top w:w="0" w:type="dxa"/>
            <w:bottom w:w="0" w:type="dxa"/>
          </w:tblCellMar>
        </w:tblPrEx>
        <w:tc>
          <w:tcPr>
            <w:tcW w:w="2133" w:type="dxa"/>
          </w:tcPr>
          <w:p w:rsidR="00000000" w:rsidRDefault="00000000">
            <w:pPr>
              <w:pStyle w:val="BodyTextIndent2"/>
              <w:spacing w:after="120"/>
              <w:ind w:left="0" w:firstLine="0"/>
              <w:jc w:val="left"/>
              <w:rPr>
                <w:sz w:val="17"/>
              </w:rPr>
            </w:pPr>
            <w:r>
              <w:rPr>
                <w:sz w:val="17"/>
              </w:rPr>
              <w:t>1993</w:t>
            </w:r>
          </w:p>
        </w:tc>
        <w:tc>
          <w:tcPr>
            <w:tcW w:w="2314" w:type="dxa"/>
          </w:tcPr>
          <w:p w:rsidR="00000000" w:rsidRDefault="00000000">
            <w:pPr>
              <w:pStyle w:val="BodyTextIndent2"/>
              <w:spacing w:after="120"/>
              <w:ind w:left="0" w:firstLine="0"/>
              <w:jc w:val="right"/>
              <w:rPr>
                <w:sz w:val="17"/>
              </w:rPr>
            </w:pPr>
            <w:r>
              <w:rPr>
                <w:sz w:val="17"/>
              </w:rPr>
              <w:t>290 703</w:t>
            </w:r>
          </w:p>
        </w:tc>
        <w:tc>
          <w:tcPr>
            <w:tcW w:w="2006" w:type="dxa"/>
          </w:tcPr>
          <w:p w:rsidR="00000000" w:rsidRDefault="00000000">
            <w:pPr>
              <w:pStyle w:val="BodyTextIndent2"/>
              <w:spacing w:after="120"/>
              <w:ind w:left="0" w:firstLine="0"/>
              <w:jc w:val="right"/>
              <w:rPr>
                <w:sz w:val="17"/>
              </w:rPr>
            </w:pPr>
            <w:r>
              <w:rPr>
                <w:sz w:val="17"/>
              </w:rPr>
              <w:t>92.3</w:t>
            </w:r>
          </w:p>
        </w:tc>
        <w:tc>
          <w:tcPr>
            <w:tcW w:w="1980" w:type="dxa"/>
          </w:tcPr>
          <w:p w:rsidR="00000000" w:rsidRDefault="00000000">
            <w:pPr>
              <w:pStyle w:val="BodyTextIndent2"/>
              <w:spacing w:after="120"/>
              <w:ind w:left="0" w:firstLine="0"/>
              <w:jc w:val="right"/>
              <w:rPr>
                <w:sz w:val="17"/>
              </w:rPr>
            </w:pPr>
            <w:r>
              <w:rPr>
                <w:sz w:val="17"/>
              </w:rPr>
              <w:t>1 232 481</w:t>
            </w:r>
          </w:p>
        </w:tc>
      </w:tr>
      <w:tr w:rsidR="00000000">
        <w:tblPrEx>
          <w:tblCellMar>
            <w:top w:w="0" w:type="dxa"/>
            <w:bottom w:w="0" w:type="dxa"/>
          </w:tblCellMar>
        </w:tblPrEx>
        <w:tc>
          <w:tcPr>
            <w:tcW w:w="2133" w:type="dxa"/>
          </w:tcPr>
          <w:p w:rsidR="00000000" w:rsidRDefault="00000000">
            <w:pPr>
              <w:pStyle w:val="BodyTextIndent2"/>
              <w:spacing w:after="120"/>
              <w:ind w:left="0" w:firstLine="0"/>
              <w:jc w:val="left"/>
              <w:rPr>
                <w:sz w:val="17"/>
              </w:rPr>
            </w:pPr>
            <w:r>
              <w:rPr>
                <w:sz w:val="17"/>
              </w:rPr>
              <w:t>1994</w:t>
            </w:r>
          </w:p>
        </w:tc>
        <w:tc>
          <w:tcPr>
            <w:tcW w:w="2314" w:type="dxa"/>
          </w:tcPr>
          <w:p w:rsidR="00000000" w:rsidRDefault="00000000">
            <w:pPr>
              <w:pStyle w:val="BodyTextIndent2"/>
              <w:spacing w:after="120"/>
              <w:ind w:left="0" w:firstLine="0"/>
              <w:jc w:val="right"/>
              <w:rPr>
                <w:sz w:val="17"/>
              </w:rPr>
            </w:pPr>
            <w:r>
              <w:rPr>
                <w:sz w:val="17"/>
              </w:rPr>
              <w:t>261 834</w:t>
            </w:r>
          </w:p>
        </w:tc>
        <w:tc>
          <w:tcPr>
            <w:tcW w:w="2006" w:type="dxa"/>
          </w:tcPr>
          <w:p w:rsidR="00000000" w:rsidRDefault="00000000">
            <w:pPr>
              <w:pStyle w:val="BodyTextIndent2"/>
              <w:spacing w:after="120"/>
              <w:ind w:left="0" w:firstLine="0"/>
              <w:jc w:val="right"/>
              <w:rPr>
                <w:sz w:val="17"/>
              </w:rPr>
            </w:pPr>
            <w:r>
              <w:rPr>
                <w:sz w:val="17"/>
              </w:rPr>
              <w:t>85.3</w:t>
            </w:r>
          </w:p>
        </w:tc>
        <w:tc>
          <w:tcPr>
            <w:tcW w:w="1980" w:type="dxa"/>
          </w:tcPr>
          <w:p w:rsidR="00000000" w:rsidRDefault="00000000">
            <w:pPr>
              <w:pStyle w:val="BodyTextIndent2"/>
              <w:spacing w:after="120"/>
              <w:ind w:left="0" w:firstLine="0"/>
              <w:jc w:val="right"/>
              <w:rPr>
                <w:sz w:val="17"/>
              </w:rPr>
            </w:pPr>
            <w:r>
              <w:rPr>
                <w:sz w:val="17"/>
              </w:rPr>
              <w:t>1 326 780</w:t>
            </w:r>
          </w:p>
        </w:tc>
      </w:tr>
      <w:tr w:rsidR="00000000">
        <w:tblPrEx>
          <w:tblCellMar>
            <w:top w:w="0" w:type="dxa"/>
            <w:bottom w:w="0" w:type="dxa"/>
          </w:tblCellMar>
        </w:tblPrEx>
        <w:tc>
          <w:tcPr>
            <w:tcW w:w="2133" w:type="dxa"/>
          </w:tcPr>
          <w:p w:rsidR="00000000" w:rsidRDefault="00000000">
            <w:pPr>
              <w:pStyle w:val="BodyTextIndent2"/>
              <w:spacing w:after="120"/>
              <w:ind w:left="0" w:firstLine="0"/>
              <w:jc w:val="left"/>
              <w:rPr>
                <w:sz w:val="17"/>
              </w:rPr>
            </w:pPr>
            <w:r>
              <w:rPr>
                <w:sz w:val="17"/>
              </w:rPr>
              <w:t>1995</w:t>
            </w:r>
          </w:p>
        </w:tc>
        <w:tc>
          <w:tcPr>
            <w:tcW w:w="2314" w:type="dxa"/>
          </w:tcPr>
          <w:p w:rsidR="00000000" w:rsidRDefault="00000000">
            <w:pPr>
              <w:pStyle w:val="BodyTextIndent2"/>
              <w:spacing w:after="120"/>
              <w:ind w:left="0" w:firstLine="0"/>
              <w:jc w:val="right"/>
              <w:rPr>
                <w:sz w:val="17"/>
              </w:rPr>
            </w:pPr>
            <w:r>
              <w:rPr>
                <w:sz w:val="17"/>
              </w:rPr>
              <w:t>224 084</w:t>
            </w:r>
          </w:p>
        </w:tc>
        <w:tc>
          <w:tcPr>
            <w:tcW w:w="2006" w:type="dxa"/>
          </w:tcPr>
          <w:p w:rsidR="00000000" w:rsidRDefault="00000000">
            <w:pPr>
              <w:pStyle w:val="BodyTextIndent2"/>
              <w:spacing w:after="120"/>
              <w:ind w:left="0" w:firstLine="0"/>
              <w:jc w:val="right"/>
              <w:rPr>
                <w:sz w:val="17"/>
              </w:rPr>
            </w:pPr>
            <w:r>
              <w:rPr>
                <w:sz w:val="17"/>
              </w:rPr>
              <w:t>80.6</w:t>
            </w:r>
          </w:p>
        </w:tc>
        <w:tc>
          <w:tcPr>
            <w:tcW w:w="1980" w:type="dxa"/>
          </w:tcPr>
          <w:p w:rsidR="00000000" w:rsidRDefault="00000000">
            <w:pPr>
              <w:pStyle w:val="BodyTextIndent2"/>
              <w:spacing w:after="120"/>
              <w:ind w:left="0" w:firstLine="0"/>
              <w:jc w:val="right"/>
              <w:rPr>
                <w:sz w:val="17"/>
              </w:rPr>
            </w:pPr>
            <w:r>
              <w:rPr>
                <w:sz w:val="17"/>
              </w:rPr>
              <w:t>1 493 584</w:t>
            </w:r>
          </w:p>
        </w:tc>
      </w:tr>
      <w:tr w:rsidR="00000000">
        <w:tblPrEx>
          <w:tblCellMar>
            <w:top w:w="0" w:type="dxa"/>
            <w:bottom w:w="0" w:type="dxa"/>
          </w:tblCellMar>
        </w:tblPrEx>
        <w:tc>
          <w:tcPr>
            <w:tcW w:w="2133" w:type="dxa"/>
          </w:tcPr>
          <w:p w:rsidR="00000000" w:rsidRDefault="00000000">
            <w:pPr>
              <w:pStyle w:val="BodyTextIndent2"/>
              <w:spacing w:after="120"/>
              <w:ind w:left="0" w:firstLine="0"/>
              <w:jc w:val="left"/>
              <w:rPr>
                <w:sz w:val="17"/>
              </w:rPr>
            </w:pPr>
            <w:r>
              <w:rPr>
                <w:sz w:val="17"/>
              </w:rPr>
              <w:t>1996</w:t>
            </w:r>
          </w:p>
        </w:tc>
        <w:tc>
          <w:tcPr>
            <w:tcW w:w="2314" w:type="dxa"/>
          </w:tcPr>
          <w:p w:rsidR="00000000" w:rsidRDefault="00000000">
            <w:pPr>
              <w:pStyle w:val="BodyTextIndent2"/>
              <w:spacing w:after="120"/>
              <w:ind w:left="0" w:firstLine="0"/>
              <w:jc w:val="right"/>
              <w:rPr>
                <w:sz w:val="17"/>
              </w:rPr>
            </w:pPr>
            <w:r>
              <w:rPr>
                <w:sz w:val="17"/>
              </w:rPr>
              <w:t>194 187</w:t>
            </w:r>
          </w:p>
        </w:tc>
        <w:tc>
          <w:tcPr>
            <w:tcW w:w="2006" w:type="dxa"/>
          </w:tcPr>
          <w:p w:rsidR="00000000" w:rsidRDefault="00000000">
            <w:pPr>
              <w:pStyle w:val="BodyTextIndent2"/>
              <w:spacing w:after="120"/>
              <w:ind w:left="0" w:firstLine="0"/>
              <w:jc w:val="right"/>
              <w:rPr>
                <w:sz w:val="17"/>
              </w:rPr>
            </w:pPr>
            <w:r>
              <w:rPr>
                <w:sz w:val="17"/>
              </w:rPr>
              <w:t>75.9</w:t>
            </w:r>
          </w:p>
        </w:tc>
        <w:tc>
          <w:tcPr>
            <w:tcW w:w="1980" w:type="dxa"/>
          </w:tcPr>
          <w:p w:rsidR="00000000" w:rsidRDefault="00000000">
            <w:pPr>
              <w:pStyle w:val="BodyTextIndent2"/>
              <w:spacing w:after="120"/>
              <w:ind w:left="0" w:firstLine="0"/>
              <w:jc w:val="right"/>
              <w:rPr>
                <w:sz w:val="17"/>
              </w:rPr>
            </w:pPr>
            <w:r>
              <w:rPr>
                <w:sz w:val="17"/>
              </w:rPr>
              <w:t>1 463 753</w:t>
            </w:r>
          </w:p>
        </w:tc>
      </w:tr>
      <w:tr w:rsidR="00000000">
        <w:tblPrEx>
          <w:tblCellMar>
            <w:top w:w="0" w:type="dxa"/>
            <w:bottom w:w="0" w:type="dxa"/>
          </w:tblCellMar>
        </w:tblPrEx>
        <w:tc>
          <w:tcPr>
            <w:tcW w:w="2133" w:type="dxa"/>
          </w:tcPr>
          <w:p w:rsidR="00000000" w:rsidRDefault="00000000">
            <w:pPr>
              <w:pStyle w:val="BodyTextIndent2"/>
              <w:spacing w:after="120"/>
              <w:ind w:left="0" w:firstLine="0"/>
              <w:jc w:val="left"/>
              <w:rPr>
                <w:sz w:val="17"/>
              </w:rPr>
            </w:pPr>
            <w:r>
              <w:rPr>
                <w:sz w:val="17"/>
              </w:rPr>
              <w:t>1997</w:t>
            </w:r>
          </w:p>
        </w:tc>
        <w:tc>
          <w:tcPr>
            <w:tcW w:w="2314" w:type="dxa"/>
          </w:tcPr>
          <w:p w:rsidR="00000000" w:rsidRDefault="00000000">
            <w:pPr>
              <w:pStyle w:val="BodyTextIndent2"/>
              <w:spacing w:after="120"/>
              <w:ind w:left="0" w:firstLine="0"/>
              <w:jc w:val="right"/>
              <w:rPr>
                <w:sz w:val="17"/>
              </w:rPr>
            </w:pPr>
            <w:r>
              <w:rPr>
                <w:sz w:val="17"/>
              </w:rPr>
              <w:t>156 751</w:t>
            </w:r>
          </w:p>
        </w:tc>
        <w:tc>
          <w:tcPr>
            <w:tcW w:w="2006" w:type="dxa"/>
          </w:tcPr>
          <w:p w:rsidR="00000000" w:rsidRDefault="00000000">
            <w:pPr>
              <w:pStyle w:val="BodyTextIndent2"/>
              <w:spacing w:after="120"/>
              <w:ind w:left="0" w:firstLine="0"/>
              <w:jc w:val="right"/>
              <w:rPr>
                <w:sz w:val="17"/>
              </w:rPr>
            </w:pPr>
            <w:r>
              <w:rPr>
                <w:sz w:val="17"/>
              </w:rPr>
              <w:t>66.7</w:t>
            </w:r>
          </w:p>
        </w:tc>
        <w:tc>
          <w:tcPr>
            <w:tcW w:w="1980" w:type="dxa"/>
          </w:tcPr>
          <w:p w:rsidR="00000000" w:rsidRDefault="00000000">
            <w:pPr>
              <w:pStyle w:val="BodyTextIndent2"/>
              <w:spacing w:after="120"/>
              <w:ind w:left="0" w:firstLine="0"/>
              <w:jc w:val="right"/>
              <w:rPr>
                <w:sz w:val="17"/>
              </w:rPr>
            </w:pPr>
            <w:r>
              <w:rPr>
                <w:sz w:val="17"/>
              </w:rPr>
              <w:t>1 567 122</w:t>
            </w:r>
          </w:p>
        </w:tc>
      </w:tr>
      <w:tr w:rsidR="00000000">
        <w:tblPrEx>
          <w:tblCellMar>
            <w:top w:w="0" w:type="dxa"/>
            <w:bottom w:w="0" w:type="dxa"/>
          </w:tblCellMar>
        </w:tblPrEx>
        <w:tc>
          <w:tcPr>
            <w:tcW w:w="2133" w:type="dxa"/>
            <w:tcBorders>
              <w:bottom w:val="single" w:sz="12" w:space="0" w:color="auto"/>
            </w:tcBorders>
          </w:tcPr>
          <w:p w:rsidR="00000000" w:rsidRDefault="00000000">
            <w:pPr>
              <w:pStyle w:val="BodyTextIndent2"/>
              <w:spacing w:after="120"/>
              <w:ind w:left="0" w:firstLine="0"/>
              <w:jc w:val="left"/>
              <w:rPr>
                <w:sz w:val="17"/>
              </w:rPr>
            </w:pPr>
            <w:r>
              <w:rPr>
                <w:sz w:val="17"/>
              </w:rPr>
              <w:t>1998</w:t>
            </w:r>
          </w:p>
        </w:tc>
        <w:tc>
          <w:tcPr>
            <w:tcW w:w="2314" w:type="dxa"/>
            <w:tcBorders>
              <w:bottom w:val="single" w:sz="12" w:space="0" w:color="auto"/>
            </w:tcBorders>
          </w:tcPr>
          <w:p w:rsidR="00000000" w:rsidRDefault="00000000">
            <w:pPr>
              <w:pStyle w:val="BodyTextIndent2"/>
              <w:spacing w:after="120"/>
              <w:ind w:left="0" w:firstLine="0"/>
              <w:jc w:val="right"/>
              <w:rPr>
                <w:sz w:val="17"/>
              </w:rPr>
            </w:pPr>
            <w:r>
              <w:rPr>
                <w:sz w:val="17"/>
              </w:rPr>
              <w:t>149 248</w:t>
            </w:r>
          </w:p>
        </w:tc>
        <w:tc>
          <w:tcPr>
            <w:tcW w:w="2006" w:type="dxa"/>
            <w:tcBorders>
              <w:bottom w:val="single" w:sz="12" w:space="0" w:color="auto"/>
            </w:tcBorders>
          </w:tcPr>
          <w:p w:rsidR="00000000" w:rsidRDefault="00000000">
            <w:pPr>
              <w:pStyle w:val="BodyTextIndent2"/>
              <w:spacing w:after="120"/>
              <w:ind w:left="0" w:firstLine="0"/>
              <w:jc w:val="right"/>
              <w:rPr>
                <w:sz w:val="17"/>
              </w:rPr>
            </w:pPr>
            <w:r>
              <w:rPr>
                <w:sz w:val="17"/>
              </w:rPr>
              <w:t>61.1</w:t>
            </w:r>
          </w:p>
        </w:tc>
        <w:tc>
          <w:tcPr>
            <w:tcW w:w="1980" w:type="dxa"/>
            <w:tcBorders>
              <w:bottom w:val="single" w:sz="12" w:space="0" w:color="auto"/>
            </w:tcBorders>
          </w:tcPr>
          <w:p w:rsidR="00000000" w:rsidRDefault="00000000">
            <w:pPr>
              <w:pStyle w:val="BodyTextIndent2"/>
              <w:spacing w:after="120"/>
              <w:ind w:left="0" w:firstLine="0"/>
              <w:jc w:val="right"/>
              <w:rPr>
                <w:sz w:val="17"/>
              </w:rPr>
            </w:pPr>
            <w:r>
              <w:rPr>
                <w:sz w:val="17"/>
              </w:rPr>
              <w:t>1 529 790</w:t>
            </w:r>
          </w:p>
        </w:tc>
      </w:tr>
    </w:tbl>
    <w:p w:rsidR="00000000" w:rsidRDefault="00000000">
      <w:pPr>
        <w:pStyle w:val="BodyTextIndent2"/>
        <w:spacing w:after="120"/>
        <w:ind w:left="0" w:firstLine="0"/>
      </w:pPr>
    </w:p>
    <w:p w:rsidR="00000000" w:rsidRDefault="00000000">
      <w:pPr>
        <w:pStyle w:val="BodyTextIndent2"/>
        <w:spacing w:after="120"/>
        <w:ind w:left="0" w:firstLine="0"/>
      </w:pPr>
    </w:p>
    <w:p w:rsidR="00000000" w:rsidRDefault="00000000">
      <w:pPr>
        <w:pStyle w:val="BodyTextIndent2"/>
        <w:spacing w:after="120"/>
        <w:ind w:left="0" w:firstLine="0"/>
      </w:pPr>
    </w:p>
    <w:p w:rsidR="00000000" w:rsidRDefault="00000000">
      <w:pPr>
        <w:pStyle w:val="BodyTextIndent2"/>
        <w:spacing w:after="120"/>
        <w:ind w:left="0" w:firstLine="0"/>
      </w:pPr>
    </w:p>
    <w:p w:rsidR="00000000" w:rsidRDefault="00000000">
      <w:pPr>
        <w:pStyle w:val="BodyTextIndent2"/>
        <w:spacing w:after="120"/>
        <w:ind w:left="0" w:firstLine="0"/>
      </w:pPr>
    </w:p>
    <w:p w:rsidR="00000000" w:rsidRDefault="00000000">
      <w:pPr>
        <w:pStyle w:val="BodyTextIndent2"/>
        <w:spacing w:after="120"/>
        <w:ind w:left="0" w:firstLine="0"/>
      </w:pPr>
    </w:p>
    <w:p w:rsidR="00000000" w:rsidRDefault="00000000">
      <w:pPr>
        <w:pStyle w:val="BodyTextIndent2"/>
        <w:spacing w:after="120"/>
        <w:ind w:left="0" w:firstLine="0"/>
      </w:pPr>
    </w:p>
    <w:p w:rsidR="00000000" w:rsidRDefault="00000000">
      <w:pPr>
        <w:pStyle w:val="BodyTextIndent2"/>
        <w:spacing w:after="120"/>
        <w:ind w:left="0" w:firstLine="0"/>
      </w:pPr>
    </w:p>
    <w:p w:rsidR="00000000" w:rsidRDefault="00000000">
      <w:pPr>
        <w:pStyle w:val="BodyTextIndent2"/>
        <w:spacing w:after="120"/>
        <w:ind w:left="0" w:firstLine="0"/>
      </w:pPr>
    </w:p>
    <w:p w:rsidR="00000000" w:rsidRDefault="00000000">
      <w:pPr>
        <w:pStyle w:val="BodyTextIndent2"/>
        <w:ind w:left="0" w:firstLine="0"/>
      </w:pPr>
      <w:r>
        <w:t>Table 33</w:t>
      </w:r>
    </w:p>
    <w:p w:rsidR="00000000" w:rsidRDefault="00000000">
      <w:pPr>
        <w:pStyle w:val="BodyTextIndent2"/>
        <w:spacing w:after="120"/>
        <w:ind w:left="0" w:firstLine="0"/>
        <w:rPr>
          <w:b/>
        </w:rPr>
      </w:pPr>
      <w:r>
        <w:rPr>
          <w:b/>
        </w:rPr>
        <w:t>Live births to women aged under 20 years in 1997</w:t>
      </w:r>
    </w:p>
    <w:p w:rsidR="00000000" w:rsidRDefault="00000000">
      <w:pPr>
        <w:pStyle w:val="D12r"/>
      </w:pPr>
    </w:p>
    <w:tbl>
      <w:tblPr>
        <w:tblW w:w="0" w:type="auto"/>
        <w:tblInd w:w="2" w:type="dxa"/>
        <w:tblLayout w:type="fixed"/>
        <w:tblLook w:val="0000" w:firstRow="0" w:lastRow="0" w:firstColumn="0" w:lastColumn="0" w:noHBand="0" w:noVBand="0"/>
      </w:tblPr>
      <w:tblGrid>
        <w:gridCol w:w="2160"/>
        <w:gridCol w:w="1512"/>
        <w:gridCol w:w="1368"/>
        <w:gridCol w:w="1287"/>
        <w:gridCol w:w="1233"/>
        <w:gridCol w:w="1260"/>
        <w:gridCol w:w="1138"/>
      </w:tblGrid>
      <w:tr w:rsidR="00000000">
        <w:tblPrEx>
          <w:tblCellMar>
            <w:top w:w="0" w:type="dxa"/>
            <w:bottom w:w="0" w:type="dxa"/>
          </w:tblCellMar>
        </w:tblPrEx>
        <w:trPr>
          <w:cantSplit/>
        </w:trPr>
        <w:tc>
          <w:tcPr>
            <w:tcW w:w="2160" w:type="dxa"/>
            <w:tcBorders>
              <w:top w:val="single" w:sz="4" w:space="0" w:color="auto"/>
            </w:tcBorders>
          </w:tcPr>
          <w:p w:rsidR="00000000" w:rsidRDefault="00000000">
            <w:pPr>
              <w:pStyle w:val="BodyTextIndent2"/>
              <w:spacing w:after="120"/>
              <w:ind w:left="0" w:firstLine="0"/>
              <w:jc w:val="left"/>
              <w:rPr>
                <w:i/>
                <w:sz w:val="14"/>
              </w:rPr>
            </w:pPr>
          </w:p>
        </w:tc>
        <w:tc>
          <w:tcPr>
            <w:tcW w:w="1512" w:type="dxa"/>
            <w:tcBorders>
              <w:top w:val="single" w:sz="4" w:space="0" w:color="auto"/>
            </w:tcBorders>
          </w:tcPr>
          <w:p w:rsidR="00000000" w:rsidRDefault="00000000">
            <w:pPr>
              <w:pStyle w:val="BodyTextIndent2"/>
              <w:spacing w:after="120"/>
              <w:ind w:left="0" w:firstLine="0"/>
              <w:jc w:val="right"/>
              <w:rPr>
                <w:i/>
                <w:sz w:val="14"/>
              </w:rPr>
            </w:pPr>
          </w:p>
        </w:tc>
        <w:tc>
          <w:tcPr>
            <w:tcW w:w="6286" w:type="dxa"/>
            <w:gridSpan w:val="5"/>
            <w:tcBorders>
              <w:top w:val="single" w:sz="4" w:space="0" w:color="auto"/>
              <w:bottom w:val="single" w:sz="4" w:space="0" w:color="auto"/>
            </w:tcBorders>
            <w:vAlign w:val="bottom"/>
          </w:tcPr>
          <w:p w:rsidR="00000000" w:rsidRDefault="00000000">
            <w:pPr>
              <w:pStyle w:val="BodyTextIndent2"/>
              <w:spacing w:after="120"/>
              <w:ind w:left="0" w:firstLine="0"/>
              <w:jc w:val="center"/>
              <w:rPr>
                <w:i/>
                <w:sz w:val="14"/>
              </w:rPr>
            </w:pPr>
            <w:r>
              <w:rPr>
                <w:i/>
                <w:sz w:val="14"/>
              </w:rPr>
              <w:t>Of which, births to women aged</w:t>
            </w:r>
          </w:p>
        </w:tc>
      </w:tr>
      <w:tr w:rsidR="00000000">
        <w:tblPrEx>
          <w:tblCellMar>
            <w:top w:w="0" w:type="dxa"/>
            <w:bottom w:w="0" w:type="dxa"/>
          </w:tblCellMar>
        </w:tblPrEx>
        <w:tc>
          <w:tcPr>
            <w:tcW w:w="2160" w:type="dxa"/>
            <w:tcBorders>
              <w:bottom w:val="single" w:sz="12" w:space="0" w:color="auto"/>
            </w:tcBorders>
          </w:tcPr>
          <w:p w:rsidR="00000000" w:rsidRDefault="00000000">
            <w:pPr>
              <w:pStyle w:val="BodyTextIndent2"/>
              <w:spacing w:after="120"/>
              <w:ind w:left="0" w:firstLine="0"/>
              <w:jc w:val="left"/>
              <w:rPr>
                <w:i/>
                <w:sz w:val="14"/>
              </w:rPr>
            </w:pPr>
          </w:p>
        </w:tc>
        <w:tc>
          <w:tcPr>
            <w:tcW w:w="1512" w:type="dxa"/>
            <w:tcBorders>
              <w:bottom w:val="single" w:sz="12" w:space="0" w:color="auto"/>
            </w:tcBorders>
          </w:tcPr>
          <w:p w:rsidR="00000000" w:rsidRDefault="00000000">
            <w:pPr>
              <w:pStyle w:val="BodyTextIndent2"/>
              <w:spacing w:after="120"/>
              <w:ind w:left="0" w:firstLine="0"/>
              <w:jc w:val="right"/>
              <w:rPr>
                <w:i/>
                <w:sz w:val="14"/>
              </w:rPr>
            </w:pPr>
            <w:r>
              <w:rPr>
                <w:i/>
                <w:sz w:val="14"/>
              </w:rPr>
              <w:t>Total number of births to women aged under 20 years</w:t>
            </w:r>
          </w:p>
        </w:tc>
        <w:tc>
          <w:tcPr>
            <w:tcW w:w="1368"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Under 16</w:t>
            </w:r>
          </w:p>
        </w:tc>
        <w:tc>
          <w:tcPr>
            <w:tcW w:w="1287"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16</w:t>
            </w:r>
          </w:p>
        </w:tc>
        <w:tc>
          <w:tcPr>
            <w:tcW w:w="1233"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17</w:t>
            </w:r>
          </w:p>
        </w:tc>
        <w:tc>
          <w:tcPr>
            <w:tcW w:w="1260"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18</w:t>
            </w:r>
          </w:p>
        </w:tc>
        <w:tc>
          <w:tcPr>
            <w:tcW w:w="1138"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19</w:t>
            </w:r>
          </w:p>
        </w:tc>
      </w:tr>
      <w:tr w:rsidR="00000000">
        <w:tblPrEx>
          <w:tblCellMar>
            <w:top w:w="0" w:type="dxa"/>
            <w:bottom w:w="0" w:type="dxa"/>
          </w:tblCellMar>
        </w:tblPrEx>
        <w:tc>
          <w:tcPr>
            <w:tcW w:w="2160" w:type="dxa"/>
            <w:tcBorders>
              <w:top w:val="single" w:sz="12" w:space="0" w:color="auto"/>
            </w:tcBorders>
          </w:tcPr>
          <w:p w:rsidR="00000000" w:rsidRDefault="00000000">
            <w:pPr>
              <w:pStyle w:val="BodyTextIndent2"/>
              <w:spacing w:after="120"/>
              <w:ind w:left="0" w:firstLine="0"/>
              <w:jc w:val="left"/>
              <w:rPr>
                <w:sz w:val="17"/>
              </w:rPr>
            </w:pPr>
            <w:r>
              <w:rPr>
                <w:sz w:val="17"/>
              </w:rPr>
              <w:t>Republic of Kazakhstan</w:t>
            </w:r>
          </w:p>
        </w:tc>
        <w:tc>
          <w:tcPr>
            <w:tcW w:w="1512" w:type="dxa"/>
            <w:tcBorders>
              <w:top w:val="single" w:sz="12" w:space="0" w:color="auto"/>
            </w:tcBorders>
          </w:tcPr>
          <w:p w:rsidR="00000000" w:rsidRDefault="00000000">
            <w:pPr>
              <w:pStyle w:val="BodyTextIndent2"/>
              <w:spacing w:after="120"/>
              <w:ind w:left="0" w:firstLine="0"/>
              <w:jc w:val="right"/>
              <w:rPr>
                <w:sz w:val="17"/>
              </w:rPr>
            </w:pPr>
            <w:r>
              <w:rPr>
                <w:sz w:val="17"/>
              </w:rPr>
              <w:t>27 791</w:t>
            </w:r>
          </w:p>
        </w:tc>
        <w:tc>
          <w:tcPr>
            <w:tcW w:w="1368" w:type="dxa"/>
            <w:tcBorders>
              <w:top w:val="single" w:sz="12" w:space="0" w:color="auto"/>
            </w:tcBorders>
          </w:tcPr>
          <w:p w:rsidR="00000000" w:rsidRDefault="00000000">
            <w:pPr>
              <w:pStyle w:val="BodyTextIndent2"/>
              <w:spacing w:after="120"/>
              <w:ind w:left="0" w:firstLine="0"/>
              <w:jc w:val="right"/>
              <w:rPr>
                <w:sz w:val="17"/>
              </w:rPr>
            </w:pPr>
            <w:r>
              <w:rPr>
                <w:sz w:val="17"/>
              </w:rPr>
              <w:t>326</w:t>
            </w:r>
          </w:p>
        </w:tc>
        <w:tc>
          <w:tcPr>
            <w:tcW w:w="1287" w:type="dxa"/>
            <w:tcBorders>
              <w:top w:val="single" w:sz="12" w:space="0" w:color="auto"/>
            </w:tcBorders>
          </w:tcPr>
          <w:p w:rsidR="00000000" w:rsidRDefault="00000000">
            <w:pPr>
              <w:pStyle w:val="BodyTextIndent2"/>
              <w:spacing w:after="120"/>
              <w:ind w:left="0" w:firstLine="0"/>
              <w:jc w:val="right"/>
              <w:rPr>
                <w:sz w:val="17"/>
              </w:rPr>
            </w:pPr>
            <w:r>
              <w:rPr>
                <w:sz w:val="17"/>
              </w:rPr>
              <w:t>1 276</w:t>
            </w:r>
          </w:p>
        </w:tc>
        <w:tc>
          <w:tcPr>
            <w:tcW w:w="1233" w:type="dxa"/>
            <w:tcBorders>
              <w:top w:val="single" w:sz="12" w:space="0" w:color="auto"/>
            </w:tcBorders>
          </w:tcPr>
          <w:p w:rsidR="00000000" w:rsidRDefault="00000000">
            <w:pPr>
              <w:pStyle w:val="BodyTextIndent2"/>
              <w:spacing w:after="120"/>
              <w:ind w:left="0" w:firstLine="0"/>
              <w:jc w:val="right"/>
              <w:rPr>
                <w:sz w:val="17"/>
              </w:rPr>
            </w:pPr>
            <w:r>
              <w:rPr>
                <w:sz w:val="17"/>
              </w:rPr>
              <w:t>3 668</w:t>
            </w:r>
          </w:p>
        </w:tc>
        <w:tc>
          <w:tcPr>
            <w:tcW w:w="1260" w:type="dxa"/>
            <w:tcBorders>
              <w:top w:val="single" w:sz="12" w:space="0" w:color="auto"/>
            </w:tcBorders>
          </w:tcPr>
          <w:p w:rsidR="00000000" w:rsidRDefault="00000000">
            <w:pPr>
              <w:pStyle w:val="BodyTextIndent2"/>
              <w:spacing w:after="120"/>
              <w:ind w:left="0" w:firstLine="0"/>
              <w:jc w:val="right"/>
              <w:rPr>
                <w:sz w:val="17"/>
              </w:rPr>
            </w:pPr>
            <w:r>
              <w:rPr>
                <w:sz w:val="17"/>
              </w:rPr>
              <w:t>8 920</w:t>
            </w:r>
          </w:p>
        </w:tc>
        <w:tc>
          <w:tcPr>
            <w:tcW w:w="1138" w:type="dxa"/>
            <w:tcBorders>
              <w:top w:val="single" w:sz="12" w:space="0" w:color="auto"/>
            </w:tcBorders>
          </w:tcPr>
          <w:p w:rsidR="00000000" w:rsidRDefault="00000000">
            <w:pPr>
              <w:pStyle w:val="BodyTextIndent2"/>
              <w:spacing w:after="120"/>
              <w:ind w:left="0" w:firstLine="0"/>
              <w:jc w:val="right"/>
              <w:rPr>
                <w:sz w:val="17"/>
              </w:rPr>
            </w:pPr>
            <w:r>
              <w:rPr>
                <w:sz w:val="17"/>
              </w:rPr>
              <w:t>13 601</w:t>
            </w:r>
          </w:p>
        </w:tc>
      </w:tr>
      <w:tr w:rsidR="00000000">
        <w:tblPrEx>
          <w:tblCellMar>
            <w:top w:w="0" w:type="dxa"/>
            <w:bottom w:w="0" w:type="dxa"/>
          </w:tblCellMar>
        </w:tblPrEx>
        <w:tc>
          <w:tcPr>
            <w:tcW w:w="2160" w:type="dxa"/>
          </w:tcPr>
          <w:p w:rsidR="00000000" w:rsidRDefault="00000000">
            <w:pPr>
              <w:pStyle w:val="BodyTextIndent2"/>
              <w:spacing w:after="120"/>
              <w:ind w:left="0" w:firstLine="0"/>
              <w:jc w:val="left"/>
              <w:rPr>
                <w:sz w:val="17"/>
              </w:rPr>
            </w:pPr>
            <w:r>
              <w:rPr>
                <w:sz w:val="17"/>
              </w:rPr>
              <w:t>Aqmola region</w:t>
            </w:r>
          </w:p>
        </w:tc>
        <w:tc>
          <w:tcPr>
            <w:tcW w:w="1512" w:type="dxa"/>
          </w:tcPr>
          <w:p w:rsidR="00000000" w:rsidRDefault="00000000">
            <w:pPr>
              <w:pStyle w:val="BodyTextIndent2"/>
              <w:spacing w:after="120"/>
              <w:ind w:left="0" w:firstLine="0"/>
              <w:jc w:val="right"/>
              <w:rPr>
                <w:sz w:val="17"/>
              </w:rPr>
            </w:pPr>
            <w:r>
              <w:rPr>
                <w:sz w:val="17"/>
              </w:rPr>
              <w:t>1 889</w:t>
            </w:r>
          </w:p>
        </w:tc>
        <w:tc>
          <w:tcPr>
            <w:tcW w:w="1368" w:type="dxa"/>
          </w:tcPr>
          <w:p w:rsidR="00000000" w:rsidRDefault="00000000">
            <w:pPr>
              <w:pStyle w:val="BodyTextIndent2"/>
              <w:spacing w:after="120"/>
              <w:ind w:left="0" w:firstLine="0"/>
              <w:jc w:val="right"/>
              <w:rPr>
                <w:sz w:val="17"/>
              </w:rPr>
            </w:pPr>
            <w:r>
              <w:rPr>
                <w:sz w:val="17"/>
              </w:rPr>
              <w:t>29</w:t>
            </w:r>
          </w:p>
        </w:tc>
        <w:tc>
          <w:tcPr>
            <w:tcW w:w="1287" w:type="dxa"/>
          </w:tcPr>
          <w:p w:rsidR="00000000" w:rsidRDefault="00000000">
            <w:pPr>
              <w:pStyle w:val="BodyTextIndent2"/>
              <w:spacing w:after="120"/>
              <w:ind w:left="0" w:firstLine="0"/>
              <w:jc w:val="right"/>
              <w:rPr>
                <w:sz w:val="17"/>
              </w:rPr>
            </w:pPr>
            <w:r>
              <w:rPr>
                <w:sz w:val="17"/>
              </w:rPr>
              <w:t>111</w:t>
            </w:r>
          </w:p>
        </w:tc>
        <w:tc>
          <w:tcPr>
            <w:tcW w:w="1233" w:type="dxa"/>
          </w:tcPr>
          <w:p w:rsidR="00000000" w:rsidRDefault="00000000">
            <w:pPr>
              <w:pStyle w:val="BodyTextIndent2"/>
              <w:spacing w:after="120"/>
              <w:ind w:left="0" w:firstLine="0"/>
              <w:jc w:val="right"/>
              <w:rPr>
                <w:sz w:val="17"/>
              </w:rPr>
            </w:pPr>
            <w:r>
              <w:rPr>
                <w:sz w:val="17"/>
              </w:rPr>
              <w:t>273</w:t>
            </w:r>
          </w:p>
        </w:tc>
        <w:tc>
          <w:tcPr>
            <w:tcW w:w="1260" w:type="dxa"/>
          </w:tcPr>
          <w:p w:rsidR="00000000" w:rsidRDefault="00000000">
            <w:pPr>
              <w:pStyle w:val="BodyTextIndent2"/>
              <w:spacing w:after="120"/>
              <w:ind w:left="0" w:firstLine="0"/>
              <w:jc w:val="right"/>
              <w:rPr>
                <w:sz w:val="17"/>
              </w:rPr>
            </w:pPr>
            <w:r>
              <w:rPr>
                <w:sz w:val="17"/>
              </w:rPr>
              <w:t>636</w:t>
            </w:r>
          </w:p>
        </w:tc>
        <w:tc>
          <w:tcPr>
            <w:tcW w:w="1138" w:type="dxa"/>
          </w:tcPr>
          <w:p w:rsidR="00000000" w:rsidRDefault="00000000">
            <w:pPr>
              <w:pStyle w:val="BodyTextIndent2"/>
              <w:spacing w:after="120"/>
              <w:ind w:left="0" w:firstLine="0"/>
              <w:jc w:val="right"/>
              <w:rPr>
                <w:sz w:val="17"/>
              </w:rPr>
            </w:pPr>
            <w:r>
              <w:rPr>
                <w:sz w:val="17"/>
              </w:rPr>
              <w:t>840</w:t>
            </w:r>
          </w:p>
        </w:tc>
      </w:tr>
      <w:tr w:rsidR="00000000">
        <w:tblPrEx>
          <w:tblCellMar>
            <w:top w:w="0" w:type="dxa"/>
            <w:bottom w:w="0" w:type="dxa"/>
          </w:tblCellMar>
        </w:tblPrEx>
        <w:tc>
          <w:tcPr>
            <w:tcW w:w="2160" w:type="dxa"/>
          </w:tcPr>
          <w:p w:rsidR="00000000" w:rsidRDefault="00000000">
            <w:pPr>
              <w:pStyle w:val="BodyTextIndent2"/>
              <w:spacing w:after="120"/>
              <w:ind w:left="0" w:firstLine="0"/>
              <w:jc w:val="left"/>
              <w:rPr>
                <w:sz w:val="17"/>
              </w:rPr>
            </w:pPr>
            <w:r>
              <w:rPr>
                <w:sz w:val="17"/>
              </w:rPr>
              <w:t>Aqtobe region</w:t>
            </w:r>
          </w:p>
        </w:tc>
        <w:tc>
          <w:tcPr>
            <w:tcW w:w="1512" w:type="dxa"/>
          </w:tcPr>
          <w:p w:rsidR="00000000" w:rsidRDefault="00000000">
            <w:pPr>
              <w:pStyle w:val="BodyTextIndent2"/>
              <w:spacing w:after="120"/>
              <w:ind w:left="0" w:firstLine="0"/>
              <w:jc w:val="right"/>
              <w:rPr>
                <w:sz w:val="17"/>
              </w:rPr>
            </w:pPr>
            <w:r>
              <w:rPr>
                <w:sz w:val="17"/>
              </w:rPr>
              <w:t>1 081</w:t>
            </w:r>
          </w:p>
        </w:tc>
        <w:tc>
          <w:tcPr>
            <w:tcW w:w="1368" w:type="dxa"/>
          </w:tcPr>
          <w:p w:rsidR="00000000" w:rsidRDefault="00000000">
            <w:pPr>
              <w:pStyle w:val="BodyTextIndent2"/>
              <w:spacing w:after="120"/>
              <w:ind w:left="0" w:firstLine="0"/>
              <w:jc w:val="right"/>
              <w:rPr>
                <w:sz w:val="17"/>
              </w:rPr>
            </w:pPr>
            <w:r>
              <w:rPr>
                <w:sz w:val="17"/>
              </w:rPr>
              <w:t>9</w:t>
            </w:r>
          </w:p>
        </w:tc>
        <w:tc>
          <w:tcPr>
            <w:tcW w:w="1287" w:type="dxa"/>
          </w:tcPr>
          <w:p w:rsidR="00000000" w:rsidRDefault="00000000">
            <w:pPr>
              <w:pStyle w:val="BodyTextIndent2"/>
              <w:spacing w:after="120"/>
              <w:ind w:left="0" w:firstLine="0"/>
              <w:jc w:val="right"/>
              <w:rPr>
                <w:sz w:val="17"/>
              </w:rPr>
            </w:pPr>
            <w:r>
              <w:rPr>
                <w:sz w:val="17"/>
              </w:rPr>
              <w:t>35</w:t>
            </w:r>
          </w:p>
        </w:tc>
        <w:tc>
          <w:tcPr>
            <w:tcW w:w="1233" w:type="dxa"/>
          </w:tcPr>
          <w:p w:rsidR="00000000" w:rsidRDefault="00000000">
            <w:pPr>
              <w:pStyle w:val="BodyTextIndent2"/>
              <w:spacing w:after="120"/>
              <w:ind w:left="0" w:firstLine="0"/>
              <w:jc w:val="right"/>
              <w:rPr>
                <w:sz w:val="17"/>
              </w:rPr>
            </w:pPr>
            <w:r>
              <w:rPr>
                <w:sz w:val="17"/>
              </w:rPr>
              <w:t>154</w:t>
            </w:r>
          </w:p>
        </w:tc>
        <w:tc>
          <w:tcPr>
            <w:tcW w:w="1260" w:type="dxa"/>
          </w:tcPr>
          <w:p w:rsidR="00000000" w:rsidRDefault="00000000">
            <w:pPr>
              <w:pStyle w:val="BodyTextIndent2"/>
              <w:spacing w:after="120"/>
              <w:ind w:left="0" w:firstLine="0"/>
              <w:jc w:val="right"/>
              <w:rPr>
                <w:sz w:val="17"/>
              </w:rPr>
            </w:pPr>
            <w:r>
              <w:rPr>
                <w:sz w:val="17"/>
              </w:rPr>
              <w:t>337</w:t>
            </w:r>
          </w:p>
        </w:tc>
        <w:tc>
          <w:tcPr>
            <w:tcW w:w="1138" w:type="dxa"/>
          </w:tcPr>
          <w:p w:rsidR="00000000" w:rsidRDefault="00000000">
            <w:pPr>
              <w:pStyle w:val="BodyTextIndent2"/>
              <w:spacing w:after="120"/>
              <w:ind w:left="0" w:firstLine="0"/>
              <w:jc w:val="right"/>
              <w:rPr>
                <w:sz w:val="17"/>
              </w:rPr>
            </w:pPr>
            <w:r>
              <w:rPr>
                <w:sz w:val="17"/>
              </w:rPr>
              <w:t>546</w:t>
            </w:r>
          </w:p>
        </w:tc>
      </w:tr>
      <w:tr w:rsidR="00000000">
        <w:tblPrEx>
          <w:tblCellMar>
            <w:top w:w="0" w:type="dxa"/>
            <w:bottom w:w="0" w:type="dxa"/>
          </w:tblCellMar>
        </w:tblPrEx>
        <w:tc>
          <w:tcPr>
            <w:tcW w:w="2160" w:type="dxa"/>
          </w:tcPr>
          <w:p w:rsidR="00000000" w:rsidRDefault="00000000">
            <w:pPr>
              <w:pStyle w:val="BodyTextIndent2"/>
              <w:spacing w:after="120"/>
              <w:ind w:left="0" w:firstLine="0"/>
              <w:jc w:val="left"/>
              <w:rPr>
                <w:sz w:val="17"/>
              </w:rPr>
            </w:pPr>
            <w:r>
              <w:rPr>
                <w:sz w:val="17"/>
              </w:rPr>
              <w:t>Almaty region</w:t>
            </w:r>
          </w:p>
        </w:tc>
        <w:tc>
          <w:tcPr>
            <w:tcW w:w="1512" w:type="dxa"/>
          </w:tcPr>
          <w:p w:rsidR="00000000" w:rsidRDefault="00000000">
            <w:pPr>
              <w:pStyle w:val="BodyTextIndent2"/>
              <w:spacing w:after="120"/>
              <w:ind w:left="0" w:firstLine="0"/>
              <w:jc w:val="right"/>
              <w:rPr>
                <w:sz w:val="17"/>
              </w:rPr>
            </w:pPr>
            <w:r>
              <w:rPr>
                <w:sz w:val="17"/>
              </w:rPr>
              <w:t>2 875</w:t>
            </w:r>
          </w:p>
        </w:tc>
        <w:tc>
          <w:tcPr>
            <w:tcW w:w="1368" w:type="dxa"/>
          </w:tcPr>
          <w:p w:rsidR="00000000" w:rsidRDefault="00000000">
            <w:pPr>
              <w:pStyle w:val="BodyTextIndent2"/>
              <w:spacing w:after="120"/>
              <w:ind w:left="0" w:firstLine="0"/>
              <w:jc w:val="right"/>
              <w:rPr>
                <w:sz w:val="17"/>
              </w:rPr>
            </w:pPr>
            <w:r>
              <w:rPr>
                <w:sz w:val="17"/>
              </w:rPr>
              <w:t>30</w:t>
            </w:r>
          </w:p>
        </w:tc>
        <w:tc>
          <w:tcPr>
            <w:tcW w:w="1287" w:type="dxa"/>
          </w:tcPr>
          <w:p w:rsidR="00000000" w:rsidRDefault="00000000">
            <w:pPr>
              <w:pStyle w:val="BodyTextIndent2"/>
              <w:spacing w:after="120"/>
              <w:ind w:left="0" w:firstLine="0"/>
              <w:jc w:val="right"/>
              <w:rPr>
                <w:sz w:val="17"/>
              </w:rPr>
            </w:pPr>
            <w:r>
              <w:rPr>
                <w:sz w:val="17"/>
              </w:rPr>
              <w:t>134</w:t>
            </w:r>
          </w:p>
        </w:tc>
        <w:tc>
          <w:tcPr>
            <w:tcW w:w="1233" w:type="dxa"/>
          </w:tcPr>
          <w:p w:rsidR="00000000" w:rsidRDefault="00000000">
            <w:pPr>
              <w:pStyle w:val="BodyTextIndent2"/>
              <w:spacing w:after="120"/>
              <w:ind w:left="0" w:firstLine="0"/>
              <w:jc w:val="right"/>
              <w:rPr>
                <w:sz w:val="17"/>
              </w:rPr>
            </w:pPr>
            <w:r>
              <w:rPr>
                <w:sz w:val="17"/>
              </w:rPr>
              <w:t>444</w:t>
            </w:r>
          </w:p>
        </w:tc>
        <w:tc>
          <w:tcPr>
            <w:tcW w:w="1260" w:type="dxa"/>
          </w:tcPr>
          <w:p w:rsidR="00000000" w:rsidRDefault="00000000">
            <w:pPr>
              <w:pStyle w:val="BodyTextIndent2"/>
              <w:spacing w:after="120"/>
              <w:ind w:left="0" w:firstLine="0"/>
              <w:jc w:val="right"/>
              <w:rPr>
                <w:sz w:val="17"/>
              </w:rPr>
            </w:pPr>
            <w:r>
              <w:rPr>
                <w:sz w:val="17"/>
              </w:rPr>
              <w:t>871</w:t>
            </w:r>
          </w:p>
        </w:tc>
        <w:tc>
          <w:tcPr>
            <w:tcW w:w="1138" w:type="dxa"/>
          </w:tcPr>
          <w:p w:rsidR="00000000" w:rsidRDefault="00000000">
            <w:pPr>
              <w:pStyle w:val="BodyTextIndent2"/>
              <w:spacing w:after="120"/>
              <w:ind w:left="0" w:firstLine="0"/>
              <w:jc w:val="right"/>
              <w:rPr>
                <w:sz w:val="17"/>
              </w:rPr>
            </w:pPr>
            <w:r>
              <w:rPr>
                <w:sz w:val="17"/>
              </w:rPr>
              <w:t>1 396</w:t>
            </w:r>
          </w:p>
        </w:tc>
      </w:tr>
      <w:tr w:rsidR="00000000">
        <w:tblPrEx>
          <w:tblCellMar>
            <w:top w:w="0" w:type="dxa"/>
            <w:bottom w:w="0" w:type="dxa"/>
          </w:tblCellMar>
        </w:tblPrEx>
        <w:tc>
          <w:tcPr>
            <w:tcW w:w="2160" w:type="dxa"/>
          </w:tcPr>
          <w:p w:rsidR="00000000" w:rsidRDefault="00000000">
            <w:pPr>
              <w:pStyle w:val="BodyTextIndent2"/>
              <w:spacing w:after="120"/>
              <w:ind w:left="0" w:firstLine="0"/>
              <w:jc w:val="left"/>
              <w:rPr>
                <w:sz w:val="17"/>
              </w:rPr>
            </w:pPr>
            <w:r>
              <w:rPr>
                <w:sz w:val="17"/>
              </w:rPr>
              <w:t>City of Almaty</w:t>
            </w:r>
          </w:p>
        </w:tc>
        <w:tc>
          <w:tcPr>
            <w:tcW w:w="1512" w:type="dxa"/>
          </w:tcPr>
          <w:p w:rsidR="00000000" w:rsidRDefault="00000000">
            <w:pPr>
              <w:pStyle w:val="BodyTextIndent2"/>
              <w:spacing w:after="120"/>
              <w:ind w:left="0" w:firstLine="0"/>
              <w:jc w:val="right"/>
              <w:rPr>
                <w:sz w:val="17"/>
              </w:rPr>
            </w:pPr>
            <w:r>
              <w:rPr>
                <w:sz w:val="17"/>
              </w:rPr>
              <w:t>1 041</w:t>
            </w:r>
          </w:p>
        </w:tc>
        <w:tc>
          <w:tcPr>
            <w:tcW w:w="1368" w:type="dxa"/>
          </w:tcPr>
          <w:p w:rsidR="00000000" w:rsidRDefault="00000000">
            <w:pPr>
              <w:pStyle w:val="BodyTextIndent2"/>
              <w:spacing w:after="120"/>
              <w:ind w:left="0" w:firstLine="0"/>
              <w:jc w:val="right"/>
              <w:rPr>
                <w:sz w:val="17"/>
              </w:rPr>
            </w:pPr>
            <w:r>
              <w:rPr>
                <w:sz w:val="17"/>
              </w:rPr>
              <w:t>11</w:t>
            </w:r>
          </w:p>
        </w:tc>
        <w:tc>
          <w:tcPr>
            <w:tcW w:w="1287" w:type="dxa"/>
          </w:tcPr>
          <w:p w:rsidR="00000000" w:rsidRDefault="00000000">
            <w:pPr>
              <w:pStyle w:val="BodyTextIndent2"/>
              <w:spacing w:after="120"/>
              <w:ind w:left="0" w:firstLine="0"/>
              <w:jc w:val="right"/>
              <w:rPr>
                <w:sz w:val="17"/>
              </w:rPr>
            </w:pPr>
            <w:r>
              <w:rPr>
                <w:sz w:val="17"/>
              </w:rPr>
              <w:t>32</w:t>
            </w:r>
          </w:p>
        </w:tc>
        <w:tc>
          <w:tcPr>
            <w:tcW w:w="1233" w:type="dxa"/>
          </w:tcPr>
          <w:p w:rsidR="00000000" w:rsidRDefault="00000000">
            <w:pPr>
              <w:pStyle w:val="BodyTextIndent2"/>
              <w:spacing w:after="120"/>
              <w:ind w:left="0" w:firstLine="0"/>
              <w:jc w:val="right"/>
              <w:rPr>
                <w:sz w:val="17"/>
              </w:rPr>
            </w:pPr>
            <w:r>
              <w:rPr>
                <w:sz w:val="17"/>
              </w:rPr>
              <w:t>122</w:t>
            </w:r>
          </w:p>
        </w:tc>
        <w:tc>
          <w:tcPr>
            <w:tcW w:w="1260" w:type="dxa"/>
          </w:tcPr>
          <w:p w:rsidR="00000000" w:rsidRDefault="00000000">
            <w:pPr>
              <w:pStyle w:val="BodyTextIndent2"/>
              <w:spacing w:after="120"/>
              <w:ind w:left="0" w:firstLine="0"/>
              <w:jc w:val="right"/>
              <w:rPr>
                <w:sz w:val="17"/>
              </w:rPr>
            </w:pPr>
            <w:r>
              <w:rPr>
                <w:sz w:val="17"/>
              </w:rPr>
              <w:t>321</w:t>
            </w:r>
          </w:p>
        </w:tc>
        <w:tc>
          <w:tcPr>
            <w:tcW w:w="1138" w:type="dxa"/>
          </w:tcPr>
          <w:p w:rsidR="00000000" w:rsidRDefault="00000000">
            <w:pPr>
              <w:pStyle w:val="BodyTextIndent2"/>
              <w:spacing w:after="120"/>
              <w:ind w:left="0" w:firstLine="0"/>
              <w:jc w:val="right"/>
              <w:rPr>
                <w:sz w:val="17"/>
              </w:rPr>
            </w:pPr>
            <w:r>
              <w:rPr>
                <w:sz w:val="17"/>
              </w:rPr>
              <w:t>555</w:t>
            </w:r>
          </w:p>
        </w:tc>
      </w:tr>
      <w:tr w:rsidR="00000000">
        <w:tblPrEx>
          <w:tblCellMar>
            <w:top w:w="0" w:type="dxa"/>
            <w:bottom w:w="0" w:type="dxa"/>
          </w:tblCellMar>
        </w:tblPrEx>
        <w:tc>
          <w:tcPr>
            <w:tcW w:w="2160" w:type="dxa"/>
          </w:tcPr>
          <w:p w:rsidR="00000000" w:rsidRDefault="00000000">
            <w:pPr>
              <w:pStyle w:val="BodyTextIndent2"/>
              <w:spacing w:after="120"/>
              <w:ind w:left="0" w:firstLine="0"/>
              <w:jc w:val="left"/>
              <w:rPr>
                <w:sz w:val="17"/>
              </w:rPr>
            </w:pPr>
            <w:r>
              <w:rPr>
                <w:sz w:val="17"/>
              </w:rPr>
              <w:t>Atyrau region</w:t>
            </w:r>
          </w:p>
        </w:tc>
        <w:tc>
          <w:tcPr>
            <w:tcW w:w="1512" w:type="dxa"/>
          </w:tcPr>
          <w:p w:rsidR="00000000" w:rsidRDefault="00000000">
            <w:pPr>
              <w:pStyle w:val="BodyTextIndent2"/>
              <w:spacing w:after="120"/>
              <w:ind w:left="0" w:firstLine="0"/>
              <w:jc w:val="right"/>
              <w:rPr>
                <w:sz w:val="17"/>
              </w:rPr>
            </w:pPr>
            <w:r>
              <w:rPr>
                <w:sz w:val="17"/>
              </w:rPr>
              <w:t>785</w:t>
            </w:r>
          </w:p>
        </w:tc>
        <w:tc>
          <w:tcPr>
            <w:tcW w:w="1368" w:type="dxa"/>
          </w:tcPr>
          <w:p w:rsidR="00000000" w:rsidRDefault="00000000">
            <w:pPr>
              <w:pStyle w:val="BodyTextIndent2"/>
              <w:spacing w:after="120"/>
              <w:ind w:left="0" w:firstLine="0"/>
              <w:jc w:val="right"/>
              <w:rPr>
                <w:sz w:val="17"/>
              </w:rPr>
            </w:pPr>
            <w:r>
              <w:rPr>
                <w:sz w:val="17"/>
              </w:rPr>
              <w:t>7</w:t>
            </w:r>
          </w:p>
        </w:tc>
        <w:tc>
          <w:tcPr>
            <w:tcW w:w="1287" w:type="dxa"/>
          </w:tcPr>
          <w:p w:rsidR="00000000" w:rsidRDefault="00000000">
            <w:pPr>
              <w:pStyle w:val="BodyTextIndent2"/>
              <w:spacing w:after="120"/>
              <w:ind w:left="0" w:firstLine="0"/>
              <w:jc w:val="right"/>
              <w:rPr>
                <w:sz w:val="17"/>
              </w:rPr>
            </w:pPr>
            <w:r>
              <w:rPr>
                <w:sz w:val="17"/>
              </w:rPr>
              <w:t>28</w:t>
            </w:r>
          </w:p>
        </w:tc>
        <w:tc>
          <w:tcPr>
            <w:tcW w:w="1233" w:type="dxa"/>
          </w:tcPr>
          <w:p w:rsidR="00000000" w:rsidRDefault="00000000">
            <w:pPr>
              <w:pStyle w:val="BodyTextIndent2"/>
              <w:spacing w:after="120"/>
              <w:ind w:left="0" w:firstLine="0"/>
              <w:jc w:val="right"/>
              <w:rPr>
                <w:sz w:val="17"/>
              </w:rPr>
            </w:pPr>
            <w:r>
              <w:rPr>
                <w:sz w:val="17"/>
              </w:rPr>
              <w:t>119</w:t>
            </w:r>
          </w:p>
        </w:tc>
        <w:tc>
          <w:tcPr>
            <w:tcW w:w="1260" w:type="dxa"/>
          </w:tcPr>
          <w:p w:rsidR="00000000" w:rsidRDefault="00000000">
            <w:pPr>
              <w:pStyle w:val="BodyTextIndent2"/>
              <w:spacing w:after="120"/>
              <w:ind w:left="0" w:firstLine="0"/>
              <w:jc w:val="right"/>
              <w:rPr>
                <w:sz w:val="17"/>
              </w:rPr>
            </w:pPr>
            <w:r>
              <w:rPr>
                <w:sz w:val="17"/>
              </w:rPr>
              <w:t>249</w:t>
            </w:r>
          </w:p>
        </w:tc>
        <w:tc>
          <w:tcPr>
            <w:tcW w:w="1138" w:type="dxa"/>
          </w:tcPr>
          <w:p w:rsidR="00000000" w:rsidRDefault="00000000">
            <w:pPr>
              <w:pStyle w:val="BodyTextIndent2"/>
              <w:spacing w:after="120"/>
              <w:ind w:left="0" w:firstLine="0"/>
              <w:jc w:val="right"/>
              <w:rPr>
                <w:sz w:val="17"/>
              </w:rPr>
            </w:pPr>
            <w:r>
              <w:rPr>
                <w:sz w:val="17"/>
              </w:rPr>
              <w:t>382</w:t>
            </w:r>
          </w:p>
        </w:tc>
      </w:tr>
      <w:tr w:rsidR="00000000">
        <w:tblPrEx>
          <w:tblCellMar>
            <w:top w:w="0" w:type="dxa"/>
            <w:bottom w:w="0" w:type="dxa"/>
          </w:tblCellMar>
        </w:tblPrEx>
        <w:tc>
          <w:tcPr>
            <w:tcW w:w="2160" w:type="dxa"/>
          </w:tcPr>
          <w:p w:rsidR="00000000" w:rsidRDefault="00000000">
            <w:pPr>
              <w:pStyle w:val="BodyTextIndent2"/>
              <w:spacing w:after="120"/>
              <w:ind w:left="0" w:firstLine="0"/>
              <w:jc w:val="left"/>
              <w:rPr>
                <w:sz w:val="17"/>
              </w:rPr>
            </w:pPr>
            <w:r>
              <w:rPr>
                <w:sz w:val="17"/>
              </w:rPr>
              <w:t>East Kazakhstan region</w:t>
            </w:r>
          </w:p>
        </w:tc>
        <w:tc>
          <w:tcPr>
            <w:tcW w:w="1512" w:type="dxa"/>
          </w:tcPr>
          <w:p w:rsidR="00000000" w:rsidRDefault="00000000">
            <w:pPr>
              <w:pStyle w:val="BodyTextIndent2"/>
              <w:spacing w:after="120"/>
              <w:ind w:left="0" w:firstLine="0"/>
              <w:jc w:val="right"/>
              <w:rPr>
                <w:sz w:val="17"/>
              </w:rPr>
            </w:pPr>
            <w:r>
              <w:rPr>
                <w:sz w:val="17"/>
              </w:rPr>
              <w:t>2 831</w:t>
            </w:r>
          </w:p>
        </w:tc>
        <w:tc>
          <w:tcPr>
            <w:tcW w:w="1368" w:type="dxa"/>
          </w:tcPr>
          <w:p w:rsidR="00000000" w:rsidRDefault="00000000">
            <w:pPr>
              <w:pStyle w:val="BodyTextIndent2"/>
              <w:spacing w:after="120"/>
              <w:ind w:left="0" w:firstLine="0"/>
              <w:jc w:val="right"/>
              <w:rPr>
                <w:sz w:val="17"/>
              </w:rPr>
            </w:pPr>
            <w:r>
              <w:rPr>
                <w:sz w:val="17"/>
              </w:rPr>
              <w:t>38</w:t>
            </w:r>
          </w:p>
        </w:tc>
        <w:tc>
          <w:tcPr>
            <w:tcW w:w="1287" w:type="dxa"/>
          </w:tcPr>
          <w:p w:rsidR="00000000" w:rsidRDefault="00000000">
            <w:pPr>
              <w:pStyle w:val="BodyTextIndent2"/>
              <w:spacing w:after="120"/>
              <w:ind w:left="0" w:firstLine="0"/>
              <w:jc w:val="right"/>
              <w:rPr>
                <w:sz w:val="17"/>
              </w:rPr>
            </w:pPr>
            <w:r>
              <w:rPr>
                <w:sz w:val="17"/>
              </w:rPr>
              <w:t>168</w:t>
            </w:r>
          </w:p>
        </w:tc>
        <w:tc>
          <w:tcPr>
            <w:tcW w:w="1233" w:type="dxa"/>
          </w:tcPr>
          <w:p w:rsidR="00000000" w:rsidRDefault="00000000">
            <w:pPr>
              <w:pStyle w:val="BodyTextIndent2"/>
              <w:spacing w:after="120"/>
              <w:ind w:left="0" w:firstLine="0"/>
              <w:jc w:val="right"/>
              <w:rPr>
                <w:sz w:val="17"/>
              </w:rPr>
            </w:pPr>
            <w:r>
              <w:rPr>
                <w:sz w:val="17"/>
              </w:rPr>
              <w:t>445</w:t>
            </w:r>
          </w:p>
        </w:tc>
        <w:tc>
          <w:tcPr>
            <w:tcW w:w="1260" w:type="dxa"/>
          </w:tcPr>
          <w:p w:rsidR="00000000" w:rsidRDefault="00000000">
            <w:pPr>
              <w:pStyle w:val="BodyTextIndent2"/>
              <w:spacing w:after="120"/>
              <w:ind w:left="0" w:firstLine="0"/>
              <w:jc w:val="right"/>
              <w:rPr>
                <w:sz w:val="17"/>
              </w:rPr>
            </w:pPr>
            <w:r>
              <w:rPr>
                <w:sz w:val="17"/>
              </w:rPr>
              <w:t>902</w:t>
            </w:r>
          </w:p>
        </w:tc>
        <w:tc>
          <w:tcPr>
            <w:tcW w:w="1138" w:type="dxa"/>
          </w:tcPr>
          <w:p w:rsidR="00000000" w:rsidRDefault="00000000">
            <w:pPr>
              <w:pStyle w:val="BodyTextIndent2"/>
              <w:spacing w:after="120"/>
              <w:ind w:left="0" w:firstLine="0"/>
              <w:jc w:val="right"/>
              <w:rPr>
                <w:sz w:val="17"/>
              </w:rPr>
            </w:pPr>
            <w:r>
              <w:rPr>
                <w:sz w:val="17"/>
              </w:rPr>
              <w:t>1 278</w:t>
            </w:r>
          </w:p>
        </w:tc>
      </w:tr>
      <w:tr w:rsidR="00000000">
        <w:tblPrEx>
          <w:tblCellMar>
            <w:top w:w="0" w:type="dxa"/>
            <w:bottom w:w="0" w:type="dxa"/>
          </w:tblCellMar>
        </w:tblPrEx>
        <w:tc>
          <w:tcPr>
            <w:tcW w:w="2160" w:type="dxa"/>
          </w:tcPr>
          <w:p w:rsidR="00000000" w:rsidRDefault="00000000">
            <w:pPr>
              <w:pStyle w:val="BodyTextIndent2"/>
              <w:spacing w:after="120"/>
              <w:ind w:left="0" w:firstLine="0"/>
              <w:jc w:val="left"/>
              <w:rPr>
                <w:sz w:val="17"/>
              </w:rPr>
            </w:pPr>
            <w:r>
              <w:rPr>
                <w:sz w:val="17"/>
              </w:rPr>
              <w:t>Zhambyl region</w:t>
            </w:r>
          </w:p>
        </w:tc>
        <w:tc>
          <w:tcPr>
            <w:tcW w:w="1512" w:type="dxa"/>
          </w:tcPr>
          <w:p w:rsidR="00000000" w:rsidRDefault="00000000">
            <w:pPr>
              <w:pStyle w:val="BodyTextIndent2"/>
              <w:spacing w:after="120"/>
              <w:ind w:left="0" w:firstLine="0"/>
              <w:jc w:val="right"/>
              <w:rPr>
                <w:sz w:val="17"/>
              </w:rPr>
            </w:pPr>
            <w:r>
              <w:rPr>
                <w:sz w:val="17"/>
              </w:rPr>
              <w:t>1 034</w:t>
            </w:r>
          </w:p>
        </w:tc>
        <w:tc>
          <w:tcPr>
            <w:tcW w:w="1368" w:type="dxa"/>
          </w:tcPr>
          <w:p w:rsidR="00000000" w:rsidRDefault="00000000">
            <w:pPr>
              <w:pStyle w:val="BodyTextIndent2"/>
              <w:spacing w:after="120"/>
              <w:ind w:left="0" w:firstLine="0"/>
              <w:jc w:val="right"/>
              <w:rPr>
                <w:sz w:val="17"/>
              </w:rPr>
            </w:pPr>
            <w:r>
              <w:rPr>
                <w:sz w:val="17"/>
              </w:rPr>
              <w:t>7</w:t>
            </w:r>
          </w:p>
        </w:tc>
        <w:tc>
          <w:tcPr>
            <w:tcW w:w="1287" w:type="dxa"/>
          </w:tcPr>
          <w:p w:rsidR="00000000" w:rsidRDefault="00000000">
            <w:pPr>
              <w:pStyle w:val="BodyTextIndent2"/>
              <w:spacing w:after="120"/>
              <w:ind w:left="0" w:firstLine="0"/>
              <w:jc w:val="right"/>
              <w:rPr>
                <w:sz w:val="17"/>
              </w:rPr>
            </w:pPr>
            <w:r>
              <w:rPr>
                <w:sz w:val="17"/>
              </w:rPr>
              <w:t>37</w:t>
            </w:r>
          </w:p>
        </w:tc>
        <w:tc>
          <w:tcPr>
            <w:tcW w:w="1233" w:type="dxa"/>
          </w:tcPr>
          <w:p w:rsidR="00000000" w:rsidRDefault="00000000">
            <w:pPr>
              <w:pStyle w:val="BodyTextIndent2"/>
              <w:spacing w:after="120"/>
              <w:ind w:left="0" w:firstLine="0"/>
              <w:jc w:val="right"/>
              <w:rPr>
                <w:sz w:val="17"/>
              </w:rPr>
            </w:pPr>
            <w:r>
              <w:rPr>
                <w:sz w:val="17"/>
              </w:rPr>
              <w:t>123</w:t>
            </w:r>
          </w:p>
        </w:tc>
        <w:tc>
          <w:tcPr>
            <w:tcW w:w="1260" w:type="dxa"/>
          </w:tcPr>
          <w:p w:rsidR="00000000" w:rsidRDefault="00000000">
            <w:pPr>
              <w:pStyle w:val="BodyTextIndent2"/>
              <w:spacing w:after="120"/>
              <w:ind w:left="0" w:firstLine="0"/>
              <w:jc w:val="right"/>
              <w:rPr>
                <w:sz w:val="17"/>
              </w:rPr>
            </w:pPr>
            <w:r>
              <w:rPr>
                <w:sz w:val="17"/>
              </w:rPr>
              <w:t>272</w:t>
            </w:r>
          </w:p>
        </w:tc>
        <w:tc>
          <w:tcPr>
            <w:tcW w:w="1138" w:type="dxa"/>
          </w:tcPr>
          <w:p w:rsidR="00000000" w:rsidRDefault="00000000">
            <w:pPr>
              <w:pStyle w:val="BodyTextIndent2"/>
              <w:spacing w:after="120"/>
              <w:ind w:left="0" w:firstLine="0"/>
              <w:jc w:val="right"/>
              <w:rPr>
                <w:sz w:val="17"/>
              </w:rPr>
            </w:pPr>
            <w:r>
              <w:rPr>
                <w:sz w:val="17"/>
              </w:rPr>
              <w:t>595</w:t>
            </w:r>
          </w:p>
        </w:tc>
      </w:tr>
      <w:tr w:rsidR="00000000">
        <w:tblPrEx>
          <w:tblCellMar>
            <w:top w:w="0" w:type="dxa"/>
            <w:bottom w:w="0" w:type="dxa"/>
          </w:tblCellMar>
        </w:tblPrEx>
        <w:tc>
          <w:tcPr>
            <w:tcW w:w="2160" w:type="dxa"/>
          </w:tcPr>
          <w:p w:rsidR="00000000" w:rsidRDefault="00000000">
            <w:pPr>
              <w:pStyle w:val="BodyTextIndent2"/>
              <w:spacing w:after="120"/>
              <w:ind w:left="0" w:firstLine="0"/>
              <w:jc w:val="left"/>
              <w:rPr>
                <w:sz w:val="17"/>
              </w:rPr>
            </w:pPr>
            <w:r>
              <w:rPr>
                <w:sz w:val="17"/>
              </w:rPr>
              <w:t>West Kazakhstan region</w:t>
            </w:r>
          </w:p>
        </w:tc>
        <w:tc>
          <w:tcPr>
            <w:tcW w:w="1512" w:type="dxa"/>
          </w:tcPr>
          <w:p w:rsidR="00000000" w:rsidRDefault="00000000">
            <w:pPr>
              <w:pStyle w:val="BodyTextIndent2"/>
              <w:spacing w:after="120"/>
              <w:ind w:left="0" w:firstLine="0"/>
              <w:jc w:val="right"/>
              <w:rPr>
                <w:sz w:val="17"/>
              </w:rPr>
            </w:pPr>
            <w:r>
              <w:rPr>
                <w:sz w:val="17"/>
              </w:rPr>
              <w:t>1 152</w:t>
            </w:r>
          </w:p>
        </w:tc>
        <w:tc>
          <w:tcPr>
            <w:tcW w:w="1368" w:type="dxa"/>
          </w:tcPr>
          <w:p w:rsidR="00000000" w:rsidRDefault="00000000">
            <w:pPr>
              <w:pStyle w:val="BodyTextIndent2"/>
              <w:spacing w:after="120"/>
              <w:ind w:left="0" w:firstLine="0"/>
              <w:jc w:val="right"/>
              <w:rPr>
                <w:sz w:val="17"/>
              </w:rPr>
            </w:pPr>
            <w:r>
              <w:rPr>
                <w:sz w:val="17"/>
              </w:rPr>
              <w:t>8</w:t>
            </w:r>
          </w:p>
        </w:tc>
        <w:tc>
          <w:tcPr>
            <w:tcW w:w="1287" w:type="dxa"/>
          </w:tcPr>
          <w:p w:rsidR="00000000" w:rsidRDefault="00000000">
            <w:pPr>
              <w:pStyle w:val="BodyTextIndent2"/>
              <w:spacing w:after="120"/>
              <w:ind w:left="0" w:firstLine="0"/>
              <w:jc w:val="right"/>
              <w:rPr>
                <w:sz w:val="17"/>
              </w:rPr>
            </w:pPr>
            <w:r>
              <w:rPr>
                <w:sz w:val="17"/>
              </w:rPr>
              <w:t>49</w:t>
            </w:r>
          </w:p>
        </w:tc>
        <w:tc>
          <w:tcPr>
            <w:tcW w:w="1233" w:type="dxa"/>
          </w:tcPr>
          <w:p w:rsidR="00000000" w:rsidRDefault="00000000">
            <w:pPr>
              <w:pStyle w:val="BodyTextIndent2"/>
              <w:spacing w:after="120"/>
              <w:ind w:left="0" w:firstLine="0"/>
              <w:jc w:val="right"/>
              <w:rPr>
                <w:sz w:val="17"/>
              </w:rPr>
            </w:pPr>
            <w:r>
              <w:rPr>
                <w:sz w:val="17"/>
              </w:rPr>
              <w:t>154</w:t>
            </w:r>
          </w:p>
        </w:tc>
        <w:tc>
          <w:tcPr>
            <w:tcW w:w="1260" w:type="dxa"/>
          </w:tcPr>
          <w:p w:rsidR="00000000" w:rsidRDefault="00000000">
            <w:pPr>
              <w:pStyle w:val="BodyTextIndent2"/>
              <w:spacing w:after="120"/>
              <w:ind w:left="0" w:firstLine="0"/>
              <w:jc w:val="right"/>
              <w:rPr>
                <w:sz w:val="17"/>
              </w:rPr>
            </w:pPr>
            <w:r>
              <w:rPr>
                <w:sz w:val="17"/>
              </w:rPr>
              <w:t>372</w:t>
            </w:r>
          </w:p>
        </w:tc>
        <w:tc>
          <w:tcPr>
            <w:tcW w:w="1138" w:type="dxa"/>
          </w:tcPr>
          <w:p w:rsidR="00000000" w:rsidRDefault="00000000">
            <w:pPr>
              <w:pStyle w:val="BodyTextIndent2"/>
              <w:spacing w:after="120"/>
              <w:ind w:left="0" w:firstLine="0"/>
              <w:jc w:val="right"/>
              <w:rPr>
                <w:sz w:val="17"/>
              </w:rPr>
            </w:pPr>
            <w:r>
              <w:rPr>
                <w:sz w:val="17"/>
              </w:rPr>
              <w:t>569</w:t>
            </w:r>
          </w:p>
        </w:tc>
      </w:tr>
      <w:tr w:rsidR="00000000">
        <w:tblPrEx>
          <w:tblCellMar>
            <w:top w:w="0" w:type="dxa"/>
            <w:bottom w:w="0" w:type="dxa"/>
          </w:tblCellMar>
        </w:tblPrEx>
        <w:tc>
          <w:tcPr>
            <w:tcW w:w="2160" w:type="dxa"/>
          </w:tcPr>
          <w:p w:rsidR="00000000" w:rsidRDefault="00000000">
            <w:pPr>
              <w:pStyle w:val="BodyTextIndent2"/>
              <w:spacing w:after="120"/>
              <w:ind w:left="0" w:firstLine="0"/>
              <w:jc w:val="left"/>
              <w:rPr>
                <w:sz w:val="17"/>
              </w:rPr>
            </w:pPr>
            <w:r>
              <w:rPr>
                <w:sz w:val="17"/>
              </w:rPr>
              <w:t>Qaraghandy region</w:t>
            </w:r>
          </w:p>
        </w:tc>
        <w:tc>
          <w:tcPr>
            <w:tcW w:w="1512" w:type="dxa"/>
          </w:tcPr>
          <w:p w:rsidR="00000000" w:rsidRDefault="00000000">
            <w:pPr>
              <w:pStyle w:val="BodyTextIndent2"/>
              <w:spacing w:after="120"/>
              <w:ind w:left="0" w:firstLine="0"/>
              <w:jc w:val="right"/>
              <w:rPr>
                <w:sz w:val="17"/>
              </w:rPr>
            </w:pPr>
            <w:r>
              <w:rPr>
                <w:sz w:val="17"/>
              </w:rPr>
              <w:t>2 910</w:t>
            </w:r>
          </w:p>
        </w:tc>
        <w:tc>
          <w:tcPr>
            <w:tcW w:w="1368" w:type="dxa"/>
          </w:tcPr>
          <w:p w:rsidR="00000000" w:rsidRDefault="00000000">
            <w:pPr>
              <w:pStyle w:val="BodyTextIndent2"/>
              <w:spacing w:after="120"/>
              <w:ind w:left="0" w:firstLine="0"/>
              <w:jc w:val="right"/>
              <w:rPr>
                <w:sz w:val="17"/>
              </w:rPr>
            </w:pPr>
            <w:r>
              <w:rPr>
                <w:sz w:val="17"/>
              </w:rPr>
              <w:t>51</w:t>
            </w:r>
          </w:p>
        </w:tc>
        <w:tc>
          <w:tcPr>
            <w:tcW w:w="1287" w:type="dxa"/>
          </w:tcPr>
          <w:p w:rsidR="00000000" w:rsidRDefault="00000000">
            <w:pPr>
              <w:pStyle w:val="BodyTextIndent2"/>
              <w:spacing w:after="120"/>
              <w:ind w:left="0" w:firstLine="0"/>
              <w:jc w:val="right"/>
              <w:rPr>
                <w:sz w:val="17"/>
              </w:rPr>
            </w:pPr>
            <w:r>
              <w:rPr>
                <w:sz w:val="17"/>
              </w:rPr>
              <w:t>174</w:t>
            </w:r>
          </w:p>
        </w:tc>
        <w:tc>
          <w:tcPr>
            <w:tcW w:w="1233" w:type="dxa"/>
          </w:tcPr>
          <w:p w:rsidR="00000000" w:rsidRDefault="00000000">
            <w:pPr>
              <w:pStyle w:val="BodyTextIndent2"/>
              <w:spacing w:after="120"/>
              <w:ind w:left="0" w:firstLine="0"/>
              <w:jc w:val="right"/>
              <w:rPr>
                <w:sz w:val="17"/>
              </w:rPr>
            </w:pPr>
            <w:r>
              <w:rPr>
                <w:sz w:val="17"/>
              </w:rPr>
              <w:t>448</w:t>
            </w:r>
          </w:p>
        </w:tc>
        <w:tc>
          <w:tcPr>
            <w:tcW w:w="1260" w:type="dxa"/>
          </w:tcPr>
          <w:p w:rsidR="00000000" w:rsidRDefault="00000000">
            <w:pPr>
              <w:pStyle w:val="BodyTextIndent2"/>
              <w:spacing w:after="120"/>
              <w:ind w:left="0" w:firstLine="0"/>
              <w:jc w:val="right"/>
              <w:rPr>
                <w:sz w:val="17"/>
              </w:rPr>
            </w:pPr>
            <w:r>
              <w:rPr>
                <w:sz w:val="17"/>
              </w:rPr>
              <w:t>933</w:t>
            </w:r>
          </w:p>
        </w:tc>
        <w:tc>
          <w:tcPr>
            <w:tcW w:w="1138" w:type="dxa"/>
          </w:tcPr>
          <w:p w:rsidR="00000000" w:rsidRDefault="00000000">
            <w:pPr>
              <w:pStyle w:val="BodyTextIndent2"/>
              <w:spacing w:after="120"/>
              <w:ind w:left="0" w:firstLine="0"/>
              <w:jc w:val="right"/>
              <w:rPr>
                <w:sz w:val="17"/>
              </w:rPr>
            </w:pPr>
            <w:r>
              <w:rPr>
                <w:sz w:val="17"/>
              </w:rPr>
              <w:t>1 304</w:t>
            </w:r>
          </w:p>
        </w:tc>
      </w:tr>
      <w:tr w:rsidR="00000000">
        <w:tblPrEx>
          <w:tblCellMar>
            <w:top w:w="0" w:type="dxa"/>
            <w:bottom w:w="0" w:type="dxa"/>
          </w:tblCellMar>
        </w:tblPrEx>
        <w:tc>
          <w:tcPr>
            <w:tcW w:w="2160" w:type="dxa"/>
          </w:tcPr>
          <w:p w:rsidR="00000000" w:rsidRDefault="00000000">
            <w:pPr>
              <w:pStyle w:val="BodyTextIndent2"/>
              <w:spacing w:after="120"/>
              <w:ind w:left="0" w:firstLine="0"/>
              <w:jc w:val="left"/>
              <w:rPr>
                <w:sz w:val="17"/>
              </w:rPr>
            </w:pPr>
            <w:r>
              <w:rPr>
                <w:sz w:val="17"/>
              </w:rPr>
              <w:t>Qyzylorda region</w:t>
            </w:r>
          </w:p>
        </w:tc>
        <w:tc>
          <w:tcPr>
            <w:tcW w:w="1512" w:type="dxa"/>
          </w:tcPr>
          <w:p w:rsidR="00000000" w:rsidRDefault="00000000">
            <w:pPr>
              <w:pStyle w:val="BodyTextIndent2"/>
              <w:spacing w:after="120"/>
              <w:ind w:left="0" w:firstLine="0"/>
              <w:jc w:val="right"/>
              <w:rPr>
                <w:sz w:val="17"/>
              </w:rPr>
            </w:pPr>
            <w:r>
              <w:rPr>
                <w:sz w:val="17"/>
              </w:rPr>
              <w:t>1 179</w:t>
            </w:r>
          </w:p>
        </w:tc>
        <w:tc>
          <w:tcPr>
            <w:tcW w:w="1368" w:type="dxa"/>
          </w:tcPr>
          <w:p w:rsidR="00000000" w:rsidRDefault="00000000">
            <w:pPr>
              <w:pStyle w:val="BodyTextIndent2"/>
              <w:spacing w:after="120"/>
              <w:ind w:left="0" w:firstLine="0"/>
              <w:jc w:val="right"/>
              <w:rPr>
                <w:sz w:val="17"/>
              </w:rPr>
            </w:pPr>
            <w:r>
              <w:rPr>
                <w:sz w:val="17"/>
              </w:rPr>
              <w:t>3</w:t>
            </w:r>
          </w:p>
        </w:tc>
        <w:tc>
          <w:tcPr>
            <w:tcW w:w="1287" w:type="dxa"/>
          </w:tcPr>
          <w:p w:rsidR="00000000" w:rsidRDefault="00000000">
            <w:pPr>
              <w:pStyle w:val="BodyTextIndent2"/>
              <w:spacing w:after="120"/>
              <w:ind w:left="0" w:firstLine="0"/>
              <w:jc w:val="right"/>
              <w:rPr>
                <w:sz w:val="17"/>
              </w:rPr>
            </w:pPr>
            <w:r>
              <w:rPr>
                <w:sz w:val="17"/>
              </w:rPr>
              <w:t>35</w:t>
            </w:r>
          </w:p>
        </w:tc>
        <w:tc>
          <w:tcPr>
            <w:tcW w:w="1233" w:type="dxa"/>
          </w:tcPr>
          <w:p w:rsidR="00000000" w:rsidRDefault="00000000">
            <w:pPr>
              <w:pStyle w:val="BodyTextIndent2"/>
              <w:spacing w:after="120"/>
              <w:ind w:left="0" w:firstLine="0"/>
              <w:jc w:val="right"/>
              <w:rPr>
                <w:sz w:val="17"/>
              </w:rPr>
            </w:pPr>
            <w:r>
              <w:rPr>
                <w:sz w:val="17"/>
              </w:rPr>
              <w:t>111</w:t>
            </w:r>
          </w:p>
        </w:tc>
        <w:tc>
          <w:tcPr>
            <w:tcW w:w="1260" w:type="dxa"/>
          </w:tcPr>
          <w:p w:rsidR="00000000" w:rsidRDefault="00000000">
            <w:pPr>
              <w:pStyle w:val="BodyTextIndent2"/>
              <w:spacing w:after="120"/>
              <w:ind w:left="0" w:firstLine="0"/>
              <w:jc w:val="right"/>
              <w:rPr>
                <w:sz w:val="17"/>
              </w:rPr>
            </w:pPr>
            <w:r>
              <w:rPr>
                <w:sz w:val="17"/>
              </w:rPr>
              <w:t>377</w:t>
            </w:r>
          </w:p>
        </w:tc>
        <w:tc>
          <w:tcPr>
            <w:tcW w:w="1138" w:type="dxa"/>
          </w:tcPr>
          <w:p w:rsidR="00000000" w:rsidRDefault="00000000">
            <w:pPr>
              <w:pStyle w:val="BodyTextIndent2"/>
              <w:spacing w:after="120"/>
              <w:ind w:left="0" w:firstLine="0"/>
              <w:jc w:val="right"/>
              <w:rPr>
                <w:sz w:val="17"/>
              </w:rPr>
            </w:pPr>
            <w:r>
              <w:rPr>
                <w:sz w:val="17"/>
              </w:rPr>
              <w:t>653</w:t>
            </w:r>
          </w:p>
        </w:tc>
      </w:tr>
      <w:tr w:rsidR="00000000">
        <w:tblPrEx>
          <w:tblCellMar>
            <w:top w:w="0" w:type="dxa"/>
            <w:bottom w:w="0" w:type="dxa"/>
          </w:tblCellMar>
        </w:tblPrEx>
        <w:tc>
          <w:tcPr>
            <w:tcW w:w="2160" w:type="dxa"/>
          </w:tcPr>
          <w:p w:rsidR="00000000" w:rsidRDefault="00000000">
            <w:pPr>
              <w:pStyle w:val="BodyTextIndent2"/>
              <w:spacing w:after="120"/>
              <w:ind w:left="0" w:firstLine="0"/>
              <w:jc w:val="left"/>
              <w:rPr>
                <w:sz w:val="17"/>
              </w:rPr>
            </w:pPr>
            <w:r>
              <w:rPr>
                <w:sz w:val="17"/>
              </w:rPr>
              <w:t>Qostanay region</w:t>
            </w:r>
          </w:p>
        </w:tc>
        <w:tc>
          <w:tcPr>
            <w:tcW w:w="1512" w:type="dxa"/>
          </w:tcPr>
          <w:p w:rsidR="00000000" w:rsidRDefault="00000000">
            <w:pPr>
              <w:pStyle w:val="BodyTextIndent2"/>
              <w:spacing w:after="120"/>
              <w:ind w:left="0" w:firstLine="0"/>
              <w:jc w:val="right"/>
              <w:rPr>
                <w:sz w:val="17"/>
              </w:rPr>
            </w:pPr>
            <w:r>
              <w:rPr>
                <w:sz w:val="17"/>
              </w:rPr>
              <w:t>2 299</w:t>
            </w:r>
          </w:p>
        </w:tc>
        <w:tc>
          <w:tcPr>
            <w:tcW w:w="1368" w:type="dxa"/>
          </w:tcPr>
          <w:p w:rsidR="00000000" w:rsidRDefault="00000000">
            <w:pPr>
              <w:pStyle w:val="BodyTextIndent2"/>
              <w:spacing w:after="120"/>
              <w:ind w:left="0" w:firstLine="0"/>
              <w:jc w:val="right"/>
              <w:rPr>
                <w:sz w:val="17"/>
              </w:rPr>
            </w:pPr>
            <w:r>
              <w:rPr>
                <w:sz w:val="17"/>
              </w:rPr>
              <w:t>47</w:t>
            </w:r>
          </w:p>
        </w:tc>
        <w:tc>
          <w:tcPr>
            <w:tcW w:w="1287" w:type="dxa"/>
          </w:tcPr>
          <w:p w:rsidR="00000000" w:rsidRDefault="00000000">
            <w:pPr>
              <w:pStyle w:val="BodyTextIndent2"/>
              <w:spacing w:after="120"/>
              <w:ind w:left="0" w:firstLine="0"/>
              <w:jc w:val="right"/>
              <w:rPr>
                <w:sz w:val="17"/>
              </w:rPr>
            </w:pPr>
            <w:r>
              <w:rPr>
                <w:sz w:val="17"/>
              </w:rPr>
              <w:t>168</w:t>
            </w:r>
          </w:p>
        </w:tc>
        <w:tc>
          <w:tcPr>
            <w:tcW w:w="1233" w:type="dxa"/>
          </w:tcPr>
          <w:p w:rsidR="00000000" w:rsidRDefault="00000000">
            <w:pPr>
              <w:pStyle w:val="BodyTextIndent2"/>
              <w:spacing w:after="120"/>
              <w:ind w:left="0" w:firstLine="0"/>
              <w:jc w:val="right"/>
              <w:rPr>
                <w:sz w:val="17"/>
              </w:rPr>
            </w:pPr>
            <w:r>
              <w:rPr>
                <w:sz w:val="17"/>
              </w:rPr>
              <w:t>385</w:t>
            </w:r>
          </w:p>
        </w:tc>
        <w:tc>
          <w:tcPr>
            <w:tcW w:w="1260" w:type="dxa"/>
          </w:tcPr>
          <w:p w:rsidR="00000000" w:rsidRDefault="00000000">
            <w:pPr>
              <w:pStyle w:val="BodyTextIndent2"/>
              <w:spacing w:after="120"/>
              <w:ind w:left="0" w:firstLine="0"/>
              <w:jc w:val="right"/>
              <w:rPr>
                <w:sz w:val="17"/>
              </w:rPr>
            </w:pPr>
            <w:r>
              <w:rPr>
                <w:sz w:val="17"/>
              </w:rPr>
              <w:t>729</w:t>
            </w:r>
          </w:p>
        </w:tc>
        <w:tc>
          <w:tcPr>
            <w:tcW w:w="1138" w:type="dxa"/>
          </w:tcPr>
          <w:p w:rsidR="00000000" w:rsidRDefault="00000000">
            <w:pPr>
              <w:pStyle w:val="BodyTextIndent2"/>
              <w:spacing w:after="120"/>
              <w:ind w:left="0" w:firstLine="0"/>
              <w:jc w:val="right"/>
              <w:rPr>
                <w:sz w:val="17"/>
              </w:rPr>
            </w:pPr>
            <w:r>
              <w:rPr>
                <w:sz w:val="17"/>
              </w:rPr>
              <w:t>970</w:t>
            </w:r>
          </w:p>
        </w:tc>
      </w:tr>
      <w:tr w:rsidR="00000000">
        <w:tblPrEx>
          <w:tblCellMar>
            <w:top w:w="0" w:type="dxa"/>
            <w:bottom w:w="0" w:type="dxa"/>
          </w:tblCellMar>
        </w:tblPrEx>
        <w:tc>
          <w:tcPr>
            <w:tcW w:w="2160" w:type="dxa"/>
          </w:tcPr>
          <w:p w:rsidR="00000000" w:rsidRDefault="00000000">
            <w:pPr>
              <w:pStyle w:val="BodyTextIndent2"/>
              <w:spacing w:after="120"/>
              <w:ind w:left="0" w:firstLine="0"/>
              <w:jc w:val="left"/>
              <w:rPr>
                <w:sz w:val="17"/>
              </w:rPr>
            </w:pPr>
            <w:r>
              <w:rPr>
                <w:sz w:val="17"/>
              </w:rPr>
              <w:t>Mangistau region</w:t>
            </w:r>
          </w:p>
        </w:tc>
        <w:tc>
          <w:tcPr>
            <w:tcW w:w="1512" w:type="dxa"/>
          </w:tcPr>
          <w:p w:rsidR="00000000" w:rsidRDefault="00000000">
            <w:pPr>
              <w:pStyle w:val="BodyTextIndent2"/>
              <w:spacing w:after="120"/>
              <w:ind w:left="0" w:firstLine="0"/>
              <w:jc w:val="right"/>
              <w:rPr>
                <w:sz w:val="17"/>
              </w:rPr>
            </w:pPr>
            <w:r>
              <w:rPr>
                <w:sz w:val="17"/>
              </w:rPr>
              <w:t>635</w:t>
            </w:r>
          </w:p>
        </w:tc>
        <w:tc>
          <w:tcPr>
            <w:tcW w:w="1368" w:type="dxa"/>
          </w:tcPr>
          <w:p w:rsidR="00000000" w:rsidRDefault="00000000">
            <w:pPr>
              <w:pStyle w:val="BodyTextIndent2"/>
              <w:spacing w:after="120"/>
              <w:ind w:left="0" w:firstLine="0"/>
              <w:jc w:val="right"/>
              <w:rPr>
                <w:sz w:val="17"/>
              </w:rPr>
            </w:pPr>
            <w:r>
              <w:rPr>
                <w:sz w:val="17"/>
              </w:rPr>
              <w:t>7</w:t>
            </w:r>
          </w:p>
        </w:tc>
        <w:tc>
          <w:tcPr>
            <w:tcW w:w="1287" w:type="dxa"/>
          </w:tcPr>
          <w:p w:rsidR="00000000" w:rsidRDefault="00000000">
            <w:pPr>
              <w:pStyle w:val="BodyTextIndent2"/>
              <w:spacing w:after="120"/>
              <w:ind w:left="0" w:firstLine="0"/>
              <w:jc w:val="right"/>
              <w:rPr>
                <w:sz w:val="17"/>
              </w:rPr>
            </w:pPr>
            <w:r>
              <w:rPr>
                <w:sz w:val="17"/>
              </w:rPr>
              <w:t>23</w:t>
            </w:r>
          </w:p>
        </w:tc>
        <w:tc>
          <w:tcPr>
            <w:tcW w:w="1233" w:type="dxa"/>
          </w:tcPr>
          <w:p w:rsidR="00000000" w:rsidRDefault="00000000">
            <w:pPr>
              <w:pStyle w:val="BodyTextIndent2"/>
              <w:spacing w:after="120"/>
              <w:ind w:left="0" w:firstLine="0"/>
              <w:jc w:val="right"/>
              <w:rPr>
                <w:sz w:val="17"/>
              </w:rPr>
            </w:pPr>
            <w:r>
              <w:rPr>
                <w:sz w:val="17"/>
              </w:rPr>
              <w:t>87</w:t>
            </w:r>
          </w:p>
        </w:tc>
        <w:tc>
          <w:tcPr>
            <w:tcW w:w="1260" w:type="dxa"/>
          </w:tcPr>
          <w:p w:rsidR="00000000" w:rsidRDefault="00000000">
            <w:pPr>
              <w:pStyle w:val="BodyTextIndent2"/>
              <w:spacing w:after="120"/>
              <w:ind w:left="0" w:firstLine="0"/>
              <w:jc w:val="right"/>
              <w:rPr>
                <w:sz w:val="17"/>
              </w:rPr>
            </w:pPr>
            <w:r>
              <w:rPr>
                <w:sz w:val="17"/>
              </w:rPr>
              <w:t>181</w:t>
            </w:r>
          </w:p>
        </w:tc>
        <w:tc>
          <w:tcPr>
            <w:tcW w:w="1138" w:type="dxa"/>
          </w:tcPr>
          <w:p w:rsidR="00000000" w:rsidRDefault="00000000">
            <w:pPr>
              <w:pStyle w:val="BodyTextIndent2"/>
              <w:spacing w:after="120"/>
              <w:ind w:left="0" w:firstLine="0"/>
              <w:jc w:val="right"/>
              <w:rPr>
                <w:sz w:val="17"/>
              </w:rPr>
            </w:pPr>
            <w:r>
              <w:rPr>
                <w:sz w:val="17"/>
              </w:rPr>
              <w:t>337</w:t>
            </w:r>
          </w:p>
        </w:tc>
      </w:tr>
      <w:tr w:rsidR="00000000">
        <w:tblPrEx>
          <w:tblCellMar>
            <w:top w:w="0" w:type="dxa"/>
            <w:bottom w:w="0" w:type="dxa"/>
          </w:tblCellMar>
        </w:tblPrEx>
        <w:tc>
          <w:tcPr>
            <w:tcW w:w="2160" w:type="dxa"/>
          </w:tcPr>
          <w:p w:rsidR="00000000" w:rsidRDefault="00000000">
            <w:pPr>
              <w:pStyle w:val="BodyTextIndent2"/>
              <w:spacing w:after="120"/>
              <w:ind w:left="0" w:firstLine="0"/>
              <w:jc w:val="left"/>
              <w:rPr>
                <w:sz w:val="17"/>
              </w:rPr>
            </w:pPr>
            <w:r>
              <w:rPr>
                <w:sz w:val="17"/>
              </w:rPr>
              <w:t>Pavlodar region</w:t>
            </w:r>
          </w:p>
        </w:tc>
        <w:tc>
          <w:tcPr>
            <w:tcW w:w="1512" w:type="dxa"/>
          </w:tcPr>
          <w:p w:rsidR="00000000" w:rsidRDefault="00000000">
            <w:pPr>
              <w:pStyle w:val="BodyTextIndent2"/>
              <w:spacing w:after="120"/>
              <w:ind w:left="0" w:firstLine="0"/>
              <w:jc w:val="right"/>
              <w:rPr>
                <w:sz w:val="17"/>
              </w:rPr>
            </w:pPr>
            <w:r>
              <w:rPr>
                <w:sz w:val="17"/>
              </w:rPr>
              <w:t>1 617</w:t>
            </w:r>
          </w:p>
        </w:tc>
        <w:tc>
          <w:tcPr>
            <w:tcW w:w="1368" w:type="dxa"/>
          </w:tcPr>
          <w:p w:rsidR="00000000" w:rsidRDefault="00000000">
            <w:pPr>
              <w:pStyle w:val="BodyTextIndent2"/>
              <w:spacing w:after="120"/>
              <w:ind w:left="0" w:firstLine="0"/>
              <w:jc w:val="right"/>
              <w:rPr>
                <w:sz w:val="17"/>
              </w:rPr>
            </w:pPr>
            <w:r>
              <w:rPr>
                <w:sz w:val="17"/>
              </w:rPr>
              <w:t>29</w:t>
            </w:r>
          </w:p>
        </w:tc>
        <w:tc>
          <w:tcPr>
            <w:tcW w:w="1287" w:type="dxa"/>
          </w:tcPr>
          <w:p w:rsidR="00000000" w:rsidRDefault="00000000">
            <w:pPr>
              <w:pStyle w:val="BodyTextIndent2"/>
              <w:spacing w:after="120"/>
              <w:ind w:left="0" w:firstLine="0"/>
              <w:jc w:val="right"/>
              <w:rPr>
                <w:sz w:val="17"/>
              </w:rPr>
            </w:pPr>
            <w:r>
              <w:rPr>
                <w:sz w:val="17"/>
              </w:rPr>
              <w:t>114</w:t>
            </w:r>
          </w:p>
        </w:tc>
        <w:tc>
          <w:tcPr>
            <w:tcW w:w="1233" w:type="dxa"/>
          </w:tcPr>
          <w:p w:rsidR="00000000" w:rsidRDefault="00000000">
            <w:pPr>
              <w:pStyle w:val="BodyTextIndent2"/>
              <w:spacing w:after="120"/>
              <w:ind w:left="0" w:firstLine="0"/>
              <w:jc w:val="right"/>
              <w:rPr>
                <w:sz w:val="17"/>
              </w:rPr>
            </w:pPr>
            <w:r>
              <w:rPr>
                <w:sz w:val="17"/>
              </w:rPr>
              <w:t>267</w:t>
            </w:r>
          </w:p>
        </w:tc>
        <w:tc>
          <w:tcPr>
            <w:tcW w:w="1260" w:type="dxa"/>
          </w:tcPr>
          <w:p w:rsidR="00000000" w:rsidRDefault="00000000">
            <w:pPr>
              <w:pStyle w:val="BodyTextIndent2"/>
              <w:spacing w:after="120"/>
              <w:ind w:left="0" w:firstLine="0"/>
              <w:jc w:val="right"/>
              <w:rPr>
                <w:sz w:val="17"/>
              </w:rPr>
            </w:pPr>
            <w:r>
              <w:rPr>
                <w:sz w:val="17"/>
              </w:rPr>
              <w:t>491</w:t>
            </w:r>
          </w:p>
        </w:tc>
        <w:tc>
          <w:tcPr>
            <w:tcW w:w="1138" w:type="dxa"/>
          </w:tcPr>
          <w:p w:rsidR="00000000" w:rsidRDefault="00000000">
            <w:pPr>
              <w:pStyle w:val="BodyTextIndent2"/>
              <w:spacing w:after="120"/>
              <w:ind w:left="0" w:firstLine="0"/>
              <w:jc w:val="right"/>
              <w:rPr>
                <w:sz w:val="17"/>
              </w:rPr>
            </w:pPr>
            <w:r>
              <w:rPr>
                <w:sz w:val="17"/>
              </w:rPr>
              <w:t>716</w:t>
            </w:r>
          </w:p>
        </w:tc>
      </w:tr>
      <w:tr w:rsidR="00000000">
        <w:tblPrEx>
          <w:tblCellMar>
            <w:top w:w="0" w:type="dxa"/>
            <w:bottom w:w="0" w:type="dxa"/>
          </w:tblCellMar>
        </w:tblPrEx>
        <w:tc>
          <w:tcPr>
            <w:tcW w:w="2160" w:type="dxa"/>
          </w:tcPr>
          <w:p w:rsidR="00000000" w:rsidRDefault="00000000">
            <w:pPr>
              <w:pStyle w:val="BodyTextIndent2"/>
              <w:spacing w:after="120"/>
              <w:ind w:left="0" w:firstLine="0"/>
              <w:jc w:val="left"/>
              <w:rPr>
                <w:sz w:val="17"/>
              </w:rPr>
            </w:pPr>
            <w:r>
              <w:rPr>
                <w:sz w:val="17"/>
              </w:rPr>
              <w:t>North Kazakhstan region</w:t>
            </w:r>
          </w:p>
        </w:tc>
        <w:tc>
          <w:tcPr>
            <w:tcW w:w="1512" w:type="dxa"/>
          </w:tcPr>
          <w:p w:rsidR="00000000" w:rsidRDefault="00000000">
            <w:pPr>
              <w:pStyle w:val="BodyTextIndent2"/>
              <w:spacing w:after="120"/>
              <w:ind w:left="0" w:firstLine="0"/>
              <w:jc w:val="right"/>
              <w:rPr>
                <w:sz w:val="17"/>
              </w:rPr>
            </w:pPr>
            <w:r>
              <w:rPr>
                <w:sz w:val="17"/>
              </w:rPr>
              <w:t>2 277</w:t>
            </w:r>
          </w:p>
        </w:tc>
        <w:tc>
          <w:tcPr>
            <w:tcW w:w="1368" w:type="dxa"/>
          </w:tcPr>
          <w:p w:rsidR="00000000" w:rsidRDefault="00000000">
            <w:pPr>
              <w:pStyle w:val="BodyTextIndent2"/>
              <w:spacing w:after="120"/>
              <w:ind w:left="0" w:firstLine="0"/>
              <w:jc w:val="right"/>
              <w:rPr>
                <w:sz w:val="17"/>
              </w:rPr>
            </w:pPr>
            <w:r>
              <w:rPr>
                <w:sz w:val="17"/>
              </w:rPr>
              <w:t>50</w:t>
            </w:r>
          </w:p>
        </w:tc>
        <w:tc>
          <w:tcPr>
            <w:tcW w:w="1287" w:type="dxa"/>
          </w:tcPr>
          <w:p w:rsidR="00000000" w:rsidRDefault="00000000">
            <w:pPr>
              <w:pStyle w:val="BodyTextIndent2"/>
              <w:spacing w:after="120"/>
              <w:ind w:left="0" w:firstLine="0"/>
              <w:jc w:val="right"/>
              <w:rPr>
                <w:sz w:val="17"/>
              </w:rPr>
            </w:pPr>
            <w:r>
              <w:rPr>
                <w:sz w:val="17"/>
              </w:rPr>
              <w:t>150</w:t>
            </w:r>
          </w:p>
        </w:tc>
        <w:tc>
          <w:tcPr>
            <w:tcW w:w="1233" w:type="dxa"/>
          </w:tcPr>
          <w:p w:rsidR="00000000" w:rsidRDefault="00000000">
            <w:pPr>
              <w:pStyle w:val="BodyTextIndent2"/>
              <w:spacing w:after="120"/>
              <w:ind w:left="0" w:firstLine="0"/>
              <w:jc w:val="right"/>
              <w:rPr>
                <w:sz w:val="17"/>
              </w:rPr>
            </w:pPr>
            <w:r>
              <w:rPr>
                <w:sz w:val="17"/>
              </w:rPr>
              <w:t>368</w:t>
            </w:r>
          </w:p>
        </w:tc>
        <w:tc>
          <w:tcPr>
            <w:tcW w:w="1260" w:type="dxa"/>
          </w:tcPr>
          <w:p w:rsidR="00000000" w:rsidRDefault="00000000">
            <w:pPr>
              <w:pStyle w:val="BodyTextIndent2"/>
              <w:spacing w:after="120"/>
              <w:ind w:left="0" w:firstLine="0"/>
              <w:jc w:val="right"/>
              <w:rPr>
                <w:sz w:val="17"/>
              </w:rPr>
            </w:pPr>
            <w:r>
              <w:rPr>
                <w:sz w:val="17"/>
              </w:rPr>
              <w:t>712</w:t>
            </w:r>
          </w:p>
        </w:tc>
        <w:tc>
          <w:tcPr>
            <w:tcW w:w="1138" w:type="dxa"/>
          </w:tcPr>
          <w:p w:rsidR="00000000" w:rsidRDefault="00000000">
            <w:pPr>
              <w:pStyle w:val="BodyTextIndent2"/>
              <w:spacing w:after="120"/>
              <w:ind w:left="0" w:firstLine="0"/>
              <w:jc w:val="right"/>
              <w:rPr>
                <w:sz w:val="17"/>
              </w:rPr>
            </w:pPr>
            <w:r>
              <w:rPr>
                <w:sz w:val="17"/>
              </w:rPr>
              <w:t>997</w:t>
            </w:r>
          </w:p>
        </w:tc>
      </w:tr>
      <w:tr w:rsidR="00000000">
        <w:tblPrEx>
          <w:tblCellMar>
            <w:top w:w="0" w:type="dxa"/>
            <w:bottom w:w="0" w:type="dxa"/>
          </w:tblCellMar>
        </w:tblPrEx>
        <w:tc>
          <w:tcPr>
            <w:tcW w:w="2160" w:type="dxa"/>
            <w:tcBorders>
              <w:bottom w:val="single" w:sz="12" w:space="0" w:color="auto"/>
            </w:tcBorders>
          </w:tcPr>
          <w:p w:rsidR="00000000" w:rsidRDefault="00000000">
            <w:pPr>
              <w:pStyle w:val="BodyTextIndent2"/>
              <w:spacing w:after="120"/>
              <w:ind w:left="0" w:firstLine="0"/>
              <w:jc w:val="left"/>
              <w:rPr>
                <w:sz w:val="17"/>
              </w:rPr>
            </w:pPr>
            <w:r>
              <w:rPr>
                <w:sz w:val="17"/>
              </w:rPr>
              <w:t>South Kazakhstan region</w:t>
            </w:r>
          </w:p>
        </w:tc>
        <w:tc>
          <w:tcPr>
            <w:tcW w:w="1512" w:type="dxa"/>
            <w:tcBorders>
              <w:bottom w:val="single" w:sz="12" w:space="0" w:color="auto"/>
            </w:tcBorders>
          </w:tcPr>
          <w:p w:rsidR="00000000" w:rsidRDefault="00000000">
            <w:pPr>
              <w:pStyle w:val="BodyTextIndent2"/>
              <w:spacing w:after="120"/>
              <w:ind w:left="0" w:firstLine="0"/>
              <w:jc w:val="right"/>
              <w:rPr>
                <w:sz w:val="17"/>
              </w:rPr>
            </w:pPr>
            <w:r>
              <w:rPr>
                <w:sz w:val="17"/>
              </w:rPr>
              <w:t>4 186</w:t>
            </w:r>
          </w:p>
        </w:tc>
        <w:tc>
          <w:tcPr>
            <w:tcW w:w="1368" w:type="dxa"/>
            <w:tcBorders>
              <w:bottom w:val="single" w:sz="12" w:space="0" w:color="auto"/>
            </w:tcBorders>
          </w:tcPr>
          <w:p w:rsidR="00000000" w:rsidRDefault="00000000">
            <w:pPr>
              <w:pStyle w:val="BodyTextIndent2"/>
              <w:spacing w:after="120"/>
              <w:ind w:left="0" w:firstLine="0"/>
              <w:jc w:val="right"/>
              <w:rPr>
                <w:sz w:val="17"/>
              </w:rPr>
            </w:pPr>
            <w:r>
              <w:rPr>
                <w:sz w:val="17"/>
              </w:rPr>
              <w:t>0</w:t>
            </w:r>
          </w:p>
        </w:tc>
        <w:tc>
          <w:tcPr>
            <w:tcW w:w="1287" w:type="dxa"/>
            <w:tcBorders>
              <w:bottom w:val="single" w:sz="12" w:space="0" w:color="auto"/>
            </w:tcBorders>
          </w:tcPr>
          <w:p w:rsidR="00000000" w:rsidRDefault="00000000">
            <w:pPr>
              <w:pStyle w:val="BodyTextIndent2"/>
              <w:spacing w:after="120"/>
              <w:ind w:left="0" w:firstLine="0"/>
              <w:jc w:val="right"/>
              <w:rPr>
                <w:sz w:val="17"/>
              </w:rPr>
            </w:pPr>
            <w:r>
              <w:rPr>
                <w:sz w:val="17"/>
              </w:rPr>
              <w:t>18</w:t>
            </w:r>
          </w:p>
        </w:tc>
        <w:tc>
          <w:tcPr>
            <w:tcW w:w="1233" w:type="dxa"/>
            <w:tcBorders>
              <w:bottom w:val="single" w:sz="12" w:space="0" w:color="auto"/>
            </w:tcBorders>
          </w:tcPr>
          <w:p w:rsidR="00000000" w:rsidRDefault="00000000">
            <w:pPr>
              <w:pStyle w:val="BodyTextIndent2"/>
              <w:spacing w:after="120"/>
              <w:ind w:left="0" w:firstLine="0"/>
              <w:jc w:val="right"/>
              <w:rPr>
                <w:sz w:val="17"/>
              </w:rPr>
            </w:pPr>
            <w:r>
              <w:rPr>
                <w:sz w:val="17"/>
              </w:rPr>
              <w:t>168</w:t>
            </w:r>
          </w:p>
        </w:tc>
        <w:tc>
          <w:tcPr>
            <w:tcW w:w="1260" w:type="dxa"/>
            <w:tcBorders>
              <w:bottom w:val="single" w:sz="12" w:space="0" w:color="auto"/>
            </w:tcBorders>
          </w:tcPr>
          <w:p w:rsidR="00000000" w:rsidRDefault="00000000">
            <w:pPr>
              <w:pStyle w:val="BodyTextIndent2"/>
              <w:spacing w:after="120"/>
              <w:ind w:left="0" w:firstLine="0"/>
              <w:jc w:val="right"/>
              <w:rPr>
                <w:sz w:val="17"/>
              </w:rPr>
            </w:pPr>
            <w:r>
              <w:rPr>
                <w:sz w:val="17"/>
              </w:rPr>
              <w:t>1 537</w:t>
            </w:r>
          </w:p>
        </w:tc>
        <w:tc>
          <w:tcPr>
            <w:tcW w:w="1138" w:type="dxa"/>
            <w:tcBorders>
              <w:bottom w:val="single" w:sz="12" w:space="0" w:color="auto"/>
            </w:tcBorders>
          </w:tcPr>
          <w:p w:rsidR="00000000" w:rsidRDefault="00000000">
            <w:pPr>
              <w:pStyle w:val="BodyTextIndent2"/>
              <w:spacing w:after="120"/>
              <w:ind w:left="0" w:firstLine="0"/>
              <w:jc w:val="right"/>
              <w:rPr>
                <w:sz w:val="17"/>
              </w:rPr>
            </w:pPr>
            <w:r>
              <w:rPr>
                <w:sz w:val="17"/>
              </w:rPr>
              <w:t>2 463</w:t>
            </w:r>
          </w:p>
        </w:tc>
      </w:tr>
    </w:tbl>
    <w:p w:rsidR="00000000" w:rsidRDefault="00000000">
      <w:pPr>
        <w:pStyle w:val="BodyTextIndent2"/>
        <w:spacing w:after="120"/>
        <w:ind w:left="0" w:firstLine="0"/>
      </w:pPr>
    </w:p>
    <w:p w:rsidR="00000000" w:rsidRDefault="00000000">
      <w:pPr>
        <w:pStyle w:val="BodyTextIndent2"/>
        <w:spacing w:after="120"/>
        <w:ind w:left="0" w:firstLine="0"/>
        <w:sectPr w:rsidR="00000000">
          <w:type w:val="continuous"/>
          <w:pgSz w:w="12240" w:h="15840"/>
          <w:pgMar w:top="1742" w:right="1195" w:bottom="1901" w:left="1195" w:header="576" w:footer="1037" w:gutter="0"/>
          <w:cols w:space="720"/>
          <w:docGrid w:linePitch="360"/>
        </w:sectPr>
      </w:pPr>
    </w:p>
    <w:p w:rsidR="00000000" w:rsidRDefault="00000000">
      <w:pPr>
        <w:pStyle w:val="BodyTextIndent2"/>
        <w:spacing w:after="120"/>
        <w:ind w:left="0" w:firstLine="0"/>
      </w:pPr>
      <w:r>
        <w:t>127.</w:t>
      </w:r>
      <w:r>
        <w:tab/>
        <w:t>Article 54, paragraph 2, of the Law on public health of 19 May 1997 states: “Motherhood in the Republic of Kazakhstan shall be protected and encouraged by the State”.</w:t>
      </w:r>
    </w:p>
    <w:p w:rsidR="00000000" w:rsidRDefault="00000000">
      <w:pPr>
        <w:pStyle w:val="BodyTextIndent2"/>
        <w:spacing w:after="120"/>
        <w:ind w:left="0" w:firstLine="0"/>
      </w:pPr>
      <w:r>
        <w:tab/>
        <w:t>Guaranteed free public medical care for 1999 includes:</w:t>
      </w:r>
    </w:p>
    <w:p w:rsidR="00000000" w:rsidRDefault="00000000">
      <w:pPr>
        <w:pStyle w:val="BodyTextIndent2"/>
        <w:spacing w:after="120"/>
        <w:ind w:left="0" w:firstLine="0"/>
      </w:pPr>
      <w:r>
        <w:tab/>
        <w:t>An immunization programme, including centralized procurement of vaccines and other immunobiological drugs for the vaccination of children in the Republic against diphtheria, tetanus, pertussis, poliomyelitis, measles, tuberculosis, and mumps;</w:t>
      </w:r>
    </w:p>
    <w:p w:rsidR="00000000" w:rsidRDefault="00000000">
      <w:pPr>
        <w:pStyle w:val="BodyTextIndent2"/>
        <w:spacing w:after="120"/>
        <w:ind w:left="0" w:firstLine="0"/>
      </w:pPr>
      <w:r>
        <w:tab/>
        <w:t>Assistance provided by family outpatient units, midwifery units, district and town polyclinics, paediatric polyclinics (advisory centres) and women’s advisory centres;</w:t>
      </w:r>
    </w:p>
    <w:p w:rsidR="00000000" w:rsidRDefault="00000000">
      <w:pPr>
        <w:pStyle w:val="BodyTextIndent2"/>
        <w:spacing w:after="120"/>
        <w:ind w:left="0" w:firstLine="0"/>
      </w:pPr>
      <w:r>
        <w:tab/>
        <w:t>Dental services for children up to 18 years of age and for pregnant women;</w:t>
      </w:r>
    </w:p>
    <w:p w:rsidR="00000000" w:rsidRDefault="00000000">
      <w:pPr>
        <w:pStyle w:val="BodyTextIndent2"/>
        <w:spacing w:after="120"/>
        <w:ind w:left="0" w:firstLine="0"/>
      </w:pPr>
      <w:r>
        <w:tab/>
        <w:t>Hospitalization in the maternity departments of multi-purpose hospitals, maternity homes and prenatal centres;</w:t>
      </w:r>
    </w:p>
    <w:p w:rsidR="00000000" w:rsidRDefault="00000000">
      <w:pPr>
        <w:pStyle w:val="BodyTextIndent2"/>
        <w:spacing w:after="120"/>
        <w:ind w:left="0" w:firstLine="0"/>
      </w:pPr>
      <w:r>
        <w:tab/>
        <w:t>Physiotherapy for children up to 18 years of age;</w:t>
      </w:r>
    </w:p>
    <w:p w:rsidR="00000000" w:rsidRDefault="00000000">
      <w:pPr>
        <w:pStyle w:val="BodyTextIndent2"/>
        <w:spacing w:after="120"/>
        <w:ind w:left="0" w:firstLine="0"/>
      </w:pPr>
      <w:r>
        <w:tab/>
        <w:t>In-patient medication for children up to 18 years of age;</w:t>
      </w:r>
    </w:p>
    <w:p w:rsidR="00000000" w:rsidRDefault="00000000">
      <w:pPr>
        <w:pStyle w:val="BodyTextIndent2"/>
        <w:spacing w:after="120"/>
        <w:ind w:left="0" w:firstLine="0"/>
      </w:pPr>
      <w:r>
        <w:tab/>
        <w:t>Provision of specialized nutrition for children including babies under one year of age requiring alternatives to breastfeeding, fruit and vegetable purees, as well as cultured milk compounds;</w:t>
      </w:r>
    </w:p>
    <w:p w:rsidR="00000000" w:rsidRDefault="00000000">
      <w:pPr>
        <w:pStyle w:val="BodyTextIndent2"/>
        <w:spacing w:after="120"/>
        <w:ind w:left="0" w:firstLine="0"/>
      </w:pPr>
      <w:r>
        <w:tab/>
        <w:t>Rehabilitation of children with all types of illnesses at the National Children’s Rehabilitation and Therapeutic Centre, the Alataw Children’s Clinical Sanatorium and the Aqsay National Children’s Clinic.</w:t>
      </w:r>
    </w:p>
    <w:p w:rsidR="00000000" w:rsidRDefault="00000000">
      <w:pPr>
        <w:pStyle w:val="BodyTextIndent2"/>
        <w:spacing w:after="120"/>
        <w:ind w:left="0" w:firstLine="0"/>
      </w:pPr>
    </w:p>
    <w:p w:rsidR="00000000" w:rsidRDefault="00000000">
      <w:pPr>
        <w:pStyle w:val="BodyTextIndent2"/>
        <w:spacing w:after="120"/>
        <w:ind w:left="0" w:firstLine="0"/>
      </w:pPr>
    </w:p>
    <w:p w:rsidR="00000000" w:rsidRDefault="00000000">
      <w:pPr>
        <w:pStyle w:val="BodyTextIndent2"/>
        <w:spacing w:after="120"/>
        <w:ind w:left="0" w:firstLine="0"/>
      </w:pPr>
    </w:p>
    <w:p w:rsidR="00000000" w:rsidRDefault="00000000">
      <w:pPr>
        <w:pStyle w:val="BodyTextIndent2"/>
        <w:spacing w:after="120"/>
        <w:ind w:left="0" w:firstLine="0"/>
      </w:pPr>
    </w:p>
    <w:p w:rsidR="00000000" w:rsidRDefault="00000000">
      <w:pPr>
        <w:pStyle w:val="BodyTextIndent2"/>
        <w:spacing w:after="120"/>
        <w:ind w:left="0" w:firstLine="0"/>
        <w:sectPr w:rsidR="00000000">
          <w:type w:val="continuous"/>
          <w:pgSz w:w="12240" w:h="15840"/>
          <w:pgMar w:top="1742" w:right="1195" w:bottom="1901" w:left="1195" w:header="576" w:footer="1037" w:gutter="0"/>
          <w:cols w:num="2" w:space="245"/>
          <w:docGrid w:linePitch="360"/>
        </w:sectPr>
      </w:pPr>
    </w:p>
    <w:p w:rsidR="00000000" w:rsidRDefault="00000000">
      <w:pPr>
        <w:pStyle w:val="BodyTextIndent2"/>
        <w:ind w:left="0" w:firstLine="0"/>
      </w:pPr>
      <w:r>
        <w:t>Table 34</w:t>
      </w:r>
    </w:p>
    <w:p w:rsidR="00000000" w:rsidRDefault="00000000">
      <w:pPr>
        <w:pStyle w:val="BodyTextIndent2"/>
        <w:spacing w:after="120"/>
        <w:ind w:left="0" w:firstLine="0"/>
        <w:jc w:val="left"/>
        <w:rPr>
          <w:b/>
        </w:rPr>
      </w:pPr>
      <w:r>
        <w:rPr>
          <w:b/>
        </w:rPr>
        <w:t>National budget funds allocated to maternal and child health, in thousands of tenge</w:t>
      </w:r>
    </w:p>
    <w:p w:rsidR="00000000" w:rsidRDefault="00000000">
      <w:pPr>
        <w:pStyle w:val="D12r"/>
      </w:pPr>
    </w:p>
    <w:tbl>
      <w:tblPr>
        <w:tblW w:w="0" w:type="auto"/>
        <w:tblInd w:w="2" w:type="dxa"/>
        <w:tblLayout w:type="fixed"/>
        <w:tblLook w:val="0000" w:firstRow="0" w:lastRow="0" w:firstColumn="0" w:lastColumn="0" w:noHBand="0" w:noVBand="0"/>
      </w:tblPr>
      <w:tblGrid>
        <w:gridCol w:w="5130"/>
        <w:gridCol w:w="990"/>
        <w:gridCol w:w="1170"/>
        <w:gridCol w:w="1260"/>
        <w:gridCol w:w="1323"/>
      </w:tblGrid>
      <w:tr w:rsidR="00000000">
        <w:tblPrEx>
          <w:tblCellMar>
            <w:top w:w="0" w:type="dxa"/>
            <w:bottom w:w="0" w:type="dxa"/>
          </w:tblCellMar>
        </w:tblPrEx>
        <w:trPr>
          <w:cantSplit/>
        </w:trPr>
        <w:tc>
          <w:tcPr>
            <w:tcW w:w="5130" w:type="dxa"/>
            <w:tcBorders>
              <w:top w:val="single" w:sz="4" w:space="0" w:color="auto"/>
            </w:tcBorders>
          </w:tcPr>
          <w:p w:rsidR="00000000" w:rsidRDefault="00000000">
            <w:pPr>
              <w:pStyle w:val="BodyTextIndent2"/>
              <w:tabs>
                <w:tab w:val="clear" w:pos="475"/>
                <w:tab w:val="left" w:pos="342"/>
              </w:tabs>
              <w:spacing w:after="120"/>
              <w:ind w:left="0" w:firstLine="0"/>
              <w:jc w:val="left"/>
              <w:rPr>
                <w:i/>
                <w:sz w:val="14"/>
              </w:rPr>
            </w:pPr>
          </w:p>
        </w:tc>
        <w:tc>
          <w:tcPr>
            <w:tcW w:w="990" w:type="dxa"/>
            <w:tcBorders>
              <w:top w:val="single" w:sz="4" w:space="0" w:color="auto"/>
            </w:tcBorders>
          </w:tcPr>
          <w:p w:rsidR="00000000" w:rsidRDefault="00000000">
            <w:pPr>
              <w:pStyle w:val="BodyTextIndent2"/>
              <w:spacing w:after="120"/>
              <w:ind w:left="0" w:firstLine="0"/>
              <w:jc w:val="right"/>
              <w:rPr>
                <w:i/>
                <w:sz w:val="14"/>
              </w:rPr>
            </w:pPr>
          </w:p>
        </w:tc>
        <w:tc>
          <w:tcPr>
            <w:tcW w:w="1170" w:type="dxa"/>
            <w:tcBorders>
              <w:top w:val="single" w:sz="4" w:space="0" w:color="auto"/>
            </w:tcBorders>
          </w:tcPr>
          <w:p w:rsidR="00000000" w:rsidRDefault="00000000">
            <w:pPr>
              <w:pStyle w:val="BodyTextIndent2"/>
              <w:spacing w:after="120"/>
              <w:ind w:left="0" w:firstLine="0"/>
              <w:jc w:val="right"/>
              <w:rPr>
                <w:i/>
                <w:sz w:val="14"/>
              </w:rPr>
            </w:pPr>
          </w:p>
        </w:tc>
        <w:tc>
          <w:tcPr>
            <w:tcW w:w="2583" w:type="dxa"/>
            <w:gridSpan w:val="2"/>
            <w:tcBorders>
              <w:top w:val="single" w:sz="4" w:space="0" w:color="auto"/>
              <w:bottom w:val="single" w:sz="4" w:space="0" w:color="auto"/>
            </w:tcBorders>
          </w:tcPr>
          <w:p w:rsidR="00000000" w:rsidRDefault="00000000">
            <w:pPr>
              <w:pStyle w:val="BodyTextIndent2"/>
              <w:spacing w:after="120"/>
              <w:ind w:left="0" w:firstLine="0"/>
              <w:jc w:val="center"/>
              <w:rPr>
                <w:i/>
                <w:sz w:val="14"/>
              </w:rPr>
            </w:pPr>
            <w:r>
              <w:rPr>
                <w:i/>
                <w:sz w:val="14"/>
              </w:rPr>
              <w:t>1999</w:t>
            </w:r>
          </w:p>
        </w:tc>
      </w:tr>
      <w:tr w:rsidR="00000000">
        <w:tblPrEx>
          <w:tblCellMar>
            <w:top w:w="0" w:type="dxa"/>
            <w:bottom w:w="0" w:type="dxa"/>
          </w:tblCellMar>
        </w:tblPrEx>
        <w:tc>
          <w:tcPr>
            <w:tcW w:w="5130" w:type="dxa"/>
            <w:tcBorders>
              <w:bottom w:val="single" w:sz="12" w:space="0" w:color="auto"/>
            </w:tcBorders>
          </w:tcPr>
          <w:p w:rsidR="00000000" w:rsidRDefault="00000000">
            <w:pPr>
              <w:pStyle w:val="BodyTextIndent2"/>
              <w:tabs>
                <w:tab w:val="clear" w:pos="475"/>
                <w:tab w:val="left" w:pos="342"/>
              </w:tabs>
              <w:spacing w:after="120"/>
              <w:ind w:left="0" w:firstLine="0"/>
              <w:jc w:val="left"/>
              <w:rPr>
                <w:i/>
                <w:sz w:val="14"/>
              </w:rPr>
            </w:pPr>
            <w:r>
              <w:rPr>
                <w:i/>
                <w:sz w:val="14"/>
              </w:rPr>
              <w:t>Name of the organization</w:t>
            </w:r>
          </w:p>
        </w:tc>
        <w:tc>
          <w:tcPr>
            <w:tcW w:w="990" w:type="dxa"/>
            <w:tcBorders>
              <w:bottom w:val="single" w:sz="12" w:space="0" w:color="auto"/>
            </w:tcBorders>
          </w:tcPr>
          <w:p w:rsidR="00000000" w:rsidRDefault="00000000">
            <w:pPr>
              <w:pStyle w:val="BodyTextIndent2"/>
              <w:spacing w:after="120"/>
              <w:ind w:left="0" w:firstLine="0"/>
              <w:jc w:val="right"/>
              <w:rPr>
                <w:i/>
                <w:sz w:val="14"/>
              </w:rPr>
            </w:pPr>
            <w:r>
              <w:rPr>
                <w:i/>
                <w:sz w:val="14"/>
              </w:rPr>
              <w:t>1997</w:t>
            </w:r>
          </w:p>
        </w:tc>
        <w:tc>
          <w:tcPr>
            <w:tcW w:w="1170" w:type="dxa"/>
            <w:tcBorders>
              <w:bottom w:val="single" w:sz="12" w:space="0" w:color="auto"/>
            </w:tcBorders>
          </w:tcPr>
          <w:p w:rsidR="00000000" w:rsidRDefault="00000000">
            <w:pPr>
              <w:pStyle w:val="BodyTextIndent2"/>
              <w:spacing w:after="120"/>
              <w:ind w:left="0" w:firstLine="0"/>
              <w:jc w:val="right"/>
              <w:rPr>
                <w:i/>
                <w:sz w:val="14"/>
              </w:rPr>
            </w:pPr>
            <w:r>
              <w:rPr>
                <w:i/>
                <w:sz w:val="14"/>
              </w:rPr>
              <w:t>1998</w:t>
            </w:r>
          </w:p>
        </w:tc>
        <w:tc>
          <w:tcPr>
            <w:tcW w:w="1260"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Plan</w:t>
            </w:r>
          </w:p>
        </w:tc>
        <w:tc>
          <w:tcPr>
            <w:tcW w:w="1323"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Allocated as at 1 July</w:t>
            </w:r>
          </w:p>
        </w:tc>
      </w:tr>
      <w:tr w:rsidR="00000000">
        <w:tblPrEx>
          <w:tblCellMar>
            <w:top w:w="0" w:type="dxa"/>
            <w:bottom w:w="0" w:type="dxa"/>
          </w:tblCellMar>
        </w:tblPrEx>
        <w:tc>
          <w:tcPr>
            <w:tcW w:w="5130" w:type="dxa"/>
            <w:tcBorders>
              <w:top w:val="single" w:sz="12" w:space="0" w:color="auto"/>
            </w:tcBorders>
          </w:tcPr>
          <w:p w:rsidR="00000000" w:rsidRDefault="00000000">
            <w:pPr>
              <w:pStyle w:val="BodyTextIndent2"/>
              <w:tabs>
                <w:tab w:val="clear" w:pos="475"/>
                <w:tab w:val="left" w:pos="342"/>
              </w:tabs>
              <w:spacing w:after="120"/>
              <w:ind w:left="0" w:firstLine="0"/>
              <w:jc w:val="left"/>
              <w:rPr>
                <w:sz w:val="17"/>
              </w:rPr>
            </w:pPr>
            <w:r>
              <w:rPr>
                <w:sz w:val="17"/>
              </w:rPr>
              <w:t>1.</w:t>
            </w:r>
            <w:r>
              <w:rPr>
                <w:sz w:val="17"/>
              </w:rPr>
              <w:tab/>
              <w:t>National Maternal and Child Health Research Centre</w:t>
            </w:r>
          </w:p>
        </w:tc>
        <w:tc>
          <w:tcPr>
            <w:tcW w:w="990" w:type="dxa"/>
            <w:tcBorders>
              <w:top w:val="single" w:sz="12" w:space="0" w:color="auto"/>
            </w:tcBorders>
          </w:tcPr>
          <w:p w:rsidR="00000000" w:rsidRDefault="00000000">
            <w:pPr>
              <w:pStyle w:val="BodyTextIndent2"/>
              <w:spacing w:after="120"/>
              <w:ind w:left="0" w:firstLine="0"/>
              <w:jc w:val="right"/>
              <w:rPr>
                <w:sz w:val="17"/>
              </w:rPr>
            </w:pPr>
            <w:r>
              <w:rPr>
                <w:sz w:val="17"/>
              </w:rPr>
              <w:t>103 549.1</w:t>
            </w:r>
          </w:p>
        </w:tc>
        <w:tc>
          <w:tcPr>
            <w:tcW w:w="1170" w:type="dxa"/>
            <w:tcBorders>
              <w:top w:val="single" w:sz="12" w:space="0" w:color="auto"/>
            </w:tcBorders>
          </w:tcPr>
          <w:p w:rsidR="00000000" w:rsidRDefault="00000000">
            <w:pPr>
              <w:pStyle w:val="BodyTextIndent2"/>
              <w:spacing w:after="120"/>
              <w:ind w:left="0" w:firstLine="0"/>
              <w:jc w:val="right"/>
              <w:rPr>
                <w:sz w:val="17"/>
              </w:rPr>
            </w:pPr>
            <w:r>
              <w:rPr>
                <w:sz w:val="17"/>
              </w:rPr>
              <w:t>103 260</w:t>
            </w:r>
          </w:p>
        </w:tc>
        <w:tc>
          <w:tcPr>
            <w:tcW w:w="1260" w:type="dxa"/>
            <w:tcBorders>
              <w:top w:val="single" w:sz="12" w:space="0" w:color="auto"/>
            </w:tcBorders>
          </w:tcPr>
          <w:p w:rsidR="00000000" w:rsidRDefault="00000000">
            <w:pPr>
              <w:pStyle w:val="BodyTextIndent2"/>
              <w:spacing w:after="120"/>
              <w:ind w:left="0" w:firstLine="0"/>
              <w:jc w:val="right"/>
              <w:rPr>
                <w:sz w:val="17"/>
              </w:rPr>
            </w:pPr>
            <w:r>
              <w:rPr>
                <w:sz w:val="17"/>
              </w:rPr>
              <w:t>83 400</w:t>
            </w:r>
          </w:p>
        </w:tc>
        <w:tc>
          <w:tcPr>
            <w:tcW w:w="1323" w:type="dxa"/>
            <w:tcBorders>
              <w:top w:val="single" w:sz="12" w:space="0" w:color="auto"/>
            </w:tcBorders>
          </w:tcPr>
          <w:p w:rsidR="00000000" w:rsidRDefault="00000000">
            <w:pPr>
              <w:pStyle w:val="BodyTextIndent2"/>
              <w:spacing w:after="120"/>
              <w:ind w:left="0" w:firstLine="0"/>
              <w:jc w:val="right"/>
              <w:rPr>
                <w:sz w:val="17"/>
              </w:rPr>
            </w:pPr>
            <w:r>
              <w:rPr>
                <w:sz w:val="17"/>
              </w:rPr>
              <w:t>34 592</w:t>
            </w:r>
          </w:p>
        </w:tc>
      </w:tr>
      <w:tr w:rsidR="00000000">
        <w:tblPrEx>
          <w:tblCellMar>
            <w:top w:w="0" w:type="dxa"/>
            <w:bottom w:w="0" w:type="dxa"/>
          </w:tblCellMar>
        </w:tblPrEx>
        <w:tc>
          <w:tcPr>
            <w:tcW w:w="5130" w:type="dxa"/>
          </w:tcPr>
          <w:p w:rsidR="00000000" w:rsidRDefault="00000000">
            <w:pPr>
              <w:pStyle w:val="BodyTextIndent2"/>
              <w:tabs>
                <w:tab w:val="clear" w:pos="475"/>
                <w:tab w:val="left" w:pos="342"/>
              </w:tabs>
              <w:spacing w:after="120"/>
              <w:ind w:left="0" w:firstLine="0"/>
              <w:jc w:val="left"/>
              <w:rPr>
                <w:sz w:val="17"/>
              </w:rPr>
            </w:pPr>
            <w:r>
              <w:rPr>
                <w:sz w:val="17"/>
              </w:rPr>
              <w:t>2.</w:t>
            </w:r>
            <w:r>
              <w:rPr>
                <w:sz w:val="17"/>
              </w:rPr>
              <w:tab/>
              <w:t>Centre for Paediatrics and Paediatric Surgery</w:t>
            </w:r>
          </w:p>
        </w:tc>
        <w:tc>
          <w:tcPr>
            <w:tcW w:w="990" w:type="dxa"/>
          </w:tcPr>
          <w:p w:rsidR="00000000" w:rsidRDefault="00000000">
            <w:pPr>
              <w:pStyle w:val="BodyTextIndent2"/>
              <w:spacing w:after="120"/>
              <w:ind w:left="0" w:firstLine="0"/>
              <w:jc w:val="right"/>
              <w:rPr>
                <w:sz w:val="17"/>
              </w:rPr>
            </w:pPr>
            <w:r>
              <w:rPr>
                <w:sz w:val="17"/>
              </w:rPr>
              <w:t>102 020.5</w:t>
            </w:r>
          </w:p>
        </w:tc>
        <w:tc>
          <w:tcPr>
            <w:tcW w:w="1170" w:type="dxa"/>
          </w:tcPr>
          <w:p w:rsidR="00000000" w:rsidRDefault="00000000">
            <w:pPr>
              <w:pStyle w:val="BodyTextIndent2"/>
              <w:spacing w:after="120"/>
              <w:ind w:left="0" w:firstLine="0"/>
              <w:jc w:val="right"/>
              <w:rPr>
                <w:sz w:val="17"/>
              </w:rPr>
            </w:pPr>
            <w:r>
              <w:rPr>
                <w:sz w:val="17"/>
              </w:rPr>
              <w:t>90 464.4</w:t>
            </w:r>
          </w:p>
        </w:tc>
        <w:tc>
          <w:tcPr>
            <w:tcW w:w="1260" w:type="dxa"/>
          </w:tcPr>
          <w:p w:rsidR="00000000" w:rsidRDefault="00000000">
            <w:pPr>
              <w:pStyle w:val="BodyTextIndent2"/>
              <w:spacing w:after="120"/>
              <w:ind w:left="0" w:firstLine="0"/>
              <w:jc w:val="right"/>
              <w:rPr>
                <w:sz w:val="17"/>
              </w:rPr>
            </w:pPr>
            <w:r>
              <w:rPr>
                <w:sz w:val="17"/>
              </w:rPr>
              <w:t>107 230</w:t>
            </w:r>
          </w:p>
        </w:tc>
        <w:tc>
          <w:tcPr>
            <w:tcW w:w="1323" w:type="dxa"/>
          </w:tcPr>
          <w:p w:rsidR="00000000" w:rsidRDefault="00000000">
            <w:pPr>
              <w:pStyle w:val="BodyTextIndent2"/>
              <w:spacing w:after="120"/>
              <w:ind w:left="0" w:firstLine="0"/>
              <w:jc w:val="right"/>
              <w:rPr>
                <w:sz w:val="17"/>
              </w:rPr>
            </w:pPr>
            <w:r>
              <w:rPr>
                <w:sz w:val="17"/>
              </w:rPr>
              <w:t>38 953</w:t>
            </w:r>
          </w:p>
        </w:tc>
      </w:tr>
      <w:tr w:rsidR="00000000">
        <w:tblPrEx>
          <w:tblCellMar>
            <w:top w:w="0" w:type="dxa"/>
            <w:bottom w:w="0" w:type="dxa"/>
          </w:tblCellMar>
        </w:tblPrEx>
        <w:tc>
          <w:tcPr>
            <w:tcW w:w="5130" w:type="dxa"/>
          </w:tcPr>
          <w:p w:rsidR="00000000" w:rsidRDefault="00000000">
            <w:pPr>
              <w:pStyle w:val="BodyTextIndent2"/>
              <w:tabs>
                <w:tab w:val="clear" w:pos="475"/>
                <w:tab w:val="left" w:pos="342"/>
              </w:tabs>
              <w:spacing w:after="120"/>
              <w:ind w:left="0" w:firstLine="0"/>
              <w:jc w:val="left"/>
              <w:rPr>
                <w:sz w:val="17"/>
              </w:rPr>
            </w:pPr>
            <w:r>
              <w:rPr>
                <w:sz w:val="17"/>
              </w:rPr>
              <w:t>3.</w:t>
            </w:r>
            <w:r>
              <w:rPr>
                <w:sz w:val="17"/>
              </w:rPr>
              <w:tab/>
              <w:t>Aksay National Children’s Clinic</w:t>
            </w:r>
          </w:p>
        </w:tc>
        <w:tc>
          <w:tcPr>
            <w:tcW w:w="990" w:type="dxa"/>
          </w:tcPr>
          <w:p w:rsidR="00000000" w:rsidRDefault="00000000">
            <w:pPr>
              <w:pStyle w:val="BodyTextIndent2"/>
              <w:spacing w:after="120"/>
              <w:ind w:left="0" w:firstLine="0"/>
              <w:jc w:val="right"/>
              <w:rPr>
                <w:sz w:val="17"/>
              </w:rPr>
            </w:pPr>
            <w:r>
              <w:rPr>
                <w:sz w:val="17"/>
              </w:rPr>
              <w:t>143 450.3</w:t>
            </w:r>
          </w:p>
        </w:tc>
        <w:tc>
          <w:tcPr>
            <w:tcW w:w="1170" w:type="dxa"/>
          </w:tcPr>
          <w:p w:rsidR="00000000" w:rsidRDefault="00000000">
            <w:pPr>
              <w:pStyle w:val="BodyTextIndent2"/>
              <w:spacing w:after="120"/>
              <w:ind w:left="0" w:firstLine="0"/>
              <w:jc w:val="right"/>
              <w:rPr>
                <w:sz w:val="17"/>
              </w:rPr>
            </w:pPr>
            <w:r>
              <w:rPr>
                <w:sz w:val="17"/>
              </w:rPr>
              <w:t>159 548.5</w:t>
            </w:r>
          </w:p>
        </w:tc>
        <w:tc>
          <w:tcPr>
            <w:tcW w:w="1260" w:type="dxa"/>
          </w:tcPr>
          <w:p w:rsidR="00000000" w:rsidRDefault="00000000">
            <w:pPr>
              <w:pStyle w:val="BodyTextIndent2"/>
              <w:spacing w:after="120"/>
              <w:ind w:left="0" w:firstLine="0"/>
              <w:jc w:val="right"/>
              <w:rPr>
                <w:sz w:val="17"/>
              </w:rPr>
            </w:pPr>
            <w:r>
              <w:rPr>
                <w:sz w:val="17"/>
              </w:rPr>
              <w:t>163 327</w:t>
            </w:r>
          </w:p>
        </w:tc>
        <w:tc>
          <w:tcPr>
            <w:tcW w:w="1323" w:type="dxa"/>
          </w:tcPr>
          <w:p w:rsidR="00000000" w:rsidRDefault="00000000">
            <w:pPr>
              <w:pStyle w:val="BodyTextIndent2"/>
              <w:spacing w:after="120"/>
              <w:ind w:left="0" w:firstLine="0"/>
              <w:jc w:val="right"/>
              <w:rPr>
                <w:sz w:val="17"/>
              </w:rPr>
            </w:pPr>
            <w:r>
              <w:rPr>
                <w:sz w:val="17"/>
              </w:rPr>
              <w:t>46 862</w:t>
            </w:r>
          </w:p>
        </w:tc>
      </w:tr>
      <w:tr w:rsidR="00000000">
        <w:tblPrEx>
          <w:tblCellMar>
            <w:top w:w="0" w:type="dxa"/>
            <w:bottom w:w="0" w:type="dxa"/>
          </w:tblCellMar>
        </w:tblPrEx>
        <w:tc>
          <w:tcPr>
            <w:tcW w:w="5130" w:type="dxa"/>
          </w:tcPr>
          <w:p w:rsidR="00000000" w:rsidRDefault="00000000">
            <w:pPr>
              <w:pStyle w:val="BodyTextIndent2"/>
              <w:tabs>
                <w:tab w:val="clear" w:pos="475"/>
                <w:tab w:val="left" w:pos="342"/>
              </w:tabs>
              <w:spacing w:after="120"/>
              <w:ind w:left="0" w:firstLine="0"/>
              <w:jc w:val="left"/>
              <w:rPr>
                <w:sz w:val="17"/>
              </w:rPr>
            </w:pPr>
            <w:r>
              <w:rPr>
                <w:sz w:val="17"/>
              </w:rPr>
              <w:t>4.</w:t>
            </w:r>
            <w:r>
              <w:rPr>
                <w:sz w:val="17"/>
              </w:rPr>
              <w:tab/>
              <w:t>Alataw National Children’s Clinical Sanatorium</w:t>
            </w:r>
          </w:p>
        </w:tc>
        <w:tc>
          <w:tcPr>
            <w:tcW w:w="990" w:type="dxa"/>
          </w:tcPr>
          <w:p w:rsidR="00000000" w:rsidRDefault="00000000">
            <w:pPr>
              <w:pStyle w:val="BodyTextIndent2"/>
              <w:spacing w:after="120"/>
              <w:ind w:left="0" w:firstLine="0"/>
              <w:jc w:val="right"/>
              <w:rPr>
                <w:sz w:val="17"/>
              </w:rPr>
            </w:pPr>
            <w:r>
              <w:rPr>
                <w:sz w:val="17"/>
              </w:rPr>
              <w:t>47 931.4</w:t>
            </w:r>
          </w:p>
        </w:tc>
        <w:tc>
          <w:tcPr>
            <w:tcW w:w="1170" w:type="dxa"/>
          </w:tcPr>
          <w:p w:rsidR="00000000" w:rsidRDefault="00000000">
            <w:pPr>
              <w:pStyle w:val="BodyTextIndent2"/>
              <w:spacing w:after="120"/>
              <w:ind w:left="0" w:firstLine="0"/>
              <w:jc w:val="right"/>
              <w:rPr>
                <w:sz w:val="17"/>
              </w:rPr>
            </w:pPr>
            <w:r>
              <w:rPr>
                <w:sz w:val="17"/>
              </w:rPr>
              <w:t>37 065</w:t>
            </w:r>
          </w:p>
        </w:tc>
        <w:tc>
          <w:tcPr>
            <w:tcW w:w="1260" w:type="dxa"/>
          </w:tcPr>
          <w:p w:rsidR="00000000" w:rsidRDefault="00000000">
            <w:pPr>
              <w:pStyle w:val="BodyTextIndent2"/>
              <w:spacing w:after="120"/>
              <w:ind w:left="0" w:firstLine="0"/>
              <w:jc w:val="right"/>
              <w:rPr>
                <w:sz w:val="17"/>
              </w:rPr>
            </w:pPr>
            <w:r>
              <w:rPr>
                <w:sz w:val="17"/>
              </w:rPr>
              <w:t>31 249</w:t>
            </w:r>
          </w:p>
        </w:tc>
        <w:tc>
          <w:tcPr>
            <w:tcW w:w="1323" w:type="dxa"/>
          </w:tcPr>
          <w:p w:rsidR="00000000" w:rsidRDefault="00000000">
            <w:pPr>
              <w:pStyle w:val="BodyTextIndent2"/>
              <w:spacing w:after="120"/>
              <w:ind w:left="0" w:firstLine="0"/>
              <w:jc w:val="right"/>
              <w:rPr>
                <w:sz w:val="17"/>
              </w:rPr>
            </w:pPr>
            <w:r>
              <w:rPr>
                <w:sz w:val="17"/>
              </w:rPr>
              <w:t>9 214</w:t>
            </w:r>
          </w:p>
        </w:tc>
      </w:tr>
      <w:tr w:rsidR="00000000">
        <w:tblPrEx>
          <w:tblCellMar>
            <w:top w:w="0" w:type="dxa"/>
            <w:bottom w:w="0" w:type="dxa"/>
          </w:tblCellMar>
        </w:tblPrEx>
        <w:tc>
          <w:tcPr>
            <w:tcW w:w="5130" w:type="dxa"/>
          </w:tcPr>
          <w:p w:rsidR="00000000" w:rsidRDefault="00000000">
            <w:pPr>
              <w:pStyle w:val="BodyTextIndent2"/>
              <w:tabs>
                <w:tab w:val="clear" w:pos="475"/>
                <w:tab w:val="left" w:pos="342"/>
              </w:tabs>
              <w:spacing w:after="120"/>
              <w:ind w:left="0" w:firstLine="0"/>
              <w:jc w:val="left"/>
              <w:rPr>
                <w:sz w:val="17"/>
              </w:rPr>
            </w:pPr>
            <w:r>
              <w:rPr>
                <w:sz w:val="17"/>
              </w:rPr>
              <w:t>5.</w:t>
            </w:r>
            <w:r>
              <w:rPr>
                <w:sz w:val="17"/>
              </w:rPr>
              <w:tab/>
              <w:t>National Children’s Recuperation and Rehabilitation Centre</w:t>
            </w:r>
          </w:p>
        </w:tc>
        <w:tc>
          <w:tcPr>
            <w:tcW w:w="990" w:type="dxa"/>
          </w:tcPr>
          <w:p w:rsidR="00000000" w:rsidRDefault="00000000">
            <w:pPr>
              <w:pStyle w:val="BodyTextIndent2"/>
              <w:spacing w:after="120"/>
              <w:ind w:left="0" w:firstLine="0"/>
              <w:jc w:val="right"/>
              <w:rPr>
                <w:sz w:val="17"/>
              </w:rPr>
            </w:pPr>
            <w:r>
              <w:rPr>
                <w:sz w:val="17"/>
              </w:rPr>
              <w:t>43 940.3</w:t>
            </w:r>
          </w:p>
        </w:tc>
        <w:tc>
          <w:tcPr>
            <w:tcW w:w="1170" w:type="dxa"/>
          </w:tcPr>
          <w:p w:rsidR="00000000" w:rsidRDefault="00000000">
            <w:pPr>
              <w:pStyle w:val="BodyTextIndent2"/>
              <w:spacing w:after="120"/>
              <w:ind w:left="0" w:firstLine="0"/>
              <w:jc w:val="right"/>
              <w:rPr>
                <w:sz w:val="17"/>
              </w:rPr>
            </w:pPr>
            <w:r>
              <w:rPr>
                <w:sz w:val="17"/>
              </w:rPr>
              <w:t>77 979.4</w:t>
            </w:r>
          </w:p>
        </w:tc>
        <w:tc>
          <w:tcPr>
            <w:tcW w:w="1260" w:type="dxa"/>
          </w:tcPr>
          <w:p w:rsidR="00000000" w:rsidRDefault="00000000">
            <w:pPr>
              <w:pStyle w:val="BodyTextIndent2"/>
              <w:spacing w:after="120"/>
              <w:ind w:left="0" w:firstLine="0"/>
              <w:jc w:val="right"/>
              <w:rPr>
                <w:sz w:val="17"/>
              </w:rPr>
            </w:pPr>
            <w:r>
              <w:rPr>
                <w:sz w:val="17"/>
              </w:rPr>
              <w:t>83 143</w:t>
            </w:r>
          </w:p>
        </w:tc>
        <w:tc>
          <w:tcPr>
            <w:tcW w:w="1323" w:type="dxa"/>
          </w:tcPr>
          <w:p w:rsidR="00000000" w:rsidRDefault="00000000">
            <w:pPr>
              <w:pStyle w:val="BodyTextIndent2"/>
              <w:spacing w:after="120"/>
              <w:ind w:left="0" w:firstLine="0"/>
              <w:jc w:val="right"/>
              <w:rPr>
                <w:sz w:val="17"/>
              </w:rPr>
            </w:pPr>
            <w:r>
              <w:rPr>
                <w:sz w:val="17"/>
              </w:rPr>
              <w:t>58 576</w:t>
            </w:r>
          </w:p>
        </w:tc>
      </w:tr>
      <w:tr w:rsidR="00000000">
        <w:tblPrEx>
          <w:tblCellMar>
            <w:top w:w="0" w:type="dxa"/>
            <w:bottom w:w="0" w:type="dxa"/>
          </w:tblCellMar>
        </w:tblPrEx>
        <w:tc>
          <w:tcPr>
            <w:tcW w:w="5130" w:type="dxa"/>
            <w:tcBorders>
              <w:bottom w:val="single" w:sz="4" w:space="0" w:color="auto"/>
            </w:tcBorders>
          </w:tcPr>
          <w:p w:rsidR="00000000" w:rsidRDefault="00000000">
            <w:pPr>
              <w:pStyle w:val="BodyTextIndent2"/>
              <w:tabs>
                <w:tab w:val="clear" w:pos="475"/>
                <w:tab w:val="left" w:pos="342"/>
              </w:tabs>
              <w:spacing w:after="120"/>
              <w:ind w:left="0" w:firstLine="0"/>
              <w:jc w:val="left"/>
              <w:rPr>
                <w:sz w:val="17"/>
              </w:rPr>
            </w:pPr>
            <w:r>
              <w:rPr>
                <w:sz w:val="17"/>
              </w:rPr>
              <w:t>6.</w:t>
            </w:r>
            <w:r>
              <w:rPr>
                <w:sz w:val="17"/>
              </w:rPr>
              <w:tab/>
              <w:t>Balbulak National Children’s Rehabilitation Centre</w:t>
            </w:r>
          </w:p>
        </w:tc>
        <w:tc>
          <w:tcPr>
            <w:tcW w:w="990" w:type="dxa"/>
            <w:tcBorders>
              <w:bottom w:val="single" w:sz="4" w:space="0" w:color="auto"/>
            </w:tcBorders>
          </w:tcPr>
          <w:p w:rsidR="00000000" w:rsidRDefault="00000000">
            <w:pPr>
              <w:pStyle w:val="BodyTextIndent2"/>
              <w:spacing w:after="120"/>
              <w:ind w:left="0" w:firstLine="0"/>
              <w:jc w:val="right"/>
              <w:rPr>
                <w:sz w:val="17"/>
              </w:rPr>
            </w:pPr>
            <w:r>
              <w:rPr>
                <w:sz w:val="17"/>
              </w:rPr>
              <w:t>21 838.2</w:t>
            </w:r>
          </w:p>
        </w:tc>
        <w:tc>
          <w:tcPr>
            <w:tcW w:w="1170" w:type="dxa"/>
            <w:tcBorders>
              <w:bottom w:val="single" w:sz="4" w:space="0" w:color="auto"/>
            </w:tcBorders>
          </w:tcPr>
          <w:p w:rsidR="00000000" w:rsidRDefault="00000000">
            <w:pPr>
              <w:pStyle w:val="BodyTextIndent2"/>
              <w:spacing w:after="120"/>
              <w:ind w:left="0" w:firstLine="0"/>
              <w:jc w:val="right"/>
              <w:rPr>
                <w:sz w:val="17"/>
              </w:rPr>
            </w:pPr>
            <w:r>
              <w:rPr>
                <w:sz w:val="17"/>
              </w:rPr>
              <w:t>20 032.6</w:t>
            </w:r>
          </w:p>
        </w:tc>
        <w:tc>
          <w:tcPr>
            <w:tcW w:w="1260" w:type="dxa"/>
            <w:tcBorders>
              <w:bottom w:val="single" w:sz="4" w:space="0" w:color="auto"/>
            </w:tcBorders>
          </w:tcPr>
          <w:p w:rsidR="00000000" w:rsidRDefault="00000000">
            <w:pPr>
              <w:pStyle w:val="BodyTextIndent2"/>
              <w:spacing w:after="120"/>
              <w:ind w:left="0" w:firstLine="0"/>
              <w:jc w:val="right"/>
              <w:rPr>
                <w:sz w:val="17"/>
              </w:rPr>
            </w:pPr>
            <w:r>
              <w:rPr>
                <w:sz w:val="17"/>
              </w:rPr>
              <w:t>27 616</w:t>
            </w:r>
          </w:p>
        </w:tc>
        <w:tc>
          <w:tcPr>
            <w:tcW w:w="1323" w:type="dxa"/>
            <w:tcBorders>
              <w:bottom w:val="single" w:sz="4" w:space="0" w:color="auto"/>
            </w:tcBorders>
          </w:tcPr>
          <w:p w:rsidR="00000000" w:rsidRDefault="00000000">
            <w:pPr>
              <w:pStyle w:val="BodyTextIndent2"/>
              <w:spacing w:after="120"/>
              <w:ind w:left="0" w:firstLine="0"/>
              <w:jc w:val="right"/>
              <w:rPr>
                <w:sz w:val="17"/>
              </w:rPr>
            </w:pPr>
            <w:r>
              <w:rPr>
                <w:sz w:val="17"/>
              </w:rPr>
              <w:t>9 852</w:t>
            </w:r>
          </w:p>
        </w:tc>
      </w:tr>
      <w:tr w:rsidR="00000000">
        <w:tblPrEx>
          <w:tblCellMar>
            <w:top w:w="0" w:type="dxa"/>
            <w:bottom w:w="0" w:type="dxa"/>
          </w:tblCellMar>
        </w:tblPrEx>
        <w:tc>
          <w:tcPr>
            <w:tcW w:w="5130" w:type="dxa"/>
            <w:tcBorders>
              <w:top w:val="single" w:sz="4" w:space="0" w:color="auto"/>
              <w:bottom w:val="single" w:sz="12" w:space="0" w:color="auto"/>
            </w:tcBorders>
          </w:tcPr>
          <w:p w:rsidR="00000000" w:rsidRDefault="00000000">
            <w:pPr>
              <w:pStyle w:val="BodyTextIndent2"/>
              <w:tabs>
                <w:tab w:val="clear" w:pos="475"/>
                <w:tab w:val="left" w:pos="342"/>
              </w:tabs>
              <w:spacing w:after="120"/>
              <w:ind w:left="0" w:firstLine="0"/>
              <w:jc w:val="left"/>
              <w:rPr>
                <w:b/>
                <w:sz w:val="17"/>
              </w:rPr>
            </w:pPr>
            <w:r>
              <w:rPr>
                <w:b/>
                <w:sz w:val="17"/>
              </w:rPr>
              <w:tab/>
              <w:t>Total</w:t>
            </w:r>
          </w:p>
        </w:tc>
        <w:tc>
          <w:tcPr>
            <w:tcW w:w="990" w:type="dxa"/>
            <w:tcBorders>
              <w:top w:val="single" w:sz="4" w:space="0" w:color="auto"/>
              <w:bottom w:val="single" w:sz="12" w:space="0" w:color="auto"/>
            </w:tcBorders>
          </w:tcPr>
          <w:p w:rsidR="00000000" w:rsidRDefault="00000000">
            <w:pPr>
              <w:pStyle w:val="BodyTextIndent2"/>
              <w:spacing w:after="120"/>
              <w:ind w:left="0" w:firstLine="0"/>
              <w:jc w:val="right"/>
              <w:rPr>
                <w:b/>
                <w:sz w:val="17"/>
              </w:rPr>
            </w:pPr>
            <w:r>
              <w:rPr>
                <w:b/>
                <w:sz w:val="17"/>
              </w:rPr>
              <w:t>462 729.8</w:t>
            </w:r>
          </w:p>
        </w:tc>
        <w:tc>
          <w:tcPr>
            <w:tcW w:w="1170" w:type="dxa"/>
            <w:tcBorders>
              <w:top w:val="single" w:sz="4" w:space="0" w:color="auto"/>
              <w:bottom w:val="single" w:sz="12" w:space="0" w:color="auto"/>
            </w:tcBorders>
          </w:tcPr>
          <w:p w:rsidR="00000000" w:rsidRDefault="00000000">
            <w:pPr>
              <w:pStyle w:val="BodyTextIndent2"/>
              <w:spacing w:after="120"/>
              <w:ind w:left="0" w:firstLine="0"/>
              <w:jc w:val="right"/>
              <w:rPr>
                <w:b/>
                <w:sz w:val="17"/>
              </w:rPr>
            </w:pPr>
            <w:r>
              <w:rPr>
                <w:b/>
                <w:sz w:val="17"/>
              </w:rPr>
              <w:t>488 349.9</w:t>
            </w:r>
          </w:p>
        </w:tc>
        <w:tc>
          <w:tcPr>
            <w:tcW w:w="1260" w:type="dxa"/>
            <w:tcBorders>
              <w:top w:val="single" w:sz="4" w:space="0" w:color="auto"/>
              <w:bottom w:val="single" w:sz="12" w:space="0" w:color="auto"/>
            </w:tcBorders>
          </w:tcPr>
          <w:p w:rsidR="00000000" w:rsidRDefault="00000000">
            <w:pPr>
              <w:pStyle w:val="BodyTextIndent2"/>
              <w:spacing w:after="120"/>
              <w:ind w:left="0" w:firstLine="0"/>
              <w:jc w:val="right"/>
              <w:rPr>
                <w:b/>
                <w:sz w:val="17"/>
              </w:rPr>
            </w:pPr>
            <w:r>
              <w:rPr>
                <w:b/>
                <w:sz w:val="17"/>
              </w:rPr>
              <w:t>49 565</w:t>
            </w:r>
          </w:p>
        </w:tc>
        <w:tc>
          <w:tcPr>
            <w:tcW w:w="1323" w:type="dxa"/>
            <w:tcBorders>
              <w:top w:val="single" w:sz="4" w:space="0" w:color="auto"/>
              <w:bottom w:val="single" w:sz="12" w:space="0" w:color="auto"/>
            </w:tcBorders>
          </w:tcPr>
          <w:p w:rsidR="00000000" w:rsidRDefault="00000000">
            <w:pPr>
              <w:pStyle w:val="BodyTextIndent2"/>
              <w:spacing w:after="120"/>
              <w:ind w:left="0" w:firstLine="0"/>
              <w:jc w:val="right"/>
              <w:rPr>
                <w:b/>
                <w:sz w:val="17"/>
              </w:rPr>
            </w:pPr>
            <w:r>
              <w:rPr>
                <w:b/>
                <w:sz w:val="17"/>
              </w:rPr>
              <w:t>198 049</w:t>
            </w:r>
          </w:p>
        </w:tc>
      </w:tr>
    </w:tbl>
    <w:p w:rsidR="00000000" w:rsidRDefault="00000000">
      <w:pPr>
        <w:pStyle w:val="BodyTextIndent2"/>
        <w:spacing w:after="120"/>
        <w:ind w:left="0" w:firstLine="0"/>
      </w:pPr>
    </w:p>
    <w:p w:rsidR="00000000" w:rsidRDefault="00000000">
      <w:pPr>
        <w:pStyle w:val="BodyTextIndent2"/>
        <w:spacing w:after="120"/>
        <w:ind w:left="0" w:firstLine="0"/>
      </w:pPr>
    </w:p>
    <w:p w:rsidR="00000000" w:rsidRDefault="00000000">
      <w:pPr>
        <w:pStyle w:val="BodyTextIndent2"/>
        <w:ind w:left="0" w:firstLine="0"/>
      </w:pPr>
      <w:r>
        <w:t>Table 35</w:t>
      </w:r>
    </w:p>
    <w:p w:rsidR="00000000" w:rsidRDefault="00000000">
      <w:pPr>
        <w:pStyle w:val="BodyTextIndent2"/>
        <w:spacing w:after="120"/>
        <w:ind w:left="0" w:firstLine="0"/>
      </w:pPr>
      <w:r>
        <w:rPr>
          <w:b/>
        </w:rPr>
        <w:t>Basic health indicators</w:t>
      </w:r>
    </w:p>
    <w:p w:rsidR="00000000" w:rsidRDefault="00000000">
      <w:pPr>
        <w:pStyle w:val="D12r"/>
      </w:pPr>
    </w:p>
    <w:tbl>
      <w:tblPr>
        <w:tblW w:w="0" w:type="auto"/>
        <w:tblInd w:w="2" w:type="dxa"/>
        <w:tblLayout w:type="fixed"/>
        <w:tblLook w:val="0000" w:firstRow="0" w:lastRow="0" w:firstColumn="0" w:lastColumn="0" w:noHBand="0" w:noVBand="0"/>
      </w:tblPr>
      <w:tblGrid>
        <w:gridCol w:w="2484"/>
        <w:gridCol w:w="756"/>
        <w:gridCol w:w="810"/>
        <w:gridCol w:w="810"/>
        <w:gridCol w:w="837"/>
        <w:gridCol w:w="855"/>
        <w:gridCol w:w="828"/>
        <w:gridCol w:w="828"/>
        <w:gridCol w:w="828"/>
        <w:gridCol w:w="819"/>
      </w:tblGrid>
      <w:tr w:rsidR="00000000">
        <w:tblPrEx>
          <w:tblCellMar>
            <w:top w:w="0" w:type="dxa"/>
            <w:bottom w:w="0" w:type="dxa"/>
          </w:tblCellMar>
        </w:tblPrEx>
        <w:tc>
          <w:tcPr>
            <w:tcW w:w="2484" w:type="dxa"/>
            <w:tcBorders>
              <w:top w:val="single" w:sz="4" w:space="0" w:color="auto"/>
              <w:bottom w:val="single" w:sz="12" w:space="0" w:color="auto"/>
            </w:tcBorders>
          </w:tcPr>
          <w:p w:rsidR="00000000" w:rsidRDefault="00000000">
            <w:pPr>
              <w:pStyle w:val="BodyTextIndent2"/>
              <w:spacing w:after="120"/>
              <w:ind w:left="0" w:firstLine="0"/>
              <w:jc w:val="left"/>
              <w:rPr>
                <w:i/>
                <w:sz w:val="14"/>
              </w:rPr>
            </w:pPr>
          </w:p>
        </w:tc>
        <w:tc>
          <w:tcPr>
            <w:tcW w:w="756"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1990</w:t>
            </w:r>
          </w:p>
        </w:tc>
        <w:tc>
          <w:tcPr>
            <w:tcW w:w="810"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1991</w:t>
            </w:r>
          </w:p>
        </w:tc>
        <w:tc>
          <w:tcPr>
            <w:tcW w:w="810"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1992</w:t>
            </w:r>
          </w:p>
        </w:tc>
        <w:tc>
          <w:tcPr>
            <w:tcW w:w="837"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1993</w:t>
            </w:r>
          </w:p>
        </w:tc>
        <w:tc>
          <w:tcPr>
            <w:tcW w:w="855"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1994</w:t>
            </w:r>
          </w:p>
        </w:tc>
        <w:tc>
          <w:tcPr>
            <w:tcW w:w="828"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1995</w:t>
            </w:r>
          </w:p>
        </w:tc>
        <w:tc>
          <w:tcPr>
            <w:tcW w:w="828"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1996</w:t>
            </w:r>
          </w:p>
        </w:tc>
        <w:tc>
          <w:tcPr>
            <w:tcW w:w="828"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1997</w:t>
            </w:r>
          </w:p>
        </w:tc>
        <w:tc>
          <w:tcPr>
            <w:tcW w:w="819"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1998</w:t>
            </w:r>
          </w:p>
        </w:tc>
      </w:tr>
      <w:tr w:rsidR="00000000">
        <w:tblPrEx>
          <w:tblCellMar>
            <w:top w:w="0" w:type="dxa"/>
            <w:bottom w:w="0" w:type="dxa"/>
          </w:tblCellMar>
        </w:tblPrEx>
        <w:tc>
          <w:tcPr>
            <w:tcW w:w="2484" w:type="dxa"/>
            <w:tcBorders>
              <w:top w:val="single" w:sz="12" w:space="0" w:color="auto"/>
            </w:tcBorders>
          </w:tcPr>
          <w:p w:rsidR="00000000" w:rsidRDefault="00000000">
            <w:pPr>
              <w:pStyle w:val="BodyTextIndent2"/>
              <w:spacing w:after="120"/>
              <w:ind w:left="0" w:firstLine="0"/>
              <w:jc w:val="left"/>
              <w:rPr>
                <w:sz w:val="17"/>
              </w:rPr>
            </w:pPr>
            <w:r>
              <w:rPr>
                <w:sz w:val="17"/>
              </w:rPr>
              <w:t>Number of stillborns</w:t>
            </w:r>
          </w:p>
        </w:tc>
        <w:tc>
          <w:tcPr>
            <w:tcW w:w="756" w:type="dxa"/>
            <w:tcBorders>
              <w:top w:val="single" w:sz="12" w:space="0" w:color="auto"/>
            </w:tcBorders>
          </w:tcPr>
          <w:p w:rsidR="00000000" w:rsidRDefault="00000000">
            <w:pPr>
              <w:pStyle w:val="BodyTextIndent2"/>
              <w:spacing w:after="120"/>
              <w:ind w:left="0" w:firstLine="0"/>
              <w:jc w:val="right"/>
              <w:rPr>
                <w:sz w:val="17"/>
              </w:rPr>
            </w:pPr>
            <w:r>
              <w:rPr>
                <w:sz w:val="17"/>
              </w:rPr>
              <w:t>3 713</w:t>
            </w:r>
          </w:p>
        </w:tc>
        <w:tc>
          <w:tcPr>
            <w:tcW w:w="810" w:type="dxa"/>
            <w:tcBorders>
              <w:top w:val="single" w:sz="12" w:space="0" w:color="auto"/>
            </w:tcBorders>
          </w:tcPr>
          <w:p w:rsidR="00000000" w:rsidRDefault="00000000">
            <w:pPr>
              <w:pStyle w:val="BodyTextIndent2"/>
              <w:spacing w:after="120"/>
              <w:ind w:left="0" w:firstLine="0"/>
              <w:jc w:val="right"/>
              <w:rPr>
                <w:sz w:val="17"/>
              </w:rPr>
            </w:pPr>
            <w:r>
              <w:rPr>
                <w:sz w:val="17"/>
              </w:rPr>
              <w:t>3 461</w:t>
            </w:r>
          </w:p>
        </w:tc>
        <w:tc>
          <w:tcPr>
            <w:tcW w:w="810" w:type="dxa"/>
            <w:tcBorders>
              <w:top w:val="single" w:sz="12" w:space="0" w:color="auto"/>
            </w:tcBorders>
          </w:tcPr>
          <w:p w:rsidR="00000000" w:rsidRDefault="00000000">
            <w:pPr>
              <w:pStyle w:val="BodyTextIndent2"/>
              <w:spacing w:after="120"/>
              <w:ind w:left="0" w:firstLine="0"/>
              <w:jc w:val="right"/>
              <w:rPr>
                <w:sz w:val="17"/>
              </w:rPr>
            </w:pPr>
            <w:r>
              <w:rPr>
                <w:sz w:val="17"/>
              </w:rPr>
              <w:t>3 100</w:t>
            </w:r>
          </w:p>
        </w:tc>
        <w:tc>
          <w:tcPr>
            <w:tcW w:w="837" w:type="dxa"/>
            <w:tcBorders>
              <w:top w:val="single" w:sz="12" w:space="0" w:color="auto"/>
            </w:tcBorders>
          </w:tcPr>
          <w:p w:rsidR="00000000" w:rsidRDefault="00000000">
            <w:pPr>
              <w:pStyle w:val="BodyTextIndent2"/>
              <w:spacing w:after="120"/>
              <w:ind w:left="0" w:firstLine="0"/>
              <w:jc w:val="right"/>
              <w:rPr>
                <w:sz w:val="17"/>
              </w:rPr>
            </w:pPr>
            <w:r>
              <w:rPr>
                <w:sz w:val="17"/>
              </w:rPr>
              <w:t>2 629</w:t>
            </w:r>
          </w:p>
        </w:tc>
        <w:tc>
          <w:tcPr>
            <w:tcW w:w="855" w:type="dxa"/>
            <w:tcBorders>
              <w:top w:val="single" w:sz="12" w:space="0" w:color="auto"/>
            </w:tcBorders>
          </w:tcPr>
          <w:p w:rsidR="00000000" w:rsidRDefault="00000000">
            <w:pPr>
              <w:pStyle w:val="BodyTextIndent2"/>
              <w:spacing w:after="120"/>
              <w:ind w:left="0" w:firstLine="0"/>
              <w:jc w:val="right"/>
              <w:rPr>
                <w:sz w:val="17"/>
              </w:rPr>
            </w:pPr>
            <w:r>
              <w:rPr>
                <w:sz w:val="17"/>
              </w:rPr>
              <w:t>2 564</w:t>
            </w:r>
          </w:p>
        </w:tc>
        <w:tc>
          <w:tcPr>
            <w:tcW w:w="828" w:type="dxa"/>
            <w:tcBorders>
              <w:top w:val="single" w:sz="12" w:space="0" w:color="auto"/>
            </w:tcBorders>
          </w:tcPr>
          <w:p w:rsidR="00000000" w:rsidRDefault="00000000">
            <w:pPr>
              <w:pStyle w:val="BodyTextIndent2"/>
              <w:spacing w:after="120"/>
              <w:ind w:left="0" w:firstLine="0"/>
              <w:jc w:val="right"/>
              <w:rPr>
                <w:sz w:val="17"/>
              </w:rPr>
            </w:pPr>
            <w:r>
              <w:rPr>
                <w:sz w:val="17"/>
              </w:rPr>
              <w:t>2 373</w:t>
            </w:r>
          </w:p>
        </w:tc>
        <w:tc>
          <w:tcPr>
            <w:tcW w:w="828" w:type="dxa"/>
            <w:tcBorders>
              <w:top w:val="single" w:sz="12" w:space="0" w:color="auto"/>
            </w:tcBorders>
          </w:tcPr>
          <w:p w:rsidR="00000000" w:rsidRDefault="00000000">
            <w:pPr>
              <w:pStyle w:val="BodyTextIndent2"/>
              <w:spacing w:after="120"/>
              <w:ind w:left="0" w:firstLine="0"/>
              <w:jc w:val="right"/>
              <w:rPr>
                <w:sz w:val="17"/>
              </w:rPr>
            </w:pPr>
            <w:r>
              <w:rPr>
                <w:sz w:val="17"/>
              </w:rPr>
              <w:t>2 311</w:t>
            </w:r>
          </w:p>
        </w:tc>
        <w:tc>
          <w:tcPr>
            <w:tcW w:w="828" w:type="dxa"/>
            <w:tcBorders>
              <w:top w:val="single" w:sz="12" w:space="0" w:color="auto"/>
            </w:tcBorders>
          </w:tcPr>
          <w:p w:rsidR="00000000" w:rsidRDefault="00000000">
            <w:pPr>
              <w:pStyle w:val="BodyTextIndent2"/>
              <w:spacing w:after="120"/>
              <w:ind w:left="0" w:firstLine="0"/>
              <w:jc w:val="right"/>
              <w:rPr>
                <w:sz w:val="17"/>
              </w:rPr>
            </w:pPr>
            <w:r>
              <w:rPr>
                <w:sz w:val="17"/>
              </w:rPr>
              <w:t>2 109</w:t>
            </w:r>
          </w:p>
        </w:tc>
        <w:tc>
          <w:tcPr>
            <w:tcW w:w="819" w:type="dxa"/>
            <w:tcBorders>
              <w:top w:val="single" w:sz="12" w:space="0" w:color="auto"/>
            </w:tcBorders>
          </w:tcPr>
          <w:p w:rsidR="00000000" w:rsidRDefault="00000000">
            <w:pPr>
              <w:pStyle w:val="BodyTextIndent2"/>
              <w:spacing w:after="120"/>
              <w:ind w:left="0" w:firstLine="0"/>
              <w:jc w:val="right"/>
              <w:rPr>
                <w:sz w:val="17"/>
              </w:rPr>
            </w:pPr>
            <w:r>
              <w:rPr>
                <w:sz w:val="17"/>
              </w:rPr>
              <w:t>2 100</w:t>
            </w:r>
          </w:p>
        </w:tc>
      </w:tr>
      <w:tr w:rsidR="00000000">
        <w:tblPrEx>
          <w:tblCellMar>
            <w:top w:w="0" w:type="dxa"/>
            <w:bottom w:w="0" w:type="dxa"/>
          </w:tblCellMar>
        </w:tblPrEx>
        <w:tc>
          <w:tcPr>
            <w:tcW w:w="2484" w:type="dxa"/>
          </w:tcPr>
          <w:p w:rsidR="00000000" w:rsidRDefault="00000000">
            <w:pPr>
              <w:pStyle w:val="BodyTextIndent2"/>
              <w:spacing w:after="120"/>
              <w:ind w:left="0" w:firstLine="0"/>
              <w:jc w:val="left"/>
              <w:rPr>
                <w:sz w:val="17"/>
              </w:rPr>
            </w:pPr>
            <w:r>
              <w:rPr>
                <w:sz w:val="17"/>
              </w:rPr>
              <w:t>Child deaths up to one year of age</w:t>
            </w:r>
          </w:p>
        </w:tc>
        <w:tc>
          <w:tcPr>
            <w:tcW w:w="756" w:type="dxa"/>
          </w:tcPr>
          <w:p w:rsidR="00000000" w:rsidRDefault="00000000">
            <w:pPr>
              <w:pStyle w:val="BodyTextIndent2"/>
              <w:spacing w:after="120"/>
              <w:ind w:left="0" w:firstLine="0"/>
              <w:jc w:val="right"/>
              <w:rPr>
                <w:sz w:val="17"/>
              </w:rPr>
            </w:pPr>
            <w:r>
              <w:rPr>
                <w:sz w:val="17"/>
              </w:rPr>
              <w:t>9 674</w:t>
            </w:r>
          </w:p>
        </w:tc>
        <w:tc>
          <w:tcPr>
            <w:tcW w:w="810" w:type="dxa"/>
          </w:tcPr>
          <w:p w:rsidR="00000000" w:rsidRDefault="00000000">
            <w:pPr>
              <w:pStyle w:val="BodyTextIndent2"/>
              <w:spacing w:after="120"/>
              <w:ind w:left="0" w:firstLine="0"/>
              <w:jc w:val="right"/>
              <w:rPr>
                <w:sz w:val="17"/>
              </w:rPr>
            </w:pPr>
            <w:r>
              <w:rPr>
                <w:sz w:val="17"/>
              </w:rPr>
              <w:t>9 732</w:t>
            </w:r>
          </w:p>
        </w:tc>
        <w:tc>
          <w:tcPr>
            <w:tcW w:w="810" w:type="dxa"/>
          </w:tcPr>
          <w:p w:rsidR="00000000" w:rsidRDefault="00000000">
            <w:pPr>
              <w:pStyle w:val="BodyTextIndent2"/>
              <w:spacing w:after="120"/>
              <w:ind w:left="0" w:firstLine="0"/>
              <w:jc w:val="right"/>
              <w:rPr>
                <w:sz w:val="17"/>
              </w:rPr>
            </w:pPr>
            <w:r>
              <w:rPr>
                <w:sz w:val="17"/>
              </w:rPr>
              <w:t>8 882</w:t>
            </w:r>
          </w:p>
        </w:tc>
        <w:tc>
          <w:tcPr>
            <w:tcW w:w="837" w:type="dxa"/>
          </w:tcPr>
          <w:p w:rsidR="00000000" w:rsidRDefault="00000000">
            <w:pPr>
              <w:pStyle w:val="BodyTextIndent2"/>
              <w:spacing w:after="120"/>
              <w:ind w:left="0" w:firstLine="0"/>
              <w:jc w:val="right"/>
              <w:rPr>
                <w:sz w:val="17"/>
              </w:rPr>
            </w:pPr>
            <w:r>
              <w:rPr>
                <w:sz w:val="17"/>
              </w:rPr>
              <w:t>9 075</w:t>
            </w:r>
          </w:p>
        </w:tc>
        <w:tc>
          <w:tcPr>
            <w:tcW w:w="855" w:type="dxa"/>
          </w:tcPr>
          <w:p w:rsidR="00000000" w:rsidRDefault="00000000">
            <w:pPr>
              <w:pStyle w:val="BodyTextIndent2"/>
              <w:spacing w:after="120"/>
              <w:ind w:left="0" w:firstLine="0"/>
              <w:jc w:val="right"/>
              <w:rPr>
                <w:sz w:val="17"/>
              </w:rPr>
            </w:pPr>
            <w:r>
              <w:rPr>
                <w:sz w:val="17"/>
              </w:rPr>
              <w:t>8 382</w:t>
            </w:r>
          </w:p>
        </w:tc>
        <w:tc>
          <w:tcPr>
            <w:tcW w:w="828" w:type="dxa"/>
          </w:tcPr>
          <w:p w:rsidR="00000000" w:rsidRDefault="00000000">
            <w:pPr>
              <w:pStyle w:val="BodyTextIndent2"/>
              <w:spacing w:after="120"/>
              <w:ind w:left="0" w:firstLine="0"/>
              <w:jc w:val="right"/>
              <w:rPr>
                <w:sz w:val="17"/>
              </w:rPr>
            </w:pPr>
            <w:r>
              <w:rPr>
                <w:sz w:val="17"/>
              </w:rPr>
              <w:t>7 710</w:t>
            </w:r>
          </w:p>
        </w:tc>
        <w:tc>
          <w:tcPr>
            <w:tcW w:w="828" w:type="dxa"/>
          </w:tcPr>
          <w:p w:rsidR="00000000" w:rsidRDefault="00000000">
            <w:pPr>
              <w:pStyle w:val="BodyTextIndent2"/>
              <w:spacing w:after="120"/>
              <w:ind w:left="0" w:firstLine="0"/>
              <w:jc w:val="right"/>
              <w:rPr>
                <w:sz w:val="17"/>
              </w:rPr>
            </w:pPr>
            <w:r>
              <w:rPr>
                <w:sz w:val="17"/>
              </w:rPr>
              <w:t>6 654</w:t>
            </w:r>
          </w:p>
        </w:tc>
        <w:tc>
          <w:tcPr>
            <w:tcW w:w="828" w:type="dxa"/>
          </w:tcPr>
          <w:p w:rsidR="00000000" w:rsidRDefault="00000000">
            <w:pPr>
              <w:pStyle w:val="BodyTextIndent2"/>
              <w:spacing w:after="120"/>
              <w:ind w:left="0" w:firstLine="0"/>
              <w:jc w:val="right"/>
              <w:rPr>
                <w:sz w:val="17"/>
              </w:rPr>
            </w:pPr>
            <w:r>
              <w:rPr>
                <w:sz w:val="17"/>
              </w:rPr>
              <w:t>5 889</w:t>
            </w:r>
          </w:p>
        </w:tc>
        <w:tc>
          <w:tcPr>
            <w:tcW w:w="819" w:type="dxa"/>
          </w:tcPr>
          <w:p w:rsidR="00000000" w:rsidRDefault="00000000">
            <w:pPr>
              <w:pStyle w:val="BodyTextIndent2"/>
              <w:spacing w:after="120"/>
              <w:ind w:left="0" w:firstLine="0"/>
              <w:jc w:val="right"/>
              <w:rPr>
                <w:sz w:val="17"/>
              </w:rPr>
            </w:pPr>
            <w:r>
              <w:rPr>
                <w:sz w:val="17"/>
              </w:rPr>
              <w:t>4 843</w:t>
            </w:r>
          </w:p>
        </w:tc>
      </w:tr>
      <w:tr w:rsidR="00000000">
        <w:tblPrEx>
          <w:tblCellMar>
            <w:top w:w="0" w:type="dxa"/>
            <w:bottom w:w="0" w:type="dxa"/>
          </w:tblCellMar>
        </w:tblPrEx>
        <w:tc>
          <w:tcPr>
            <w:tcW w:w="2484" w:type="dxa"/>
          </w:tcPr>
          <w:p w:rsidR="00000000" w:rsidRDefault="00000000">
            <w:pPr>
              <w:pStyle w:val="BodyTextIndent2"/>
              <w:spacing w:after="120"/>
              <w:ind w:left="0" w:firstLine="0"/>
              <w:jc w:val="left"/>
              <w:rPr>
                <w:sz w:val="17"/>
              </w:rPr>
            </w:pPr>
            <w:r>
              <w:rPr>
                <w:sz w:val="17"/>
              </w:rPr>
              <w:t>Child deaths up to five years of age</w:t>
            </w:r>
          </w:p>
        </w:tc>
        <w:tc>
          <w:tcPr>
            <w:tcW w:w="756" w:type="dxa"/>
          </w:tcPr>
          <w:p w:rsidR="00000000" w:rsidRDefault="00000000">
            <w:pPr>
              <w:pStyle w:val="BodyTextIndent2"/>
              <w:spacing w:after="120"/>
              <w:ind w:left="0" w:firstLine="0"/>
              <w:jc w:val="right"/>
              <w:rPr>
                <w:sz w:val="17"/>
              </w:rPr>
            </w:pPr>
            <w:r>
              <w:rPr>
                <w:sz w:val="17"/>
              </w:rPr>
              <w:t>12 686</w:t>
            </w:r>
          </w:p>
        </w:tc>
        <w:tc>
          <w:tcPr>
            <w:tcW w:w="810" w:type="dxa"/>
          </w:tcPr>
          <w:p w:rsidR="00000000" w:rsidRDefault="00000000">
            <w:pPr>
              <w:pStyle w:val="BodyTextIndent2"/>
              <w:spacing w:after="120"/>
              <w:ind w:left="0" w:firstLine="0"/>
              <w:jc w:val="right"/>
              <w:rPr>
                <w:sz w:val="17"/>
              </w:rPr>
            </w:pPr>
            <w:r>
              <w:rPr>
                <w:sz w:val="17"/>
              </w:rPr>
              <w:t>12 614</w:t>
            </w:r>
          </w:p>
        </w:tc>
        <w:tc>
          <w:tcPr>
            <w:tcW w:w="810" w:type="dxa"/>
          </w:tcPr>
          <w:p w:rsidR="00000000" w:rsidRDefault="00000000">
            <w:pPr>
              <w:pStyle w:val="BodyTextIndent2"/>
              <w:spacing w:after="120"/>
              <w:ind w:left="0" w:firstLine="0"/>
              <w:jc w:val="right"/>
              <w:rPr>
                <w:sz w:val="17"/>
              </w:rPr>
            </w:pPr>
            <w:r>
              <w:rPr>
                <w:sz w:val="17"/>
              </w:rPr>
              <w:t>11 570</w:t>
            </w:r>
          </w:p>
        </w:tc>
        <w:tc>
          <w:tcPr>
            <w:tcW w:w="837" w:type="dxa"/>
          </w:tcPr>
          <w:p w:rsidR="00000000" w:rsidRDefault="00000000">
            <w:pPr>
              <w:pStyle w:val="BodyTextIndent2"/>
              <w:spacing w:after="120"/>
              <w:ind w:left="0" w:firstLine="0"/>
              <w:jc w:val="right"/>
              <w:rPr>
                <w:sz w:val="17"/>
              </w:rPr>
            </w:pPr>
            <w:r>
              <w:rPr>
                <w:sz w:val="17"/>
              </w:rPr>
              <w:t>12 049</w:t>
            </w:r>
          </w:p>
        </w:tc>
        <w:tc>
          <w:tcPr>
            <w:tcW w:w="855" w:type="dxa"/>
          </w:tcPr>
          <w:p w:rsidR="00000000" w:rsidRDefault="00000000">
            <w:pPr>
              <w:pStyle w:val="BodyTextIndent2"/>
              <w:spacing w:after="120"/>
              <w:ind w:left="0" w:firstLine="0"/>
              <w:jc w:val="right"/>
              <w:rPr>
                <w:sz w:val="17"/>
              </w:rPr>
            </w:pPr>
            <w:r>
              <w:rPr>
                <w:sz w:val="17"/>
              </w:rPr>
              <w:t>11 088</w:t>
            </w:r>
          </w:p>
        </w:tc>
        <w:tc>
          <w:tcPr>
            <w:tcW w:w="828" w:type="dxa"/>
          </w:tcPr>
          <w:p w:rsidR="00000000" w:rsidRDefault="00000000">
            <w:pPr>
              <w:pStyle w:val="BodyTextIndent2"/>
              <w:spacing w:after="120"/>
              <w:ind w:left="0" w:firstLine="0"/>
              <w:jc w:val="right"/>
              <w:rPr>
                <w:sz w:val="17"/>
              </w:rPr>
            </w:pPr>
            <w:r>
              <w:rPr>
                <w:sz w:val="17"/>
              </w:rPr>
              <w:t>10 644</w:t>
            </w:r>
          </w:p>
        </w:tc>
        <w:tc>
          <w:tcPr>
            <w:tcW w:w="828" w:type="dxa"/>
          </w:tcPr>
          <w:p w:rsidR="00000000" w:rsidRDefault="00000000">
            <w:pPr>
              <w:pStyle w:val="BodyTextIndent2"/>
              <w:spacing w:after="120"/>
              <w:ind w:left="0" w:firstLine="0"/>
              <w:jc w:val="right"/>
              <w:rPr>
                <w:sz w:val="17"/>
              </w:rPr>
            </w:pPr>
            <w:r>
              <w:rPr>
                <w:sz w:val="17"/>
              </w:rPr>
              <w:t>8 905</w:t>
            </w:r>
          </w:p>
        </w:tc>
        <w:tc>
          <w:tcPr>
            <w:tcW w:w="828" w:type="dxa"/>
          </w:tcPr>
          <w:p w:rsidR="00000000" w:rsidRDefault="00000000">
            <w:pPr>
              <w:pStyle w:val="BodyTextIndent2"/>
              <w:spacing w:after="120"/>
              <w:ind w:left="0" w:firstLine="0"/>
              <w:jc w:val="right"/>
              <w:rPr>
                <w:sz w:val="17"/>
              </w:rPr>
            </w:pPr>
            <w:r>
              <w:rPr>
                <w:sz w:val="17"/>
              </w:rPr>
              <w:t>8 036</w:t>
            </w:r>
          </w:p>
        </w:tc>
        <w:tc>
          <w:tcPr>
            <w:tcW w:w="819" w:type="dxa"/>
          </w:tcPr>
          <w:p w:rsidR="00000000" w:rsidRDefault="00000000">
            <w:pPr>
              <w:pStyle w:val="BodyTextIndent2"/>
              <w:spacing w:after="120"/>
              <w:ind w:left="0" w:firstLine="0"/>
              <w:jc w:val="right"/>
              <w:rPr>
                <w:sz w:val="17"/>
              </w:rPr>
            </w:pPr>
            <w:r>
              <w:rPr>
                <w:sz w:val="17"/>
              </w:rPr>
              <w:t>6 740</w:t>
            </w:r>
          </w:p>
        </w:tc>
      </w:tr>
      <w:tr w:rsidR="00000000">
        <w:tblPrEx>
          <w:tblCellMar>
            <w:top w:w="0" w:type="dxa"/>
            <w:bottom w:w="0" w:type="dxa"/>
          </w:tblCellMar>
        </w:tblPrEx>
        <w:tc>
          <w:tcPr>
            <w:tcW w:w="2484" w:type="dxa"/>
          </w:tcPr>
          <w:p w:rsidR="00000000" w:rsidRDefault="00000000">
            <w:pPr>
              <w:pStyle w:val="BodyTextIndent2"/>
              <w:spacing w:after="120"/>
              <w:ind w:left="0" w:firstLine="0"/>
              <w:jc w:val="left"/>
              <w:rPr>
                <w:sz w:val="17"/>
              </w:rPr>
            </w:pPr>
            <w:r>
              <w:rPr>
                <w:sz w:val="17"/>
              </w:rPr>
              <w:t>Number of mothers dying in childbirth</w:t>
            </w:r>
          </w:p>
        </w:tc>
        <w:tc>
          <w:tcPr>
            <w:tcW w:w="756" w:type="dxa"/>
          </w:tcPr>
          <w:p w:rsidR="00000000" w:rsidRDefault="00000000">
            <w:pPr>
              <w:pStyle w:val="BodyTextIndent2"/>
              <w:spacing w:after="120"/>
              <w:ind w:left="0" w:firstLine="0"/>
              <w:jc w:val="right"/>
              <w:rPr>
                <w:sz w:val="17"/>
              </w:rPr>
            </w:pPr>
            <w:r>
              <w:rPr>
                <w:sz w:val="17"/>
              </w:rPr>
              <w:t>199</w:t>
            </w:r>
          </w:p>
        </w:tc>
        <w:tc>
          <w:tcPr>
            <w:tcW w:w="810" w:type="dxa"/>
          </w:tcPr>
          <w:p w:rsidR="00000000" w:rsidRDefault="00000000">
            <w:pPr>
              <w:pStyle w:val="BodyTextIndent2"/>
              <w:spacing w:after="120"/>
              <w:ind w:left="0" w:firstLine="0"/>
              <w:jc w:val="right"/>
              <w:rPr>
                <w:sz w:val="17"/>
              </w:rPr>
            </w:pPr>
            <w:r>
              <w:rPr>
                <w:sz w:val="17"/>
              </w:rPr>
              <w:t>170</w:t>
            </w:r>
          </w:p>
        </w:tc>
        <w:tc>
          <w:tcPr>
            <w:tcW w:w="810" w:type="dxa"/>
          </w:tcPr>
          <w:p w:rsidR="00000000" w:rsidRDefault="00000000">
            <w:pPr>
              <w:pStyle w:val="BodyTextIndent2"/>
              <w:spacing w:after="120"/>
              <w:ind w:left="0" w:firstLine="0"/>
              <w:jc w:val="right"/>
              <w:rPr>
                <w:sz w:val="17"/>
              </w:rPr>
            </w:pPr>
            <w:r>
              <w:rPr>
                <w:sz w:val="17"/>
              </w:rPr>
              <w:t>193</w:t>
            </w:r>
          </w:p>
        </w:tc>
        <w:tc>
          <w:tcPr>
            <w:tcW w:w="837" w:type="dxa"/>
          </w:tcPr>
          <w:p w:rsidR="00000000" w:rsidRDefault="00000000">
            <w:pPr>
              <w:pStyle w:val="BodyTextIndent2"/>
              <w:spacing w:after="120"/>
              <w:ind w:left="0" w:firstLine="0"/>
              <w:jc w:val="right"/>
              <w:rPr>
                <w:sz w:val="17"/>
              </w:rPr>
            </w:pPr>
            <w:r>
              <w:rPr>
                <w:sz w:val="17"/>
              </w:rPr>
              <w:t>156</w:t>
            </w:r>
          </w:p>
        </w:tc>
        <w:tc>
          <w:tcPr>
            <w:tcW w:w="855" w:type="dxa"/>
          </w:tcPr>
          <w:p w:rsidR="00000000" w:rsidRDefault="00000000">
            <w:pPr>
              <w:pStyle w:val="BodyTextIndent2"/>
              <w:spacing w:after="120"/>
              <w:ind w:left="0" w:firstLine="0"/>
              <w:jc w:val="right"/>
              <w:rPr>
                <w:sz w:val="17"/>
              </w:rPr>
            </w:pPr>
            <w:r>
              <w:rPr>
                <w:sz w:val="17"/>
              </w:rPr>
              <w:t>148</w:t>
            </w:r>
          </w:p>
        </w:tc>
        <w:tc>
          <w:tcPr>
            <w:tcW w:w="828" w:type="dxa"/>
          </w:tcPr>
          <w:p w:rsidR="00000000" w:rsidRDefault="00000000">
            <w:pPr>
              <w:pStyle w:val="BodyTextIndent2"/>
              <w:spacing w:after="120"/>
              <w:ind w:left="0" w:firstLine="0"/>
              <w:jc w:val="right"/>
              <w:rPr>
                <w:sz w:val="17"/>
              </w:rPr>
            </w:pPr>
            <w:r>
              <w:rPr>
                <w:sz w:val="17"/>
              </w:rPr>
              <w:t>159</w:t>
            </w:r>
          </w:p>
        </w:tc>
        <w:tc>
          <w:tcPr>
            <w:tcW w:w="828" w:type="dxa"/>
          </w:tcPr>
          <w:p w:rsidR="00000000" w:rsidRDefault="00000000">
            <w:pPr>
              <w:pStyle w:val="BodyTextIndent2"/>
              <w:spacing w:after="120"/>
              <w:ind w:left="0" w:firstLine="0"/>
              <w:jc w:val="right"/>
              <w:rPr>
                <w:sz w:val="17"/>
              </w:rPr>
            </w:pPr>
            <w:r>
              <w:rPr>
                <w:sz w:val="17"/>
              </w:rPr>
              <w:t>134</w:t>
            </w:r>
          </w:p>
        </w:tc>
        <w:tc>
          <w:tcPr>
            <w:tcW w:w="828" w:type="dxa"/>
          </w:tcPr>
          <w:p w:rsidR="00000000" w:rsidRDefault="00000000">
            <w:pPr>
              <w:pStyle w:val="BodyTextIndent2"/>
              <w:spacing w:after="120"/>
              <w:ind w:left="0" w:firstLine="0"/>
              <w:jc w:val="right"/>
              <w:rPr>
                <w:sz w:val="17"/>
              </w:rPr>
            </w:pPr>
            <w:r>
              <w:rPr>
                <w:sz w:val="17"/>
              </w:rPr>
              <w:t>137</w:t>
            </w:r>
          </w:p>
        </w:tc>
        <w:tc>
          <w:tcPr>
            <w:tcW w:w="819" w:type="dxa"/>
          </w:tcPr>
          <w:p w:rsidR="00000000" w:rsidRDefault="00000000">
            <w:pPr>
              <w:pStyle w:val="BodyTextIndent2"/>
              <w:spacing w:after="120"/>
              <w:ind w:left="0" w:firstLine="0"/>
              <w:jc w:val="right"/>
              <w:rPr>
                <w:sz w:val="17"/>
              </w:rPr>
            </w:pPr>
            <w:r>
              <w:rPr>
                <w:sz w:val="17"/>
              </w:rPr>
              <w:t>122</w:t>
            </w:r>
          </w:p>
        </w:tc>
      </w:tr>
      <w:tr w:rsidR="00000000">
        <w:tblPrEx>
          <w:tblCellMar>
            <w:top w:w="0" w:type="dxa"/>
            <w:bottom w:w="0" w:type="dxa"/>
          </w:tblCellMar>
        </w:tblPrEx>
        <w:tc>
          <w:tcPr>
            <w:tcW w:w="2484" w:type="dxa"/>
          </w:tcPr>
          <w:p w:rsidR="00000000" w:rsidRDefault="00000000">
            <w:pPr>
              <w:pStyle w:val="BodyTextIndent2"/>
              <w:spacing w:after="120"/>
              <w:ind w:left="0" w:firstLine="0"/>
              <w:jc w:val="left"/>
              <w:rPr>
                <w:sz w:val="17"/>
              </w:rPr>
            </w:pPr>
            <w:r>
              <w:rPr>
                <w:sz w:val="17"/>
              </w:rPr>
              <w:t>Number of underweight newborns (below 2,500 g)</w:t>
            </w:r>
          </w:p>
        </w:tc>
        <w:tc>
          <w:tcPr>
            <w:tcW w:w="756" w:type="dxa"/>
          </w:tcPr>
          <w:p w:rsidR="00000000" w:rsidRDefault="00000000">
            <w:pPr>
              <w:pStyle w:val="BodyTextIndent2"/>
              <w:spacing w:after="120"/>
              <w:ind w:left="0" w:firstLine="0"/>
              <w:jc w:val="right"/>
              <w:rPr>
                <w:sz w:val="17"/>
              </w:rPr>
            </w:pPr>
            <w:r>
              <w:rPr>
                <w:sz w:val="17"/>
              </w:rPr>
              <w:t>20 600</w:t>
            </w:r>
          </w:p>
        </w:tc>
        <w:tc>
          <w:tcPr>
            <w:tcW w:w="810" w:type="dxa"/>
          </w:tcPr>
          <w:p w:rsidR="00000000" w:rsidRDefault="00000000">
            <w:pPr>
              <w:pStyle w:val="BodyTextIndent2"/>
              <w:spacing w:after="120"/>
              <w:ind w:left="0" w:firstLine="0"/>
              <w:jc w:val="right"/>
              <w:rPr>
                <w:sz w:val="17"/>
              </w:rPr>
            </w:pPr>
            <w:r>
              <w:rPr>
                <w:sz w:val="17"/>
              </w:rPr>
              <w:t>23 016</w:t>
            </w:r>
          </w:p>
        </w:tc>
        <w:tc>
          <w:tcPr>
            <w:tcW w:w="810" w:type="dxa"/>
          </w:tcPr>
          <w:p w:rsidR="00000000" w:rsidRDefault="00000000">
            <w:pPr>
              <w:pStyle w:val="BodyTextIndent2"/>
              <w:spacing w:after="120"/>
              <w:ind w:left="0" w:firstLine="0"/>
              <w:jc w:val="right"/>
              <w:rPr>
                <w:sz w:val="17"/>
              </w:rPr>
            </w:pPr>
            <w:r>
              <w:rPr>
                <w:sz w:val="17"/>
              </w:rPr>
              <w:t>19 375</w:t>
            </w:r>
          </w:p>
        </w:tc>
        <w:tc>
          <w:tcPr>
            <w:tcW w:w="837" w:type="dxa"/>
          </w:tcPr>
          <w:p w:rsidR="00000000" w:rsidRDefault="00000000">
            <w:pPr>
              <w:pStyle w:val="BodyTextIndent2"/>
              <w:spacing w:after="120"/>
              <w:ind w:left="0" w:firstLine="0"/>
              <w:jc w:val="right"/>
              <w:rPr>
                <w:sz w:val="17"/>
              </w:rPr>
            </w:pPr>
            <w:r>
              <w:rPr>
                <w:sz w:val="17"/>
              </w:rPr>
              <w:t>18 800</w:t>
            </w:r>
          </w:p>
        </w:tc>
        <w:tc>
          <w:tcPr>
            <w:tcW w:w="855" w:type="dxa"/>
          </w:tcPr>
          <w:p w:rsidR="00000000" w:rsidRDefault="00000000">
            <w:pPr>
              <w:pStyle w:val="BodyTextIndent2"/>
              <w:spacing w:after="120"/>
              <w:ind w:left="0" w:firstLine="0"/>
              <w:jc w:val="right"/>
              <w:rPr>
                <w:sz w:val="17"/>
              </w:rPr>
            </w:pPr>
            <w:r>
              <w:rPr>
                <w:sz w:val="17"/>
              </w:rPr>
              <w:t>19 757</w:t>
            </w:r>
          </w:p>
        </w:tc>
        <w:tc>
          <w:tcPr>
            <w:tcW w:w="828" w:type="dxa"/>
          </w:tcPr>
          <w:p w:rsidR="00000000" w:rsidRDefault="00000000">
            <w:pPr>
              <w:pStyle w:val="BodyTextIndent2"/>
              <w:spacing w:after="120"/>
              <w:ind w:left="0" w:firstLine="0"/>
              <w:jc w:val="right"/>
              <w:rPr>
                <w:sz w:val="17"/>
              </w:rPr>
            </w:pPr>
            <w:r>
              <w:rPr>
                <w:sz w:val="17"/>
              </w:rPr>
              <w:t>16 728</w:t>
            </w:r>
          </w:p>
        </w:tc>
        <w:tc>
          <w:tcPr>
            <w:tcW w:w="828" w:type="dxa"/>
          </w:tcPr>
          <w:p w:rsidR="00000000" w:rsidRDefault="00000000">
            <w:pPr>
              <w:pStyle w:val="BodyTextIndent2"/>
              <w:spacing w:after="120"/>
              <w:ind w:left="0" w:firstLine="0"/>
              <w:jc w:val="right"/>
              <w:rPr>
                <w:sz w:val="17"/>
              </w:rPr>
            </w:pPr>
            <w:r>
              <w:rPr>
                <w:sz w:val="17"/>
              </w:rPr>
              <w:t>16 100</w:t>
            </w:r>
          </w:p>
        </w:tc>
        <w:tc>
          <w:tcPr>
            <w:tcW w:w="828" w:type="dxa"/>
          </w:tcPr>
          <w:p w:rsidR="00000000" w:rsidRDefault="00000000">
            <w:pPr>
              <w:pStyle w:val="BodyTextIndent2"/>
              <w:spacing w:after="120"/>
              <w:ind w:left="0" w:firstLine="0"/>
              <w:jc w:val="right"/>
              <w:rPr>
                <w:sz w:val="17"/>
              </w:rPr>
            </w:pPr>
            <w:r>
              <w:rPr>
                <w:sz w:val="17"/>
              </w:rPr>
              <w:t>13 983</w:t>
            </w:r>
          </w:p>
        </w:tc>
        <w:tc>
          <w:tcPr>
            <w:tcW w:w="819" w:type="dxa"/>
          </w:tcPr>
          <w:p w:rsidR="00000000" w:rsidRDefault="00000000">
            <w:pPr>
              <w:pStyle w:val="BodyTextIndent2"/>
              <w:spacing w:after="120"/>
              <w:ind w:left="0" w:firstLine="0"/>
              <w:jc w:val="right"/>
              <w:rPr>
                <w:sz w:val="17"/>
              </w:rPr>
            </w:pPr>
            <w:r>
              <w:rPr>
                <w:sz w:val="17"/>
              </w:rPr>
              <w:t>13 059</w:t>
            </w:r>
          </w:p>
        </w:tc>
      </w:tr>
      <w:tr w:rsidR="00000000">
        <w:tblPrEx>
          <w:tblCellMar>
            <w:top w:w="0" w:type="dxa"/>
            <w:bottom w:w="0" w:type="dxa"/>
          </w:tblCellMar>
        </w:tblPrEx>
        <w:tc>
          <w:tcPr>
            <w:tcW w:w="2484" w:type="dxa"/>
          </w:tcPr>
          <w:p w:rsidR="00000000" w:rsidRDefault="00000000">
            <w:pPr>
              <w:pStyle w:val="BodyTextIndent2"/>
              <w:spacing w:after="120"/>
              <w:ind w:left="0" w:firstLine="0"/>
              <w:jc w:val="left"/>
              <w:rPr>
                <w:sz w:val="17"/>
              </w:rPr>
            </w:pPr>
            <w:r>
              <w:rPr>
                <w:sz w:val="17"/>
              </w:rPr>
              <w:t>Percentage of pregnant women with anaemia</w:t>
            </w:r>
          </w:p>
        </w:tc>
        <w:tc>
          <w:tcPr>
            <w:tcW w:w="756" w:type="dxa"/>
          </w:tcPr>
          <w:p w:rsidR="00000000" w:rsidRDefault="00000000">
            <w:pPr>
              <w:pStyle w:val="BodyTextIndent2"/>
              <w:spacing w:after="120"/>
              <w:ind w:left="0" w:firstLine="0"/>
              <w:jc w:val="right"/>
              <w:rPr>
                <w:sz w:val="17"/>
              </w:rPr>
            </w:pPr>
            <w:r>
              <w:rPr>
                <w:sz w:val="17"/>
              </w:rPr>
              <w:t>16</w:t>
            </w:r>
          </w:p>
        </w:tc>
        <w:tc>
          <w:tcPr>
            <w:tcW w:w="810" w:type="dxa"/>
          </w:tcPr>
          <w:p w:rsidR="00000000" w:rsidRDefault="00000000">
            <w:pPr>
              <w:pStyle w:val="BodyTextIndent2"/>
              <w:spacing w:after="120"/>
              <w:ind w:left="0" w:firstLine="0"/>
              <w:jc w:val="right"/>
              <w:rPr>
                <w:sz w:val="17"/>
              </w:rPr>
            </w:pPr>
            <w:r>
              <w:rPr>
                <w:sz w:val="17"/>
              </w:rPr>
              <w:t>26</w:t>
            </w:r>
          </w:p>
        </w:tc>
        <w:tc>
          <w:tcPr>
            <w:tcW w:w="810" w:type="dxa"/>
          </w:tcPr>
          <w:p w:rsidR="00000000" w:rsidRDefault="00000000">
            <w:pPr>
              <w:pStyle w:val="BodyTextIndent2"/>
              <w:spacing w:after="120"/>
              <w:ind w:left="0" w:firstLine="0"/>
              <w:jc w:val="right"/>
              <w:rPr>
                <w:sz w:val="17"/>
              </w:rPr>
            </w:pPr>
            <w:r>
              <w:rPr>
                <w:sz w:val="17"/>
              </w:rPr>
              <w:t>32</w:t>
            </w:r>
          </w:p>
        </w:tc>
        <w:tc>
          <w:tcPr>
            <w:tcW w:w="837" w:type="dxa"/>
          </w:tcPr>
          <w:p w:rsidR="00000000" w:rsidRDefault="00000000">
            <w:pPr>
              <w:pStyle w:val="BodyTextIndent2"/>
              <w:spacing w:after="120"/>
              <w:ind w:left="0" w:firstLine="0"/>
              <w:jc w:val="right"/>
              <w:rPr>
                <w:sz w:val="17"/>
              </w:rPr>
            </w:pPr>
            <w:r>
              <w:rPr>
                <w:sz w:val="17"/>
              </w:rPr>
              <w:t>38</w:t>
            </w:r>
          </w:p>
        </w:tc>
        <w:tc>
          <w:tcPr>
            <w:tcW w:w="855" w:type="dxa"/>
          </w:tcPr>
          <w:p w:rsidR="00000000" w:rsidRDefault="00000000">
            <w:pPr>
              <w:pStyle w:val="BodyTextIndent2"/>
              <w:spacing w:after="120"/>
              <w:ind w:left="0" w:firstLine="0"/>
              <w:jc w:val="right"/>
              <w:rPr>
                <w:sz w:val="17"/>
              </w:rPr>
            </w:pPr>
            <w:r>
              <w:rPr>
                <w:sz w:val="17"/>
              </w:rPr>
              <w:t>44</w:t>
            </w:r>
          </w:p>
        </w:tc>
        <w:tc>
          <w:tcPr>
            <w:tcW w:w="828" w:type="dxa"/>
          </w:tcPr>
          <w:p w:rsidR="00000000" w:rsidRDefault="00000000">
            <w:pPr>
              <w:pStyle w:val="BodyTextIndent2"/>
              <w:spacing w:after="120"/>
              <w:ind w:left="0" w:firstLine="0"/>
              <w:jc w:val="right"/>
              <w:rPr>
                <w:sz w:val="17"/>
              </w:rPr>
            </w:pPr>
            <w:r>
              <w:rPr>
                <w:sz w:val="17"/>
              </w:rPr>
              <w:t>49</w:t>
            </w:r>
          </w:p>
        </w:tc>
        <w:tc>
          <w:tcPr>
            <w:tcW w:w="828" w:type="dxa"/>
          </w:tcPr>
          <w:p w:rsidR="00000000" w:rsidRDefault="00000000">
            <w:pPr>
              <w:pStyle w:val="BodyTextIndent2"/>
              <w:spacing w:after="120"/>
              <w:ind w:left="0" w:firstLine="0"/>
              <w:jc w:val="right"/>
              <w:rPr>
                <w:sz w:val="17"/>
              </w:rPr>
            </w:pPr>
            <w:r>
              <w:rPr>
                <w:sz w:val="17"/>
              </w:rPr>
              <w:t>52</w:t>
            </w:r>
          </w:p>
        </w:tc>
        <w:tc>
          <w:tcPr>
            <w:tcW w:w="828" w:type="dxa"/>
          </w:tcPr>
          <w:p w:rsidR="00000000" w:rsidRDefault="00000000">
            <w:pPr>
              <w:pStyle w:val="BodyTextIndent2"/>
              <w:spacing w:after="120"/>
              <w:ind w:left="0" w:firstLine="0"/>
              <w:jc w:val="right"/>
              <w:rPr>
                <w:sz w:val="17"/>
              </w:rPr>
            </w:pPr>
            <w:r>
              <w:rPr>
                <w:sz w:val="17"/>
              </w:rPr>
              <w:t>54</w:t>
            </w:r>
          </w:p>
        </w:tc>
        <w:tc>
          <w:tcPr>
            <w:tcW w:w="819" w:type="dxa"/>
          </w:tcPr>
          <w:p w:rsidR="00000000" w:rsidRDefault="00000000">
            <w:pPr>
              <w:pStyle w:val="BodyTextIndent2"/>
              <w:spacing w:after="120"/>
              <w:ind w:left="0" w:firstLine="0"/>
              <w:jc w:val="right"/>
              <w:rPr>
                <w:sz w:val="17"/>
              </w:rPr>
            </w:pPr>
            <w:r>
              <w:rPr>
                <w:sz w:val="17"/>
              </w:rPr>
              <w:t>53</w:t>
            </w:r>
          </w:p>
        </w:tc>
      </w:tr>
      <w:tr w:rsidR="00000000">
        <w:tblPrEx>
          <w:tblCellMar>
            <w:top w:w="0" w:type="dxa"/>
            <w:bottom w:w="0" w:type="dxa"/>
          </w:tblCellMar>
        </w:tblPrEx>
        <w:tc>
          <w:tcPr>
            <w:tcW w:w="2484" w:type="dxa"/>
          </w:tcPr>
          <w:p w:rsidR="00000000" w:rsidRDefault="00000000">
            <w:pPr>
              <w:pStyle w:val="BodyTextIndent2"/>
              <w:spacing w:after="120"/>
              <w:ind w:left="0" w:firstLine="0"/>
              <w:jc w:val="left"/>
              <w:rPr>
                <w:sz w:val="17"/>
              </w:rPr>
            </w:pPr>
            <w:r>
              <w:rPr>
                <w:sz w:val="17"/>
              </w:rPr>
              <w:t>Number of stillborns per 1,000 live births</w:t>
            </w:r>
          </w:p>
        </w:tc>
        <w:tc>
          <w:tcPr>
            <w:tcW w:w="756" w:type="dxa"/>
          </w:tcPr>
          <w:p w:rsidR="00000000" w:rsidRDefault="00000000">
            <w:pPr>
              <w:pStyle w:val="BodyTextIndent2"/>
              <w:spacing w:after="120"/>
              <w:ind w:left="0" w:firstLine="0"/>
              <w:jc w:val="right"/>
              <w:rPr>
                <w:sz w:val="17"/>
              </w:rPr>
            </w:pPr>
            <w:r>
              <w:rPr>
                <w:sz w:val="17"/>
              </w:rPr>
              <w:t>10.3</w:t>
            </w:r>
          </w:p>
        </w:tc>
        <w:tc>
          <w:tcPr>
            <w:tcW w:w="810" w:type="dxa"/>
          </w:tcPr>
          <w:p w:rsidR="00000000" w:rsidRDefault="00000000">
            <w:pPr>
              <w:pStyle w:val="BodyTextIndent2"/>
              <w:spacing w:after="120"/>
              <w:ind w:left="0" w:firstLine="0"/>
              <w:jc w:val="right"/>
              <w:rPr>
                <w:sz w:val="17"/>
              </w:rPr>
            </w:pPr>
            <w:r>
              <w:rPr>
                <w:sz w:val="17"/>
              </w:rPr>
              <w:t>9.8</w:t>
            </w:r>
          </w:p>
        </w:tc>
        <w:tc>
          <w:tcPr>
            <w:tcW w:w="810" w:type="dxa"/>
          </w:tcPr>
          <w:p w:rsidR="00000000" w:rsidRDefault="00000000">
            <w:pPr>
              <w:pStyle w:val="BodyTextIndent2"/>
              <w:spacing w:after="120"/>
              <w:ind w:left="0" w:firstLine="0"/>
              <w:jc w:val="right"/>
              <w:rPr>
                <w:sz w:val="17"/>
              </w:rPr>
            </w:pPr>
            <w:r>
              <w:rPr>
                <w:sz w:val="17"/>
              </w:rPr>
              <w:t>9.2</w:t>
            </w:r>
          </w:p>
        </w:tc>
        <w:tc>
          <w:tcPr>
            <w:tcW w:w="837" w:type="dxa"/>
          </w:tcPr>
          <w:p w:rsidR="00000000" w:rsidRDefault="00000000">
            <w:pPr>
              <w:pStyle w:val="BodyTextIndent2"/>
              <w:spacing w:after="120"/>
              <w:ind w:left="0" w:firstLine="0"/>
              <w:jc w:val="right"/>
              <w:rPr>
                <w:sz w:val="17"/>
              </w:rPr>
            </w:pPr>
            <w:r>
              <w:rPr>
                <w:sz w:val="17"/>
              </w:rPr>
              <w:t>8.3</w:t>
            </w:r>
          </w:p>
        </w:tc>
        <w:tc>
          <w:tcPr>
            <w:tcW w:w="855" w:type="dxa"/>
          </w:tcPr>
          <w:p w:rsidR="00000000" w:rsidRDefault="00000000">
            <w:pPr>
              <w:pStyle w:val="BodyTextIndent2"/>
              <w:spacing w:after="120"/>
              <w:ind w:left="0" w:firstLine="0"/>
              <w:jc w:val="right"/>
              <w:rPr>
                <w:sz w:val="17"/>
              </w:rPr>
            </w:pPr>
            <w:r>
              <w:rPr>
                <w:sz w:val="17"/>
              </w:rPr>
              <w:t>8.4</w:t>
            </w:r>
          </w:p>
        </w:tc>
        <w:tc>
          <w:tcPr>
            <w:tcW w:w="828" w:type="dxa"/>
          </w:tcPr>
          <w:p w:rsidR="00000000" w:rsidRDefault="00000000">
            <w:pPr>
              <w:pStyle w:val="BodyTextIndent2"/>
              <w:spacing w:after="120"/>
              <w:ind w:left="0" w:firstLine="0"/>
              <w:jc w:val="right"/>
              <w:rPr>
                <w:sz w:val="17"/>
              </w:rPr>
            </w:pPr>
            <w:r>
              <w:rPr>
                <w:sz w:val="17"/>
              </w:rPr>
              <w:t>8.6</w:t>
            </w:r>
          </w:p>
        </w:tc>
        <w:tc>
          <w:tcPr>
            <w:tcW w:w="828" w:type="dxa"/>
          </w:tcPr>
          <w:p w:rsidR="00000000" w:rsidRDefault="00000000">
            <w:pPr>
              <w:pStyle w:val="BodyTextIndent2"/>
              <w:spacing w:after="120"/>
              <w:ind w:left="0" w:firstLine="0"/>
              <w:jc w:val="right"/>
              <w:rPr>
                <w:sz w:val="17"/>
              </w:rPr>
            </w:pPr>
            <w:r>
              <w:rPr>
                <w:sz w:val="17"/>
              </w:rPr>
              <w:t>9.1</w:t>
            </w:r>
          </w:p>
        </w:tc>
        <w:tc>
          <w:tcPr>
            <w:tcW w:w="828" w:type="dxa"/>
          </w:tcPr>
          <w:p w:rsidR="00000000" w:rsidRDefault="00000000">
            <w:pPr>
              <w:pStyle w:val="BodyTextIndent2"/>
              <w:spacing w:after="120"/>
              <w:ind w:left="0" w:firstLine="0"/>
              <w:jc w:val="right"/>
              <w:rPr>
                <w:sz w:val="17"/>
              </w:rPr>
            </w:pPr>
            <w:r>
              <w:rPr>
                <w:sz w:val="17"/>
              </w:rPr>
              <w:t>9.1</w:t>
            </w:r>
          </w:p>
        </w:tc>
        <w:tc>
          <w:tcPr>
            <w:tcW w:w="819" w:type="dxa"/>
          </w:tcPr>
          <w:p w:rsidR="00000000" w:rsidRDefault="00000000">
            <w:pPr>
              <w:pStyle w:val="BodyTextIndent2"/>
              <w:spacing w:after="120"/>
              <w:ind w:left="0" w:firstLine="0"/>
              <w:jc w:val="right"/>
              <w:rPr>
                <w:sz w:val="17"/>
              </w:rPr>
            </w:pPr>
            <w:r>
              <w:rPr>
                <w:sz w:val="17"/>
              </w:rPr>
              <w:t>9.4</w:t>
            </w:r>
          </w:p>
        </w:tc>
      </w:tr>
      <w:tr w:rsidR="00000000">
        <w:tblPrEx>
          <w:tblCellMar>
            <w:top w:w="0" w:type="dxa"/>
            <w:bottom w:w="0" w:type="dxa"/>
          </w:tblCellMar>
        </w:tblPrEx>
        <w:tc>
          <w:tcPr>
            <w:tcW w:w="2484" w:type="dxa"/>
          </w:tcPr>
          <w:p w:rsidR="00000000" w:rsidRDefault="00000000">
            <w:pPr>
              <w:pStyle w:val="BodyTextIndent2"/>
              <w:spacing w:after="120"/>
              <w:ind w:left="0" w:firstLine="0"/>
              <w:jc w:val="left"/>
              <w:rPr>
                <w:sz w:val="17"/>
              </w:rPr>
            </w:pPr>
            <w:r>
              <w:rPr>
                <w:sz w:val="17"/>
              </w:rPr>
              <w:t>Child mortality (up to one year of age)</w:t>
            </w:r>
          </w:p>
        </w:tc>
        <w:tc>
          <w:tcPr>
            <w:tcW w:w="756" w:type="dxa"/>
          </w:tcPr>
          <w:p w:rsidR="00000000" w:rsidRDefault="00000000">
            <w:pPr>
              <w:pStyle w:val="BodyTextIndent2"/>
              <w:spacing w:after="120"/>
              <w:ind w:left="0" w:firstLine="0"/>
              <w:jc w:val="right"/>
              <w:rPr>
                <w:sz w:val="17"/>
              </w:rPr>
            </w:pPr>
            <w:r>
              <w:rPr>
                <w:sz w:val="17"/>
              </w:rPr>
              <w:t>26.4</w:t>
            </w:r>
          </w:p>
        </w:tc>
        <w:tc>
          <w:tcPr>
            <w:tcW w:w="810" w:type="dxa"/>
          </w:tcPr>
          <w:p w:rsidR="00000000" w:rsidRDefault="00000000">
            <w:pPr>
              <w:pStyle w:val="BodyTextIndent2"/>
              <w:spacing w:after="120"/>
              <w:ind w:left="0" w:firstLine="0"/>
              <w:jc w:val="right"/>
              <w:rPr>
                <w:sz w:val="17"/>
              </w:rPr>
            </w:pPr>
            <w:r>
              <w:rPr>
                <w:sz w:val="17"/>
              </w:rPr>
              <w:t>27.4</w:t>
            </w:r>
          </w:p>
        </w:tc>
        <w:tc>
          <w:tcPr>
            <w:tcW w:w="810" w:type="dxa"/>
          </w:tcPr>
          <w:p w:rsidR="00000000" w:rsidRDefault="00000000">
            <w:pPr>
              <w:pStyle w:val="BodyTextIndent2"/>
              <w:spacing w:after="120"/>
              <w:ind w:left="0" w:firstLine="0"/>
              <w:jc w:val="right"/>
              <w:rPr>
                <w:sz w:val="17"/>
              </w:rPr>
            </w:pPr>
            <w:r>
              <w:rPr>
                <w:sz w:val="17"/>
              </w:rPr>
              <w:t>26.0</w:t>
            </w:r>
          </w:p>
        </w:tc>
        <w:tc>
          <w:tcPr>
            <w:tcW w:w="837" w:type="dxa"/>
          </w:tcPr>
          <w:p w:rsidR="00000000" w:rsidRDefault="00000000">
            <w:pPr>
              <w:pStyle w:val="BodyTextIndent2"/>
              <w:spacing w:after="120"/>
              <w:ind w:left="0" w:firstLine="0"/>
              <w:jc w:val="right"/>
              <w:rPr>
                <w:sz w:val="17"/>
              </w:rPr>
            </w:pPr>
            <w:r>
              <w:rPr>
                <w:sz w:val="17"/>
              </w:rPr>
              <w:t>28.3</w:t>
            </w:r>
          </w:p>
        </w:tc>
        <w:tc>
          <w:tcPr>
            <w:tcW w:w="855" w:type="dxa"/>
          </w:tcPr>
          <w:p w:rsidR="00000000" w:rsidRDefault="00000000">
            <w:pPr>
              <w:pStyle w:val="BodyTextIndent2"/>
              <w:spacing w:after="120"/>
              <w:ind w:left="0" w:firstLine="0"/>
              <w:jc w:val="right"/>
              <w:rPr>
                <w:sz w:val="17"/>
              </w:rPr>
            </w:pPr>
            <w:r>
              <w:rPr>
                <w:sz w:val="17"/>
              </w:rPr>
              <w:t>27.2</w:t>
            </w:r>
          </w:p>
        </w:tc>
        <w:tc>
          <w:tcPr>
            <w:tcW w:w="828" w:type="dxa"/>
          </w:tcPr>
          <w:p w:rsidR="00000000" w:rsidRDefault="00000000">
            <w:pPr>
              <w:pStyle w:val="BodyTextIndent2"/>
              <w:spacing w:after="120"/>
              <w:ind w:left="0" w:firstLine="0"/>
              <w:jc w:val="right"/>
              <w:rPr>
                <w:sz w:val="17"/>
              </w:rPr>
            </w:pPr>
            <w:r>
              <w:rPr>
                <w:sz w:val="17"/>
              </w:rPr>
              <w:t>27.3</w:t>
            </w:r>
          </w:p>
        </w:tc>
        <w:tc>
          <w:tcPr>
            <w:tcW w:w="828" w:type="dxa"/>
          </w:tcPr>
          <w:p w:rsidR="00000000" w:rsidRDefault="00000000">
            <w:pPr>
              <w:pStyle w:val="BodyTextIndent2"/>
              <w:spacing w:after="120"/>
              <w:ind w:left="0" w:firstLine="0"/>
              <w:jc w:val="right"/>
              <w:rPr>
                <w:sz w:val="17"/>
              </w:rPr>
            </w:pPr>
            <w:r>
              <w:rPr>
                <w:sz w:val="17"/>
              </w:rPr>
              <w:t>25.4</w:t>
            </w:r>
          </w:p>
        </w:tc>
        <w:tc>
          <w:tcPr>
            <w:tcW w:w="828" w:type="dxa"/>
          </w:tcPr>
          <w:p w:rsidR="00000000" w:rsidRDefault="00000000">
            <w:pPr>
              <w:pStyle w:val="BodyTextIndent2"/>
              <w:spacing w:after="120"/>
              <w:ind w:left="0" w:firstLine="0"/>
              <w:jc w:val="right"/>
              <w:rPr>
                <w:sz w:val="17"/>
              </w:rPr>
            </w:pPr>
            <w:r>
              <w:rPr>
                <w:sz w:val="17"/>
              </w:rPr>
              <w:t>24.9</w:t>
            </w:r>
          </w:p>
        </w:tc>
        <w:tc>
          <w:tcPr>
            <w:tcW w:w="819" w:type="dxa"/>
          </w:tcPr>
          <w:p w:rsidR="00000000" w:rsidRDefault="00000000">
            <w:pPr>
              <w:pStyle w:val="BodyTextIndent2"/>
              <w:spacing w:after="120"/>
              <w:ind w:left="0" w:firstLine="0"/>
              <w:jc w:val="right"/>
              <w:rPr>
                <w:sz w:val="17"/>
              </w:rPr>
            </w:pPr>
            <w:r>
              <w:rPr>
                <w:sz w:val="17"/>
              </w:rPr>
              <w:t>21.0</w:t>
            </w:r>
          </w:p>
        </w:tc>
      </w:tr>
      <w:tr w:rsidR="00000000">
        <w:tblPrEx>
          <w:tblCellMar>
            <w:top w:w="0" w:type="dxa"/>
            <w:bottom w:w="0" w:type="dxa"/>
          </w:tblCellMar>
        </w:tblPrEx>
        <w:tc>
          <w:tcPr>
            <w:tcW w:w="2484" w:type="dxa"/>
          </w:tcPr>
          <w:p w:rsidR="00000000" w:rsidRDefault="00000000">
            <w:pPr>
              <w:pStyle w:val="BodyTextIndent2"/>
              <w:spacing w:after="120"/>
              <w:ind w:left="0" w:firstLine="0"/>
              <w:jc w:val="left"/>
              <w:rPr>
                <w:sz w:val="17"/>
              </w:rPr>
            </w:pPr>
            <w:r>
              <w:rPr>
                <w:sz w:val="17"/>
              </w:rPr>
              <w:t>Child mortality (up to five years of age)</w:t>
            </w:r>
          </w:p>
        </w:tc>
        <w:tc>
          <w:tcPr>
            <w:tcW w:w="756" w:type="dxa"/>
          </w:tcPr>
          <w:p w:rsidR="00000000" w:rsidRDefault="00000000">
            <w:pPr>
              <w:pStyle w:val="BodyTextIndent2"/>
              <w:spacing w:after="120"/>
              <w:ind w:left="0" w:firstLine="0"/>
              <w:jc w:val="right"/>
              <w:rPr>
                <w:sz w:val="17"/>
              </w:rPr>
            </w:pPr>
            <w:r>
              <w:rPr>
                <w:sz w:val="17"/>
              </w:rPr>
              <w:t>34.4</w:t>
            </w:r>
          </w:p>
        </w:tc>
        <w:tc>
          <w:tcPr>
            <w:tcW w:w="810" w:type="dxa"/>
          </w:tcPr>
          <w:p w:rsidR="00000000" w:rsidRDefault="00000000">
            <w:pPr>
              <w:pStyle w:val="BodyTextIndent2"/>
              <w:spacing w:after="120"/>
              <w:ind w:left="0" w:firstLine="0"/>
              <w:jc w:val="right"/>
              <w:rPr>
                <w:sz w:val="17"/>
              </w:rPr>
            </w:pPr>
            <w:r>
              <w:rPr>
                <w:sz w:val="17"/>
              </w:rPr>
              <w:t>35.4</w:t>
            </w:r>
          </w:p>
        </w:tc>
        <w:tc>
          <w:tcPr>
            <w:tcW w:w="810" w:type="dxa"/>
          </w:tcPr>
          <w:p w:rsidR="00000000" w:rsidRDefault="00000000">
            <w:pPr>
              <w:pStyle w:val="BodyTextIndent2"/>
              <w:spacing w:after="120"/>
              <w:ind w:left="0" w:firstLine="0"/>
              <w:jc w:val="right"/>
              <w:rPr>
                <w:sz w:val="17"/>
              </w:rPr>
            </w:pPr>
            <w:r>
              <w:rPr>
                <w:sz w:val="17"/>
              </w:rPr>
              <w:t>33.6</w:t>
            </w:r>
          </w:p>
        </w:tc>
        <w:tc>
          <w:tcPr>
            <w:tcW w:w="837" w:type="dxa"/>
          </w:tcPr>
          <w:p w:rsidR="00000000" w:rsidRDefault="00000000">
            <w:pPr>
              <w:pStyle w:val="BodyTextIndent2"/>
              <w:spacing w:after="120"/>
              <w:ind w:left="0" w:firstLine="0"/>
              <w:jc w:val="right"/>
              <w:rPr>
                <w:sz w:val="17"/>
              </w:rPr>
            </w:pPr>
            <w:r>
              <w:rPr>
                <w:sz w:val="17"/>
              </w:rPr>
              <w:t>37.1</w:t>
            </w:r>
          </w:p>
        </w:tc>
        <w:tc>
          <w:tcPr>
            <w:tcW w:w="855" w:type="dxa"/>
          </w:tcPr>
          <w:p w:rsidR="00000000" w:rsidRDefault="00000000">
            <w:pPr>
              <w:pStyle w:val="BodyTextIndent2"/>
              <w:spacing w:after="120"/>
              <w:ind w:left="0" w:firstLine="0"/>
              <w:jc w:val="right"/>
              <w:rPr>
                <w:sz w:val="17"/>
              </w:rPr>
            </w:pPr>
            <w:r>
              <w:rPr>
                <w:sz w:val="17"/>
              </w:rPr>
              <w:t>35.7</w:t>
            </w:r>
          </w:p>
        </w:tc>
        <w:tc>
          <w:tcPr>
            <w:tcW w:w="828" w:type="dxa"/>
          </w:tcPr>
          <w:p w:rsidR="00000000" w:rsidRDefault="00000000">
            <w:pPr>
              <w:pStyle w:val="BodyTextIndent2"/>
              <w:spacing w:after="120"/>
              <w:ind w:left="0" w:firstLine="0"/>
              <w:jc w:val="right"/>
              <w:rPr>
                <w:sz w:val="17"/>
              </w:rPr>
            </w:pPr>
            <w:r>
              <w:rPr>
                <w:sz w:val="17"/>
              </w:rPr>
              <w:t>37.0</w:t>
            </w:r>
          </w:p>
        </w:tc>
        <w:tc>
          <w:tcPr>
            <w:tcW w:w="828" w:type="dxa"/>
          </w:tcPr>
          <w:p w:rsidR="00000000" w:rsidRDefault="00000000">
            <w:pPr>
              <w:pStyle w:val="BodyTextIndent2"/>
              <w:spacing w:after="120"/>
              <w:ind w:left="0" w:firstLine="0"/>
              <w:jc w:val="right"/>
              <w:rPr>
                <w:sz w:val="17"/>
              </w:rPr>
            </w:pPr>
            <w:r>
              <w:rPr>
                <w:sz w:val="17"/>
              </w:rPr>
              <w:t>33.7</w:t>
            </w:r>
          </w:p>
        </w:tc>
        <w:tc>
          <w:tcPr>
            <w:tcW w:w="828" w:type="dxa"/>
          </w:tcPr>
          <w:p w:rsidR="00000000" w:rsidRDefault="00000000">
            <w:pPr>
              <w:pStyle w:val="BodyTextIndent2"/>
              <w:spacing w:after="120"/>
              <w:ind w:left="0" w:firstLine="0"/>
              <w:jc w:val="right"/>
              <w:rPr>
                <w:sz w:val="17"/>
              </w:rPr>
            </w:pPr>
            <w:r>
              <w:rPr>
                <w:sz w:val="17"/>
              </w:rPr>
              <w:t>33.0</w:t>
            </w:r>
          </w:p>
        </w:tc>
        <w:tc>
          <w:tcPr>
            <w:tcW w:w="819" w:type="dxa"/>
          </w:tcPr>
          <w:p w:rsidR="00000000" w:rsidRDefault="00000000">
            <w:pPr>
              <w:pStyle w:val="BodyTextIndent2"/>
              <w:spacing w:after="120"/>
              <w:ind w:left="0" w:firstLine="0"/>
              <w:jc w:val="right"/>
              <w:rPr>
                <w:sz w:val="17"/>
              </w:rPr>
            </w:pPr>
          </w:p>
        </w:tc>
      </w:tr>
      <w:tr w:rsidR="00000000">
        <w:tblPrEx>
          <w:tblCellMar>
            <w:top w:w="0" w:type="dxa"/>
            <w:bottom w:w="0" w:type="dxa"/>
          </w:tblCellMar>
        </w:tblPrEx>
        <w:tc>
          <w:tcPr>
            <w:tcW w:w="2484" w:type="dxa"/>
          </w:tcPr>
          <w:p w:rsidR="00000000" w:rsidRDefault="00000000">
            <w:pPr>
              <w:pStyle w:val="BodyTextIndent2"/>
              <w:spacing w:after="120"/>
              <w:ind w:left="0" w:firstLine="0"/>
              <w:jc w:val="left"/>
              <w:rPr>
                <w:sz w:val="17"/>
              </w:rPr>
            </w:pPr>
            <w:r>
              <w:rPr>
                <w:sz w:val="17"/>
              </w:rPr>
              <w:t>Maternal mortality per 100,000 live births</w:t>
            </w:r>
          </w:p>
        </w:tc>
        <w:tc>
          <w:tcPr>
            <w:tcW w:w="756" w:type="dxa"/>
          </w:tcPr>
          <w:p w:rsidR="00000000" w:rsidRDefault="00000000">
            <w:pPr>
              <w:pStyle w:val="BodyTextIndent2"/>
              <w:spacing w:after="120"/>
              <w:ind w:left="0" w:firstLine="0"/>
              <w:jc w:val="right"/>
              <w:rPr>
                <w:sz w:val="17"/>
              </w:rPr>
            </w:pPr>
            <w:r>
              <w:rPr>
                <w:sz w:val="17"/>
              </w:rPr>
              <w:t>55.0</w:t>
            </w:r>
          </w:p>
        </w:tc>
        <w:tc>
          <w:tcPr>
            <w:tcW w:w="810" w:type="dxa"/>
          </w:tcPr>
          <w:p w:rsidR="00000000" w:rsidRDefault="00000000">
            <w:pPr>
              <w:pStyle w:val="BodyTextIndent2"/>
              <w:spacing w:after="120"/>
              <w:ind w:left="0" w:firstLine="0"/>
              <w:jc w:val="right"/>
              <w:rPr>
                <w:sz w:val="17"/>
              </w:rPr>
            </w:pPr>
            <w:r>
              <w:rPr>
                <w:sz w:val="17"/>
              </w:rPr>
              <w:t>48.1</w:t>
            </w:r>
          </w:p>
        </w:tc>
        <w:tc>
          <w:tcPr>
            <w:tcW w:w="810" w:type="dxa"/>
          </w:tcPr>
          <w:p w:rsidR="00000000" w:rsidRDefault="00000000">
            <w:pPr>
              <w:pStyle w:val="BodyTextIndent2"/>
              <w:spacing w:after="120"/>
              <w:ind w:left="0" w:firstLine="0"/>
              <w:jc w:val="right"/>
              <w:rPr>
                <w:sz w:val="17"/>
              </w:rPr>
            </w:pPr>
            <w:r>
              <w:rPr>
                <w:sz w:val="17"/>
              </w:rPr>
              <w:t>57.2</w:t>
            </w:r>
          </w:p>
        </w:tc>
        <w:tc>
          <w:tcPr>
            <w:tcW w:w="837" w:type="dxa"/>
          </w:tcPr>
          <w:p w:rsidR="00000000" w:rsidRDefault="00000000">
            <w:pPr>
              <w:pStyle w:val="BodyTextIndent2"/>
              <w:spacing w:after="120"/>
              <w:ind w:left="0" w:firstLine="0"/>
              <w:jc w:val="right"/>
              <w:rPr>
                <w:sz w:val="17"/>
              </w:rPr>
            </w:pPr>
            <w:r>
              <w:rPr>
                <w:sz w:val="17"/>
              </w:rPr>
              <w:t>49.4</w:t>
            </w:r>
          </w:p>
        </w:tc>
        <w:tc>
          <w:tcPr>
            <w:tcW w:w="855" w:type="dxa"/>
          </w:tcPr>
          <w:p w:rsidR="00000000" w:rsidRDefault="00000000">
            <w:pPr>
              <w:pStyle w:val="BodyTextIndent2"/>
              <w:spacing w:after="120"/>
              <w:ind w:left="0" w:firstLine="0"/>
              <w:jc w:val="right"/>
              <w:rPr>
                <w:sz w:val="17"/>
              </w:rPr>
            </w:pPr>
            <w:r>
              <w:rPr>
                <w:sz w:val="17"/>
              </w:rPr>
              <w:t>48.4</w:t>
            </w:r>
          </w:p>
        </w:tc>
        <w:tc>
          <w:tcPr>
            <w:tcW w:w="828" w:type="dxa"/>
          </w:tcPr>
          <w:p w:rsidR="00000000" w:rsidRDefault="00000000">
            <w:pPr>
              <w:pStyle w:val="BodyTextIndent2"/>
              <w:spacing w:after="120"/>
              <w:ind w:left="0" w:firstLine="0"/>
              <w:jc w:val="right"/>
              <w:rPr>
                <w:sz w:val="17"/>
              </w:rPr>
            </w:pPr>
            <w:r>
              <w:rPr>
                <w:sz w:val="17"/>
              </w:rPr>
              <w:t>57.6</w:t>
            </w:r>
          </w:p>
        </w:tc>
        <w:tc>
          <w:tcPr>
            <w:tcW w:w="828" w:type="dxa"/>
          </w:tcPr>
          <w:p w:rsidR="00000000" w:rsidRDefault="00000000">
            <w:pPr>
              <w:pStyle w:val="BodyTextIndent2"/>
              <w:spacing w:after="120"/>
              <w:ind w:left="0" w:firstLine="0"/>
              <w:jc w:val="right"/>
              <w:rPr>
                <w:sz w:val="17"/>
              </w:rPr>
            </w:pPr>
            <w:r>
              <w:rPr>
                <w:sz w:val="17"/>
              </w:rPr>
              <w:t>52.9</w:t>
            </w:r>
          </w:p>
        </w:tc>
        <w:tc>
          <w:tcPr>
            <w:tcW w:w="828" w:type="dxa"/>
          </w:tcPr>
          <w:p w:rsidR="00000000" w:rsidRDefault="00000000">
            <w:pPr>
              <w:pStyle w:val="BodyTextIndent2"/>
              <w:spacing w:after="120"/>
              <w:ind w:left="0" w:firstLine="0"/>
              <w:jc w:val="right"/>
              <w:rPr>
                <w:sz w:val="17"/>
              </w:rPr>
            </w:pPr>
            <w:r>
              <w:rPr>
                <w:sz w:val="17"/>
              </w:rPr>
              <w:t>59.0</w:t>
            </w:r>
          </w:p>
        </w:tc>
        <w:tc>
          <w:tcPr>
            <w:tcW w:w="819" w:type="dxa"/>
          </w:tcPr>
          <w:p w:rsidR="00000000" w:rsidRDefault="00000000">
            <w:pPr>
              <w:pStyle w:val="BodyTextIndent2"/>
              <w:spacing w:after="120"/>
              <w:ind w:left="0" w:firstLine="0"/>
              <w:jc w:val="right"/>
              <w:rPr>
                <w:sz w:val="17"/>
              </w:rPr>
            </w:pPr>
          </w:p>
        </w:tc>
      </w:tr>
      <w:tr w:rsidR="00000000">
        <w:tblPrEx>
          <w:tblCellMar>
            <w:top w:w="0" w:type="dxa"/>
            <w:bottom w:w="0" w:type="dxa"/>
          </w:tblCellMar>
        </w:tblPrEx>
        <w:tc>
          <w:tcPr>
            <w:tcW w:w="2484" w:type="dxa"/>
            <w:tcBorders>
              <w:bottom w:val="single" w:sz="12" w:space="0" w:color="auto"/>
            </w:tcBorders>
          </w:tcPr>
          <w:p w:rsidR="00000000" w:rsidRDefault="00000000">
            <w:pPr>
              <w:pStyle w:val="BodyTextIndent2"/>
              <w:spacing w:after="120"/>
              <w:ind w:left="0" w:firstLine="0"/>
              <w:jc w:val="left"/>
              <w:rPr>
                <w:sz w:val="17"/>
              </w:rPr>
            </w:pPr>
            <w:r>
              <w:rPr>
                <w:sz w:val="17"/>
              </w:rPr>
              <w:t>Number of underweight newborns per 100 live births</w:t>
            </w:r>
          </w:p>
        </w:tc>
        <w:tc>
          <w:tcPr>
            <w:tcW w:w="756" w:type="dxa"/>
            <w:tcBorders>
              <w:bottom w:val="single" w:sz="12" w:space="0" w:color="auto"/>
            </w:tcBorders>
          </w:tcPr>
          <w:p w:rsidR="00000000" w:rsidRDefault="00000000">
            <w:pPr>
              <w:pStyle w:val="BodyTextIndent2"/>
              <w:spacing w:after="120"/>
              <w:ind w:left="0" w:firstLine="0"/>
              <w:jc w:val="right"/>
              <w:rPr>
                <w:sz w:val="17"/>
              </w:rPr>
            </w:pPr>
            <w:r>
              <w:rPr>
                <w:sz w:val="17"/>
              </w:rPr>
              <w:t>6</w:t>
            </w:r>
          </w:p>
        </w:tc>
        <w:tc>
          <w:tcPr>
            <w:tcW w:w="810" w:type="dxa"/>
            <w:tcBorders>
              <w:bottom w:val="single" w:sz="12" w:space="0" w:color="auto"/>
            </w:tcBorders>
          </w:tcPr>
          <w:p w:rsidR="00000000" w:rsidRDefault="00000000">
            <w:pPr>
              <w:pStyle w:val="BodyTextIndent2"/>
              <w:spacing w:after="120"/>
              <w:ind w:left="0" w:firstLine="0"/>
              <w:jc w:val="right"/>
              <w:rPr>
                <w:sz w:val="17"/>
              </w:rPr>
            </w:pPr>
            <w:r>
              <w:rPr>
                <w:sz w:val="17"/>
              </w:rPr>
              <w:t>7</w:t>
            </w:r>
          </w:p>
        </w:tc>
        <w:tc>
          <w:tcPr>
            <w:tcW w:w="810" w:type="dxa"/>
            <w:tcBorders>
              <w:bottom w:val="single" w:sz="12" w:space="0" w:color="auto"/>
            </w:tcBorders>
          </w:tcPr>
          <w:p w:rsidR="00000000" w:rsidRDefault="00000000">
            <w:pPr>
              <w:pStyle w:val="BodyTextIndent2"/>
              <w:spacing w:after="120"/>
              <w:ind w:left="0" w:firstLine="0"/>
              <w:jc w:val="right"/>
              <w:rPr>
                <w:sz w:val="17"/>
              </w:rPr>
            </w:pPr>
            <w:r>
              <w:rPr>
                <w:sz w:val="17"/>
              </w:rPr>
              <w:t>6</w:t>
            </w:r>
          </w:p>
        </w:tc>
        <w:tc>
          <w:tcPr>
            <w:tcW w:w="837" w:type="dxa"/>
            <w:tcBorders>
              <w:bottom w:val="single" w:sz="12" w:space="0" w:color="auto"/>
            </w:tcBorders>
          </w:tcPr>
          <w:p w:rsidR="00000000" w:rsidRDefault="00000000">
            <w:pPr>
              <w:pStyle w:val="BodyTextIndent2"/>
              <w:spacing w:after="120"/>
              <w:ind w:left="0" w:firstLine="0"/>
              <w:jc w:val="right"/>
              <w:rPr>
                <w:sz w:val="17"/>
              </w:rPr>
            </w:pPr>
            <w:r>
              <w:rPr>
                <w:sz w:val="17"/>
              </w:rPr>
              <w:t>6</w:t>
            </w:r>
          </w:p>
        </w:tc>
        <w:tc>
          <w:tcPr>
            <w:tcW w:w="855" w:type="dxa"/>
            <w:tcBorders>
              <w:bottom w:val="single" w:sz="12" w:space="0" w:color="auto"/>
            </w:tcBorders>
          </w:tcPr>
          <w:p w:rsidR="00000000" w:rsidRDefault="00000000">
            <w:pPr>
              <w:pStyle w:val="BodyTextIndent2"/>
              <w:spacing w:after="120"/>
              <w:ind w:left="0" w:firstLine="0"/>
              <w:jc w:val="right"/>
              <w:rPr>
                <w:sz w:val="17"/>
              </w:rPr>
            </w:pPr>
            <w:r>
              <w:rPr>
                <w:sz w:val="17"/>
              </w:rPr>
              <w:t>6</w:t>
            </w:r>
          </w:p>
        </w:tc>
        <w:tc>
          <w:tcPr>
            <w:tcW w:w="828" w:type="dxa"/>
            <w:tcBorders>
              <w:bottom w:val="single" w:sz="12" w:space="0" w:color="auto"/>
            </w:tcBorders>
          </w:tcPr>
          <w:p w:rsidR="00000000" w:rsidRDefault="00000000">
            <w:pPr>
              <w:pStyle w:val="BodyTextIndent2"/>
              <w:spacing w:after="120"/>
              <w:ind w:left="0" w:firstLine="0"/>
              <w:jc w:val="right"/>
              <w:rPr>
                <w:sz w:val="17"/>
              </w:rPr>
            </w:pPr>
            <w:r>
              <w:rPr>
                <w:sz w:val="17"/>
              </w:rPr>
              <w:t>6</w:t>
            </w:r>
          </w:p>
        </w:tc>
        <w:tc>
          <w:tcPr>
            <w:tcW w:w="828" w:type="dxa"/>
            <w:tcBorders>
              <w:bottom w:val="single" w:sz="12" w:space="0" w:color="auto"/>
            </w:tcBorders>
          </w:tcPr>
          <w:p w:rsidR="00000000" w:rsidRDefault="00000000">
            <w:pPr>
              <w:pStyle w:val="BodyTextIndent2"/>
              <w:spacing w:after="120"/>
              <w:ind w:left="0" w:firstLine="0"/>
              <w:jc w:val="right"/>
              <w:rPr>
                <w:sz w:val="17"/>
              </w:rPr>
            </w:pPr>
            <w:r>
              <w:rPr>
                <w:sz w:val="17"/>
              </w:rPr>
              <w:t>6</w:t>
            </w:r>
          </w:p>
        </w:tc>
        <w:tc>
          <w:tcPr>
            <w:tcW w:w="828" w:type="dxa"/>
            <w:tcBorders>
              <w:bottom w:val="single" w:sz="12" w:space="0" w:color="auto"/>
            </w:tcBorders>
          </w:tcPr>
          <w:p w:rsidR="00000000" w:rsidRDefault="00000000">
            <w:pPr>
              <w:pStyle w:val="BodyTextIndent2"/>
              <w:spacing w:after="120"/>
              <w:ind w:left="0" w:firstLine="0"/>
              <w:jc w:val="right"/>
              <w:rPr>
                <w:sz w:val="17"/>
              </w:rPr>
            </w:pPr>
            <w:r>
              <w:rPr>
                <w:sz w:val="17"/>
              </w:rPr>
              <w:t>6</w:t>
            </w:r>
          </w:p>
        </w:tc>
        <w:tc>
          <w:tcPr>
            <w:tcW w:w="819" w:type="dxa"/>
            <w:tcBorders>
              <w:bottom w:val="single" w:sz="12" w:space="0" w:color="auto"/>
            </w:tcBorders>
          </w:tcPr>
          <w:p w:rsidR="00000000" w:rsidRDefault="00000000">
            <w:pPr>
              <w:pStyle w:val="BodyTextIndent2"/>
              <w:spacing w:after="120"/>
              <w:ind w:left="0" w:firstLine="0"/>
              <w:jc w:val="right"/>
              <w:rPr>
                <w:sz w:val="17"/>
              </w:rPr>
            </w:pPr>
            <w:r>
              <w:rPr>
                <w:sz w:val="17"/>
              </w:rPr>
              <w:t>6</w:t>
            </w:r>
          </w:p>
        </w:tc>
      </w:tr>
    </w:tbl>
    <w:p w:rsidR="00000000" w:rsidRDefault="00000000">
      <w:pPr>
        <w:pStyle w:val="BodyTextIndent2"/>
        <w:spacing w:after="120"/>
        <w:ind w:left="0" w:firstLine="0"/>
      </w:pPr>
    </w:p>
    <w:p w:rsidR="00000000" w:rsidRDefault="00000000">
      <w:pPr>
        <w:pStyle w:val="BodyTextIndent2"/>
        <w:spacing w:after="120"/>
        <w:ind w:left="0" w:firstLine="0"/>
      </w:pPr>
    </w:p>
    <w:p w:rsidR="00000000" w:rsidRDefault="00000000">
      <w:pPr>
        <w:pStyle w:val="BodyTextIndent2"/>
        <w:spacing w:after="120"/>
        <w:ind w:left="0" w:firstLine="0"/>
      </w:pPr>
    </w:p>
    <w:p w:rsidR="00000000" w:rsidRDefault="00000000">
      <w:pPr>
        <w:pStyle w:val="BodyTextIndent2"/>
        <w:spacing w:after="120"/>
        <w:ind w:left="0" w:firstLine="0"/>
      </w:pPr>
    </w:p>
    <w:p w:rsidR="00000000" w:rsidRDefault="00000000">
      <w:pPr>
        <w:pStyle w:val="BodyTextIndent2"/>
        <w:ind w:left="0" w:firstLine="0"/>
      </w:pPr>
      <w:r>
        <w:t>Table 36</w:t>
      </w:r>
    </w:p>
    <w:p w:rsidR="00000000" w:rsidRDefault="00000000">
      <w:pPr>
        <w:pStyle w:val="BodyTextIndent2"/>
        <w:spacing w:after="120"/>
        <w:ind w:left="0" w:firstLine="0"/>
        <w:rPr>
          <w:b/>
        </w:rPr>
      </w:pPr>
      <w:r>
        <w:rPr>
          <w:b/>
        </w:rPr>
        <w:t>Hospital facilities and medical personnel</w:t>
      </w:r>
    </w:p>
    <w:p w:rsidR="00000000" w:rsidRDefault="00000000">
      <w:pPr>
        <w:pStyle w:val="D12r"/>
      </w:pPr>
    </w:p>
    <w:tbl>
      <w:tblPr>
        <w:tblW w:w="0" w:type="auto"/>
        <w:tblInd w:w="-7" w:type="dxa"/>
        <w:tblLayout w:type="fixed"/>
        <w:tblLook w:val="0000" w:firstRow="0" w:lastRow="0" w:firstColumn="0" w:lastColumn="0" w:noHBand="0" w:noVBand="0"/>
      </w:tblPr>
      <w:tblGrid>
        <w:gridCol w:w="3636"/>
        <w:gridCol w:w="936"/>
        <w:gridCol w:w="1062"/>
        <w:gridCol w:w="1071"/>
        <w:gridCol w:w="1062"/>
        <w:gridCol w:w="1044"/>
        <w:gridCol w:w="1071"/>
      </w:tblGrid>
      <w:tr w:rsidR="00000000">
        <w:tblPrEx>
          <w:tblCellMar>
            <w:top w:w="0" w:type="dxa"/>
            <w:bottom w:w="0" w:type="dxa"/>
          </w:tblCellMar>
        </w:tblPrEx>
        <w:tc>
          <w:tcPr>
            <w:tcW w:w="3636" w:type="dxa"/>
            <w:tcBorders>
              <w:top w:val="single" w:sz="4" w:space="0" w:color="auto"/>
              <w:bottom w:val="single" w:sz="12" w:space="0" w:color="auto"/>
            </w:tcBorders>
          </w:tcPr>
          <w:p w:rsidR="00000000" w:rsidRDefault="00000000">
            <w:pPr>
              <w:pStyle w:val="BodyTextIndent2"/>
              <w:spacing w:after="120"/>
              <w:ind w:left="0" w:firstLine="0"/>
              <w:jc w:val="left"/>
              <w:rPr>
                <w:i/>
                <w:sz w:val="14"/>
              </w:rPr>
            </w:pPr>
          </w:p>
        </w:tc>
        <w:tc>
          <w:tcPr>
            <w:tcW w:w="936"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1993</w:t>
            </w:r>
          </w:p>
        </w:tc>
        <w:tc>
          <w:tcPr>
            <w:tcW w:w="1062"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1994</w:t>
            </w:r>
          </w:p>
        </w:tc>
        <w:tc>
          <w:tcPr>
            <w:tcW w:w="1071"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1995</w:t>
            </w:r>
          </w:p>
        </w:tc>
        <w:tc>
          <w:tcPr>
            <w:tcW w:w="1062"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1996</w:t>
            </w:r>
          </w:p>
        </w:tc>
        <w:tc>
          <w:tcPr>
            <w:tcW w:w="1044"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1997</w:t>
            </w:r>
          </w:p>
        </w:tc>
        <w:tc>
          <w:tcPr>
            <w:tcW w:w="1071"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1998</w:t>
            </w:r>
          </w:p>
        </w:tc>
      </w:tr>
      <w:tr w:rsidR="00000000">
        <w:tblPrEx>
          <w:tblCellMar>
            <w:top w:w="0" w:type="dxa"/>
            <w:bottom w:w="0" w:type="dxa"/>
          </w:tblCellMar>
        </w:tblPrEx>
        <w:tc>
          <w:tcPr>
            <w:tcW w:w="3636" w:type="dxa"/>
            <w:tcBorders>
              <w:top w:val="single" w:sz="12" w:space="0" w:color="auto"/>
            </w:tcBorders>
          </w:tcPr>
          <w:p w:rsidR="00000000" w:rsidRDefault="00000000">
            <w:pPr>
              <w:pStyle w:val="BodyTextIndent2"/>
              <w:spacing w:after="120"/>
              <w:ind w:left="0" w:firstLine="0"/>
              <w:jc w:val="left"/>
              <w:rPr>
                <w:sz w:val="17"/>
              </w:rPr>
            </w:pPr>
            <w:r>
              <w:rPr>
                <w:sz w:val="17"/>
              </w:rPr>
              <w:t>Number of doctors in all specialties (other than dentists)</w:t>
            </w:r>
          </w:p>
        </w:tc>
        <w:tc>
          <w:tcPr>
            <w:tcW w:w="936" w:type="dxa"/>
            <w:tcBorders>
              <w:top w:val="single" w:sz="12" w:space="0" w:color="auto"/>
            </w:tcBorders>
          </w:tcPr>
          <w:p w:rsidR="00000000" w:rsidRDefault="00000000">
            <w:pPr>
              <w:pStyle w:val="BodyTextIndent2"/>
              <w:spacing w:after="120"/>
              <w:ind w:left="0" w:firstLine="0"/>
              <w:jc w:val="right"/>
              <w:rPr>
                <w:sz w:val="17"/>
              </w:rPr>
            </w:pPr>
            <w:r>
              <w:rPr>
                <w:sz w:val="17"/>
              </w:rPr>
              <w:t>…</w:t>
            </w:r>
          </w:p>
        </w:tc>
        <w:tc>
          <w:tcPr>
            <w:tcW w:w="1062" w:type="dxa"/>
            <w:tcBorders>
              <w:top w:val="single" w:sz="12" w:space="0" w:color="auto"/>
            </w:tcBorders>
          </w:tcPr>
          <w:p w:rsidR="00000000" w:rsidRDefault="00000000">
            <w:pPr>
              <w:pStyle w:val="BodyTextIndent2"/>
              <w:spacing w:after="120"/>
              <w:ind w:left="0" w:firstLine="0"/>
              <w:jc w:val="right"/>
              <w:rPr>
                <w:sz w:val="17"/>
              </w:rPr>
            </w:pPr>
            <w:r>
              <w:rPr>
                <w:sz w:val="17"/>
              </w:rPr>
              <w:t>61 080</w:t>
            </w:r>
          </w:p>
        </w:tc>
        <w:tc>
          <w:tcPr>
            <w:tcW w:w="1071" w:type="dxa"/>
            <w:tcBorders>
              <w:top w:val="single" w:sz="12" w:space="0" w:color="auto"/>
            </w:tcBorders>
          </w:tcPr>
          <w:p w:rsidR="00000000" w:rsidRDefault="00000000">
            <w:pPr>
              <w:pStyle w:val="BodyTextIndent2"/>
              <w:spacing w:after="120"/>
              <w:ind w:left="0" w:firstLine="0"/>
              <w:jc w:val="right"/>
              <w:rPr>
                <w:sz w:val="17"/>
              </w:rPr>
            </w:pPr>
            <w:r>
              <w:rPr>
                <w:sz w:val="17"/>
              </w:rPr>
              <w:t>60 125</w:t>
            </w:r>
          </w:p>
        </w:tc>
        <w:tc>
          <w:tcPr>
            <w:tcW w:w="1062" w:type="dxa"/>
            <w:tcBorders>
              <w:top w:val="single" w:sz="12" w:space="0" w:color="auto"/>
            </w:tcBorders>
          </w:tcPr>
          <w:p w:rsidR="00000000" w:rsidRDefault="00000000">
            <w:pPr>
              <w:pStyle w:val="BodyTextIndent2"/>
              <w:spacing w:after="120"/>
              <w:ind w:left="0" w:firstLine="0"/>
              <w:jc w:val="right"/>
              <w:rPr>
                <w:sz w:val="17"/>
              </w:rPr>
            </w:pPr>
            <w:r>
              <w:rPr>
                <w:sz w:val="17"/>
              </w:rPr>
              <w:t>57 912</w:t>
            </w:r>
          </w:p>
        </w:tc>
        <w:tc>
          <w:tcPr>
            <w:tcW w:w="1044" w:type="dxa"/>
            <w:tcBorders>
              <w:top w:val="single" w:sz="12" w:space="0" w:color="auto"/>
            </w:tcBorders>
          </w:tcPr>
          <w:p w:rsidR="00000000" w:rsidRDefault="00000000">
            <w:pPr>
              <w:pStyle w:val="BodyTextIndent2"/>
              <w:spacing w:after="120"/>
              <w:ind w:left="0" w:firstLine="0"/>
              <w:jc w:val="right"/>
              <w:rPr>
                <w:sz w:val="17"/>
              </w:rPr>
            </w:pPr>
            <w:r>
              <w:rPr>
                <w:sz w:val="17"/>
              </w:rPr>
              <w:t>54 519</w:t>
            </w:r>
          </w:p>
        </w:tc>
        <w:tc>
          <w:tcPr>
            <w:tcW w:w="1071" w:type="dxa"/>
            <w:tcBorders>
              <w:top w:val="single" w:sz="12" w:space="0" w:color="auto"/>
            </w:tcBorders>
          </w:tcPr>
          <w:p w:rsidR="00000000" w:rsidRDefault="00000000">
            <w:pPr>
              <w:pStyle w:val="BodyTextIndent2"/>
              <w:spacing w:after="120"/>
              <w:ind w:left="0" w:firstLine="0"/>
              <w:jc w:val="right"/>
              <w:rPr>
                <w:sz w:val="17"/>
              </w:rPr>
            </w:pPr>
            <w:r>
              <w:rPr>
                <w:sz w:val="17"/>
              </w:rPr>
              <w:t>53 181</w:t>
            </w:r>
          </w:p>
        </w:tc>
      </w:tr>
      <w:tr w:rsidR="00000000">
        <w:tblPrEx>
          <w:tblCellMar>
            <w:top w:w="0" w:type="dxa"/>
            <w:bottom w:w="0" w:type="dxa"/>
          </w:tblCellMar>
        </w:tblPrEx>
        <w:tc>
          <w:tcPr>
            <w:tcW w:w="3636" w:type="dxa"/>
          </w:tcPr>
          <w:p w:rsidR="00000000" w:rsidRDefault="00000000">
            <w:pPr>
              <w:pStyle w:val="BodyTextIndent2"/>
              <w:spacing w:after="120"/>
              <w:ind w:left="0" w:firstLine="0"/>
              <w:jc w:val="left"/>
              <w:rPr>
                <w:sz w:val="17"/>
              </w:rPr>
            </w:pPr>
            <w:r>
              <w:rPr>
                <w:sz w:val="17"/>
              </w:rPr>
              <w:t>Number of doctors per 10,000 of the population</w:t>
            </w:r>
          </w:p>
        </w:tc>
        <w:tc>
          <w:tcPr>
            <w:tcW w:w="936" w:type="dxa"/>
          </w:tcPr>
          <w:p w:rsidR="00000000" w:rsidRDefault="00000000">
            <w:pPr>
              <w:pStyle w:val="BodyTextIndent2"/>
              <w:spacing w:after="120"/>
              <w:ind w:left="0" w:firstLine="0"/>
              <w:jc w:val="right"/>
              <w:rPr>
                <w:sz w:val="17"/>
              </w:rPr>
            </w:pPr>
            <w:r>
              <w:rPr>
                <w:sz w:val="17"/>
              </w:rPr>
              <w:t>…</w:t>
            </w:r>
          </w:p>
        </w:tc>
        <w:tc>
          <w:tcPr>
            <w:tcW w:w="1062" w:type="dxa"/>
          </w:tcPr>
          <w:p w:rsidR="00000000" w:rsidRDefault="00000000">
            <w:pPr>
              <w:pStyle w:val="BodyTextIndent2"/>
              <w:spacing w:after="120"/>
              <w:ind w:left="0" w:firstLine="0"/>
              <w:jc w:val="right"/>
              <w:rPr>
                <w:sz w:val="17"/>
              </w:rPr>
            </w:pPr>
            <w:r>
              <w:rPr>
                <w:sz w:val="17"/>
              </w:rPr>
              <w:t>38.9</w:t>
            </w:r>
          </w:p>
        </w:tc>
        <w:tc>
          <w:tcPr>
            <w:tcW w:w="1071" w:type="dxa"/>
          </w:tcPr>
          <w:p w:rsidR="00000000" w:rsidRDefault="00000000">
            <w:pPr>
              <w:pStyle w:val="BodyTextIndent2"/>
              <w:spacing w:after="120"/>
              <w:ind w:left="0" w:firstLine="0"/>
              <w:jc w:val="right"/>
              <w:rPr>
                <w:sz w:val="17"/>
              </w:rPr>
            </w:pPr>
            <w:r>
              <w:rPr>
                <w:sz w:val="17"/>
              </w:rPr>
              <w:t>37.8</w:t>
            </w:r>
          </w:p>
        </w:tc>
        <w:tc>
          <w:tcPr>
            <w:tcW w:w="1062" w:type="dxa"/>
          </w:tcPr>
          <w:p w:rsidR="00000000" w:rsidRDefault="00000000">
            <w:pPr>
              <w:pStyle w:val="BodyTextIndent2"/>
              <w:spacing w:after="120"/>
              <w:ind w:left="0" w:firstLine="0"/>
              <w:jc w:val="right"/>
              <w:rPr>
                <w:sz w:val="17"/>
              </w:rPr>
            </w:pPr>
            <w:r>
              <w:rPr>
                <w:sz w:val="17"/>
              </w:rPr>
              <w:t>37.6</w:t>
            </w:r>
          </w:p>
        </w:tc>
        <w:tc>
          <w:tcPr>
            <w:tcW w:w="1044" w:type="dxa"/>
          </w:tcPr>
          <w:p w:rsidR="00000000" w:rsidRDefault="00000000">
            <w:pPr>
              <w:pStyle w:val="BodyTextIndent2"/>
              <w:spacing w:after="120"/>
              <w:ind w:left="0" w:firstLine="0"/>
              <w:jc w:val="right"/>
              <w:rPr>
                <w:sz w:val="17"/>
              </w:rPr>
            </w:pPr>
            <w:r>
              <w:rPr>
                <w:sz w:val="17"/>
              </w:rPr>
              <w:t>35.6</w:t>
            </w:r>
          </w:p>
        </w:tc>
        <w:tc>
          <w:tcPr>
            <w:tcW w:w="1071" w:type="dxa"/>
          </w:tcPr>
          <w:p w:rsidR="00000000" w:rsidRDefault="00000000">
            <w:pPr>
              <w:pStyle w:val="BodyTextIndent2"/>
              <w:spacing w:after="120"/>
              <w:ind w:left="0" w:firstLine="0"/>
              <w:jc w:val="right"/>
              <w:rPr>
                <w:sz w:val="17"/>
              </w:rPr>
            </w:pPr>
            <w:r>
              <w:rPr>
                <w:sz w:val="17"/>
              </w:rPr>
              <w:t>34.3</w:t>
            </w:r>
          </w:p>
        </w:tc>
      </w:tr>
      <w:tr w:rsidR="00000000">
        <w:tblPrEx>
          <w:tblCellMar>
            <w:top w:w="0" w:type="dxa"/>
            <w:bottom w:w="0" w:type="dxa"/>
          </w:tblCellMar>
        </w:tblPrEx>
        <w:tc>
          <w:tcPr>
            <w:tcW w:w="3636" w:type="dxa"/>
          </w:tcPr>
          <w:p w:rsidR="00000000" w:rsidRDefault="00000000">
            <w:pPr>
              <w:pStyle w:val="BodyTextIndent2"/>
              <w:spacing w:after="120"/>
              <w:ind w:left="0" w:firstLine="0"/>
              <w:jc w:val="left"/>
              <w:rPr>
                <w:sz w:val="17"/>
              </w:rPr>
            </w:pPr>
            <w:r>
              <w:rPr>
                <w:sz w:val="17"/>
              </w:rPr>
              <w:t>Number of middle-level medical personnel (including dentists)</w:t>
            </w:r>
          </w:p>
        </w:tc>
        <w:tc>
          <w:tcPr>
            <w:tcW w:w="936" w:type="dxa"/>
          </w:tcPr>
          <w:p w:rsidR="00000000" w:rsidRDefault="00000000">
            <w:pPr>
              <w:pStyle w:val="BodyTextIndent2"/>
              <w:spacing w:after="120"/>
              <w:ind w:left="0" w:firstLine="0"/>
              <w:jc w:val="right"/>
              <w:rPr>
                <w:sz w:val="17"/>
              </w:rPr>
            </w:pPr>
            <w:r>
              <w:rPr>
                <w:sz w:val="17"/>
              </w:rPr>
              <w:t>…</w:t>
            </w:r>
          </w:p>
        </w:tc>
        <w:tc>
          <w:tcPr>
            <w:tcW w:w="1062" w:type="dxa"/>
          </w:tcPr>
          <w:p w:rsidR="00000000" w:rsidRDefault="00000000">
            <w:pPr>
              <w:pStyle w:val="BodyTextIndent2"/>
              <w:spacing w:after="120"/>
              <w:ind w:left="0" w:firstLine="0"/>
              <w:jc w:val="right"/>
              <w:rPr>
                <w:sz w:val="17"/>
              </w:rPr>
            </w:pPr>
            <w:r>
              <w:rPr>
                <w:sz w:val="17"/>
              </w:rPr>
              <w:t>177 656</w:t>
            </w:r>
          </w:p>
        </w:tc>
        <w:tc>
          <w:tcPr>
            <w:tcW w:w="1071" w:type="dxa"/>
          </w:tcPr>
          <w:p w:rsidR="00000000" w:rsidRDefault="00000000">
            <w:pPr>
              <w:pStyle w:val="BodyTextIndent2"/>
              <w:spacing w:after="120"/>
              <w:ind w:left="0" w:firstLine="0"/>
              <w:jc w:val="right"/>
              <w:rPr>
                <w:sz w:val="17"/>
              </w:rPr>
            </w:pPr>
            <w:r>
              <w:rPr>
                <w:sz w:val="17"/>
              </w:rPr>
              <w:t>168 400</w:t>
            </w:r>
          </w:p>
        </w:tc>
        <w:tc>
          <w:tcPr>
            <w:tcW w:w="1062" w:type="dxa"/>
          </w:tcPr>
          <w:p w:rsidR="00000000" w:rsidRDefault="00000000">
            <w:pPr>
              <w:pStyle w:val="BodyTextIndent2"/>
              <w:spacing w:after="120"/>
              <w:ind w:left="0" w:firstLine="0"/>
              <w:jc w:val="right"/>
              <w:rPr>
                <w:sz w:val="17"/>
              </w:rPr>
            </w:pPr>
            <w:r>
              <w:rPr>
                <w:sz w:val="17"/>
              </w:rPr>
              <w:t>150 123</w:t>
            </w:r>
          </w:p>
        </w:tc>
        <w:tc>
          <w:tcPr>
            <w:tcW w:w="1044" w:type="dxa"/>
          </w:tcPr>
          <w:p w:rsidR="00000000" w:rsidRDefault="00000000">
            <w:pPr>
              <w:pStyle w:val="BodyTextIndent2"/>
              <w:spacing w:after="120"/>
              <w:ind w:left="0" w:firstLine="0"/>
              <w:jc w:val="right"/>
              <w:rPr>
                <w:sz w:val="17"/>
              </w:rPr>
            </w:pPr>
            <w:r>
              <w:rPr>
                <w:sz w:val="17"/>
              </w:rPr>
              <w:t>129 515</w:t>
            </w:r>
          </w:p>
        </w:tc>
        <w:tc>
          <w:tcPr>
            <w:tcW w:w="1071" w:type="dxa"/>
          </w:tcPr>
          <w:p w:rsidR="00000000" w:rsidRDefault="00000000">
            <w:pPr>
              <w:pStyle w:val="BodyTextIndent2"/>
              <w:spacing w:after="120"/>
              <w:ind w:left="0" w:firstLine="0"/>
              <w:jc w:val="right"/>
              <w:rPr>
                <w:sz w:val="17"/>
              </w:rPr>
            </w:pPr>
            <w:r>
              <w:rPr>
                <w:sz w:val="17"/>
              </w:rPr>
              <w:t>120 434</w:t>
            </w:r>
          </w:p>
        </w:tc>
      </w:tr>
      <w:tr w:rsidR="00000000">
        <w:tblPrEx>
          <w:tblCellMar>
            <w:top w:w="0" w:type="dxa"/>
            <w:bottom w:w="0" w:type="dxa"/>
          </w:tblCellMar>
        </w:tblPrEx>
        <w:tc>
          <w:tcPr>
            <w:tcW w:w="3636" w:type="dxa"/>
          </w:tcPr>
          <w:p w:rsidR="00000000" w:rsidRDefault="00000000">
            <w:pPr>
              <w:pStyle w:val="BodyTextIndent2"/>
              <w:spacing w:after="120"/>
              <w:ind w:left="0" w:firstLine="0"/>
              <w:jc w:val="left"/>
              <w:rPr>
                <w:sz w:val="17"/>
              </w:rPr>
            </w:pPr>
            <w:r>
              <w:rPr>
                <w:sz w:val="17"/>
              </w:rPr>
              <w:t>Number of middle-level medical personnel per 10,000 of the population</w:t>
            </w:r>
          </w:p>
        </w:tc>
        <w:tc>
          <w:tcPr>
            <w:tcW w:w="936" w:type="dxa"/>
          </w:tcPr>
          <w:p w:rsidR="00000000" w:rsidRDefault="00000000">
            <w:pPr>
              <w:pStyle w:val="BodyTextIndent2"/>
              <w:spacing w:after="120"/>
              <w:ind w:left="0" w:firstLine="0"/>
              <w:jc w:val="right"/>
              <w:rPr>
                <w:sz w:val="17"/>
              </w:rPr>
            </w:pPr>
            <w:r>
              <w:rPr>
                <w:sz w:val="17"/>
              </w:rPr>
              <w:t>…</w:t>
            </w:r>
          </w:p>
        </w:tc>
        <w:tc>
          <w:tcPr>
            <w:tcW w:w="1062" w:type="dxa"/>
          </w:tcPr>
          <w:p w:rsidR="00000000" w:rsidRDefault="00000000">
            <w:pPr>
              <w:pStyle w:val="BodyTextIndent2"/>
              <w:spacing w:after="120"/>
              <w:ind w:left="0" w:firstLine="0"/>
              <w:jc w:val="right"/>
              <w:rPr>
                <w:sz w:val="17"/>
              </w:rPr>
            </w:pPr>
            <w:r>
              <w:rPr>
                <w:sz w:val="17"/>
              </w:rPr>
              <w:t>108.2</w:t>
            </w:r>
          </w:p>
        </w:tc>
        <w:tc>
          <w:tcPr>
            <w:tcW w:w="1071" w:type="dxa"/>
          </w:tcPr>
          <w:p w:rsidR="00000000" w:rsidRDefault="00000000">
            <w:pPr>
              <w:pStyle w:val="BodyTextIndent2"/>
              <w:spacing w:after="120"/>
              <w:ind w:left="0" w:firstLine="0"/>
              <w:jc w:val="right"/>
              <w:rPr>
                <w:sz w:val="17"/>
              </w:rPr>
            </w:pPr>
            <w:r>
              <w:rPr>
                <w:sz w:val="17"/>
              </w:rPr>
              <w:t>100.9</w:t>
            </w:r>
          </w:p>
        </w:tc>
        <w:tc>
          <w:tcPr>
            <w:tcW w:w="1062" w:type="dxa"/>
          </w:tcPr>
          <w:p w:rsidR="00000000" w:rsidRDefault="00000000">
            <w:pPr>
              <w:pStyle w:val="BodyTextIndent2"/>
              <w:spacing w:after="120"/>
              <w:ind w:left="0" w:firstLine="0"/>
              <w:jc w:val="right"/>
              <w:rPr>
                <w:sz w:val="17"/>
              </w:rPr>
            </w:pPr>
            <w:r>
              <w:rPr>
                <w:sz w:val="17"/>
              </w:rPr>
              <w:t>93.6</w:t>
            </w:r>
          </w:p>
        </w:tc>
        <w:tc>
          <w:tcPr>
            <w:tcW w:w="1044" w:type="dxa"/>
          </w:tcPr>
          <w:p w:rsidR="00000000" w:rsidRDefault="00000000">
            <w:pPr>
              <w:pStyle w:val="BodyTextIndent2"/>
              <w:spacing w:after="120"/>
              <w:ind w:left="0" w:firstLine="0"/>
              <w:jc w:val="right"/>
              <w:rPr>
                <w:sz w:val="17"/>
              </w:rPr>
            </w:pPr>
            <w:r>
              <w:rPr>
                <w:sz w:val="17"/>
              </w:rPr>
              <w:t>81.8</w:t>
            </w:r>
          </w:p>
        </w:tc>
        <w:tc>
          <w:tcPr>
            <w:tcW w:w="1071" w:type="dxa"/>
          </w:tcPr>
          <w:p w:rsidR="00000000" w:rsidRDefault="00000000">
            <w:pPr>
              <w:pStyle w:val="BodyTextIndent2"/>
              <w:spacing w:after="120"/>
              <w:ind w:left="0" w:firstLine="0"/>
              <w:jc w:val="right"/>
              <w:rPr>
                <w:sz w:val="17"/>
              </w:rPr>
            </w:pPr>
            <w:r>
              <w:rPr>
                <w:sz w:val="17"/>
              </w:rPr>
              <w:t>77.7</w:t>
            </w:r>
          </w:p>
        </w:tc>
      </w:tr>
      <w:tr w:rsidR="00000000">
        <w:tblPrEx>
          <w:tblCellMar>
            <w:top w:w="0" w:type="dxa"/>
            <w:bottom w:w="0" w:type="dxa"/>
          </w:tblCellMar>
        </w:tblPrEx>
        <w:tc>
          <w:tcPr>
            <w:tcW w:w="3636" w:type="dxa"/>
          </w:tcPr>
          <w:p w:rsidR="00000000" w:rsidRDefault="00000000">
            <w:pPr>
              <w:pStyle w:val="BodyTextIndent2"/>
              <w:spacing w:after="120"/>
              <w:ind w:left="0" w:firstLine="0"/>
              <w:jc w:val="left"/>
              <w:rPr>
                <w:sz w:val="17"/>
              </w:rPr>
            </w:pPr>
            <w:r>
              <w:rPr>
                <w:sz w:val="17"/>
              </w:rPr>
              <w:t>Number of hospital beds</w:t>
            </w:r>
          </w:p>
        </w:tc>
        <w:tc>
          <w:tcPr>
            <w:tcW w:w="936" w:type="dxa"/>
          </w:tcPr>
          <w:p w:rsidR="00000000" w:rsidRDefault="00000000">
            <w:pPr>
              <w:pStyle w:val="BodyTextIndent2"/>
              <w:spacing w:after="120"/>
              <w:ind w:left="0" w:firstLine="0"/>
              <w:jc w:val="right"/>
              <w:rPr>
                <w:sz w:val="17"/>
              </w:rPr>
            </w:pPr>
            <w:r>
              <w:rPr>
                <w:sz w:val="17"/>
              </w:rPr>
              <w:t>…</w:t>
            </w:r>
          </w:p>
        </w:tc>
        <w:tc>
          <w:tcPr>
            <w:tcW w:w="1062" w:type="dxa"/>
          </w:tcPr>
          <w:p w:rsidR="00000000" w:rsidRDefault="00000000">
            <w:pPr>
              <w:pStyle w:val="BodyTextIndent2"/>
              <w:spacing w:after="120"/>
              <w:ind w:left="0" w:firstLine="0"/>
              <w:jc w:val="right"/>
              <w:rPr>
                <w:sz w:val="17"/>
              </w:rPr>
            </w:pPr>
            <w:r>
              <w:rPr>
                <w:sz w:val="17"/>
              </w:rPr>
              <w:t>205 653</w:t>
            </w:r>
          </w:p>
        </w:tc>
        <w:tc>
          <w:tcPr>
            <w:tcW w:w="1071" w:type="dxa"/>
          </w:tcPr>
          <w:p w:rsidR="00000000" w:rsidRDefault="00000000">
            <w:pPr>
              <w:pStyle w:val="BodyTextIndent2"/>
              <w:spacing w:after="120"/>
              <w:ind w:left="0" w:firstLine="0"/>
              <w:jc w:val="right"/>
              <w:rPr>
                <w:sz w:val="17"/>
              </w:rPr>
            </w:pPr>
            <w:r>
              <w:rPr>
                <w:sz w:val="17"/>
              </w:rPr>
              <w:t>192 627</w:t>
            </w:r>
          </w:p>
        </w:tc>
        <w:tc>
          <w:tcPr>
            <w:tcW w:w="1062" w:type="dxa"/>
          </w:tcPr>
          <w:p w:rsidR="00000000" w:rsidRDefault="00000000">
            <w:pPr>
              <w:pStyle w:val="BodyTextIndent2"/>
              <w:spacing w:after="120"/>
              <w:ind w:left="0" w:firstLine="0"/>
              <w:jc w:val="right"/>
              <w:rPr>
                <w:sz w:val="17"/>
              </w:rPr>
            </w:pPr>
            <w:r>
              <w:rPr>
                <w:sz w:val="17"/>
              </w:rPr>
              <w:t>164 444</w:t>
            </w:r>
          </w:p>
        </w:tc>
        <w:tc>
          <w:tcPr>
            <w:tcW w:w="1044" w:type="dxa"/>
          </w:tcPr>
          <w:p w:rsidR="00000000" w:rsidRDefault="00000000">
            <w:pPr>
              <w:pStyle w:val="BodyTextIndent2"/>
              <w:spacing w:after="120"/>
              <w:ind w:left="0" w:firstLine="0"/>
              <w:jc w:val="right"/>
              <w:rPr>
                <w:sz w:val="17"/>
              </w:rPr>
            </w:pPr>
            <w:r>
              <w:rPr>
                <w:sz w:val="17"/>
              </w:rPr>
              <w:t>136 392</w:t>
            </w:r>
          </w:p>
        </w:tc>
        <w:tc>
          <w:tcPr>
            <w:tcW w:w="1071" w:type="dxa"/>
          </w:tcPr>
          <w:p w:rsidR="00000000" w:rsidRDefault="00000000">
            <w:pPr>
              <w:pStyle w:val="BodyTextIndent2"/>
              <w:spacing w:after="120"/>
              <w:ind w:left="0" w:firstLine="0"/>
              <w:jc w:val="right"/>
              <w:rPr>
                <w:sz w:val="17"/>
              </w:rPr>
            </w:pPr>
            <w:r>
              <w:rPr>
                <w:sz w:val="17"/>
              </w:rPr>
              <w:t>123 493</w:t>
            </w:r>
          </w:p>
        </w:tc>
      </w:tr>
      <w:tr w:rsidR="00000000">
        <w:tblPrEx>
          <w:tblCellMar>
            <w:top w:w="0" w:type="dxa"/>
            <w:bottom w:w="0" w:type="dxa"/>
          </w:tblCellMar>
        </w:tblPrEx>
        <w:tc>
          <w:tcPr>
            <w:tcW w:w="3636" w:type="dxa"/>
          </w:tcPr>
          <w:p w:rsidR="00000000" w:rsidRDefault="00000000">
            <w:pPr>
              <w:pStyle w:val="BodyTextIndent2"/>
              <w:spacing w:after="120"/>
              <w:ind w:left="0" w:firstLine="0"/>
              <w:jc w:val="left"/>
              <w:rPr>
                <w:sz w:val="17"/>
              </w:rPr>
            </w:pPr>
            <w:r>
              <w:rPr>
                <w:sz w:val="17"/>
              </w:rPr>
              <w:t>Number of hospital beds per 10,000 of the population</w:t>
            </w:r>
          </w:p>
        </w:tc>
        <w:tc>
          <w:tcPr>
            <w:tcW w:w="936" w:type="dxa"/>
          </w:tcPr>
          <w:p w:rsidR="00000000" w:rsidRDefault="00000000">
            <w:pPr>
              <w:pStyle w:val="BodyTextIndent2"/>
              <w:spacing w:after="120"/>
              <w:ind w:left="0" w:firstLine="0"/>
              <w:jc w:val="right"/>
              <w:rPr>
                <w:sz w:val="17"/>
              </w:rPr>
            </w:pPr>
            <w:r>
              <w:rPr>
                <w:sz w:val="17"/>
              </w:rPr>
              <w:t>…</w:t>
            </w:r>
          </w:p>
        </w:tc>
        <w:tc>
          <w:tcPr>
            <w:tcW w:w="1062" w:type="dxa"/>
          </w:tcPr>
          <w:p w:rsidR="00000000" w:rsidRDefault="00000000">
            <w:pPr>
              <w:pStyle w:val="BodyTextIndent2"/>
              <w:spacing w:after="120"/>
              <w:ind w:left="0" w:firstLine="0"/>
              <w:jc w:val="right"/>
              <w:rPr>
                <w:sz w:val="17"/>
              </w:rPr>
            </w:pPr>
            <w:r>
              <w:rPr>
                <w:sz w:val="17"/>
              </w:rPr>
              <w:t>123.8</w:t>
            </w:r>
          </w:p>
        </w:tc>
        <w:tc>
          <w:tcPr>
            <w:tcW w:w="1071" w:type="dxa"/>
          </w:tcPr>
          <w:p w:rsidR="00000000" w:rsidRDefault="00000000">
            <w:pPr>
              <w:pStyle w:val="BodyTextIndent2"/>
              <w:spacing w:after="120"/>
              <w:ind w:left="0" w:firstLine="0"/>
              <w:jc w:val="right"/>
              <w:rPr>
                <w:sz w:val="17"/>
              </w:rPr>
            </w:pPr>
            <w:r>
              <w:rPr>
                <w:sz w:val="17"/>
              </w:rPr>
              <w:t>116.9</w:t>
            </w:r>
          </w:p>
        </w:tc>
        <w:tc>
          <w:tcPr>
            <w:tcW w:w="1062" w:type="dxa"/>
          </w:tcPr>
          <w:p w:rsidR="00000000" w:rsidRDefault="00000000">
            <w:pPr>
              <w:pStyle w:val="BodyTextIndent2"/>
              <w:spacing w:after="120"/>
              <w:ind w:left="0" w:firstLine="0"/>
              <w:jc w:val="right"/>
              <w:rPr>
                <w:sz w:val="17"/>
              </w:rPr>
            </w:pPr>
            <w:r>
              <w:rPr>
                <w:sz w:val="17"/>
              </w:rPr>
              <w:t>100.3</w:t>
            </w:r>
          </w:p>
        </w:tc>
        <w:tc>
          <w:tcPr>
            <w:tcW w:w="1044" w:type="dxa"/>
          </w:tcPr>
          <w:p w:rsidR="00000000" w:rsidRDefault="00000000">
            <w:pPr>
              <w:pStyle w:val="BodyTextIndent2"/>
              <w:spacing w:after="120"/>
              <w:ind w:left="0" w:firstLine="0"/>
              <w:jc w:val="right"/>
              <w:rPr>
                <w:sz w:val="17"/>
              </w:rPr>
            </w:pPr>
            <w:r>
              <w:rPr>
                <w:sz w:val="17"/>
              </w:rPr>
              <w:t>87.0</w:t>
            </w:r>
          </w:p>
        </w:tc>
        <w:tc>
          <w:tcPr>
            <w:tcW w:w="1071" w:type="dxa"/>
          </w:tcPr>
          <w:p w:rsidR="00000000" w:rsidRDefault="00000000">
            <w:pPr>
              <w:pStyle w:val="BodyTextIndent2"/>
              <w:spacing w:after="120"/>
              <w:ind w:left="0" w:firstLine="0"/>
              <w:jc w:val="right"/>
              <w:rPr>
                <w:sz w:val="17"/>
              </w:rPr>
            </w:pPr>
            <w:r>
              <w:rPr>
                <w:sz w:val="17"/>
              </w:rPr>
              <w:t>79.6</w:t>
            </w:r>
          </w:p>
        </w:tc>
      </w:tr>
      <w:tr w:rsidR="00000000">
        <w:tblPrEx>
          <w:tblCellMar>
            <w:top w:w="0" w:type="dxa"/>
            <w:bottom w:w="0" w:type="dxa"/>
          </w:tblCellMar>
        </w:tblPrEx>
        <w:tc>
          <w:tcPr>
            <w:tcW w:w="3636" w:type="dxa"/>
          </w:tcPr>
          <w:p w:rsidR="00000000" w:rsidRDefault="00000000">
            <w:pPr>
              <w:pStyle w:val="BodyTextIndent2"/>
              <w:spacing w:after="120"/>
              <w:ind w:left="0" w:firstLine="0"/>
              <w:jc w:val="left"/>
              <w:rPr>
                <w:sz w:val="17"/>
              </w:rPr>
            </w:pPr>
            <w:r>
              <w:rPr>
                <w:sz w:val="17"/>
              </w:rPr>
              <w:t>Number of medical establishments providing outpatient clinic services</w:t>
            </w:r>
          </w:p>
        </w:tc>
        <w:tc>
          <w:tcPr>
            <w:tcW w:w="936" w:type="dxa"/>
          </w:tcPr>
          <w:p w:rsidR="00000000" w:rsidRDefault="00000000">
            <w:pPr>
              <w:pStyle w:val="BodyTextIndent2"/>
              <w:spacing w:after="120"/>
              <w:ind w:left="0" w:firstLine="0"/>
              <w:jc w:val="right"/>
              <w:rPr>
                <w:sz w:val="17"/>
              </w:rPr>
            </w:pPr>
            <w:r>
              <w:rPr>
                <w:sz w:val="17"/>
              </w:rPr>
              <w:t>…</w:t>
            </w:r>
          </w:p>
        </w:tc>
        <w:tc>
          <w:tcPr>
            <w:tcW w:w="1062" w:type="dxa"/>
          </w:tcPr>
          <w:p w:rsidR="00000000" w:rsidRDefault="00000000">
            <w:pPr>
              <w:pStyle w:val="BodyTextIndent2"/>
              <w:spacing w:after="120"/>
              <w:ind w:left="0" w:firstLine="0"/>
              <w:jc w:val="right"/>
              <w:rPr>
                <w:sz w:val="17"/>
              </w:rPr>
            </w:pPr>
            <w:r>
              <w:rPr>
                <w:sz w:val="17"/>
              </w:rPr>
              <w:t>3 527</w:t>
            </w:r>
          </w:p>
        </w:tc>
        <w:tc>
          <w:tcPr>
            <w:tcW w:w="1071" w:type="dxa"/>
          </w:tcPr>
          <w:p w:rsidR="00000000" w:rsidRDefault="00000000">
            <w:pPr>
              <w:pStyle w:val="BodyTextIndent2"/>
              <w:spacing w:after="120"/>
              <w:ind w:left="0" w:firstLine="0"/>
              <w:jc w:val="right"/>
              <w:rPr>
                <w:sz w:val="17"/>
              </w:rPr>
            </w:pPr>
            <w:r>
              <w:rPr>
                <w:sz w:val="17"/>
              </w:rPr>
              <w:t>3 405</w:t>
            </w:r>
          </w:p>
        </w:tc>
        <w:tc>
          <w:tcPr>
            <w:tcW w:w="1062" w:type="dxa"/>
          </w:tcPr>
          <w:p w:rsidR="00000000" w:rsidRDefault="00000000">
            <w:pPr>
              <w:pStyle w:val="BodyTextIndent2"/>
              <w:spacing w:after="120"/>
              <w:ind w:left="0" w:firstLine="0"/>
              <w:jc w:val="right"/>
              <w:rPr>
                <w:sz w:val="17"/>
              </w:rPr>
            </w:pPr>
            <w:r>
              <w:rPr>
                <w:sz w:val="17"/>
              </w:rPr>
              <w:t>3 155</w:t>
            </w:r>
          </w:p>
        </w:tc>
        <w:tc>
          <w:tcPr>
            <w:tcW w:w="1044" w:type="dxa"/>
          </w:tcPr>
          <w:p w:rsidR="00000000" w:rsidRDefault="00000000">
            <w:pPr>
              <w:pStyle w:val="BodyTextIndent2"/>
              <w:spacing w:after="120"/>
              <w:ind w:left="0" w:firstLine="0"/>
              <w:jc w:val="right"/>
              <w:rPr>
                <w:sz w:val="17"/>
              </w:rPr>
            </w:pPr>
            <w:r>
              <w:rPr>
                <w:sz w:val="17"/>
              </w:rPr>
              <w:t>2 976</w:t>
            </w:r>
          </w:p>
        </w:tc>
        <w:tc>
          <w:tcPr>
            <w:tcW w:w="1071" w:type="dxa"/>
          </w:tcPr>
          <w:p w:rsidR="00000000" w:rsidRDefault="00000000">
            <w:pPr>
              <w:pStyle w:val="BodyTextIndent2"/>
              <w:spacing w:after="120"/>
              <w:ind w:left="0" w:firstLine="0"/>
              <w:jc w:val="right"/>
              <w:rPr>
                <w:sz w:val="17"/>
              </w:rPr>
            </w:pPr>
            <w:r>
              <w:rPr>
                <w:sz w:val="17"/>
              </w:rPr>
              <w:t>3 034</w:t>
            </w:r>
          </w:p>
        </w:tc>
      </w:tr>
      <w:tr w:rsidR="00000000">
        <w:tblPrEx>
          <w:tblCellMar>
            <w:top w:w="0" w:type="dxa"/>
            <w:bottom w:w="0" w:type="dxa"/>
          </w:tblCellMar>
        </w:tblPrEx>
        <w:tc>
          <w:tcPr>
            <w:tcW w:w="3636" w:type="dxa"/>
          </w:tcPr>
          <w:p w:rsidR="00000000" w:rsidRDefault="00000000">
            <w:pPr>
              <w:pStyle w:val="BodyTextIndent2"/>
              <w:spacing w:after="120"/>
              <w:ind w:left="0" w:firstLine="0"/>
              <w:jc w:val="left"/>
              <w:rPr>
                <w:sz w:val="17"/>
              </w:rPr>
            </w:pPr>
            <w:r>
              <w:rPr>
                <w:sz w:val="17"/>
              </w:rPr>
              <w:t>Women’s advisory units</w:t>
            </w:r>
          </w:p>
        </w:tc>
        <w:tc>
          <w:tcPr>
            <w:tcW w:w="936" w:type="dxa"/>
          </w:tcPr>
          <w:p w:rsidR="00000000" w:rsidRDefault="00000000">
            <w:pPr>
              <w:pStyle w:val="BodyTextIndent2"/>
              <w:spacing w:after="120"/>
              <w:ind w:left="0" w:firstLine="0"/>
              <w:jc w:val="right"/>
              <w:rPr>
                <w:sz w:val="17"/>
              </w:rPr>
            </w:pPr>
            <w:r>
              <w:rPr>
                <w:sz w:val="17"/>
              </w:rPr>
              <w:t>809</w:t>
            </w:r>
          </w:p>
        </w:tc>
        <w:tc>
          <w:tcPr>
            <w:tcW w:w="1062" w:type="dxa"/>
          </w:tcPr>
          <w:p w:rsidR="00000000" w:rsidRDefault="00000000">
            <w:pPr>
              <w:pStyle w:val="BodyTextIndent2"/>
              <w:spacing w:after="120"/>
              <w:ind w:left="0" w:firstLine="0"/>
              <w:jc w:val="right"/>
              <w:rPr>
                <w:sz w:val="17"/>
              </w:rPr>
            </w:pPr>
            <w:r>
              <w:rPr>
                <w:sz w:val="17"/>
              </w:rPr>
              <w:t>835</w:t>
            </w:r>
          </w:p>
        </w:tc>
        <w:tc>
          <w:tcPr>
            <w:tcW w:w="1071" w:type="dxa"/>
          </w:tcPr>
          <w:p w:rsidR="00000000" w:rsidRDefault="00000000">
            <w:pPr>
              <w:pStyle w:val="BodyTextIndent2"/>
              <w:spacing w:after="120"/>
              <w:ind w:left="0" w:firstLine="0"/>
              <w:jc w:val="right"/>
              <w:rPr>
                <w:sz w:val="17"/>
              </w:rPr>
            </w:pPr>
            <w:r>
              <w:rPr>
                <w:sz w:val="17"/>
              </w:rPr>
              <w:t>853</w:t>
            </w:r>
          </w:p>
        </w:tc>
        <w:tc>
          <w:tcPr>
            <w:tcW w:w="1062" w:type="dxa"/>
          </w:tcPr>
          <w:p w:rsidR="00000000" w:rsidRDefault="00000000">
            <w:pPr>
              <w:pStyle w:val="BodyTextIndent2"/>
              <w:spacing w:after="120"/>
              <w:ind w:left="0" w:firstLine="0"/>
              <w:jc w:val="right"/>
              <w:rPr>
                <w:sz w:val="17"/>
              </w:rPr>
            </w:pPr>
            <w:r>
              <w:rPr>
                <w:sz w:val="17"/>
              </w:rPr>
              <w:t>834</w:t>
            </w:r>
          </w:p>
        </w:tc>
        <w:tc>
          <w:tcPr>
            <w:tcW w:w="1044" w:type="dxa"/>
          </w:tcPr>
          <w:p w:rsidR="00000000" w:rsidRDefault="00000000">
            <w:pPr>
              <w:pStyle w:val="BodyTextIndent2"/>
              <w:spacing w:after="120"/>
              <w:ind w:left="0" w:firstLine="0"/>
              <w:jc w:val="right"/>
              <w:rPr>
                <w:sz w:val="17"/>
              </w:rPr>
            </w:pPr>
            <w:r>
              <w:rPr>
                <w:sz w:val="17"/>
              </w:rPr>
              <w:t>743</w:t>
            </w:r>
          </w:p>
        </w:tc>
        <w:tc>
          <w:tcPr>
            <w:tcW w:w="1071" w:type="dxa"/>
          </w:tcPr>
          <w:p w:rsidR="00000000" w:rsidRDefault="00000000">
            <w:pPr>
              <w:pStyle w:val="BodyTextIndent2"/>
              <w:spacing w:after="120"/>
              <w:ind w:left="0" w:firstLine="0"/>
              <w:jc w:val="right"/>
              <w:rPr>
                <w:sz w:val="17"/>
              </w:rPr>
            </w:pPr>
            <w:r>
              <w:rPr>
                <w:sz w:val="17"/>
              </w:rPr>
              <w:t>753</w:t>
            </w:r>
          </w:p>
        </w:tc>
      </w:tr>
      <w:tr w:rsidR="00000000">
        <w:tblPrEx>
          <w:tblCellMar>
            <w:top w:w="0" w:type="dxa"/>
            <w:bottom w:w="0" w:type="dxa"/>
          </w:tblCellMar>
        </w:tblPrEx>
        <w:tc>
          <w:tcPr>
            <w:tcW w:w="3636" w:type="dxa"/>
          </w:tcPr>
          <w:p w:rsidR="00000000" w:rsidRDefault="00000000">
            <w:pPr>
              <w:pStyle w:val="BodyTextIndent2"/>
              <w:spacing w:after="120"/>
              <w:ind w:left="0" w:firstLine="0"/>
              <w:jc w:val="left"/>
              <w:rPr>
                <w:sz w:val="17"/>
              </w:rPr>
            </w:pPr>
            <w:r>
              <w:rPr>
                <w:sz w:val="17"/>
              </w:rPr>
              <w:t>Number of maternity homes</w:t>
            </w:r>
          </w:p>
        </w:tc>
        <w:tc>
          <w:tcPr>
            <w:tcW w:w="936" w:type="dxa"/>
          </w:tcPr>
          <w:p w:rsidR="00000000" w:rsidRDefault="00000000">
            <w:pPr>
              <w:pStyle w:val="BodyTextIndent2"/>
              <w:spacing w:after="120"/>
              <w:ind w:left="0" w:firstLine="0"/>
              <w:jc w:val="right"/>
              <w:rPr>
                <w:sz w:val="17"/>
              </w:rPr>
            </w:pPr>
            <w:r>
              <w:rPr>
                <w:sz w:val="17"/>
              </w:rPr>
              <w:t>…</w:t>
            </w:r>
          </w:p>
        </w:tc>
        <w:tc>
          <w:tcPr>
            <w:tcW w:w="1062" w:type="dxa"/>
          </w:tcPr>
          <w:p w:rsidR="00000000" w:rsidRDefault="00000000">
            <w:pPr>
              <w:pStyle w:val="BodyTextIndent2"/>
              <w:spacing w:after="120"/>
              <w:ind w:left="0" w:firstLine="0"/>
              <w:jc w:val="right"/>
              <w:rPr>
                <w:sz w:val="17"/>
              </w:rPr>
            </w:pPr>
            <w:r>
              <w:rPr>
                <w:sz w:val="17"/>
              </w:rPr>
              <w:t>…</w:t>
            </w:r>
          </w:p>
        </w:tc>
        <w:tc>
          <w:tcPr>
            <w:tcW w:w="1071" w:type="dxa"/>
          </w:tcPr>
          <w:p w:rsidR="00000000" w:rsidRDefault="00000000">
            <w:pPr>
              <w:pStyle w:val="BodyTextIndent2"/>
              <w:spacing w:after="120"/>
              <w:ind w:left="0" w:firstLine="0"/>
              <w:jc w:val="right"/>
              <w:rPr>
                <w:sz w:val="17"/>
              </w:rPr>
            </w:pPr>
            <w:r>
              <w:rPr>
                <w:sz w:val="17"/>
              </w:rPr>
              <w:t>44</w:t>
            </w:r>
          </w:p>
        </w:tc>
        <w:tc>
          <w:tcPr>
            <w:tcW w:w="1062" w:type="dxa"/>
          </w:tcPr>
          <w:p w:rsidR="00000000" w:rsidRDefault="00000000">
            <w:pPr>
              <w:pStyle w:val="BodyTextIndent2"/>
              <w:spacing w:after="120"/>
              <w:ind w:left="0" w:firstLine="0"/>
              <w:jc w:val="right"/>
              <w:rPr>
                <w:sz w:val="17"/>
              </w:rPr>
            </w:pPr>
            <w:r>
              <w:rPr>
                <w:sz w:val="17"/>
              </w:rPr>
              <w:t>38</w:t>
            </w:r>
          </w:p>
        </w:tc>
        <w:tc>
          <w:tcPr>
            <w:tcW w:w="1044" w:type="dxa"/>
          </w:tcPr>
          <w:p w:rsidR="00000000" w:rsidRDefault="00000000">
            <w:pPr>
              <w:pStyle w:val="BodyTextIndent2"/>
              <w:spacing w:after="120"/>
              <w:ind w:left="0" w:firstLine="0"/>
              <w:jc w:val="right"/>
              <w:rPr>
                <w:sz w:val="17"/>
              </w:rPr>
            </w:pPr>
            <w:r>
              <w:rPr>
                <w:sz w:val="17"/>
              </w:rPr>
              <w:t>39</w:t>
            </w:r>
          </w:p>
        </w:tc>
        <w:tc>
          <w:tcPr>
            <w:tcW w:w="1071" w:type="dxa"/>
          </w:tcPr>
          <w:p w:rsidR="00000000" w:rsidRDefault="00000000">
            <w:pPr>
              <w:pStyle w:val="BodyTextIndent2"/>
              <w:spacing w:after="120"/>
              <w:ind w:left="0" w:firstLine="0"/>
              <w:jc w:val="right"/>
              <w:rPr>
                <w:sz w:val="17"/>
              </w:rPr>
            </w:pPr>
            <w:r>
              <w:rPr>
                <w:sz w:val="17"/>
              </w:rPr>
              <w:t>40</w:t>
            </w:r>
          </w:p>
        </w:tc>
      </w:tr>
      <w:tr w:rsidR="00000000">
        <w:tblPrEx>
          <w:tblCellMar>
            <w:top w:w="0" w:type="dxa"/>
            <w:bottom w:w="0" w:type="dxa"/>
          </w:tblCellMar>
        </w:tblPrEx>
        <w:tc>
          <w:tcPr>
            <w:tcW w:w="3636" w:type="dxa"/>
          </w:tcPr>
          <w:p w:rsidR="00000000" w:rsidRDefault="00000000">
            <w:pPr>
              <w:pStyle w:val="BodyTextIndent2"/>
              <w:spacing w:after="120"/>
              <w:ind w:left="0" w:firstLine="0"/>
              <w:jc w:val="left"/>
              <w:rPr>
                <w:sz w:val="17"/>
              </w:rPr>
            </w:pPr>
            <w:r>
              <w:rPr>
                <w:sz w:val="17"/>
              </w:rPr>
              <w:t>Number of beds for women in pregnancy and the postnatal period</w:t>
            </w:r>
          </w:p>
        </w:tc>
        <w:tc>
          <w:tcPr>
            <w:tcW w:w="936" w:type="dxa"/>
          </w:tcPr>
          <w:p w:rsidR="00000000" w:rsidRDefault="00000000">
            <w:pPr>
              <w:pStyle w:val="BodyTextIndent2"/>
              <w:spacing w:after="120"/>
              <w:ind w:left="0" w:firstLine="0"/>
              <w:jc w:val="right"/>
              <w:rPr>
                <w:sz w:val="17"/>
              </w:rPr>
            </w:pPr>
            <w:r>
              <w:rPr>
                <w:sz w:val="17"/>
              </w:rPr>
              <w:t>18 582</w:t>
            </w:r>
          </w:p>
        </w:tc>
        <w:tc>
          <w:tcPr>
            <w:tcW w:w="1062" w:type="dxa"/>
          </w:tcPr>
          <w:p w:rsidR="00000000" w:rsidRDefault="00000000">
            <w:pPr>
              <w:pStyle w:val="BodyTextIndent2"/>
              <w:spacing w:after="120"/>
              <w:ind w:left="0" w:firstLine="0"/>
              <w:jc w:val="right"/>
              <w:rPr>
                <w:sz w:val="17"/>
              </w:rPr>
            </w:pPr>
            <w:r>
              <w:rPr>
                <w:sz w:val="17"/>
              </w:rPr>
              <w:t>17 751</w:t>
            </w:r>
          </w:p>
        </w:tc>
        <w:tc>
          <w:tcPr>
            <w:tcW w:w="1071" w:type="dxa"/>
          </w:tcPr>
          <w:p w:rsidR="00000000" w:rsidRDefault="00000000">
            <w:pPr>
              <w:pStyle w:val="BodyTextIndent2"/>
              <w:spacing w:after="120"/>
              <w:ind w:left="0" w:firstLine="0"/>
              <w:jc w:val="right"/>
              <w:rPr>
                <w:sz w:val="17"/>
              </w:rPr>
            </w:pPr>
            <w:r>
              <w:rPr>
                <w:sz w:val="17"/>
              </w:rPr>
              <w:t>16 515</w:t>
            </w:r>
          </w:p>
        </w:tc>
        <w:tc>
          <w:tcPr>
            <w:tcW w:w="1062" w:type="dxa"/>
          </w:tcPr>
          <w:p w:rsidR="00000000" w:rsidRDefault="00000000">
            <w:pPr>
              <w:pStyle w:val="BodyTextIndent2"/>
              <w:spacing w:after="120"/>
              <w:ind w:left="0" w:firstLine="0"/>
              <w:jc w:val="right"/>
              <w:rPr>
                <w:sz w:val="17"/>
              </w:rPr>
            </w:pPr>
            <w:r>
              <w:rPr>
                <w:sz w:val="17"/>
              </w:rPr>
              <w:t>13 813</w:t>
            </w:r>
          </w:p>
        </w:tc>
        <w:tc>
          <w:tcPr>
            <w:tcW w:w="1044" w:type="dxa"/>
          </w:tcPr>
          <w:p w:rsidR="00000000" w:rsidRDefault="00000000">
            <w:pPr>
              <w:pStyle w:val="BodyTextIndent2"/>
              <w:spacing w:after="120"/>
              <w:ind w:left="0" w:firstLine="0"/>
              <w:jc w:val="right"/>
              <w:rPr>
                <w:sz w:val="17"/>
              </w:rPr>
            </w:pPr>
            <w:r>
              <w:rPr>
                <w:sz w:val="17"/>
              </w:rPr>
              <w:t>11 493</w:t>
            </w:r>
          </w:p>
        </w:tc>
        <w:tc>
          <w:tcPr>
            <w:tcW w:w="1071" w:type="dxa"/>
          </w:tcPr>
          <w:p w:rsidR="00000000" w:rsidRDefault="00000000">
            <w:pPr>
              <w:pStyle w:val="BodyTextIndent2"/>
              <w:spacing w:after="120"/>
              <w:ind w:left="0" w:firstLine="0"/>
              <w:jc w:val="right"/>
              <w:rPr>
                <w:sz w:val="17"/>
              </w:rPr>
            </w:pPr>
            <w:r>
              <w:rPr>
                <w:sz w:val="17"/>
              </w:rPr>
              <w:t>10 615</w:t>
            </w:r>
          </w:p>
        </w:tc>
      </w:tr>
      <w:tr w:rsidR="00000000">
        <w:tblPrEx>
          <w:tblCellMar>
            <w:top w:w="0" w:type="dxa"/>
            <w:bottom w:w="0" w:type="dxa"/>
          </w:tblCellMar>
        </w:tblPrEx>
        <w:tc>
          <w:tcPr>
            <w:tcW w:w="3636" w:type="dxa"/>
          </w:tcPr>
          <w:p w:rsidR="00000000" w:rsidRDefault="00000000">
            <w:pPr>
              <w:pStyle w:val="BodyTextIndent2"/>
              <w:spacing w:after="120"/>
              <w:ind w:left="0" w:firstLine="0"/>
              <w:jc w:val="left"/>
              <w:rPr>
                <w:sz w:val="17"/>
              </w:rPr>
            </w:pPr>
            <w:r>
              <w:rPr>
                <w:sz w:val="17"/>
              </w:rPr>
              <w:t>Paediatric polyclinics and departments</w:t>
            </w:r>
          </w:p>
        </w:tc>
        <w:tc>
          <w:tcPr>
            <w:tcW w:w="936" w:type="dxa"/>
          </w:tcPr>
          <w:p w:rsidR="00000000" w:rsidRDefault="00000000">
            <w:pPr>
              <w:pStyle w:val="BodyTextIndent2"/>
              <w:spacing w:after="120"/>
              <w:ind w:left="0" w:firstLine="0"/>
              <w:jc w:val="right"/>
              <w:rPr>
                <w:sz w:val="17"/>
              </w:rPr>
            </w:pPr>
            <w:r>
              <w:rPr>
                <w:sz w:val="17"/>
              </w:rPr>
              <w:t>1 333</w:t>
            </w:r>
          </w:p>
        </w:tc>
        <w:tc>
          <w:tcPr>
            <w:tcW w:w="1062" w:type="dxa"/>
          </w:tcPr>
          <w:p w:rsidR="00000000" w:rsidRDefault="00000000">
            <w:pPr>
              <w:pStyle w:val="BodyTextIndent2"/>
              <w:spacing w:after="120"/>
              <w:ind w:left="0" w:firstLine="0"/>
              <w:jc w:val="right"/>
              <w:rPr>
                <w:sz w:val="17"/>
              </w:rPr>
            </w:pPr>
            <w:r>
              <w:rPr>
                <w:sz w:val="17"/>
              </w:rPr>
              <w:t>1 269</w:t>
            </w:r>
          </w:p>
        </w:tc>
        <w:tc>
          <w:tcPr>
            <w:tcW w:w="1071" w:type="dxa"/>
          </w:tcPr>
          <w:p w:rsidR="00000000" w:rsidRDefault="00000000">
            <w:pPr>
              <w:pStyle w:val="BodyTextIndent2"/>
              <w:spacing w:after="120"/>
              <w:ind w:left="0" w:firstLine="0"/>
              <w:jc w:val="right"/>
              <w:rPr>
                <w:sz w:val="17"/>
              </w:rPr>
            </w:pPr>
            <w:r>
              <w:rPr>
                <w:sz w:val="17"/>
              </w:rPr>
              <w:t>1 292</w:t>
            </w:r>
          </w:p>
        </w:tc>
        <w:tc>
          <w:tcPr>
            <w:tcW w:w="1062" w:type="dxa"/>
          </w:tcPr>
          <w:p w:rsidR="00000000" w:rsidRDefault="00000000">
            <w:pPr>
              <w:pStyle w:val="BodyTextIndent2"/>
              <w:spacing w:after="120"/>
              <w:ind w:left="0" w:firstLine="0"/>
              <w:jc w:val="right"/>
              <w:rPr>
                <w:sz w:val="17"/>
              </w:rPr>
            </w:pPr>
            <w:r>
              <w:rPr>
                <w:sz w:val="17"/>
              </w:rPr>
              <w:t>1 196</w:t>
            </w:r>
          </w:p>
        </w:tc>
        <w:tc>
          <w:tcPr>
            <w:tcW w:w="1044" w:type="dxa"/>
          </w:tcPr>
          <w:p w:rsidR="00000000" w:rsidRDefault="00000000">
            <w:pPr>
              <w:pStyle w:val="BodyTextIndent2"/>
              <w:spacing w:after="120"/>
              <w:ind w:left="0" w:firstLine="0"/>
              <w:jc w:val="right"/>
              <w:rPr>
                <w:sz w:val="17"/>
              </w:rPr>
            </w:pPr>
            <w:r>
              <w:rPr>
                <w:sz w:val="17"/>
              </w:rPr>
              <w:t>1 049</w:t>
            </w:r>
          </w:p>
        </w:tc>
        <w:tc>
          <w:tcPr>
            <w:tcW w:w="1071" w:type="dxa"/>
          </w:tcPr>
          <w:p w:rsidR="00000000" w:rsidRDefault="00000000">
            <w:pPr>
              <w:pStyle w:val="BodyTextIndent2"/>
              <w:spacing w:after="120"/>
              <w:ind w:left="0" w:firstLine="0"/>
              <w:jc w:val="right"/>
              <w:rPr>
                <w:sz w:val="17"/>
              </w:rPr>
            </w:pPr>
            <w:r>
              <w:rPr>
                <w:sz w:val="17"/>
              </w:rPr>
              <w:t>1 050</w:t>
            </w:r>
          </w:p>
        </w:tc>
      </w:tr>
      <w:tr w:rsidR="00000000">
        <w:tblPrEx>
          <w:tblCellMar>
            <w:top w:w="0" w:type="dxa"/>
            <w:bottom w:w="0" w:type="dxa"/>
          </w:tblCellMar>
        </w:tblPrEx>
        <w:tc>
          <w:tcPr>
            <w:tcW w:w="3636" w:type="dxa"/>
            <w:tcBorders>
              <w:bottom w:val="single" w:sz="12" w:space="0" w:color="auto"/>
            </w:tcBorders>
          </w:tcPr>
          <w:p w:rsidR="00000000" w:rsidRDefault="00000000">
            <w:pPr>
              <w:pStyle w:val="BodyTextIndent2"/>
              <w:spacing w:after="120"/>
              <w:ind w:left="0" w:firstLine="0"/>
              <w:jc w:val="left"/>
              <w:rPr>
                <w:sz w:val="17"/>
              </w:rPr>
            </w:pPr>
            <w:r>
              <w:rPr>
                <w:sz w:val="17"/>
              </w:rPr>
              <w:t>Number of paediatric hospital beds</w:t>
            </w:r>
          </w:p>
        </w:tc>
        <w:tc>
          <w:tcPr>
            <w:tcW w:w="936" w:type="dxa"/>
            <w:tcBorders>
              <w:bottom w:val="single" w:sz="12" w:space="0" w:color="auto"/>
            </w:tcBorders>
          </w:tcPr>
          <w:p w:rsidR="00000000" w:rsidRDefault="00000000">
            <w:pPr>
              <w:pStyle w:val="BodyTextIndent2"/>
              <w:spacing w:after="120"/>
              <w:ind w:left="0" w:firstLine="0"/>
              <w:jc w:val="right"/>
              <w:rPr>
                <w:sz w:val="17"/>
              </w:rPr>
            </w:pPr>
            <w:r>
              <w:rPr>
                <w:sz w:val="17"/>
              </w:rPr>
              <w:t>45 985</w:t>
            </w:r>
          </w:p>
        </w:tc>
        <w:tc>
          <w:tcPr>
            <w:tcW w:w="1062" w:type="dxa"/>
            <w:tcBorders>
              <w:bottom w:val="single" w:sz="12" w:space="0" w:color="auto"/>
            </w:tcBorders>
          </w:tcPr>
          <w:p w:rsidR="00000000" w:rsidRDefault="00000000">
            <w:pPr>
              <w:pStyle w:val="BodyTextIndent2"/>
              <w:spacing w:after="120"/>
              <w:ind w:left="0" w:firstLine="0"/>
              <w:jc w:val="right"/>
              <w:rPr>
                <w:sz w:val="17"/>
              </w:rPr>
            </w:pPr>
            <w:r>
              <w:rPr>
                <w:sz w:val="17"/>
              </w:rPr>
              <w:t>40 921</w:t>
            </w:r>
          </w:p>
        </w:tc>
        <w:tc>
          <w:tcPr>
            <w:tcW w:w="1071" w:type="dxa"/>
            <w:tcBorders>
              <w:bottom w:val="single" w:sz="12" w:space="0" w:color="auto"/>
            </w:tcBorders>
          </w:tcPr>
          <w:p w:rsidR="00000000" w:rsidRDefault="00000000">
            <w:pPr>
              <w:pStyle w:val="BodyTextIndent2"/>
              <w:spacing w:after="120"/>
              <w:ind w:left="0" w:firstLine="0"/>
              <w:jc w:val="right"/>
              <w:rPr>
                <w:sz w:val="17"/>
              </w:rPr>
            </w:pPr>
            <w:r>
              <w:rPr>
                <w:sz w:val="17"/>
              </w:rPr>
              <w:t>37 372</w:t>
            </w:r>
          </w:p>
        </w:tc>
        <w:tc>
          <w:tcPr>
            <w:tcW w:w="1062" w:type="dxa"/>
            <w:tcBorders>
              <w:bottom w:val="single" w:sz="12" w:space="0" w:color="auto"/>
            </w:tcBorders>
          </w:tcPr>
          <w:p w:rsidR="00000000" w:rsidRDefault="00000000">
            <w:pPr>
              <w:pStyle w:val="BodyTextIndent2"/>
              <w:spacing w:after="120"/>
              <w:ind w:left="0" w:firstLine="0"/>
              <w:jc w:val="right"/>
              <w:rPr>
                <w:sz w:val="17"/>
              </w:rPr>
            </w:pPr>
            <w:r>
              <w:rPr>
                <w:sz w:val="17"/>
              </w:rPr>
              <w:t>31 432</w:t>
            </w:r>
          </w:p>
        </w:tc>
        <w:tc>
          <w:tcPr>
            <w:tcW w:w="1044" w:type="dxa"/>
            <w:tcBorders>
              <w:bottom w:val="single" w:sz="12" w:space="0" w:color="auto"/>
            </w:tcBorders>
          </w:tcPr>
          <w:p w:rsidR="00000000" w:rsidRDefault="00000000">
            <w:pPr>
              <w:pStyle w:val="BodyTextIndent2"/>
              <w:spacing w:after="120"/>
              <w:ind w:left="0" w:firstLine="0"/>
              <w:jc w:val="right"/>
              <w:rPr>
                <w:sz w:val="17"/>
              </w:rPr>
            </w:pPr>
            <w:r>
              <w:rPr>
                <w:sz w:val="17"/>
              </w:rPr>
              <w:t>24 998</w:t>
            </w:r>
          </w:p>
        </w:tc>
        <w:tc>
          <w:tcPr>
            <w:tcW w:w="1071" w:type="dxa"/>
            <w:tcBorders>
              <w:bottom w:val="single" w:sz="12" w:space="0" w:color="auto"/>
            </w:tcBorders>
          </w:tcPr>
          <w:p w:rsidR="00000000" w:rsidRDefault="00000000">
            <w:pPr>
              <w:pStyle w:val="BodyTextIndent2"/>
              <w:spacing w:after="120"/>
              <w:ind w:left="0" w:firstLine="0"/>
              <w:jc w:val="right"/>
              <w:rPr>
                <w:sz w:val="17"/>
              </w:rPr>
            </w:pPr>
            <w:r>
              <w:rPr>
                <w:sz w:val="17"/>
              </w:rPr>
              <w:t>22 669</w:t>
            </w:r>
          </w:p>
        </w:tc>
      </w:tr>
    </w:tbl>
    <w:p w:rsidR="00000000" w:rsidRDefault="00000000">
      <w:pPr>
        <w:pStyle w:val="BodyTextIndent2"/>
        <w:spacing w:after="120"/>
        <w:ind w:left="0" w:firstLine="0"/>
      </w:pPr>
    </w:p>
    <w:p w:rsidR="00000000" w:rsidRDefault="00000000">
      <w:pPr>
        <w:pStyle w:val="BodyTextIndent2"/>
        <w:spacing w:after="120"/>
        <w:ind w:left="0" w:firstLine="0"/>
        <w:sectPr w:rsidR="00000000">
          <w:type w:val="continuous"/>
          <w:pgSz w:w="12240" w:h="15840"/>
          <w:pgMar w:top="1742" w:right="1195" w:bottom="1901" w:left="1195" w:header="576" w:footer="1037" w:gutter="0"/>
          <w:cols w:space="720"/>
          <w:docGrid w:linePitch="360"/>
        </w:sectPr>
      </w:pPr>
    </w:p>
    <w:p w:rsidR="00000000" w:rsidRDefault="00000000">
      <w:pPr>
        <w:pStyle w:val="BodyTextIndent2"/>
        <w:spacing w:after="120"/>
        <w:ind w:left="0" w:firstLine="0"/>
      </w:pPr>
      <w:r>
        <w:t>128.</w:t>
      </w:r>
      <w:r>
        <w:tab/>
        <w:t>Research carried out by the National Maternal and Child Health Research Centre indicates that by the age of 17 years over 60 per cent of adolescent girls have some form of health problem and over one third of them are under observation as a result of chronic diseases. The early diagnosis and treatment of pathology of the reproductive system in girl children and teenagers is therefore an urgent matter for the Republic.</w:t>
      </w:r>
    </w:p>
    <w:p w:rsidR="00000000" w:rsidRDefault="00000000">
      <w:pPr>
        <w:pStyle w:val="BodyTextIndent2"/>
        <w:spacing w:after="120"/>
        <w:ind w:left="0" w:firstLine="0"/>
      </w:pPr>
      <w:r>
        <w:tab/>
        <w:t>Only two thirds of pregnant women come under early observation in women’s advisory units. The overall attendance rate at such establishments has fallen by one third.</w:t>
      </w:r>
    </w:p>
    <w:p w:rsidR="00000000" w:rsidRDefault="00000000">
      <w:pPr>
        <w:pStyle w:val="BodyTextIndent2"/>
        <w:spacing w:after="120"/>
        <w:ind w:left="0" w:firstLine="0"/>
      </w:pPr>
      <w:r>
        <w:tab/>
        <w:t>In the past 10 years, anaemia among pregnant women has doubled and diseases of the kidneys and the cardiovascular system have increased by 70 per cent.</w:t>
      </w:r>
    </w:p>
    <w:p w:rsidR="00000000" w:rsidRDefault="00000000">
      <w:pPr>
        <w:pStyle w:val="BodyTextIndent2"/>
        <w:spacing w:after="120"/>
        <w:ind w:left="0" w:firstLine="0"/>
      </w:pPr>
      <w:r>
        <w:tab/>
        <w:t>Against the background of the low health indicator, the level of complications during pregnancy and childbirth is high; in 60 per cent of deliveries there is some form of complication and 288 out of every 1,000 newborns are ill at the time of birth.</w:t>
      </w:r>
    </w:p>
    <w:p w:rsidR="00000000" w:rsidRDefault="00000000">
      <w:pPr>
        <w:pStyle w:val="BodyTextIndent2"/>
        <w:spacing w:after="120"/>
        <w:ind w:left="0" w:firstLine="0"/>
      </w:pPr>
      <w:r>
        <w:t>129.</w:t>
      </w:r>
      <w:r>
        <w:tab/>
        <w:t>About 3.7 thousand gynaecologists (14.6 per thousand births) are working in Kazakhstan. Forty maternity homes are in operation in the Republic and there is a network of specialized hospitals, gynaecology and obstetrics departments within specialized hospitals, and the National Maternal and Child Health Research Centre. In addition to women’s advisory units, there are specialized outpatient clinics and nine medical and genetic units, and a start is being made on opening family planning units and marriage and family consultation units.</w:t>
      </w:r>
    </w:p>
    <w:p w:rsidR="00000000" w:rsidRDefault="00000000">
      <w:pPr>
        <w:pStyle w:val="D12r"/>
      </w:pPr>
    </w:p>
    <w:p w:rsidR="00000000" w:rsidRDefault="00000000">
      <w:pPr>
        <w:pStyle w:val="DH2"/>
        <w:ind w:left="475" w:hanging="475"/>
      </w:pPr>
      <w:r>
        <w:tab/>
        <w:t>Artificial insemination and embryo implantation</w:t>
      </w:r>
    </w:p>
    <w:p w:rsidR="00000000" w:rsidRDefault="00000000">
      <w:pPr>
        <w:pStyle w:val="D12r"/>
      </w:pPr>
    </w:p>
    <w:p w:rsidR="00000000" w:rsidRDefault="00000000">
      <w:pPr>
        <w:pStyle w:val="BodyTextIndent2"/>
        <w:spacing w:after="120"/>
        <w:ind w:left="0" w:firstLine="0"/>
      </w:pPr>
      <w:r>
        <w:t>130.</w:t>
      </w:r>
      <w:r>
        <w:tab/>
        <w:t>Article 33 of the Law on public health of 19 May 1997 permits artificial insemination or an embryo implantation operation subject to the joint consent in writing of a legally married couple. The same interventions are permitted for an unmarried woman in accordance with her wishes.</w:t>
      </w:r>
    </w:p>
    <w:p w:rsidR="00000000" w:rsidRDefault="00000000">
      <w:pPr>
        <w:pStyle w:val="BodyTextIndent2"/>
        <w:spacing w:after="120"/>
        <w:ind w:left="0" w:firstLine="0"/>
      </w:pPr>
      <w:r>
        <w:tab/>
        <w:t>The law provides for the anonymity of a donor and for confidentiality with respect to artificial insemination or an embryo implantation operation.</w:t>
      </w:r>
    </w:p>
    <w:p w:rsidR="00000000" w:rsidRDefault="00000000">
      <w:pPr>
        <w:pStyle w:val="DH2"/>
      </w:pPr>
      <w:r>
        <w:tab/>
        <w:t>Paediatric health care</w:t>
      </w:r>
    </w:p>
    <w:p w:rsidR="00000000" w:rsidRDefault="00000000">
      <w:pPr>
        <w:pStyle w:val="D12r"/>
      </w:pPr>
    </w:p>
    <w:p w:rsidR="00000000" w:rsidRDefault="00000000">
      <w:pPr>
        <w:pStyle w:val="BodyTextIndent2"/>
        <w:spacing w:after="120"/>
        <w:ind w:left="0" w:firstLine="0"/>
      </w:pPr>
      <w:r>
        <w:t>131.</w:t>
      </w:r>
      <w:r>
        <w:tab/>
        <w:t>The number of children with chronic diseases in Kazakhstan is currently increasing and child mortality remains at a high level. Up to 80 per cent of young children, mainly living in rural areas, suffer from anaemia, undernutrition or rickets, or are psychologically and physically retarded.</w:t>
      </w:r>
    </w:p>
    <w:p w:rsidR="00000000" w:rsidRDefault="00000000">
      <w:pPr>
        <w:pStyle w:val="BodyTextIndent2"/>
        <w:spacing w:after="120"/>
        <w:ind w:left="0" w:firstLine="0"/>
      </w:pPr>
      <w:r>
        <w:tab/>
        <w:t>Specialized foods for young children are not produced in the Republic and there are no regulations governing the supply of such items through import.</w:t>
      </w:r>
    </w:p>
    <w:p w:rsidR="00000000" w:rsidRDefault="00000000">
      <w:pPr>
        <w:pStyle w:val="BodyTextIndent2"/>
        <w:spacing w:after="120"/>
        <w:ind w:left="0" w:firstLine="0"/>
      </w:pPr>
      <w:r>
        <w:tab/>
        <w:t>A start was made in the 1960s on a plan for the large-scale immunization of children and in the 1970s and 1980s a significant reduction in infections was achieved by means of State deliveries of vaccines and a uniform well-organized immunization system. In 1992 the existing system collapsed, and the supply of vaccines to the Republic ceased. As a result, there was a sharp decrease in the planned vaccination of children, the immunization of adolescents and adults ceased, leading to an epidemic growth in the incidence of diphtheria and other vaccine-controlled infections and a significant increase in mortality from such diseases.</w:t>
      </w:r>
    </w:p>
    <w:p w:rsidR="00000000" w:rsidRDefault="00000000">
      <w:pPr>
        <w:pStyle w:val="BodyTextIndent2"/>
        <w:spacing w:after="120"/>
        <w:ind w:left="0" w:firstLine="0"/>
      </w:pPr>
      <w:r>
        <w:tab/>
        <w:t>The Government took certain measures to stabilize the situation, thereby lowering the incidence of certain infections. However, the epidemic situation in the country remains under strain, particularly as regards viral hepatitis A and respiratory and other diseases against which immunization is not carried out.</w:t>
      </w:r>
    </w:p>
    <w:p w:rsidR="00000000" w:rsidRDefault="00000000">
      <w:pPr>
        <w:pStyle w:val="BodyTextIndent2"/>
        <w:spacing w:after="120"/>
        <w:ind w:left="0" w:firstLine="0"/>
      </w:pPr>
      <w:r>
        <w:tab/>
        <w:t>A standard immunization programme has now been introduced in Kazakhstan which provides for the vaccination of children against seven major infections against which a high rate of vaccination has been achieved.</w:t>
      </w:r>
    </w:p>
    <w:p w:rsidR="00000000" w:rsidRDefault="00000000">
      <w:pPr>
        <w:pStyle w:val="D12r"/>
      </w:pPr>
    </w:p>
    <w:p w:rsidR="00000000" w:rsidRDefault="00000000">
      <w:pPr>
        <w:pStyle w:val="BodyTextIndent2"/>
        <w:spacing w:after="120"/>
        <w:ind w:left="0" w:firstLine="0"/>
        <w:rPr>
          <w:b/>
        </w:rPr>
      </w:pPr>
      <w:r>
        <w:tab/>
      </w:r>
      <w:r>
        <w:rPr>
          <w:b/>
        </w:rPr>
        <w:t>Article 13</w:t>
      </w:r>
    </w:p>
    <w:p w:rsidR="00000000" w:rsidRDefault="00000000">
      <w:pPr>
        <w:pStyle w:val="BodyTextIndent2"/>
        <w:spacing w:after="120"/>
        <w:ind w:left="0" w:firstLine="0"/>
        <w:rPr>
          <w:b/>
        </w:rPr>
      </w:pPr>
      <w:r>
        <w:rPr>
          <w:b/>
        </w:rPr>
        <w:tab/>
        <w:t>States Parties shall take all appropriate measures to eliminate discrimination against women in other areas of economic and social life in order to ensure, on a basis of equality of men and women, the same rights, in particular:</w:t>
      </w:r>
    </w:p>
    <w:p w:rsidR="00000000" w:rsidRDefault="00000000">
      <w:pPr>
        <w:pStyle w:val="BodyTextIndent2"/>
        <w:spacing w:after="120"/>
        <w:ind w:left="0" w:firstLine="0"/>
        <w:rPr>
          <w:b/>
        </w:rPr>
      </w:pPr>
      <w:r>
        <w:rPr>
          <w:b/>
        </w:rPr>
        <w:tab/>
        <w:t>(a)</w:t>
      </w:r>
      <w:r>
        <w:rPr>
          <w:b/>
        </w:rPr>
        <w:tab/>
        <w:t>The right to family benefits;</w:t>
      </w:r>
    </w:p>
    <w:p w:rsidR="00000000" w:rsidRDefault="00000000">
      <w:pPr>
        <w:pStyle w:val="BodyTextIndent2"/>
        <w:spacing w:after="120"/>
        <w:ind w:left="0" w:firstLine="0"/>
        <w:rPr>
          <w:b/>
        </w:rPr>
      </w:pPr>
      <w:r>
        <w:rPr>
          <w:b/>
        </w:rPr>
        <w:tab/>
        <w:t>(b)</w:t>
      </w:r>
      <w:r>
        <w:rPr>
          <w:b/>
        </w:rPr>
        <w:tab/>
        <w:t>The right to bank loans, mortgages and other forms of financial credit;</w:t>
      </w:r>
    </w:p>
    <w:p w:rsidR="00000000" w:rsidRDefault="00000000">
      <w:pPr>
        <w:pStyle w:val="BodyTextIndent2"/>
        <w:spacing w:after="120"/>
        <w:ind w:left="0" w:firstLine="0"/>
      </w:pPr>
      <w:r>
        <w:rPr>
          <w:b/>
        </w:rPr>
        <w:tab/>
        <w:t>(c)</w:t>
      </w:r>
      <w:r>
        <w:rPr>
          <w:b/>
        </w:rPr>
        <w:tab/>
        <w:t xml:space="preserve">The right to participate in recreational activities, sports and in all aspects of cultural life. </w:t>
      </w:r>
    </w:p>
    <w:p w:rsidR="00000000" w:rsidRDefault="00000000">
      <w:pPr>
        <w:pStyle w:val="D12r"/>
      </w:pPr>
    </w:p>
    <w:p w:rsidR="00000000" w:rsidRDefault="00000000">
      <w:pPr>
        <w:pStyle w:val="BodyTextIndent2"/>
        <w:keepNext/>
        <w:keepLines/>
        <w:spacing w:after="120"/>
        <w:ind w:left="0" w:firstLine="0"/>
        <w:rPr>
          <w:b/>
        </w:rPr>
      </w:pPr>
      <w:r>
        <w:rPr>
          <w:b/>
        </w:rPr>
        <w:tab/>
        <w:t>(a)</w:t>
      </w:r>
      <w:r>
        <w:rPr>
          <w:b/>
        </w:rPr>
        <w:tab/>
        <w:t>The right to family benefits;</w:t>
      </w:r>
    </w:p>
    <w:p w:rsidR="00000000" w:rsidRDefault="00000000">
      <w:pPr>
        <w:pStyle w:val="BodyTextIndent2"/>
        <w:keepNext/>
        <w:keepLines/>
        <w:spacing w:after="120"/>
        <w:ind w:left="0" w:firstLine="0"/>
      </w:pPr>
      <w:r>
        <w:t>132.</w:t>
      </w:r>
      <w:r>
        <w:tab/>
        <w:t>Men and women have equal rights to family benefits, as well as to social support in those cases where it exists.</w:t>
      </w:r>
    </w:p>
    <w:p w:rsidR="00000000" w:rsidRDefault="00000000">
      <w:pPr>
        <w:pStyle w:val="D12r"/>
      </w:pPr>
    </w:p>
    <w:p w:rsidR="00000000" w:rsidRDefault="00000000">
      <w:pPr>
        <w:pStyle w:val="BodyTextIndent2"/>
        <w:spacing w:after="120"/>
        <w:ind w:left="0" w:firstLine="0"/>
        <w:rPr>
          <w:b/>
        </w:rPr>
      </w:pPr>
      <w:r>
        <w:rPr>
          <w:b/>
        </w:rPr>
        <w:tab/>
        <w:t>(b)</w:t>
      </w:r>
      <w:r>
        <w:rPr>
          <w:b/>
        </w:rPr>
        <w:tab/>
        <w:t>The right to bank loans, mortgages and other forms of financial credit;</w:t>
      </w:r>
    </w:p>
    <w:p w:rsidR="00000000" w:rsidRDefault="00000000">
      <w:pPr>
        <w:pStyle w:val="BodyTextIndent2"/>
        <w:spacing w:after="120"/>
        <w:ind w:left="0" w:firstLine="0"/>
      </w:pPr>
      <w:r>
        <w:t>133.</w:t>
      </w:r>
      <w:r>
        <w:tab/>
        <w:t>In the economic and social life of Kazakhstan equal rights to obtain bank loans, mortgages and other forms of financial credit are ensured on the basis of equality of men and women.</w:t>
      </w:r>
    </w:p>
    <w:p w:rsidR="00000000" w:rsidRDefault="00000000">
      <w:pPr>
        <w:pStyle w:val="BodyTextIndent2"/>
        <w:spacing w:after="120"/>
        <w:ind w:left="0" w:firstLine="0"/>
      </w:pPr>
      <w:r>
        <w:tab/>
        <w:t>The system of State support and development of female entrepreneurship is currently in an initial stage of creation.</w:t>
      </w:r>
    </w:p>
    <w:p w:rsidR="00000000" w:rsidRDefault="00000000">
      <w:pPr>
        <w:pStyle w:val="BodyTextIndent2"/>
        <w:spacing w:after="120"/>
        <w:ind w:left="0" w:firstLine="0"/>
      </w:pPr>
      <w:r>
        <w:tab/>
        <w:t>The Republic’s Agency for the Support of Small Business has, on its own initiative, drawn up a draft programme for the development of female entrepreneurship in Kazakhstan for 1999-2000 in which proposals from the Businesswomen’s Association of Kazakhstan were taken into account.</w:t>
      </w:r>
    </w:p>
    <w:p w:rsidR="00000000" w:rsidRDefault="00000000">
      <w:pPr>
        <w:pStyle w:val="BodyTextIndent2"/>
        <w:spacing w:after="120"/>
        <w:ind w:left="0" w:firstLine="0"/>
      </w:pPr>
      <w:r>
        <w:tab/>
        <w:t>For the purposes of ensuring self-employment and the development of family and individual entrepreneurship, a micro-credit programme needs to be implemented for those women who are least well provided for, particularly in rural areas. In the period of transition to market relations, issues of optimizing women’s employment are of particular urgency. Working at home must become an important form of organizing women’s work and a way of distributing their time more rationally between socially useful activity and their social role in the family.</w:t>
      </w:r>
    </w:p>
    <w:p w:rsidR="00000000" w:rsidRDefault="00000000">
      <w:pPr>
        <w:pStyle w:val="BodyTextIndent2"/>
        <w:spacing w:after="120"/>
        <w:ind w:left="0" w:firstLine="0"/>
      </w:pPr>
      <w:r>
        <w:tab/>
        <w:t>The Government Micro-Credit Programme for the least well provided for citizens, begun in 1998, provides for issuing micro-loans in the amount of US$ 400 per person. By the middle of 1999, 16,207 micro-loans had been issued. Women accounted for 63 per cent of the recipients.</w:t>
      </w:r>
    </w:p>
    <w:p w:rsidR="00000000" w:rsidRDefault="00000000">
      <w:pPr>
        <w:pStyle w:val="D12r"/>
      </w:pPr>
    </w:p>
    <w:p w:rsidR="00000000" w:rsidRDefault="00000000">
      <w:pPr>
        <w:pStyle w:val="BodyTextIndent2"/>
        <w:spacing w:after="120"/>
        <w:ind w:left="0" w:firstLine="0"/>
        <w:rPr>
          <w:b/>
        </w:rPr>
      </w:pPr>
      <w:r>
        <w:rPr>
          <w:b/>
        </w:rPr>
        <w:tab/>
        <w:t>(c)</w:t>
      </w:r>
      <w:r>
        <w:rPr>
          <w:b/>
        </w:rPr>
        <w:tab/>
        <w:t>The right to participate in recreational activities, sports and in all aspects of cultural life.</w:t>
      </w:r>
    </w:p>
    <w:p w:rsidR="00000000" w:rsidRDefault="00000000">
      <w:pPr>
        <w:pStyle w:val="BodyTextIndent2"/>
        <w:spacing w:after="120"/>
        <w:ind w:left="0" w:firstLine="0"/>
      </w:pPr>
      <w:r>
        <w:t>134.</w:t>
      </w:r>
      <w:r>
        <w:tab/>
        <w:t>To judge from gender discrimination in sport and from the quantitative indicators for women going in for sport, it is clear that women are actively involved in a wide range of sports. The figures for 1998 show that 23,600 women were involved in the mass sports movement, representing 23 per cent of the total of those involved in amateur sport and physical culture in the Republic.</w:t>
      </w:r>
    </w:p>
    <w:p w:rsidR="00000000" w:rsidRDefault="00000000">
      <w:pPr>
        <w:pStyle w:val="BodyTextIndent2"/>
        <w:spacing w:after="120"/>
        <w:ind w:left="0" w:firstLine="0"/>
      </w:pPr>
      <w:r>
        <w:tab/>
        <w:t>The total number of those registered as members of the various national sports teams in the Republic of Kazakhstan is 815, and of those 292, or 35.8 per cent, are women. There is a revival of women’s cycling and water polo. Women have begun to take up sports which used to be considered exclusively male preserves, such as freestyle wrestling, boxing, football, weightlifting, judo and others.</w:t>
      </w:r>
    </w:p>
    <w:p w:rsidR="00000000" w:rsidRDefault="00000000">
      <w:pPr>
        <w:pStyle w:val="BodyTextIndent2"/>
        <w:spacing w:after="120"/>
        <w:ind w:left="0" w:firstLine="0"/>
      </w:pPr>
      <w:r>
        <w:tab/>
        <w:t>Some 14.4 per cent of State employees in the Department of Physical Culture and Sport are women.</w:t>
      </w:r>
    </w:p>
    <w:p w:rsidR="00000000" w:rsidRDefault="00000000">
      <w:pPr>
        <w:pStyle w:val="BodyTextIndent2"/>
        <w:spacing w:after="120"/>
        <w:ind w:left="0" w:firstLine="0"/>
      </w:pPr>
      <w:r>
        <w:tab/>
        <w:t>Kazakhstan’s sportswomen include Lyudmila Prokasheva, who won a bronze medal in skating at the Nagano Winter Olympics, N. Kovalenko, the 1999 women’s world champion in rifle shooting, and O. Vediasheva, the Asian downhill skiing champion. The women’s ice hockey team won bronze in the 1998 Asian Winter Games.</w:t>
      </w:r>
    </w:p>
    <w:p w:rsidR="00000000" w:rsidRDefault="00000000">
      <w:pPr>
        <w:pStyle w:val="D12r"/>
      </w:pPr>
    </w:p>
    <w:p w:rsidR="00000000" w:rsidRDefault="00000000">
      <w:pPr>
        <w:pStyle w:val="BodyTextIndent2"/>
        <w:spacing w:after="120"/>
        <w:ind w:left="0" w:firstLine="0"/>
        <w:rPr>
          <w:b/>
        </w:rPr>
      </w:pPr>
      <w:r>
        <w:tab/>
      </w:r>
      <w:r>
        <w:rPr>
          <w:b/>
        </w:rPr>
        <w:t>Article 14</w:t>
      </w:r>
    </w:p>
    <w:p w:rsidR="00000000" w:rsidRDefault="00000000">
      <w:pPr>
        <w:pStyle w:val="BodyTextIndent2"/>
        <w:spacing w:after="120"/>
        <w:ind w:left="0" w:firstLine="0"/>
        <w:rPr>
          <w:b/>
        </w:rPr>
      </w:pPr>
      <w:r>
        <w:rPr>
          <w:b/>
        </w:rPr>
        <w:t>1.</w:t>
      </w:r>
      <w:r>
        <w:rPr>
          <w:b/>
        </w:rPr>
        <w:tab/>
        <w:t>States Parties shall take into account the particular problems faced by rural women and significant roles which they play in the economic survival of their families, including their work in the non-monetized sectors of the economy and shall take all appropriate measures to ensure the application of the provisions of this Convention to women in rural areas.</w:t>
      </w:r>
    </w:p>
    <w:p w:rsidR="00000000" w:rsidRDefault="00000000">
      <w:pPr>
        <w:pStyle w:val="BodyTextIndent2"/>
        <w:spacing w:after="120"/>
        <w:ind w:left="0" w:firstLine="0"/>
        <w:rPr>
          <w:b/>
        </w:rPr>
      </w:pPr>
      <w:r>
        <w:rPr>
          <w:b/>
        </w:rPr>
        <w:t>2.</w:t>
      </w:r>
      <w:r>
        <w:rPr>
          <w:b/>
        </w:rPr>
        <w:tab/>
        <w:t>States Parties shall take all appropriate measures to eliminate discrimination against women in rural areas in order to ensure, on the basis of equality of men and women, that they participate in and benefit from rural development and, in particular, shall ensure to such women the right:</w:t>
      </w:r>
    </w:p>
    <w:p w:rsidR="00000000" w:rsidRDefault="00000000">
      <w:pPr>
        <w:pStyle w:val="BodyTextIndent2"/>
        <w:spacing w:after="120"/>
        <w:ind w:left="0" w:firstLine="0"/>
        <w:rPr>
          <w:b/>
        </w:rPr>
      </w:pPr>
      <w:r>
        <w:rPr>
          <w:b/>
        </w:rPr>
        <w:tab/>
        <w:t>(a)</w:t>
      </w:r>
      <w:r>
        <w:rPr>
          <w:b/>
        </w:rPr>
        <w:tab/>
        <w:t>To participate in the elaboration and implementation of development planning at all levels;</w:t>
      </w:r>
    </w:p>
    <w:p w:rsidR="00000000" w:rsidRDefault="00000000">
      <w:pPr>
        <w:pStyle w:val="BodyTextIndent2"/>
        <w:spacing w:after="120"/>
        <w:ind w:left="0" w:firstLine="0"/>
        <w:rPr>
          <w:b/>
        </w:rPr>
      </w:pPr>
      <w:r>
        <w:rPr>
          <w:b/>
        </w:rPr>
        <w:tab/>
        <w:t>(b)</w:t>
      </w:r>
      <w:r>
        <w:rPr>
          <w:b/>
        </w:rPr>
        <w:tab/>
        <w:t>To have access to adequate health-care facilities, including information, counseling and services in family planning;</w:t>
      </w:r>
    </w:p>
    <w:p w:rsidR="00000000" w:rsidRDefault="00000000">
      <w:pPr>
        <w:pStyle w:val="BodyTextIndent2"/>
        <w:spacing w:after="120"/>
        <w:ind w:left="0" w:firstLine="0"/>
        <w:rPr>
          <w:b/>
        </w:rPr>
      </w:pPr>
      <w:r>
        <w:rPr>
          <w:b/>
        </w:rPr>
        <w:tab/>
        <w:t>(c)</w:t>
      </w:r>
      <w:r>
        <w:rPr>
          <w:b/>
        </w:rPr>
        <w:tab/>
        <w:t>To benefit directly from social security programmes;</w:t>
      </w:r>
    </w:p>
    <w:p w:rsidR="00000000" w:rsidRDefault="00000000">
      <w:pPr>
        <w:pStyle w:val="BodyTextIndent2"/>
        <w:spacing w:after="120"/>
        <w:ind w:left="0" w:firstLine="0"/>
        <w:rPr>
          <w:b/>
        </w:rPr>
      </w:pPr>
      <w:r>
        <w:rPr>
          <w:b/>
        </w:rPr>
        <w:tab/>
        <w:t>(d)</w:t>
      </w:r>
      <w:r>
        <w:rPr>
          <w:b/>
        </w:rPr>
        <w:tab/>
        <w:t>To obtain all types of training and education, formal and non-formal, including that relating to functional literacy, as well as, inter alia, the benefit of all community and extension services, in order to increase their technical proficiency;</w:t>
      </w:r>
    </w:p>
    <w:p w:rsidR="00000000" w:rsidRDefault="00000000">
      <w:pPr>
        <w:pStyle w:val="BodyTextIndent2"/>
        <w:spacing w:after="120"/>
        <w:ind w:left="0" w:firstLine="0"/>
        <w:rPr>
          <w:b/>
        </w:rPr>
      </w:pPr>
      <w:r>
        <w:rPr>
          <w:b/>
        </w:rPr>
        <w:tab/>
        <w:t>(e)</w:t>
      </w:r>
      <w:r>
        <w:rPr>
          <w:b/>
        </w:rPr>
        <w:tab/>
        <w:t>To organize self-help groups and cooperatives in order to obtain equal access to economic opportunities through employment or self-employment;</w:t>
      </w:r>
    </w:p>
    <w:p w:rsidR="00000000" w:rsidRDefault="00000000">
      <w:pPr>
        <w:pStyle w:val="BodyTextIndent2"/>
        <w:spacing w:after="120"/>
        <w:ind w:left="0" w:firstLine="0"/>
        <w:rPr>
          <w:b/>
        </w:rPr>
      </w:pPr>
      <w:r>
        <w:rPr>
          <w:b/>
        </w:rPr>
        <w:tab/>
        <w:t>(f)</w:t>
      </w:r>
      <w:r>
        <w:rPr>
          <w:b/>
        </w:rPr>
        <w:tab/>
        <w:t>To participate in all community activities;</w:t>
      </w:r>
    </w:p>
    <w:p w:rsidR="00000000" w:rsidRDefault="00000000">
      <w:pPr>
        <w:pStyle w:val="BodyTextIndent2"/>
        <w:spacing w:after="120"/>
        <w:ind w:left="0" w:firstLine="0"/>
        <w:rPr>
          <w:b/>
        </w:rPr>
      </w:pPr>
      <w:r>
        <w:rPr>
          <w:b/>
        </w:rPr>
        <w:tab/>
        <w:t>(g)</w:t>
      </w:r>
      <w:r>
        <w:rPr>
          <w:b/>
        </w:rPr>
        <w:tab/>
        <w:t>To have access to agricultural credit and loans, marketing facilities, appropriate technology and equal treatment in land and agrarian reform as well as in land resettlement and schemes;</w:t>
      </w:r>
    </w:p>
    <w:p w:rsidR="00000000" w:rsidRDefault="00000000">
      <w:pPr>
        <w:pStyle w:val="BodyTextIndent2"/>
        <w:spacing w:after="120"/>
        <w:ind w:left="0" w:firstLine="0"/>
      </w:pPr>
      <w:r>
        <w:rPr>
          <w:b/>
        </w:rPr>
        <w:tab/>
        <w:t>(h)</w:t>
      </w:r>
      <w:r>
        <w:rPr>
          <w:b/>
        </w:rPr>
        <w:tab/>
        <w:t>To enjoy adequate living conditions, particularly in relation to housing, sanitation, electricity and water supply, transport and communications.</w:t>
      </w:r>
    </w:p>
    <w:p w:rsidR="00000000" w:rsidRDefault="00000000">
      <w:pPr>
        <w:pStyle w:val="D12r"/>
      </w:pPr>
    </w:p>
    <w:p w:rsidR="00000000" w:rsidRDefault="00000000">
      <w:pPr>
        <w:pStyle w:val="BodyTextIndent2"/>
        <w:spacing w:after="120"/>
        <w:ind w:left="0" w:firstLine="0"/>
      </w:pPr>
      <w:r>
        <w:rPr>
          <w:b/>
        </w:rPr>
        <w:t>1.</w:t>
      </w:r>
      <w:r>
        <w:rPr>
          <w:b/>
        </w:rPr>
        <w:tab/>
        <w:t>States Parties shall take into account the particular problems faced by rural women and the significant roles which they play in the economic survival of their families, including their work in the non-monetized sectors of the economy and shall take all appropriate measures to ensure the application of the provisions of this Convention to women in rural areas.</w:t>
      </w:r>
    </w:p>
    <w:p w:rsidR="00000000" w:rsidRDefault="00000000">
      <w:pPr>
        <w:pStyle w:val="BodyTextIndent2"/>
        <w:spacing w:after="120"/>
        <w:ind w:left="0" w:firstLine="0"/>
      </w:pPr>
      <w:r>
        <w:t>135.</w:t>
      </w:r>
      <w:r>
        <w:tab/>
        <w:t>Forty-four per cent of Kazakhstan’s population lives in rural areas. As of 1 January 1998, women made up 50.1 per cent of the total rural population.</w:t>
      </w:r>
    </w:p>
    <w:p w:rsidR="00000000" w:rsidRDefault="00000000">
      <w:pPr>
        <w:pStyle w:val="BodyTextIndent2"/>
        <w:spacing w:after="120"/>
        <w:ind w:left="0" w:firstLine="0"/>
      </w:pPr>
      <w:r>
        <w:tab/>
        <w:t>As of 1 January 1998, the number of unemployed in the rural areas was 93,314, 42,283 of whom were men and 51,031 women.</w:t>
      </w:r>
    </w:p>
    <w:p w:rsidR="00000000" w:rsidRDefault="00000000">
      <w:pPr>
        <w:pStyle w:val="BodyTextIndent2"/>
        <w:spacing w:after="120"/>
        <w:ind w:left="0" w:firstLine="0"/>
      </w:pPr>
      <w:r>
        <w:tab/>
        <w:t>The number of women in the rural areas who were unemployed for between 6 and 12 months was 12,689, or 24.9 per cent, and those out of work for more than a year came to 10,099 or 19.8 per cent.</w:t>
      </w:r>
    </w:p>
    <w:p w:rsidR="00000000" w:rsidRDefault="00000000">
      <w:pPr>
        <w:pStyle w:val="BodyTextIndent2"/>
        <w:spacing w:after="120"/>
        <w:ind w:left="0" w:firstLine="0"/>
      </w:pPr>
      <w:r>
        <w:tab/>
        <w:t>The average per capita monetary income in 1998 was 29,626 tenge, with the urban figure being 40,879 tenge and the rural figure 17,907 tenge.</w:t>
      </w:r>
    </w:p>
    <w:p w:rsidR="00000000" w:rsidRDefault="00000000">
      <w:pPr>
        <w:pStyle w:val="BodyTextIndent2"/>
        <w:spacing w:after="120"/>
        <w:ind w:left="0" w:firstLine="0"/>
      </w:pPr>
      <w:r>
        <w:tab/>
        <w:t>In agriculture the lowest average monthly wage was 3,704 tenge (in 1998), and the average per capita monetary income per month was 1,492 tenge (when the average subsistence minimum in Kazakhstan was 3,707 tenge).</w:t>
      </w:r>
    </w:p>
    <w:p w:rsidR="00000000" w:rsidRDefault="00000000">
      <w:pPr>
        <w:pStyle w:val="BodyTextIndent2"/>
        <w:spacing w:after="120"/>
        <w:ind w:left="0" w:firstLine="0"/>
      </w:pPr>
      <w:r>
        <w:tab/>
        <w:t>Some 57 per cent of all needy people in Kazakhstan live in rural areas.</w:t>
      </w:r>
    </w:p>
    <w:p w:rsidR="00000000" w:rsidRDefault="00000000">
      <w:pPr>
        <w:pStyle w:val="D12r"/>
      </w:pPr>
    </w:p>
    <w:p w:rsidR="00000000" w:rsidRDefault="00000000">
      <w:pPr>
        <w:pStyle w:val="BodyTextIndent2"/>
        <w:spacing w:after="120"/>
        <w:ind w:left="0" w:firstLine="0"/>
        <w:rPr>
          <w:b/>
        </w:rPr>
      </w:pPr>
      <w:r>
        <w:rPr>
          <w:b/>
        </w:rPr>
        <w:t>2.</w:t>
      </w:r>
      <w:r>
        <w:rPr>
          <w:b/>
        </w:rPr>
        <w:tab/>
        <w:t>States Parties shall take all appropriate measures to eliminate discrimination against women in rural areas in order to ensure, on the basis of equality of men and women, that they participate in and benefit from rural development and, in particular, shall ensure to such women the right:</w:t>
      </w:r>
    </w:p>
    <w:p w:rsidR="00000000" w:rsidRDefault="00000000">
      <w:pPr>
        <w:pStyle w:val="BodyTextIndent2"/>
        <w:spacing w:after="120"/>
        <w:ind w:left="0" w:firstLine="0"/>
        <w:rPr>
          <w:b/>
        </w:rPr>
      </w:pPr>
      <w:r>
        <w:rPr>
          <w:b/>
        </w:rPr>
        <w:tab/>
        <w:t>(a)</w:t>
      </w:r>
      <w:r>
        <w:rPr>
          <w:b/>
        </w:rPr>
        <w:tab/>
        <w:t>To participate in the elaboration and implementation of development planning at all levels;</w:t>
      </w:r>
    </w:p>
    <w:p w:rsidR="00000000" w:rsidRDefault="00000000">
      <w:pPr>
        <w:pStyle w:val="BodyTextIndent2"/>
        <w:spacing w:after="120"/>
        <w:ind w:left="0" w:firstLine="0"/>
      </w:pPr>
      <w:r>
        <w:t>136.</w:t>
      </w:r>
      <w:r>
        <w:tab/>
        <w:t xml:space="preserve">Participation is through elections to local representative bodies — </w:t>
      </w:r>
      <w:r>
        <w:rPr>
          <w:i/>
        </w:rPr>
        <w:t>maslikhats</w:t>
      </w:r>
      <w:r>
        <w:t xml:space="preserve">, where elected women deputies of </w:t>
      </w:r>
      <w:r>
        <w:rPr>
          <w:i/>
        </w:rPr>
        <w:t>maslikhats</w:t>
      </w:r>
      <w:r>
        <w:t xml:space="preserve"> take part in drawing up and implementing development plans at all levels.</w:t>
      </w:r>
    </w:p>
    <w:p w:rsidR="00000000" w:rsidRDefault="00000000">
      <w:pPr>
        <w:pStyle w:val="D12r"/>
      </w:pPr>
    </w:p>
    <w:p w:rsidR="00000000" w:rsidRDefault="00000000">
      <w:pPr>
        <w:pStyle w:val="BodyTextIndent2"/>
        <w:spacing w:after="120"/>
        <w:ind w:left="0" w:firstLine="0"/>
        <w:rPr>
          <w:b/>
        </w:rPr>
      </w:pPr>
      <w:r>
        <w:rPr>
          <w:b/>
        </w:rPr>
        <w:tab/>
        <w:t>(b)</w:t>
      </w:r>
      <w:r>
        <w:rPr>
          <w:b/>
        </w:rPr>
        <w:tab/>
        <w:t>To have access to adequate health-care facilities, including information, counseling and services in family planning;</w:t>
      </w:r>
    </w:p>
    <w:p w:rsidR="00000000" w:rsidRDefault="00000000">
      <w:pPr>
        <w:pStyle w:val="BodyTextIndent2"/>
        <w:spacing w:after="120"/>
        <w:ind w:left="0" w:firstLine="0"/>
      </w:pPr>
      <w:r>
        <w:t>137.</w:t>
      </w:r>
      <w:r>
        <w:tab/>
        <w:t>Rural inhabitants are in the most difficult situation; because of the socio-economic problems that have occurred they are not able to maintain an adequate diet. The majority lack general access to reproductive health services. A worsening in the provision of medical care to rural women has resulted in maternal mortality remaining at a very high level. The maternal mortality rate for the Republic is 77.5 per 100,000 live births, and 60 per cent of those deaths are of rural women. The predominant reasons for maternal mortality are, as in the past, abortions, obstetric haemorrhaging and pregnancy complications.</w:t>
      </w:r>
    </w:p>
    <w:p w:rsidR="00000000" w:rsidRDefault="00000000">
      <w:pPr>
        <w:pStyle w:val="BodyTextIndent2"/>
        <w:spacing w:after="120"/>
        <w:ind w:left="0" w:firstLine="0"/>
      </w:pPr>
      <w:r>
        <w:tab/>
        <w:t>The number of home births has increased, and providing help to pregnant women has become more difficult because of the increase in obstetric and gynaecological services for which charges are levied and the fact that they are less accessible for the socially vulnerable categories of the population.</w:t>
      </w:r>
    </w:p>
    <w:p w:rsidR="00000000" w:rsidRDefault="00000000">
      <w:pPr>
        <w:pStyle w:val="D12r"/>
      </w:pPr>
    </w:p>
    <w:p w:rsidR="00000000" w:rsidRDefault="00000000">
      <w:pPr>
        <w:pStyle w:val="BodyTextIndent2"/>
        <w:spacing w:after="120"/>
        <w:ind w:left="0" w:firstLine="0"/>
        <w:rPr>
          <w:b/>
        </w:rPr>
      </w:pPr>
      <w:r>
        <w:rPr>
          <w:b/>
        </w:rPr>
        <w:tab/>
        <w:t>(c)</w:t>
      </w:r>
      <w:r>
        <w:rPr>
          <w:b/>
        </w:rPr>
        <w:tab/>
        <w:t>To benefit directly from social programmes;</w:t>
      </w:r>
    </w:p>
    <w:p w:rsidR="00000000" w:rsidRDefault="00000000">
      <w:pPr>
        <w:pStyle w:val="BodyTextIndent2"/>
        <w:spacing w:after="120"/>
        <w:ind w:left="0" w:firstLine="0"/>
      </w:pPr>
      <w:r>
        <w:t>138.</w:t>
      </w:r>
      <w:r>
        <w:tab/>
        <w:t>The right to social insurance is extended to all citizens of Kazakhstan on an equal basis. For more details, see the commentary on article 11 (e) of the Convention.</w:t>
      </w:r>
    </w:p>
    <w:p w:rsidR="00000000" w:rsidRDefault="00000000">
      <w:pPr>
        <w:pStyle w:val="BodyTextIndent2"/>
        <w:spacing w:after="120"/>
        <w:ind w:left="0" w:firstLine="0"/>
      </w:pPr>
      <w:r>
        <w:t>139.</w:t>
      </w:r>
      <w:r>
        <w:tab/>
        <w:t>For specific categories of rural women certain privileges have been established, specifically:</w:t>
      </w:r>
    </w:p>
    <w:p w:rsidR="00000000" w:rsidRDefault="00000000">
      <w:pPr>
        <w:pStyle w:val="BodyTextIndent2"/>
        <w:spacing w:after="120"/>
        <w:ind w:left="0" w:firstLine="0"/>
      </w:pPr>
      <w:r>
        <w:tab/>
        <w:t>The law of 16 July 1996 established the retirement age for workers engaged in nomadic animal husbandry at 55 for men and 50 for women. Since 1 January 1998 pensions for those who have retired from nomadic animal husbandry are calculated on a common basis.</w:t>
      </w:r>
    </w:p>
    <w:p w:rsidR="00000000" w:rsidRDefault="00000000">
      <w:pPr>
        <w:pStyle w:val="BodyTextIndent2"/>
        <w:spacing w:after="120"/>
        <w:ind w:left="0" w:firstLine="0"/>
      </w:pPr>
      <w:r>
        <w:tab/>
        <w:t>The law on pension provisions in the Republic of Kazakhstan of 20 June 1997 gives women living in rural areas and who have given birth to five or more children and raised them up to the age of eight the right to a pension on reaching the age of fifty (as from 1 July 2001, from the age of 53).</w:t>
      </w:r>
    </w:p>
    <w:p w:rsidR="00000000" w:rsidRDefault="00000000">
      <w:pPr>
        <w:pStyle w:val="D12r"/>
      </w:pPr>
    </w:p>
    <w:p w:rsidR="00000000" w:rsidRDefault="00000000">
      <w:pPr>
        <w:pStyle w:val="BodyTextIndent2"/>
        <w:spacing w:after="120"/>
        <w:ind w:left="0" w:firstLine="0"/>
        <w:rPr>
          <w:b/>
        </w:rPr>
      </w:pPr>
      <w:r>
        <w:rPr>
          <w:b/>
        </w:rPr>
        <w:tab/>
        <w:t>(d)</w:t>
      </w:r>
      <w:r>
        <w:rPr>
          <w:b/>
        </w:rPr>
        <w:tab/>
        <w:t>To obtain all types of training and education, formal and non-formal, including that relating to functional literacy, as well as, inter alia, the benefit of all community and extension services, in order to increase their technical proficiency;</w:t>
      </w:r>
    </w:p>
    <w:p w:rsidR="00000000" w:rsidRDefault="00000000">
      <w:pPr>
        <w:pStyle w:val="BodyTextIndent2"/>
        <w:spacing w:after="120"/>
        <w:ind w:left="0" w:firstLine="0"/>
      </w:pPr>
      <w:r>
        <w:t>140.</w:t>
      </w:r>
      <w:r>
        <w:tab/>
        <w:t>The right to education and professional and other training is extended to all citizens of Kazakhstan on an equal basis. For more details see the commentary on article 10 (e) of the Convention.</w:t>
      </w:r>
    </w:p>
    <w:p w:rsidR="00000000" w:rsidRDefault="00000000">
      <w:pPr>
        <w:pStyle w:val="D12r"/>
      </w:pPr>
    </w:p>
    <w:p w:rsidR="00000000" w:rsidRDefault="00000000">
      <w:pPr>
        <w:pStyle w:val="BodyTextIndent2"/>
        <w:spacing w:after="120"/>
        <w:ind w:left="0" w:firstLine="0"/>
        <w:rPr>
          <w:b/>
        </w:rPr>
      </w:pPr>
      <w:r>
        <w:rPr>
          <w:b/>
        </w:rPr>
        <w:tab/>
        <w:t>(e)</w:t>
      </w:r>
      <w:r>
        <w:rPr>
          <w:b/>
        </w:rPr>
        <w:tab/>
        <w:t>To organize self-help groups and cooperatives in order to obtain equal access to economic opportunities through employment or self-employment;</w:t>
      </w:r>
    </w:p>
    <w:p w:rsidR="00000000" w:rsidRDefault="00000000">
      <w:pPr>
        <w:pStyle w:val="BodyTextIndent2"/>
        <w:spacing w:after="120"/>
        <w:ind w:left="0" w:firstLine="0"/>
      </w:pPr>
      <w:r>
        <w:t>141.</w:t>
      </w:r>
      <w:r>
        <w:tab/>
        <w:t>This right is guaranteed to women on general grounds, without any gender discrimination.</w:t>
      </w:r>
    </w:p>
    <w:p w:rsidR="00000000" w:rsidRDefault="00000000">
      <w:pPr>
        <w:pStyle w:val="D12r"/>
      </w:pPr>
    </w:p>
    <w:p w:rsidR="00000000" w:rsidRDefault="00000000">
      <w:pPr>
        <w:pStyle w:val="BodyTextIndent2"/>
        <w:spacing w:after="120"/>
        <w:ind w:left="0" w:firstLine="0"/>
        <w:rPr>
          <w:b/>
          <w:spacing w:val="0"/>
        </w:rPr>
      </w:pPr>
      <w:r>
        <w:rPr>
          <w:b/>
          <w:spacing w:val="0"/>
        </w:rPr>
        <w:tab/>
        <w:t>(f)</w:t>
      </w:r>
      <w:r>
        <w:rPr>
          <w:b/>
          <w:spacing w:val="0"/>
        </w:rPr>
        <w:tab/>
        <w:t>To participate in all community activities;</w:t>
      </w:r>
    </w:p>
    <w:p w:rsidR="00000000" w:rsidRDefault="00000000">
      <w:pPr>
        <w:pStyle w:val="BodyTextIndent2"/>
        <w:spacing w:after="120"/>
        <w:ind w:left="0" w:firstLine="0"/>
      </w:pPr>
      <w:r>
        <w:t>142.</w:t>
      </w:r>
      <w:r>
        <w:tab/>
        <w:t>This right is guaranteed to women on general grounds, without any gender discrimination.</w:t>
      </w:r>
    </w:p>
    <w:p w:rsidR="00000000" w:rsidRDefault="00000000">
      <w:pPr>
        <w:pStyle w:val="D12r"/>
      </w:pPr>
    </w:p>
    <w:p w:rsidR="00000000" w:rsidRDefault="00000000">
      <w:pPr>
        <w:pStyle w:val="BodyTextIndent2"/>
        <w:spacing w:after="120"/>
        <w:ind w:left="0" w:firstLine="0"/>
        <w:rPr>
          <w:b/>
        </w:rPr>
      </w:pPr>
      <w:r>
        <w:rPr>
          <w:b/>
        </w:rPr>
        <w:tab/>
        <w:t>(g)</w:t>
      </w:r>
      <w:r>
        <w:rPr>
          <w:b/>
        </w:rPr>
        <w:tab/>
        <w:t>To have access to agricultural credit and loans, marketing facilities, appropriate technology and equal treatment in land and agrarian reform as well as in land resettlement and schemes;</w:t>
      </w:r>
    </w:p>
    <w:p w:rsidR="00000000" w:rsidRDefault="00000000">
      <w:pPr>
        <w:pStyle w:val="BodyTextIndent2"/>
        <w:spacing w:after="120"/>
        <w:ind w:left="0" w:firstLine="0"/>
      </w:pPr>
      <w:r>
        <w:t>143.</w:t>
      </w:r>
      <w:r>
        <w:tab/>
        <w:t>The reforms being carried out in Kazakhstan apply equally to men and women.</w:t>
      </w:r>
    </w:p>
    <w:p w:rsidR="00000000" w:rsidRDefault="00000000">
      <w:pPr>
        <w:pStyle w:val="BodyTextIndent2"/>
        <w:spacing w:after="120"/>
        <w:ind w:left="0" w:firstLine="0"/>
      </w:pPr>
      <w:r>
        <w:tab/>
        <w:t>The Ministry of Agriculture has recommended to local authorities that they allocate plots of land on a priority basis to mothers with large families and to single mothers.</w:t>
      </w:r>
    </w:p>
    <w:p w:rsidR="00000000" w:rsidRDefault="00000000">
      <w:pPr>
        <w:pStyle w:val="D12r"/>
      </w:pPr>
    </w:p>
    <w:p w:rsidR="00000000" w:rsidRDefault="00000000">
      <w:pPr>
        <w:pStyle w:val="BodyTextIndent2"/>
        <w:spacing w:after="120"/>
        <w:ind w:left="0" w:firstLine="0"/>
        <w:rPr>
          <w:b/>
        </w:rPr>
      </w:pPr>
      <w:r>
        <w:rPr>
          <w:b/>
        </w:rPr>
        <w:tab/>
        <w:t>(h)</w:t>
      </w:r>
      <w:r>
        <w:rPr>
          <w:b/>
        </w:rPr>
        <w:tab/>
        <w:t>To enjoy adequate living conditions, particularly in relation to housing, sanitation, electricity and water supply, transport and communications.</w:t>
      </w:r>
    </w:p>
    <w:p w:rsidR="00000000" w:rsidRDefault="00000000">
      <w:pPr>
        <w:pStyle w:val="BodyTextIndent2"/>
        <w:spacing w:after="120"/>
        <w:ind w:left="0" w:firstLine="0"/>
      </w:pPr>
      <w:r>
        <w:t>144.</w:t>
      </w:r>
      <w:r>
        <w:tab/>
        <w:t>At present, because of the socio-economic problems that have arisen, rural women are not able to maintain an adequate diet. Because of the high cost of transport, and at times the lack of transport, they are unable to get to district and regional centres sufficiently quickly for medical examination and timely hospitalization.</w:t>
      </w:r>
    </w:p>
    <w:p w:rsidR="00000000" w:rsidRDefault="00000000">
      <w:pPr>
        <w:pStyle w:val="BodyTextIndent2"/>
        <w:spacing w:after="120"/>
        <w:ind w:left="0" w:firstLine="0"/>
        <w:sectPr w:rsidR="00000000">
          <w:type w:val="continuous"/>
          <w:pgSz w:w="12240" w:h="15840"/>
          <w:pgMar w:top="1742" w:right="1195" w:bottom="1901" w:left="1195" w:header="576" w:footer="1037" w:gutter="0"/>
          <w:cols w:num="2" w:space="245"/>
          <w:docGrid w:linePitch="360"/>
        </w:sectPr>
      </w:pPr>
    </w:p>
    <w:p w:rsidR="00000000" w:rsidRDefault="00000000">
      <w:pPr>
        <w:pStyle w:val="BodyTextIndent2"/>
        <w:ind w:left="0" w:firstLine="0"/>
      </w:pPr>
      <w:r>
        <w:t>Table 37</w:t>
      </w:r>
    </w:p>
    <w:p w:rsidR="00000000" w:rsidRDefault="00000000">
      <w:pPr>
        <w:pStyle w:val="BodyTextIndent2"/>
        <w:spacing w:after="120"/>
        <w:ind w:left="0" w:firstLine="0"/>
        <w:jc w:val="left"/>
        <w:rPr>
          <w:b/>
        </w:rPr>
      </w:pPr>
      <w:r>
        <w:rPr>
          <w:b/>
        </w:rPr>
        <w:t>Services and utilities of the Urban and Rural Housing Fund at year-end in percentage terms</w:t>
      </w:r>
    </w:p>
    <w:p w:rsidR="00000000" w:rsidRDefault="00000000">
      <w:pPr>
        <w:pStyle w:val="D12r"/>
      </w:pPr>
    </w:p>
    <w:tbl>
      <w:tblPr>
        <w:tblW w:w="0" w:type="auto"/>
        <w:tblInd w:w="-7" w:type="dxa"/>
        <w:tblLayout w:type="fixed"/>
        <w:tblLook w:val="0000" w:firstRow="0" w:lastRow="0" w:firstColumn="0" w:lastColumn="0" w:noHBand="0" w:noVBand="0"/>
      </w:tblPr>
      <w:tblGrid>
        <w:gridCol w:w="3699"/>
        <w:gridCol w:w="990"/>
        <w:gridCol w:w="990"/>
        <w:gridCol w:w="1024"/>
        <w:gridCol w:w="236"/>
        <w:gridCol w:w="990"/>
        <w:gridCol w:w="990"/>
        <w:gridCol w:w="981"/>
      </w:tblGrid>
      <w:tr w:rsidR="00000000">
        <w:tblPrEx>
          <w:tblCellMar>
            <w:top w:w="0" w:type="dxa"/>
            <w:bottom w:w="0" w:type="dxa"/>
          </w:tblCellMar>
        </w:tblPrEx>
        <w:trPr>
          <w:cantSplit/>
        </w:trPr>
        <w:tc>
          <w:tcPr>
            <w:tcW w:w="3699" w:type="dxa"/>
            <w:tcBorders>
              <w:top w:val="single" w:sz="4" w:space="0" w:color="auto"/>
            </w:tcBorders>
          </w:tcPr>
          <w:p w:rsidR="00000000" w:rsidRDefault="00000000">
            <w:pPr>
              <w:pStyle w:val="BodyTextIndent2"/>
              <w:spacing w:after="120"/>
              <w:ind w:left="0" w:firstLine="0"/>
              <w:jc w:val="left"/>
              <w:rPr>
                <w:i/>
                <w:sz w:val="14"/>
              </w:rPr>
            </w:pPr>
          </w:p>
        </w:tc>
        <w:tc>
          <w:tcPr>
            <w:tcW w:w="3004" w:type="dxa"/>
            <w:gridSpan w:val="3"/>
            <w:tcBorders>
              <w:top w:val="single" w:sz="4" w:space="0" w:color="auto"/>
              <w:bottom w:val="single" w:sz="4" w:space="0" w:color="auto"/>
            </w:tcBorders>
          </w:tcPr>
          <w:p w:rsidR="00000000" w:rsidRDefault="00000000">
            <w:pPr>
              <w:pStyle w:val="BodyTextIndent2"/>
              <w:spacing w:after="120"/>
              <w:ind w:left="0" w:firstLine="0"/>
              <w:jc w:val="center"/>
              <w:rPr>
                <w:i/>
                <w:sz w:val="14"/>
              </w:rPr>
            </w:pPr>
            <w:r>
              <w:rPr>
                <w:i/>
                <w:sz w:val="14"/>
              </w:rPr>
              <w:t>Urban</w:t>
            </w:r>
          </w:p>
        </w:tc>
        <w:tc>
          <w:tcPr>
            <w:tcW w:w="236" w:type="dxa"/>
            <w:tcBorders>
              <w:top w:val="single" w:sz="4" w:space="0" w:color="auto"/>
            </w:tcBorders>
          </w:tcPr>
          <w:p w:rsidR="00000000" w:rsidRDefault="00000000">
            <w:pPr>
              <w:pStyle w:val="BodyTextIndent2"/>
              <w:spacing w:after="120"/>
              <w:ind w:left="0" w:firstLine="0"/>
              <w:jc w:val="right"/>
              <w:rPr>
                <w:i/>
                <w:sz w:val="14"/>
              </w:rPr>
            </w:pPr>
          </w:p>
        </w:tc>
        <w:tc>
          <w:tcPr>
            <w:tcW w:w="2961" w:type="dxa"/>
            <w:gridSpan w:val="3"/>
            <w:tcBorders>
              <w:top w:val="single" w:sz="4" w:space="0" w:color="auto"/>
              <w:bottom w:val="single" w:sz="4" w:space="0" w:color="auto"/>
            </w:tcBorders>
          </w:tcPr>
          <w:p w:rsidR="00000000" w:rsidRDefault="00000000">
            <w:pPr>
              <w:pStyle w:val="BodyTextIndent2"/>
              <w:spacing w:after="120"/>
              <w:ind w:left="0" w:firstLine="0"/>
              <w:jc w:val="center"/>
              <w:rPr>
                <w:i/>
                <w:sz w:val="14"/>
              </w:rPr>
            </w:pPr>
            <w:r>
              <w:rPr>
                <w:i/>
                <w:sz w:val="14"/>
              </w:rPr>
              <w:t>Rural</w:t>
            </w:r>
          </w:p>
        </w:tc>
      </w:tr>
      <w:tr w:rsidR="00000000">
        <w:tblPrEx>
          <w:tblCellMar>
            <w:top w:w="0" w:type="dxa"/>
            <w:bottom w:w="0" w:type="dxa"/>
          </w:tblCellMar>
        </w:tblPrEx>
        <w:tc>
          <w:tcPr>
            <w:tcW w:w="3699" w:type="dxa"/>
            <w:tcBorders>
              <w:bottom w:val="single" w:sz="12" w:space="0" w:color="auto"/>
            </w:tcBorders>
          </w:tcPr>
          <w:p w:rsidR="00000000" w:rsidRDefault="00000000">
            <w:pPr>
              <w:pStyle w:val="BodyTextIndent2"/>
              <w:spacing w:after="120"/>
              <w:ind w:left="0" w:firstLine="0"/>
              <w:jc w:val="left"/>
              <w:rPr>
                <w:i/>
                <w:sz w:val="14"/>
              </w:rPr>
            </w:pPr>
          </w:p>
        </w:tc>
        <w:tc>
          <w:tcPr>
            <w:tcW w:w="990"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1995</w:t>
            </w:r>
          </w:p>
        </w:tc>
        <w:tc>
          <w:tcPr>
            <w:tcW w:w="990"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1996</w:t>
            </w:r>
          </w:p>
        </w:tc>
        <w:tc>
          <w:tcPr>
            <w:tcW w:w="1024"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1997</w:t>
            </w:r>
          </w:p>
        </w:tc>
        <w:tc>
          <w:tcPr>
            <w:tcW w:w="236" w:type="dxa"/>
            <w:tcBorders>
              <w:bottom w:val="single" w:sz="12" w:space="0" w:color="auto"/>
            </w:tcBorders>
          </w:tcPr>
          <w:p w:rsidR="00000000" w:rsidRDefault="00000000">
            <w:pPr>
              <w:pStyle w:val="BodyTextIndent2"/>
              <w:spacing w:after="120"/>
              <w:ind w:left="0" w:firstLine="0"/>
              <w:jc w:val="right"/>
              <w:rPr>
                <w:i/>
                <w:sz w:val="14"/>
              </w:rPr>
            </w:pPr>
          </w:p>
        </w:tc>
        <w:tc>
          <w:tcPr>
            <w:tcW w:w="990"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1995</w:t>
            </w:r>
          </w:p>
        </w:tc>
        <w:tc>
          <w:tcPr>
            <w:tcW w:w="990"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1996</w:t>
            </w:r>
          </w:p>
        </w:tc>
        <w:tc>
          <w:tcPr>
            <w:tcW w:w="981" w:type="dxa"/>
            <w:tcBorders>
              <w:top w:val="single" w:sz="4" w:space="0" w:color="auto"/>
              <w:bottom w:val="single" w:sz="12" w:space="0" w:color="auto"/>
            </w:tcBorders>
          </w:tcPr>
          <w:p w:rsidR="00000000" w:rsidRDefault="00000000">
            <w:pPr>
              <w:pStyle w:val="BodyTextIndent2"/>
              <w:spacing w:after="120"/>
              <w:ind w:left="0" w:firstLine="0"/>
              <w:jc w:val="right"/>
              <w:rPr>
                <w:i/>
                <w:sz w:val="14"/>
              </w:rPr>
            </w:pPr>
            <w:r>
              <w:rPr>
                <w:i/>
                <w:sz w:val="14"/>
              </w:rPr>
              <w:t>1997</w:t>
            </w:r>
          </w:p>
        </w:tc>
      </w:tr>
      <w:tr w:rsidR="00000000">
        <w:tblPrEx>
          <w:tblCellMar>
            <w:top w:w="0" w:type="dxa"/>
            <w:bottom w:w="0" w:type="dxa"/>
          </w:tblCellMar>
        </w:tblPrEx>
        <w:tc>
          <w:tcPr>
            <w:tcW w:w="3699" w:type="dxa"/>
            <w:tcBorders>
              <w:top w:val="single" w:sz="12" w:space="0" w:color="auto"/>
            </w:tcBorders>
          </w:tcPr>
          <w:p w:rsidR="00000000" w:rsidRDefault="00000000">
            <w:pPr>
              <w:pStyle w:val="BodyTextIndent2"/>
              <w:spacing w:after="120"/>
              <w:ind w:left="0" w:firstLine="0"/>
              <w:jc w:val="left"/>
              <w:rPr>
                <w:sz w:val="17"/>
              </w:rPr>
            </w:pPr>
            <w:r>
              <w:rPr>
                <w:sz w:val="17"/>
              </w:rPr>
              <w:t>Proportion of accommodation equipped with:</w:t>
            </w:r>
          </w:p>
        </w:tc>
        <w:tc>
          <w:tcPr>
            <w:tcW w:w="990" w:type="dxa"/>
            <w:tcBorders>
              <w:top w:val="single" w:sz="12" w:space="0" w:color="auto"/>
            </w:tcBorders>
          </w:tcPr>
          <w:p w:rsidR="00000000" w:rsidRDefault="00000000">
            <w:pPr>
              <w:pStyle w:val="BodyTextIndent2"/>
              <w:spacing w:after="120"/>
              <w:ind w:left="0" w:firstLine="0"/>
              <w:jc w:val="right"/>
              <w:rPr>
                <w:sz w:val="17"/>
              </w:rPr>
            </w:pPr>
          </w:p>
        </w:tc>
        <w:tc>
          <w:tcPr>
            <w:tcW w:w="990" w:type="dxa"/>
            <w:tcBorders>
              <w:top w:val="single" w:sz="12" w:space="0" w:color="auto"/>
            </w:tcBorders>
          </w:tcPr>
          <w:p w:rsidR="00000000" w:rsidRDefault="00000000">
            <w:pPr>
              <w:pStyle w:val="BodyTextIndent2"/>
              <w:spacing w:after="120"/>
              <w:ind w:left="0" w:firstLine="0"/>
              <w:jc w:val="right"/>
              <w:rPr>
                <w:sz w:val="17"/>
              </w:rPr>
            </w:pPr>
          </w:p>
        </w:tc>
        <w:tc>
          <w:tcPr>
            <w:tcW w:w="1024" w:type="dxa"/>
            <w:tcBorders>
              <w:top w:val="single" w:sz="12" w:space="0" w:color="auto"/>
            </w:tcBorders>
          </w:tcPr>
          <w:p w:rsidR="00000000" w:rsidRDefault="00000000">
            <w:pPr>
              <w:pStyle w:val="BodyTextIndent2"/>
              <w:spacing w:after="120"/>
              <w:ind w:left="0" w:firstLine="0"/>
              <w:jc w:val="right"/>
              <w:rPr>
                <w:sz w:val="17"/>
              </w:rPr>
            </w:pPr>
          </w:p>
        </w:tc>
        <w:tc>
          <w:tcPr>
            <w:tcW w:w="236" w:type="dxa"/>
            <w:tcBorders>
              <w:top w:val="single" w:sz="12" w:space="0" w:color="auto"/>
            </w:tcBorders>
          </w:tcPr>
          <w:p w:rsidR="00000000" w:rsidRDefault="00000000">
            <w:pPr>
              <w:pStyle w:val="BodyTextIndent2"/>
              <w:spacing w:after="120"/>
              <w:ind w:left="0" w:firstLine="0"/>
              <w:jc w:val="right"/>
              <w:rPr>
                <w:sz w:val="17"/>
              </w:rPr>
            </w:pPr>
          </w:p>
        </w:tc>
        <w:tc>
          <w:tcPr>
            <w:tcW w:w="990" w:type="dxa"/>
            <w:tcBorders>
              <w:top w:val="single" w:sz="12" w:space="0" w:color="auto"/>
            </w:tcBorders>
          </w:tcPr>
          <w:p w:rsidR="00000000" w:rsidRDefault="00000000">
            <w:pPr>
              <w:pStyle w:val="BodyTextIndent2"/>
              <w:spacing w:after="120"/>
              <w:ind w:left="0" w:firstLine="0"/>
              <w:jc w:val="right"/>
              <w:rPr>
                <w:sz w:val="17"/>
              </w:rPr>
            </w:pPr>
          </w:p>
        </w:tc>
        <w:tc>
          <w:tcPr>
            <w:tcW w:w="990" w:type="dxa"/>
            <w:tcBorders>
              <w:top w:val="single" w:sz="12" w:space="0" w:color="auto"/>
            </w:tcBorders>
          </w:tcPr>
          <w:p w:rsidR="00000000" w:rsidRDefault="00000000">
            <w:pPr>
              <w:pStyle w:val="BodyTextIndent2"/>
              <w:spacing w:after="120"/>
              <w:ind w:left="0" w:firstLine="0"/>
              <w:jc w:val="right"/>
              <w:rPr>
                <w:sz w:val="17"/>
              </w:rPr>
            </w:pPr>
          </w:p>
        </w:tc>
        <w:tc>
          <w:tcPr>
            <w:tcW w:w="981" w:type="dxa"/>
            <w:tcBorders>
              <w:top w:val="single" w:sz="12" w:space="0" w:color="auto"/>
            </w:tcBorders>
          </w:tcPr>
          <w:p w:rsidR="00000000" w:rsidRDefault="00000000">
            <w:pPr>
              <w:pStyle w:val="BodyTextIndent2"/>
              <w:spacing w:after="120"/>
              <w:ind w:left="0" w:firstLine="0"/>
              <w:jc w:val="right"/>
              <w:rPr>
                <w:sz w:val="17"/>
              </w:rPr>
            </w:pPr>
          </w:p>
        </w:tc>
      </w:tr>
      <w:tr w:rsidR="00000000">
        <w:tblPrEx>
          <w:tblCellMar>
            <w:top w:w="0" w:type="dxa"/>
            <w:bottom w:w="0" w:type="dxa"/>
          </w:tblCellMar>
        </w:tblPrEx>
        <w:tc>
          <w:tcPr>
            <w:tcW w:w="3699" w:type="dxa"/>
          </w:tcPr>
          <w:p w:rsidR="00000000" w:rsidRDefault="00000000">
            <w:pPr>
              <w:pStyle w:val="BodyTextIndent2"/>
              <w:spacing w:after="120"/>
              <w:ind w:left="0" w:firstLine="0"/>
              <w:jc w:val="left"/>
              <w:rPr>
                <w:sz w:val="17"/>
              </w:rPr>
            </w:pPr>
            <w:r>
              <w:rPr>
                <w:sz w:val="17"/>
              </w:rPr>
              <w:t>Running water</w:t>
            </w:r>
          </w:p>
        </w:tc>
        <w:tc>
          <w:tcPr>
            <w:tcW w:w="990" w:type="dxa"/>
          </w:tcPr>
          <w:p w:rsidR="00000000" w:rsidRDefault="00000000">
            <w:pPr>
              <w:pStyle w:val="BodyTextIndent2"/>
              <w:spacing w:after="120"/>
              <w:ind w:left="0" w:firstLine="0"/>
              <w:jc w:val="right"/>
              <w:rPr>
                <w:sz w:val="17"/>
              </w:rPr>
            </w:pPr>
            <w:r>
              <w:rPr>
                <w:sz w:val="17"/>
              </w:rPr>
              <w:t>76</w:t>
            </w:r>
          </w:p>
        </w:tc>
        <w:tc>
          <w:tcPr>
            <w:tcW w:w="990" w:type="dxa"/>
          </w:tcPr>
          <w:p w:rsidR="00000000" w:rsidRDefault="00000000">
            <w:pPr>
              <w:pStyle w:val="BodyTextIndent2"/>
              <w:spacing w:after="120"/>
              <w:ind w:left="0" w:firstLine="0"/>
              <w:jc w:val="right"/>
              <w:rPr>
                <w:sz w:val="17"/>
              </w:rPr>
            </w:pPr>
            <w:r>
              <w:rPr>
                <w:sz w:val="17"/>
              </w:rPr>
              <w:t>74</w:t>
            </w:r>
          </w:p>
        </w:tc>
        <w:tc>
          <w:tcPr>
            <w:tcW w:w="1024" w:type="dxa"/>
          </w:tcPr>
          <w:p w:rsidR="00000000" w:rsidRDefault="00000000">
            <w:pPr>
              <w:pStyle w:val="BodyTextIndent2"/>
              <w:spacing w:after="120"/>
              <w:ind w:left="0" w:firstLine="0"/>
              <w:jc w:val="right"/>
              <w:rPr>
                <w:sz w:val="17"/>
              </w:rPr>
            </w:pPr>
            <w:r>
              <w:rPr>
                <w:sz w:val="17"/>
              </w:rPr>
              <w:t>74</w:t>
            </w:r>
          </w:p>
        </w:tc>
        <w:tc>
          <w:tcPr>
            <w:tcW w:w="236" w:type="dxa"/>
          </w:tcPr>
          <w:p w:rsidR="00000000" w:rsidRDefault="00000000">
            <w:pPr>
              <w:pStyle w:val="BodyTextIndent2"/>
              <w:spacing w:after="120"/>
              <w:ind w:left="0" w:firstLine="0"/>
              <w:jc w:val="right"/>
              <w:rPr>
                <w:sz w:val="17"/>
              </w:rPr>
            </w:pPr>
          </w:p>
        </w:tc>
        <w:tc>
          <w:tcPr>
            <w:tcW w:w="990" w:type="dxa"/>
          </w:tcPr>
          <w:p w:rsidR="00000000" w:rsidRDefault="00000000">
            <w:pPr>
              <w:pStyle w:val="BodyTextIndent2"/>
              <w:spacing w:after="120"/>
              <w:ind w:left="0" w:firstLine="0"/>
              <w:jc w:val="right"/>
              <w:rPr>
                <w:sz w:val="17"/>
              </w:rPr>
            </w:pPr>
            <w:r>
              <w:rPr>
                <w:sz w:val="17"/>
              </w:rPr>
              <w:t>22</w:t>
            </w:r>
          </w:p>
        </w:tc>
        <w:tc>
          <w:tcPr>
            <w:tcW w:w="990" w:type="dxa"/>
          </w:tcPr>
          <w:p w:rsidR="00000000" w:rsidRDefault="00000000">
            <w:pPr>
              <w:pStyle w:val="BodyTextIndent2"/>
              <w:spacing w:after="120"/>
              <w:ind w:left="0" w:firstLine="0"/>
              <w:jc w:val="right"/>
              <w:rPr>
                <w:sz w:val="17"/>
              </w:rPr>
            </w:pPr>
            <w:r>
              <w:rPr>
                <w:sz w:val="17"/>
              </w:rPr>
              <w:t>18</w:t>
            </w:r>
          </w:p>
        </w:tc>
        <w:tc>
          <w:tcPr>
            <w:tcW w:w="981" w:type="dxa"/>
          </w:tcPr>
          <w:p w:rsidR="00000000" w:rsidRDefault="00000000">
            <w:pPr>
              <w:pStyle w:val="BodyTextIndent2"/>
              <w:spacing w:after="120"/>
              <w:ind w:left="0" w:firstLine="0"/>
              <w:jc w:val="right"/>
              <w:rPr>
                <w:sz w:val="17"/>
              </w:rPr>
            </w:pPr>
            <w:r>
              <w:rPr>
                <w:sz w:val="17"/>
              </w:rPr>
              <w:t>15</w:t>
            </w:r>
          </w:p>
        </w:tc>
      </w:tr>
      <w:tr w:rsidR="00000000">
        <w:tblPrEx>
          <w:tblCellMar>
            <w:top w:w="0" w:type="dxa"/>
            <w:bottom w:w="0" w:type="dxa"/>
          </w:tblCellMar>
        </w:tblPrEx>
        <w:tc>
          <w:tcPr>
            <w:tcW w:w="3699" w:type="dxa"/>
          </w:tcPr>
          <w:p w:rsidR="00000000" w:rsidRDefault="00000000">
            <w:pPr>
              <w:pStyle w:val="BodyTextIndent2"/>
              <w:spacing w:after="120"/>
              <w:ind w:left="0" w:firstLine="0"/>
              <w:jc w:val="left"/>
              <w:rPr>
                <w:sz w:val="17"/>
              </w:rPr>
            </w:pPr>
            <w:r>
              <w:rPr>
                <w:sz w:val="17"/>
              </w:rPr>
              <w:t>Sewerage system</w:t>
            </w:r>
          </w:p>
        </w:tc>
        <w:tc>
          <w:tcPr>
            <w:tcW w:w="990" w:type="dxa"/>
          </w:tcPr>
          <w:p w:rsidR="00000000" w:rsidRDefault="00000000">
            <w:pPr>
              <w:pStyle w:val="BodyTextIndent2"/>
              <w:spacing w:after="120"/>
              <w:ind w:left="0" w:firstLine="0"/>
              <w:jc w:val="right"/>
              <w:rPr>
                <w:sz w:val="17"/>
              </w:rPr>
            </w:pPr>
            <w:r>
              <w:rPr>
                <w:sz w:val="17"/>
              </w:rPr>
              <w:t>72</w:t>
            </w:r>
          </w:p>
        </w:tc>
        <w:tc>
          <w:tcPr>
            <w:tcW w:w="990" w:type="dxa"/>
          </w:tcPr>
          <w:p w:rsidR="00000000" w:rsidRDefault="00000000">
            <w:pPr>
              <w:pStyle w:val="BodyTextIndent2"/>
              <w:spacing w:after="120"/>
              <w:ind w:left="0" w:firstLine="0"/>
              <w:jc w:val="right"/>
              <w:rPr>
                <w:sz w:val="17"/>
              </w:rPr>
            </w:pPr>
            <w:r>
              <w:rPr>
                <w:sz w:val="17"/>
              </w:rPr>
              <w:t>70</w:t>
            </w:r>
          </w:p>
        </w:tc>
        <w:tc>
          <w:tcPr>
            <w:tcW w:w="1024" w:type="dxa"/>
          </w:tcPr>
          <w:p w:rsidR="00000000" w:rsidRDefault="00000000">
            <w:pPr>
              <w:pStyle w:val="BodyTextIndent2"/>
              <w:spacing w:after="120"/>
              <w:ind w:left="0" w:firstLine="0"/>
              <w:jc w:val="right"/>
              <w:rPr>
                <w:sz w:val="17"/>
              </w:rPr>
            </w:pPr>
            <w:r>
              <w:rPr>
                <w:sz w:val="17"/>
              </w:rPr>
              <w:t>70</w:t>
            </w:r>
          </w:p>
        </w:tc>
        <w:tc>
          <w:tcPr>
            <w:tcW w:w="236" w:type="dxa"/>
          </w:tcPr>
          <w:p w:rsidR="00000000" w:rsidRDefault="00000000">
            <w:pPr>
              <w:pStyle w:val="BodyTextIndent2"/>
              <w:spacing w:after="120"/>
              <w:ind w:left="0" w:firstLine="0"/>
              <w:jc w:val="right"/>
              <w:rPr>
                <w:sz w:val="17"/>
              </w:rPr>
            </w:pPr>
          </w:p>
        </w:tc>
        <w:tc>
          <w:tcPr>
            <w:tcW w:w="990" w:type="dxa"/>
          </w:tcPr>
          <w:p w:rsidR="00000000" w:rsidRDefault="00000000">
            <w:pPr>
              <w:pStyle w:val="BodyTextIndent2"/>
              <w:spacing w:after="120"/>
              <w:ind w:left="0" w:firstLine="0"/>
              <w:jc w:val="right"/>
              <w:rPr>
                <w:sz w:val="17"/>
              </w:rPr>
            </w:pPr>
            <w:r>
              <w:rPr>
                <w:sz w:val="17"/>
              </w:rPr>
              <w:t>6</w:t>
            </w:r>
          </w:p>
        </w:tc>
        <w:tc>
          <w:tcPr>
            <w:tcW w:w="990" w:type="dxa"/>
          </w:tcPr>
          <w:p w:rsidR="00000000" w:rsidRDefault="00000000">
            <w:pPr>
              <w:pStyle w:val="BodyTextIndent2"/>
              <w:spacing w:after="120"/>
              <w:ind w:left="0" w:firstLine="0"/>
              <w:jc w:val="right"/>
              <w:rPr>
                <w:sz w:val="17"/>
              </w:rPr>
            </w:pPr>
            <w:r>
              <w:rPr>
                <w:sz w:val="17"/>
              </w:rPr>
              <w:t>6</w:t>
            </w:r>
          </w:p>
        </w:tc>
        <w:tc>
          <w:tcPr>
            <w:tcW w:w="981" w:type="dxa"/>
          </w:tcPr>
          <w:p w:rsidR="00000000" w:rsidRDefault="00000000">
            <w:pPr>
              <w:pStyle w:val="BodyTextIndent2"/>
              <w:spacing w:after="120"/>
              <w:ind w:left="0" w:firstLine="0"/>
              <w:jc w:val="right"/>
              <w:rPr>
                <w:sz w:val="17"/>
              </w:rPr>
            </w:pPr>
            <w:r>
              <w:rPr>
                <w:sz w:val="17"/>
              </w:rPr>
              <w:t>5</w:t>
            </w:r>
          </w:p>
        </w:tc>
      </w:tr>
      <w:tr w:rsidR="00000000">
        <w:tblPrEx>
          <w:tblCellMar>
            <w:top w:w="0" w:type="dxa"/>
            <w:bottom w:w="0" w:type="dxa"/>
          </w:tblCellMar>
        </w:tblPrEx>
        <w:tc>
          <w:tcPr>
            <w:tcW w:w="3699" w:type="dxa"/>
          </w:tcPr>
          <w:p w:rsidR="00000000" w:rsidRDefault="00000000">
            <w:pPr>
              <w:pStyle w:val="BodyTextIndent2"/>
              <w:spacing w:after="120"/>
              <w:ind w:left="0" w:firstLine="0"/>
              <w:jc w:val="left"/>
              <w:rPr>
                <w:sz w:val="17"/>
              </w:rPr>
            </w:pPr>
            <w:r>
              <w:rPr>
                <w:sz w:val="17"/>
              </w:rPr>
              <w:t>Central heating</w:t>
            </w:r>
          </w:p>
        </w:tc>
        <w:tc>
          <w:tcPr>
            <w:tcW w:w="990" w:type="dxa"/>
          </w:tcPr>
          <w:p w:rsidR="00000000" w:rsidRDefault="00000000">
            <w:pPr>
              <w:pStyle w:val="BodyTextIndent2"/>
              <w:spacing w:after="120"/>
              <w:ind w:left="0" w:firstLine="0"/>
              <w:jc w:val="right"/>
              <w:rPr>
                <w:sz w:val="17"/>
              </w:rPr>
            </w:pPr>
            <w:r>
              <w:rPr>
                <w:sz w:val="17"/>
              </w:rPr>
              <w:t>73</w:t>
            </w:r>
          </w:p>
        </w:tc>
        <w:tc>
          <w:tcPr>
            <w:tcW w:w="990" w:type="dxa"/>
          </w:tcPr>
          <w:p w:rsidR="00000000" w:rsidRDefault="00000000">
            <w:pPr>
              <w:pStyle w:val="BodyTextIndent2"/>
              <w:spacing w:after="120"/>
              <w:ind w:left="0" w:firstLine="0"/>
              <w:jc w:val="right"/>
              <w:rPr>
                <w:sz w:val="17"/>
              </w:rPr>
            </w:pPr>
            <w:r>
              <w:rPr>
                <w:sz w:val="17"/>
              </w:rPr>
              <w:t>70</w:t>
            </w:r>
          </w:p>
        </w:tc>
        <w:tc>
          <w:tcPr>
            <w:tcW w:w="1024" w:type="dxa"/>
          </w:tcPr>
          <w:p w:rsidR="00000000" w:rsidRDefault="00000000">
            <w:pPr>
              <w:pStyle w:val="BodyTextIndent2"/>
              <w:spacing w:after="120"/>
              <w:ind w:left="0" w:firstLine="0"/>
              <w:jc w:val="right"/>
              <w:rPr>
                <w:sz w:val="17"/>
              </w:rPr>
            </w:pPr>
            <w:r>
              <w:rPr>
                <w:sz w:val="17"/>
              </w:rPr>
              <w:t>72</w:t>
            </w:r>
          </w:p>
        </w:tc>
        <w:tc>
          <w:tcPr>
            <w:tcW w:w="236" w:type="dxa"/>
          </w:tcPr>
          <w:p w:rsidR="00000000" w:rsidRDefault="00000000">
            <w:pPr>
              <w:pStyle w:val="BodyTextIndent2"/>
              <w:spacing w:after="120"/>
              <w:ind w:left="0" w:firstLine="0"/>
              <w:jc w:val="right"/>
              <w:rPr>
                <w:sz w:val="17"/>
              </w:rPr>
            </w:pPr>
          </w:p>
        </w:tc>
        <w:tc>
          <w:tcPr>
            <w:tcW w:w="990" w:type="dxa"/>
          </w:tcPr>
          <w:p w:rsidR="00000000" w:rsidRDefault="00000000">
            <w:pPr>
              <w:pStyle w:val="BodyTextIndent2"/>
              <w:spacing w:after="120"/>
              <w:ind w:left="0" w:firstLine="0"/>
              <w:jc w:val="right"/>
              <w:rPr>
                <w:sz w:val="17"/>
              </w:rPr>
            </w:pPr>
            <w:r>
              <w:rPr>
                <w:sz w:val="17"/>
              </w:rPr>
              <w:t>11</w:t>
            </w:r>
          </w:p>
        </w:tc>
        <w:tc>
          <w:tcPr>
            <w:tcW w:w="990" w:type="dxa"/>
          </w:tcPr>
          <w:p w:rsidR="00000000" w:rsidRDefault="00000000">
            <w:pPr>
              <w:pStyle w:val="BodyTextIndent2"/>
              <w:spacing w:after="120"/>
              <w:ind w:left="0" w:firstLine="0"/>
              <w:jc w:val="right"/>
              <w:rPr>
                <w:sz w:val="17"/>
              </w:rPr>
            </w:pPr>
            <w:r>
              <w:rPr>
                <w:sz w:val="17"/>
              </w:rPr>
              <w:t>10</w:t>
            </w:r>
          </w:p>
        </w:tc>
        <w:tc>
          <w:tcPr>
            <w:tcW w:w="981" w:type="dxa"/>
          </w:tcPr>
          <w:p w:rsidR="00000000" w:rsidRDefault="00000000">
            <w:pPr>
              <w:pStyle w:val="BodyTextIndent2"/>
              <w:spacing w:after="120"/>
              <w:ind w:left="0" w:firstLine="0"/>
              <w:jc w:val="right"/>
              <w:rPr>
                <w:sz w:val="17"/>
              </w:rPr>
            </w:pPr>
            <w:r>
              <w:rPr>
                <w:sz w:val="17"/>
              </w:rPr>
              <w:t>7</w:t>
            </w:r>
          </w:p>
        </w:tc>
      </w:tr>
      <w:tr w:rsidR="00000000">
        <w:tblPrEx>
          <w:tblCellMar>
            <w:top w:w="0" w:type="dxa"/>
            <w:bottom w:w="0" w:type="dxa"/>
          </w:tblCellMar>
        </w:tblPrEx>
        <w:tc>
          <w:tcPr>
            <w:tcW w:w="3699" w:type="dxa"/>
          </w:tcPr>
          <w:p w:rsidR="00000000" w:rsidRDefault="00000000">
            <w:pPr>
              <w:pStyle w:val="BodyTextIndent2"/>
              <w:spacing w:after="120"/>
              <w:ind w:left="0" w:firstLine="0"/>
              <w:jc w:val="left"/>
              <w:rPr>
                <w:sz w:val="17"/>
              </w:rPr>
            </w:pPr>
            <w:r>
              <w:rPr>
                <w:sz w:val="17"/>
              </w:rPr>
              <w:t>Gas</w:t>
            </w:r>
          </w:p>
        </w:tc>
        <w:tc>
          <w:tcPr>
            <w:tcW w:w="990" w:type="dxa"/>
          </w:tcPr>
          <w:p w:rsidR="00000000" w:rsidRDefault="00000000">
            <w:pPr>
              <w:pStyle w:val="BodyTextIndent2"/>
              <w:spacing w:after="120"/>
              <w:ind w:left="0" w:firstLine="0"/>
              <w:jc w:val="right"/>
              <w:rPr>
                <w:sz w:val="17"/>
              </w:rPr>
            </w:pPr>
            <w:r>
              <w:rPr>
                <w:sz w:val="17"/>
              </w:rPr>
              <w:t>81</w:t>
            </w:r>
          </w:p>
        </w:tc>
        <w:tc>
          <w:tcPr>
            <w:tcW w:w="990" w:type="dxa"/>
          </w:tcPr>
          <w:p w:rsidR="00000000" w:rsidRDefault="00000000">
            <w:pPr>
              <w:pStyle w:val="BodyTextIndent2"/>
              <w:spacing w:after="120"/>
              <w:ind w:left="0" w:firstLine="0"/>
              <w:jc w:val="right"/>
              <w:rPr>
                <w:sz w:val="17"/>
              </w:rPr>
            </w:pPr>
            <w:r>
              <w:rPr>
                <w:sz w:val="17"/>
              </w:rPr>
              <w:t>76</w:t>
            </w:r>
          </w:p>
        </w:tc>
        <w:tc>
          <w:tcPr>
            <w:tcW w:w="1024" w:type="dxa"/>
          </w:tcPr>
          <w:p w:rsidR="00000000" w:rsidRDefault="00000000">
            <w:pPr>
              <w:pStyle w:val="BodyTextIndent2"/>
              <w:spacing w:after="120"/>
              <w:ind w:left="0" w:firstLine="0"/>
              <w:jc w:val="right"/>
              <w:rPr>
                <w:sz w:val="17"/>
              </w:rPr>
            </w:pPr>
            <w:r>
              <w:rPr>
                <w:sz w:val="17"/>
              </w:rPr>
              <w:t>76</w:t>
            </w:r>
          </w:p>
        </w:tc>
        <w:tc>
          <w:tcPr>
            <w:tcW w:w="236" w:type="dxa"/>
          </w:tcPr>
          <w:p w:rsidR="00000000" w:rsidRDefault="00000000">
            <w:pPr>
              <w:pStyle w:val="BodyTextIndent2"/>
              <w:spacing w:after="120"/>
              <w:ind w:left="0" w:firstLine="0"/>
              <w:jc w:val="right"/>
              <w:rPr>
                <w:sz w:val="17"/>
              </w:rPr>
            </w:pPr>
          </w:p>
        </w:tc>
        <w:tc>
          <w:tcPr>
            <w:tcW w:w="990" w:type="dxa"/>
          </w:tcPr>
          <w:p w:rsidR="00000000" w:rsidRDefault="00000000">
            <w:pPr>
              <w:pStyle w:val="BodyTextIndent2"/>
              <w:spacing w:after="120"/>
              <w:ind w:left="0" w:firstLine="0"/>
              <w:jc w:val="right"/>
              <w:rPr>
                <w:sz w:val="17"/>
              </w:rPr>
            </w:pPr>
            <w:r>
              <w:rPr>
                <w:sz w:val="17"/>
              </w:rPr>
              <w:t>81</w:t>
            </w:r>
          </w:p>
        </w:tc>
        <w:tc>
          <w:tcPr>
            <w:tcW w:w="990" w:type="dxa"/>
          </w:tcPr>
          <w:p w:rsidR="00000000" w:rsidRDefault="00000000">
            <w:pPr>
              <w:pStyle w:val="BodyTextIndent2"/>
              <w:spacing w:after="120"/>
              <w:ind w:left="0" w:firstLine="0"/>
              <w:jc w:val="right"/>
              <w:rPr>
                <w:sz w:val="17"/>
              </w:rPr>
            </w:pPr>
            <w:r>
              <w:rPr>
                <w:sz w:val="17"/>
              </w:rPr>
              <w:t>77</w:t>
            </w:r>
          </w:p>
        </w:tc>
        <w:tc>
          <w:tcPr>
            <w:tcW w:w="981" w:type="dxa"/>
          </w:tcPr>
          <w:p w:rsidR="00000000" w:rsidRDefault="00000000">
            <w:pPr>
              <w:pStyle w:val="BodyTextIndent2"/>
              <w:spacing w:after="120"/>
              <w:ind w:left="0" w:firstLine="0"/>
              <w:jc w:val="right"/>
              <w:rPr>
                <w:sz w:val="17"/>
              </w:rPr>
            </w:pPr>
            <w:r>
              <w:rPr>
                <w:sz w:val="17"/>
              </w:rPr>
              <w:t>72</w:t>
            </w:r>
          </w:p>
        </w:tc>
      </w:tr>
      <w:tr w:rsidR="00000000">
        <w:tblPrEx>
          <w:tblCellMar>
            <w:top w:w="0" w:type="dxa"/>
            <w:bottom w:w="0" w:type="dxa"/>
          </w:tblCellMar>
        </w:tblPrEx>
        <w:tc>
          <w:tcPr>
            <w:tcW w:w="3699" w:type="dxa"/>
          </w:tcPr>
          <w:p w:rsidR="00000000" w:rsidRDefault="00000000">
            <w:pPr>
              <w:pStyle w:val="BodyTextIndent2"/>
              <w:spacing w:after="120"/>
              <w:ind w:left="0" w:firstLine="0"/>
              <w:jc w:val="left"/>
              <w:rPr>
                <w:sz w:val="17"/>
              </w:rPr>
            </w:pPr>
            <w:r>
              <w:rPr>
                <w:sz w:val="17"/>
              </w:rPr>
              <w:t>Hot water</w:t>
            </w:r>
          </w:p>
        </w:tc>
        <w:tc>
          <w:tcPr>
            <w:tcW w:w="990" w:type="dxa"/>
          </w:tcPr>
          <w:p w:rsidR="00000000" w:rsidRDefault="00000000">
            <w:pPr>
              <w:pStyle w:val="BodyTextIndent2"/>
              <w:spacing w:after="120"/>
              <w:ind w:left="0" w:firstLine="0"/>
              <w:jc w:val="right"/>
              <w:rPr>
                <w:sz w:val="17"/>
              </w:rPr>
            </w:pPr>
            <w:r>
              <w:rPr>
                <w:sz w:val="17"/>
              </w:rPr>
              <w:t>56</w:t>
            </w:r>
          </w:p>
        </w:tc>
        <w:tc>
          <w:tcPr>
            <w:tcW w:w="990" w:type="dxa"/>
          </w:tcPr>
          <w:p w:rsidR="00000000" w:rsidRDefault="00000000">
            <w:pPr>
              <w:pStyle w:val="BodyTextIndent2"/>
              <w:spacing w:after="120"/>
              <w:ind w:left="0" w:firstLine="0"/>
              <w:jc w:val="right"/>
              <w:rPr>
                <w:sz w:val="17"/>
              </w:rPr>
            </w:pPr>
            <w:r>
              <w:rPr>
                <w:sz w:val="17"/>
              </w:rPr>
              <w:t>57</w:t>
            </w:r>
          </w:p>
        </w:tc>
        <w:tc>
          <w:tcPr>
            <w:tcW w:w="1024" w:type="dxa"/>
          </w:tcPr>
          <w:p w:rsidR="00000000" w:rsidRDefault="00000000">
            <w:pPr>
              <w:pStyle w:val="BodyTextIndent2"/>
              <w:spacing w:after="120"/>
              <w:ind w:left="0" w:firstLine="0"/>
              <w:jc w:val="right"/>
              <w:rPr>
                <w:sz w:val="17"/>
              </w:rPr>
            </w:pPr>
            <w:r>
              <w:rPr>
                <w:sz w:val="17"/>
              </w:rPr>
              <w:t>56</w:t>
            </w:r>
          </w:p>
        </w:tc>
        <w:tc>
          <w:tcPr>
            <w:tcW w:w="236" w:type="dxa"/>
          </w:tcPr>
          <w:p w:rsidR="00000000" w:rsidRDefault="00000000">
            <w:pPr>
              <w:pStyle w:val="BodyTextIndent2"/>
              <w:spacing w:after="120"/>
              <w:ind w:left="0" w:firstLine="0"/>
              <w:jc w:val="right"/>
              <w:rPr>
                <w:sz w:val="17"/>
              </w:rPr>
            </w:pPr>
          </w:p>
        </w:tc>
        <w:tc>
          <w:tcPr>
            <w:tcW w:w="990" w:type="dxa"/>
          </w:tcPr>
          <w:p w:rsidR="00000000" w:rsidRDefault="00000000">
            <w:pPr>
              <w:pStyle w:val="BodyTextIndent2"/>
              <w:spacing w:after="120"/>
              <w:ind w:left="0" w:firstLine="0"/>
              <w:jc w:val="right"/>
              <w:rPr>
                <w:sz w:val="17"/>
              </w:rPr>
            </w:pPr>
            <w:r>
              <w:rPr>
                <w:sz w:val="17"/>
              </w:rPr>
              <w:t>2</w:t>
            </w:r>
          </w:p>
        </w:tc>
        <w:tc>
          <w:tcPr>
            <w:tcW w:w="990" w:type="dxa"/>
          </w:tcPr>
          <w:p w:rsidR="00000000" w:rsidRDefault="00000000">
            <w:pPr>
              <w:pStyle w:val="BodyTextIndent2"/>
              <w:spacing w:after="120"/>
              <w:ind w:left="0" w:firstLine="0"/>
              <w:jc w:val="right"/>
              <w:rPr>
                <w:sz w:val="17"/>
              </w:rPr>
            </w:pPr>
            <w:r>
              <w:rPr>
                <w:sz w:val="17"/>
              </w:rPr>
              <w:t>2</w:t>
            </w:r>
          </w:p>
        </w:tc>
        <w:tc>
          <w:tcPr>
            <w:tcW w:w="981" w:type="dxa"/>
          </w:tcPr>
          <w:p w:rsidR="00000000" w:rsidRDefault="00000000">
            <w:pPr>
              <w:pStyle w:val="BodyTextIndent2"/>
              <w:spacing w:after="120"/>
              <w:ind w:left="0" w:firstLine="0"/>
              <w:jc w:val="right"/>
              <w:rPr>
                <w:sz w:val="17"/>
              </w:rPr>
            </w:pPr>
            <w:r>
              <w:rPr>
                <w:sz w:val="17"/>
              </w:rPr>
              <w:t>1</w:t>
            </w:r>
          </w:p>
        </w:tc>
      </w:tr>
      <w:tr w:rsidR="00000000">
        <w:tblPrEx>
          <w:tblCellMar>
            <w:top w:w="0" w:type="dxa"/>
            <w:bottom w:w="0" w:type="dxa"/>
          </w:tblCellMar>
        </w:tblPrEx>
        <w:tc>
          <w:tcPr>
            <w:tcW w:w="3699" w:type="dxa"/>
          </w:tcPr>
          <w:p w:rsidR="00000000" w:rsidRDefault="00000000">
            <w:pPr>
              <w:pStyle w:val="BodyTextIndent2"/>
              <w:spacing w:after="120"/>
              <w:ind w:left="0" w:firstLine="0"/>
              <w:jc w:val="left"/>
              <w:rPr>
                <w:sz w:val="17"/>
              </w:rPr>
            </w:pPr>
            <w:r>
              <w:rPr>
                <w:sz w:val="17"/>
              </w:rPr>
              <w:t>Baths (shower)</w:t>
            </w:r>
          </w:p>
        </w:tc>
        <w:tc>
          <w:tcPr>
            <w:tcW w:w="990" w:type="dxa"/>
          </w:tcPr>
          <w:p w:rsidR="00000000" w:rsidRDefault="00000000">
            <w:pPr>
              <w:pStyle w:val="BodyTextIndent2"/>
              <w:spacing w:after="120"/>
              <w:ind w:left="0" w:firstLine="0"/>
              <w:jc w:val="right"/>
              <w:rPr>
                <w:sz w:val="17"/>
              </w:rPr>
            </w:pPr>
            <w:r>
              <w:rPr>
                <w:sz w:val="17"/>
              </w:rPr>
              <w:t>65</w:t>
            </w:r>
          </w:p>
        </w:tc>
        <w:tc>
          <w:tcPr>
            <w:tcW w:w="990" w:type="dxa"/>
          </w:tcPr>
          <w:p w:rsidR="00000000" w:rsidRDefault="00000000">
            <w:pPr>
              <w:pStyle w:val="BodyTextIndent2"/>
              <w:spacing w:after="120"/>
              <w:ind w:left="0" w:firstLine="0"/>
              <w:jc w:val="right"/>
              <w:rPr>
                <w:sz w:val="17"/>
              </w:rPr>
            </w:pPr>
            <w:r>
              <w:rPr>
                <w:sz w:val="17"/>
              </w:rPr>
              <w:t>64</w:t>
            </w:r>
          </w:p>
        </w:tc>
        <w:tc>
          <w:tcPr>
            <w:tcW w:w="1024" w:type="dxa"/>
          </w:tcPr>
          <w:p w:rsidR="00000000" w:rsidRDefault="00000000">
            <w:pPr>
              <w:pStyle w:val="BodyTextIndent2"/>
              <w:spacing w:after="120"/>
              <w:ind w:left="0" w:firstLine="0"/>
              <w:jc w:val="right"/>
              <w:rPr>
                <w:sz w:val="17"/>
              </w:rPr>
            </w:pPr>
            <w:r>
              <w:rPr>
                <w:sz w:val="17"/>
              </w:rPr>
              <w:t>65</w:t>
            </w:r>
          </w:p>
        </w:tc>
        <w:tc>
          <w:tcPr>
            <w:tcW w:w="236" w:type="dxa"/>
          </w:tcPr>
          <w:p w:rsidR="00000000" w:rsidRDefault="00000000">
            <w:pPr>
              <w:pStyle w:val="BodyTextIndent2"/>
              <w:spacing w:after="120"/>
              <w:ind w:left="0" w:firstLine="0"/>
              <w:jc w:val="right"/>
              <w:rPr>
                <w:sz w:val="17"/>
              </w:rPr>
            </w:pPr>
          </w:p>
        </w:tc>
        <w:tc>
          <w:tcPr>
            <w:tcW w:w="990" w:type="dxa"/>
          </w:tcPr>
          <w:p w:rsidR="00000000" w:rsidRDefault="00000000">
            <w:pPr>
              <w:pStyle w:val="BodyTextIndent2"/>
              <w:spacing w:after="120"/>
              <w:ind w:left="0" w:firstLine="0"/>
              <w:jc w:val="right"/>
              <w:rPr>
                <w:sz w:val="17"/>
              </w:rPr>
            </w:pPr>
            <w:r>
              <w:rPr>
                <w:sz w:val="17"/>
              </w:rPr>
              <w:t>4</w:t>
            </w:r>
          </w:p>
        </w:tc>
        <w:tc>
          <w:tcPr>
            <w:tcW w:w="990" w:type="dxa"/>
          </w:tcPr>
          <w:p w:rsidR="00000000" w:rsidRDefault="00000000">
            <w:pPr>
              <w:pStyle w:val="BodyTextIndent2"/>
              <w:spacing w:after="120"/>
              <w:ind w:left="0" w:firstLine="0"/>
              <w:jc w:val="right"/>
              <w:rPr>
                <w:sz w:val="17"/>
              </w:rPr>
            </w:pPr>
            <w:r>
              <w:rPr>
                <w:sz w:val="17"/>
              </w:rPr>
              <w:t>4</w:t>
            </w:r>
          </w:p>
        </w:tc>
        <w:tc>
          <w:tcPr>
            <w:tcW w:w="981" w:type="dxa"/>
          </w:tcPr>
          <w:p w:rsidR="00000000" w:rsidRDefault="00000000">
            <w:pPr>
              <w:pStyle w:val="BodyTextIndent2"/>
              <w:spacing w:after="120"/>
              <w:ind w:left="0" w:firstLine="0"/>
              <w:jc w:val="right"/>
              <w:rPr>
                <w:sz w:val="17"/>
              </w:rPr>
            </w:pPr>
            <w:r>
              <w:rPr>
                <w:sz w:val="17"/>
              </w:rPr>
              <w:t>3</w:t>
            </w:r>
          </w:p>
        </w:tc>
      </w:tr>
      <w:tr w:rsidR="00000000">
        <w:tblPrEx>
          <w:tblCellMar>
            <w:top w:w="0" w:type="dxa"/>
            <w:bottom w:w="0" w:type="dxa"/>
          </w:tblCellMar>
        </w:tblPrEx>
        <w:tc>
          <w:tcPr>
            <w:tcW w:w="3699" w:type="dxa"/>
            <w:tcBorders>
              <w:bottom w:val="single" w:sz="12" w:space="0" w:color="auto"/>
            </w:tcBorders>
          </w:tcPr>
          <w:p w:rsidR="00000000" w:rsidRDefault="00000000">
            <w:pPr>
              <w:pStyle w:val="BodyTextIndent2"/>
              <w:spacing w:after="120"/>
              <w:ind w:left="0" w:firstLine="0"/>
              <w:jc w:val="left"/>
              <w:rPr>
                <w:sz w:val="17"/>
              </w:rPr>
            </w:pPr>
            <w:r>
              <w:rPr>
                <w:sz w:val="17"/>
              </w:rPr>
              <w:t>Floor-standing electric stoves</w:t>
            </w:r>
          </w:p>
        </w:tc>
        <w:tc>
          <w:tcPr>
            <w:tcW w:w="990" w:type="dxa"/>
            <w:tcBorders>
              <w:bottom w:val="single" w:sz="12" w:space="0" w:color="auto"/>
            </w:tcBorders>
          </w:tcPr>
          <w:p w:rsidR="00000000" w:rsidRDefault="00000000">
            <w:pPr>
              <w:pStyle w:val="BodyTextIndent2"/>
              <w:spacing w:after="120"/>
              <w:ind w:left="0" w:firstLine="0"/>
              <w:jc w:val="right"/>
              <w:rPr>
                <w:sz w:val="17"/>
              </w:rPr>
            </w:pPr>
            <w:r>
              <w:rPr>
                <w:sz w:val="17"/>
              </w:rPr>
              <w:t>10</w:t>
            </w:r>
          </w:p>
        </w:tc>
        <w:tc>
          <w:tcPr>
            <w:tcW w:w="990" w:type="dxa"/>
            <w:tcBorders>
              <w:bottom w:val="single" w:sz="12" w:space="0" w:color="auto"/>
            </w:tcBorders>
          </w:tcPr>
          <w:p w:rsidR="00000000" w:rsidRDefault="00000000">
            <w:pPr>
              <w:pStyle w:val="BodyTextIndent2"/>
              <w:spacing w:after="120"/>
              <w:ind w:left="0" w:firstLine="0"/>
              <w:jc w:val="right"/>
              <w:rPr>
                <w:sz w:val="17"/>
              </w:rPr>
            </w:pPr>
            <w:r>
              <w:rPr>
                <w:sz w:val="17"/>
              </w:rPr>
              <w:t>11</w:t>
            </w:r>
          </w:p>
        </w:tc>
        <w:tc>
          <w:tcPr>
            <w:tcW w:w="1024" w:type="dxa"/>
            <w:tcBorders>
              <w:bottom w:val="single" w:sz="12" w:space="0" w:color="auto"/>
            </w:tcBorders>
          </w:tcPr>
          <w:p w:rsidR="00000000" w:rsidRDefault="00000000">
            <w:pPr>
              <w:pStyle w:val="BodyTextIndent2"/>
              <w:spacing w:after="120"/>
              <w:ind w:left="0" w:firstLine="0"/>
              <w:jc w:val="right"/>
              <w:rPr>
                <w:sz w:val="17"/>
              </w:rPr>
            </w:pPr>
            <w:r>
              <w:rPr>
                <w:sz w:val="17"/>
              </w:rPr>
              <w:t>12</w:t>
            </w:r>
          </w:p>
        </w:tc>
        <w:tc>
          <w:tcPr>
            <w:tcW w:w="236" w:type="dxa"/>
            <w:tcBorders>
              <w:bottom w:val="single" w:sz="12" w:space="0" w:color="auto"/>
            </w:tcBorders>
          </w:tcPr>
          <w:p w:rsidR="00000000" w:rsidRDefault="00000000">
            <w:pPr>
              <w:pStyle w:val="BodyTextIndent2"/>
              <w:spacing w:after="120"/>
              <w:ind w:left="0" w:firstLine="0"/>
              <w:jc w:val="right"/>
              <w:rPr>
                <w:sz w:val="17"/>
              </w:rPr>
            </w:pPr>
          </w:p>
        </w:tc>
        <w:tc>
          <w:tcPr>
            <w:tcW w:w="990" w:type="dxa"/>
            <w:tcBorders>
              <w:bottom w:val="single" w:sz="12" w:space="0" w:color="auto"/>
            </w:tcBorders>
          </w:tcPr>
          <w:p w:rsidR="00000000" w:rsidRDefault="00000000">
            <w:pPr>
              <w:pStyle w:val="BodyTextIndent2"/>
              <w:spacing w:after="120"/>
              <w:ind w:left="0" w:firstLine="0"/>
              <w:jc w:val="right"/>
              <w:rPr>
                <w:sz w:val="17"/>
              </w:rPr>
            </w:pPr>
            <w:r>
              <w:rPr>
                <w:sz w:val="17"/>
              </w:rPr>
              <w:t>0.1</w:t>
            </w:r>
          </w:p>
        </w:tc>
        <w:tc>
          <w:tcPr>
            <w:tcW w:w="990" w:type="dxa"/>
            <w:tcBorders>
              <w:bottom w:val="single" w:sz="12" w:space="0" w:color="auto"/>
            </w:tcBorders>
          </w:tcPr>
          <w:p w:rsidR="00000000" w:rsidRDefault="00000000">
            <w:pPr>
              <w:pStyle w:val="BodyTextIndent2"/>
              <w:spacing w:after="120"/>
              <w:ind w:left="0" w:firstLine="0"/>
              <w:jc w:val="right"/>
              <w:rPr>
                <w:sz w:val="17"/>
              </w:rPr>
            </w:pPr>
            <w:r>
              <w:rPr>
                <w:sz w:val="17"/>
              </w:rPr>
              <w:t>0.2</w:t>
            </w:r>
          </w:p>
        </w:tc>
        <w:tc>
          <w:tcPr>
            <w:tcW w:w="981" w:type="dxa"/>
            <w:tcBorders>
              <w:bottom w:val="single" w:sz="12" w:space="0" w:color="auto"/>
            </w:tcBorders>
          </w:tcPr>
          <w:p w:rsidR="00000000" w:rsidRDefault="00000000">
            <w:pPr>
              <w:pStyle w:val="BodyTextIndent2"/>
              <w:spacing w:after="120"/>
              <w:ind w:left="0" w:firstLine="0"/>
              <w:jc w:val="right"/>
              <w:rPr>
                <w:sz w:val="17"/>
              </w:rPr>
            </w:pPr>
            <w:r>
              <w:rPr>
                <w:sz w:val="17"/>
              </w:rPr>
              <w:t>0.3</w:t>
            </w:r>
          </w:p>
        </w:tc>
      </w:tr>
    </w:tbl>
    <w:p w:rsidR="00000000" w:rsidRDefault="00000000">
      <w:pPr>
        <w:pStyle w:val="D12r"/>
      </w:pPr>
    </w:p>
    <w:p w:rsidR="00000000" w:rsidRDefault="00000000">
      <w:pPr>
        <w:pStyle w:val="BodyTextIndent2"/>
        <w:spacing w:after="120"/>
        <w:ind w:left="0" w:firstLine="0"/>
      </w:pPr>
    </w:p>
    <w:p w:rsidR="00000000" w:rsidRDefault="00000000">
      <w:pPr>
        <w:pStyle w:val="BodyTextIndent2"/>
        <w:spacing w:after="120"/>
        <w:ind w:left="0" w:firstLine="0"/>
        <w:sectPr w:rsidR="00000000">
          <w:type w:val="continuous"/>
          <w:pgSz w:w="12240" w:h="15840"/>
          <w:pgMar w:top="1742" w:right="1195" w:bottom="1901" w:left="1195" w:header="576" w:footer="1037" w:gutter="0"/>
          <w:cols w:space="720"/>
          <w:docGrid w:linePitch="360"/>
        </w:sectPr>
      </w:pPr>
    </w:p>
    <w:p w:rsidR="00000000" w:rsidRDefault="00000000">
      <w:pPr>
        <w:pStyle w:val="DH1"/>
      </w:pPr>
      <w:r>
        <w:tab/>
        <w:t>Part IV</w:t>
      </w:r>
    </w:p>
    <w:p w:rsidR="00000000" w:rsidRDefault="00000000">
      <w:pPr>
        <w:pStyle w:val="D12r"/>
      </w:pPr>
    </w:p>
    <w:p w:rsidR="00000000" w:rsidRDefault="00000000">
      <w:pPr>
        <w:pStyle w:val="BodyTextIndent2"/>
        <w:spacing w:after="120"/>
        <w:ind w:left="0" w:firstLine="0"/>
        <w:rPr>
          <w:b/>
        </w:rPr>
      </w:pPr>
      <w:r>
        <w:rPr>
          <w:b/>
        </w:rPr>
        <w:tab/>
        <w:t>Article 15</w:t>
      </w:r>
    </w:p>
    <w:p w:rsidR="00000000" w:rsidRDefault="00000000">
      <w:pPr>
        <w:pStyle w:val="BodyTextIndent2"/>
        <w:spacing w:after="120"/>
        <w:ind w:left="0" w:firstLine="0"/>
        <w:rPr>
          <w:b/>
        </w:rPr>
      </w:pPr>
      <w:r>
        <w:rPr>
          <w:b/>
        </w:rPr>
        <w:t>1.</w:t>
      </w:r>
      <w:r>
        <w:rPr>
          <w:b/>
        </w:rPr>
        <w:tab/>
        <w:t>States Parties shall accord to women equality with men before the law.</w:t>
      </w:r>
    </w:p>
    <w:p w:rsidR="00000000" w:rsidRDefault="00000000">
      <w:pPr>
        <w:pStyle w:val="BodyTextIndent2"/>
        <w:spacing w:after="120"/>
        <w:ind w:left="0" w:firstLine="0"/>
        <w:rPr>
          <w:b/>
        </w:rPr>
      </w:pPr>
      <w:r>
        <w:rPr>
          <w:b/>
        </w:rPr>
        <w:t>2.</w:t>
      </w:r>
      <w:r>
        <w:rPr>
          <w:b/>
        </w:rPr>
        <w:tab/>
        <w:t>States Parties shall accord to women, in civil matters, a legal capacity identical of that of men and the same opportunities to exercise that capacity. They shall in particular give women equal rights to conclude contracts and to administer property and treat them equally in all stages of procedure in courts and tribunals.</w:t>
      </w:r>
    </w:p>
    <w:p w:rsidR="00000000" w:rsidRDefault="00000000">
      <w:pPr>
        <w:pStyle w:val="BodyTextIndent2"/>
        <w:spacing w:after="120"/>
        <w:ind w:left="0" w:firstLine="0"/>
        <w:rPr>
          <w:b/>
        </w:rPr>
      </w:pPr>
      <w:r>
        <w:rPr>
          <w:b/>
        </w:rPr>
        <w:t>3.</w:t>
      </w:r>
      <w:r>
        <w:rPr>
          <w:b/>
        </w:rPr>
        <w:tab/>
        <w:t>States Parties agree that all contracts and all other private instruments of any kind with a legal effect which is directed at restricting the legal capacity of women shall be deemed null and void.</w:t>
      </w:r>
    </w:p>
    <w:p w:rsidR="00000000" w:rsidRDefault="00000000">
      <w:pPr>
        <w:pStyle w:val="BodyTextIndent2"/>
        <w:spacing w:after="120"/>
        <w:ind w:left="0" w:firstLine="0"/>
        <w:rPr>
          <w:b/>
        </w:rPr>
      </w:pPr>
      <w:r>
        <w:rPr>
          <w:b/>
        </w:rPr>
        <w:t>4.</w:t>
      </w:r>
      <w:r>
        <w:rPr>
          <w:b/>
        </w:rPr>
        <w:tab/>
        <w:t>States Parties shall accord to men and women the same rights with regard to the law relating to the movement of persons and the freedom to choose their residence and domicile.</w:t>
      </w:r>
    </w:p>
    <w:p w:rsidR="00000000" w:rsidRDefault="00000000">
      <w:pPr>
        <w:pStyle w:val="D12r"/>
      </w:pPr>
    </w:p>
    <w:p w:rsidR="00000000" w:rsidRDefault="00000000">
      <w:pPr>
        <w:pStyle w:val="BodyTextIndent2"/>
        <w:spacing w:after="120"/>
        <w:ind w:left="0" w:firstLine="0"/>
      </w:pPr>
      <w:r>
        <w:rPr>
          <w:b/>
        </w:rPr>
        <w:t>1.</w:t>
      </w:r>
      <w:r>
        <w:rPr>
          <w:b/>
        </w:rPr>
        <w:tab/>
        <w:t xml:space="preserve">States Parties shall accord to women equality with men before the law. </w:t>
      </w:r>
    </w:p>
    <w:p w:rsidR="00000000" w:rsidRDefault="00000000">
      <w:pPr>
        <w:pStyle w:val="BodyTextIndent2"/>
        <w:spacing w:after="120"/>
        <w:ind w:left="0" w:firstLine="0"/>
      </w:pPr>
      <w:r>
        <w:t>145.</w:t>
      </w:r>
      <w:r>
        <w:tab/>
        <w:t>Article 14 of the Constitution, adopted on 30 August 1995, states that all are equal before the law and before the courts.</w:t>
      </w:r>
    </w:p>
    <w:p w:rsidR="00000000" w:rsidRDefault="00000000">
      <w:pPr>
        <w:pStyle w:val="BodyTextIndent2"/>
        <w:spacing w:after="120"/>
        <w:ind w:left="0" w:firstLine="0"/>
      </w:pPr>
      <w:r>
        <w:tab/>
        <w:t>The Civil Code (special part), which entered into force on 1 July 1999, does not divide the legal capacity of citizens on the basis of gender.</w:t>
      </w:r>
    </w:p>
    <w:p w:rsidR="00000000" w:rsidRDefault="00000000">
      <w:pPr>
        <w:pStyle w:val="D12r"/>
      </w:pPr>
    </w:p>
    <w:p w:rsidR="00000000" w:rsidRDefault="00000000">
      <w:pPr>
        <w:pStyle w:val="BodyTextIndent2"/>
        <w:keepNext/>
        <w:keepLines/>
        <w:spacing w:after="120"/>
        <w:ind w:left="0" w:firstLine="0"/>
        <w:rPr>
          <w:b/>
        </w:rPr>
      </w:pPr>
      <w:r>
        <w:rPr>
          <w:b/>
        </w:rPr>
        <w:t>2.</w:t>
      </w:r>
      <w:r>
        <w:rPr>
          <w:b/>
        </w:rPr>
        <w:tab/>
        <w:t>States Parties shall accord to women, in civil matters, a legal capacity identical of that of men and the same opportunities to exercise that capacity. They shall in particular give women equal rights to conclude contracts and to administer property and treat them equally in all stages of procedure in courts and tribunals.</w:t>
      </w:r>
    </w:p>
    <w:p w:rsidR="00000000" w:rsidRDefault="00000000">
      <w:pPr>
        <w:pStyle w:val="BodyTextIndent2"/>
        <w:keepNext/>
        <w:keepLines/>
        <w:spacing w:after="120"/>
        <w:ind w:left="0" w:firstLine="0"/>
      </w:pPr>
      <w:r>
        <w:t>146.</w:t>
      </w:r>
      <w:r>
        <w:tab/>
        <w:t>See previous paragraph.</w:t>
      </w:r>
    </w:p>
    <w:p w:rsidR="00000000" w:rsidRDefault="00000000">
      <w:pPr>
        <w:pStyle w:val="D12r"/>
      </w:pPr>
    </w:p>
    <w:p w:rsidR="00000000" w:rsidRDefault="00000000">
      <w:pPr>
        <w:pStyle w:val="BodyTextIndent2"/>
        <w:spacing w:after="120"/>
        <w:ind w:left="0" w:firstLine="0"/>
      </w:pPr>
      <w:r>
        <w:rPr>
          <w:b/>
        </w:rPr>
        <w:t>3.</w:t>
      </w:r>
      <w:r>
        <w:rPr>
          <w:b/>
        </w:rPr>
        <w:tab/>
        <w:t xml:space="preserve">States Parties agree that all contracts and all other private instruments of any kind with a legal effect, which is directed at restricting the legal capacity of women, shall be deemed null and void. </w:t>
      </w:r>
    </w:p>
    <w:p w:rsidR="00000000" w:rsidRDefault="00000000">
      <w:pPr>
        <w:pStyle w:val="BodyTextIndent2"/>
        <w:spacing w:after="120"/>
        <w:ind w:left="0" w:firstLine="0"/>
      </w:pPr>
      <w:r>
        <w:t>147.</w:t>
      </w:r>
      <w:r>
        <w:tab/>
        <w:t>See paragraph 143. In addition, under the Law on marriage and the family of 17 December 1998 the marriage contract (art. 40) may not limit the legal capacity or capability of the spouses, or their right to have recourse to the courts to protect their rights.</w:t>
      </w:r>
    </w:p>
    <w:p w:rsidR="00000000" w:rsidRDefault="00000000">
      <w:pPr>
        <w:pStyle w:val="BodyTextIndent2"/>
        <w:spacing w:after="120"/>
        <w:ind w:left="0" w:firstLine="0"/>
      </w:pPr>
      <w:r>
        <w:tab/>
        <w:t>The marriage may be declared invalid by a court (art. 42 of the Law on marriage and the family of 17 December 1998).</w:t>
      </w:r>
    </w:p>
    <w:p w:rsidR="00000000" w:rsidRDefault="00000000">
      <w:pPr>
        <w:pStyle w:val="D12r"/>
      </w:pPr>
    </w:p>
    <w:p w:rsidR="00000000" w:rsidRDefault="00000000">
      <w:pPr>
        <w:pStyle w:val="BodyTextIndent2"/>
        <w:spacing w:after="120"/>
        <w:ind w:left="0" w:firstLine="0"/>
        <w:rPr>
          <w:b/>
        </w:rPr>
      </w:pPr>
      <w:r>
        <w:rPr>
          <w:b/>
        </w:rPr>
        <w:t>4.</w:t>
      </w:r>
      <w:r>
        <w:rPr>
          <w:b/>
        </w:rPr>
        <w:tab/>
        <w:t xml:space="preserve">States Parties shall accord to men and women the same rights with regard to the law relating to the movement of persons and the freedom to choose their residence and domicile. </w:t>
      </w:r>
    </w:p>
    <w:p w:rsidR="00000000" w:rsidRDefault="00000000">
      <w:pPr>
        <w:pStyle w:val="BodyTextIndent2"/>
        <w:spacing w:after="120"/>
        <w:ind w:left="0" w:firstLine="0"/>
      </w:pPr>
      <w:r>
        <w:t>148.</w:t>
      </w:r>
      <w:r>
        <w:tab/>
        <w:t>The Constitution of 30 August 1995 guarantees everyone (art. 21) who is legally in the territory of Kazakhstan the right of free movement in its territory and free choice of domicile, as well as the right to leave Kazakhstan and the right for citizens of the Republic to return to Kazakhstan unhindered.</w:t>
      </w:r>
    </w:p>
    <w:p w:rsidR="00000000" w:rsidRDefault="00000000">
      <w:pPr>
        <w:pStyle w:val="BodyTextIndent2"/>
        <w:spacing w:after="120"/>
        <w:ind w:left="0" w:firstLine="0"/>
      </w:pPr>
      <w:r>
        <w:tab/>
        <w:t>The Law on marriage and the family of 17 December 1998 guarantees each spouse (art. 29) the freedom to choose his or her domicile.</w:t>
      </w:r>
    </w:p>
    <w:p w:rsidR="00000000" w:rsidRDefault="00000000">
      <w:pPr>
        <w:pStyle w:val="D12r"/>
      </w:pPr>
    </w:p>
    <w:p w:rsidR="00000000" w:rsidRDefault="00000000">
      <w:pPr>
        <w:pStyle w:val="BodyTextIndent2"/>
        <w:spacing w:after="120"/>
        <w:ind w:left="0" w:firstLine="0"/>
        <w:rPr>
          <w:b/>
        </w:rPr>
      </w:pPr>
      <w:r>
        <w:rPr>
          <w:b/>
        </w:rPr>
        <w:tab/>
        <w:t>Article 16</w:t>
      </w:r>
    </w:p>
    <w:p w:rsidR="00000000" w:rsidRDefault="00000000">
      <w:pPr>
        <w:pStyle w:val="BodyTextIndent2"/>
        <w:spacing w:after="120"/>
        <w:ind w:left="0" w:firstLine="0"/>
        <w:rPr>
          <w:b/>
        </w:rPr>
      </w:pPr>
      <w:r>
        <w:rPr>
          <w:b/>
        </w:rPr>
        <w:t>1.</w:t>
      </w:r>
      <w:r>
        <w:rPr>
          <w:b/>
        </w:rPr>
        <w:tab/>
        <w:t>States Parties shall take all appropriate measures to eliminate discrimination against women in all matters relating to marriage and family relations and in particular shall ensure, on a basis of equality of men and women:</w:t>
      </w:r>
    </w:p>
    <w:p w:rsidR="00000000" w:rsidRDefault="00000000">
      <w:pPr>
        <w:pStyle w:val="BodyTextIndent2"/>
        <w:spacing w:after="120"/>
        <w:ind w:left="0" w:firstLine="0"/>
        <w:rPr>
          <w:b/>
        </w:rPr>
      </w:pPr>
      <w:r>
        <w:rPr>
          <w:b/>
        </w:rPr>
        <w:tab/>
        <w:t>(a)</w:t>
      </w:r>
      <w:r>
        <w:rPr>
          <w:b/>
        </w:rPr>
        <w:tab/>
        <w:t>The same right to enter into marriage;</w:t>
      </w:r>
    </w:p>
    <w:p w:rsidR="00000000" w:rsidRDefault="00000000">
      <w:pPr>
        <w:pStyle w:val="BodyTextIndent2"/>
        <w:spacing w:after="120"/>
        <w:ind w:left="0" w:firstLine="0"/>
        <w:rPr>
          <w:b/>
        </w:rPr>
      </w:pPr>
      <w:r>
        <w:rPr>
          <w:b/>
        </w:rPr>
        <w:tab/>
        <w:t>(b)</w:t>
      </w:r>
      <w:r>
        <w:rPr>
          <w:b/>
        </w:rPr>
        <w:tab/>
        <w:t>The same right freely to choose a spouse and to enter into marriage only with their free and full consent;</w:t>
      </w:r>
    </w:p>
    <w:p w:rsidR="00000000" w:rsidRDefault="00000000">
      <w:pPr>
        <w:pStyle w:val="BodyTextIndent2"/>
        <w:spacing w:after="120"/>
        <w:ind w:left="0" w:firstLine="0"/>
        <w:rPr>
          <w:b/>
        </w:rPr>
      </w:pPr>
      <w:r>
        <w:rPr>
          <w:b/>
        </w:rPr>
        <w:tab/>
        <w:t>(c)</w:t>
      </w:r>
      <w:r>
        <w:rPr>
          <w:b/>
        </w:rPr>
        <w:tab/>
        <w:t>The same rights and responsibilities during marriage and at its dissolution;</w:t>
      </w:r>
    </w:p>
    <w:p w:rsidR="00000000" w:rsidRDefault="00000000">
      <w:pPr>
        <w:pStyle w:val="BodyTextIndent2"/>
        <w:spacing w:after="120"/>
        <w:ind w:left="0" w:firstLine="0"/>
        <w:rPr>
          <w:b/>
        </w:rPr>
      </w:pPr>
      <w:r>
        <w:rPr>
          <w:b/>
        </w:rPr>
        <w:tab/>
        <w:t>(d)</w:t>
      </w:r>
      <w:r>
        <w:rPr>
          <w:b/>
        </w:rPr>
        <w:tab/>
        <w:t>The same rights and responsibilities as parents, irrespective of their marital status, in matters relating to their children; in all cases the interests of the children shall be paramount;</w:t>
      </w:r>
    </w:p>
    <w:p w:rsidR="00000000" w:rsidRDefault="00000000">
      <w:pPr>
        <w:pStyle w:val="BodyTextIndent2"/>
        <w:spacing w:after="120"/>
        <w:ind w:left="0" w:firstLine="0"/>
        <w:rPr>
          <w:b/>
        </w:rPr>
      </w:pPr>
      <w:r>
        <w:rPr>
          <w:b/>
        </w:rPr>
        <w:tab/>
        <w:t>(e)</w:t>
      </w:r>
      <w:r>
        <w:rPr>
          <w:b/>
        </w:rPr>
        <w:tab/>
        <w:t>The same rights to decide freely and responsibly on the number and spacing of their children and to have access to the information, education and means to enable them to exercise these rights;</w:t>
      </w:r>
    </w:p>
    <w:p w:rsidR="00000000" w:rsidRDefault="00000000">
      <w:pPr>
        <w:pStyle w:val="BodyTextIndent2"/>
        <w:spacing w:after="120"/>
        <w:ind w:left="0" w:firstLine="0"/>
        <w:rPr>
          <w:b/>
        </w:rPr>
      </w:pPr>
      <w:r>
        <w:rPr>
          <w:b/>
        </w:rPr>
        <w:tab/>
        <w:t>(f)</w:t>
      </w:r>
      <w:r>
        <w:rPr>
          <w:b/>
        </w:rPr>
        <w:tab/>
        <w:t>The same rights and responsibilities with regard to guardianship, wardship, trusteeship and adoption of children or similar institutions where these concepts exist in national legislation; in all cases the interests of the children shall be paramount;</w:t>
      </w:r>
    </w:p>
    <w:p w:rsidR="00000000" w:rsidRDefault="00000000">
      <w:pPr>
        <w:pStyle w:val="BodyTextIndent2"/>
        <w:spacing w:after="120"/>
        <w:ind w:left="0" w:firstLine="0"/>
        <w:rPr>
          <w:b/>
        </w:rPr>
      </w:pPr>
      <w:r>
        <w:rPr>
          <w:b/>
        </w:rPr>
        <w:tab/>
        <w:t>(g)</w:t>
      </w:r>
      <w:r>
        <w:rPr>
          <w:b/>
        </w:rPr>
        <w:tab/>
        <w:t>The same personal rights as husband and wife, including the right to choose a family name, a profession and occupation;</w:t>
      </w:r>
    </w:p>
    <w:p w:rsidR="00000000" w:rsidRDefault="00000000">
      <w:pPr>
        <w:pStyle w:val="BodyTextIndent2"/>
        <w:spacing w:after="120"/>
        <w:ind w:left="0" w:firstLine="0"/>
        <w:rPr>
          <w:b/>
        </w:rPr>
      </w:pPr>
      <w:r>
        <w:rPr>
          <w:b/>
        </w:rPr>
        <w:tab/>
        <w:t>(h)</w:t>
      </w:r>
      <w:r>
        <w:rPr>
          <w:b/>
        </w:rPr>
        <w:tab/>
        <w:t>The same rights for both spouses in respect of the ownership, acquisition, management, administration, enjoyment and disposition of property, whether free of charge or for a valuable consideration.</w:t>
      </w:r>
    </w:p>
    <w:p w:rsidR="00000000" w:rsidRDefault="00000000">
      <w:pPr>
        <w:pStyle w:val="BodyTextIndent2"/>
        <w:spacing w:after="120"/>
        <w:ind w:left="0" w:firstLine="0"/>
        <w:rPr>
          <w:b/>
        </w:rPr>
      </w:pPr>
      <w:r>
        <w:rPr>
          <w:b/>
        </w:rPr>
        <w:t>2.</w:t>
      </w:r>
      <w:r>
        <w:rPr>
          <w:b/>
        </w:rPr>
        <w:tab/>
        <w:t>The betrothal and the marriage of a child shall have no legal effect and all necessary action, including legislation, shall be taken to specify the minimum age for marriage and to make the registration of marriages in an official registry compulsory.</w:t>
      </w:r>
    </w:p>
    <w:p w:rsidR="00000000" w:rsidRDefault="00000000">
      <w:pPr>
        <w:pStyle w:val="D12r"/>
      </w:pPr>
    </w:p>
    <w:p w:rsidR="00000000" w:rsidRDefault="00000000">
      <w:pPr>
        <w:pStyle w:val="BodyTextIndent2"/>
        <w:spacing w:after="120"/>
        <w:ind w:left="0" w:firstLine="0"/>
      </w:pPr>
      <w:r>
        <w:rPr>
          <w:b/>
        </w:rPr>
        <w:t>1.</w:t>
      </w:r>
      <w:r>
        <w:rPr>
          <w:b/>
        </w:rPr>
        <w:tab/>
        <w:t>States Parties shall take all appropriate measures to eliminate discrimination against women in all matters relating to marriage and family relations and in particular shall ensure, on the basis of equality of men and women:</w:t>
      </w:r>
    </w:p>
    <w:p w:rsidR="00000000" w:rsidRDefault="00000000">
      <w:pPr>
        <w:pStyle w:val="BodyTextIndent2"/>
        <w:spacing w:after="120"/>
        <w:ind w:left="0" w:firstLine="0"/>
      </w:pPr>
      <w:r>
        <w:t>149.</w:t>
      </w:r>
      <w:r>
        <w:tab/>
        <w:t>The Law on marriage and the family, which entered into force on 17 December 1998, contains in article 2 (here and in the remainder of the commentary on article 16 of the Convention the term “article #” refers, unless another law is mentioned, to the Law on marriage and the family) the following basis for marriage and family legislation:</w:t>
      </w:r>
    </w:p>
    <w:p w:rsidR="00000000" w:rsidRDefault="00000000">
      <w:pPr>
        <w:pStyle w:val="BodyTextIndent2"/>
        <w:spacing w:after="120"/>
        <w:ind w:left="0" w:firstLine="0"/>
      </w:pPr>
      <w:r>
        <w:tab/>
        <w:t>1.</w:t>
      </w:r>
      <w:r>
        <w:tab/>
        <w:t>Marriage and the family, maternity, paternity and childhood are protected by the State.</w:t>
      </w:r>
    </w:p>
    <w:p w:rsidR="00000000" w:rsidRDefault="00000000">
      <w:pPr>
        <w:pStyle w:val="BodyTextIndent2"/>
        <w:spacing w:after="120"/>
        <w:ind w:left="0" w:firstLine="0"/>
      </w:pPr>
      <w:r>
        <w:tab/>
        <w:t>2.</w:t>
      </w:r>
      <w:r>
        <w:tab/>
        <w:t>The marriage and family legislation of the Republic of Kazakhstan is based on the principles of:</w:t>
      </w:r>
    </w:p>
    <w:p w:rsidR="00000000" w:rsidRDefault="00000000">
      <w:pPr>
        <w:pStyle w:val="BodyTextIndent2"/>
        <w:spacing w:after="120"/>
      </w:pPr>
      <w:r>
        <w:tab/>
        <w:t>(i)</w:t>
      </w:r>
      <w:r>
        <w:tab/>
        <w:t>The voluntary nature of the marriage bond between the man and the woman;</w:t>
      </w:r>
    </w:p>
    <w:p w:rsidR="00000000" w:rsidRDefault="00000000">
      <w:pPr>
        <w:pStyle w:val="BodyTextIndent2"/>
        <w:spacing w:after="120"/>
      </w:pPr>
      <w:r>
        <w:tab/>
        <w:t>(ii)</w:t>
      </w:r>
      <w:r>
        <w:tab/>
        <w:t>Equality of rights of the spouses within the family;</w:t>
      </w:r>
    </w:p>
    <w:p w:rsidR="00000000" w:rsidRDefault="00000000">
      <w:pPr>
        <w:pStyle w:val="BodyTextIndent2"/>
        <w:spacing w:after="120"/>
      </w:pPr>
      <w:r>
        <w:tab/>
        <w:t>(iii)</w:t>
      </w:r>
      <w:r>
        <w:tab/>
        <w:t>The inadmissibility of arbitrary interference by anyone in a family’s affairs;</w:t>
      </w:r>
    </w:p>
    <w:p w:rsidR="00000000" w:rsidRDefault="00000000">
      <w:pPr>
        <w:pStyle w:val="BodyTextIndent2"/>
        <w:spacing w:after="120"/>
      </w:pPr>
      <w:r>
        <w:tab/>
        <w:t>(iv)</w:t>
      </w:r>
      <w:r>
        <w:tab/>
        <w:t>The settlement of family matters on the basis of mutual consent;</w:t>
      </w:r>
    </w:p>
    <w:p w:rsidR="00000000" w:rsidRDefault="00000000">
      <w:pPr>
        <w:pStyle w:val="BodyTextIndent2"/>
        <w:spacing w:after="120"/>
      </w:pPr>
      <w:r>
        <w:tab/>
        <w:t>(v)</w:t>
      </w:r>
      <w:r>
        <w:tab/>
        <w:t>The priority of bringing up children within the family, and taking care of their development and welfare;</w:t>
      </w:r>
    </w:p>
    <w:p w:rsidR="00000000" w:rsidRDefault="00000000">
      <w:pPr>
        <w:pStyle w:val="BodyTextIndent2"/>
        <w:spacing w:after="120"/>
      </w:pPr>
      <w:r>
        <w:tab/>
        <w:t>(vi)</w:t>
      </w:r>
      <w:r>
        <w:tab/>
        <w:t>The priority protection of the rights and interests of underaged and disabled family members;</w:t>
      </w:r>
    </w:p>
    <w:p w:rsidR="00000000" w:rsidRDefault="00000000">
      <w:pPr>
        <w:pStyle w:val="BodyTextIndent2"/>
        <w:spacing w:after="120"/>
      </w:pPr>
      <w:r>
        <w:tab/>
        <w:t>(vii)</w:t>
      </w:r>
      <w:r>
        <w:tab/>
        <w:t>Ensuring the unimpeded enjoyment by family members of their rights and the possibility of court protection of those rights;</w:t>
      </w:r>
    </w:p>
    <w:p w:rsidR="00000000" w:rsidRDefault="00000000">
      <w:pPr>
        <w:pStyle w:val="BodyTextIndent2"/>
        <w:spacing w:after="120"/>
      </w:pPr>
      <w:r>
        <w:tab/>
        <w:t>(viii)</w:t>
      </w:r>
      <w:r>
        <w:tab/>
        <w:t>Stimulating a healthy way of life for all family members.</w:t>
      </w:r>
    </w:p>
    <w:p w:rsidR="00000000" w:rsidRDefault="00000000">
      <w:pPr>
        <w:pStyle w:val="D12r"/>
      </w:pPr>
    </w:p>
    <w:p w:rsidR="00000000" w:rsidRDefault="00000000">
      <w:pPr>
        <w:pStyle w:val="BodyTextIndent2"/>
        <w:spacing w:after="120"/>
        <w:ind w:left="0" w:firstLine="0"/>
        <w:rPr>
          <w:b/>
        </w:rPr>
      </w:pPr>
      <w:r>
        <w:rPr>
          <w:b/>
        </w:rPr>
        <w:tab/>
        <w:t>(a)</w:t>
      </w:r>
      <w:r>
        <w:rPr>
          <w:b/>
        </w:rPr>
        <w:tab/>
        <w:t>The same right to enter into marriage;</w:t>
      </w:r>
    </w:p>
    <w:p w:rsidR="00000000" w:rsidRDefault="00000000">
      <w:pPr>
        <w:pStyle w:val="BodyTextIndent2"/>
        <w:spacing w:after="120"/>
        <w:ind w:left="0" w:firstLine="0"/>
      </w:pPr>
      <w:r>
        <w:t>150.</w:t>
      </w:r>
      <w:r>
        <w:tab/>
        <w:t>Article 2 establishes the principle of voluntariness in the marriage bond between a man and a woman, equality of spouses in the family, settlement of family matters on the basis of mutual consent, and the prohibition of all forms of restricting citizens’ rights in entering into marriage and in family relations on the basis of social status, race, nationality, language or religious affiliation.</w:t>
      </w:r>
    </w:p>
    <w:p w:rsidR="00000000" w:rsidRDefault="00000000">
      <w:pPr>
        <w:pStyle w:val="BodyTextIndent2"/>
        <w:spacing w:after="120"/>
        <w:ind w:left="0" w:firstLine="0"/>
      </w:pPr>
      <w:r>
        <w:t>151.</w:t>
      </w:r>
      <w:r>
        <w:tab/>
        <w:t>The Marriage and Family Code of 6 August 1996 established the age of marriage for men and women as 18 years (article 16). In exceptional circumstances, the local executive authorities can lower the age of marriage by one year, but only for women.</w:t>
      </w:r>
    </w:p>
    <w:p w:rsidR="00000000" w:rsidRDefault="00000000">
      <w:pPr>
        <w:pStyle w:val="BodyTextIndent2"/>
        <w:spacing w:after="120"/>
        <w:ind w:left="0" w:firstLine="0"/>
      </w:pPr>
      <w:r>
        <w:tab/>
        <w:t>The Law of 23 December 1992 established the age of marriage for men as 18 years and for women 17 years. In exceptional cases, the local executive authorities could lower the age of marriage, but not by more than one year.</w:t>
      </w:r>
    </w:p>
    <w:p w:rsidR="00000000" w:rsidRDefault="00000000">
      <w:pPr>
        <w:pStyle w:val="BodyTextIndent2"/>
        <w:spacing w:after="120"/>
        <w:ind w:left="0" w:firstLine="0"/>
      </w:pPr>
      <w:r>
        <w:tab/>
        <w:t>The Law on marriage and the family of 17 December 1998, in article 10, established the age of marriage as 18 years for both men and women, providing in exceptional cases for the lowering of the age of marriage by up to two years but only with the consent of the parents or guardians. All provisions regarding the age of marriage which existed in previous editions of marriage and family legislation and which were discriminatory on grounds of sex have thereby been removed.</w:t>
      </w:r>
    </w:p>
    <w:p w:rsidR="00000000" w:rsidRDefault="00000000">
      <w:pPr>
        <w:pStyle w:val="BodyTextIndent2"/>
        <w:spacing w:after="120"/>
        <w:ind w:left="0" w:firstLine="0"/>
      </w:pPr>
      <w:r>
        <w:t>152.</w:t>
      </w:r>
      <w:r>
        <w:tab/>
        <w:t>Marriage between persons at least one of whom is already in another registered marriage is prohibited (article 11).</w:t>
      </w:r>
    </w:p>
    <w:p w:rsidR="00000000" w:rsidRDefault="00000000">
      <w:pPr>
        <w:pStyle w:val="BodyTextIndent2"/>
        <w:spacing w:after="120"/>
        <w:ind w:left="0" w:firstLine="0"/>
      </w:pPr>
      <w:r>
        <w:tab/>
        <w:t>The Criminal Code which was in force until 1 January 1998 stated that bigamy and polygamy were punishable by imprisonment for up to two years (article 107). Bigamy and polygamy were interpreted as cohabitation with two or more women in a joint household irrespective of whether the marriage was officially registered.</w:t>
      </w:r>
    </w:p>
    <w:p w:rsidR="00000000" w:rsidRDefault="00000000">
      <w:pPr>
        <w:pStyle w:val="BodyTextIndent2"/>
        <w:spacing w:after="120"/>
        <w:ind w:left="0" w:firstLine="0"/>
      </w:pPr>
      <w:r>
        <w:tab/>
        <w:t>This crime was not included in the new Criminal Code, which entered into force on 1 January 1998.</w:t>
      </w:r>
    </w:p>
    <w:p w:rsidR="00000000" w:rsidRDefault="00000000">
      <w:pPr>
        <w:pStyle w:val="BodyTextIndent2"/>
        <w:spacing w:after="120"/>
        <w:ind w:left="0" w:firstLine="0"/>
      </w:pPr>
      <w:r>
        <w:tab/>
        <w:t>Polygamy is traditionally not widespread in Kazakhstan, and most cases occur in the southern regions of the Republic.</w:t>
      </w:r>
    </w:p>
    <w:p w:rsidR="00000000" w:rsidRDefault="00000000">
      <w:pPr>
        <w:pStyle w:val="D12r"/>
      </w:pPr>
    </w:p>
    <w:p w:rsidR="00000000" w:rsidRDefault="00000000">
      <w:pPr>
        <w:pStyle w:val="BodyTextIndent2"/>
        <w:keepNext/>
        <w:keepLines/>
        <w:spacing w:after="120"/>
        <w:ind w:left="0" w:firstLine="0"/>
        <w:rPr>
          <w:b/>
        </w:rPr>
      </w:pPr>
      <w:r>
        <w:rPr>
          <w:b/>
        </w:rPr>
        <w:tab/>
        <w:t>(b)</w:t>
      </w:r>
      <w:r>
        <w:rPr>
          <w:b/>
        </w:rPr>
        <w:tab/>
        <w:t>The same right freely to choose a spouse and to enter into marriage only with their free and full consent;</w:t>
      </w:r>
    </w:p>
    <w:p w:rsidR="00000000" w:rsidRDefault="00000000">
      <w:pPr>
        <w:pStyle w:val="BodyTextIndent2"/>
        <w:keepNext/>
        <w:keepLines/>
        <w:spacing w:after="120"/>
        <w:ind w:left="0" w:firstLine="0"/>
      </w:pPr>
      <w:r>
        <w:t>153.</w:t>
      </w:r>
      <w:r>
        <w:tab/>
        <w:t>The Law on marriage and the family gives the following definition of marriage:</w:t>
      </w:r>
    </w:p>
    <w:p w:rsidR="00000000" w:rsidRDefault="00000000">
      <w:pPr>
        <w:pStyle w:val="BodyTextIndent2"/>
        <w:spacing w:after="120"/>
        <w:ind w:left="0" w:firstLine="0"/>
      </w:pPr>
      <w:r>
        <w:tab/>
        <w:t>Marriage is an equal union between a man and a woman concluded with the free and full consent of the parties in accordance with the established law and with the purpose of creating a family, generating property and personal non-property relations between the spouses.</w:t>
      </w:r>
    </w:p>
    <w:p w:rsidR="00000000" w:rsidRDefault="00000000">
      <w:pPr>
        <w:pStyle w:val="BodyTextIndent2"/>
        <w:spacing w:after="120"/>
        <w:ind w:left="0" w:firstLine="0"/>
      </w:pPr>
      <w:r>
        <w:t>154.</w:t>
      </w:r>
      <w:r>
        <w:tab/>
        <w:t>The Criminal Code which was in force until 1 January 1998 provided for a penalty of up to one year’s imprisonment (art. 106) for coercion to enter into a marriage or coercion to continue marital cohabitation and also for preventing a woman entering into marriage by her own choice.</w:t>
      </w:r>
    </w:p>
    <w:p w:rsidR="00000000" w:rsidRDefault="00000000">
      <w:pPr>
        <w:pStyle w:val="BodyTextIndent2"/>
        <w:spacing w:after="120"/>
        <w:ind w:left="0" w:firstLine="0"/>
      </w:pPr>
      <w:r>
        <w:tab/>
        <w:t>The same article stated that abducting a woman against her will was punishable by imprisonment for up to three years.</w:t>
      </w:r>
    </w:p>
    <w:p w:rsidR="00000000" w:rsidRDefault="00000000">
      <w:pPr>
        <w:pStyle w:val="BodyTextIndent2"/>
        <w:spacing w:after="120"/>
        <w:ind w:left="0" w:firstLine="0"/>
      </w:pPr>
      <w:r>
        <w:tab/>
        <w:t>These elements of the crime were not included in the new Criminal Code, which entered into force on 1 January 1998.</w:t>
      </w:r>
    </w:p>
    <w:p w:rsidR="00000000" w:rsidRDefault="00000000">
      <w:pPr>
        <w:pStyle w:val="D12r"/>
      </w:pPr>
    </w:p>
    <w:p w:rsidR="00000000" w:rsidRDefault="00000000">
      <w:pPr>
        <w:pStyle w:val="BodyTextIndent2"/>
        <w:spacing w:after="120"/>
        <w:ind w:left="0" w:firstLine="0"/>
        <w:rPr>
          <w:b/>
        </w:rPr>
      </w:pPr>
      <w:r>
        <w:rPr>
          <w:b/>
        </w:rPr>
        <w:tab/>
        <w:t>(c)</w:t>
      </w:r>
      <w:r>
        <w:rPr>
          <w:b/>
        </w:rPr>
        <w:tab/>
        <w:t>The same rights and responsibilities during marriage and at its dissolution;</w:t>
      </w:r>
    </w:p>
    <w:p w:rsidR="00000000" w:rsidRDefault="00000000">
      <w:pPr>
        <w:pStyle w:val="BodyTextIndent2"/>
        <w:spacing w:after="120"/>
        <w:ind w:left="0" w:firstLine="0"/>
      </w:pPr>
      <w:r>
        <w:t>155.</w:t>
      </w:r>
      <w:r>
        <w:tab/>
        <w:t>Spouses enjoy equal rights and bear equal responsibilities (art. 29). Each spouse is free to choose his or her type of activity, profession and place of residence. Questions relating to the upbringing and education of children and other questions relating to family life are decided jointly by the spouses. Spouses are obliged to build their family relations on the basis of reciprocity, respect and mutual assistance, to promote the well-being and strengthening of the family and to care for the health, development and welfare of their children.</w:t>
      </w:r>
    </w:p>
    <w:p w:rsidR="00000000" w:rsidRDefault="00000000">
      <w:pPr>
        <w:pStyle w:val="BodyTextIndent2"/>
        <w:spacing w:after="120"/>
        <w:ind w:left="0" w:firstLine="0"/>
      </w:pPr>
      <w:r>
        <w:t>156.</w:t>
      </w:r>
      <w:r>
        <w:tab/>
        <w:t>Marriage may be terminated by dissolution on the application of one or both spouses or on the application of the guardian of a spouse recognized by the court as incapable (art. 15). Dissolution of a marriage without the consent of the wife is not permitted during her pregnancy or during the first year of the child’s life.</w:t>
      </w:r>
    </w:p>
    <w:p w:rsidR="00000000" w:rsidRDefault="00000000">
      <w:pPr>
        <w:pStyle w:val="BodyTextIndent2"/>
        <w:spacing w:after="120"/>
        <w:ind w:left="0" w:firstLine="0"/>
      </w:pPr>
      <w:r>
        <w:tab/>
        <w:t>Dissolution of a marriage shall be registered with an official registry office in the event of the mutual consent of the two spouses to the dissolution of the marriage (art. 16).</w:t>
      </w:r>
    </w:p>
    <w:p w:rsidR="00000000" w:rsidRDefault="00000000">
      <w:pPr>
        <w:pStyle w:val="BodyTextIndent2"/>
        <w:spacing w:after="120"/>
        <w:ind w:left="0" w:firstLine="0"/>
      </w:pPr>
      <w:r>
        <w:tab/>
        <w:t>Disputes arising between the spouses on dissolution of the marriage at the registry office shall be reviewed by the court (art. 17).</w:t>
      </w:r>
    </w:p>
    <w:p w:rsidR="00000000" w:rsidRDefault="00000000">
      <w:pPr>
        <w:pStyle w:val="D12r"/>
      </w:pPr>
    </w:p>
    <w:p w:rsidR="00000000" w:rsidRDefault="00000000">
      <w:pPr>
        <w:pStyle w:val="BodyTextIndent2"/>
        <w:spacing w:after="120"/>
        <w:ind w:left="0" w:firstLine="0"/>
        <w:rPr>
          <w:b/>
        </w:rPr>
      </w:pPr>
      <w:r>
        <w:rPr>
          <w:b/>
        </w:rPr>
        <w:tab/>
        <w:t>(d)</w:t>
      </w:r>
      <w:r>
        <w:rPr>
          <w:b/>
        </w:rPr>
        <w:tab/>
        <w:t xml:space="preserve">The same rights and responsibilities as parents, irrespective of their marital status, in matters relating to their children; in all cases the interests of the children shall be paramount; </w:t>
      </w:r>
    </w:p>
    <w:p w:rsidR="00000000" w:rsidRDefault="00000000">
      <w:pPr>
        <w:pStyle w:val="BodyTextIndent2"/>
        <w:spacing w:after="120"/>
        <w:ind w:left="0" w:firstLine="0"/>
      </w:pPr>
      <w:r>
        <w:t>157.</w:t>
      </w:r>
      <w:r>
        <w:tab/>
        <w:t>The Law on marriage and the family considers the rights and responsibilities of parents in matters relating to their children irrespective of whether the parents are married to each other.</w:t>
      </w:r>
    </w:p>
    <w:p w:rsidR="00000000" w:rsidRDefault="00000000">
      <w:pPr>
        <w:pStyle w:val="BodyTextIndent2"/>
        <w:spacing w:after="120"/>
        <w:ind w:left="0" w:firstLine="0"/>
      </w:pPr>
      <w:r>
        <w:tab/>
        <w:t>Children born out of wedlock enjoy the same rights and responsibilities as children born to persons who are married to each other (art. 51).</w:t>
      </w:r>
    </w:p>
    <w:p w:rsidR="00000000" w:rsidRDefault="00000000">
      <w:pPr>
        <w:pStyle w:val="BodyTextIndent2"/>
        <w:spacing w:after="120"/>
        <w:ind w:left="0" w:firstLine="0"/>
      </w:pPr>
      <w:r>
        <w:tab/>
        <w:t>Parents have equal rights and bear equal responsibilities in matters relating to their children (art. 60).</w:t>
      </w:r>
    </w:p>
    <w:p w:rsidR="00000000" w:rsidRDefault="00000000">
      <w:pPr>
        <w:pStyle w:val="BodyTextIndent2"/>
        <w:spacing w:after="120"/>
        <w:ind w:left="0" w:firstLine="0"/>
      </w:pPr>
      <w:r>
        <w:tab/>
        <w:t>All questions relating to the upbringing and education of children are to be resolved by the parents by mutual agreement, on the basis of the interests of the children and taking into account the views of the children. In the event of a dispute between the parents, they (or one of them) shall have the right to apply to a guardianship authority or to the court for a decision (art. 62).</w:t>
      </w:r>
    </w:p>
    <w:p w:rsidR="00000000" w:rsidRDefault="00000000">
      <w:pPr>
        <w:pStyle w:val="BodyTextIndent2"/>
        <w:spacing w:after="120"/>
        <w:ind w:left="0" w:firstLine="0"/>
      </w:pPr>
      <w:r>
        <w:tab/>
        <w:t>Parental rights may not be exercised in a manner contrary to the interests of the children. Guaranteeing the interests of the children must be the main concern of their parents.</w:t>
      </w:r>
    </w:p>
    <w:p w:rsidR="00000000" w:rsidRDefault="00000000">
      <w:pPr>
        <w:pStyle w:val="BodyTextIndent2"/>
        <w:spacing w:after="120"/>
        <w:ind w:left="0" w:firstLine="0"/>
      </w:pPr>
      <w:r>
        <w:tab/>
        <w:t>In exercising their rights, parents shall not have the right to cause bodily or psychological harm to their children or to their moral development. The methods of bringing up children shall exclude scornful, cruel, rough and humiliating types of treatment, as well as the abuse and exploitation of children (art. 64).</w:t>
      </w:r>
    </w:p>
    <w:p w:rsidR="00000000" w:rsidRDefault="00000000">
      <w:pPr>
        <w:pStyle w:val="BodyTextIndent2"/>
        <w:spacing w:after="120"/>
        <w:ind w:left="0" w:firstLine="0"/>
      </w:pPr>
      <w:r>
        <w:t>158.</w:t>
      </w:r>
      <w:r>
        <w:tab/>
        <w:t>The filiation of a child (art. 46) born to parents who are married to each other is confirmed by the registration of the parents’ marriage.</w:t>
      </w:r>
    </w:p>
    <w:p w:rsidR="00000000" w:rsidRDefault="00000000">
      <w:pPr>
        <w:pStyle w:val="BodyTextIndent2"/>
        <w:spacing w:after="120"/>
        <w:ind w:left="0" w:firstLine="0"/>
      </w:pPr>
      <w:r>
        <w:tab/>
        <w:t>In the case of the birth of a child within 270 days from the date of dissolution or annulment of a marriage or from the date of death of the husband of the child’s mother, the mother’s former husband is recognized as the father of the child, unless it is proved otherwise.</w:t>
      </w:r>
    </w:p>
    <w:p w:rsidR="00000000" w:rsidRDefault="00000000">
      <w:pPr>
        <w:pStyle w:val="BodyTextIndent2"/>
        <w:spacing w:after="120"/>
        <w:ind w:left="0" w:firstLine="0"/>
      </w:pPr>
      <w:r>
        <w:tab/>
        <w:t>If the mother of the child declares that her husband (or former husband) is not the father, the paternity of the child is established by the courts.</w:t>
      </w:r>
    </w:p>
    <w:p w:rsidR="00000000" w:rsidRDefault="00000000">
      <w:pPr>
        <w:pStyle w:val="BodyTextIndent2"/>
        <w:spacing w:after="120"/>
        <w:ind w:left="0" w:firstLine="0"/>
      </w:pPr>
      <w:r>
        <w:tab/>
        <w:t>The filiation of a child born out of wedlock to the mother (maternity) is established on the basis of documents confirming the birth of the child to the mother at a medical facility, or, in the event of the birth of the child outside a medical facility, on the basis of medical documents testifying to the fact or other evidence.</w:t>
      </w:r>
    </w:p>
    <w:p w:rsidR="00000000" w:rsidRDefault="00000000">
      <w:pPr>
        <w:pStyle w:val="BodyTextIndent2"/>
        <w:spacing w:after="120"/>
        <w:ind w:left="0" w:firstLine="0"/>
      </w:pPr>
      <w:r>
        <w:tab/>
        <w:t>The paternity of a person who is not married to the child’s mother is established by the submission to the registry office of a joint declaration by the father and mother of the child; in the event that the mother has died or has been declared incapable, or if her whereabouts cannot be established or if she has been deprived of her parental rights, paternity is established by a declaration by the father of the child with the consent of the guardianship authority, or, in the absence of such consent, by a decision of a court.</w:t>
      </w:r>
    </w:p>
    <w:p w:rsidR="00000000" w:rsidRDefault="00000000">
      <w:pPr>
        <w:pStyle w:val="BodyTextIndent2"/>
        <w:spacing w:after="120"/>
        <w:ind w:left="0" w:firstLine="0"/>
      </w:pPr>
      <w:r>
        <w:tab/>
        <w:t>If the authenticity of the paternity of a man who is not the husband of the mother has been established, the mother has the right to demand from him, through the courts, the appropriate financial support to cover the expenses of her maintenance during the antenatal and postnatal periods. The amount of the financial support is determined by the court, on the basis of the material and family status and other valid interests of the parties and in accordance with the accounting index in force at the time of payment of the financial support.</w:t>
      </w:r>
    </w:p>
    <w:p w:rsidR="00000000" w:rsidRDefault="00000000">
      <w:pPr>
        <w:pStyle w:val="BodyTextIndent2"/>
        <w:spacing w:after="120"/>
        <w:ind w:left="0" w:firstLine="0"/>
      </w:pPr>
      <w:r>
        <w:tab/>
        <w:t>In the absence of a joint declaration by the parents or a declaration by the father of the child (art. 47), the filiation of the child to a certain person (paternity) is established by the courts on the application of one of the parents, the guardian of the child or the person at whose expense the child is being maintained, and also on the application of the child himself or herself on attaining his or her majority. In such case, the court shall take into consideration the evidence which reliably confirms the filiation of the child to a certain person.</w:t>
      </w:r>
    </w:p>
    <w:p w:rsidR="00000000" w:rsidRDefault="00000000">
      <w:pPr>
        <w:pStyle w:val="BodyTextIndent2"/>
        <w:spacing w:after="120"/>
        <w:ind w:left="0" w:firstLine="0"/>
      </w:pPr>
      <w:r>
        <w:tab/>
        <w:t>In the event of the death of a person who has acknowledged that he is the father of a child (art. 48) but who was not married to the child’s mother, the fact that he acknowledged paternity may be established by the courts according to the rules established by the legislation on civil procedure.</w:t>
      </w:r>
    </w:p>
    <w:p w:rsidR="00000000" w:rsidRDefault="00000000">
      <w:pPr>
        <w:pStyle w:val="BodyTextIndent2"/>
        <w:spacing w:after="120"/>
        <w:ind w:left="0" w:firstLine="0"/>
      </w:pPr>
      <w:r>
        <w:tab/>
        <w:t>A child has the right to a relationship with both parents.</w:t>
      </w:r>
    </w:p>
    <w:p w:rsidR="00000000" w:rsidRDefault="00000000">
      <w:pPr>
        <w:pStyle w:val="BodyTextIndent2"/>
        <w:spacing w:after="120"/>
        <w:ind w:left="0" w:firstLine="0"/>
      </w:pPr>
      <w:r>
        <w:tab/>
        <w:t>In the event that the parents live apart, the child has the right to a relationship with each of them. The child has the right to a relationship with his or her parents also in the event of them living in different States (art. 53).</w:t>
      </w:r>
    </w:p>
    <w:p w:rsidR="00000000" w:rsidRDefault="00000000">
      <w:pPr>
        <w:pStyle w:val="BodyTextIndent2"/>
        <w:spacing w:after="120"/>
        <w:ind w:left="0" w:firstLine="0"/>
      </w:pPr>
      <w:r>
        <w:tab/>
        <w:t>A parent who is living apart from the child (art. 65) has the right to a relationship with the child, and to participate in his or her upbringing and in decisions on matters relating to the education of the child.</w:t>
      </w:r>
    </w:p>
    <w:p w:rsidR="00000000" w:rsidRDefault="00000000">
      <w:pPr>
        <w:pStyle w:val="BodyTextIndent2"/>
        <w:spacing w:after="120"/>
        <w:ind w:left="0" w:firstLine="0"/>
      </w:pPr>
      <w:r>
        <w:tab/>
        <w:t>The place of residence of children in cases where the parents are living apart is established by agreement between the parents.</w:t>
      </w:r>
    </w:p>
    <w:p w:rsidR="00000000" w:rsidRDefault="00000000">
      <w:pPr>
        <w:pStyle w:val="BodyTextIndent2"/>
        <w:spacing w:after="120"/>
        <w:ind w:left="0" w:firstLine="0"/>
      </w:pPr>
      <w:r>
        <w:tab/>
        <w:t>In the absence of such agreement, the dispute between the parents is settled by the courts, on the basis of the interests of the children and taking their views into account.</w:t>
      </w:r>
    </w:p>
    <w:p w:rsidR="00000000" w:rsidRDefault="00000000">
      <w:pPr>
        <w:pStyle w:val="BodyTextIndent2"/>
        <w:spacing w:after="120"/>
        <w:ind w:left="0" w:firstLine="0"/>
      </w:pPr>
      <w:r>
        <w:tab/>
        <w:t>Parents have the right to conclude a written agreement on the manner in which the parental rights of a parent living apart from the child are to be exercised.</w:t>
      </w:r>
    </w:p>
    <w:p w:rsidR="00000000" w:rsidRDefault="00000000">
      <w:pPr>
        <w:pStyle w:val="BodyTextIndent2"/>
        <w:spacing w:after="120"/>
        <w:ind w:left="0" w:firstLine="0"/>
      </w:pPr>
      <w:r>
        <w:tab/>
        <w:t>If the parents cannot reach agreement, the dispute is settled by the courts with the participation of the guardianship authority at the request of the parents (or of one of them).</w:t>
      </w:r>
    </w:p>
    <w:p w:rsidR="00000000" w:rsidRDefault="00000000">
      <w:pPr>
        <w:pStyle w:val="BodyTextIndent2"/>
        <w:spacing w:after="120"/>
        <w:ind w:left="0" w:firstLine="0"/>
      </w:pPr>
      <w:r>
        <w:tab/>
        <w:t>In the event of a deliberate failure to comply with the decision of the court, the court, at the request of the parent living apart from the child, may decide to transfer the child to that parent, on the basis of the interests of the child and taking the child’s views into account.</w:t>
      </w:r>
    </w:p>
    <w:p w:rsidR="00000000" w:rsidRDefault="00000000">
      <w:pPr>
        <w:pStyle w:val="BodyTextIndent2"/>
        <w:spacing w:after="120"/>
        <w:ind w:left="0" w:firstLine="0"/>
      </w:pPr>
      <w:r>
        <w:t>159.</w:t>
      </w:r>
      <w:r>
        <w:tab/>
        <w:t>The parents (or one of them) may be deprived of their parental rights (article 67) if they: avoid fulfilling their obligations as parents; abuse their parental rights; treat the children cruelly, for example by using physical or psychological violence against them or sexually abusing them; or have been recognized legally as suffering from alcoholism, drug abuse or solvent abuse.</w:t>
      </w:r>
    </w:p>
    <w:p w:rsidR="00000000" w:rsidRDefault="00000000">
      <w:pPr>
        <w:pStyle w:val="BodyTextIndent2"/>
        <w:spacing w:after="120"/>
        <w:ind w:left="0" w:firstLine="0"/>
      </w:pPr>
      <w:r>
        <w:t>2.</w:t>
      </w:r>
      <w:r>
        <w:tab/>
        <w:t>Parents (or one of them) may be deprived of parental rights if they have deliberately committed a crime against the life or health of their children or spouse.</w:t>
      </w:r>
    </w:p>
    <w:p w:rsidR="00000000" w:rsidRDefault="00000000">
      <w:pPr>
        <w:pStyle w:val="BodyTextIndent2"/>
        <w:spacing w:after="120"/>
        <w:ind w:left="0" w:firstLine="0"/>
      </w:pPr>
      <w:r>
        <w:tab/>
        <w:t>Deprivation of parental rights is decided on by the courts (art. 68).</w:t>
      </w:r>
    </w:p>
    <w:p w:rsidR="00000000" w:rsidRDefault="00000000">
      <w:pPr>
        <w:pStyle w:val="BodyTextIndent2"/>
        <w:spacing w:after="120"/>
        <w:ind w:left="0" w:firstLine="0"/>
      </w:pPr>
      <w:r>
        <w:tab/>
        <w:t>Deprivation of parental rights does not relieve parents of the responsibility of providing for the maintenance of their child (art. 69), a responsibility which ceases with the adoption of the child. At the request of parents (or one of them) who have been deprived of parental rights, the guardianship authority may permit meetings with the child if that does not expose the child to a harmful influence.</w:t>
      </w:r>
    </w:p>
    <w:p w:rsidR="00000000" w:rsidRDefault="00000000">
      <w:pPr>
        <w:pStyle w:val="BodyTextIndent2"/>
        <w:spacing w:after="120"/>
        <w:ind w:left="0" w:firstLine="0"/>
      </w:pPr>
      <w:r>
        <w:tab/>
        <w:t>The court may, taking into account the interests of the child, decide to limit parental rights by removing a child from the parents (or one of them) without depriving them of their parental rights (art. 71).</w:t>
      </w:r>
    </w:p>
    <w:p w:rsidR="00000000" w:rsidRDefault="00000000">
      <w:pPr>
        <w:pStyle w:val="BodyTextIndent2"/>
        <w:spacing w:after="120"/>
        <w:ind w:left="0" w:firstLine="0"/>
      </w:pPr>
      <w:r>
        <w:tab/>
        <w:t>Limitation of parental rights does not relieve parents of their responsibility for the upkeep of the child (art. 72). Parents whose parental rights have been limited by a court may be allowed contact with the child if that does not expose the child to a harmful influence.</w:t>
      </w:r>
    </w:p>
    <w:p w:rsidR="00000000" w:rsidRDefault="00000000">
      <w:pPr>
        <w:pStyle w:val="BodyTextIndent2"/>
        <w:spacing w:after="120"/>
        <w:ind w:left="0" w:firstLine="0"/>
      </w:pPr>
      <w:r>
        <w:tab/>
        <w:t>In the event of a direct threat to the life or health of a child (art. 74) the guardianship authority has the right to remove the child immediately from the parents (or one of them) or from other persons who are caring for the child.</w:t>
      </w:r>
    </w:p>
    <w:p w:rsidR="00000000" w:rsidRDefault="00000000">
      <w:pPr>
        <w:pStyle w:val="BodyTextIndent2"/>
        <w:spacing w:after="120"/>
        <w:ind w:left="0" w:firstLine="0"/>
      </w:pPr>
      <w:r>
        <w:t>160.</w:t>
      </w:r>
      <w:r>
        <w:tab/>
        <w:t>The Law of 6 December 1990 (art. 66.4) grants not only the mother but also the father and any other relative of a child under three years of age who is hospitalized and also of a seriously ill older child the opportunity to be with him or her in the medical facility and to receive social security benefits while there.</w:t>
      </w:r>
    </w:p>
    <w:p w:rsidR="00000000" w:rsidRDefault="00000000">
      <w:pPr>
        <w:pStyle w:val="D12r"/>
      </w:pPr>
    </w:p>
    <w:p w:rsidR="00000000" w:rsidRDefault="00000000">
      <w:pPr>
        <w:pStyle w:val="BodyTextIndent2"/>
        <w:spacing w:after="120"/>
        <w:ind w:left="0" w:firstLine="0"/>
      </w:pPr>
      <w:r>
        <w:rPr>
          <w:b/>
        </w:rPr>
        <w:tab/>
        <w:t>(e)</w:t>
      </w:r>
      <w:r>
        <w:rPr>
          <w:b/>
        </w:rPr>
        <w:tab/>
        <w:t xml:space="preserve">The same rights to decide freely and responsibly on the number and spacing of their children and to have access to the information, education and means to enable them to exercise these rights; </w:t>
      </w:r>
    </w:p>
    <w:p w:rsidR="00000000" w:rsidRDefault="00000000">
      <w:pPr>
        <w:pStyle w:val="BodyTextIndent2"/>
        <w:spacing w:after="120"/>
        <w:ind w:left="0" w:firstLine="0"/>
      </w:pPr>
      <w:r>
        <w:t>161.</w:t>
      </w:r>
      <w:r>
        <w:tab/>
        <w:t>Questions relating to the maternity, paternity, upbringing and education of children and other questions relating to family life shall be decided by the spouses jointly (art. 29).</w:t>
      </w:r>
    </w:p>
    <w:p w:rsidR="00000000" w:rsidRDefault="00000000">
      <w:pPr>
        <w:pStyle w:val="BodyTextIndent2"/>
        <w:spacing w:after="120"/>
        <w:ind w:left="0" w:firstLine="0"/>
      </w:pPr>
      <w:r>
        <w:tab/>
        <w:t>Persons wishing to enter into marriage have the right to consultation and medical and medical-genetic examination and advice on reproductive health protection questions at specialized health-care institutions, but only with the mutual consent of both parties entering into the marriage (art. 12).</w:t>
      </w:r>
    </w:p>
    <w:p w:rsidR="00000000" w:rsidRDefault="00000000">
      <w:pPr>
        <w:pStyle w:val="BodyTextIndent2"/>
        <w:spacing w:after="120"/>
        <w:ind w:left="0" w:firstLine="0"/>
      </w:pPr>
      <w:r>
        <w:t>162.</w:t>
      </w:r>
      <w:r>
        <w:tab/>
        <w:t>Forcing a woman to have an abortion (art. 109) is punishable by corrective labour for a period of up to one year. If the abortion has serious consequences, the punishment is imprisonment for up to two years.</w:t>
      </w:r>
    </w:p>
    <w:p w:rsidR="00000000" w:rsidRDefault="00000000">
      <w:pPr>
        <w:pStyle w:val="BodyTextIndent2"/>
        <w:spacing w:after="120"/>
        <w:ind w:left="0" w:firstLine="0"/>
      </w:pPr>
      <w:r>
        <w:tab/>
        <w:t>This element of a crime was not included in the new Criminal Code, which entered into force on 1 January 1998.</w:t>
      </w:r>
    </w:p>
    <w:p w:rsidR="00000000" w:rsidRDefault="00000000">
      <w:pPr>
        <w:pStyle w:val="BodyTextIndent2"/>
        <w:spacing w:after="120"/>
        <w:ind w:left="0" w:firstLine="0"/>
      </w:pPr>
      <w:r>
        <w:t>163.</w:t>
      </w:r>
      <w:r>
        <w:tab/>
        <w:t>The National Plan of Action to improve the Status of Women in the Republic of Kazakhstan, adopted by the Government on 19 July 1999, calls for the preparation in 2000 of draft legislation on human reproductive rights and guarantees of their implementation.</w:t>
      </w:r>
    </w:p>
    <w:p w:rsidR="00000000" w:rsidRDefault="00000000">
      <w:pPr>
        <w:pStyle w:val="D12r"/>
      </w:pPr>
    </w:p>
    <w:p w:rsidR="00000000" w:rsidRDefault="00000000">
      <w:pPr>
        <w:pStyle w:val="BodyTextIndent2"/>
        <w:keepNext/>
        <w:keepLines/>
        <w:spacing w:after="120"/>
        <w:ind w:left="0" w:firstLine="0"/>
      </w:pPr>
      <w:r>
        <w:rPr>
          <w:b/>
        </w:rPr>
        <w:tab/>
        <w:t>(f)</w:t>
      </w:r>
      <w:r>
        <w:rPr>
          <w:b/>
        </w:rPr>
        <w:tab/>
        <w:t xml:space="preserve">The same rights and responsibilities with regard to guardianship, wardship, trusteeship and adoption of children, or similar institutions where these concepts exist in national legislation; in all cases the interests of the children shall be paramount; </w:t>
      </w:r>
    </w:p>
    <w:p w:rsidR="00000000" w:rsidRDefault="00000000">
      <w:pPr>
        <w:pStyle w:val="BodyTextIndent2"/>
        <w:keepNext/>
        <w:keepLines/>
        <w:spacing w:after="120"/>
        <w:ind w:left="0" w:firstLine="0"/>
      </w:pPr>
      <w:r>
        <w:t>164.</w:t>
      </w:r>
      <w:r>
        <w:tab/>
        <w:t>Parents are the legal representatives of their children (art. 63) and defend their rights and interests in relations with any individuals and bodies corporate, including the courts, without any special powers.</w:t>
      </w:r>
    </w:p>
    <w:p w:rsidR="00000000" w:rsidRDefault="00000000">
      <w:pPr>
        <w:pStyle w:val="BodyTextIndent2"/>
        <w:spacing w:after="120"/>
        <w:ind w:left="0" w:firstLine="0"/>
      </w:pPr>
      <w:r>
        <w:t>165.</w:t>
      </w:r>
      <w:r>
        <w:tab/>
        <w:t>Adoptive parents may be persons of full legal age of either sex (art. 80). Adoption shall be permitted if the adoptive family provides the conditions for the normal development, upbringing and education of the child. Persons who are not married to each other may not jointly adopt the same child.</w:t>
      </w:r>
    </w:p>
    <w:p w:rsidR="00000000" w:rsidRDefault="00000000">
      <w:pPr>
        <w:pStyle w:val="BodyTextIndent2"/>
        <w:spacing w:after="120"/>
        <w:ind w:left="0" w:firstLine="0"/>
      </w:pPr>
      <w:r>
        <w:tab/>
        <w:t>Adoption is permitted in the case of minor children but only if it is in their interests (art. 76).</w:t>
      </w:r>
    </w:p>
    <w:p w:rsidR="00000000" w:rsidRDefault="00000000">
      <w:pPr>
        <w:pStyle w:val="BodyTextIndent2"/>
        <w:spacing w:after="120"/>
        <w:ind w:left="0" w:firstLine="0"/>
      </w:pPr>
      <w:r>
        <w:t>166.</w:t>
      </w:r>
      <w:r>
        <w:tab/>
        <w:t>Article 81, for the first time in the legislation of Kazakhstan, establishes the minimum age difference between the adopted child and the adoptive parent if the latter is not married. This difference must be no less than 16 years, irrespective of sex. For reasons which are recognized by a court as valid, the age difference may be reduced.</w:t>
      </w:r>
    </w:p>
    <w:p w:rsidR="00000000" w:rsidRDefault="00000000">
      <w:pPr>
        <w:pStyle w:val="BodyTextIndent2"/>
        <w:spacing w:after="120"/>
        <w:ind w:left="0" w:firstLine="0"/>
      </w:pPr>
      <w:r>
        <w:tab/>
        <w:t>In the case of the adoption of a child by a stepfather (or stepmother), the age difference established in paragraph 1 of this article is not mandatory.</w:t>
      </w:r>
    </w:p>
    <w:p w:rsidR="00000000" w:rsidRDefault="00000000">
      <w:pPr>
        <w:pStyle w:val="BodyTextIndent2"/>
        <w:spacing w:after="120"/>
        <w:ind w:left="0" w:firstLine="0"/>
      </w:pPr>
      <w:r>
        <w:tab/>
        <w:t>In the case of the adoption of a child by one of the spouses (art. 85), the written agreement of the other spouse to the adoption is required unless both spouses adopt the child. The spouse’s agreement to the adoption of the child is not required if the spouses have to all intents and purposes terminated their family relationship and have been living apart for over a year and if the place of residence of the other spouse is not known.</w:t>
      </w:r>
    </w:p>
    <w:p w:rsidR="00000000" w:rsidRDefault="00000000">
      <w:pPr>
        <w:pStyle w:val="BodyTextIndent2"/>
        <w:spacing w:after="120"/>
        <w:ind w:left="0" w:firstLine="0"/>
      </w:pPr>
      <w:r>
        <w:tab/>
        <w:t>Adopted children lose their personal non-property and property rights (art. 89) and are relieved of their obligations towards their own parents (and relatives).</w:t>
      </w:r>
    </w:p>
    <w:p w:rsidR="00000000" w:rsidRDefault="00000000">
      <w:pPr>
        <w:pStyle w:val="BodyTextIndent2"/>
        <w:spacing w:after="120"/>
        <w:ind w:left="0" w:firstLine="0"/>
      </w:pPr>
      <w:r>
        <w:tab/>
        <w:t>In the case of the adoption of a child by one person, the personal non-property and property rights and obligations may be retained, at the mother’s request if the adoptive parent is a man, or at the father’s request if the adoptive parent is a woman.</w:t>
      </w:r>
    </w:p>
    <w:p w:rsidR="00000000" w:rsidRDefault="00000000">
      <w:pPr>
        <w:pStyle w:val="BodyTextIndent2"/>
        <w:spacing w:after="120"/>
        <w:ind w:left="0" w:firstLine="0"/>
      </w:pPr>
      <w:r>
        <w:t>167.</w:t>
      </w:r>
      <w:r>
        <w:tab/>
        <w:t>Only persons of full legal age, of either sex, may be a trustee or guardian (art. 108). If a person who has been appointed a trustee or guardian of a minor child is married, the consent of his or her spouse is required.</w:t>
      </w:r>
    </w:p>
    <w:p w:rsidR="00000000" w:rsidRDefault="00000000">
      <w:pPr>
        <w:pStyle w:val="D12r"/>
      </w:pPr>
    </w:p>
    <w:p w:rsidR="00000000" w:rsidRDefault="00000000">
      <w:pPr>
        <w:pStyle w:val="BodyTextIndent2"/>
        <w:spacing w:after="120"/>
        <w:ind w:left="0" w:firstLine="0"/>
      </w:pPr>
      <w:r>
        <w:rPr>
          <w:b/>
        </w:rPr>
        <w:tab/>
        <w:t>(g)</w:t>
      </w:r>
      <w:r>
        <w:rPr>
          <w:b/>
        </w:rPr>
        <w:tab/>
        <w:t xml:space="preserve">The same personal rights as husband and wife, including the right to choose a family name, a profession and an occupation; </w:t>
      </w:r>
    </w:p>
    <w:p w:rsidR="00000000" w:rsidRDefault="00000000">
      <w:pPr>
        <w:pStyle w:val="BodyTextIndent2"/>
        <w:spacing w:after="120"/>
        <w:ind w:left="0" w:firstLine="0"/>
      </w:pPr>
      <w:r>
        <w:t>168.</w:t>
      </w:r>
      <w:r>
        <w:tab/>
        <w:t>On entering into a marriage, the spouses choose, as they wish, one of their family names to be their joint family name, or each of the spouses keeps his or her pre-marital family name, or they attach the family name of the other spouse to their own family name (art. 30). A change of family name by one of the spouses does not entail a change in the family name of the other spouse. In the event of dissolution of the marriage, the spouses are entitled to keep their joint family name or to resume their pre-marital family name.</w:t>
      </w:r>
    </w:p>
    <w:p w:rsidR="00000000" w:rsidRDefault="00000000">
      <w:pPr>
        <w:pStyle w:val="BodyTextIndent2"/>
        <w:spacing w:after="120"/>
        <w:ind w:left="0" w:firstLine="0"/>
      </w:pPr>
      <w:r>
        <w:tab/>
        <w:t>The family name of a child is determined by the family name of the parents (art. 55). In cases where the spouses have different family names, the child is given the family name of either the father or the mother by agreement between the parents. Differences of opinion arising between the parents concerning the first name and/or the family name of a child are decided by the courts.</w:t>
      </w:r>
    </w:p>
    <w:p w:rsidR="00000000" w:rsidRDefault="00000000">
      <w:pPr>
        <w:pStyle w:val="BodyTextIndent2"/>
        <w:spacing w:after="120"/>
        <w:ind w:left="0" w:firstLine="0"/>
      </w:pPr>
      <w:r>
        <w:tab/>
        <w:t>If the parents so wish, the family name of the children may be taken from the grandfather’s first name, in accordance with national tradition.</w:t>
      </w:r>
    </w:p>
    <w:p w:rsidR="00000000" w:rsidRDefault="00000000">
      <w:pPr>
        <w:pStyle w:val="BodyTextIndent2"/>
        <w:spacing w:after="120"/>
        <w:ind w:left="0" w:firstLine="0"/>
      </w:pPr>
      <w:r>
        <w:tab/>
        <w:t>In the event of dissolution or annulment of a marriage, the children retain the family name given to them at birth (art. 56). If the parents are living apart and the parent with whom the child is living wishes to give the child his or her family name, the registry office decides the matter depending on the interests of the child and taking into account the view of the other parent.</w:t>
      </w:r>
    </w:p>
    <w:p w:rsidR="00000000" w:rsidRDefault="00000000">
      <w:pPr>
        <w:pStyle w:val="BodyTextIndent2"/>
        <w:spacing w:after="120"/>
        <w:ind w:left="0" w:firstLine="0"/>
      </w:pPr>
      <w:r>
        <w:t>169.</w:t>
      </w:r>
      <w:r>
        <w:tab/>
        <w:t>Each spouse is free to choose a type of activity, a profession and a place of residence (art. 29).</w:t>
      </w:r>
    </w:p>
    <w:p w:rsidR="00000000" w:rsidRDefault="00000000">
      <w:pPr>
        <w:pStyle w:val="D12r"/>
      </w:pPr>
    </w:p>
    <w:p w:rsidR="00000000" w:rsidRDefault="00000000">
      <w:pPr>
        <w:pStyle w:val="BodyTextIndent2"/>
        <w:spacing w:after="120"/>
        <w:ind w:left="0" w:firstLine="0"/>
        <w:rPr>
          <w:b/>
        </w:rPr>
      </w:pPr>
      <w:r>
        <w:rPr>
          <w:b/>
        </w:rPr>
        <w:tab/>
        <w:t>(h)</w:t>
      </w:r>
      <w:r>
        <w:rPr>
          <w:b/>
        </w:rPr>
        <w:tab/>
        <w:t>The same rights for both spouses in respect of the ownership, acquisition, management, administration, enjoyment and disposition of property, whether free of charge or for a valuable consideration.</w:t>
      </w:r>
    </w:p>
    <w:p w:rsidR="00000000" w:rsidRDefault="00000000">
      <w:pPr>
        <w:pStyle w:val="BodyTextIndent2"/>
        <w:spacing w:after="120"/>
        <w:ind w:left="0" w:firstLine="0"/>
      </w:pPr>
      <w:r>
        <w:t>170.</w:t>
      </w:r>
      <w:r>
        <w:tab/>
        <w:t>Property acquired by the spouses during their marriage is their common property (art. 32).</w:t>
      </w:r>
    </w:p>
    <w:p w:rsidR="00000000" w:rsidRDefault="00000000">
      <w:pPr>
        <w:pStyle w:val="BodyTextIndent2"/>
        <w:spacing w:after="120"/>
        <w:ind w:left="0" w:firstLine="0"/>
      </w:pPr>
      <w:r>
        <w:tab/>
        <w:t>The property acquired by the spouses during their marriage (the common property of the spouses) includes the income of each spouse and the income derived by the spouses from their joint property and from the separate property of each spouse. The common property of the spouses also includes movable and immovable property, securities, shares, investments and capital deposited with credit institutions or other commercial organizations and any other property acquired with the joint income of the spouses during their marriage, irrespective of in whose name it was acquired or which of the spouses deposited the money.</w:t>
      </w:r>
    </w:p>
    <w:p w:rsidR="00000000" w:rsidRDefault="00000000">
      <w:pPr>
        <w:pStyle w:val="BodyTextIndent2"/>
        <w:spacing w:after="120"/>
        <w:ind w:left="0" w:firstLine="0"/>
      </w:pPr>
      <w:r>
        <w:tab/>
        <w:t>A spouse who during the period of marriage was engaged in managing the household and taking care of the children, or who for other valid reasons did not have an independent income, also has a right to the common property of the spouses.</w:t>
      </w:r>
    </w:p>
    <w:p w:rsidR="00000000" w:rsidRDefault="00000000">
      <w:pPr>
        <w:pStyle w:val="BodyTextIndent2"/>
        <w:spacing w:after="120"/>
        <w:ind w:left="0" w:firstLine="0"/>
      </w:pPr>
      <w:r>
        <w:t>171.</w:t>
      </w:r>
      <w:r>
        <w:tab/>
        <w:t>The spouses shall reach mutual agreement regarding the ownership, management and disposition of their common property (art. 33).</w:t>
      </w:r>
    </w:p>
    <w:p w:rsidR="00000000" w:rsidRDefault="00000000">
      <w:pPr>
        <w:pStyle w:val="BodyTextIndent2"/>
        <w:spacing w:after="120"/>
        <w:ind w:left="0" w:firstLine="0"/>
      </w:pPr>
      <w:r>
        <w:tab/>
        <w:t>A transaction concluded by one of the spouses involving the disposition of the common property of the spouses may be nullified by a court on the grounds of the lack of consent of the other spouse only at the request of that spouse and only in those cases where it is proved that the other party to the transaction knew or should have known the lack of consent of the other spouse to the transaction.</w:t>
      </w:r>
    </w:p>
    <w:p w:rsidR="00000000" w:rsidRDefault="00000000">
      <w:pPr>
        <w:pStyle w:val="BodyTextIndent2"/>
        <w:spacing w:after="120"/>
        <w:ind w:left="0" w:firstLine="0"/>
      </w:pPr>
      <w:r>
        <w:t>172.</w:t>
      </w:r>
      <w:r>
        <w:tab/>
        <w:t>Apart from the common property, the legislation of Kazakhstan provides for the right of each spouse to his or her own property.</w:t>
      </w:r>
    </w:p>
    <w:p w:rsidR="00000000" w:rsidRDefault="00000000">
      <w:pPr>
        <w:pStyle w:val="BodyTextIndent2"/>
        <w:spacing w:after="120"/>
        <w:ind w:left="0" w:firstLine="0"/>
      </w:pPr>
      <w:r>
        <w:tab/>
        <w:t>The property of each of the spouses includes (art. 34):</w:t>
      </w:r>
    </w:p>
    <w:p w:rsidR="00000000" w:rsidRDefault="00000000">
      <w:pPr>
        <w:pStyle w:val="BodyTextIndent2"/>
        <w:spacing w:after="120"/>
        <w:ind w:left="0" w:firstLine="0"/>
      </w:pPr>
      <w:r>
        <w:tab/>
        <w:t>(1)</w:t>
      </w:r>
      <w:r>
        <w:tab/>
        <w:t>Property belonging to each of the spouses prior to the marriage;</w:t>
      </w:r>
    </w:p>
    <w:p w:rsidR="00000000" w:rsidRDefault="00000000">
      <w:pPr>
        <w:pStyle w:val="BodyTextIndent2"/>
        <w:spacing w:after="120"/>
        <w:ind w:left="0" w:firstLine="0"/>
      </w:pPr>
      <w:r>
        <w:tab/>
        <w:t>(2)</w:t>
      </w:r>
      <w:r>
        <w:tab/>
        <w:t>Property received by the spouses during the period of the marriage as a gift or an inheritance or through some other transaction free of charge;</w:t>
      </w:r>
    </w:p>
    <w:p w:rsidR="00000000" w:rsidRDefault="00000000">
      <w:pPr>
        <w:pStyle w:val="BodyTextIndent2"/>
        <w:spacing w:after="120"/>
        <w:ind w:left="0" w:firstLine="0"/>
      </w:pPr>
      <w:r>
        <w:tab/>
        <w:t>(3)</w:t>
      </w:r>
      <w:r>
        <w:tab/>
        <w:t>Items for individual use (including clothing and footwear), excluding jewellery and other luxury items, even if they were acquired during the marriage with the common means of the spouses.</w:t>
      </w:r>
    </w:p>
    <w:p w:rsidR="00000000" w:rsidRDefault="00000000">
      <w:pPr>
        <w:pStyle w:val="BodyTextIndent2"/>
        <w:spacing w:after="120"/>
        <w:ind w:left="0" w:firstLine="0"/>
      </w:pPr>
      <w:r>
        <w:t>2.</w:t>
      </w:r>
      <w:r>
        <w:tab/>
        <w:t>Property acquired by each of the spouses while living apart as a result of the termination of the marriage may be recognized by the court as the property of each of them.</w:t>
      </w:r>
    </w:p>
    <w:p w:rsidR="00000000" w:rsidRDefault="00000000">
      <w:pPr>
        <w:pStyle w:val="BodyTextIndent2"/>
        <w:spacing w:after="120"/>
        <w:ind w:left="0" w:firstLine="0"/>
      </w:pPr>
      <w:r>
        <w:t>173.</w:t>
      </w:r>
      <w:r>
        <w:tab/>
        <w:t>Both during the marriage and after its dissolution the common property may be divided (art. 36) at the request of either of the spouses, and also if a creditor makes a request for the separation of the common property of the spouses in order to recover the amount of a debt from one spouse’s share of the common property of the spouses.</w:t>
      </w:r>
    </w:p>
    <w:p w:rsidR="00000000" w:rsidRDefault="00000000">
      <w:pPr>
        <w:pStyle w:val="BodyTextIndent2"/>
        <w:spacing w:after="120"/>
        <w:ind w:left="0" w:firstLine="0"/>
      </w:pPr>
      <w:r>
        <w:tab/>
        <w:t>The common property of the spouses may be divided between the spouses with their agreement. In the event of a dispute, the court divides the common property of the spouses and determines the spouses’ shares of that property.</w:t>
      </w:r>
    </w:p>
    <w:p w:rsidR="00000000" w:rsidRDefault="00000000">
      <w:pPr>
        <w:pStyle w:val="BodyTextIndent2"/>
        <w:spacing w:after="120"/>
        <w:ind w:left="0" w:firstLine="0"/>
      </w:pPr>
      <w:r>
        <w:tab/>
        <w:t>Items obtained exclusively to meet the needs of minor children are not subject to division, and are transferred to the spouse with whom the children are living.</w:t>
      </w:r>
    </w:p>
    <w:p w:rsidR="00000000" w:rsidRDefault="00000000">
      <w:pPr>
        <w:pStyle w:val="BodyTextIndent2"/>
        <w:spacing w:after="120"/>
        <w:ind w:left="0" w:firstLine="0"/>
      </w:pPr>
      <w:r>
        <w:tab/>
        <w:t>In the division of the common property of the spouses and the determination of the shares in that property, the shares of each of the spouses are recognized as equal (art. 37) unless it has been otherwise agreed between them.</w:t>
      </w:r>
    </w:p>
    <w:p w:rsidR="00000000" w:rsidRDefault="00000000">
      <w:pPr>
        <w:pStyle w:val="BodyTextIndent2"/>
        <w:spacing w:after="120"/>
        <w:ind w:left="0" w:firstLine="0"/>
      </w:pPr>
      <w:r>
        <w:tab/>
        <w:t>The court has the right to deviate from the principle of equality of the spouses’ shares in their common property on the basis of the interests of minor children and/or the interests of one of the spouses if the other spouse has unjustifiably received no income or has spent the common property of the spouses to the detriment of their interests.</w:t>
      </w:r>
    </w:p>
    <w:p w:rsidR="00000000" w:rsidRDefault="00000000">
      <w:pPr>
        <w:pStyle w:val="BodyTextIndent2"/>
        <w:spacing w:after="120"/>
        <w:ind w:left="0" w:firstLine="0"/>
      </w:pPr>
      <w:r>
        <w:tab/>
        <w:t>The spouses had the right to change the regime governing common property established by law by concluding a marriage contracting Kazakhstan (art. 40).</w:t>
      </w:r>
    </w:p>
    <w:p w:rsidR="00000000" w:rsidRDefault="00000000">
      <w:pPr>
        <w:pStyle w:val="BodyTextIndent2"/>
        <w:spacing w:after="120"/>
        <w:ind w:left="0" w:firstLine="0"/>
      </w:pPr>
      <w:r>
        <w:tab/>
        <w:t>A marriage contract may not: limit the legal capacity or competence of the spouses or their right to appeal to a court to protect their rights; regulate the personal non-property relations between the spouses or the rights and responsibilities of the spouses with regard to their children; provide for the limitation of the right of a disabled spouse in need to receive maintenance; or contain other conditions which would place one of the spouses in an extremely unfavourable situation or would be contrary to the basic principles of the legislation governing marriage and the family.</w:t>
      </w:r>
    </w:p>
    <w:p w:rsidR="00000000" w:rsidRDefault="00000000">
      <w:pPr>
        <w:pStyle w:val="BodyTextIndent2"/>
        <w:spacing w:after="120"/>
        <w:ind w:left="0" w:firstLine="0"/>
      </w:pPr>
      <w:r>
        <w:tab/>
        <w:t>A marriage contract may be concluded either prior to the registration of the marriage or at any time during the marriage (art. 39).</w:t>
      </w:r>
    </w:p>
    <w:p w:rsidR="00000000" w:rsidRDefault="00000000">
      <w:pPr>
        <w:pStyle w:val="BodyTextIndent2"/>
        <w:spacing w:after="120"/>
        <w:ind w:left="0" w:firstLine="0"/>
      </w:pPr>
      <w:r>
        <w:tab/>
        <w:t>A marriage contract may be amended or terminated at any time by agreement between the spouses (art. 41) or by a court decision at the request of one of the spouses.</w:t>
      </w:r>
    </w:p>
    <w:p w:rsidR="00000000" w:rsidRDefault="00000000">
      <w:pPr>
        <w:pStyle w:val="BodyTextIndent2"/>
        <w:spacing w:after="120"/>
        <w:ind w:left="0" w:firstLine="0"/>
      </w:pPr>
      <w:r>
        <w:tab/>
        <w:t xml:space="preserve">The Civil Code (special part), which entered into force on 1 June 1999, guarantees the equal property </w:t>
      </w:r>
      <w:bookmarkStart w:id="1" w:name="TmpSave"/>
      <w:bookmarkEnd w:id="1"/>
      <w:r>
        <w:t>and personal non-property rights of the spouses and equal rights in inheritance.</w:t>
      </w:r>
    </w:p>
    <w:p w:rsidR="00000000" w:rsidRDefault="00000000">
      <w:pPr>
        <w:pStyle w:val="D12r"/>
      </w:pPr>
    </w:p>
    <w:p w:rsidR="00000000" w:rsidRDefault="00000000">
      <w:pPr>
        <w:pStyle w:val="BodyTextIndent2"/>
        <w:keepNext/>
        <w:keepLines/>
        <w:spacing w:after="120"/>
        <w:ind w:left="0" w:firstLine="0"/>
      </w:pPr>
      <w:r>
        <w:rPr>
          <w:b/>
        </w:rPr>
        <w:t>2.</w:t>
      </w:r>
      <w:r>
        <w:rPr>
          <w:b/>
        </w:rPr>
        <w:tab/>
        <w:t xml:space="preserve">The betrothal and the marriage of a child shall have no legal effect and all necessary action, including legislation, shall be taken to specify a minimum age for marriage and to make the registration of marriages in an official registry compulsory. </w:t>
      </w:r>
    </w:p>
    <w:p w:rsidR="00000000" w:rsidRDefault="00000000">
      <w:pPr>
        <w:pStyle w:val="BodyTextIndent2"/>
        <w:keepNext/>
        <w:keepLines/>
        <w:spacing w:after="120"/>
        <w:ind w:left="0" w:firstLine="0"/>
      </w:pPr>
      <w:r>
        <w:t>174.</w:t>
      </w:r>
      <w:r>
        <w:tab/>
        <w:t>A child is considered to be a person under 18 years old (art. 52).</w:t>
      </w:r>
    </w:p>
    <w:p w:rsidR="00000000" w:rsidRDefault="00000000">
      <w:pPr>
        <w:pStyle w:val="BodyTextIndent2"/>
        <w:spacing w:after="120"/>
        <w:ind w:left="0" w:firstLine="0"/>
      </w:pPr>
      <w:r>
        <w:t>175.</w:t>
      </w:r>
      <w:r>
        <w:tab/>
        <w:t>The minimum age for marriage is set at 18 years of age for men and women (art. 10).</w:t>
      </w:r>
    </w:p>
    <w:p w:rsidR="00000000" w:rsidRDefault="00000000">
      <w:pPr>
        <w:pStyle w:val="BodyTextIndent2"/>
        <w:spacing w:after="120"/>
        <w:ind w:left="0" w:firstLine="0"/>
      </w:pPr>
      <w:r>
        <w:t>176.</w:t>
      </w:r>
      <w:r>
        <w:tab/>
        <w:t>Marriages may be concluded (art. 13) and dissolved (art. 16) only in an official registry office. In the event of the dissolution of a marriage by the courts, the fact of the dissolution of the marriage is registered in an official registry office.</w:t>
      </w:r>
    </w:p>
    <w:p w:rsidR="00000000" w:rsidRDefault="00000000">
      <w:pPr>
        <w:pStyle w:val="BodyTextIndent2"/>
        <w:spacing w:after="120"/>
        <w:ind w:left="0" w:firstLine="0"/>
      </w:pPr>
      <w:r>
        <w:t>177.</w:t>
      </w:r>
      <w:r>
        <w:tab/>
        <w:t>Birth, death, marriage, the dissolution of a marriage, adoption, the establishment of paternity (or maternity) and a change of name, patronymic or family name are required to be registered in an official registry office (art. 163).</w:t>
      </w:r>
    </w:p>
    <w:p w:rsidR="00000000" w:rsidRDefault="00000000">
      <w:pPr>
        <w:pStyle w:val="D12r"/>
      </w:pPr>
    </w:p>
    <w:p w:rsidR="00000000" w:rsidRDefault="00000000">
      <w:pPr>
        <w:pStyle w:val="DH2"/>
        <w:ind w:left="475" w:hanging="475"/>
      </w:pPr>
      <w:r>
        <w:tab/>
        <w:t>Legislation and other measures to combat sexual harassment in accordance with general recommendation 12 of the Committee on the Elimination of All Forms of Discrimination against Women</w:t>
      </w:r>
    </w:p>
    <w:p w:rsidR="00000000" w:rsidRDefault="00000000">
      <w:pPr>
        <w:pStyle w:val="D12r"/>
      </w:pPr>
    </w:p>
    <w:p w:rsidR="00000000" w:rsidRDefault="00000000">
      <w:pPr>
        <w:pStyle w:val="BodyTextIndent2"/>
        <w:spacing w:after="120"/>
        <w:ind w:left="0" w:firstLine="0"/>
      </w:pPr>
      <w:r>
        <w:t>178.</w:t>
      </w:r>
      <w:r>
        <w:tab/>
        <w:t>The concept of sexual harassment does not exist in the legislation of Kazakhstan.</w:t>
      </w:r>
    </w:p>
    <w:p w:rsidR="00000000" w:rsidRDefault="00000000">
      <w:pPr>
        <w:pStyle w:val="BodyTextIndent2"/>
        <w:spacing w:after="120"/>
        <w:ind w:left="0" w:firstLine="0"/>
      </w:pPr>
      <w:r>
        <w:tab/>
        <w:t>The only act which is covered by the law and which is included in the Criminal Code as an element of a crime is forcing a person to have sexual intercourse (art. 123) or to commit some other act of a sexual nature by using blackmail, by threatening to destroy, damage or remove property by taking advantage of the victim’s material or other form of dependence.</w:t>
      </w:r>
    </w:p>
    <w:p w:rsidR="00000000" w:rsidRDefault="00000000">
      <w:pPr>
        <w:pStyle w:val="BodyTextIndent2"/>
        <w:spacing w:after="120"/>
        <w:ind w:left="0" w:firstLine="0"/>
      </w:pPr>
      <w:r>
        <w:tab/>
        <w:t>Information to the effect that sexual harassment is also a form of violence against women and as to what constitutes sexual harassment is disseminated by non-governmental organizations through the mass media and seminars by other means. For instance, during the electoral campaign in 1998, the Women’s Electoral Initiative coalition handed such information to all the candidates for the presidency.</w:t>
      </w:r>
    </w:p>
    <w:p w:rsidR="00000000" w:rsidRDefault="00000000">
      <w:pPr>
        <w:pStyle w:val="BodyTextIndent2"/>
        <w:spacing w:after="120"/>
        <w:ind w:left="0" w:firstLine="0"/>
      </w:pPr>
      <w:r>
        <w:rPr>
          <w:noProof/>
          <w:w w:val="100"/>
        </w:rPr>
        <w:pict>
          <v:line id="_x0000_s2052" style="position:absolute;left:0;text-align:left;z-index:2;mso-position-horizontal:absolute;mso-position-horizontal-relative:text;mso-position-vertical:absolute;mso-position-vertical-relative:text" from="81pt,23pt" to="153pt,23pt" o:allowincell="f" strokeweight=".25pt"/>
        </w:pict>
      </w:r>
    </w:p>
    <w:p w:rsidR="00000000" w:rsidRDefault="00000000">
      <w:pPr>
        <w:pStyle w:val="SingleTxt"/>
        <w:tabs>
          <w:tab w:val="left" w:pos="475"/>
          <w:tab w:val="left" w:pos="965"/>
          <w:tab w:val="left" w:pos="1440"/>
          <w:tab w:val="left" w:pos="1915"/>
          <w:tab w:val="left" w:pos="2405"/>
        </w:tabs>
      </w:pPr>
    </w:p>
    <w:sectPr w:rsidR="00000000">
      <w:type w:val="continuous"/>
      <w:pgSz w:w="12240" w:h="15840"/>
      <w:pgMar w:top="1742" w:right="1195" w:bottom="1901" w:left="1195" w:header="576" w:footer="1037" w:gutter="0"/>
      <w:cols w:num="2" w:space="245"/>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NO&gt;&gt;N0068609E&lt;&lt;ODS JOB NO&gt;&gt;</w:t>
      </w:r>
    </w:p>
    <w:p w:rsidR="00000000" w:rsidRDefault="00000000">
      <w:pPr>
        <w:pStyle w:val="CommentText"/>
      </w:pPr>
      <w:r>
        <w:t>&lt;&lt;ODS DOC SYMBOL1&gt;&gt;CEDAW/C/KAZ/1&lt;&lt;ODS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74</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00-68609 (E)    281100    281100</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*0068609*</w:t>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next-textbox:#_x0000_s1026;mso-rotate-with-shape:t" inset="0,0,0,0">
            <w:txbxContent>
              <w:tbl>
                <w:tblPr>
                  <w:tblW w:w="0" w:type="auto"/>
                  <w:tblInd w:w="110" w:type="dxa"/>
                  <w:tblBorders>
                    <w:bottom w:val="single" w:sz="6"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CEDAW/C/KAZ/1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next-textbox:#_x0000_s1025;mso-rotate-with-shape:t" inset="0,0,0,0">
            <w:txbxContent>
              <w:tbl>
                <w:tblPr>
                  <w:tblW w:w="0" w:type="auto"/>
                  <w:tblInd w:w="110" w:type="dxa"/>
                  <w:tblBorders>
                    <w:bottom w:val="single" w:sz="6"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CEDAW/C/KAZ/1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/C/KAZ/1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12 October 2000</w:t>
          </w:r>
        </w:p>
        <w:p w:rsidR="00000000" w:rsidRDefault="00000000">
          <w:r>
            <w:t>English</w:t>
          </w:r>
        </w:p>
        <w:p w:rsidR="00000000" w:rsidRDefault="00000000">
          <w:r>
            <w:t>Original: Russian</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4/11/2000 7:09: PM"/>
    <w:docVar w:name="DocCategory" w:val="Doc"/>
    <w:docVar w:name="DocType" w:val="Final"/>
    <w:docVar w:name="JobNo" w:val="0054328E"/>
    <w:docVar w:name="OandT" w:val=" "/>
    <w:docVar w:name="Symbol1" w:val="CEDAW/C/200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tabs>
        <w:tab w:val="left" w:pos="475"/>
        <w:tab w:val="left" w:pos="965"/>
        <w:tab w:val="left" w:pos="1440"/>
        <w:tab w:val="left" w:pos="1915"/>
        <w:tab w:val="left" w:pos="2405"/>
      </w:tabs>
      <w:suppressAutoHyphens w:val="0"/>
      <w:spacing w:line="240" w:lineRule="auto"/>
      <w:jc w:val="both"/>
      <w:outlineLvl w:val="0"/>
    </w:pPr>
    <w:rPr>
      <w:b/>
      <w:bCs/>
      <w:szCs w:val="24"/>
      <w:lang w:val="en-US"/>
    </w:rPr>
  </w:style>
  <w:style w:type="paragraph" w:styleId="Heading2">
    <w:name w:val="heading 2"/>
    <w:basedOn w:val="Normal"/>
    <w:next w:val="Normal"/>
    <w:qFormat/>
    <w:pPr>
      <w:keepNext/>
      <w:tabs>
        <w:tab w:val="left" w:pos="475"/>
        <w:tab w:val="left" w:pos="965"/>
        <w:tab w:val="left" w:pos="1440"/>
        <w:tab w:val="left" w:pos="1915"/>
        <w:tab w:val="left" w:pos="2405"/>
      </w:tabs>
      <w:suppressAutoHyphens w:val="0"/>
      <w:spacing w:line="240" w:lineRule="auto"/>
      <w:jc w:val="right"/>
      <w:outlineLvl w:val="1"/>
    </w:pPr>
    <w:rPr>
      <w:i/>
      <w:iCs/>
      <w:szCs w:val="24"/>
      <w:lang w:val="en-US"/>
    </w:rPr>
  </w:style>
  <w:style w:type="paragraph" w:styleId="Heading3">
    <w:name w:val="heading 3"/>
    <w:basedOn w:val="Normal"/>
    <w:next w:val="Normal"/>
    <w:qFormat/>
    <w:pPr>
      <w:keepNext/>
      <w:tabs>
        <w:tab w:val="left" w:pos="475"/>
        <w:tab w:val="left" w:pos="965"/>
        <w:tab w:val="left" w:pos="1440"/>
        <w:tab w:val="left" w:pos="1915"/>
        <w:tab w:val="left" w:pos="2405"/>
      </w:tabs>
      <w:suppressAutoHyphens w:val="0"/>
      <w:spacing w:line="240" w:lineRule="auto"/>
      <w:jc w:val="right"/>
      <w:outlineLvl w:val="2"/>
    </w:pPr>
    <w:rPr>
      <w:i/>
      <w:iCs/>
      <w:sz w:val="17"/>
      <w:szCs w:val="24"/>
      <w:lang w:val="en-US"/>
    </w:rPr>
  </w:style>
  <w:style w:type="paragraph" w:styleId="Heading4">
    <w:name w:val="heading 4"/>
    <w:basedOn w:val="Normal"/>
    <w:next w:val="Normal"/>
    <w:qFormat/>
    <w:pPr>
      <w:keepNext/>
      <w:tabs>
        <w:tab w:val="left" w:pos="475"/>
        <w:tab w:val="left" w:pos="965"/>
        <w:tab w:val="left" w:pos="1440"/>
        <w:tab w:val="left" w:pos="1915"/>
        <w:tab w:val="left" w:pos="2405"/>
      </w:tabs>
      <w:suppressAutoHyphens w:val="0"/>
      <w:spacing w:line="240" w:lineRule="auto"/>
      <w:jc w:val="both"/>
      <w:outlineLvl w:val="3"/>
    </w:pPr>
    <w:rPr>
      <w:i/>
      <w:iCs/>
      <w:sz w:val="17"/>
      <w:szCs w:val="24"/>
      <w:lang w:val="en-US"/>
    </w:rPr>
  </w:style>
  <w:style w:type="paragraph" w:styleId="Heading5">
    <w:name w:val="heading 5"/>
    <w:basedOn w:val="Normal"/>
    <w:next w:val="Normal"/>
    <w:qFormat/>
    <w:pPr>
      <w:keepNext/>
      <w:jc w:val="right"/>
      <w:outlineLvl w:val="4"/>
    </w:pPr>
    <w:rPr>
      <w:i/>
      <w:iCs/>
      <w:sz w:val="14"/>
    </w:rPr>
  </w:style>
  <w:style w:type="paragraph" w:styleId="Heading6">
    <w:name w:val="heading 6"/>
    <w:basedOn w:val="Normal"/>
    <w:next w:val="Normal"/>
    <w:qFormat/>
    <w:pPr>
      <w:keepNext/>
      <w:tabs>
        <w:tab w:val="left" w:pos="475"/>
        <w:tab w:val="left" w:pos="965"/>
        <w:tab w:val="left" w:pos="1440"/>
        <w:tab w:val="left" w:pos="1915"/>
        <w:tab w:val="left" w:pos="2405"/>
      </w:tabs>
      <w:spacing w:after="120"/>
      <w:jc w:val="center"/>
      <w:outlineLvl w:val="5"/>
    </w:pPr>
    <w:rPr>
      <w:i/>
      <w:iCs/>
      <w:sz w:val="14"/>
    </w:rPr>
  </w:style>
  <w:style w:type="paragraph" w:styleId="Heading7">
    <w:name w:val="heading 7"/>
    <w:basedOn w:val="Normal"/>
    <w:next w:val="Normal"/>
    <w:qFormat/>
    <w:pPr>
      <w:keepNext/>
      <w:outlineLvl w:val="6"/>
    </w:pPr>
    <w:rPr>
      <w:i/>
      <w:iCs/>
      <w:sz w:val="1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HCh0">
    <w:name w:val="_H_Ch"/>
    <w:basedOn w:val="SingleTxt"/>
    <w:pPr>
      <w:spacing w:line="300" w:lineRule="exact"/>
      <w:jc w:val="left"/>
    </w:pPr>
    <w:rPr>
      <w:b/>
      <w:bCs/>
      <w:spacing w:val="-2"/>
      <w:sz w:val="28"/>
    </w:rPr>
  </w:style>
  <w:style w:type="paragraph" w:customStyle="1" w:styleId="12">
    <w:name w:val="_1/2"/>
    <w:basedOn w:val="SingleTxt"/>
  </w:style>
  <w:style w:type="paragraph" w:customStyle="1" w:styleId="12R">
    <w:name w:val="_1/2R"/>
    <w:basedOn w:val="12"/>
    <w:pPr>
      <w:spacing w:after="0" w:line="100" w:lineRule="exact"/>
      <w:jc w:val="left"/>
      <w:outlineLvl w:val="1"/>
    </w:pPr>
    <w:rPr>
      <w:spacing w:val="2"/>
      <w:sz w:val="10"/>
    </w:rPr>
  </w:style>
  <w:style w:type="paragraph" w:customStyle="1" w:styleId="H10">
    <w:name w:val="_H_1"/>
    <w:basedOn w:val="SingleTxt"/>
    <w:pPr>
      <w:spacing w:line="270" w:lineRule="exact"/>
    </w:pPr>
    <w:rPr>
      <w:b/>
      <w:bCs/>
      <w:sz w:val="24"/>
    </w:rPr>
  </w:style>
  <w:style w:type="paragraph" w:customStyle="1" w:styleId="hch1">
    <w:name w:val="__hch"/>
    <w:basedOn w:val="HCh"/>
    <w:autoRedefine/>
    <w:pPr>
      <w:tabs>
        <w:tab w:val="right" w:pos="360"/>
        <w:tab w:val="left" w:pos="475"/>
        <w:tab w:val="left" w:pos="965"/>
        <w:tab w:val="left" w:pos="1440"/>
        <w:tab w:val="left" w:pos="1915"/>
      </w:tabs>
    </w:pPr>
  </w:style>
  <w:style w:type="paragraph" w:styleId="BodyText">
    <w:name w:val="Body Text"/>
    <w:basedOn w:val="Normal"/>
    <w:semiHidden/>
    <w:pPr>
      <w:tabs>
        <w:tab w:val="left" w:pos="475"/>
        <w:tab w:val="left" w:pos="965"/>
        <w:tab w:val="left" w:pos="1440"/>
        <w:tab w:val="left" w:pos="1915"/>
        <w:tab w:val="left" w:pos="2405"/>
      </w:tabs>
      <w:suppressAutoHyphens w:val="0"/>
      <w:spacing w:line="240" w:lineRule="auto"/>
      <w:jc w:val="both"/>
    </w:pPr>
    <w:rPr>
      <w:szCs w:val="24"/>
      <w:lang w:val="en-US"/>
    </w:rPr>
  </w:style>
  <w:style w:type="paragraph" w:styleId="BodyTextIndent">
    <w:name w:val="Body Text Indent"/>
    <w:basedOn w:val="Normal"/>
    <w:semiHidden/>
    <w:pPr>
      <w:tabs>
        <w:tab w:val="left" w:pos="-27"/>
        <w:tab w:val="left" w:pos="965"/>
        <w:tab w:val="left" w:pos="1440"/>
        <w:tab w:val="left" w:pos="1915"/>
        <w:tab w:val="left" w:pos="2405"/>
      </w:tabs>
      <w:suppressAutoHyphens w:val="0"/>
      <w:spacing w:line="240" w:lineRule="auto"/>
      <w:ind w:left="475" w:hanging="7"/>
      <w:jc w:val="both"/>
    </w:pPr>
    <w:rPr>
      <w:szCs w:val="24"/>
      <w:lang w:val="en-US"/>
    </w:rPr>
  </w:style>
  <w:style w:type="paragraph" w:styleId="BodyTextIndent2">
    <w:name w:val="Body Text Indent 2"/>
    <w:basedOn w:val="Normal"/>
    <w:semiHidden/>
    <w:pPr>
      <w:tabs>
        <w:tab w:val="left" w:pos="475"/>
        <w:tab w:val="left" w:pos="965"/>
        <w:tab w:val="left" w:pos="1440"/>
        <w:tab w:val="left" w:pos="1915"/>
        <w:tab w:val="left" w:pos="2405"/>
      </w:tabs>
      <w:suppressAutoHyphens w:val="0"/>
      <w:spacing w:line="240" w:lineRule="auto"/>
      <w:ind w:left="475" w:hanging="475"/>
      <w:jc w:val="both"/>
    </w:pPr>
    <w:rPr>
      <w:szCs w:val="24"/>
      <w:lang w:val="en-US"/>
    </w:rPr>
  </w:style>
  <w:style w:type="paragraph" w:styleId="BodyText2">
    <w:name w:val="Body Text 2"/>
    <w:basedOn w:val="Normal"/>
    <w:semiHidden/>
    <w:pPr>
      <w:tabs>
        <w:tab w:val="left" w:pos="475"/>
        <w:tab w:val="left" w:pos="965"/>
        <w:tab w:val="left" w:pos="1440"/>
        <w:tab w:val="left" w:pos="1915"/>
        <w:tab w:val="left" w:pos="2405"/>
      </w:tabs>
      <w:suppressAutoHyphens w:val="0"/>
      <w:spacing w:line="240" w:lineRule="auto"/>
    </w:pPr>
    <w:rPr>
      <w:b/>
      <w:bCs/>
      <w:szCs w:val="24"/>
      <w:lang w:val="en-US"/>
    </w:rPr>
  </w:style>
  <w:style w:type="paragraph" w:customStyle="1" w:styleId="H230">
    <w:name w:val="_H_2/3"/>
    <w:basedOn w:val="H1"/>
    <w:pPr>
      <w:tabs>
        <w:tab w:val="left" w:pos="475"/>
        <w:tab w:val="left" w:pos="965"/>
        <w:tab w:val="left" w:pos="1440"/>
        <w:tab w:val="left" w:pos="1915"/>
        <w:tab w:val="left" w:pos="2405"/>
      </w:tabs>
      <w:spacing w:line="240" w:lineRule="exact"/>
    </w:pPr>
    <w:rPr>
      <w:sz w:val="20"/>
    </w:rPr>
  </w:style>
  <w:style w:type="paragraph" w:customStyle="1" w:styleId="DCh">
    <w:name w:val="D_Ch"/>
    <w:basedOn w:val="HCh"/>
    <w:pPr>
      <w:tabs>
        <w:tab w:val="left" w:pos="475"/>
        <w:tab w:val="left" w:pos="965"/>
        <w:tab w:val="left" w:pos="1440"/>
        <w:tab w:val="left" w:pos="1915"/>
        <w:tab w:val="left" w:pos="2405"/>
      </w:tabs>
    </w:pPr>
  </w:style>
  <w:style w:type="paragraph" w:customStyle="1" w:styleId="DH1">
    <w:name w:val="D_H1"/>
    <w:basedOn w:val="Normal"/>
    <w:pPr>
      <w:tabs>
        <w:tab w:val="left" w:pos="475"/>
        <w:tab w:val="left" w:pos="965"/>
        <w:tab w:val="left" w:pos="1440"/>
        <w:tab w:val="left" w:pos="1915"/>
        <w:tab w:val="left" w:pos="2405"/>
      </w:tabs>
      <w:spacing w:after="120" w:line="270" w:lineRule="exact"/>
      <w:jc w:val="both"/>
    </w:pPr>
    <w:rPr>
      <w:b/>
      <w:bCs/>
      <w:sz w:val="24"/>
    </w:rPr>
  </w:style>
  <w:style w:type="paragraph" w:customStyle="1" w:styleId="DH2">
    <w:name w:val="D_H2"/>
    <w:basedOn w:val="H230"/>
  </w:style>
  <w:style w:type="paragraph" w:customStyle="1" w:styleId="D12r">
    <w:name w:val="D1/2r"/>
    <w:basedOn w:val="Normal"/>
    <w:pPr>
      <w:tabs>
        <w:tab w:val="left" w:pos="475"/>
        <w:tab w:val="left" w:pos="965"/>
        <w:tab w:val="left" w:pos="1440"/>
        <w:tab w:val="left" w:pos="1915"/>
        <w:tab w:val="left" w:pos="2405"/>
      </w:tabs>
      <w:spacing w:line="100" w:lineRule="exact"/>
      <w:jc w:val="both"/>
    </w:pPr>
    <w:rPr>
      <w:sz w:val="10"/>
    </w:rPr>
  </w:style>
  <w:style w:type="paragraph" w:styleId="BodyText3">
    <w:name w:val="Body Text 3"/>
    <w:basedOn w:val="Normal"/>
    <w:semiHidden/>
    <w:pPr>
      <w:tabs>
        <w:tab w:val="left" w:pos="475"/>
        <w:tab w:val="left" w:pos="965"/>
        <w:tab w:val="left" w:pos="1440"/>
        <w:tab w:val="left" w:pos="1915"/>
        <w:tab w:val="left" w:pos="2405"/>
      </w:tabs>
      <w:spacing w:after="120"/>
      <w:jc w:val="both"/>
    </w:pPr>
    <w:rPr>
      <w:b/>
      <w:bCs/>
    </w:rPr>
  </w:style>
  <w:style w:type="paragraph" w:styleId="BlockText">
    <w:name w:val="Block Text"/>
    <w:basedOn w:val="Normal"/>
    <w:semiHidden/>
    <w:pPr>
      <w:tabs>
        <w:tab w:val="left" w:pos="477"/>
      </w:tabs>
      <w:ind w:left="90" w:right="-6"/>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74</Pages>
  <Words>33547</Words>
  <Characters>191221</Characters>
  <Application>Microsoft Office Word</Application>
  <DocSecurity>4</DocSecurity>
  <Lines>1593</Lines>
  <Paragraphs>382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234832</CharactersWithSpaces>
  <SharedDoc>false</SharedDoc>
  <HLinks>
    <vt:vector size="6" baseType="variant">
      <vt:variant>
        <vt:i4>4522087</vt:i4>
      </vt:variant>
      <vt:variant>
        <vt:i4>233546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8</cp:revision>
  <cp:lastPrinted>2000-11-28T07:08:00Z</cp:lastPrinted>
  <dcterms:created xsi:type="dcterms:W3CDTF">2000-11-28T07:06:00Z</dcterms:created>
  <dcterms:modified xsi:type="dcterms:W3CDTF">2000-11-28T07:12:00Z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0054328</vt:lpwstr>
  </property>
  <property fmtid="{D5CDD505-2E9C-101B-9397-08002B2CF9AE}" pid="3" name="Symbol1">
    <vt:lpwstr>CEDAW/C/2000/</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