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2006</w:t>
      </w:r>
      <w:r>
        <w:rPr>
          <w:rFonts w:hint="eastAsia"/>
        </w:rPr>
        <w:t>年实务会议</w:t>
      </w:r>
    </w:p>
    <w:p w:rsidR="00000000" w:rsidRDefault="00000000">
      <w:pPr>
        <w:pStyle w:val="Heading2"/>
        <w:rPr>
          <w:rFonts w:ascii="Time New Roman" w:eastAsia="SimHei" w:hAnsi="Time New Roman"/>
        </w:rPr>
      </w:pPr>
    </w:p>
    <w:p w:rsidR="00000000" w:rsidRDefault="00000000">
      <w:pPr>
        <w:pStyle w:val="Heading2"/>
        <w:spacing w:after="360"/>
        <w:rPr>
          <w:rFonts w:ascii="Time New Roman" w:eastAsia="SimHei" w:hAnsi="Time New Roman" w:hint="eastAsia"/>
        </w:rPr>
      </w:pPr>
      <w:r>
        <w:rPr>
          <w:rFonts w:ascii="Time New Roman" w:eastAsia="SimHei" w:hAnsi="Time New Roman" w:hint="eastAsia"/>
        </w:rPr>
        <w:t>《经济、社会和文化国际公约》的执行情况</w:t>
      </w:r>
    </w:p>
    <w:p w:rsidR="00000000" w:rsidRDefault="00000000">
      <w:pPr>
        <w:pStyle w:val="Heading3"/>
        <w:spacing w:after="360"/>
        <w:rPr>
          <w:rFonts w:ascii="Time New Roman" w:eastAsia="SimHei" w:hAnsi="Time New Roman" w:hint="eastAsia"/>
          <w:u w:val="none"/>
        </w:rPr>
      </w:pPr>
      <w:r>
        <w:rPr>
          <w:rFonts w:ascii="Time New Roman" w:eastAsia="SimHei" w:hAnsi="Time New Roman" w:hint="eastAsia"/>
          <w:u w:val="none"/>
        </w:rPr>
        <w:t>缔约国根据《公约》第</w:t>
      </w:r>
      <w:r>
        <w:rPr>
          <w:rFonts w:ascii="Time New Roman" w:eastAsia="SimHei" w:hAnsi="Time New Roman" w:hint="eastAsia"/>
          <w:b/>
          <w:u w:val="none"/>
        </w:rPr>
        <w:t>16</w:t>
      </w:r>
      <w:r>
        <w:rPr>
          <w:rFonts w:ascii="Time New Roman" w:eastAsia="SimHei" w:hAnsi="Time New Roman" w:hint="eastAsia"/>
          <w:u w:val="none"/>
        </w:rPr>
        <w:t>和</w:t>
      </w:r>
      <w:r>
        <w:rPr>
          <w:rFonts w:ascii="Time New Roman" w:eastAsia="SimHei" w:hAnsi="Time New Roman" w:hint="eastAsia"/>
          <w:b/>
          <w:u w:val="none"/>
        </w:rPr>
        <w:t>17</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提交的第四次定期报告</w:t>
      </w:r>
    </w:p>
    <w:p w:rsidR="00000000" w:rsidRDefault="00000000">
      <w:pPr>
        <w:pStyle w:val="Heading2"/>
        <w:rPr>
          <w:rFonts w:hint="eastAsia"/>
          <w:position w:val="6"/>
          <w:sz w:val="24"/>
        </w:rPr>
      </w:pPr>
      <w:r>
        <w:rPr>
          <w:rFonts w:ascii="Time New Roman" w:eastAsia="SimHei" w:hAnsi="Time New Roman"/>
        </w:rPr>
        <w:t xml:space="preserve">     </w:t>
      </w:r>
      <w:r>
        <w:rPr>
          <w:rFonts w:ascii="Time New Roman" w:eastAsia="SimHei" w:hAnsi="Time New Roman" w:hint="eastAsia"/>
        </w:rPr>
        <w:t>芬</w:t>
      </w:r>
      <w:r>
        <w:rPr>
          <w:rFonts w:ascii="Time New Roman" w:eastAsia="SimHei" w:hAnsi="Time New Roman" w:hint="eastAsia"/>
        </w:rPr>
        <w:t xml:space="preserve">   </w:t>
      </w:r>
      <w:r>
        <w:rPr>
          <w:rFonts w:ascii="Time New Roman" w:eastAsia="SimHei" w:hAnsi="Time New Roman" w:hint="eastAsia"/>
        </w:rPr>
        <w:t>兰</w:t>
      </w:r>
      <w:r>
        <w:rPr>
          <w:rFonts w:hint="eastAsia"/>
        </w:rPr>
        <w:t xml:space="preserve"> </w:t>
      </w:r>
      <w:r>
        <w:rPr>
          <w:rStyle w:val="EndnoteReference"/>
          <w:position w:val="6"/>
          <w:vertAlign w:val="baseline"/>
        </w:rPr>
        <w:endnoteReference w:customMarkFollows="1" w:id="1"/>
        <w:t>*</w:t>
      </w:r>
      <w:r>
        <w:rPr>
          <w:rFonts w:hint="eastAsia"/>
          <w:position w:val="6"/>
        </w:rPr>
        <w:t xml:space="preserve"> </w:t>
      </w:r>
      <w:r>
        <w:rPr>
          <w:rStyle w:val="EndnoteReference"/>
          <w:spacing w:val="-12"/>
          <w:position w:val="6"/>
          <w:vertAlign w:val="baseline"/>
        </w:rPr>
        <w:endnoteReference w:customMarkFollows="1" w:id="2"/>
        <w:t>**</w:t>
      </w:r>
      <w:r>
        <w:rPr>
          <w:rFonts w:hint="eastAsia"/>
        </w:rPr>
        <w:t xml:space="preserve"> </w:t>
      </w:r>
      <w:r>
        <w:rPr>
          <w:rStyle w:val="EndnoteReference"/>
          <w:spacing w:val="-12"/>
          <w:position w:val="6"/>
          <w:vertAlign w:val="baseline"/>
        </w:rPr>
        <w:endnoteReference w:customMarkFollows="1" w:id="3"/>
        <w:t>***</w:t>
      </w:r>
    </w:p>
    <w:p w:rsidR="00000000" w:rsidRDefault="00000000">
      <w:pPr>
        <w:jc w:val="right"/>
        <w:rPr>
          <w:rFonts w:hint="eastAsia"/>
        </w:rPr>
      </w:pPr>
      <w:r>
        <w:rPr>
          <w:rFonts w:hint="eastAsia"/>
        </w:rPr>
        <w:t>[2005</w:t>
      </w:r>
      <w:r>
        <w:rPr>
          <w:rFonts w:hint="eastAsia"/>
        </w:rPr>
        <w:t>年</w:t>
      </w:r>
      <w:r>
        <w:rPr>
          <w:rFonts w:hint="eastAsia"/>
        </w:rPr>
        <w:t>10</w:t>
      </w:r>
      <w:r>
        <w:rPr>
          <w:rFonts w:hint="eastAsia"/>
        </w:rPr>
        <w:t>月</w:t>
      </w:r>
      <w:r>
        <w:rPr>
          <w:rFonts w:hint="eastAsia"/>
        </w:rPr>
        <w:t>10</w:t>
      </w:r>
      <w:r>
        <w:rPr>
          <w:rFonts w:hint="eastAsia"/>
        </w:rPr>
        <w:t>日</w:t>
      </w:r>
      <w:r>
        <w:rPr>
          <w:rFonts w:hint="eastAsia"/>
        </w:rPr>
        <w:t>]</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sectPr w:rsidR="00000000">
          <w:headerReference w:type="even" r:id="rId7"/>
          <w:headerReference w:type="default" r:id="rId8"/>
          <w:headerReference w:type="first" r:id="rId9"/>
          <w:footerReference w:type="first" r:id="rId10"/>
          <w:endnotePr>
            <w:numFmt w:val="decimal"/>
            <w:numRestart w:val="eachSect"/>
          </w:endnotePr>
          <w:pgSz w:w="11906" w:h="16838"/>
          <w:pgMar w:top="1985" w:right="1276" w:bottom="1985" w:left="1276" w:header="794" w:footer="1588" w:gutter="0"/>
          <w:cols w:space="425"/>
          <w:titlePg/>
          <w:docGrid w:type="lines" w:linePitch="360"/>
        </w:sectPr>
      </w:pPr>
    </w:p>
    <w:p w:rsidR="00000000" w:rsidRDefault="00000000">
      <w:pPr>
        <w:pStyle w:val="a7"/>
        <w:keepNext/>
        <w:tabs>
          <w:tab w:val="clear" w:pos="7201"/>
          <w:tab w:val="clear" w:pos="8618"/>
          <w:tab w:val="left" w:pos="7088"/>
          <w:tab w:val="left" w:pos="8080"/>
          <w:tab w:val="left" w:pos="8640"/>
        </w:tabs>
        <w:spacing w:after="160" w:line="336" w:lineRule="auto"/>
        <w:jc w:val="center"/>
        <w:rPr>
          <w:snapToGrid/>
          <w:spacing w:val="0"/>
          <w:sz w:val="26"/>
        </w:rPr>
      </w:pPr>
      <w:r>
        <w:rPr>
          <w:rFonts w:hint="eastAsia"/>
          <w:snapToGrid/>
          <w:spacing w:val="0"/>
          <w:sz w:val="26"/>
        </w:rPr>
        <w:t>目</w:t>
      </w:r>
      <w:r>
        <w:rPr>
          <w:snapToGrid/>
          <w:spacing w:val="0"/>
          <w:sz w:val="26"/>
        </w:rPr>
        <w:tab/>
      </w:r>
      <w:r>
        <w:rPr>
          <w:rFonts w:hint="eastAsia"/>
          <w:snapToGrid/>
          <w:spacing w:val="0"/>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hint="eastAsia"/>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spacing w:line="317" w:lineRule="auto"/>
        <w:rPr>
          <w:rFonts w:hint="eastAsia"/>
          <w:kern w:val="24"/>
        </w:rPr>
      </w:pPr>
      <w:r>
        <w:rPr>
          <w:rFonts w:hint="eastAsia"/>
          <w:kern w:val="24"/>
        </w:rPr>
        <w:t>导</w:t>
      </w:r>
      <w:r>
        <w:rPr>
          <w:rFonts w:hint="eastAsia"/>
          <w:kern w:val="24"/>
        </w:rPr>
        <w:t xml:space="preserve">  </w:t>
      </w:r>
      <w:r>
        <w:rPr>
          <w:rFonts w:hint="eastAsia"/>
          <w:kern w:val="24"/>
        </w:rPr>
        <w:t>言</w:t>
      </w:r>
      <w:r>
        <w:rPr>
          <w:rFonts w:hint="eastAsia"/>
          <w:kern w:val="24"/>
        </w:rPr>
        <w:t>...................</w:t>
      </w:r>
      <w:r>
        <w:rPr>
          <w:rFonts w:hint="eastAsia"/>
          <w:kern w:val="24"/>
        </w:rPr>
        <w:tab/>
      </w:r>
      <w:r>
        <w:rPr>
          <w:rFonts w:hint="eastAsia"/>
          <w:kern w:val="24"/>
        </w:rPr>
        <w:tab/>
        <w:t>1</w:t>
      </w:r>
      <w:r>
        <w:rPr>
          <w:rFonts w:hint="eastAsia"/>
          <w:kern w:val="24"/>
        </w:rPr>
        <w:tab/>
        <w:t>-</w:t>
      </w:r>
      <w:r>
        <w:rPr>
          <w:rFonts w:hint="eastAsia"/>
          <w:kern w:val="24"/>
        </w:rPr>
        <w:tab/>
        <w:t>10</w:t>
      </w:r>
      <w:r>
        <w:rPr>
          <w:rFonts w:hint="eastAsia"/>
          <w:kern w:val="24"/>
        </w:rPr>
        <w:tab/>
        <w:t>7</w:t>
      </w:r>
    </w:p>
    <w:p w:rsidR="00000000" w:rsidRDefault="00000000">
      <w:pPr>
        <w:pStyle w:val="a9"/>
        <w:spacing w:line="317" w:lineRule="auto"/>
        <w:rPr>
          <w:rFonts w:hint="eastAsia"/>
          <w:kern w:val="24"/>
        </w:rPr>
      </w:pPr>
      <w:r>
        <w:rPr>
          <w:rFonts w:hint="eastAsia"/>
          <w:kern w:val="24"/>
        </w:rPr>
        <w:t xml:space="preserve">D.  </w:t>
      </w:r>
      <w:r>
        <w:rPr>
          <w:rFonts w:hint="eastAsia"/>
          <w:kern w:val="24"/>
        </w:rPr>
        <w:t>主要的关注问题</w:t>
      </w:r>
      <w:r>
        <w:rPr>
          <w:rFonts w:hint="eastAsia"/>
          <w:kern w:val="24"/>
        </w:rPr>
        <w:t>...........</w:t>
      </w:r>
      <w:r>
        <w:rPr>
          <w:rFonts w:hint="eastAsia"/>
          <w:kern w:val="24"/>
        </w:rPr>
        <w:tab/>
      </w:r>
      <w:r>
        <w:rPr>
          <w:rFonts w:hint="eastAsia"/>
          <w:kern w:val="24"/>
        </w:rPr>
        <w:tab/>
        <w:t>11</w:t>
      </w:r>
      <w:r>
        <w:rPr>
          <w:rFonts w:hint="eastAsia"/>
          <w:kern w:val="24"/>
        </w:rPr>
        <w:tab/>
        <w:t>-</w:t>
      </w:r>
      <w:r>
        <w:rPr>
          <w:rFonts w:hint="eastAsia"/>
          <w:kern w:val="24"/>
        </w:rPr>
        <w:tab/>
        <w:t>50</w:t>
      </w:r>
      <w:r>
        <w:rPr>
          <w:rFonts w:hint="eastAsia"/>
          <w:kern w:val="24"/>
        </w:rPr>
        <w:tab/>
        <w:t>8</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D12.</w:t>
      </w:r>
      <w:r>
        <w:rPr>
          <w:rFonts w:hint="eastAsia"/>
          <w:kern w:val="24"/>
        </w:rPr>
        <w:tab/>
      </w:r>
      <w:r>
        <w:rPr>
          <w:rFonts w:hint="eastAsia"/>
          <w:kern w:val="24"/>
        </w:rPr>
        <w:t>判例法</w:t>
      </w:r>
      <w:r>
        <w:rPr>
          <w:rFonts w:hint="eastAsia"/>
          <w:kern w:val="24"/>
        </w:rPr>
        <w:t>...................</w:t>
      </w:r>
      <w:r>
        <w:rPr>
          <w:rFonts w:hint="eastAsia"/>
          <w:kern w:val="24"/>
        </w:rPr>
        <w:tab/>
      </w:r>
      <w:r>
        <w:rPr>
          <w:rFonts w:hint="eastAsia"/>
          <w:kern w:val="24"/>
        </w:rPr>
        <w:tab/>
        <w:t>11</w:t>
      </w:r>
      <w:r>
        <w:rPr>
          <w:rFonts w:hint="eastAsia"/>
          <w:kern w:val="24"/>
        </w:rPr>
        <w:tab/>
        <w:t>-</w:t>
      </w:r>
      <w:r>
        <w:rPr>
          <w:rFonts w:hint="eastAsia"/>
          <w:kern w:val="24"/>
        </w:rPr>
        <w:tab/>
        <w:t>14</w:t>
      </w:r>
      <w:r>
        <w:rPr>
          <w:rFonts w:hint="eastAsia"/>
          <w:kern w:val="24"/>
        </w:rPr>
        <w:tab/>
        <w:t>8</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D14.</w:t>
      </w:r>
      <w:r>
        <w:rPr>
          <w:rFonts w:hint="eastAsia"/>
          <w:kern w:val="24"/>
        </w:rPr>
        <w:tab/>
      </w:r>
      <w:r>
        <w:rPr>
          <w:rFonts w:hint="eastAsia"/>
          <w:kern w:val="24"/>
        </w:rPr>
        <w:t>种族主义态度</w:t>
      </w:r>
      <w:r>
        <w:rPr>
          <w:rFonts w:hint="eastAsia"/>
          <w:kern w:val="24"/>
        </w:rPr>
        <w:t>.........</w:t>
      </w:r>
      <w:r>
        <w:rPr>
          <w:rFonts w:hint="eastAsia"/>
          <w:kern w:val="24"/>
        </w:rPr>
        <w:tab/>
      </w:r>
      <w:r>
        <w:rPr>
          <w:rFonts w:hint="eastAsia"/>
          <w:kern w:val="24"/>
        </w:rPr>
        <w:tab/>
        <w:t>15</w:t>
      </w:r>
      <w:r>
        <w:rPr>
          <w:rFonts w:hint="eastAsia"/>
          <w:kern w:val="24"/>
        </w:rPr>
        <w:tab/>
        <w:t>-</w:t>
      </w:r>
      <w:r>
        <w:rPr>
          <w:rFonts w:hint="eastAsia"/>
          <w:kern w:val="24"/>
        </w:rPr>
        <w:tab/>
        <w:t>31</w:t>
      </w:r>
      <w:r>
        <w:rPr>
          <w:rFonts w:hint="eastAsia"/>
          <w:kern w:val="24"/>
        </w:rPr>
        <w:tab/>
        <w:t>9</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D15.</w:t>
      </w:r>
      <w:r>
        <w:rPr>
          <w:rFonts w:hint="eastAsia"/>
          <w:kern w:val="24"/>
        </w:rPr>
        <w:tab/>
      </w:r>
      <w:r>
        <w:rPr>
          <w:rFonts w:hint="eastAsia"/>
          <w:kern w:val="24"/>
        </w:rPr>
        <w:t>所谓的“待聘”工人享有的劳动权利</w:t>
      </w:r>
      <w:r>
        <w:rPr>
          <w:rFonts w:hint="eastAsia"/>
          <w:kern w:val="24"/>
        </w:rPr>
        <w:t>..</w:t>
      </w:r>
      <w:r>
        <w:rPr>
          <w:rFonts w:hint="eastAsia"/>
          <w:kern w:val="24"/>
        </w:rPr>
        <w:tab/>
      </w:r>
      <w:r>
        <w:rPr>
          <w:rFonts w:hint="eastAsia"/>
          <w:kern w:val="24"/>
        </w:rPr>
        <w:tab/>
        <w:t>32</w:t>
      </w:r>
      <w:r>
        <w:rPr>
          <w:rFonts w:hint="eastAsia"/>
          <w:kern w:val="24"/>
        </w:rPr>
        <w:tab/>
        <w:t>-</w:t>
      </w:r>
      <w:r>
        <w:rPr>
          <w:rFonts w:hint="eastAsia"/>
          <w:kern w:val="24"/>
        </w:rPr>
        <w:tab/>
        <w:t>34</w:t>
      </w:r>
      <w:r>
        <w:rPr>
          <w:rFonts w:hint="eastAsia"/>
          <w:kern w:val="24"/>
        </w:rPr>
        <w:tab/>
        <w:t>11</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D16.</w:t>
      </w:r>
      <w:r>
        <w:rPr>
          <w:rFonts w:hint="eastAsia"/>
          <w:kern w:val="24"/>
        </w:rPr>
        <w:tab/>
      </w:r>
      <w:r>
        <w:rPr>
          <w:rFonts w:hint="eastAsia"/>
          <w:kern w:val="24"/>
        </w:rPr>
        <w:t>最低工资</w:t>
      </w:r>
      <w:r>
        <w:rPr>
          <w:rFonts w:hint="eastAsia"/>
          <w:kern w:val="24"/>
        </w:rPr>
        <w:t>.....</w:t>
      </w:r>
      <w:r>
        <w:rPr>
          <w:rFonts w:hint="eastAsia"/>
          <w:kern w:val="24"/>
        </w:rPr>
        <w:tab/>
      </w:r>
      <w:r>
        <w:rPr>
          <w:rFonts w:hint="eastAsia"/>
          <w:kern w:val="24"/>
        </w:rPr>
        <w:tab/>
        <w:t>35</w:t>
      </w:r>
      <w:r>
        <w:rPr>
          <w:rFonts w:hint="eastAsia"/>
          <w:kern w:val="24"/>
        </w:rPr>
        <w:tab/>
        <w:t>-</w:t>
      </w:r>
      <w:r>
        <w:rPr>
          <w:rFonts w:hint="eastAsia"/>
          <w:kern w:val="24"/>
        </w:rPr>
        <w:tab/>
        <w:t>37</w:t>
      </w:r>
      <w:r>
        <w:rPr>
          <w:rFonts w:hint="eastAsia"/>
          <w:kern w:val="24"/>
        </w:rPr>
        <w:tab/>
        <w:t>12</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D17.</w:t>
      </w:r>
      <w:r>
        <w:rPr>
          <w:rFonts w:hint="eastAsia"/>
          <w:kern w:val="24"/>
        </w:rPr>
        <w:tab/>
      </w:r>
      <w:r>
        <w:rPr>
          <w:rFonts w:hint="eastAsia"/>
          <w:kern w:val="24"/>
        </w:rPr>
        <w:t>侵犯妇女的暴力行为</w:t>
      </w:r>
      <w:r>
        <w:rPr>
          <w:rFonts w:hint="eastAsia"/>
          <w:kern w:val="24"/>
        </w:rPr>
        <w:t>..</w:t>
      </w:r>
      <w:r>
        <w:rPr>
          <w:rFonts w:hint="eastAsia"/>
          <w:kern w:val="24"/>
        </w:rPr>
        <w:tab/>
      </w:r>
      <w:r>
        <w:rPr>
          <w:rFonts w:hint="eastAsia"/>
          <w:kern w:val="24"/>
        </w:rPr>
        <w:tab/>
      </w:r>
      <w:r>
        <w:rPr>
          <w:rFonts w:hint="eastAsia"/>
          <w:kern w:val="24"/>
        </w:rPr>
        <w:tab/>
        <w:t>38</w:t>
      </w:r>
      <w:r>
        <w:rPr>
          <w:rFonts w:hint="eastAsia"/>
          <w:kern w:val="24"/>
        </w:rPr>
        <w:tab/>
      </w:r>
      <w:r>
        <w:rPr>
          <w:rFonts w:hint="eastAsia"/>
          <w:kern w:val="24"/>
        </w:rPr>
        <w:tab/>
        <w:t>12</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D18.</w:t>
      </w:r>
      <w:r>
        <w:rPr>
          <w:rFonts w:hint="eastAsia"/>
          <w:kern w:val="24"/>
        </w:rPr>
        <w:tab/>
      </w:r>
      <w:r>
        <w:rPr>
          <w:rFonts w:hint="eastAsia"/>
          <w:kern w:val="24"/>
        </w:rPr>
        <w:t>在大赫尔辛基地区的无家可归者</w:t>
      </w:r>
      <w:r>
        <w:rPr>
          <w:rFonts w:hint="eastAsia"/>
          <w:kern w:val="24"/>
        </w:rPr>
        <w:t>..</w:t>
      </w:r>
      <w:r>
        <w:rPr>
          <w:rFonts w:hint="eastAsia"/>
          <w:kern w:val="24"/>
        </w:rPr>
        <w:tab/>
      </w:r>
      <w:r>
        <w:rPr>
          <w:rFonts w:hint="eastAsia"/>
          <w:kern w:val="24"/>
        </w:rPr>
        <w:tab/>
        <w:t>39</w:t>
      </w:r>
      <w:r>
        <w:rPr>
          <w:rFonts w:hint="eastAsia"/>
          <w:kern w:val="24"/>
        </w:rPr>
        <w:tab/>
        <w:t>-</w:t>
      </w:r>
      <w:r>
        <w:rPr>
          <w:rFonts w:hint="eastAsia"/>
          <w:kern w:val="24"/>
        </w:rPr>
        <w:tab/>
        <w:t>46</w:t>
      </w:r>
      <w:r>
        <w:rPr>
          <w:rFonts w:hint="eastAsia"/>
          <w:kern w:val="24"/>
        </w:rPr>
        <w:tab/>
        <w:t>12</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D19.</w:t>
      </w:r>
      <w:r>
        <w:rPr>
          <w:rFonts w:hint="eastAsia"/>
          <w:kern w:val="24"/>
        </w:rPr>
        <w:tab/>
      </w:r>
      <w:r>
        <w:rPr>
          <w:rFonts w:hint="eastAsia"/>
          <w:kern w:val="24"/>
        </w:rPr>
        <w:t>公共医疗服务制度</w:t>
      </w:r>
      <w:r>
        <w:rPr>
          <w:rFonts w:hint="eastAsia"/>
          <w:kern w:val="24"/>
        </w:rPr>
        <w:t>....</w:t>
      </w:r>
      <w:r>
        <w:rPr>
          <w:rFonts w:hint="eastAsia"/>
          <w:kern w:val="24"/>
        </w:rPr>
        <w:tab/>
      </w:r>
      <w:r>
        <w:rPr>
          <w:rFonts w:hint="eastAsia"/>
          <w:kern w:val="24"/>
        </w:rPr>
        <w:tab/>
        <w:t>47</w:t>
      </w:r>
      <w:r>
        <w:rPr>
          <w:rFonts w:hint="eastAsia"/>
          <w:kern w:val="24"/>
        </w:rPr>
        <w:tab/>
        <w:t>-</w:t>
      </w:r>
      <w:r>
        <w:rPr>
          <w:rFonts w:hint="eastAsia"/>
          <w:kern w:val="24"/>
        </w:rPr>
        <w:tab/>
        <w:t>49</w:t>
      </w:r>
      <w:r>
        <w:rPr>
          <w:rFonts w:hint="eastAsia"/>
          <w:kern w:val="24"/>
        </w:rPr>
        <w:tab/>
        <w:t>14</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D20.</w:t>
      </w:r>
      <w:r>
        <w:rPr>
          <w:rFonts w:hint="eastAsia"/>
          <w:kern w:val="24"/>
        </w:rPr>
        <w:tab/>
      </w:r>
      <w:r>
        <w:rPr>
          <w:rFonts w:hint="eastAsia"/>
          <w:kern w:val="24"/>
        </w:rPr>
        <w:t>居住地区引起的不公平</w:t>
      </w:r>
      <w:r>
        <w:rPr>
          <w:rFonts w:hint="eastAsia"/>
          <w:kern w:val="24"/>
        </w:rPr>
        <w:t>.....</w:t>
      </w:r>
      <w:r>
        <w:rPr>
          <w:rFonts w:hint="eastAsia"/>
          <w:kern w:val="24"/>
        </w:rPr>
        <w:tab/>
      </w:r>
      <w:r>
        <w:rPr>
          <w:rFonts w:hint="eastAsia"/>
          <w:kern w:val="24"/>
        </w:rPr>
        <w:tab/>
      </w:r>
      <w:r>
        <w:rPr>
          <w:rFonts w:hint="eastAsia"/>
          <w:kern w:val="24"/>
        </w:rPr>
        <w:tab/>
        <w:t>50</w:t>
      </w:r>
      <w:r>
        <w:rPr>
          <w:rFonts w:hint="eastAsia"/>
          <w:kern w:val="24"/>
        </w:rPr>
        <w:tab/>
      </w:r>
      <w:r>
        <w:rPr>
          <w:rFonts w:hint="eastAsia"/>
          <w:kern w:val="24"/>
        </w:rPr>
        <w:tab/>
        <w:t>15</w:t>
      </w:r>
    </w:p>
    <w:p w:rsidR="00000000" w:rsidRDefault="00000000">
      <w:pPr>
        <w:pStyle w:val="a9"/>
        <w:spacing w:line="317" w:lineRule="auto"/>
        <w:rPr>
          <w:rFonts w:hint="eastAsia"/>
          <w:kern w:val="24"/>
        </w:rPr>
      </w:pPr>
      <w:r>
        <w:rPr>
          <w:rFonts w:hint="eastAsia"/>
          <w:kern w:val="24"/>
        </w:rPr>
        <w:t xml:space="preserve">E.  </w:t>
      </w:r>
      <w:r>
        <w:rPr>
          <w:rFonts w:hint="eastAsia"/>
          <w:kern w:val="24"/>
        </w:rPr>
        <w:t>建</w:t>
      </w:r>
      <w:r>
        <w:rPr>
          <w:rFonts w:hint="eastAsia"/>
          <w:kern w:val="24"/>
        </w:rPr>
        <w:t xml:space="preserve">  </w:t>
      </w:r>
      <w:r>
        <w:rPr>
          <w:rFonts w:hint="eastAsia"/>
          <w:kern w:val="24"/>
        </w:rPr>
        <w:t>议</w:t>
      </w:r>
      <w:r>
        <w:rPr>
          <w:rFonts w:hint="eastAsia"/>
          <w:kern w:val="24"/>
        </w:rPr>
        <w:t>..............</w:t>
      </w:r>
      <w:r>
        <w:rPr>
          <w:rFonts w:hint="eastAsia"/>
          <w:kern w:val="24"/>
        </w:rPr>
        <w:tab/>
      </w:r>
      <w:r>
        <w:rPr>
          <w:rFonts w:hint="eastAsia"/>
          <w:kern w:val="24"/>
        </w:rPr>
        <w:tab/>
        <w:t>51</w:t>
      </w:r>
      <w:r>
        <w:rPr>
          <w:rFonts w:hint="eastAsia"/>
          <w:kern w:val="24"/>
        </w:rPr>
        <w:tab/>
        <w:t>-</w:t>
      </w:r>
      <w:r>
        <w:rPr>
          <w:rFonts w:hint="eastAsia"/>
          <w:kern w:val="24"/>
        </w:rPr>
        <w:tab/>
        <w:t>159</w:t>
      </w:r>
      <w:r>
        <w:rPr>
          <w:rFonts w:hint="eastAsia"/>
          <w:kern w:val="24"/>
        </w:rPr>
        <w:tab/>
        <w:t>15</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E21.</w:t>
      </w:r>
      <w:r>
        <w:rPr>
          <w:rFonts w:hint="eastAsia"/>
          <w:kern w:val="24"/>
        </w:rPr>
        <w:tab/>
      </w:r>
      <w:r>
        <w:rPr>
          <w:rFonts w:hint="eastAsia"/>
          <w:kern w:val="24"/>
        </w:rPr>
        <w:t>国家行动计划</w:t>
      </w:r>
      <w:r>
        <w:rPr>
          <w:rFonts w:hint="eastAsia"/>
          <w:kern w:val="24"/>
        </w:rPr>
        <w:t>.....</w:t>
      </w:r>
      <w:r>
        <w:rPr>
          <w:rFonts w:hint="eastAsia"/>
          <w:kern w:val="24"/>
        </w:rPr>
        <w:tab/>
      </w:r>
      <w:r>
        <w:rPr>
          <w:rFonts w:hint="eastAsia"/>
          <w:kern w:val="24"/>
        </w:rPr>
        <w:tab/>
      </w:r>
      <w:r>
        <w:rPr>
          <w:rFonts w:hint="eastAsia"/>
          <w:kern w:val="24"/>
        </w:rPr>
        <w:tab/>
        <w:t>61</w:t>
      </w:r>
      <w:r>
        <w:rPr>
          <w:rFonts w:hint="eastAsia"/>
          <w:kern w:val="24"/>
        </w:rPr>
        <w:tab/>
      </w:r>
      <w:r>
        <w:rPr>
          <w:rFonts w:hint="eastAsia"/>
          <w:kern w:val="24"/>
        </w:rPr>
        <w:tab/>
        <w:t>15</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E22.</w:t>
      </w:r>
      <w:r>
        <w:rPr>
          <w:rFonts w:hint="eastAsia"/>
          <w:kern w:val="24"/>
        </w:rPr>
        <w:tab/>
      </w:r>
      <w:r>
        <w:rPr>
          <w:rFonts w:hint="eastAsia"/>
          <w:kern w:val="24"/>
        </w:rPr>
        <w:t>对于法官和律师的进一步培训</w:t>
      </w:r>
      <w:r>
        <w:rPr>
          <w:rFonts w:hint="eastAsia"/>
          <w:kern w:val="24"/>
        </w:rPr>
        <w:t>...</w:t>
      </w:r>
      <w:r>
        <w:rPr>
          <w:rFonts w:hint="eastAsia"/>
          <w:kern w:val="24"/>
        </w:rPr>
        <w:tab/>
      </w:r>
      <w:r>
        <w:rPr>
          <w:rFonts w:hint="eastAsia"/>
          <w:kern w:val="24"/>
        </w:rPr>
        <w:tab/>
        <w:t>52</w:t>
      </w:r>
      <w:r>
        <w:rPr>
          <w:rFonts w:hint="eastAsia"/>
          <w:kern w:val="24"/>
        </w:rPr>
        <w:tab/>
        <w:t>-</w:t>
      </w:r>
      <w:r>
        <w:rPr>
          <w:rFonts w:hint="eastAsia"/>
          <w:kern w:val="24"/>
        </w:rPr>
        <w:tab/>
        <w:t>55</w:t>
      </w:r>
      <w:r>
        <w:rPr>
          <w:rFonts w:hint="eastAsia"/>
          <w:kern w:val="24"/>
        </w:rPr>
        <w:tab/>
        <w:t>16</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E23.</w:t>
      </w:r>
      <w:r>
        <w:rPr>
          <w:rFonts w:hint="eastAsia"/>
          <w:kern w:val="24"/>
        </w:rPr>
        <w:tab/>
      </w:r>
      <w:r>
        <w:rPr>
          <w:rFonts w:hint="eastAsia"/>
          <w:kern w:val="24"/>
        </w:rPr>
        <w:t>用于国际合作的预算拨款</w:t>
      </w:r>
      <w:r>
        <w:rPr>
          <w:rFonts w:hint="eastAsia"/>
          <w:kern w:val="24"/>
        </w:rPr>
        <w:t>...</w:t>
      </w:r>
      <w:r>
        <w:rPr>
          <w:rFonts w:hint="eastAsia"/>
          <w:kern w:val="24"/>
        </w:rPr>
        <w:tab/>
      </w:r>
      <w:r>
        <w:rPr>
          <w:rFonts w:hint="eastAsia"/>
          <w:kern w:val="24"/>
        </w:rPr>
        <w:tab/>
        <w:t>56</w:t>
      </w:r>
      <w:r>
        <w:rPr>
          <w:rFonts w:hint="eastAsia"/>
          <w:kern w:val="24"/>
        </w:rPr>
        <w:tab/>
        <w:t>-</w:t>
      </w:r>
      <w:r>
        <w:rPr>
          <w:rFonts w:hint="eastAsia"/>
          <w:kern w:val="24"/>
        </w:rPr>
        <w:tab/>
        <w:t>58</w:t>
      </w:r>
      <w:r>
        <w:rPr>
          <w:rFonts w:hint="eastAsia"/>
          <w:kern w:val="24"/>
        </w:rPr>
        <w:tab/>
        <w:t>16</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E24.</w:t>
      </w:r>
      <w:r>
        <w:rPr>
          <w:rFonts w:hint="eastAsia"/>
          <w:kern w:val="24"/>
        </w:rPr>
        <w:tab/>
      </w:r>
      <w:r>
        <w:rPr>
          <w:rFonts w:hint="eastAsia"/>
          <w:kern w:val="24"/>
        </w:rPr>
        <w:t>作为国际金融机构成员的义务</w:t>
      </w:r>
      <w:r>
        <w:rPr>
          <w:rFonts w:hint="eastAsia"/>
          <w:kern w:val="24"/>
        </w:rPr>
        <w:t>..</w:t>
      </w:r>
      <w:r>
        <w:rPr>
          <w:rFonts w:hint="eastAsia"/>
          <w:kern w:val="24"/>
        </w:rPr>
        <w:tab/>
      </w:r>
      <w:r>
        <w:rPr>
          <w:rFonts w:hint="eastAsia"/>
          <w:kern w:val="24"/>
        </w:rPr>
        <w:tab/>
      </w:r>
      <w:r>
        <w:rPr>
          <w:rFonts w:hint="eastAsia"/>
          <w:kern w:val="24"/>
        </w:rPr>
        <w:tab/>
        <w:t>59</w:t>
      </w:r>
      <w:r>
        <w:rPr>
          <w:rFonts w:hint="eastAsia"/>
          <w:kern w:val="24"/>
        </w:rPr>
        <w:tab/>
      </w:r>
      <w:r>
        <w:rPr>
          <w:rFonts w:hint="eastAsia"/>
          <w:kern w:val="24"/>
        </w:rPr>
        <w:tab/>
        <w:t>17</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E25.</w:t>
      </w:r>
      <w:r>
        <w:rPr>
          <w:rFonts w:hint="eastAsia"/>
          <w:kern w:val="24"/>
        </w:rPr>
        <w:tab/>
      </w:r>
      <w:r>
        <w:rPr>
          <w:rFonts w:hint="eastAsia"/>
          <w:kern w:val="24"/>
        </w:rPr>
        <w:t>劳工组织第</w:t>
      </w:r>
      <w:r>
        <w:rPr>
          <w:rFonts w:hint="eastAsia"/>
          <w:kern w:val="24"/>
        </w:rPr>
        <w:t>169</w:t>
      </w:r>
      <w:r>
        <w:rPr>
          <w:rFonts w:hint="eastAsia"/>
          <w:kern w:val="24"/>
        </w:rPr>
        <w:t>号公约和萨米人地契的问题</w:t>
      </w:r>
      <w:r>
        <w:rPr>
          <w:rFonts w:hint="eastAsia"/>
          <w:kern w:val="24"/>
        </w:rPr>
        <w:t>.......</w:t>
      </w:r>
      <w:r>
        <w:rPr>
          <w:rFonts w:hint="eastAsia"/>
          <w:kern w:val="24"/>
        </w:rPr>
        <w:tab/>
      </w:r>
      <w:r>
        <w:rPr>
          <w:rFonts w:hint="eastAsia"/>
          <w:kern w:val="24"/>
        </w:rPr>
        <w:tab/>
      </w:r>
      <w:r>
        <w:rPr>
          <w:rFonts w:hint="eastAsia"/>
          <w:kern w:val="24"/>
        </w:rPr>
        <w:tab/>
        <w:t>60</w:t>
      </w:r>
      <w:r>
        <w:rPr>
          <w:rFonts w:hint="eastAsia"/>
          <w:kern w:val="24"/>
        </w:rPr>
        <w:tab/>
        <w:t>-</w:t>
      </w:r>
      <w:r>
        <w:rPr>
          <w:rFonts w:hint="eastAsia"/>
          <w:kern w:val="24"/>
        </w:rPr>
        <w:tab/>
        <w:t>79</w:t>
      </w:r>
      <w:r>
        <w:rPr>
          <w:rFonts w:hint="eastAsia"/>
          <w:kern w:val="24"/>
        </w:rPr>
        <w:tab/>
        <w:t>17</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E26.</w:t>
      </w:r>
      <w:r>
        <w:rPr>
          <w:rFonts w:hint="eastAsia"/>
          <w:kern w:val="24"/>
        </w:rPr>
        <w:tab/>
      </w:r>
      <w:r>
        <w:rPr>
          <w:rFonts w:hint="eastAsia"/>
          <w:kern w:val="24"/>
        </w:rPr>
        <w:t>罗姆人的地位</w:t>
      </w:r>
      <w:r>
        <w:rPr>
          <w:rFonts w:hint="eastAsia"/>
          <w:kern w:val="24"/>
        </w:rPr>
        <w:t>...</w:t>
      </w:r>
      <w:r>
        <w:rPr>
          <w:rFonts w:hint="eastAsia"/>
          <w:kern w:val="24"/>
        </w:rPr>
        <w:tab/>
      </w:r>
      <w:r>
        <w:rPr>
          <w:rFonts w:hint="eastAsia"/>
          <w:kern w:val="24"/>
        </w:rPr>
        <w:tab/>
        <w:t>80</w:t>
      </w:r>
      <w:r>
        <w:rPr>
          <w:rFonts w:hint="eastAsia"/>
          <w:kern w:val="24"/>
        </w:rPr>
        <w:tab/>
        <w:t>-</w:t>
      </w:r>
      <w:r>
        <w:rPr>
          <w:rFonts w:hint="eastAsia"/>
          <w:kern w:val="24"/>
        </w:rPr>
        <w:tab/>
        <w:t>101</w:t>
      </w:r>
      <w:r>
        <w:rPr>
          <w:rFonts w:hint="eastAsia"/>
          <w:kern w:val="24"/>
        </w:rPr>
        <w:tab/>
        <w:t>20</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E27.</w:t>
      </w:r>
      <w:r>
        <w:rPr>
          <w:rFonts w:hint="eastAsia"/>
          <w:kern w:val="24"/>
        </w:rPr>
        <w:tab/>
      </w:r>
      <w:r>
        <w:rPr>
          <w:rFonts w:hint="eastAsia"/>
          <w:kern w:val="24"/>
        </w:rPr>
        <w:t>种族主义和仇外心理</w:t>
      </w:r>
      <w:r>
        <w:rPr>
          <w:rFonts w:hint="eastAsia"/>
          <w:kern w:val="24"/>
        </w:rPr>
        <w:t>...</w:t>
      </w:r>
      <w:r>
        <w:rPr>
          <w:rFonts w:hint="eastAsia"/>
          <w:kern w:val="24"/>
        </w:rPr>
        <w:tab/>
      </w:r>
      <w:r>
        <w:rPr>
          <w:rFonts w:hint="eastAsia"/>
          <w:kern w:val="24"/>
        </w:rPr>
        <w:tab/>
        <w:t>102</w:t>
      </w:r>
      <w:r>
        <w:rPr>
          <w:rFonts w:hint="eastAsia"/>
          <w:kern w:val="24"/>
        </w:rPr>
        <w:tab/>
        <w:t>-</w:t>
      </w:r>
      <w:r>
        <w:rPr>
          <w:rFonts w:hint="eastAsia"/>
          <w:kern w:val="24"/>
        </w:rPr>
        <w:tab/>
        <w:t>121</w:t>
      </w:r>
      <w:r>
        <w:rPr>
          <w:rFonts w:hint="eastAsia"/>
          <w:kern w:val="24"/>
        </w:rPr>
        <w:tab/>
        <w:t>25</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E28.</w:t>
      </w:r>
      <w:r>
        <w:rPr>
          <w:kern w:val="24"/>
        </w:rPr>
        <w:tab/>
      </w:r>
      <w:r>
        <w:rPr>
          <w:rFonts w:hint="eastAsia"/>
          <w:kern w:val="24"/>
        </w:rPr>
        <w:t>非全日制工人、待聘工人以及外国人的工作保障</w:t>
      </w:r>
      <w:r>
        <w:rPr>
          <w:kern w:val="24"/>
        </w:rPr>
        <w:t>…..</w:t>
      </w:r>
      <w:r>
        <w:rPr>
          <w:rFonts w:hint="eastAsia"/>
          <w:kern w:val="24"/>
        </w:rPr>
        <w:tab/>
      </w:r>
      <w:r>
        <w:rPr>
          <w:rFonts w:hint="eastAsia"/>
          <w:kern w:val="24"/>
        </w:rPr>
        <w:tab/>
        <w:t>122</w:t>
      </w:r>
      <w:r>
        <w:rPr>
          <w:rFonts w:hint="eastAsia"/>
          <w:kern w:val="24"/>
        </w:rPr>
        <w:tab/>
        <w:t>-</w:t>
      </w:r>
      <w:r>
        <w:rPr>
          <w:rFonts w:hint="eastAsia"/>
          <w:kern w:val="24"/>
        </w:rPr>
        <w:tab/>
        <w:t>126</w:t>
      </w:r>
      <w:r>
        <w:rPr>
          <w:rFonts w:hint="eastAsia"/>
          <w:kern w:val="24"/>
        </w:rPr>
        <w:tab/>
        <w:t>28</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E29.</w:t>
      </w:r>
      <w:r>
        <w:rPr>
          <w:kern w:val="24"/>
        </w:rPr>
        <w:tab/>
      </w:r>
      <w:r>
        <w:rPr>
          <w:rFonts w:hint="eastAsia"/>
          <w:kern w:val="24"/>
        </w:rPr>
        <w:t>为保护没有参加部门集体协议的工人而规定的最低工资</w:t>
      </w:r>
      <w:r>
        <w:rPr>
          <w:rFonts w:hint="eastAsia"/>
          <w:kern w:val="24"/>
        </w:rPr>
        <w:t>...................</w:t>
      </w:r>
      <w:r>
        <w:rPr>
          <w:rFonts w:hint="eastAsia"/>
          <w:kern w:val="24"/>
        </w:rPr>
        <w:tab/>
      </w:r>
      <w:r>
        <w:rPr>
          <w:rFonts w:hint="eastAsia"/>
          <w:kern w:val="24"/>
        </w:rPr>
        <w:tab/>
        <w:t>127</w:t>
      </w:r>
      <w:r>
        <w:rPr>
          <w:rFonts w:hint="eastAsia"/>
          <w:kern w:val="24"/>
        </w:rPr>
        <w:tab/>
        <w:t>-</w:t>
      </w:r>
      <w:r>
        <w:rPr>
          <w:rFonts w:hint="eastAsia"/>
          <w:kern w:val="24"/>
        </w:rPr>
        <w:tab/>
        <w:t>132</w:t>
      </w:r>
      <w:r>
        <w:rPr>
          <w:rFonts w:hint="eastAsia"/>
          <w:kern w:val="24"/>
        </w:rPr>
        <w:tab/>
        <w:t>29</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E30.</w:t>
      </w:r>
      <w:r>
        <w:rPr>
          <w:rFonts w:hint="eastAsia"/>
          <w:kern w:val="24"/>
        </w:rPr>
        <w:tab/>
      </w:r>
      <w:r>
        <w:rPr>
          <w:rFonts w:hint="eastAsia"/>
          <w:kern w:val="24"/>
        </w:rPr>
        <w:t>侵犯妇女的暴力行为</w:t>
      </w:r>
      <w:r>
        <w:rPr>
          <w:rFonts w:hint="eastAsia"/>
          <w:kern w:val="24"/>
        </w:rPr>
        <w:t>................</w:t>
      </w:r>
      <w:r>
        <w:rPr>
          <w:rFonts w:hint="eastAsia"/>
          <w:kern w:val="24"/>
        </w:rPr>
        <w:tab/>
      </w:r>
      <w:r>
        <w:rPr>
          <w:rFonts w:hint="eastAsia"/>
          <w:kern w:val="24"/>
        </w:rPr>
        <w:tab/>
        <w:t>133</w:t>
      </w:r>
      <w:r>
        <w:rPr>
          <w:rFonts w:hint="eastAsia"/>
          <w:kern w:val="24"/>
        </w:rPr>
        <w:tab/>
        <w:t>-</w:t>
      </w:r>
      <w:r>
        <w:rPr>
          <w:rFonts w:hint="eastAsia"/>
          <w:kern w:val="24"/>
        </w:rPr>
        <w:tab/>
        <w:t>154</w:t>
      </w:r>
      <w:r>
        <w:rPr>
          <w:rFonts w:hint="eastAsia"/>
          <w:kern w:val="24"/>
        </w:rPr>
        <w:tab/>
        <w:t>30</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E31.</w:t>
      </w:r>
      <w:r>
        <w:rPr>
          <w:kern w:val="24"/>
        </w:rPr>
        <w:tab/>
      </w:r>
      <w:r>
        <w:rPr>
          <w:rFonts w:hint="eastAsia"/>
          <w:kern w:val="24"/>
        </w:rPr>
        <w:t>公共卫生服务</w:t>
      </w:r>
      <w:r>
        <w:rPr>
          <w:rFonts w:hint="eastAsia"/>
          <w:kern w:val="24"/>
        </w:rPr>
        <w:t>...</w:t>
      </w:r>
      <w:r>
        <w:rPr>
          <w:rFonts w:hint="eastAsia"/>
          <w:kern w:val="24"/>
        </w:rPr>
        <w:tab/>
      </w:r>
      <w:r>
        <w:rPr>
          <w:rFonts w:hint="eastAsia"/>
          <w:kern w:val="24"/>
        </w:rPr>
        <w:tab/>
      </w:r>
      <w:r>
        <w:rPr>
          <w:rFonts w:hint="eastAsia"/>
          <w:kern w:val="24"/>
        </w:rPr>
        <w:tab/>
        <w:t>155</w:t>
      </w:r>
      <w:r>
        <w:rPr>
          <w:rFonts w:hint="eastAsia"/>
          <w:kern w:val="24"/>
        </w:rPr>
        <w:tab/>
        <w:t>35</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E32.</w:t>
      </w:r>
      <w:r>
        <w:rPr>
          <w:kern w:val="24"/>
        </w:rPr>
        <w:tab/>
      </w:r>
      <w:r>
        <w:rPr>
          <w:rFonts w:hint="eastAsia"/>
          <w:kern w:val="24"/>
        </w:rPr>
        <w:t>适足的卫生服务，特别是向脆弱群体提供的卫生服务</w:t>
      </w:r>
      <w:r>
        <w:rPr>
          <w:rFonts w:hint="eastAsia"/>
          <w:kern w:val="24"/>
        </w:rPr>
        <w:t>...</w:t>
      </w:r>
      <w:r>
        <w:rPr>
          <w:rFonts w:hint="eastAsia"/>
          <w:kern w:val="24"/>
        </w:rPr>
        <w:tab/>
      </w:r>
      <w:r>
        <w:rPr>
          <w:rFonts w:hint="eastAsia"/>
          <w:kern w:val="24"/>
        </w:rPr>
        <w:tab/>
      </w:r>
      <w:r>
        <w:rPr>
          <w:rFonts w:hint="eastAsia"/>
          <w:kern w:val="24"/>
        </w:rPr>
        <w:tab/>
        <w:t>156</w:t>
      </w:r>
      <w:r>
        <w:rPr>
          <w:rFonts w:hint="eastAsia"/>
          <w:kern w:val="24"/>
        </w:rPr>
        <w:tab/>
        <w:t>35</w:t>
      </w:r>
    </w:p>
    <w:p w:rsidR="00000000" w:rsidRDefault="00000000">
      <w:pPr>
        <w:pStyle w:val="a9"/>
        <w:tabs>
          <w:tab w:val="clear" w:pos="1021"/>
          <w:tab w:val="left" w:pos="1300"/>
        </w:tabs>
        <w:spacing w:line="317" w:lineRule="auto"/>
        <w:ind w:left="1288" w:hanging="778"/>
        <w:rPr>
          <w:rFonts w:hint="eastAsia"/>
          <w:kern w:val="24"/>
        </w:rPr>
      </w:pPr>
      <w:r>
        <w:rPr>
          <w:rFonts w:hint="eastAsia"/>
          <w:kern w:val="24"/>
        </w:rPr>
        <w:t>E34.</w:t>
      </w:r>
      <w:r>
        <w:rPr>
          <w:kern w:val="24"/>
        </w:rPr>
        <w:tab/>
      </w:r>
      <w:r>
        <w:rPr>
          <w:rFonts w:hint="eastAsia"/>
          <w:kern w:val="24"/>
        </w:rPr>
        <w:t>结论性意见的传播</w:t>
      </w:r>
      <w:r>
        <w:rPr>
          <w:rFonts w:hint="eastAsia"/>
          <w:kern w:val="24"/>
        </w:rPr>
        <w:t>...........</w:t>
      </w:r>
      <w:r>
        <w:rPr>
          <w:rFonts w:hint="eastAsia"/>
          <w:kern w:val="24"/>
        </w:rPr>
        <w:tab/>
      </w:r>
      <w:r>
        <w:rPr>
          <w:rFonts w:hint="eastAsia"/>
          <w:kern w:val="24"/>
        </w:rPr>
        <w:tab/>
        <w:t>157</w:t>
      </w:r>
      <w:r>
        <w:rPr>
          <w:rFonts w:hint="eastAsia"/>
          <w:kern w:val="24"/>
        </w:rPr>
        <w:tab/>
        <w:t>-</w:t>
      </w:r>
      <w:r>
        <w:rPr>
          <w:rFonts w:hint="eastAsia"/>
          <w:kern w:val="24"/>
        </w:rPr>
        <w:tab/>
        <w:t>159</w:t>
      </w:r>
      <w:r>
        <w:rPr>
          <w:rFonts w:hint="eastAsia"/>
          <w:kern w:val="24"/>
        </w:rPr>
        <w:tab/>
        <w:t>35</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kern w:val="24"/>
        </w:rPr>
      </w:pPr>
      <w:r>
        <w:rPr>
          <w:rFonts w:hint="eastAsia"/>
          <w:kern w:val="24"/>
        </w:rPr>
        <w:t>第</w:t>
      </w:r>
      <w:r>
        <w:rPr>
          <w:rFonts w:hint="eastAsia"/>
          <w:kern w:val="24"/>
        </w:rPr>
        <w:t>1</w:t>
      </w:r>
      <w:r>
        <w:rPr>
          <w:rFonts w:hint="eastAsia"/>
          <w:kern w:val="24"/>
        </w:rPr>
        <w:t>条</w:t>
      </w:r>
      <w:r>
        <w:rPr>
          <w:rFonts w:hint="eastAsia"/>
          <w:kern w:val="24"/>
        </w:rPr>
        <w:t>....................</w:t>
      </w:r>
      <w:r>
        <w:rPr>
          <w:rFonts w:hint="eastAsia"/>
          <w:kern w:val="24"/>
        </w:rPr>
        <w:tab/>
      </w:r>
      <w:r>
        <w:rPr>
          <w:rFonts w:hint="eastAsia"/>
          <w:kern w:val="24"/>
        </w:rPr>
        <w:tab/>
        <w:t>160</w:t>
      </w:r>
      <w:r>
        <w:rPr>
          <w:rFonts w:hint="eastAsia"/>
          <w:kern w:val="24"/>
        </w:rPr>
        <w:tab/>
        <w:t>-</w:t>
      </w:r>
      <w:r>
        <w:rPr>
          <w:rFonts w:hint="eastAsia"/>
          <w:kern w:val="24"/>
        </w:rPr>
        <w:tab/>
        <w:t>174</w:t>
      </w:r>
      <w:r>
        <w:rPr>
          <w:rFonts w:hint="eastAsia"/>
          <w:kern w:val="24"/>
        </w:rPr>
        <w:tab/>
        <w:t>36</w:t>
      </w:r>
    </w:p>
    <w:p w:rsidR="00000000" w:rsidRDefault="00000000">
      <w:pPr>
        <w:pStyle w:val="a9"/>
        <w:rPr>
          <w:rFonts w:hint="eastAsia"/>
          <w:kern w:val="24"/>
        </w:rPr>
      </w:pPr>
      <w:r>
        <w:rPr>
          <w:rFonts w:hint="eastAsia"/>
          <w:kern w:val="24"/>
        </w:rPr>
        <w:t>第</w:t>
      </w:r>
      <w:r>
        <w:rPr>
          <w:rFonts w:hint="eastAsia"/>
          <w:kern w:val="24"/>
        </w:rPr>
        <w:t>2</w:t>
      </w:r>
      <w:r>
        <w:rPr>
          <w:rFonts w:hint="eastAsia"/>
          <w:kern w:val="24"/>
        </w:rPr>
        <w:t>条</w:t>
      </w:r>
      <w:r>
        <w:rPr>
          <w:kern w:val="24"/>
        </w:rPr>
        <w:t>……..</w:t>
      </w:r>
      <w:r>
        <w:rPr>
          <w:rFonts w:hint="eastAsia"/>
          <w:kern w:val="24"/>
        </w:rPr>
        <w:t>.........</w:t>
      </w:r>
      <w:r>
        <w:rPr>
          <w:rFonts w:hint="eastAsia"/>
          <w:kern w:val="24"/>
        </w:rPr>
        <w:tab/>
      </w:r>
      <w:r>
        <w:rPr>
          <w:rFonts w:hint="eastAsia"/>
          <w:kern w:val="24"/>
        </w:rPr>
        <w:tab/>
        <w:t>175</w:t>
      </w:r>
      <w:r>
        <w:rPr>
          <w:rFonts w:hint="eastAsia"/>
          <w:kern w:val="24"/>
        </w:rPr>
        <w:tab/>
        <w:t>-</w:t>
      </w:r>
      <w:r>
        <w:rPr>
          <w:rFonts w:hint="eastAsia"/>
          <w:kern w:val="24"/>
        </w:rPr>
        <w:tab/>
        <w:t>193</w:t>
      </w:r>
      <w:r>
        <w:rPr>
          <w:rFonts w:hint="eastAsia"/>
          <w:kern w:val="24"/>
        </w:rPr>
        <w:tab/>
        <w:t>39</w:t>
      </w:r>
    </w:p>
    <w:p w:rsidR="00000000" w:rsidRDefault="00000000">
      <w:pPr>
        <w:pStyle w:val="a9"/>
        <w:ind w:left="1020"/>
        <w:rPr>
          <w:rFonts w:hint="eastAsia"/>
          <w:kern w:val="24"/>
        </w:rPr>
      </w:pPr>
      <w:r>
        <w:rPr>
          <w:rFonts w:hint="eastAsia"/>
          <w:kern w:val="24"/>
        </w:rPr>
        <w:t>禁止歧视</w:t>
      </w:r>
      <w:r>
        <w:rPr>
          <w:rFonts w:hint="eastAsia"/>
          <w:kern w:val="24"/>
        </w:rPr>
        <w:t>..............</w:t>
      </w:r>
      <w:r>
        <w:rPr>
          <w:rFonts w:hint="eastAsia"/>
          <w:kern w:val="24"/>
        </w:rPr>
        <w:tab/>
      </w:r>
      <w:r>
        <w:rPr>
          <w:rFonts w:hint="eastAsia"/>
          <w:kern w:val="24"/>
        </w:rPr>
        <w:tab/>
        <w:t>175</w:t>
      </w:r>
      <w:r>
        <w:rPr>
          <w:rFonts w:hint="eastAsia"/>
          <w:kern w:val="24"/>
        </w:rPr>
        <w:tab/>
        <w:t>-</w:t>
      </w:r>
      <w:r>
        <w:rPr>
          <w:rFonts w:hint="eastAsia"/>
          <w:kern w:val="24"/>
        </w:rPr>
        <w:tab/>
        <w:t>193</w:t>
      </w:r>
      <w:r>
        <w:rPr>
          <w:rFonts w:hint="eastAsia"/>
          <w:kern w:val="24"/>
        </w:rPr>
        <w:tab/>
        <w:t>39</w:t>
      </w:r>
    </w:p>
    <w:p w:rsidR="00000000" w:rsidRDefault="00000000">
      <w:pPr>
        <w:pStyle w:val="a9"/>
        <w:rPr>
          <w:rFonts w:hint="eastAsia"/>
          <w:kern w:val="24"/>
        </w:rPr>
      </w:pPr>
      <w:r>
        <w:rPr>
          <w:rFonts w:hint="eastAsia"/>
          <w:kern w:val="24"/>
        </w:rPr>
        <w:t>第</w:t>
      </w:r>
      <w:r>
        <w:rPr>
          <w:rFonts w:hint="eastAsia"/>
          <w:kern w:val="24"/>
        </w:rPr>
        <w:t>3</w:t>
      </w:r>
      <w:r>
        <w:rPr>
          <w:rFonts w:hint="eastAsia"/>
          <w:kern w:val="24"/>
        </w:rPr>
        <w:t>条</w:t>
      </w:r>
      <w:r>
        <w:rPr>
          <w:kern w:val="24"/>
        </w:rPr>
        <w:t>………</w:t>
      </w:r>
      <w:r>
        <w:rPr>
          <w:rFonts w:hint="eastAsia"/>
          <w:kern w:val="24"/>
        </w:rPr>
        <w:t>.........</w:t>
      </w:r>
      <w:r>
        <w:rPr>
          <w:rFonts w:hint="eastAsia"/>
          <w:kern w:val="24"/>
        </w:rPr>
        <w:tab/>
      </w:r>
      <w:r>
        <w:rPr>
          <w:rFonts w:hint="eastAsia"/>
          <w:kern w:val="24"/>
        </w:rPr>
        <w:tab/>
        <w:t>194</w:t>
      </w:r>
      <w:r>
        <w:rPr>
          <w:rFonts w:hint="eastAsia"/>
          <w:kern w:val="24"/>
        </w:rPr>
        <w:tab/>
        <w:t>-</w:t>
      </w:r>
      <w:r>
        <w:rPr>
          <w:rFonts w:hint="eastAsia"/>
          <w:kern w:val="24"/>
        </w:rPr>
        <w:tab/>
        <w:t>210</w:t>
      </w:r>
      <w:r>
        <w:rPr>
          <w:rFonts w:hint="eastAsia"/>
          <w:kern w:val="24"/>
        </w:rPr>
        <w:tab/>
        <w:t>42</w:t>
      </w:r>
    </w:p>
    <w:p w:rsidR="00000000" w:rsidRDefault="00000000">
      <w:pPr>
        <w:pStyle w:val="a9"/>
        <w:tabs>
          <w:tab w:val="clear" w:pos="1021"/>
          <w:tab w:val="clear" w:pos="1531"/>
        </w:tabs>
        <w:ind w:left="1148" w:hanging="628"/>
        <w:rPr>
          <w:rFonts w:hint="eastAsia"/>
          <w:kern w:val="24"/>
        </w:rPr>
      </w:pPr>
      <w:r>
        <w:rPr>
          <w:rFonts w:hint="eastAsia"/>
          <w:kern w:val="24"/>
        </w:rPr>
        <w:t>1.</w:t>
      </w:r>
      <w:r>
        <w:rPr>
          <w:rFonts w:hint="eastAsia"/>
          <w:kern w:val="24"/>
        </w:rPr>
        <w:tab/>
      </w:r>
      <w:r>
        <w:rPr>
          <w:rFonts w:hint="eastAsia"/>
          <w:kern w:val="24"/>
        </w:rPr>
        <w:t>法律的修订</w:t>
      </w:r>
      <w:r>
        <w:rPr>
          <w:rFonts w:hint="eastAsia"/>
          <w:kern w:val="24"/>
        </w:rPr>
        <w:t>..</w:t>
      </w:r>
      <w:r>
        <w:rPr>
          <w:rFonts w:hint="eastAsia"/>
          <w:kern w:val="24"/>
        </w:rPr>
        <w:tab/>
      </w:r>
      <w:r>
        <w:rPr>
          <w:rFonts w:hint="eastAsia"/>
          <w:kern w:val="24"/>
        </w:rPr>
        <w:tab/>
        <w:t>194</w:t>
      </w:r>
      <w:r>
        <w:rPr>
          <w:rFonts w:hint="eastAsia"/>
          <w:kern w:val="24"/>
        </w:rPr>
        <w:tab/>
        <w:t>-</w:t>
      </w:r>
      <w:r>
        <w:rPr>
          <w:rFonts w:hint="eastAsia"/>
          <w:kern w:val="24"/>
        </w:rPr>
        <w:tab/>
        <w:t>199</w:t>
      </w:r>
      <w:r>
        <w:rPr>
          <w:rFonts w:hint="eastAsia"/>
          <w:kern w:val="24"/>
        </w:rPr>
        <w:tab/>
        <w:t>42</w:t>
      </w:r>
    </w:p>
    <w:p w:rsidR="00000000" w:rsidRDefault="00000000">
      <w:pPr>
        <w:pStyle w:val="a9"/>
        <w:tabs>
          <w:tab w:val="clear" w:pos="1021"/>
          <w:tab w:val="clear" w:pos="1531"/>
        </w:tabs>
        <w:ind w:left="1148" w:hanging="628"/>
        <w:rPr>
          <w:rFonts w:hint="eastAsia"/>
          <w:kern w:val="24"/>
        </w:rPr>
      </w:pPr>
      <w:r>
        <w:rPr>
          <w:rFonts w:hint="eastAsia"/>
          <w:kern w:val="24"/>
        </w:rPr>
        <w:t>2.</w:t>
      </w:r>
      <w:r>
        <w:rPr>
          <w:rFonts w:hint="eastAsia"/>
          <w:kern w:val="24"/>
        </w:rPr>
        <w:tab/>
      </w:r>
      <w:r>
        <w:rPr>
          <w:rFonts w:hint="eastAsia"/>
          <w:kern w:val="24"/>
        </w:rPr>
        <w:t>平等方针</w:t>
      </w:r>
      <w:r>
        <w:rPr>
          <w:rFonts w:hint="eastAsia"/>
          <w:kern w:val="24"/>
        </w:rPr>
        <w:t>....</w:t>
      </w:r>
      <w:r>
        <w:rPr>
          <w:rFonts w:hint="eastAsia"/>
          <w:kern w:val="24"/>
        </w:rPr>
        <w:tab/>
      </w:r>
      <w:r>
        <w:rPr>
          <w:rFonts w:hint="eastAsia"/>
          <w:kern w:val="24"/>
        </w:rPr>
        <w:tab/>
        <w:t>200</w:t>
      </w:r>
      <w:r>
        <w:rPr>
          <w:rFonts w:hint="eastAsia"/>
          <w:kern w:val="24"/>
        </w:rPr>
        <w:tab/>
        <w:t>-</w:t>
      </w:r>
      <w:r>
        <w:rPr>
          <w:rFonts w:hint="eastAsia"/>
          <w:kern w:val="24"/>
        </w:rPr>
        <w:tab/>
        <w:t>210</w:t>
      </w:r>
      <w:r>
        <w:rPr>
          <w:rFonts w:hint="eastAsia"/>
          <w:kern w:val="24"/>
        </w:rPr>
        <w:tab/>
        <w:t>43</w:t>
      </w:r>
    </w:p>
    <w:p w:rsidR="00000000" w:rsidRDefault="00000000">
      <w:pPr>
        <w:pStyle w:val="a9"/>
        <w:rPr>
          <w:rFonts w:hint="eastAsia"/>
          <w:kern w:val="24"/>
        </w:rPr>
      </w:pPr>
      <w:r>
        <w:rPr>
          <w:rFonts w:hint="eastAsia"/>
          <w:kern w:val="24"/>
        </w:rPr>
        <w:t>第</w:t>
      </w:r>
      <w:r>
        <w:rPr>
          <w:rFonts w:hint="eastAsia"/>
          <w:kern w:val="24"/>
        </w:rPr>
        <w:t>6</w:t>
      </w:r>
      <w:r>
        <w:rPr>
          <w:rFonts w:hint="eastAsia"/>
          <w:kern w:val="24"/>
        </w:rPr>
        <w:t>条</w:t>
      </w:r>
      <w:r>
        <w:rPr>
          <w:kern w:val="24"/>
        </w:rPr>
        <w:t>…….</w:t>
      </w:r>
      <w:r>
        <w:rPr>
          <w:rFonts w:hint="eastAsia"/>
          <w:kern w:val="24"/>
        </w:rPr>
        <w:t>...........</w:t>
      </w:r>
      <w:r>
        <w:rPr>
          <w:rFonts w:hint="eastAsia"/>
          <w:kern w:val="24"/>
        </w:rPr>
        <w:tab/>
      </w:r>
      <w:r>
        <w:rPr>
          <w:rFonts w:hint="eastAsia"/>
          <w:kern w:val="24"/>
        </w:rPr>
        <w:tab/>
        <w:t>211</w:t>
      </w:r>
      <w:r>
        <w:rPr>
          <w:rFonts w:hint="eastAsia"/>
          <w:kern w:val="24"/>
        </w:rPr>
        <w:tab/>
        <w:t>-</w:t>
      </w:r>
      <w:r>
        <w:rPr>
          <w:rFonts w:hint="eastAsia"/>
          <w:kern w:val="24"/>
        </w:rPr>
        <w:tab/>
        <w:t>323</w:t>
      </w:r>
      <w:r>
        <w:rPr>
          <w:rFonts w:hint="eastAsia"/>
          <w:kern w:val="24"/>
        </w:rPr>
        <w:tab/>
        <w:t>45</w:t>
      </w:r>
    </w:p>
    <w:p w:rsidR="00000000" w:rsidRDefault="00000000">
      <w:pPr>
        <w:pStyle w:val="a9"/>
        <w:tabs>
          <w:tab w:val="clear" w:pos="1021"/>
          <w:tab w:val="clear" w:pos="1531"/>
        </w:tabs>
        <w:ind w:left="1148" w:hanging="628"/>
        <w:rPr>
          <w:rFonts w:hint="eastAsia"/>
          <w:kern w:val="24"/>
        </w:rPr>
      </w:pPr>
      <w:r>
        <w:rPr>
          <w:rFonts w:hint="eastAsia"/>
          <w:kern w:val="24"/>
        </w:rPr>
        <w:t>1.</w:t>
      </w:r>
      <w:r>
        <w:rPr>
          <w:kern w:val="24"/>
        </w:rPr>
        <w:tab/>
      </w:r>
      <w:r>
        <w:rPr>
          <w:rFonts w:hint="eastAsia"/>
          <w:kern w:val="24"/>
        </w:rPr>
        <w:t>国际公约</w:t>
      </w:r>
      <w:r>
        <w:rPr>
          <w:rFonts w:hint="eastAsia"/>
          <w:kern w:val="24"/>
        </w:rPr>
        <w:t>.</w:t>
      </w:r>
      <w:r>
        <w:rPr>
          <w:rFonts w:hint="eastAsia"/>
          <w:kern w:val="24"/>
        </w:rPr>
        <w:tab/>
      </w:r>
      <w:r>
        <w:rPr>
          <w:rFonts w:hint="eastAsia"/>
          <w:kern w:val="24"/>
        </w:rPr>
        <w:tab/>
        <w:t>211</w:t>
      </w:r>
      <w:r>
        <w:rPr>
          <w:rFonts w:hint="eastAsia"/>
          <w:kern w:val="24"/>
        </w:rPr>
        <w:tab/>
        <w:t>-</w:t>
      </w:r>
      <w:r>
        <w:rPr>
          <w:rFonts w:hint="eastAsia"/>
          <w:kern w:val="24"/>
        </w:rPr>
        <w:tab/>
        <w:t>212</w:t>
      </w:r>
      <w:r>
        <w:rPr>
          <w:rFonts w:hint="eastAsia"/>
          <w:kern w:val="24"/>
        </w:rPr>
        <w:tab/>
        <w:t>45</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(a)</w:t>
      </w:r>
      <w:r>
        <w:rPr>
          <w:kern w:val="24"/>
        </w:rPr>
        <w:tab/>
      </w:r>
      <w:r>
        <w:rPr>
          <w:rFonts w:hint="eastAsia"/>
          <w:kern w:val="24"/>
        </w:rPr>
        <w:t>就业的状况、水平和趋势</w:t>
      </w:r>
      <w:r>
        <w:rPr>
          <w:rFonts w:hint="eastAsia"/>
          <w:kern w:val="24"/>
        </w:rPr>
        <w:t>......................</w:t>
      </w:r>
      <w:r>
        <w:rPr>
          <w:rFonts w:hint="eastAsia"/>
          <w:kern w:val="24"/>
        </w:rPr>
        <w:tab/>
      </w:r>
      <w:r>
        <w:rPr>
          <w:rFonts w:hint="eastAsia"/>
          <w:kern w:val="24"/>
        </w:rPr>
        <w:tab/>
        <w:t>213</w:t>
      </w:r>
      <w:r>
        <w:rPr>
          <w:rFonts w:hint="eastAsia"/>
          <w:kern w:val="24"/>
        </w:rPr>
        <w:tab/>
        <w:t>-</w:t>
      </w:r>
      <w:r>
        <w:rPr>
          <w:rFonts w:hint="eastAsia"/>
          <w:kern w:val="24"/>
        </w:rPr>
        <w:tab/>
        <w:t>232</w:t>
      </w:r>
      <w:r>
        <w:rPr>
          <w:rFonts w:hint="eastAsia"/>
          <w:kern w:val="24"/>
        </w:rPr>
        <w:tab/>
        <w:t>46</w:t>
      </w:r>
    </w:p>
    <w:p w:rsidR="00000000" w:rsidRDefault="00000000">
      <w:pPr>
        <w:pStyle w:val="a9"/>
        <w:tabs>
          <w:tab w:val="clear" w:pos="1021"/>
          <w:tab w:val="clear" w:pos="1531"/>
        </w:tabs>
        <w:ind w:left="1218" w:hanging="698"/>
        <w:rPr>
          <w:rFonts w:hint="eastAsia"/>
          <w:kern w:val="24"/>
        </w:rPr>
      </w:pPr>
      <w:r>
        <w:rPr>
          <w:rFonts w:hint="eastAsia"/>
          <w:kern w:val="24"/>
        </w:rPr>
        <w:t>2.</w:t>
      </w:r>
      <w:r>
        <w:rPr>
          <w:kern w:val="24"/>
        </w:rPr>
        <w:t>(b)</w:t>
      </w:r>
      <w:r>
        <w:rPr>
          <w:kern w:val="24"/>
        </w:rPr>
        <w:tab/>
      </w:r>
      <w:r>
        <w:rPr>
          <w:rFonts w:hint="eastAsia"/>
          <w:kern w:val="24"/>
        </w:rPr>
        <w:t>政策和措施</w:t>
      </w:r>
      <w:r>
        <w:rPr>
          <w:rFonts w:hint="eastAsia"/>
          <w:kern w:val="24"/>
        </w:rPr>
        <w:t>.</w:t>
      </w:r>
      <w:r>
        <w:rPr>
          <w:rFonts w:hint="eastAsia"/>
          <w:kern w:val="24"/>
        </w:rPr>
        <w:tab/>
      </w:r>
      <w:r>
        <w:rPr>
          <w:rFonts w:hint="eastAsia"/>
          <w:kern w:val="24"/>
        </w:rPr>
        <w:tab/>
        <w:t>233</w:t>
      </w:r>
      <w:r>
        <w:rPr>
          <w:rFonts w:hint="eastAsia"/>
          <w:kern w:val="24"/>
        </w:rPr>
        <w:tab/>
        <w:t>-</w:t>
      </w:r>
      <w:r>
        <w:rPr>
          <w:rFonts w:hint="eastAsia"/>
          <w:kern w:val="24"/>
        </w:rPr>
        <w:tab/>
        <w:t>261</w:t>
      </w:r>
      <w:r>
        <w:rPr>
          <w:rFonts w:hint="eastAsia"/>
          <w:kern w:val="24"/>
        </w:rPr>
        <w:tab/>
        <w:t>51</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(c)</w:t>
      </w:r>
      <w:r>
        <w:rPr>
          <w:kern w:val="24"/>
        </w:rPr>
        <w:tab/>
      </w:r>
      <w:r>
        <w:rPr>
          <w:rFonts w:hint="eastAsia"/>
          <w:kern w:val="24"/>
        </w:rPr>
        <w:t>生产率</w:t>
      </w:r>
      <w:r>
        <w:rPr>
          <w:rFonts w:hint="eastAsia"/>
          <w:kern w:val="24"/>
        </w:rPr>
        <w:t>.......</w:t>
      </w:r>
      <w:r>
        <w:rPr>
          <w:rFonts w:hint="eastAsia"/>
          <w:kern w:val="24"/>
        </w:rPr>
        <w:tab/>
      </w:r>
      <w:r>
        <w:rPr>
          <w:rFonts w:hint="eastAsia"/>
          <w:kern w:val="24"/>
        </w:rPr>
        <w:tab/>
        <w:t>262</w:t>
      </w:r>
      <w:r>
        <w:rPr>
          <w:rFonts w:hint="eastAsia"/>
          <w:kern w:val="24"/>
        </w:rPr>
        <w:tab/>
        <w:t>-</w:t>
      </w:r>
      <w:r>
        <w:rPr>
          <w:rFonts w:hint="eastAsia"/>
          <w:kern w:val="24"/>
        </w:rPr>
        <w:tab/>
        <w:t>266</w:t>
      </w:r>
      <w:r>
        <w:rPr>
          <w:rFonts w:hint="eastAsia"/>
          <w:kern w:val="24"/>
        </w:rPr>
        <w:tab/>
        <w:t>57</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(d)</w:t>
      </w:r>
      <w:r>
        <w:rPr>
          <w:rFonts w:hint="eastAsia"/>
          <w:kern w:val="24"/>
        </w:rPr>
        <w:tab/>
      </w:r>
      <w:r>
        <w:rPr>
          <w:rFonts w:hint="eastAsia"/>
          <w:kern w:val="24"/>
        </w:rPr>
        <w:t>选择就业的自由</w:t>
      </w:r>
      <w:r>
        <w:rPr>
          <w:rFonts w:hint="eastAsia"/>
          <w:kern w:val="24"/>
        </w:rPr>
        <w:t>....</w:t>
      </w:r>
      <w:r>
        <w:rPr>
          <w:rFonts w:hint="eastAsia"/>
          <w:kern w:val="24"/>
        </w:rPr>
        <w:tab/>
      </w:r>
      <w:r>
        <w:rPr>
          <w:rFonts w:hint="eastAsia"/>
          <w:kern w:val="24"/>
        </w:rPr>
        <w:tab/>
        <w:t>267</w:t>
      </w:r>
      <w:r>
        <w:rPr>
          <w:rFonts w:hint="eastAsia"/>
          <w:kern w:val="24"/>
        </w:rPr>
        <w:tab/>
        <w:t>-</w:t>
      </w:r>
      <w:r>
        <w:rPr>
          <w:rFonts w:hint="eastAsia"/>
          <w:kern w:val="24"/>
        </w:rPr>
        <w:tab/>
        <w:t>271</w:t>
      </w:r>
      <w:r>
        <w:rPr>
          <w:rFonts w:hint="eastAsia"/>
          <w:kern w:val="24"/>
        </w:rPr>
        <w:tab/>
        <w:t>57</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(e)</w:t>
      </w:r>
      <w:r>
        <w:rPr>
          <w:rFonts w:hint="eastAsia"/>
          <w:kern w:val="24"/>
        </w:rPr>
        <w:tab/>
      </w:r>
      <w:r>
        <w:rPr>
          <w:rFonts w:hint="eastAsia"/>
          <w:kern w:val="24"/>
        </w:rPr>
        <w:t>技术和职业培训方案</w:t>
      </w:r>
      <w:r>
        <w:rPr>
          <w:rFonts w:hint="eastAsia"/>
          <w:kern w:val="24"/>
        </w:rPr>
        <w:t>...</w:t>
      </w:r>
      <w:r>
        <w:rPr>
          <w:rFonts w:hint="eastAsia"/>
          <w:kern w:val="24"/>
        </w:rPr>
        <w:tab/>
      </w:r>
      <w:r>
        <w:rPr>
          <w:rFonts w:hint="eastAsia"/>
          <w:kern w:val="24"/>
        </w:rPr>
        <w:tab/>
        <w:t>272</w:t>
      </w:r>
      <w:r>
        <w:rPr>
          <w:rFonts w:hint="eastAsia"/>
          <w:kern w:val="24"/>
        </w:rPr>
        <w:tab/>
        <w:t>-</w:t>
      </w:r>
      <w:r>
        <w:rPr>
          <w:rFonts w:hint="eastAsia"/>
          <w:kern w:val="24"/>
        </w:rPr>
        <w:tab/>
        <w:t>280</w:t>
      </w:r>
      <w:r>
        <w:rPr>
          <w:rFonts w:hint="eastAsia"/>
          <w:kern w:val="24"/>
        </w:rPr>
        <w:tab/>
        <w:t>58</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(f)</w:t>
      </w:r>
      <w:r>
        <w:rPr>
          <w:rFonts w:hint="eastAsia"/>
          <w:kern w:val="24"/>
        </w:rPr>
        <w:tab/>
      </w:r>
      <w:r>
        <w:rPr>
          <w:rFonts w:hint="eastAsia"/>
          <w:kern w:val="24"/>
        </w:rPr>
        <w:t>实现全面就业的困难</w:t>
      </w:r>
      <w:r>
        <w:rPr>
          <w:rFonts w:hint="eastAsia"/>
          <w:kern w:val="24"/>
        </w:rPr>
        <w:t>...</w:t>
      </w:r>
      <w:r>
        <w:rPr>
          <w:rFonts w:hint="eastAsia"/>
          <w:kern w:val="24"/>
        </w:rPr>
        <w:tab/>
      </w:r>
      <w:r>
        <w:rPr>
          <w:rFonts w:hint="eastAsia"/>
          <w:kern w:val="24"/>
        </w:rPr>
        <w:tab/>
        <w:t>281</w:t>
      </w:r>
      <w:r>
        <w:rPr>
          <w:rFonts w:hint="eastAsia"/>
          <w:kern w:val="24"/>
        </w:rPr>
        <w:tab/>
        <w:t>-</w:t>
      </w:r>
      <w:r>
        <w:rPr>
          <w:rFonts w:hint="eastAsia"/>
          <w:kern w:val="24"/>
        </w:rPr>
        <w:tab/>
        <w:t>284</w:t>
      </w:r>
      <w:r>
        <w:rPr>
          <w:rFonts w:hint="eastAsia"/>
          <w:kern w:val="24"/>
        </w:rPr>
        <w:tab/>
        <w:t>61</w:t>
      </w:r>
    </w:p>
    <w:p w:rsidR="00000000" w:rsidRDefault="00000000">
      <w:pPr>
        <w:pStyle w:val="a9"/>
        <w:tabs>
          <w:tab w:val="clear" w:pos="1021"/>
          <w:tab w:val="clear" w:pos="1531"/>
        </w:tabs>
        <w:ind w:left="1148" w:hanging="628"/>
        <w:rPr>
          <w:rFonts w:hint="eastAsia"/>
          <w:kern w:val="24"/>
        </w:rPr>
      </w:pPr>
      <w:r>
        <w:rPr>
          <w:rFonts w:hint="eastAsia"/>
          <w:kern w:val="24"/>
        </w:rPr>
        <w:t>3.</w:t>
      </w:r>
      <w:r>
        <w:rPr>
          <w:kern w:val="24"/>
        </w:rPr>
        <w:t>(a)</w:t>
      </w:r>
      <w:r>
        <w:rPr>
          <w:rFonts w:hint="eastAsia"/>
          <w:kern w:val="24"/>
        </w:rPr>
        <w:tab/>
      </w:r>
      <w:r>
        <w:rPr>
          <w:rFonts w:hint="eastAsia"/>
          <w:kern w:val="24"/>
        </w:rPr>
        <w:t>禁止歧视</w:t>
      </w:r>
      <w:r>
        <w:rPr>
          <w:rFonts w:hint="eastAsia"/>
          <w:kern w:val="24"/>
        </w:rPr>
        <w:t>...</w:t>
      </w:r>
      <w:r>
        <w:rPr>
          <w:rFonts w:hint="eastAsia"/>
          <w:kern w:val="24"/>
        </w:rPr>
        <w:tab/>
      </w:r>
      <w:r>
        <w:rPr>
          <w:rFonts w:hint="eastAsia"/>
          <w:kern w:val="24"/>
        </w:rPr>
        <w:tab/>
        <w:t>285</w:t>
      </w:r>
      <w:r>
        <w:rPr>
          <w:rFonts w:hint="eastAsia"/>
          <w:kern w:val="24"/>
        </w:rPr>
        <w:tab/>
        <w:t>-</w:t>
      </w:r>
      <w:r>
        <w:rPr>
          <w:rFonts w:hint="eastAsia"/>
          <w:kern w:val="24"/>
        </w:rPr>
        <w:tab/>
        <w:t>300</w:t>
      </w:r>
      <w:r>
        <w:rPr>
          <w:rFonts w:hint="eastAsia"/>
          <w:kern w:val="24"/>
        </w:rPr>
        <w:tab/>
        <w:t>62</w:t>
      </w:r>
    </w:p>
    <w:p w:rsidR="00000000" w:rsidRDefault="00000000">
      <w:pPr>
        <w:pStyle w:val="a9"/>
        <w:tabs>
          <w:tab w:val="clear" w:pos="1021"/>
          <w:tab w:val="clear" w:pos="1531"/>
        </w:tabs>
        <w:ind w:left="1148" w:hanging="628"/>
        <w:rPr>
          <w:rFonts w:hint="eastAsia"/>
          <w:kern w:val="24"/>
        </w:rPr>
      </w:pPr>
      <w:r>
        <w:rPr>
          <w:rFonts w:hint="eastAsia"/>
          <w:kern w:val="24"/>
        </w:rPr>
        <w:t>3.</w:t>
      </w:r>
      <w:r>
        <w:rPr>
          <w:kern w:val="24"/>
        </w:rPr>
        <w:t>(b)</w:t>
      </w:r>
      <w:r>
        <w:rPr>
          <w:kern w:val="24"/>
        </w:rPr>
        <w:tab/>
      </w:r>
      <w:r>
        <w:rPr>
          <w:rFonts w:hint="eastAsia"/>
          <w:kern w:val="24"/>
        </w:rPr>
        <w:t>为特殊群体</w:t>
      </w:r>
      <w:r>
        <w:rPr>
          <w:rFonts w:hint="eastAsia"/>
          <w:kern w:val="24"/>
        </w:rPr>
        <w:t>(</w:t>
      </w:r>
      <w:r>
        <w:rPr>
          <w:rFonts w:hint="eastAsia"/>
          <w:kern w:val="24"/>
        </w:rPr>
        <w:t>例如，移民、罗姆人以及萨米人</w:t>
      </w:r>
      <w:r>
        <w:rPr>
          <w:rFonts w:hint="eastAsia"/>
          <w:kern w:val="24"/>
        </w:rPr>
        <w:t>)</w:t>
      </w:r>
      <w:r>
        <w:rPr>
          <w:rFonts w:hint="eastAsia"/>
          <w:kern w:val="24"/>
        </w:rPr>
        <w:t>提供的职业指导和培训</w:t>
      </w:r>
      <w:r>
        <w:rPr>
          <w:kern w:val="24"/>
        </w:rPr>
        <w:tab/>
      </w:r>
      <w:r>
        <w:rPr>
          <w:kern w:val="24"/>
        </w:rPr>
        <w:tab/>
      </w:r>
      <w:r>
        <w:rPr>
          <w:rFonts w:hint="eastAsia"/>
          <w:kern w:val="24"/>
        </w:rPr>
        <w:t>..301</w:t>
      </w:r>
      <w:r>
        <w:rPr>
          <w:rFonts w:hint="eastAsia"/>
          <w:kern w:val="24"/>
        </w:rPr>
        <w:tab/>
        <w:t>-</w:t>
      </w:r>
      <w:r>
        <w:rPr>
          <w:rFonts w:hint="eastAsia"/>
          <w:kern w:val="24"/>
        </w:rPr>
        <w:tab/>
        <w:t>315</w:t>
      </w:r>
      <w:r>
        <w:rPr>
          <w:rFonts w:hint="eastAsia"/>
          <w:kern w:val="24"/>
        </w:rPr>
        <w:tab/>
        <w:t>64</w:t>
      </w:r>
    </w:p>
    <w:p w:rsidR="00000000" w:rsidRDefault="00000000">
      <w:pPr>
        <w:pStyle w:val="a9"/>
        <w:tabs>
          <w:tab w:val="clear" w:pos="1021"/>
          <w:tab w:val="clear" w:pos="1531"/>
        </w:tabs>
        <w:ind w:left="1148" w:hanging="628"/>
        <w:rPr>
          <w:rFonts w:hint="eastAsia"/>
          <w:kern w:val="24"/>
        </w:rPr>
      </w:pPr>
      <w:r>
        <w:rPr>
          <w:rFonts w:hint="eastAsia"/>
          <w:kern w:val="24"/>
        </w:rPr>
        <w:t>3.</w:t>
      </w:r>
      <w:r>
        <w:rPr>
          <w:kern w:val="24"/>
        </w:rPr>
        <w:t>(c)</w:t>
      </w:r>
      <w:r>
        <w:rPr>
          <w:rFonts w:hint="eastAsia"/>
          <w:kern w:val="24"/>
        </w:rPr>
        <w:tab/>
      </w:r>
      <w:r>
        <w:rPr>
          <w:rFonts w:hint="eastAsia"/>
          <w:spacing w:val="0"/>
          <w:kern w:val="24"/>
        </w:rPr>
        <w:t>不应将</w:t>
      </w:r>
      <w:r>
        <w:rPr>
          <w:rFonts w:hint="eastAsia"/>
          <w:kern w:val="24"/>
        </w:rPr>
        <w:t>区别</w:t>
      </w:r>
      <w:r>
        <w:rPr>
          <w:rFonts w:hint="eastAsia"/>
          <w:spacing w:val="0"/>
          <w:kern w:val="24"/>
        </w:rPr>
        <w:t>、排斥或者特惠视为歧视的情况</w:t>
      </w:r>
      <w:r>
        <w:rPr>
          <w:rFonts w:hint="eastAsia"/>
          <w:kern w:val="24"/>
        </w:rPr>
        <w:t>..</w:t>
      </w:r>
      <w:r>
        <w:rPr>
          <w:kern w:val="24"/>
        </w:rPr>
        <w:tab/>
      </w:r>
      <w:r>
        <w:rPr>
          <w:rFonts w:hint="eastAsia"/>
          <w:kern w:val="24"/>
        </w:rPr>
        <w:t>.</w:t>
      </w:r>
      <w:r>
        <w:rPr>
          <w:rFonts w:hint="eastAsia"/>
          <w:kern w:val="24"/>
        </w:rPr>
        <w:tab/>
        <w:t>316</w:t>
      </w:r>
      <w:r>
        <w:rPr>
          <w:rFonts w:hint="eastAsia"/>
          <w:kern w:val="24"/>
        </w:rPr>
        <w:tab/>
        <w:t>-</w:t>
      </w:r>
      <w:r>
        <w:rPr>
          <w:rFonts w:hint="eastAsia"/>
          <w:kern w:val="24"/>
        </w:rPr>
        <w:tab/>
        <w:t>318</w:t>
      </w:r>
      <w:r>
        <w:rPr>
          <w:rFonts w:hint="eastAsia"/>
          <w:kern w:val="24"/>
        </w:rPr>
        <w:tab/>
        <w:t>67</w:t>
      </w:r>
    </w:p>
    <w:p w:rsidR="00000000" w:rsidRDefault="00000000">
      <w:pPr>
        <w:pStyle w:val="a9"/>
        <w:tabs>
          <w:tab w:val="clear" w:pos="1021"/>
          <w:tab w:val="clear" w:pos="1531"/>
        </w:tabs>
        <w:ind w:left="1148" w:hanging="628"/>
        <w:rPr>
          <w:rFonts w:hint="eastAsia"/>
          <w:kern w:val="24"/>
        </w:rPr>
      </w:pPr>
      <w:r>
        <w:rPr>
          <w:rFonts w:hint="eastAsia"/>
          <w:kern w:val="24"/>
        </w:rPr>
        <w:t>4.</w:t>
      </w:r>
      <w:r>
        <w:rPr>
          <w:rFonts w:hint="eastAsia"/>
          <w:kern w:val="24"/>
        </w:rPr>
        <w:tab/>
      </w:r>
      <w:r>
        <w:rPr>
          <w:rFonts w:hint="eastAsia"/>
          <w:kern w:val="24"/>
        </w:rPr>
        <w:t>占有一份以上全日制工作的劳动人口</w:t>
      </w:r>
      <w:r>
        <w:rPr>
          <w:rFonts w:hint="eastAsia"/>
          <w:kern w:val="24"/>
        </w:rPr>
        <w:t>...</w:t>
      </w:r>
      <w:r>
        <w:rPr>
          <w:rFonts w:hint="eastAsia"/>
          <w:kern w:val="24"/>
        </w:rPr>
        <w:tab/>
      </w:r>
      <w:r>
        <w:rPr>
          <w:rFonts w:hint="eastAsia"/>
          <w:kern w:val="24"/>
        </w:rPr>
        <w:tab/>
        <w:t>319</w:t>
      </w:r>
      <w:r>
        <w:rPr>
          <w:rFonts w:hint="eastAsia"/>
          <w:kern w:val="24"/>
        </w:rPr>
        <w:tab/>
        <w:t>-</w:t>
      </w:r>
      <w:r>
        <w:rPr>
          <w:rFonts w:hint="eastAsia"/>
          <w:kern w:val="24"/>
        </w:rPr>
        <w:tab/>
        <w:t>322</w:t>
      </w:r>
      <w:r>
        <w:rPr>
          <w:rFonts w:hint="eastAsia"/>
          <w:kern w:val="24"/>
        </w:rPr>
        <w:tab/>
        <w:t>68</w:t>
      </w:r>
    </w:p>
    <w:p w:rsidR="00000000" w:rsidRDefault="00000000">
      <w:pPr>
        <w:pStyle w:val="a9"/>
        <w:tabs>
          <w:tab w:val="clear" w:pos="1021"/>
          <w:tab w:val="clear" w:pos="1531"/>
        </w:tabs>
        <w:ind w:left="1148" w:hanging="628"/>
        <w:rPr>
          <w:rFonts w:hint="eastAsia"/>
          <w:kern w:val="24"/>
        </w:rPr>
      </w:pPr>
      <w:r>
        <w:rPr>
          <w:rFonts w:hint="eastAsia"/>
          <w:kern w:val="24"/>
        </w:rPr>
        <w:t>5.</w:t>
      </w:r>
      <w:r>
        <w:rPr>
          <w:rFonts w:hint="eastAsia"/>
          <w:kern w:val="24"/>
        </w:rPr>
        <w:tab/>
      </w:r>
      <w:r>
        <w:rPr>
          <w:rFonts w:hint="eastAsia"/>
          <w:kern w:val="24"/>
        </w:rPr>
        <w:t>国家立法方面的其他变化</w:t>
      </w:r>
      <w:r>
        <w:rPr>
          <w:rFonts w:hint="eastAsia"/>
          <w:kern w:val="24"/>
        </w:rPr>
        <w:t>...</w:t>
      </w:r>
      <w:r>
        <w:rPr>
          <w:rFonts w:hint="eastAsia"/>
          <w:kern w:val="24"/>
        </w:rPr>
        <w:tab/>
      </w:r>
      <w:r>
        <w:rPr>
          <w:rFonts w:hint="eastAsia"/>
          <w:kern w:val="24"/>
        </w:rPr>
        <w:tab/>
      </w:r>
      <w:r>
        <w:rPr>
          <w:rFonts w:hint="eastAsia"/>
          <w:kern w:val="24"/>
        </w:rPr>
        <w:tab/>
        <w:t>323</w:t>
      </w:r>
      <w:r>
        <w:rPr>
          <w:rFonts w:hint="eastAsia"/>
          <w:kern w:val="24"/>
        </w:rPr>
        <w:tab/>
        <w:t>69</w:t>
      </w:r>
    </w:p>
    <w:p w:rsidR="00000000" w:rsidRDefault="00000000">
      <w:pPr>
        <w:pStyle w:val="a9"/>
        <w:rPr>
          <w:rFonts w:hint="eastAsia"/>
          <w:kern w:val="24"/>
        </w:rPr>
      </w:pPr>
      <w:r>
        <w:rPr>
          <w:rFonts w:hint="eastAsia"/>
          <w:kern w:val="24"/>
        </w:rPr>
        <w:t>第</w:t>
      </w:r>
      <w:r>
        <w:rPr>
          <w:rFonts w:hint="eastAsia"/>
          <w:kern w:val="24"/>
        </w:rPr>
        <w:t>7</w:t>
      </w:r>
      <w:r>
        <w:rPr>
          <w:rFonts w:hint="eastAsia"/>
          <w:kern w:val="24"/>
        </w:rPr>
        <w:t>条</w:t>
      </w:r>
      <w:r>
        <w:rPr>
          <w:rFonts w:hint="eastAsia"/>
          <w:kern w:val="24"/>
        </w:rPr>
        <w:t>......................</w:t>
      </w:r>
      <w:r>
        <w:rPr>
          <w:rFonts w:hint="eastAsia"/>
          <w:kern w:val="24"/>
        </w:rPr>
        <w:tab/>
      </w:r>
      <w:r>
        <w:rPr>
          <w:rFonts w:hint="eastAsia"/>
          <w:kern w:val="24"/>
        </w:rPr>
        <w:tab/>
        <w:t>324</w:t>
      </w:r>
      <w:r>
        <w:rPr>
          <w:rFonts w:hint="eastAsia"/>
          <w:kern w:val="24"/>
        </w:rPr>
        <w:tab/>
        <w:t>-</w:t>
      </w:r>
      <w:r>
        <w:rPr>
          <w:rFonts w:hint="eastAsia"/>
          <w:kern w:val="24"/>
        </w:rPr>
        <w:tab/>
        <w:t>357</w:t>
      </w:r>
      <w:r>
        <w:rPr>
          <w:rFonts w:hint="eastAsia"/>
          <w:kern w:val="24"/>
        </w:rPr>
        <w:tab/>
        <w:t>69</w:t>
      </w:r>
    </w:p>
    <w:p w:rsidR="00000000" w:rsidRDefault="00000000">
      <w:pPr>
        <w:pStyle w:val="a9"/>
        <w:tabs>
          <w:tab w:val="clear" w:pos="1021"/>
          <w:tab w:val="clear" w:pos="1531"/>
        </w:tabs>
        <w:ind w:left="1148" w:hanging="628"/>
        <w:rPr>
          <w:rFonts w:hint="eastAsia"/>
          <w:kern w:val="24"/>
        </w:rPr>
      </w:pPr>
      <w:r>
        <w:rPr>
          <w:rFonts w:hint="eastAsia"/>
          <w:kern w:val="24"/>
        </w:rPr>
        <w:t>1.</w:t>
      </w:r>
      <w:r>
        <w:rPr>
          <w:rFonts w:hint="eastAsia"/>
          <w:kern w:val="24"/>
        </w:rPr>
        <w:tab/>
      </w:r>
      <w:r>
        <w:rPr>
          <w:rFonts w:hint="eastAsia"/>
          <w:kern w:val="24"/>
        </w:rPr>
        <w:t>芬兰批准的劳工组织公约</w:t>
      </w:r>
      <w:r>
        <w:rPr>
          <w:rFonts w:hint="eastAsia"/>
          <w:kern w:val="24"/>
        </w:rPr>
        <w:t>..</w:t>
      </w:r>
      <w:r>
        <w:rPr>
          <w:rFonts w:hint="eastAsia"/>
          <w:kern w:val="24"/>
        </w:rPr>
        <w:tab/>
      </w:r>
      <w:r>
        <w:rPr>
          <w:rFonts w:hint="eastAsia"/>
          <w:kern w:val="24"/>
        </w:rPr>
        <w:tab/>
      </w:r>
      <w:r>
        <w:rPr>
          <w:rFonts w:hint="eastAsia"/>
          <w:kern w:val="24"/>
        </w:rPr>
        <w:tab/>
        <w:t>324</w:t>
      </w:r>
      <w:r>
        <w:rPr>
          <w:rFonts w:hint="eastAsia"/>
          <w:kern w:val="24"/>
        </w:rPr>
        <w:tab/>
        <w:t>69</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(a)</w:t>
      </w:r>
      <w:r>
        <w:rPr>
          <w:rFonts w:hint="eastAsia"/>
          <w:kern w:val="24"/>
        </w:rPr>
        <w:tab/>
      </w:r>
      <w:r>
        <w:rPr>
          <w:rFonts w:hint="eastAsia"/>
          <w:kern w:val="24"/>
        </w:rPr>
        <w:t>用于确定工资的主要方法</w:t>
      </w:r>
      <w:r>
        <w:rPr>
          <w:rFonts w:hint="eastAsia"/>
          <w:kern w:val="24"/>
        </w:rPr>
        <w:t>..</w:t>
      </w:r>
      <w:r>
        <w:rPr>
          <w:rFonts w:hint="eastAsia"/>
          <w:kern w:val="24"/>
        </w:rPr>
        <w:tab/>
      </w:r>
      <w:r>
        <w:rPr>
          <w:rFonts w:hint="eastAsia"/>
          <w:kern w:val="24"/>
        </w:rPr>
        <w:tab/>
      </w:r>
      <w:r>
        <w:rPr>
          <w:rFonts w:hint="eastAsia"/>
          <w:kern w:val="24"/>
        </w:rPr>
        <w:tab/>
        <w:t>325</w:t>
      </w:r>
      <w:r>
        <w:rPr>
          <w:rFonts w:hint="eastAsia"/>
          <w:kern w:val="24"/>
        </w:rPr>
        <w:tab/>
        <w:t>69</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(b)</w:t>
      </w:r>
      <w:r>
        <w:rPr>
          <w:rFonts w:hint="eastAsia"/>
          <w:kern w:val="24"/>
        </w:rPr>
        <w:tab/>
      </w:r>
      <w:r>
        <w:rPr>
          <w:rFonts w:hint="eastAsia"/>
          <w:kern w:val="24"/>
        </w:rPr>
        <w:t>最低工资制度</w:t>
      </w:r>
      <w:r>
        <w:rPr>
          <w:rFonts w:hint="eastAsia"/>
          <w:kern w:val="24"/>
        </w:rPr>
        <w:t>...</w:t>
      </w:r>
      <w:r>
        <w:rPr>
          <w:rFonts w:hint="eastAsia"/>
          <w:kern w:val="24"/>
        </w:rPr>
        <w:tab/>
      </w:r>
      <w:r>
        <w:rPr>
          <w:rFonts w:hint="eastAsia"/>
          <w:kern w:val="24"/>
        </w:rPr>
        <w:tab/>
      </w:r>
      <w:r>
        <w:rPr>
          <w:rFonts w:hint="eastAsia"/>
          <w:kern w:val="24"/>
        </w:rPr>
        <w:tab/>
        <w:t>326</w:t>
      </w:r>
      <w:r>
        <w:rPr>
          <w:rFonts w:hint="eastAsia"/>
          <w:kern w:val="24"/>
        </w:rPr>
        <w:tab/>
        <w:t>69</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(c)</w:t>
      </w:r>
      <w:r>
        <w:rPr>
          <w:rFonts w:hint="eastAsia"/>
          <w:kern w:val="24"/>
        </w:rPr>
        <w:tab/>
      </w:r>
      <w:r>
        <w:rPr>
          <w:rFonts w:hint="eastAsia"/>
          <w:kern w:val="24"/>
        </w:rPr>
        <w:t>同工同酬</w:t>
      </w:r>
      <w:r>
        <w:rPr>
          <w:rFonts w:hint="eastAsia"/>
          <w:kern w:val="24"/>
        </w:rPr>
        <w:t>...</w:t>
      </w:r>
      <w:r>
        <w:rPr>
          <w:rFonts w:hint="eastAsia"/>
          <w:kern w:val="24"/>
        </w:rPr>
        <w:tab/>
      </w:r>
      <w:r>
        <w:rPr>
          <w:rFonts w:hint="eastAsia"/>
          <w:kern w:val="24"/>
        </w:rPr>
        <w:tab/>
        <w:t>327</w:t>
      </w:r>
      <w:r>
        <w:rPr>
          <w:rFonts w:hint="eastAsia"/>
          <w:kern w:val="24"/>
        </w:rPr>
        <w:tab/>
        <w:t>-</w:t>
      </w:r>
      <w:r>
        <w:rPr>
          <w:rFonts w:hint="eastAsia"/>
          <w:kern w:val="24"/>
        </w:rPr>
        <w:tab/>
        <w:t>330</w:t>
      </w:r>
      <w:r>
        <w:rPr>
          <w:rFonts w:hint="eastAsia"/>
          <w:kern w:val="24"/>
        </w:rPr>
        <w:tab/>
        <w:t>69</w:t>
      </w:r>
    </w:p>
    <w:p w:rsidR="00000000" w:rsidRDefault="00000000">
      <w:pPr>
        <w:pStyle w:val="a9"/>
        <w:tabs>
          <w:tab w:val="clear" w:pos="1021"/>
          <w:tab w:val="clear" w:pos="1531"/>
        </w:tabs>
        <w:ind w:left="1148" w:hanging="628"/>
        <w:rPr>
          <w:rFonts w:hint="eastAsia"/>
          <w:kern w:val="24"/>
        </w:rPr>
      </w:pPr>
      <w:r>
        <w:rPr>
          <w:rFonts w:hint="eastAsia"/>
          <w:kern w:val="24"/>
        </w:rPr>
        <w:t>3.</w:t>
      </w:r>
      <w:r>
        <w:rPr>
          <w:rFonts w:hint="eastAsia"/>
          <w:kern w:val="24"/>
        </w:rPr>
        <w:tab/>
      </w:r>
      <w:r>
        <w:rPr>
          <w:rFonts w:hint="eastAsia"/>
          <w:kern w:val="24"/>
        </w:rPr>
        <w:t>关于职业卫生和安全的规定</w:t>
      </w:r>
      <w:r>
        <w:rPr>
          <w:rFonts w:hint="eastAsia"/>
          <w:kern w:val="24"/>
        </w:rPr>
        <w:t>..</w:t>
      </w:r>
      <w:r>
        <w:rPr>
          <w:rFonts w:hint="eastAsia"/>
          <w:kern w:val="24"/>
        </w:rPr>
        <w:tab/>
      </w:r>
      <w:r>
        <w:rPr>
          <w:rFonts w:hint="eastAsia"/>
          <w:kern w:val="24"/>
        </w:rPr>
        <w:tab/>
        <w:t>331</w:t>
      </w:r>
      <w:r>
        <w:rPr>
          <w:rFonts w:hint="eastAsia"/>
          <w:kern w:val="24"/>
        </w:rPr>
        <w:tab/>
        <w:t>-</w:t>
      </w:r>
      <w:r>
        <w:rPr>
          <w:rFonts w:hint="eastAsia"/>
          <w:kern w:val="24"/>
        </w:rPr>
        <w:tab/>
        <w:t>341</w:t>
      </w:r>
      <w:r>
        <w:rPr>
          <w:rFonts w:hint="eastAsia"/>
          <w:kern w:val="24"/>
        </w:rPr>
        <w:tab/>
        <w:t>70</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tabs>
          <w:tab w:val="clear" w:pos="1021"/>
          <w:tab w:val="clear" w:pos="1531"/>
        </w:tabs>
        <w:ind w:left="1148" w:hanging="628"/>
        <w:rPr>
          <w:rFonts w:hint="eastAsia"/>
          <w:kern w:val="24"/>
        </w:rPr>
      </w:pPr>
      <w:r>
        <w:rPr>
          <w:rFonts w:hint="eastAsia"/>
          <w:kern w:val="24"/>
        </w:rPr>
        <w:t>4.</w:t>
      </w:r>
      <w:r>
        <w:rPr>
          <w:rFonts w:hint="eastAsia"/>
          <w:kern w:val="24"/>
        </w:rPr>
        <w:tab/>
      </w:r>
      <w:r>
        <w:rPr>
          <w:rFonts w:hint="eastAsia"/>
          <w:kern w:val="24"/>
        </w:rPr>
        <w:t>有关同等晋升机会原则的执行情况</w:t>
      </w:r>
      <w:r>
        <w:rPr>
          <w:rFonts w:hint="eastAsia"/>
          <w:kern w:val="24"/>
        </w:rPr>
        <w:t>.</w:t>
      </w:r>
      <w:r>
        <w:rPr>
          <w:rFonts w:hint="eastAsia"/>
          <w:kern w:val="24"/>
        </w:rPr>
        <w:tab/>
      </w:r>
      <w:r>
        <w:rPr>
          <w:rFonts w:hint="eastAsia"/>
          <w:kern w:val="24"/>
        </w:rPr>
        <w:tab/>
        <w:t>342</w:t>
      </w:r>
      <w:r>
        <w:rPr>
          <w:rFonts w:hint="eastAsia"/>
          <w:kern w:val="24"/>
        </w:rPr>
        <w:tab/>
        <w:t>-</w:t>
      </w:r>
      <w:r>
        <w:rPr>
          <w:rFonts w:hint="eastAsia"/>
          <w:kern w:val="24"/>
        </w:rPr>
        <w:tab/>
        <w:t>344</w:t>
      </w:r>
      <w:r>
        <w:rPr>
          <w:rFonts w:hint="eastAsia"/>
          <w:kern w:val="24"/>
        </w:rPr>
        <w:tab/>
        <w:t>72</w:t>
      </w:r>
    </w:p>
    <w:p w:rsidR="00000000" w:rsidRDefault="00000000">
      <w:pPr>
        <w:pStyle w:val="a9"/>
        <w:tabs>
          <w:tab w:val="clear" w:pos="1021"/>
          <w:tab w:val="clear" w:pos="1531"/>
        </w:tabs>
        <w:ind w:left="1148" w:hanging="628"/>
        <w:rPr>
          <w:rFonts w:hint="eastAsia"/>
          <w:kern w:val="24"/>
        </w:rPr>
      </w:pPr>
      <w:r>
        <w:rPr>
          <w:rFonts w:hint="eastAsia"/>
          <w:kern w:val="24"/>
        </w:rPr>
        <w:t>5.</w:t>
      </w:r>
      <w:r>
        <w:rPr>
          <w:rFonts w:hint="eastAsia"/>
          <w:kern w:val="24"/>
        </w:rPr>
        <w:tab/>
      </w:r>
      <w:r>
        <w:rPr>
          <w:rFonts w:hint="eastAsia"/>
          <w:kern w:val="24"/>
        </w:rPr>
        <w:t>工作时间、照给工资的定期休假以及公共假日的报酬</w:t>
      </w:r>
      <w:r>
        <w:rPr>
          <w:rFonts w:hint="eastAsia"/>
          <w:kern w:val="24"/>
        </w:rPr>
        <w:t>..</w:t>
      </w:r>
      <w:r>
        <w:rPr>
          <w:rFonts w:hint="eastAsia"/>
          <w:kern w:val="24"/>
        </w:rPr>
        <w:tab/>
      </w:r>
      <w:r>
        <w:rPr>
          <w:rFonts w:hint="eastAsia"/>
          <w:kern w:val="24"/>
        </w:rPr>
        <w:tab/>
        <w:t>345</w:t>
      </w:r>
      <w:r>
        <w:rPr>
          <w:rFonts w:hint="eastAsia"/>
          <w:kern w:val="24"/>
        </w:rPr>
        <w:tab/>
        <w:t>-</w:t>
      </w:r>
      <w:r>
        <w:rPr>
          <w:rFonts w:hint="eastAsia"/>
          <w:kern w:val="24"/>
        </w:rPr>
        <w:tab/>
        <w:t>353</w:t>
      </w:r>
      <w:r>
        <w:rPr>
          <w:rFonts w:hint="eastAsia"/>
          <w:kern w:val="24"/>
        </w:rPr>
        <w:tab/>
        <w:t>72</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(a)</w:t>
      </w:r>
      <w:r>
        <w:rPr>
          <w:rFonts w:hint="eastAsia"/>
          <w:kern w:val="24"/>
        </w:rPr>
        <w:tab/>
      </w:r>
      <w:r>
        <w:rPr>
          <w:rFonts w:hint="eastAsia"/>
          <w:kern w:val="24"/>
        </w:rPr>
        <w:t>影响实现上述权利的因素和困难</w:t>
      </w:r>
      <w:r>
        <w:rPr>
          <w:rFonts w:hint="eastAsia"/>
          <w:kern w:val="24"/>
        </w:rPr>
        <w:t>..</w:t>
      </w:r>
      <w:r>
        <w:rPr>
          <w:rFonts w:hint="eastAsia"/>
          <w:kern w:val="24"/>
        </w:rPr>
        <w:tab/>
      </w:r>
      <w:r>
        <w:rPr>
          <w:rFonts w:hint="eastAsia"/>
          <w:kern w:val="24"/>
        </w:rPr>
        <w:tab/>
      </w:r>
      <w:r>
        <w:rPr>
          <w:rFonts w:hint="eastAsia"/>
          <w:kern w:val="24"/>
        </w:rPr>
        <w:tab/>
        <w:t>354</w:t>
      </w:r>
      <w:r>
        <w:rPr>
          <w:rFonts w:hint="eastAsia"/>
          <w:kern w:val="24"/>
        </w:rPr>
        <w:tab/>
        <w:t>73</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(b)</w:t>
      </w:r>
      <w:r>
        <w:rPr>
          <w:rFonts w:hint="eastAsia"/>
          <w:kern w:val="24"/>
        </w:rPr>
        <w:tab/>
      </w:r>
      <w:r>
        <w:rPr>
          <w:rFonts w:hint="eastAsia"/>
          <w:kern w:val="24"/>
        </w:rPr>
        <w:t>无法享受上述权利的职工分类</w:t>
      </w:r>
      <w:r>
        <w:rPr>
          <w:rFonts w:hint="eastAsia"/>
          <w:kern w:val="24"/>
        </w:rPr>
        <w:t>.</w:t>
      </w:r>
      <w:r>
        <w:rPr>
          <w:rFonts w:hint="eastAsia"/>
          <w:kern w:val="24"/>
        </w:rPr>
        <w:tab/>
      </w:r>
      <w:r>
        <w:rPr>
          <w:rFonts w:hint="eastAsia"/>
          <w:kern w:val="24"/>
        </w:rPr>
        <w:tab/>
      </w:r>
      <w:r>
        <w:rPr>
          <w:rFonts w:hint="eastAsia"/>
          <w:kern w:val="24"/>
        </w:rPr>
        <w:tab/>
        <w:t>355</w:t>
      </w:r>
      <w:r>
        <w:rPr>
          <w:rFonts w:hint="eastAsia"/>
          <w:kern w:val="24"/>
        </w:rPr>
        <w:tab/>
        <w:t>73</w:t>
      </w:r>
    </w:p>
    <w:p w:rsidR="00000000" w:rsidRDefault="00000000">
      <w:pPr>
        <w:pStyle w:val="a9"/>
        <w:tabs>
          <w:tab w:val="clear" w:pos="1021"/>
          <w:tab w:val="clear" w:pos="1531"/>
        </w:tabs>
        <w:ind w:left="1148" w:hanging="628"/>
        <w:rPr>
          <w:rFonts w:hint="eastAsia"/>
          <w:kern w:val="24"/>
        </w:rPr>
      </w:pPr>
      <w:r>
        <w:rPr>
          <w:rFonts w:hint="eastAsia"/>
          <w:kern w:val="24"/>
        </w:rPr>
        <w:t>6.</w:t>
      </w:r>
      <w:r>
        <w:rPr>
          <w:rFonts w:hint="eastAsia"/>
          <w:kern w:val="24"/>
        </w:rPr>
        <w:tab/>
      </w:r>
      <w:r>
        <w:rPr>
          <w:rFonts w:hint="eastAsia"/>
          <w:kern w:val="24"/>
        </w:rPr>
        <w:t>国家法律的改革</w:t>
      </w:r>
      <w:r>
        <w:rPr>
          <w:rFonts w:hint="eastAsia"/>
          <w:kern w:val="24"/>
        </w:rPr>
        <w:t>...</w:t>
      </w:r>
      <w:r>
        <w:rPr>
          <w:rFonts w:hint="eastAsia"/>
          <w:kern w:val="24"/>
        </w:rPr>
        <w:tab/>
      </w:r>
      <w:r>
        <w:rPr>
          <w:rFonts w:hint="eastAsia"/>
          <w:kern w:val="24"/>
        </w:rPr>
        <w:tab/>
        <w:t>356</w:t>
      </w:r>
      <w:r>
        <w:rPr>
          <w:rFonts w:hint="eastAsia"/>
          <w:kern w:val="24"/>
        </w:rPr>
        <w:tab/>
        <w:t>-</w:t>
      </w:r>
      <w:r>
        <w:rPr>
          <w:rFonts w:hint="eastAsia"/>
          <w:kern w:val="24"/>
        </w:rPr>
        <w:tab/>
        <w:t>357</w:t>
      </w:r>
      <w:r>
        <w:rPr>
          <w:rFonts w:hint="eastAsia"/>
          <w:kern w:val="24"/>
        </w:rPr>
        <w:tab/>
        <w:t>74</w:t>
      </w:r>
    </w:p>
    <w:p w:rsidR="00000000" w:rsidRDefault="00000000">
      <w:pPr>
        <w:pStyle w:val="a9"/>
        <w:rPr>
          <w:rFonts w:hint="eastAsia"/>
          <w:kern w:val="24"/>
        </w:rPr>
      </w:pPr>
      <w:r>
        <w:rPr>
          <w:rFonts w:hint="eastAsia"/>
          <w:kern w:val="24"/>
        </w:rPr>
        <w:t>第</w:t>
      </w:r>
      <w:r>
        <w:rPr>
          <w:rFonts w:hint="eastAsia"/>
          <w:kern w:val="24"/>
        </w:rPr>
        <w:t>8</w:t>
      </w:r>
      <w:r>
        <w:rPr>
          <w:rFonts w:hint="eastAsia"/>
          <w:kern w:val="24"/>
        </w:rPr>
        <w:t>条</w:t>
      </w:r>
      <w:r>
        <w:rPr>
          <w:kern w:val="24"/>
        </w:rPr>
        <w:t>…..</w:t>
      </w:r>
      <w:r>
        <w:rPr>
          <w:rFonts w:hint="eastAsia"/>
          <w:kern w:val="24"/>
        </w:rPr>
        <w:t>..............</w:t>
      </w:r>
      <w:r>
        <w:rPr>
          <w:rFonts w:hint="eastAsia"/>
          <w:kern w:val="24"/>
        </w:rPr>
        <w:tab/>
      </w:r>
      <w:r>
        <w:rPr>
          <w:rFonts w:hint="eastAsia"/>
          <w:kern w:val="24"/>
        </w:rPr>
        <w:tab/>
        <w:t>358</w:t>
      </w:r>
      <w:r>
        <w:rPr>
          <w:rFonts w:hint="eastAsia"/>
          <w:kern w:val="24"/>
        </w:rPr>
        <w:tab/>
        <w:t>-</w:t>
      </w:r>
      <w:r>
        <w:rPr>
          <w:rFonts w:hint="eastAsia"/>
          <w:kern w:val="24"/>
        </w:rPr>
        <w:tab/>
        <w:t>360</w:t>
      </w:r>
      <w:r>
        <w:rPr>
          <w:rFonts w:hint="eastAsia"/>
          <w:kern w:val="24"/>
        </w:rPr>
        <w:tab/>
        <w:t>74</w:t>
      </w:r>
    </w:p>
    <w:p w:rsidR="00000000" w:rsidRDefault="00000000">
      <w:pPr>
        <w:pStyle w:val="a9"/>
        <w:tabs>
          <w:tab w:val="clear" w:pos="1021"/>
          <w:tab w:val="clear" w:pos="1531"/>
        </w:tabs>
        <w:ind w:left="1148" w:hanging="628"/>
        <w:rPr>
          <w:rFonts w:hint="eastAsia"/>
          <w:kern w:val="24"/>
        </w:rPr>
      </w:pPr>
      <w:r>
        <w:rPr>
          <w:rFonts w:hint="eastAsia"/>
          <w:kern w:val="24"/>
        </w:rPr>
        <w:t>1.</w:t>
      </w:r>
      <w:r>
        <w:rPr>
          <w:rFonts w:hint="eastAsia"/>
          <w:kern w:val="24"/>
        </w:rPr>
        <w:tab/>
      </w:r>
      <w:r>
        <w:rPr>
          <w:rFonts w:hint="eastAsia"/>
          <w:kern w:val="24"/>
        </w:rPr>
        <w:t>国际公约</w:t>
      </w:r>
      <w:r>
        <w:rPr>
          <w:rFonts w:hint="eastAsia"/>
          <w:kern w:val="24"/>
        </w:rPr>
        <w:t>.</w:t>
      </w:r>
      <w:r>
        <w:rPr>
          <w:rFonts w:hint="eastAsia"/>
          <w:kern w:val="24"/>
        </w:rPr>
        <w:tab/>
      </w:r>
      <w:r>
        <w:rPr>
          <w:rFonts w:hint="eastAsia"/>
          <w:kern w:val="24"/>
        </w:rPr>
        <w:tab/>
        <w:t>358</w:t>
      </w:r>
      <w:r>
        <w:rPr>
          <w:rFonts w:hint="eastAsia"/>
          <w:kern w:val="24"/>
        </w:rPr>
        <w:tab/>
        <w:t>-</w:t>
      </w:r>
      <w:r>
        <w:rPr>
          <w:rFonts w:hint="eastAsia"/>
          <w:kern w:val="24"/>
        </w:rPr>
        <w:tab/>
        <w:t>360</w:t>
      </w:r>
      <w:r>
        <w:rPr>
          <w:rFonts w:hint="eastAsia"/>
          <w:kern w:val="24"/>
        </w:rPr>
        <w:tab/>
        <w:t>74</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(e)</w:t>
      </w:r>
      <w:r>
        <w:rPr>
          <w:rFonts w:hint="eastAsia"/>
          <w:kern w:val="24"/>
        </w:rPr>
        <w:tab/>
      </w:r>
      <w:r>
        <w:rPr>
          <w:rFonts w:hint="eastAsia"/>
          <w:spacing w:val="0"/>
          <w:kern w:val="24"/>
        </w:rPr>
        <w:t>关于工会以及工会会员的数目和结构的数据</w:t>
      </w:r>
      <w:r>
        <w:rPr>
          <w:rFonts w:hint="eastAsia"/>
          <w:kern w:val="24"/>
        </w:rPr>
        <w:t>...</w:t>
      </w:r>
      <w:r>
        <w:rPr>
          <w:rFonts w:hint="eastAsia"/>
          <w:kern w:val="24"/>
        </w:rPr>
        <w:tab/>
      </w:r>
      <w:r>
        <w:rPr>
          <w:rFonts w:hint="eastAsia"/>
          <w:kern w:val="24"/>
        </w:rPr>
        <w:tab/>
        <w:t>361</w:t>
      </w:r>
      <w:r>
        <w:rPr>
          <w:rFonts w:hint="eastAsia"/>
          <w:kern w:val="24"/>
        </w:rPr>
        <w:tab/>
        <w:t>-</w:t>
      </w:r>
      <w:r>
        <w:rPr>
          <w:rFonts w:hint="eastAsia"/>
          <w:kern w:val="24"/>
        </w:rPr>
        <w:tab/>
        <w:t>362</w:t>
      </w:r>
      <w:r>
        <w:rPr>
          <w:rFonts w:hint="eastAsia"/>
          <w:kern w:val="24"/>
        </w:rPr>
        <w:tab/>
        <w:t>74</w:t>
      </w:r>
    </w:p>
    <w:p w:rsidR="00000000" w:rsidRDefault="00000000">
      <w:pPr>
        <w:pStyle w:val="a9"/>
        <w:tabs>
          <w:tab w:val="clear" w:pos="1021"/>
          <w:tab w:val="clear" w:pos="1531"/>
        </w:tabs>
        <w:ind w:left="1148" w:hanging="628"/>
        <w:rPr>
          <w:rFonts w:hint="eastAsia"/>
          <w:kern w:val="24"/>
        </w:rPr>
      </w:pPr>
      <w:r>
        <w:rPr>
          <w:rFonts w:hint="eastAsia"/>
          <w:kern w:val="24"/>
        </w:rPr>
        <w:t>3.</w:t>
      </w:r>
      <w:r>
        <w:rPr>
          <w:rFonts w:hint="eastAsia"/>
          <w:kern w:val="24"/>
        </w:rPr>
        <w:tab/>
      </w:r>
      <w:r>
        <w:rPr>
          <w:rFonts w:hint="eastAsia"/>
          <w:kern w:val="24"/>
        </w:rPr>
        <w:t>罢工的权利</w:t>
      </w:r>
      <w:r>
        <w:rPr>
          <w:rFonts w:hint="eastAsia"/>
          <w:kern w:val="24"/>
        </w:rPr>
        <w:t>...</w:t>
      </w:r>
      <w:r>
        <w:rPr>
          <w:rFonts w:hint="eastAsia"/>
          <w:kern w:val="24"/>
        </w:rPr>
        <w:tab/>
      </w:r>
      <w:r>
        <w:rPr>
          <w:rFonts w:hint="eastAsia"/>
          <w:kern w:val="24"/>
        </w:rPr>
        <w:tab/>
        <w:t>363</w:t>
      </w:r>
      <w:r>
        <w:rPr>
          <w:rFonts w:hint="eastAsia"/>
          <w:kern w:val="24"/>
        </w:rPr>
        <w:tab/>
        <w:t>-</w:t>
      </w:r>
      <w:r>
        <w:rPr>
          <w:rFonts w:hint="eastAsia"/>
          <w:kern w:val="24"/>
        </w:rPr>
        <w:tab/>
        <w:t>366</w:t>
      </w:r>
      <w:r>
        <w:rPr>
          <w:rFonts w:hint="eastAsia"/>
          <w:kern w:val="24"/>
        </w:rPr>
        <w:tab/>
        <w:t>75</w:t>
      </w:r>
    </w:p>
    <w:p w:rsidR="00000000" w:rsidRDefault="00000000">
      <w:pPr>
        <w:pStyle w:val="a9"/>
        <w:rPr>
          <w:rFonts w:hint="eastAsia"/>
          <w:kern w:val="24"/>
        </w:rPr>
      </w:pPr>
      <w:r>
        <w:rPr>
          <w:rFonts w:hint="eastAsia"/>
          <w:kern w:val="24"/>
        </w:rPr>
        <w:t>第</w:t>
      </w:r>
      <w:r>
        <w:rPr>
          <w:rFonts w:hint="eastAsia"/>
          <w:kern w:val="24"/>
        </w:rPr>
        <w:t>9</w:t>
      </w:r>
      <w:r>
        <w:rPr>
          <w:rFonts w:hint="eastAsia"/>
          <w:kern w:val="24"/>
        </w:rPr>
        <w:t>条</w:t>
      </w:r>
      <w:r>
        <w:rPr>
          <w:kern w:val="24"/>
        </w:rPr>
        <w:t>….</w:t>
      </w:r>
      <w:r>
        <w:rPr>
          <w:rFonts w:hint="eastAsia"/>
          <w:kern w:val="24"/>
        </w:rPr>
        <w:t>...............</w:t>
      </w:r>
      <w:r>
        <w:rPr>
          <w:rFonts w:hint="eastAsia"/>
          <w:kern w:val="24"/>
        </w:rPr>
        <w:tab/>
      </w:r>
      <w:r>
        <w:rPr>
          <w:rFonts w:hint="eastAsia"/>
          <w:kern w:val="24"/>
        </w:rPr>
        <w:tab/>
        <w:t>367</w:t>
      </w:r>
      <w:r>
        <w:rPr>
          <w:rFonts w:hint="eastAsia"/>
          <w:kern w:val="24"/>
        </w:rPr>
        <w:tab/>
        <w:t>-</w:t>
      </w:r>
      <w:r>
        <w:rPr>
          <w:rFonts w:hint="eastAsia"/>
          <w:kern w:val="24"/>
        </w:rPr>
        <w:tab/>
        <w:t>438</w:t>
      </w:r>
      <w:r>
        <w:rPr>
          <w:rFonts w:hint="eastAsia"/>
          <w:kern w:val="24"/>
        </w:rPr>
        <w:tab/>
        <w:t>75</w:t>
      </w:r>
    </w:p>
    <w:p w:rsidR="00000000" w:rsidRDefault="00000000">
      <w:pPr>
        <w:pStyle w:val="a9"/>
        <w:tabs>
          <w:tab w:val="clear" w:pos="1021"/>
          <w:tab w:val="clear" w:pos="1531"/>
        </w:tabs>
        <w:ind w:left="1148" w:hanging="628"/>
        <w:rPr>
          <w:rFonts w:hint="eastAsia"/>
          <w:kern w:val="24"/>
        </w:rPr>
      </w:pPr>
      <w:r>
        <w:rPr>
          <w:rFonts w:hint="eastAsia"/>
          <w:kern w:val="24"/>
        </w:rPr>
        <w:t>1.</w:t>
      </w:r>
      <w:r>
        <w:rPr>
          <w:rFonts w:hint="eastAsia"/>
          <w:kern w:val="24"/>
        </w:rPr>
        <w:tab/>
      </w:r>
      <w:r>
        <w:rPr>
          <w:rFonts w:hint="eastAsia"/>
          <w:kern w:val="24"/>
        </w:rPr>
        <w:t>芬兰批准的劳工组织公约</w:t>
      </w:r>
      <w:r>
        <w:rPr>
          <w:rFonts w:hint="eastAsia"/>
          <w:kern w:val="24"/>
        </w:rPr>
        <w:t>..</w:t>
      </w:r>
      <w:r>
        <w:rPr>
          <w:rFonts w:hint="eastAsia"/>
          <w:kern w:val="24"/>
        </w:rPr>
        <w:tab/>
      </w:r>
      <w:r>
        <w:rPr>
          <w:rFonts w:hint="eastAsia"/>
          <w:kern w:val="24"/>
        </w:rPr>
        <w:tab/>
      </w:r>
      <w:r>
        <w:rPr>
          <w:rFonts w:hint="eastAsia"/>
          <w:kern w:val="24"/>
        </w:rPr>
        <w:tab/>
        <w:t>367</w:t>
      </w:r>
      <w:r>
        <w:rPr>
          <w:rFonts w:hint="eastAsia"/>
          <w:kern w:val="24"/>
        </w:rPr>
        <w:tab/>
        <w:t>75</w:t>
      </w:r>
    </w:p>
    <w:p w:rsidR="00000000" w:rsidRDefault="00000000">
      <w:pPr>
        <w:pStyle w:val="a9"/>
        <w:tabs>
          <w:tab w:val="clear" w:pos="1021"/>
          <w:tab w:val="clear" w:pos="1531"/>
        </w:tabs>
        <w:ind w:left="1148" w:hanging="628"/>
        <w:rPr>
          <w:rFonts w:hint="eastAsia"/>
          <w:kern w:val="24"/>
        </w:rPr>
      </w:pPr>
      <w:r>
        <w:rPr>
          <w:rFonts w:hint="eastAsia"/>
          <w:kern w:val="24"/>
        </w:rPr>
        <w:t>2.</w:t>
      </w:r>
      <w:r>
        <w:rPr>
          <w:rFonts w:hint="eastAsia"/>
          <w:kern w:val="24"/>
        </w:rPr>
        <w:tab/>
      </w:r>
      <w:r>
        <w:rPr>
          <w:rFonts w:hint="eastAsia"/>
          <w:kern w:val="24"/>
        </w:rPr>
        <w:t>社会保障部门</w:t>
      </w:r>
      <w:r>
        <w:rPr>
          <w:rFonts w:hint="eastAsia"/>
          <w:kern w:val="24"/>
        </w:rPr>
        <w:t>...</w:t>
      </w:r>
      <w:r>
        <w:rPr>
          <w:rFonts w:hint="eastAsia"/>
          <w:kern w:val="24"/>
        </w:rPr>
        <w:tab/>
      </w:r>
      <w:r>
        <w:rPr>
          <w:rFonts w:hint="eastAsia"/>
          <w:kern w:val="24"/>
        </w:rPr>
        <w:tab/>
        <w:t>368</w:t>
      </w:r>
      <w:r>
        <w:rPr>
          <w:rFonts w:hint="eastAsia"/>
          <w:kern w:val="24"/>
        </w:rPr>
        <w:tab/>
        <w:t>-</w:t>
      </w:r>
      <w:r>
        <w:rPr>
          <w:rFonts w:hint="eastAsia"/>
          <w:kern w:val="24"/>
        </w:rPr>
        <w:tab/>
        <w:t>372</w:t>
      </w:r>
      <w:r>
        <w:rPr>
          <w:rFonts w:hint="eastAsia"/>
          <w:kern w:val="24"/>
        </w:rPr>
        <w:tab/>
        <w:t>76</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(a)</w:t>
      </w:r>
      <w:r>
        <w:rPr>
          <w:rFonts w:hint="eastAsia"/>
          <w:kern w:val="24"/>
        </w:rPr>
        <w:tab/>
      </w:r>
      <w:r>
        <w:rPr>
          <w:rFonts w:hint="eastAsia"/>
          <w:kern w:val="24"/>
        </w:rPr>
        <w:t>医疗服务</w:t>
      </w:r>
      <w:r>
        <w:rPr>
          <w:rFonts w:hint="eastAsia"/>
          <w:kern w:val="24"/>
        </w:rPr>
        <w:t>..</w:t>
      </w:r>
      <w:r>
        <w:rPr>
          <w:rFonts w:hint="eastAsia"/>
          <w:kern w:val="24"/>
        </w:rPr>
        <w:tab/>
      </w:r>
      <w:r>
        <w:rPr>
          <w:rFonts w:hint="eastAsia"/>
          <w:kern w:val="24"/>
        </w:rPr>
        <w:tab/>
        <w:t>373</w:t>
      </w:r>
      <w:r>
        <w:rPr>
          <w:rFonts w:hint="eastAsia"/>
          <w:kern w:val="24"/>
        </w:rPr>
        <w:tab/>
        <w:t>-</w:t>
      </w:r>
      <w:r>
        <w:rPr>
          <w:rFonts w:hint="eastAsia"/>
          <w:kern w:val="24"/>
        </w:rPr>
        <w:tab/>
        <w:t>381</w:t>
      </w:r>
      <w:r>
        <w:rPr>
          <w:rFonts w:hint="eastAsia"/>
          <w:kern w:val="24"/>
        </w:rPr>
        <w:tab/>
        <w:t>76</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(b)</w:t>
      </w:r>
      <w:r>
        <w:rPr>
          <w:rFonts w:hint="eastAsia"/>
          <w:kern w:val="24"/>
        </w:rPr>
        <w:tab/>
      </w:r>
      <w:r>
        <w:rPr>
          <w:rFonts w:hint="eastAsia"/>
          <w:kern w:val="24"/>
        </w:rPr>
        <w:t>现金疾病补助</w:t>
      </w:r>
      <w:r>
        <w:rPr>
          <w:rFonts w:hint="eastAsia"/>
          <w:kern w:val="24"/>
        </w:rPr>
        <w:t>.</w:t>
      </w:r>
      <w:r>
        <w:rPr>
          <w:rFonts w:hint="eastAsia"/>
          <w:kern w:val="24"/>
        </w:rPr>
        <w:tab/>
        <w:t>..</w:t>
      </w:r>
      <w:r>
        <w:rPr>
          <w:rFonts w:hint="eastAsia"/>
          <w:kern w:val="24"/>
        </w:rPr>
        <w:tab/>
        <w:t>382</w:t>
      </w:r>
      <w:r>
        <w:rPr>
          <w:rFonts w:hint="eastAsia"/>
          <w:kern w:val="24"/>
        </w:rPr>
        <w:tab/>
        <w:t>-</w:t>
      </w:r>
      <w:r>
        <w:rPr>
          <w:rFonts w:hint="eastAsia"/>
          <w:kern w:val="24"/>
        </w:rPr>
        <w:tab/>
        <w:t>393</w:t>
      </w:r>
      <w:r>
        <w:rPr>
          <w:rFonts w:hint="eastAsia"/>
          <w:kern w:val="24"/>
        </w:rPr>
        <w:tab/>
        <w:t>79</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(c)</w:t>
      </w:r>
      <w:r>
        <w:rPr>
          <w:rFonts w:hint="eastAsia"/>
          <w:kern w:val="24"/>
        </w:rPr>
        <w:tab/>
      </w:r>
      <w:r>
        <w:rPr>
          <w:rFonts w:hint="eastAsia"/>
          <w:kern w:val="24"/>
        </w:rPr>
        <w:t>产假津贴</w:t>
      </w:r>
      <w:r>
        <w:rPr>
          <w:rFonts w:hint="eastAsia"/>
          <w:kern w:val="24"/>
        </w:rPr>
        <w:t>...</w:t>
      </w:r>
      <w:r>
        <w:rPr>
          <w:rFonts w:hint="eastAsia"/>
          <w:kern w:val="24"/>
        </w:rPr>
        <w:tab/>
      </w:r>
      <w:r>
        <w:rPr>
          <w:rFonts w:hint="eastAsia"/>
          <w:kern w:val="24"/>
        </w:rPr>
        <w:tab/>
        <w:t>394</w:t>
      </w:r>
      <w:r>
        <w:rPr>
          <w:rFonts w:hint="eastAsia"/>
          <w:kern w:val="24"/>
        </w:rPr>
        <w:tab/>
        <w:t>-</w:t>
      </w:r>
      <w:r>
        <w:rPr>
          <w:rFonts w:hint="eastAsia"/>
          <w:kern w:val="24"/>
        </w:rPr>
        <w:tab/>
        <w:t>398</w:t>
      </w:r>
      <w:r>
        <w:rPr>
          <w:rFonts w:hint="eastAsia"/>
          <w:kern w:val="24"/>
        </w:rPr>
        <w:tab/>
        <w:t>82</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(d)</w:t>
      </w:r>
      <w:r>
        <w:rPr>
          <w:rFonts w:hint="eastAsia"/>
          <w:kern w:val="24"/>
        </w:rPr>
        <w:tab/>
      </w:r>
      <w:r>
        <w:rPr>
          <w:rFonts w:hint="eastAsia"/>
          <w:kern w:val="24"/>
        </w:rPr>
        <w:t>老年津贴</w:t>
      </w:r>
      <w:r>
        <w:rPr>
          <w:rFonts w:hint="eastAsia"/>
          <w:kern w:val="24"/>
        </w:rPr>
        <w:t>.</w:t>
      </w:r>
      <w:r>
        <w:rPr>
          <w:rFonts w:hint="eastAsia"/>
          <w:kern w:val="24"/>
        </w:rPr>
        <w:tab/>
      </w:r>
      <w:r>
        <w:rPr>
          <w:rFonts w:hint="eastAsia"/>
          <w:kern w:val="24"/>
        </w:rPr>
        <w:tab/>
        <w:t>399</w:t>
      </w:r>
      <w:r>
        <w:rPr>
          <w:rFonts w:hint="eastAsia"/>
          <w:kern w:val="24"/>
        </w:rPr>
        <w:tab/>
        <w:t>-</w:t>
      </w:r>
      <w:r>
        <w:rPr>
          <w:rFonts w:hint="eastAsia"/>
          <w:kern w:val="24"/>
        </w:rPr>
        <w:tab/>
        <w:t>404</w:t>
      </w:r>
      <w:r>
        <w:rPr>
          <w:rFonts w:hint="eastAsia"/>
          <w:kern w:val="24"/>
        </w:rPr>
        <w:tab/>
        <w:t>82</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(e)</w:t>
      </w:r>
      <w:r>
        <w:rPr>
          <w:rFonts w:hint="eastAsia"/>
          <w:kern w:val="24"/>
        </w:rPr>
        <w:tab/>
      </w:r>
      <w:r>
        <w:rPr>
          <w:rFonts w:hint="eastAsia"/>
          <w:kern w:val="24"/>
        </w:rPr>
        <w:t>残疾津贴</w:t>
      </w:r>
      <w:r>
        <w:rPr>
          <w:rFonts w:hint="eastAsia"/>
          <w:kern w:val="24"/>
        </w:rPr>
        <w:t>...</w:t>
      </w:r>
      <w:r>
        <w:rPr>
          <w:rFonts w:hint="eastAsia"/>
          <w:kern w:val="24"/>
        </w:rPr>
        <w:tab/>
      </w:r>
      <w:r>
        <w:rPr>
          <w:rFonts w:hint="eastAsia"/>
          <w:kern w:val="24"/>
        </w:rPr>
        <w:tab/>
        <w:t>405</w:t>
      </w:r>
      <w:r>
        <w:rPr>
          <w:rFonts w:hint="eastAsia"/>
          <w:kern w:val="24"/>
        </w:rPr>
        <w:tab/>
        <w:t>-</w:t>
      </w:r>
      <w:r>
        <w:rPr>
          <w:rFonts w:hint="eastAsia"/>
          <w:kern w:val="24"/>
        </w:rPr>
        <w:tab/>
        <w:t>407</w:t>
      </w:r>
      <w:r>
        <w:rPr>
          <w:rFonts w:hint="eastAsia"/>
          <w:kern w:val="24"/>
        </w:rPr>
        <w:tab/>
        <w:t>83</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(f)</w:t>
      </w:r>
      <w:r>
        <w:rPr>
          <w:rFonts w:hint="eastAsia"/>
          <w:kern w:val="24"/>
        </w:rPr>
        <w:tab/>
      </w:r>
      <w:r>
        <w:rPr>
          <w:rFonts w:hint="eastAsia"/>
          <w:kern w:val="24"/>
        </w:rPr>
        <w:t>遗属恤金</w:t>
      </w:r>
      <w:r>
        <w:rPr>
          <w:rFonts w:hint="eastAsia"/>
          <w:kern w:val="24"/>
        </w:rPr>
        <w:t>...</w:t>
      </w:r>
      <w:r>
        <w:rPr>
          <w:rFonts w:hint="eastAsia"/>
          <w:kern w:val="24"/>
        </w:rPr>
        <w:tab/>
      </w:r>
      <w:r>
        <w:rPr>
          <w:rFonts w:hint="eastAsia"/>
          <w:kern w:val="24"/>
        </w:rPr>
        <w:tab/>
      </w:r>
      <w:r>
        <w:rPr>
          <w:rFonts w:hint="eastAsia"/>
          <w:kern w:val="24"/>
        </w:rPr>
        <w:tab/>
        <w:t>408</w:t>
      </w:r>
      <w:r>
        <w:rPr>
          <w:rFonts w:hint="eastAsia"/>
          <w:kern w:val="24"/>
        </w:rPr>
        <w:tab/>
        <w:t>83</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(g)</w:t>
      </w:r>
      <w:r>
        <w:rPr>
          <w:rFonts w:hint="eastAsia"/>
          <w:kern w:val="24"/>
        </w:rPr>
        <w:tab/>
      </w:r>
      <w:r>
        <w:rPr>
          <w:rFonts w:hint="eastAsia"/>
          <w:kern w:val="24"/>
        </w:rPr>
        <w:t>工伤津贴</w:t>
      </w:r>
      <w:r>
        <w:rPr>
          <w:rFonts w:hint="eastAsia"/>
          <w:kern w:val="24"/>
        </w:rPr>
        <w:t>...</w:t>
      </w:r>
      <w:r>
        <w:rPr>
          <w:rFonts w:hint="eastAsia"/>
          <w:kern w:val="24"/>
        </w:rPr>
        <w:tab/>
      </w:r>
      <w:r>
        <w:rPr>
          <w:rFonts w:hint="eastAsia"/>
          <w:kern w:val="24"/>
        </w:rPr>
        <w:tab/>
      </w:r>
      <w:r>
        <w:rPr>
          <w:rFonts w:hint="eastAsia"/>
          <w:kern w:val="24"/>
        </w:rPr>
        <w:tab/>
        <w:t>409</w:t>
      </w:r>
      <w:r>
        <w:rPr>
          <w:rFonts w:hint="eastAsia"/>
          <w:kern w:val="24"/>
        </w:rPr>
        <w:tab/>
        <w:t>83</w:t>
      </w:r>
    </w:p>
    <w:p w:rsidR="00000000" w:rsidRDefault="00000000">
      <w:pPr>
        <w:pStyle w:val="a9"/>
        <w:tabs>
          <w:tab w:val="clear" w:pos="1021"/>
          <w:tab w:val="clear" w:pos="1531"/>
        </w:tabs>
        <w:ind w:left="1148" w:hanging="628"/>
        <w:rPr>
          <w:rFonts w:hint="eastAsia"/>
          <w:kern w:val="24"/>
        </w:rPr>
      </w:pPr>
      <w:r>
        <w:rPr>
          <w:rFonts w:hint="eastAsia"/>
          <w:kern w:val="24"/>
        </w:rPr>
        <w:t>2.</w:t>
      </w:r>
      <w:r>
        <w:rPr>
          <w:kern w:val="24"/>
        </w:rPr>
        <w:t>(h)</w:t>
      </w:r>
      <w:r>
        <w:rPr>
          <w:rFonts w:hint="eastAsia"/>
          <w:kern w:val="24"/>
        </w:rPr>
        <w:tab/>
      </w:r>
      <w:r>
        <w:rPr>
          <w:rFonts w:hint="eastAsia"/>
          <w:kern w:val="24"/>
        </w:rPr>
        <w:t>失业补助</w:t>
      </w:r>
      <w:r>
        <w:rPr>
          <w:rFonts w:hint="eastAsia"/>
          <w:kern w:val="24"/>
        </w:rPr>
        <w:t>...................</w:t>
      </w:r>
      <w:r>
        <w:rPr>
          <w:rFonts w:hint="eastAsia"/>
          <w:kern w:val="24"/>
        </w:rPr>
        <w:tab/>
      </w:r>
      <w:r>
        <w:rPr>
          <w:rFonts w:hint="eastAsia"/>
          <w:kern w:val="24"/>
        </w:rPr>
        <w:tab/>
        <w:t>410</w:t>
      </w:r>
      <w:r>
        <w:rPr>
          <w:rFonts w:hint="eastAsia"/>
          <w:kern w:val="24"/>
        </w:rPr>
        <w:tab/>
        <w:t>-</w:t>
      </w:r>
      <w:r>
        <w:rPr>
          <w:rFonts w:hint="eastAsia"/>
          <w:kern w:val="24"/>
        </w:rPr>
        <w:tab/>
        <w:t>418</w:t>
      </w:r>
      <w:r>
        <w:rPr>
          <w:rFonts w:hint="eastAsia"/>
          <w:kern w:val="24"/>
        </w:rPr>
        <w:tab/>
        <w:t>84</w:t>
      </w:r>
    </w:p>
    <w:p w:rsidR="00000000" w:rsidRDefault="00000000">
      <w:pPr>
        <w:pStyle w:val="a9"/>
        <w:tabs>
          <w:tab w:val="clear" w:pos="1021"/>
          <w:tab w:val="clear" w:pos="1531"/>
        </w:tabs>
        <w:ind w:left="1148" w:hanging="628"/>
        <w:rPr>
          <w:rFonts w:hint="eastAsia"/>
          <w:kern w:val="24"/>
        </w:rPr>
      </w:pPr>
      <w:r>
        <w:rPr>
          <w:rFonts w:hint="eastAsia"/>
          <w:kern w:val="24"/>
        </w:rPr>
        <w:t>3.</w:t>
      </w:r>
      <w:r>
        <w:rPr>
          <w:rFonts w:hint="eastAsia"/>
          <w:kern w:val="24"/>
        </w:rPr>
        <w:tab/>
      </w:r>
      <w:r>
        <w:rPr>
          <w:rFonts w:hint="eastAsia"/>
          <w:kern w:val="24"/>
        </w:rPr>
        <w:t>社会保障计划的经费</w:t>
      </w:r>
      <w:r>
        <w:rPr>
          <w:rFonts w:hint="eastAsia"/>
          <w:kern w:val="24"/>
        </w:rPr>
        <w:t>.</w:t>
      </w:r>
      <w:r>
        <w:rPr>
          <w:rFonts w:hint="eastAsia"/>
          <w:kern w:val="24"/>
        </w:rPr>
        <w:tab/>
      </w:r>
      <w:r>
        <w:rPr>
          <w:rFonts w:hint="eastAsia"/>
          <w:kern w:val="24"/>
        </w:rPr>
        <w:tab/>
        <w:t>419</w:t>
      </w:r>
      <w:r>
        <w:rPr>
          <w:rFonts w:hint="eastAsia"/>
          <w:kern w:val="24"/>
        </w:rPr>
        <w:tab/>
        <w:t>-</w:t>
      </w:r>
      <w:r>
        <w:rPr>
          <w:rFonts w:hint="eastAsia"/>
          <w:kern w:val="24"/>
        </w:rPr>
        <w:tab/>
        <w:t>427</w:t>
      </w:r>
      <w:r>
        <w:rPr>
          <w:rFonts w:hint="eastAsia"/>
          <w:kern w:val="24"/>
        </w:rPr>
        <w:tab/>
        <w:t>85</w:t>
      </w:r>
    </w:p>
    <w:p w:rsidR="00000000" w:rsidRDefault="00000000">
      <w:pPr>
        <w:pStyle w:val="a9"/>
        <w:tabs>
          <w:tab w:val="clear" w:pos="1021"/>
          <w:tab w:val="clear" w:pos="1531"/>
        </w:tabs>
        <w:ind w:left="1148" w:hanging="628"/>
        <w:rPr>
          <w:rFonts w:hint="eastAsia"/>
          <w:kern w:val="24"/>
        </w:rPr>
      </w:pPr>
      <w:r>
        <w:rPr>
          <w:rFonts w:hint="eastAsia"/>
          <w:kern w:val="24"/>
        </w:rPr>
        <w:t>4.</w:t>
      </w:r>
      <w:r>
        <w:rPr>
          <w:rFonts w:hint="eastAsia"/>
          <w:kern w:val="24"/>
        </w:rPr>
        <w:tab/>
      </w:r>
      <w:r>
        <w:rPr>
          <w:rFonts w:hint="eastAsia"/>
          <w:spacing w:val="4"/>
          <w:kern w:val="24"/>
        </w:rPr>
        <w:t>社会保障的开支占国民生产总值的百分比</w:t>
      </w:r>
      <w:r>
        <w:rPr>
          <w:rFonts w:hint="eastAsia"/>
          <w:kern w:val="24"/>
        </w:rPr>
        <w:t>...</w:t>
      </w:r>
      <w:r>
        <w:rPr>
          <w:rFonts w:hint="eastAsia"/>
          <w:kern w:val="24"/>
        </w:rPr>
        <w:tab/>
      </w:r>
      <w:r>
        <w:rPr>
          <w:rFonts w:hint="eastAsia"/>
          <w:kern w:val="24"/>
        </w:rPr>
        <w:tab/>
      </w:r>
      <w:r>
        <w:rPr>
          <w:rFonts w:hint="eastAsia"/>
          <w:kern w:val="24"/>
        </w:rPr>
        <w:tab/>
        <w:t>428</w:t>
      </w:r>
      <w:r>
        <w:rPr>
          <w:rFonts w:hint="eastAsia"/>
          <w:kern w:val="24"/>
        </w:rPr>
        <w:tab/>
        <w:t>88</w:t>
      </w:r>
    </w:p>
    <w:p w:rsidR="00000000" w:rsidRDefault="00000000">
      <w:pPr>
        <w:pStyle w:val="a9"/>
        <w:tabs>
          <w:tab w:val="clear" w:pos="1021"/>
          <w:tab w:val="clear" w:pos="1531"/>
        </w:tabs>
        <w:ind w:left="1148" w:hanging="628"/>
        <w:rPr>
          <w:rFonts w:hint="eastAsia"/>
          <w:kern w:val="24"/>
        </w:rPr>
      </w:pPr>
      <w:r>
        <w:rPr>
          <w:rFonts w:hint="eastAsia"/>
          <w:kern w:val="24"/>
        </w:rPr>
        <w:t>7.</w:t>
      </w:r>
      <w:r>
        <w:rPr>
          <w:rFonts w:hint="eastAsia"/>
          <w:kern w:val="24"/>
        </w:rPr>
        <w:tab/>
      </w:r>
      <w:r>
        <w:rPr>
          <w:rFonts w:hint="eastAsia"/>
          <w:kern w:val="24"/>
        </w:rPr>
        <w:t>社会保障制度的改革</w:t>
      </w:r>
      <w:r>
        <w:rPr>
          <w:rFonts w:hint="eastAsia"/>
          <w:kern w:val="24"/>
        </w:rPr>
        <w:t>..</w:t>
      </w:r>
      <w:r>
        <w:rPr>
          <w:rFonts w:hint="eastAsia"/>
          <w:kern w:val="24"/>
        </w:rPr>
        <w:tab/>
      </w:r>
      <w:r>
        <w:rPr>
          <w:rFonts w:hint="eastAsia"/>
          <w:kern w:val="24"/>
        </w:rPr>
        <w:tab/>
        <w:t>429</w:t>
      </w:r>
      <w:r>
        <w:rPr>
          <w:rFonts w:hint="eastAsia"/>
          <w:kern w:val="24"/>
        </w:rPr>
        <w:tab/>
        <w:t>-</w:t>
      </w:r>
      <w:r>
        <w:rPr>
          <w:rFonts w:hint="eastAsia"/>
          <w:kern w:val="24"/>
        </w:rPr>
        <w:tab/>
        <w:t>438</w:t>
      </w:r>
      <w:r>
        <w:rPr>
          <w:rFonts w:hint="eastAsia"/>
          <w:kern w:val="24"/>
        </w:rPr>
        <w:tab/>
        <w:t>88</w:t>
      </w:r>
    </w:p>
    <w:p w:rsidR="00000000" w:rsidRDefault="00000000">
      <w:pPr>
        <w:pStyle w:val="a9"/>
        <w:spacing w:line="324" w:lineRule="auto"/>
        <w:rPr>
          <w:rFonts w:hint="eastAsia"/>
          <w:kern w:val="24"/>
        </w:rPr>
      </w:pPr>
      <w:r>
        <w:rPr>
          <w:rFonts w:hint="eastAsia"/>
          <w:kern w:val="24"/>
        </w:rPr>
        <w:t>第</w:t>
      </w:r>
      <w:r>
        <w:rPr>
          <w:rFonts w:hint="eastAsia"/>
          <w:kern w:val="24"/>
        </w:rPr>
        <w:t>10</w:t>
      </w:r>
      <w:r>
        <w:rPr>
          <w:rFonts w:hint="eastAsia"/>
          <w:kern w:val="24"/>
        </w:rPr>
        <w:t>条</w:t>
      </w:r>
      <w:r>
        <w:rPr>
          <w:kern w:val="24"/>
        </w:rPr>
        <w:t>…..</w:t>
      </w:r>
      <w:r>
        <w:rPr>
          <w:rFonts w:hint="eastAsia"/>
          <w:kern w:val="24"/>
        </w:rPr>
        <w:t>.............</w:t>
      </w:r>
      <w:r>
        <w:rPr>
          <w:rFonts w:hint="eastAsia"/>
          <w:kern w:val="24"/>
        </w:rPr>
        <w:tab/>
      </w:r>
      <w:r>
        <w:rPr>
          <w:rFonts w:hint="eastAsia"/>
          <w:kern w:val="24"/>
        </w:rPr>
        <w:tab/>
        <w:t>439</w:t>
      </w:r>
      <w:r>
        <w:rPr>
          <w:rFonts w:hint="eastAsia"/>
          <w:kern w:val="24"/>
        </w:rPr>
        <w:tab/>
        <w:t>-</w:t>
      </w:r>
      <w:r>
        <w:rPr>
          <w:rFonts w:hint="eastAsia"/>
          <w:kern w:val="24"/>
        </w:rPr>
        <w:tab/>
        <w:t>471</w:t>
      </w:r>
      <w:r>
        <w:rPr>
          <w:rFonts w:hint="eastAsia"/>
          <w:kern w:val="24"/>
        </w:rPr>
        <w:tab/>
        <w:t>90</w:t>
      </w:r>
    </w:p>
    <w:p w:rsidR="00000000" w:rsidRDefault="00000000">
      <w:pPr>
        <w:pStyle w:val="a9"/>
        <w:tabs>
          <w:tab w:val="clear" w:pos="1021"/>
          <w:tab w:val="clear" w:pos="1531"/>
        </w:tabs>
        <w:ind w:left="1148" w:hanging="628"/>
        <w:rPr>
          <w:rFonts w:hint="eastAsia"/>
          <w:kern w:val="24"/>
        </w:rPr>
      </w:pPr>
      <w:r>
        <w:rPr>
          <w:rFonts w:hint="eastAsia"/>
          <w:kern w:val="24"/>
        </w:rPr>
        <w:t>1.</w:t>
      </w:r>
      <w:r>
        <w:rPr>
          <w:rFonts w:hint="eastAsia"/>
          <w:kern w:val="24"/>
        </w:rPr>
        <w:tab/>
      </w:r>
      <w:r>
        <w:rPr>
          <w:rFonts w:hint="eastAsia"/>
          <w:kern w:val="24"/>
        </w:rPr>
        <w:t>国际公约</w:t>
      </w:r>
      <w:r>
        <w:rPr>
          <w:rFonts w:hint="eastAsia"/>
          <w:kern w:val="24"/>
        </w:rPr>
        <w:t>....</w:t>
      </w:r>
      <w:r>
        <w:rPr>
          <w:rFonts w:hint="eastAsia"/>
          <w:kern w:val="24"/>
        </w:rPr>
        <w:tab/>
      </w:r>
      <w:r>
        <w:rPr>
          <w:rFonts w:hint="eastAsia"/>
          <w:kern w:val="24"/>
        </w:rPr>
        <w:tab/>
        <w:t>439</w:t>
      </w:r>
      <w:r>
        <w:rPr>
          <w:rFonts w:hint="eastAsia"/>
          <w:kern w:val="24"/>
        </w:rPr>
        <w:tab/>
        <w:t>-</w:t>
      </w:r>
      <w:r>
        <w:rPr>
          <w:rFonts w:hint="eastAsia"/>
          <w:kern w:val="24"/>
        </w:rPr>
        <w:tab/>
        <w:t>440</w:t>
      </w:r>
      <w:r>
        <w:rPr>
          <w:rFonts w:hint="eastAsia"/>
          <w:kern w:val="24"/>
        </w:rPr>
        <w:tab/>
        <w:t>90</w:t>
      </w:r>
    </w:p>
    <w:p w:rsidR="00000000" w:rsidRDefault="00000000">
      <w:pPr>
        <w:pStyle w:val="a9"/>
        <w:tabs>
          <w:tab w:val="clear" w:pos="1021"/>
          <w:tab w:val="clear" w:pos="1531"/>
        </w:tabs>
        <w:ind w:left="1148" w:hanging="628"/>
        <w:rPr>
          <w:rFonts w:hint="eastAsia"/>
          <w:kern w:val="24"/>
        </w:rPr>
      </w:pP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tabs>
          <w:tab w:val="clear" w:pos="1021"/>
          <w:tab w:val="clear" w:pos="1531"/>
        </w:tabs>
        <w:ind w:left="1148" w:hanging="628"/>
        <w:rPr>
          <w:rFonts w:hint="eastAsia"/>
          <w:kern w:val="24"/>
        </w:rPr>
      </w:pPr>
      <w:r>
        <w:rPr>
          <w:rFonts w:hint="eastAsia"/>
          <w:kern w:val="24"/>
        </w:rPr>
        <w:t>2.</w:t>
      </w:r>
      <w:r>
        <w:rPr>
          <w:rFonts w:hint="eastAsia"/>
          <w:kern w:val="24"/>
        </w:rPr>
        <w:tab/>
      </w:r>
      <w:r>
        <w:rPr>
          <w:rFonts w:hint="eastAsia"/>
          <w:kern w:val="24"/>
        </w:rPr>
        <w:t>家庭</w:t>
      </w:r>
      <w:r>
        <w:rPr>
          <w:rFonts w:hint="eastAsia"/>
          <w:kern w:val="24"/>
        </w:rPr>
        <w:t>........</w:t>
      </w:r>
      <w:r>
        <w:rPr>
          <w:rFonts w:hint="eastAsia"/>
          <w:kern w:val="24"/>
        </w:rPr>
        <w:tab/>
      </w:r>
      <w:r>
        <w:rPr>
          <w:rFonts w:hint="eastAsia"/>
          <w:kern w:val="24"/>
        </w:rPr>
        <w:tab/>
      </w:r>
      <w:r>
        <w:rPr>
          <w:rFonts w:hint="eastAsia"/>
          <w:kern w:val="24"/>
        </w:rPr>
        <w:tab/>
        <w:t>441</w:t>
      </w:r>
      <w:r>
        <w:rPr>
          <w:rFonts w:hint="eastAsia"/>
          <w:kern w:val="24"/>
        </w:rPr>
        <w:tab/>
        <w:t>90</w:t>
      </w:r>
    </w:p>
    <w:p w:rsidR="00000000" w:rsidRDefault="00000000">
      <w:pPr>
        <w:pStyle w:val="a9"/>
        <w:tabs>
          <w:tab w:val="clear" w:pos="1021"/>
          <w:tab w:val="clear" w:pos="1531"/>
        </w:tabs>
        <w:ind w:left="1148" w:hanging="628"/>
        <w:rPr>
          <w:rFonts w:hint="eastAsia"/>
          <w:kern w:val="24"/>
        </w:rPr>
      </w:pPr>
      <w:r>
        <w:rPr>
          <w:rFonts w:hint="eastAsia"/>
          <w:kern w:val="24"/>
        </w:rPr>
        <w:t>4.</w:t>
      </w:r>
      <w:r>
        <w:rPr>
          <w:rFonts w:hint="eastAsia"/>
          <w:kern w:val="24"/>
        </w:rPr>
        <w:tab/>
      </w:r>
      <w:r>
        <w:rPr>
          <w:rFonts w:hint="eastAsia"/>
          <w:kern w:val="24"/>
        </w:rPr>
        <w:t>为家庭提供的援助和保护</w:t>
      </w:r>
      <w:r>
        <w:rPr>
          <w:rFonts w:hint="eastAsia"/>
          <w:kern w:val="24"/>
        </w:rPr>
        <w:t>...</w:t>
      </w:r>
      <w:r>
        <w:rPr>
          <w:rFonts w:hint="eastAsia"/>
          <w:kern w:val="24"/>
        </w:rPr>
        <w:tab/>
      </w:r>
      <w:r>
        <w:rPr>
          <w:rFonts w:hint="eastAsia"/>
          <w:kern w:val="24"/>
        </w:rPr>
        <w:tab/>
        <w:t>442</w:t>
      </w:r>
      <w:r>
        <w:rPr>
          <w:rFonts w:hint="eastAsia"/>
          <w:kern w:val="24"/>
        </w:rPr>
        <w:tab/>
        <w:t>-</w:t>
      </w:r>
      <w:r>
        <w:rPr>
          <w:rFonts w:hint="eastAsia"/>
          <w:kern w:val="24"/>
        </w:rPr>
        <w:tab/>
        <w:t>455</w:t>
      </w:r>
      <w:r>
        <w:rPr>
          <w:rFonts w:hint="eastAsia"/>
          <w:kern w:val="24"/>
        </w:rPr>
        <w:tab/>
        <w:t>90</w:t>
      </w:r>
    </w:p>
    <w:p w:rsidR="00000000" w:rsidRDefault="00000000">
      <w:pPr>
        <w:pStyle w:val="a9"/>
        <w:tabs>
          <w:tab w:val="clear" w:pos="1021"/>
          <w:tab w:val="clear" w:pos="1531"/>
        </w:tabs>
        <w:ind w:left="1148" w:hanging="628"/>
        <w:rPr>
          <w:rFonts w:hint="eastAsia"/>
          <w:kern w:val="24"/>
        </w:rPr>
      </w:pPr>
      <w:r>
        <w:rPr>
          <w:rFonts w:hint="eastAsia"/>
          <w:kern w:val="24"/>
        </w:rPr>
        <w:t>5.</w:t>
      </w:r>
      <w:r>
        <w:rPr>
          <w:rFonts w:hint="eastAsia"/>
          <w:kern w:val="24"/>
        </w:rPr>
        <w:tab/>
      </w:r>
      <w:r>
        <w:rPr>
          <w:rFonts w:hint="eastAsia"/>
          <w:snapToGrid/>
        </w:rPr>
        <w:t>为产妇提供的保护</w:t>
      </w:r>
      <w:r>
        <w:rPr>
          <w:rFonts w:hint="eastAsia"/>
          <w:kern w:val="24"/>
        </w:rPr>
        <w:t>...</w:t>
      </w:r>
      <w:r>
        <w:rPr>
          <w:rFonts w:hint="eastAsia"/>
          <w:kern w:val="24"/>
        </w:rPr>
        <w:tab/>
      </w:r>
      <w:r>
        <w:rPr>
          <w:rFonts w:hint="eastAsia"/>
          <w:kern w:val="24"/>
        </w:rPr>
        <w:tab/>
        <w:t>456</w:t>
      </w:r>
      <w:r>
        <w:rPr>
          <w:rFonts w:hint="eastAsia"/>
          <w:kern w:val="24"/>
        </w:rPr>
        <w:tab/>
        <w:t>-</w:t>
      </w:r>
      <w:r>
        <w:rPr>
          <w:rFonts w:hint="eastAsia"/>
          <w:kern w:val="24"/>
        </w:rPr>
        <w:tab/>
        <w:t>462</w:t>
      </w:r>
      <w:r>
        <w:rPr>
          <w:rFonts w:hint="eastAsia"/>
          <w:kern w:val="24"/>
        </w:rPr>
        <w:tab/>
        <w:t>92</w:t>
      </w:r>
    </w:p>
    <w:p w:rsidR="00000000" w:rsidRDefault="00000000">
      <w:pPr>
        <w:pStyle w:val="a9"/>
        <w:tabs>
          <w:tab w:val="clear" w:pos="1021"/>
          <w:tab w:val="clear" w:pos="1531"/>
        </w:tabs>
        <w:ind w:left="1148" w:hanging="628"/>
        <w:rPr>
          <w:rFonts w:hint="eastAsia"/>
          <w:kern w:val="24"/>
        </w:rPr>
      </w:pPr>
      <w:r>
        <w:rPr>
          <w:rFonts w:hint="eastAsia"/>
          <w:kern w:val="24"/>
        </w:rPr>
        <w:t>6.</w:t>
      </w:r>
      <w:r>
        <w:rPr>
          <w:rFonts w:ascii="Time New Roman" w:eastAsia="SimHei" w:hAnsi="Time New Roman" w:hint="eastAsia"/>
        </w:rPr>
        <w:tab/>
      </w:r>
      <w:r>
        <w:rPr>
          <w:rFonts w:hint="eastAsia"/>
          <w:snapToGrid/>
        </w:rPr>
        <w:t>保护儿童免受经济剥削和社会剥削</w:t>
      </w:r>
      <w:r>
        <w:rPr>
          <w:kern w:val="24"/>
        </w:rPr>
        <w:t>…</w:t>
      </w:r>
      <w:r>
        <w:rPr>
          <w:rFonts w:hint="eastAsia"/>
          <w:kern w:val="24"/>
        </w:rPr>
        <w:t>..</w:t>
      </w:r>
      <w:r>
        <w:rPr>
          <w:rFonts w:hint="eastAsia"/>
          <w:kern w:val="24"/>
        </w:rPr>
        <w:tab/>
      </w:r>
      <w:r>
        <w:rPr>
          <w:rFonts w:hint="eastAsia"/>
          <w:kern w:val="24"/>
        </w:rPr>
        <w:tab/>
        <w:t>463</w:t>
      </w:r>
      <w:r>
        <w:rPr>
          <w:rFonts w:hint="eastAsia"/>
          <w:kern w:val="24"/>
        </w:rPr>
        <w:tab/>
        <w:t>-</w:t>
      </w:r>
      <w:r>
        <w:rPr>
          <w:rFonts w:hint="eastAsia"/>
          <w:kern w:val="24"/>
        </w:rPr>
        <w:tab/>
        <w:t>470</w:t>
      </w:r>
      <w:r>
        <w:rPr>
          <w:rFonts w:hint="eastAsia"/>
          <w:kern w:val="24"/>
        </w:rPr>
        <w:tab/>
        <w:t>93</w:t>
      </w:r>
    </w:p>
    <w:p w:rsidR="00000000" w:rsidRDefault="00000000">
      <w:pPr>
        <w:pStyle w:val="a9"/>
        <w:tabs>
          <w:tab w:val="clear" w:pos="1021"/>
          <w:tab w:val="clear" w:pos="1531"/>
        </w:tabs>
        <w:ind w:left="1148" w:hanging="628"/>
        <w:rPr>
          <w:rFonts w:hint="eastAsia"/>
          <w:kern w:val="24"/>
        </w:rPr>
      </w:pPr>
      <w:r>
        <w:rPr>
          <w:rFonts w:hint="eastAsia"/>
          <w:kern w:val="24"/>
        </w:rPr>
        <w:t>6.</w:t>
      </w:r>
      <w:r>
        <w:rPr>
          <w:kern w:val="24"/>
        </w:rPr>
        <w:t>(a)</w:t>
      </w:r>
      <w:r>
        <w:rPr>
          <w:rFonts w:hint="eastAsia"/>
          <w:kern w:val="24"/>
        </w:rPr>
        <w:tab/>
      </w:r>
      <w:r>
        <w:rPr>
          <w:rFonts w:hint="eastAsia"/>
          <w:kern w:val="24"/>
        </w:rPr>
        <w:t>年龄限制</w:t>
      </w:r>
      <w:r>
        <w:rPr>
          <w:rFonts w:hint="eastAsia"/>
          <w:kern w:val="24"/>
        </w:rPr>
        <w:t>...</w:t>
      </w:r>
      <w:r>
        <w:rPr>
          <w:rFonts w:hint="eastAsia"/>
          <w:kern w:val="24"/>
        </w:rPr>
        <w:tab/>
      </w:r>
      <w:r>
        <w:rPr>
          <w:rFonts w:hint="eastAsia"/>
          <w:kern w:val="24"/>
        </w:rPr>
        <w:tab/>
      </w:r>
      <w:r>
        <w:rPr>
          <w:rFonts w:hint="eastAsia"/>
          <w:kern w:val="24"/>
        </w:rPr>
        <w:tab/>
        <w:t>471</w:t>
      </w:r>
      <w:r>
        <w:rPr>
          <w:rFonts w:hint="eastAsia"/>
          <w:kern w:val="24"/>
        </w:rPr>
        <w:tab/>
        <w:t>94</w:t>
      </w:r>
    </w:p>
    <w:p w:rsidR="00000000" w:rsidRDefault="00000000">
      <w:pPr>
        <w:pStyle w:val="a9"/>
        <w:tabs>
          <w:tab w:val="clear" w:pos="1021"/>
          <w:tab w:val="clear" w:pos="1531"/>
        </w:tabs>
        <w:ind w:left="1148" w:hanging="628"/>
        <w:rPr>
          <w:rFonts w:hint="eastAsia"/>
          <w:kern w:val="24"/>
        </w:rPr>
      </w:pPr>
      <w:r>
        <w:rPr>
          <w:rFonts w:hint="eastAsia"/>
          <w:kern w:val="24"/>
        </w:rPr>
        <w:t>6.</w:t>
      </w:r>
      <w:r>
        <w:rPr>
          <w:kern w:val="24"/>
        </w:rPr>
        <w:t>(b)</w:t>
      </w:r>
      <w:r>
        <w:rPr>
          <w:rFonts w:hint="eastAsia"/>
          <w:kern w:val="24"/>
        </w:rPr>
        <w:tab/>
      </w:r>
      <w:r>
        <w:rPr>
          <w:rFonts w:hint="eastAsia"/>
          <w:kern w:val="24"/>
        </w:rPr>
        <w:t>关于儿童参加有薪劳动的统计数字</w:t>
      </w:r>
      <w:r>
        <w:rPr>
          <w:rFonts w:hint="eastAsia"/>
          <w:kern w:val="24"/>
        </w:rPr>
        <w:t>...</w:t>
      </w:r>
      <w:r>
        <w:rPr>
          <w:rFonts w:hint="eastAsia"/>
          <w:kern w:val="24"/>
        </w:rPr>
        <w:tab/>
      </w:r>
      <w:r>
        <w:rPr>
          <w:rFonts w:hint="eastAsia"/>
          <w:kern w:val="24"/>
        </w:rPr>
        <w:tab/>
      </w:r>
      <w:r>
        <w:rPr>
          <w:rFonts w:hint="eastAsia"/>
          <w:kern w:val="24"/>
        </w:rPr>
        <w:tab/>
      </w:r>
      <w:r>
        <w:rPr>
          <w:rFonts w:hint="eastAsia"/>
          <w:kern w:val="24"/>
        </w:rPr>
        <w:tab/>
      </w:r>
      <w:r>
        <w:rPr>
          <w:rFonts w:hint="eastAsia"/>
          <w:kern w:val="24"/>
        </w:rPr>
        <w:tab/>
        <w:t>94</w:t>
      </w:r>
    </w:p>
    <w:p w:rsidR="00000000" w:rsidRDefault="00000000">
      <w:pPr>
        <w:pStyle w:val="a9"/>
        <w:spacing w:line="324" w:lineRule="auto"/>
        <w:rPr>
          <w:rFonts w:hint="eastAsia"/>
          <w:kern w:val="24"/>
        </w:rPr>
      </w:pPr>
      <w:r>
        <w:rPr>
          <w:rFonts w:hint="eastAsia"/>
          <w:kern w:val="24"/>
        </w:rPr>
        <w:t>第</w:t>
      </w:r>
      <w:r>
        <w:rPr>
          <w:rFonts w:hint="eastAsia"/>
          <w:kern w:val="24"/>
        </w:rPr>
        <w:t>11</w:t>
      </w:r>
      <w:r>
        <w:rPr>
          <w:rFonts w:hint="eastAsia"/>
          <w:kern w:val="24"/>
        </w:rPr>
        <w:t>条</w:t>
      </w:r>
      <w:r>
        <w:rPr>
          <w:kern w:val="24"/>
        </w:rPr>
        <w:t>….</w:t>
      </w:r>
      <w:r>
        <w:rPr>
          <w:rFonts w:hint="eastAsia"/>
          <w:kern w:val="24"/>
        </w:rPr>
        <w:t>.............</w:t>
      </w:r>
      <w:r>
        <w:rPr>
          <w:rFonts w:hint="eastAsia"/>
          <w:kern w:val="24"/>
        </w:rPr>
        <w:tab/>
      </w:r>
      <w:r>
        <w:rPr>
          <w:rFonts w:hint="eastAsia"/>
          <w:kern w:val="24"/>
        </w:rPr>
        <w:tab/>
        <w:t>472</w:t>
      </w:r>
      <w:r>
        <w:rPr>
          <w:rFonts w:hint="eastAsia"/>
          <w:kern w:val="24"/>
        </w:rPr>
        <w:tab/>
        <w:t>-</w:t>
      </w:r>
      <w:r>
        <w:rPr>
          <w:rFonts w:hint="eastAsia"/>
          <w:kern w:val="24"/>
        </w:rPr>
        <w:tab/>
        <w:t>506</w:t>
      </w:r>
      <w:r>
        <w:rPr>
          <w:rFonts w:hint="eastAsia"/>
          <w:kern w:val="24"/>
        </w:rPr>
        <w:tab/>
        <w:t>94</w:t>
      </w:r>
    </w:p>
    <w:p w:rsidR="00000000" w:rsidRDefault="00000000">
      <w:pPr>
        <w:pStyle w:val="a9"/>
        <w:tabs>
          <w:tab w:val="clear" w:pos="1021"/>
          <w:tab w:val="clear" w:pos="1531"/>
        </w:tabs>
        <w:ind w:left="1148" w:hanging="628"/>
        <w:rPr>
          <w:rFonts w:hint="eastAsia"/>
          <w:kern w:val="24"/>
        </w:rPr>
      </w:pPr>
      <w:r>
        <w:rPr>
          <w:rFonts w:hint="eastAsia"/>
          <w:kern w:val="24"/>
        </w:rPr>
        <w:t>1.</w:t>
      </w:r>
      <w:r>
        <w:rPr>
          <w:rFonts w:hint="eastAsia"/>
          <w:kern w:val="24"/>
        </w:rPr>
        <w:tab/>
      </w:r>
      <w:r>
        <w:rPr>
          <w:rFonts w:hint="eastAsia"/>
          <w:kern w:val="24"/>
        </w:rPr>
        <w:t>享受适足生活水平的权利</w:t>
      </w:r>
      <w:r>
        <w:rPr>
          <w:rFonts w:hint="eastAsia"/>
          <w:kern w:val="24"/>
        </w:rPr>
        <w:t>..</w:t>
      </w:r>
      <w:r>
        <w:rPr>
          <w:rFonts w:hint="eastAsia"/>
          <w:kern w:val="24"/>
        </w:rPr>
        <w:tab/>
      </w:r>
      <w:r>
        <w:rPr>
          <w:rFonts w:hint="eastAsia"/>
          <w:kern w:val="24"/>
        </w:rPr>
        <w:tab/>
        <w:t>472</w:t>
      </w:r>
      <w:r>
        <w:rPr>
          <w:rFonts w:hint="eastAsia"/>
          <w:kern w:val="24"/>
        </w:rPr>
        <w:tab/>
        <w:t>-</w:t>
      </w:r>
      <w:r>
        <w:rPr>
          <w:rFonts w:hint="eastAsia"/>
          <w:kern w:val="24"/>
        </w:rPr>
        <w:tab/>
        <w:t>480</w:t>
      </w:r>
      <w:r>
        <w:rPr>
          <w:rFonts w:hint="eastAsia"/>
          <w:kern w:val="24"/>
        </w:rPr>
        <w:tab/>
        <w:t>94</w:t>
      </w:r>
    </w:p>
    <w:p w:rsidR="00000000" w:rsidRDefault="00000000">
      <w:pPr>
        <w:pStyle w:val="a9"/>
        <w:tabs>
          <w:tab w:val="clear" w:pos="1021"/>
          <w:tab w:val="clear" w:pos="1531"/>
        </w:tabs>
        <w:ind w:left="1148" w:hanging="628"/>
        <w:rPr>
          <w:rFonts w:hint="eastAsia"/>
          <w:kern w:val="24"/>
        </w:rPr>
      </w:pPr>
      <w:r>
        <w:rPr>
          <w:rFonts w:hint="eastAsia"/>
          <w:kern w:val="24"/>
        </w:rPr>
        <w:t>3.</w:t>
      </w:r>
      <w:r>
        <w:rPr>
          <w:rFonts w:hint="eastAsia"/>
          <w:kern w:val="24"/>
        </w:rPr>
        <w:tab/>
      </w:r>
      <w:r>
        <w:rPr>
          <w:rFonts w:hint="eastAsia"/>
          <w:kern w:val="24"/>
        </w:rPr>
        <w:t>享受适足住房的权利</w:t>
      </w:r>
      <w:r>
        <w:rPr>
          <w:rFonts w:hint="eastAsia"/>
          <w:kern w:val="24"/>
        </w:rPr>
        <w:t>...</w:t>
      </w:r>
      <w:r>
        <w:rPr>
          <w:rFonts w:hint="eastAsia"/>
          <w:kern w:val="24"/>
        </w:rPr>
        <w:tab/>
      </w:r>
      <w:r>
        <w:rPr>
          <w:rFonts w:hint="eastAsia"/>
          <w:kern w:val="24"/>
        </w:rPr>
        <w:tab/>
        <w:t>481</w:t>
      </w:r>
      <w:r>
        <w:rPr>
          <w:rFonts w:hint="eastAsia"/>
          <w:kern w:val="24"/>
        </w:rPr>
        <w:tab/>
        <w:t>-</w:t>
      </w:r>
      <w:r>
        <w:rPr>
          <w:rFonts w:hint="eastAsia"/>
          <w:kern w:val="24"/>
        </w:rPr>
        <w:tab/>
        <w:t>506</w:t>
      </w:r>
      <w:r>
        <w:rPr>
          <w:rFonts w:hint="eastAsia"/>
          <w:kern w:val="24"/>
        </w:rPr>
        <w:tab/>
        <w:t>96</w:t>
      </w:r>
    </w:p>
    <w:p w:rsidR="00000000" w:rsidRDefault="00000000">
      <w:pPr>
        <w:pStyle w:val="a9"/>
        <w:spacing w:line="324" w:lineRule="auto"/>
        <w:rPr>
          <w:rFonts w:hint="eastAsia"/>
          <w:kern w:val="24"/>
        </w:rPr>
      </w:pPr>
      <w:r>
        <w:rPr>
          <w:rFonts w:hint="eastAsia"/>
          <w:kern w:val="24"/>
        </w:rPr>
        <w:t>第</w:t>
      </w:r>
      <w:r>
        <w:rPr>
          <w:rFonts w:hint="eastAsia"/>
          <w:kern w:val="24"/>
        </w:rPr>
        <w:t>12</w:t>
      </w:r>
      <w:r>
        <w:rPr>
          <w:rFonts w:hint="eastAsia"/>
          <w:kern w:val="24"/>
        </w:rPr>
        <w:t>条</w:t>
      </w:r>
      <w:r>
        <w:rPr>
          <w:kern w:val="24"/>
        </w:rPr>
        <w:t>….</w:t>
      </w:r>
      <w:r>
        <w:rPr>
          <w:rFonts w:hint="eastAsia"/>
          <w:kern w:val="24"/>
        </w:rPr>
        <w:t>.............</w:t>
      </w:r>
      <w:r>
        <w:rPr>
          <w:rFonts w:hint="eastAsia"/>
          <w:kern w:val="24"/>
        </w:rPr>
        <w:tab/>
      </w:r>
      <w:r>
        <w:rPr>
          <w:rFonts w:hint="eastAsia"/>
          <w:kern w:val="24"/>
        </w:rPr>
        <w:tab/>
        <w:t>507</w:t>
      </w:r>
      <w:r>
        <w:rPr>
          <w:rFonts w:hint="eastAsia"/>
          <w:kern w:val="24"/>
        </w:rPr>
        <w:tab/>
        <w:t>-</w:t>
      </w:r>
      <w:r>
        <w:rPr>
          <w:rFonts w:hint="eastAsia"/>
          <w:kern w:val="24"/>
        </w:rPr>
        <w:tab/>
        <w:t>556</w:t>
      </w:r>
      <w:r>
        <w:rPr>
          <w:rFonts w:hint="eastAsia"/>
          <w:kern w:val="24"/>
        </w:rPr>
        <w:tab/>
        <w:t>101</w:t>
      </w:r>
    </w:p>
    <w:p w:rsidR="00000000" w:rsidRDefault="00000000">
      <w:pPr>
        <w:pStyle w:val="a9"/>
        <w:tabs>
          <w:tab w:val="clear" w:pos="1021"/>
          <w:tab w:val="clear" w:pos="1531"/>
        </w:tabs>
        <w:ind w:left="1148" w:hanging="628"/>
        <w:rPr>
          <w:rFonts w:hint="eastAsia"/>
          <w:kern w:val="24"/>
        </w:rPr>
      </w:pPr>
      <w:r>
        <w:rPr>
          <w:rFonts w:hint="eastAsia"/>
          <w:kern w:val="24"/>
        </w:rPr>
        <w:t>1.</w:t>
      </w:r>
      <w:r>
        <w:rPr>
          <w:rFonts w:hint="eastAsia"/>
          <w:kern w:val="24"/>
        </w:rPr>
        <w:tab/>
      </w:r>
      <w:r>
        <w:rPr>
          <w:rFonts w:hint="eastAsia"/>
          <w:kern w:val="24"/>
        </w:rPr>
        <w:t>国民的身体健康和精神健康</w:t>
      </w:r>
      <w:r>
        <w:rPr>
          <w:rFonts w:hint="eastAsia"/>
          <w:kern w:val="24"/>
        </w:rPr>
        <w:t>..</w:t>
      </w:r>
      <w:r>
        <w:rPr>
          <w:rFonts w:hint="eastAsia"/>
          <w:kern w:val="24"/>
        </w:rPr>
        <w:tab/>
      </w:r>
      <w:r>
        <w:rPr>
          <w:rFonts w:hint="eastAsia"/>
          <w:kern w:val="24"/>
        </w:rPr>
        <w:tab/>
        <w:t>507</w:t>
      </w:r>
      <w:r>
        <w:rPr>
          <w:rFonts w:hint="eastAsia"/>
          <w:kern w:val="24"/>
        </w:rPr>
        <w:tab/>
        <w:t>-</w:t>
      </w:r>
      <w:r>
        <w:rPr>
          <w:rFonts w:hint="eastAsia"/>
          <w:kern w:val="24"/>
        </w:rPr>
        <w:tab/>
        <w:t>517</w:t>
      </w:r>
      <w:r>
        <w:rPr>
          <w:rFonts w:hint="eastAsia"/>
          <w:kern w:val="24"/>
        </w:rPr>
        <w:tab/>
        <w:t>101</w:t>
      </w:r>
    </w:p>
    <w:p w:rsidR="00000000" w:rsidRDefault="00000000">
      <w:pPr>
        <w:pStyle w:val="a9"/>
        <w:tabs>
          <w:tab w:val="clear" w:pos="1021"/>
          <w:tab w:val="clear" w:pos="1531"/>
        </w:tabs>
        <w:ind w:left="1148" w:hanging="628"/>
        <w:rPr>
          <w:rFonts w:hint="eastAsia"/>
          <w:kern w:val="24"/>
        </w:rPr>
      </w:pPr>
      <w:r>
        <w:rPr>
          <w:rFonts w:hint="eastAsia"/>
          <w:kern w:val="24"/>
        </w:rPr>
        <w:t>2.</w:t>
      </w:r>
      <w:r>
        <w:rPr>
          <w:rFonts w:hint="eastAsia"/>
          <w:kern w:val="24"/>
        </w:rPr>
        <w:tab/>
      </w:r>
      <w:r>
        <w:rPr>
          <w:rFonts w:hint="eastAsia"/>
          <w:kern w:val="24"/>
        </w:rPr>
        <w:t>国家健康政策</w:t>
      </w:r>
      <w:r>
        <w:rPr>
          <w:rFonts w:hint="eastAsia"/>
          <w:kern w:val="24"/>
        </w:rPr>
        <w:t>...</w:t>
      </w:r>
      <w:r>
        <w:rPr>
          <w:rFonts w:hint="eastAsia"/>
          <w:kern w:val="24"/>
        </w:rPr>
        <w:tab/>
      </w:r>
      <w:r>
        <w:rPr>
          <w:rFonts w:hint="eastAsia"/>
          <w:kern w:val="24"/>
        </w:rPr>
        <w:tab/>
        <w:t>518</w:t>
      </w:r>
      <w:r>
        <w:rPr>
          <w:rFonts w:hint="eastAsia"/>
          <w:kern w:val="24"/>
        </w:rPr>
        <w:tab/>
        <w:t>-</w:t>
      </w:r>
      <w:r>
        <w:rPr>
          <w:rFonts w:hint="eastAsia"/>
          <w:kern w:val="24"/>
        </w:rPr>
        <w:tab/>
        <w:t>523</w:t>
      </w:r>
      <w:r>
        <w:rPr>
          <w:rFonts w:hint="eastAsia"/>
          <w:kern w:val="24"/>
        </w:rPr>
        <w:tab/>
        <w:t>103</w:t>
      </w:r>
    </w:p>
    <w:p w:rsidR="00000000" w:rsidRDefault="00000000">
      <w:pPr>
        <w:pStyle w:val="a9"/>
        <w:tabs>
          <w:tab w:val="clear" w:pos="1021"/>
          <w:tab w:val="clear" w:pos="1531"/>
        </w:tabs>
        <w:ind w:left="1148" w:hanging="628"/>
        <w:rPr>
          <w:rFonts w:hint="eastAsia"/>
          <w:kern w:val="24"/>
        </w:rPr>
      </w:pPr>
      <w:r>
        <w:rPr>
          <w:rFonts w:hint="eastAsia"/>
          <w:kern w:val="24"/>
        </w:rPr>
        <w:t>4.</w:t>
      </w:r>
      <w:r>
        <w:rPr>
          <w:kern w:val="24"/>
        </w:rPr>
        <w:t>(a)</w:t>
      </w:r>
      <w:r>
        <w:rPr>
          <w:rFonts w:hint="eastAsia"/>
          <w:kern w:val="24"/>
        </w:rPr>
        <w:tab/>
      </w:r>
      <w:r>
        <w:rPr>
          <w:rFonts w:hint="eastAsia"/>
          <w:kern w:val="24"/>
        </w:rPr>
        <w:t>婴儿死亡率</w:t>
      </w:r>
      <w:r>
        <w:rPr>
          <w:rFonts w:hint="eastAsia"/>
          <w:kern w:val="24"/>
        </w:rPr>
        <w:t>...</w:t>
      </w:r>
      <w:r>
        <w:rPr>
          <w:rFonts w:hint="eastAsia"/>
          <w:kern w:val="24"/>
        </w:rPr>
        <w:tab/>
      </w:r>
      <w:r>
        <w:rPr>
          <w:rFonts w:hint="eastAsia"/>
          <w:kern w:val="24"/>
        </w:rPr>
        <w:tab/>
        <w:t>524</w:t>
      </w:r>
      <w:r>
        <w:rPr>
          <w:rFonts w:hint="eastAsia"/>
          <w:kern w:val="24"/>
        </w:rPr>
        <w:tab/>
        <w:t>-</w:t>
      </w:r>
      <w:r>
        <w:rPr>
          <w:rFonts w:hint="eastAsia"/>
          <w:kern w:val="24"/>
        </w:rPr>
        <w:tab/>
        <w:t>526</w:t>
      </w:r>
      <w:r>
        <w:rPr>
          <w:rFonts w:hint="eastAsia"/>
          <w:kern w:val="24"/>
        </w:rPr>
        <w:tab/>
        <w:t>104</w:t>
      </w:r>
    </w:p>
    <w:p w:rsidR="00000000" w:rsidRDefault="00000000">
      <w:pPr>
        <w:pStyle w:val="a9"/>
        <w:tabs>
          <w:tab w:val="clear" w:pos="1021"/>
          <w:tab w:val="clear" w:pos="1531"/>
        </w:tabs>
        <w:ind w:left="1148" w:hanging="628"/>
        <w:rPr>
          <w:rFonts w:hint="eastAsia"/>
          <w:kern w:val="24"/>
        </w:rPr>
      </w:pPr>
      <w:r>
        <w:rPr>
          <w:rFonts w:hint="eastAsia"/>
          <w:kern w:val="24"/>
        </w:rPr>
        <w:t>4.</w:t>
      </w:r>
      <w:r>
        <w:rPr>
          <w:kern w:val="24"/>
        </w:rPr>
        <w:t>(b)</w:t>
      </w:r>
      <w:r>
        <w:rPr>
          <w:rFonts w:hint="eastAsia"/>
          <w:kern w:val="24"/>
        </w:rPr>
        <w:tab/>
      </w:r>
      <w:r>
        <w:rPr>
          <w:rFonts w:hint="eastAsia"/>
          <w:kern w:val="24"/>
        </w:rPr>
        <w:t>获得安全饮水</w:t>
      </w:r>
      <w:r>
        <w:rPr>
          <w:rFonts w:hint="eastAsia"/>
          <w:kern w:val="24"/>
        </w:rPr>
        <w:t>...........</w:t>
      </w:r>
      <w:r>
        <w:rPr>
          <w:rFonts w:hint="eastAsia"/>
          <w:kern w:val="24"/>
        </w:rPr>
        <w:tab/>
      </w:r>
      <w:r>
        <w:rPr>
          <w:rFonts w:hint="eastAsia"/>
          <w:kern w:val="24"/>
        </w:rPr>
        <w:tab/>
      </w:r>
      <w:r>
        <w:rPr>
          <w:rFonts w:hint="eastAsia"/>
          <w:kern w:val="24"/>
        </w:rPr>
        <w:tab/>
        <w:t>527</w:t>
      </w:r>
      <w:r>
        <w:rPr>
          <w:rFonts w:hint="eastAsia"/>
          <w:kern w:val="24"/>
        </w:rPr>
        <w:tab/>
        <w:t>104</w:t>
      </w:r>
    </w:p>
    <w:p w:rsidR="00000000" w:rsidRDefault="00000000">
      <w:pPr>
        <w:pStyle w:val="a9"/>
        <w:tabs>
          <w:tab w:val="clear" w:pos="1021"/>
          <w:tab w:val="clear" w:pos="1531"/>
        </w:tabs>
        <w:ind w:left="1148" w:hanging="628"/>
        <w:rPr>
          <w:rFonts w:hint="eastAsia"/>
          <w:kern w:val="24"/>
        </w:rPr>
      </w:pPr>
      <w:r>
        <w:rPr>
          <w:rFonts w:hint="eastAsia"/>
          <w:kern w:val="24"/>
        </w:rPr>
        <w:t>4.</w:t>
      </w:r>
      <w:r>
        <w:rPr>
          <w:kern w:val="24"/>
        </w:rPr>
        <w:t>(c)</w:t>
      </w:r>
      <w:r>
        <w:rPr>
          <w:rFonts w:hint="eastAsia"/>
          <w:kern w:val="24"/>
        </w:rPr>
        <w:tab/>
      </w:r>
      <w:r>
        <w:rPr>
          <w:rFonts w:hint="eastAsia"/>
          <w:kern w:val="24"/>
        </w:rPr>
        <w:t>粪便处理设施</w:t>
      </w:r>
      <w:r>
        <w:rPr>
          <w:rFonts w:hint="eastAsia"/>
          <w:kern w:val="24"/>
        </w:rPr>
        <w:t>..</w:t>
      </w:r>
      <w:r>
        <w:rPr>
          <w:rFonts w:hint="eastAsia"/>
          <w:kern w:val="24"/>
        </w:rPr>
        <w:tab/>
        <w:t>.</w:t>
      </w:r>
      <w:r>
        <w:rPr>
          <w:rFonts w:hint="eastAsia"/>
          <w:kern w:val="24"/>
        </w:rPr>
        <w:tab/>
      </w:r>
      <w:r>
        <w:rPr>
          <w:rFonts w:hint="eastAsia"/>
          <w:kern w:val="24"/>
        </w:rPr>
        <w:tab/>
        <w:t>528</w:t>
      </w:r>
      <w:r>
        <w:rPr>
          <w:rFonts w:hint="eastAsia"/>
          <w:kern w:val="24"/>
        </w:rPr>
        <w:tab/>
        <w:t>105</w:t>
      </w:r>
    </w:p>
    <w:p w:rsidR="00000000" w:rsidRDefault="00000000">
      <w:pPr>
        <w:pStyle w:val="a9"/>
        <w:tabs>
          <w:tab w:val="clear" w:pos="1021"/>
          <w:tab w:val="clear" w:pos="1531"/>
        </w:tabs>
        <w:ind w:left="1148" w:hanging="628"/>
        <w:rPr>
          <w:rFonts w:hint="eastAsia"/>
          <w:kern w:val="24"/>
        </w:rPr>
      </w:pPr>
      <w:r>
        <w:rPr>
          <w:rFonts w:hint="eastAsia"/>
          <w:kern w:val="24"/>
        </w:rPr>
        <w:t>4.</w:t>
      </w:r>
      <w:r>
        <w:rPr>
          <w:kern w:val="24"/>
        </w:rPr>
        <w:t>(d)</w:t>
      </w:r>
      <w:r>
        <w:rPr>
          <w:rFonts w:hint="eastAsia"/>
          <w:kern w:val="24"/>
        </w:rPr>
        <w:tab/>
      </w:r>
      <w:r>
        <w:rPr>
          <w:rFonts w:hint="eastAsia"/>
          <w:kern w:val="24"/>
        </w:rPr>
        <w:t>婴儿免疫</w:t>
      </w:r>
      <w:r>
        <w:rPr>
          <w:rFonts w:hint="eastAsia"/>
          <w:kern w:val="24"/>
        </w:rPr>
        <w:t>.</w:t>
      </w:r>
      <w:r>
        <w:rPr>
          <w:rFonts w:hint="eastAsia"/>
          <w:kern w:val="24"/>
        </w:rPr>
        <w:tab/>
      </w:r>
      <w:r>
        <w:rPr>
          <w:rFonts w:hint="eastAsia"/>
          <w:kern w:val="24"/>
        </w:rPr>
        <w:tab/>
        <w:t>529</w:t>
      </w:r>
      <w:r>
        <w:rPr>
          <w:rFonts w:hint="eastAsia"/>
          <w:kern w:val="24"/>
        </w:rPr>
        <w:tab/>
        <w:t>-</w:t>
      </w:r>
      <w:r>
        <w:rPr>
          <w:rFonts w:hint="eastAsia"/>
          <w:kern w:val="24"/>
        </w:rPr>
        <w:tab/>
        <w:t>530</w:t>
      </w:r>
      <w:r>
        <w:rPr>
          <w:rFonts w:hint="eastAsia"/>
          <w:kern w:val="24"/>
        </w:rPr>
        <w:tab/>
        <w:t>105</w:t>
      </w:r>
    </w:p>
    <w:p w:rsidR="00000000" w:rsidRDefault="00000000">
      <w:pPr>
        <w:pStyle w:val="a9"/>
        <w:tabs>
          <w:tab w:val="clear" w:pos="1021"/>
          <w:tab w:val="clear" w:pos="1531"/>
        </w:tabs>
        <w:ind w:left="1148" w:hanging="628"/>
        <w:rPr>
          <w:rFonts w:hint="eastAsia"/>
          <w:kern w:val="24"/>
        </w:rPr>
      </w:pPr>
      <w:r>
        <w:rPr>
          <w:rFonts w:hint="eastAsia"/>
          <w:kern w:val="24"/>
        </w:rPr>
        <w:t>4.</w:t>
      </w:r>
      <w:r>
        <w:rPr>
          <w:kern w:val="24"/>
        </w:rPr>
        <w:t>(e)</w:t>
      </w:r>
      <w:r>
        <w:rPr>
          <w:rFonts w:hint="eastAsia"/>
          <w:kern w:val="24"/>
        </w:rPr>
        <w:tab/>
      </w:r>
      <w:r>
        <w:rPr>
          <w:rFonts w:hint="eastAsia"/>
          <w:kern w:val="24"/>
        </w:rPr>
        <w:t>预期寿命</w:t>
      </w:r>
      <w:r>
        <w:rPr>
          <w:rFonts w:hint="eastAsia"/>
          <w:kern w:val="24"/>
        </w:rPr>
        <w:t>...</w:t>
      </w:r>
      <w:r>
        <w:rPr>
          <w:rFonts w:hint="eastAsia"/>
          <w:kern w:val="24"/>
        </w:rPr>
        <w:tab/>
      </w:r>
      <w:r>
        <w:rPr>
          <w:rFonts w:hint="eastAsia"/>
          <w:kern w:val="24"/>
        </w:rPr>
        <w:tab/>
        <w:t>531</w:t>
      </w:r>
      <w:r>
        <w:rPr>
          <w:rFonts w:hint="eastAsia"/>
          <w:kern w:val="24"/>
        </w:rPr>
        <w:tab/>
        <w:t>-</w:t>
      </w:r>
      <w:r>
        <w:rPr>
          <w:rFonts w:hint="eastAsia"/>
          <w:kern w:val="24"/>
        </w:rPr>
        <w:tab/>
        <w:t>533</w:t>
      </w:r>
      <w:r>
        <w:rPr>
          <w:rFonts w:hint="eastAsia"/>
          <w:kern w:val="24"/>
        </w:rPr>
        <w:tab/>
        <w:t>105</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(a)</w:t>
      </w:r>
      <w:r>
        <w:rPr>
          <w:rFonts w:hint="eastAsia"/>
          <w:kern w:val="24"/>
        </w:rPr>
        <w:tab/>
      </w:r>
      <w:r>
        <w:rPr>
          <w:rFonts w:hint="eastAsia"/>
          <w:kern w:val="24"/>
        </w:rPr>
        <w:t>各个群体和地区在健康状况方面的差别</w:t>
      </w:r>
      <w:r>
        <w:rPr>
          <w:rFonts w:hint="eastAsia"/>
          <w:kern w:val="24"/>
        </w:rPr>
        <w:t>..</w:t>
      </w:r>
      <w:r>
        <w:rPr>
          <w:rFonts w:hint="eastAsia"/>
          <w:kern w:val="24"/>
        </w:rPr>
        <w:tab/>
      </w:r>
      <w:r>
        <w:rPr>
          <w:rFonts w:hint="eastAsia"/>
          <w:kern w:val="24"/>
        </w:rPr>
        <w:tab/>
        <w:t>534</w:t>
      </w:r>
      <w:r>
        <w:rPr>
          <w:rFonts w:hint="eastAsia"/>
          <w:kern w:val="24"/>
        </w:rPr>
        <w:tab/>
        <w:t>-</w:t>
      </w:r>
      <w:r>
        <w:rPr>
          <w:rFonts w:hint="eastAsia"/>
          <w:kern w:val="24"/>
        </w:rPr>
        <w:tab/>
        <w:t>536</w:t>
      </w:r>
      <w:r>
        <w:rPr>
          <w:rFonts w:hint="eastAsia"/>
          <w:kern w:val="24"/>
        </w:rPr>
        <w:tab/>
        <w:t>108</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(b)(c)</w:t>
      </w:r>
      <w:r>
        <w:rPr>
          <w:rFonts w:hint="eastAsia"/>
          <w:kern w:val="24"/>
        </w:rPr>
        <w:t>和</w:t>
      </w:r>
      <w:r>
        <w:rPr>
          <w:kern w:val="24"/>
        </w:rPr>
        <w:t>(d)</w:t>
      </w:r>
      <w:r>
        <w:rPr>
          <w:rFonts w:hint="eastAsia"/>
          <w:kern w:val="24"/>
        </w:rPr>
        <w:t xml:space="preserve"> </w:t>
      </w:r>
      <w:r>
        <w:rPr>
          <w:rFonts w:hint="eastAsia"/>
          <w:kern w:val="24"/>
        </w:rPr>
        <w:t>为改进处于弱势地位的群体、处于无力地位的群体以及经济状况最差地区人口的健康状况而采取的措施</w:t>
      </w:r>
      <w:r>
        <w:rPr>
          <w:rFonts w:hint="eastAsia"/>
          <w:kern w:val="24"/>
        </w:rPr>
        <w:t>..</w:t>
      </w:r>
      <w:r>
        <w:rPr>
          <w:rFonts w:hint="eastAsia"/>
          <w:kern w:val="24"/>
        </w:rPr>
        <w:tab/>
      </w:r>
      <w:r>
        <w:rPr>
          <w:rFonts w:hint="eastAsia"/>
          <w:kern w:val="24"/>
        </w:rPr>
        <w:tab/>
        <w:t>537</w:t>
      </w:r>
      <w:r>
        <w:rPr>
          <w:rFonts w:hint="eastAsia"/>
          <w:kern w:val="24"/>
        </w:rPr>
        <w:tab/>
        <w:t>-</w:t>
      </w:r>
      <w:r>
        <w:rPr>
          <w:rFonts w:hint="eastAsia"/>
          <w:kern w:val="24"/>
        </w:rPr>
        <w:tab/>
        <w:t>539</w:t>
      </w:r>
      <w:r>
        <w:rPr>
          <w:rFonts w:hint="eastAsia"/>
          <w:kern w:val="24"/>
        </w:rPr>
        <w:tab/>
        <w:t>108</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(e)</w:t>
      </w:r>
      <w:r>
        <w:rPr>
          <w:rFonts w:hint="eastAsia"/>
          <w:kern w:val="24"/>
        </w:rPr>
        <w:tab/>
      </w:r>
      <w:r>
        <w:rPr>
          <w:rFonts w:hint="eastAsia"/>
          <w:kern w:val="24"/>
        </w:rPr>
        <w:t>为减少死产率和婴儿死亡率以及为推动儿童的健康发展而采取的措施</w:t>
      </w:r>
      <w:r>
        <w:rPr>
          <w:rFonts w:hint="eastAsia"/>
          <w:kern w:val="24"/>
        </w:rPr>
        <w:t>..</w:t>
      </w:r>
      <w:r>
        <w:rPr>
          <w:rFonts w:hint="eastAsia"/>
          <w:kern w:val="24"/>
        </w:rPr>
        <w:tab/>
      </w:r>
      <w:r>
        <w:rPr>
          <w:rFonts w:hint="eastAsia"/>
          <w:kern w:val="24"/>
        </w:rPr>
        <w:tab/>
        <w:t>540</w:t>
      </w:r>
      <w:r>
        <w:rPr>
          <w:rFonts w:hint="eastAsia"/>
          <w:kern w:val="24"/>
        </w:rPr>
        <w:tab/>
        <w:t>-</w:t>
      </w:r>
      <w:r>
        <w:rPr>
          <w:rFonts w:hint="eastAsia"/>
          <w:kern w:val="24"/>
        </w:rPr>
        <w:tab/>
        <w:t>543</w:t>
      </w:r>
      <w:r>
        <w:rPr>
          <w:rFonts w:hint="eastAsia"/>
          <w:kern w:val="24"/>
        </w:rPr>
        <w:tab/>
        <w:t>109</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(f)</w:t>
      </w:r>
      <w:r>
        <w:rPr>
          <w:rFonts w:hint="eastAsia"/>
          <w:kern w:val="24"/>
        </w:rPr>
        <w:tab/>
      </w:r>
      <w:r>
        <w:rPr>
          <w:rFonts w:hint="eastAsia"/>
          <w:kern w:val="24"/>
        </w:rPr>
        <w:t>环境卫生和工业卫生</w:t>
      </w:r>
      <w:r>
        <w:rPr>
          <w:rFonts w:hint="eastAsia"/>
          <w:kern w:val="24"/>
        </w:rPr>
        <w:t>...</w:t>
      </w:r>
      <w:r>
        <w:rPr>
          <w:rFonts w:hint="eastAsia"/>
          <w:kern w:val="24"/>
        </w:rPr>
        <w:tab/>
      </w:r>
      <w:r>
        <w:rPr>
          <w:rFonts w:hint="eastAsia"/>
          <w:kern w:val="24"/>
        </w:rPr>
        <w:tab/>
      </w:r>
      <w:r>
        <w:rPr>
          <w:rFonts w:hint="eastAsia"/>
          <w:kern w:val="24"/>
        </w:rPr>
        <w:tab/>
        <w:t>544</w:t>
      </w:r>
      <w:r>
        <w:rPr>
          <w:rFonts w:hint="eastAsia"/>
          <w:kern w:val="24"/>
        </w:rPr>
        <w:tab/>
        <w:t>109</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(g)</w:t>
      </w:r>
      <w:r>
        <w:rPr>
          <w:rFonts w:hint="eastAsia"/>
          <w:kern w:val="24"/>
        </w:rPr>
        <w:tab/>
      </w:r>
      <w:r>
        <w:rPr>
          <w:rFonts w:hint="eastAsia"/>
          <w:kern w:val="24"/>
        </w:rPr>
        <w:t>传染病</w:t>
      </w:r>
      <w:r>
        <w:rPr>
          <w:rFonts w:hint="eastAsia"/>
          <w:kern w:val="24"/>
        </w:rPr>
        <w:t>...</w:t>
      </w:r>
      <w:r>
        <w:rPr>
          <w:rFonts w:hint="eastAsia"/>
          <w:kern w:val="24"/>
        </w:rPr>
        <w:tab/>
      </w:r>
      <w:r>
        <w:rPr>
          <w:rFonts w:hint="eastAsia"/>
          <w:kern w:val="24"/>
        </w:rPr>
        <w:tab/>
        <w:t>545</w:t>
      </w:r>
      <w:r>
        <w:rPr>
          <w:rFonts w:hint="eastAsia"/>
          <w:kern w:val="24"/>
        </w:rPr>
        <w:tab/>
        <w:t>-</w:t>
      </w:r>
      <w:r>
        <w:rPr>
          <w:rFonts w:hint="eastAsia"/>
          <w:kern w:val="24"/>
        </w:rPr>
        <w:tab/>
        <w:t>547</w:t>
      </w:r>
      <w:r>
        <w:rPr>
          <w:rFonts w:hint="eastAsia"/>
          <w:kern w:val="24"/>
        </w:rPr>
        <w:tab/>
        <w:t>110</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(h)</w:t>
      </w:r>
      <w:r>
        <w:rPr>
          <w:rFonts w:hint="eastAsia"/>
          <w:kern w:val="24"/>
        </w:rPr>
        <w:tab/>
      </w:r>
      <w:r>
        <w:rPr>
          <w:rFonts w:hint="eastAsia"/>
          <w:kern w:val="24"/>
        </w:rPr>
        <w:t>为确保所有人都能获得医疗服务和关心而采取的措施</w:t>
      </w:r>
      <w:r>
        <w:rPr>
          <w:rFonts w:hint="eastAsia"/>
          <w:kern w:val="24"/>
        </w:rPr>
        <w:t>...</w:t>
      </w:r>
      <w:r>
        <w:rPr>
          <w:rFonts w:hint="eastAsia"/>
          <w:kern w:val="24"/>
        </w:rPr>
        <w:tab/>
      </w:r>
      <w:r>
        <w:rPr>
          <w:rFonts w:hint="eastAsia"/>
          <w:kern w:val="24"/>
        </w:rPr>
        <w:tab/>
        <w:t>548</w:t>
      </w:r>
      <w:r>
        <w:rPr>
          <w:rFonts w:hint="eastAsia"/>
          <w:kern w:val="24"/>
        </w:rPr>
        <w:tab/>
        <w:t>-</w:t>
      </w:r>
      <w:r>
        <w:rPr>
          <w:rFonts w:hint="eastAsia"/>
          <w:kern w:val="24"/>
        </w:rPr>
        <w:tab/>
        <w:t>556</w:t>
      </w:r>
      <w:r>
        <w:rPr>
          <w:rFonts w:hint="eastAsia"/>
          <w:kern w:val="24"/>
        </w:rPr>
        <w:tab/>
        <w:t>110</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kern w:val="24"/>
        </w:rPr>
      </w:pPr>
      <w:r>
        <w:rPr>
          <w:rFonts w:hint="eastAsia"/>
          <w:kern w:val="24"/>
        </w:rPr>
        <w:t>第</w:t>
      </w:r>
      <w:r>
        <w:rPr>
          <w:rFonts w:hint="eastAsia"/>
          <w:kern w:val="24"/>
        </w:rPr>
        <w:t>13</w:t>
      </w:r>
      <w:r>
        <w:rPr>
          <w:rFonts w:hint="eastAsia"/>
          <w:kern w:val="24"/>
        </w:rPr>
        <w:t>条</w:t>
      </w:r>
      <w:r>
        <w:rPr>
          <w:kern w:val="24"/>
        </w:rPr>
        <w:t>…</w:t>
      </w:r>
      <w:r>
        <w:rPr>
          <w:rFonts w:hint="eastAsia"/>
          <w:kern w:val="24"/>
        </w:rPr>
        <w:t>..............</w:t>
      </w:r>
      <w:r>
        <w:rPr>
          <w:rFonts w:hint="eastAsia"/>
          <w:kern w:val="24"/>
        </w:rPr>
        <w:tab/>
      </w:r>
      <w:r>
        <w:rPr>
          <w:rFonts w:hint="eastAsia"/>
          <w:kern w:val="24"/>
        </w:rPr>
        <w:tab/>
        <w:t>557</w:t>
      </w:r>
      <w:r>
        <w:rPr>
          <w:rFonts w:hint="eastAsia"/>
          <w:kern w:val="24"/>
        </w:rPr>
        <w:tab/>
        <w:t>-</w:t>
      </w:r>
      <w:r>
        <w:rPr>
          <w:rFonts w:hint="eastAsia"/>
          <w:kern w:val="24"/>
        </w:rPr>
        <w:tab/>
        <w:t>601</w:t>
      </w:r>
      <w:r>
        <w:rPr>
          <w:rFonts w:hint="eastAsia"/>
          <w:kern w:val="24"/>
        </w:rPr>
        <w:tab/>
        <w:t>112</w:t>
      </w:r>
    </w:p>
    <w:p w:rsidR="00000000" w:rsidRDefault="00000000">
      <w:pPr>
        <w:pStyle w:val="a9"/>
        <w:rPr>
          <w:rFonts w:hint="eastAsia"/>
          <w:kern w:val="24"/>
        </w:rPr>
      </w:pPr>
      <w:r>
        <w:rPr>
          <w:rFonts w:hint="eastAsia"/>
          <w:kern w:val="24"/>
        </w:rPr>
        <w:t>人人获得教育的权利</w:t>
      </w:r>
      <w:r>
        <w:rPr>
          <w:rFonts w:hint="eastAsia"/>
          <w:kern w:val="24"/>
        </w:rPr>
        <w:t>.............</w:t>
      </w:r>
      <w:r>
        <w:rPr>
          <w:rFonts w:hint="eastAsia"/>
          <w:kern w:val="24"/>
        </w:rPr>
        <w:tab/>
      </w:r>
      <w:r>
        <w:rPr>
          <w:rFonts w:hint="eastAsia"/>
          <w:kern w:val="24"/>
        </w:rPr>
        <w:tab/>
        <w:t>557</w:t>
      </w:r>
      <w:r>
        <w:rPr>
          <w:rFonts w:hint="eastAsia"/>
          <w:kern w:val="24"/>
        </w:rPr>
        <w:tab/>
        <w:t>-</w:t>
      </w:r>
      <w:r>
        <w:rPr>
          <w:rFonts w:hint="eastAsia"/>
          <w:kern w:val="24"/>
        </w:rPr>
        <w:tab/>
        <w:t>566</w:t>
      </w:r>
      <w:r>
        <w:rPr>
          <w:rFonts w:hint="eastAsia"/>
          <w:kern w:val="24"/>
        </w:rPr>
        <w:tab/>
        <w:t>112</w:t>
      </w:r>
    </w:p>
    <w:p w:rsidR="00000000" w:rsidRDefault="00000000">
      <w:pPr>
        <w:pStyle w:val="a9"/>
        <w:tabs>
          <w:tab w:val="clear" w:pos="1021"/>
          <w:tab w:val="clear" w:pos="1531"/>
        </w:tabs>
        <w:ind w:left="1148" w:hanging="628"/>
        <w:rPr>
          <w:rFonts w:hint="eastAsia"/>
          <w:kern w:val="24"/>
        </w:rPr>
      </w:pPr>
      <w:r>
        <w:rPr>
          <w:rFonts w:hint="eastAsia"/>
          <w:kern w:val="24"/>
        </w:rPr>
        <w:t>1.</w:t>
      </w:r>
      <w:r>
        <w:rPr>
          <w:kern w:val="24"/>
        </w:rPr>
        <w:t>(a)</w:t>
      </w:r>
      <w:r>
        <w:rPr>
          <w:rFonts w:hint="eastAsia"/>
          <w:kern w:val="24"/>
        </w:rPr>
        <w:tab/>
      </w:r>
      <w:r>
        <w:rPr>
          <w:rFonts w:hint="eastAsia"/>
          <w:kern w:val="24"/>
        </w:rPr>
        <w:t>初级教育</w:t>
      </w:r>
      <w:r>
        <w:rPr>
          <w:rFonts w:hint="eastAsia"/>
          <w:kern w:val="24"/>
        </w:rPr>
        <w:t>...</w:t>
      </w:r>
      <w:r>
        <w:rPr>
          <w:rFonts w:hint="eastAsia"/>
          <w:kern w:val="24"/>
        </w:rPr>
        <w:tab/>
      </w:r>
      <w:r>
        <w:rPr>
          <w:rFonts w:hint="eastAsia"/>
          <w:kern w:val="24"/>
        </w:rPr>
        <w:tab/>
        <w:t>567</w:t>
      </w:r>
      <w:r>
        <w:rPr>
          <w:rFonts w:hint="eastAsia"/>
          <w:kern w:val="24"/>
        </w:rPr>
        <w:tab/>
        <w:t>-</w:t>
      </w:r>
      <w:r>
        <w:rPr>
          <w:rFonts w:hint="eastAsia"/>
          <w:kern w:val="24"/>
        </w:rPr>
        <w:tab/>
        <w:t>573</w:t>
      </w:r>
      <w:r>
        <w:rPr>
          <w:rFonts w:hint="eastAsia"/>
          <w:kern w:val="24"/>
        </w:rPr>
        <w:tab/>
        <w:t>113</w:t>
      </w:r>
    </w:p>
    <w:p w:rsidR="00000000" w:rsidRDefault="00000000">
      <w:pPr>
        <w:pStyle w:val="a9"/>
        <w:tabs>
          <w:tab w:val="clear" w:pos="1021"/>
          <w:tab w:val="clear" w:pos="1531"/>
        </w:tabs>
        <w:ind w:left="1148" w:hanging="628"/>
        <w:rPr>
          <w:rFonts w:hint="eastAsia"/>
          <w:kern w:val="24"/>
        </w:rPr>
      </w:pPr>
      <w:r>
        <w:rPr>
          <w:rFonts w:hint="eastAsia"/>
          <w:kern w:val="24"/>
        </w:rPr>
        <w:t>1.</w:t>
      </w:r>
      <w:r>
        <w:rPr>
          <w:kern w:val="24"/>
        </w:rPr>
        <w:t>(b)</w:t>
      </w:r>
      <w:r>
        <w:rPr>
          <w:rFonts w:hint="eastAsia"/>
          <w:kern w:val="24"/>
        </w:rPr>
        <w:tab/>
      </w:r>
      <w:r>
        <w:rPr>
          <w:rFonts w:hint="eastAsia"/>
          <w:kern w:val="24"/>
        </w:rPr>
        <w:t>中等教育</w:t>
      </w:r>
      <w:r>
        <w:rPr>
          <w:rFonts w:hint="eastAsia"/>
          <w:kern w:val="24"/>
        </w:rPr>
        <w:t>.</w:t>
      </w:r>
      <w:r>
        <w:rPr>
          <w:rFonts w:hint="eastAsia"/>
          <w:kern w:val="24"/>
        </w:rPr>
        <w:tab/>
      </w:r>
      <w:r>
        <w:rPr>
          <w:rFonts w:hint="eastAsia"/>
          <w:kern w:val="24"/>
        </w:rPr>
        <w:tab/>
        <w:t>574</w:t>
      </w:r>
      <w:r>
        <w:rPr>
          <w:rFonts w:hint="eastAsia"/>
          <w:kern w:val="24"/>
        </w:rPr>
        <w:tab/>
        <w:t>-</w:t>
      </w:r>
      <w:r>
        <w:rPr>
          <w:rFonts w:hint="eastAsia"/>
          <w:kern w:val="24"/>
        </w:rPr>
        <w:tab/>
        <w:t>582</w:t>
      </w:r>
      <w:r>
        <w:rPr>
          <w:rFonts w:hint="eastAsia"/>
          <w:kern w:val="24"/>
        </w:rPr>
        <w:tab/>
        <w:t>114</w:t>
      </w:r>
    </w:p>
    <w:p w:rsidR="00000000" w:rsidRDefault="00000000">
      <w:pPr>
        <w:pStyle w:val="a9"/>
        <w:tabs>
          <w:tab w:val="clear" w:pos="1021"/>
          <w:tab w:val="clear" w:pos="1531"/>
        </w:tabs>
        <w:ind w:left="1148" w:hanging="628"/>
        <w:rPr>
          <w:rFonts w:hint="eastAsia"/>
          <w:kern w:val="24"/>
        </w:rPr>
      </w:pPr>
      <w:r>
        <w:rPr>
          <w:rFonts w:hint="eastAsia"/>
          <w:kern w:val="24"/>
        </w:rPr>
        <w:t>1.</w:t>
      </w:r>
      <w:r>
        <w:rPr>
          <w:kern w:val="24"/>
        </w:rPr>
        <w:t>(c)</w:t>
      </w:r>
      <w:r>
        <w:rPr>
          <w:rFonts w:hint="eastAsia"/>
          <w:kern w:val="24"/>
        </w:rPr>
        <w:tab/>
      </w:r>
      <w:r>
        <w:rPr>
          <w:rFonts w:hint="eastAsia"/>
          <w:kern w:val="24"/>
        </w:rPr>
        <w:t>高等教育</w:t>
      </w:r>
      <w:r>
        <w:rPr>
          <w:rFonts w:hint="eastAsia"/>
          <w:kern w:val="24"/>
        </w:rPr>
        <w:t>....</w:t>
      </w:r>
      <w:r>
        <w:rPr>
          <w:rFonts w:hint="eastAsia"/>
          <w:kern w:val="24"/>
        </w:rPr>
        <w:tab/>
      </w:r>
      <w:r>
        <w:rPr>
          <w:rFonts w:hint="eastAsia"/>
          <w:kern w:val="24"/>
        </w:rPr>
        <w:tab/>
        <w:t>583</w:t>
      </w:r>
      <w:r>
        <w:rPr>
          <w:rFonts w:hint="eastAsia"/>
          <w:kern w:val="24"/>
        </w:rPr>
        <w:tab/>
        <w:t>-</w:t>
      </w:r>
      <w:r>
        <w:rPr>
          <w:rFonts w:hint="eastAsia"/>
          <w:kern w:val="24"/>
        </w:rPr>
        <w:tab/>
        <w:t>585</w:t>
      </w:r>
      <w:r>
        <w:rPr>
          <w:rFonts w:hint="eastAsia"/>
          <w:kern w:val="24"/>
        </w:rPr>
        <w:tab/>
        <w:t>116</w:t>
      </w:r>
    </w:p>
    <w:p w:rsidR="00000000" w:rsidRDefault="00000000">
      <w:pPr>
        <w:pStyle w:val="a9"/>
        <w:tabs>
          <w:tab w:val="clear" w:pos="1021"/>
          <w:tab w:val="clear" w:pos="1531"/>
        </w:tabs>
        <w:ind w:left="1148" w:hanging="628"/>
        <w:rPr>
          <w:rFonts w:hint="eastAsia"/>
          <w:kern w:val="24"/>
        </w:rPr>
      </w:pPr>
      <w:r>
        <w:rPr>
          <w:rFonts w:hint="eastAsia"/>
          <w:kern w:val="24"/>
        </w:rPr>
        <w:t>1.</w:t>
      </w:r>
      <w:r>
        <w:rPr>
          <w:kern w:val="24"/>
        </w:rPr>
        <w:t>(d)</w:t>
      </w:r>
      <w:r>
        <w:rPr>
          <w:rFonts w:hint="eastAsia"/>
          <w:kern w:val="24"/>
        </w:rPr>
        <w:tab/>
      </w:r>
      <w:r>
        <w:rPr>
          <w:rFonts w:hint="eastAsia"/>
          <w:kern w:val="24"/>
        </w:rPr>
        <w:t>为推动完成初级教育而建立基本教育制度的努力</w:t>
      </w:r>
      <w:r>
        <w:rPr>
          <w:rFonts w:hint="eastAsia"/>
          <w:kern w:val="24"/>
        </w:rPr>
        <w:t>...</w:t>
      </w:r>
      <w:r>
        <w:rPr>
          <w:rFonts w:hint="eastAsia"/>
          <w:kern w:val="24"/>
        </w:rPr>
        <w:tab/>
      </w:r>
      <w:r>
        <w:rPr>
          <w:rFonts w:hint="eastAsia"/>
          <w:kern w:val="24"/>
        </w:rPr>
        <w:tab/>
      </w:r>
      <w:r>
        <w:rPr>
          <w:rFonts w:hint="eastAsia"/>
          <w:kern w:val="24"/>
        </w:rPr>
        <w:tab/>
        <w:t>586</w:t>
      </w:r>
      <w:r>
        <w:rPr>
          <w:rFonts w:hint="eastAsia"/>
          <w:kern w:val="24"/>
        </w:rPr>
        <w:tab/>
        <w:t>116</w:t>
      </w:r>
    </w:p>
    <w:p w:rsidR="00000000" w:rsidRDefault="00000000">
      <w:pPr>
        <w:pStyle w:val="a9"/>
        <w:tabs>
          <w:tab w:val="clear" w:pos="1021"/>
          <w:tab w:val="clear" w:pos="1531"/>
        </w:tabs>
        <w:ind w:left="1148" w:hanging="628"/>
        <w:rPr>
          <w:rFonts w:hint="eastAsia"/>
          <w:kern w:val="24"/>
        </w:rPr>
      </w:pPr>
      <w:r>
        <w:rPr>
          <w:rFonts w:hint="eastAsia"/>
          <w:kern w:val="24"/>
        </w:rPr>
        <w:t>4.</w:t>
      </w:r>
      <w:r>
        <w:rPr>
          <w:rFonts w:hint="eastAsia"/>
          <w:kern w:val="24"/>
        </w:rPr>
        <w:tab/>
      </w:r>
      <w:r>
        <w:rPr>
          <w:rFonts w:hint="eastAsia"/>
          <w:kern w:val="24"/>
        </w:rPr>
        <w:t>用于教育的预算</w:t>
      </w:r>
      <w:r>
        <w:rPr>
          <w:rFonts w:hint="eastAsia"/>
          <w:kern w:val="24"/>
        </w:rPr>
        <w:t>..</w:t>
      </w:r>
      <w:r>
        <w:rPr>
          <w:rFonts w:hint="eastAsia"/>
          <w:kern w:val="24"/>
        </w:rPr>
        <w:tab/>
      </w:r>
      <w:r>
        <w:rPr>
          <w:rFonts w:hint="eastAsia"/>
          <w:kern w:val="24"/>
        </w:rPr>
        <w:tab/>
      </w:r>
      <w:r>
        <w:rPr>
          <w:rFonts w:hint="eastAsia"/>
          <w:kern w:val="24"/>
        </w:rPr>
        <w:tab/>
        <w:t>587</w:t>
      </w:r>
      <w:r>
        <w:rPr>
          <w:rFonts w:hint="eastAsia"/>
          <w:kern w:val="24"/>
        </w:rPr>
        <w:tab/>
        <w:t>117</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(a)</w:t>
      </w:r>
      <w:r>
        <w:rPr>
          <w:rFonts w:hint="eastAsia"/>
          <w:kern w:val="24"/>
        </w:rPr>
        <w:tab/>
      </w:r>
      <w:r>
        <w:rPr>
          <w:rFonts w:hint="eastAsia"/>
          <w:kern w:val="24"/>
        </w:rPr>
        <w:t>在各级教育机构中男生和女生的比例</w:t>
      </w:r>
      <w:r>
        <w:rPr>
          <w:rFonts w:hint="eastAsia"/>
          <w:kern w:val="24"/>
        </w:rPr>
        <w:t>..</w:t>
      </w:r>
      <w:r>
        <w:rPr>
          <w:rFonts w:hint="eastAsia"/>
          <w:kern w:val="24"/>
        </w:rPr>
        <w:tab/>
      </w:r>
      <w:r>
        <w:rPr>
          <w:rFonts w:hint="eastAsia"/>
          <w:kern w:val="24"/>
        </w:rPr>
        <w:tab/>
      </w:r>
      <w:r>
        <w:rPr>
          <w:rFonts w:hint="eastAsia"/>
          <w:kern w:val="24"/>
        </w:rPr>
        <w:tab/>
        <w:t>588</w:t>
      </w:r>
      <w:r>
        <w:rPr>
          <w:rFonts w:hint="eastAsia"/>
          <w:kern w:val="24"/>
        </w:rPr>
        <w:tab/>
        <w:t>117</w:t>
      </w:r>
    </w:p>
    <w:p w:rsidR="00000000" w:rsidRDefault="00000000">
      <w:pPr>
        <w:pStyle w:val="a9"/>
        <w:tabs>
          <w:tab w:val="clear" w:pos="1021"/>
          <w:tab w:val="clear" w:pos="1531"/>
        </w:tabs>
        <w:ind w:left="1148" w:hanging="628"/>
        <w:rPr>
          <w:rFonts w:hint="eastAsia"/>
          <w:kern w:val="24"/>
        </w:rPr>
      </w:pPr>
      <w:r>
        <w:rPr>
          <w:rFonts w:hint="eastAsia"/>
          <w:spacing w:val="0"/>
          <w:kern w:val="24"/>
        </w:rPr>
        <w:t>5.</w:t>
      </w:r>
      <w:r>
        <w:rPr>
          <w:spacing w:val="0"/>
          <w:kern w:val="24"/>
        </w:rPr>
        <w:t>(b)</w:t>
      </w:r>
      <w:r>
        <w:rPr>
          <w:rFonts w:hint="eastAsia"/>
          <w:spacing w:val="0"/>
          <w:kern w:val="24"/>
        </w:rPr>
        <w:t>和</w:t>
      </w:r>
      <w:r>
        <w:rPr>
          <w:spacing w:val="0"/>
          <w:kern w:val="24"/>
        </w:rPr>
        <w:t>(c)</w:t>
      </w:r>
      <w:r>
        <w:rPr>
          <w:rFonts w:hint="eastAsia"/>
          <w:spacing w:val="0"/>
          <w:kern w:val="24"/>
          <w:vertAlign w:val="superscript"/>
        </w:rPr>
        <w:t xml:space="preserve">  </w:t>
      </w:r>
      <w:r>
        <w:rPr>
          <w:rFonts w:hint="eastAsia"/>
          <w:spacing w:val="0"/>
          <w:kern w:val="24"/>
        </w:rPr>
        <w:t>弱势群体实际享受教育权利的情况：为在教育方面实施平等原则而采取的行动</w:t>
      </w:r>
      <w:r>
        <w:rPr>
          <w:rFonts w:hint="eastAsia"/>
          <w:kern w:val="24"/>
        </w:rPr>
        <w:t>.............</w:t>
      </w:r>
      <w:r>
        <w:rPr>
          <w:rFonts w:hint="eastAsia"/>
          <w:kern w:val="24"/>
        </w:rPr>
        <w:tab/>
      </w:r>
      <w:r>
        <w:rPr>
          <w:rFonts w:hint="eastAsia"/>
          <w:kern w:val="24"/>
        </w:rPr>
        <w:tab/>
        <w:t>589</w:t>
      </w:r>
      <w:r>
        <w:rPr>
          <w:rFonts w:hint="eastAsia"/>
          <w:kern w:val="24"/>
        </w:rPr>
        <w:tab/>
        <w:t>-</w:t>
      </w:r>
      <w:r>
        <w:rPr>
          <w:rFonts w:hint="eastAsia"/>
          <w:kern w:val="24"/>
        </w:rPr>
        <w:tab/>
        <w:t>598</w:t>
      </w:r>
      <w:r>
        <w:rPr>
          <w:rFonts w:hint="eastAsia"/>
          <w:kern w:val="24"/>
        </w:rPr>
        <w:tab/>
        <w:t>117</w:t>
      </w:r>
    </w:p>
    <w:p w:rsidR="00000000" w:rsidRDefault="00000000">
      <w:pPr>
        <w:pStyle w:val="a9"/>
        <w:tabs>
          <w:tab w:val="clear" w:pos="1021"/>
          <w:tab w:val="clear" w:pos="1531"/>
        </w:tabs>
        <w:ind w:left="1148" w:hanging="628"/>
        <w:rPr>
          <w:rFonts w:hint="eastAsia"/>
          <w:kern w:val="24"/>
        </w:rPr>
      </w:pPr>
      <w:r>
        <w:rPr>
          <w:rFonts w:hint="eastAsia"/>
          <w:kern w:val="24"/>
        </w:rPr>
        <w:t>5.</w:t>
      </w:r>
      <w:r>
        <w:rPr>
          <w:kern w:val="24"/>
        </w:rPr>
        <w:t>(d)</w:t>
      </w:r>
      <w:r>
        <w:rPr>
          <w:rFonts w:hint="eastAsia"/>
          <w:kern w:val="24"/>
        </w:rPr>
        <w:tab/>
      </w:r>
      <w:r>
        <w:rPr>
          <w:rFonts w:hint="eastAsia"/>
          <w:kern w:val="24"/>
        </w:rPr>
        <w:t>语言设施</w:t>
      </w:r>
      <w:r>
        <w:rPr>
          <w:rFonts w:hint="eastAsia"/>
          <w:kern w:val="24"/>
        </w:rPr>
        <w:t>.........</w:t>
      </w:r>
      <w:r>
        <w:rPr>
          <w:rFonts w:hint="eastAsia"/>
          <w:kern w:val="24"/>
        </w:rPr>
        <w:tab/>
      </w:r>
      <w:r>
        <w:rPr>
          <w:rFonts w:hint="eastAsia"/>
          <w:kern w:val="24"/>
        </w:rPr>
        <w:tab/>
        <w:t>599</w:t>
      </w:r>
      <w:r>
        <w:rPr>
          <w:rFonts w:hint="eastAsia"/>
          <w:kern w:val="24"/>
        </w:rPr>
        <w:tab/>
        <w:t>-</w:t>
      </w:r>
      <w:r>
        <w:rPr>
          <w:rFonts w:hint="eastAsia"/>
          <w:kern w:val="24"/>
        </w:rPr>
        <w:tab/>
        <w:t>600</w:t>
      </w:r>
      <w:r>
        <w:rPr>
          <w:rFonts w:hint="eastAsia"/>
          <w:kern w:val="24"/>
        </w:rPr>
        <w:tab/>
        <w:t>119</w:t>
      </w:r>
    </w:p>
    <w:p w:rsidR="00000000" w:rsidRDefault="00000000">
      <w:pPr>
        <w:pStyle w:val="a9"/>
        <w:tabs>
          <w:tab w:val="clear" w:pos="1021"/>
          <w:tab w:val="clear" w:pos="1531"/>
        </w:tabs>
        <w:ind w:left="1148" w:hanging="628"/>
        <w:rPr>
          <w:rFonts w:hint="eastAsia"/>
          <w:kern w:val="24"/>
        </w:rPr>
      </w:pPr>
      <w:r>
        <w:rPr>
          <w:rFonts w:hint="eastAsia"/>
          <w:kern w:val="24"/>
        </w:rPr>
        <w:t>6.</w:t>
      </w:r>
      <w:r>
        <w:rPr>
          <w:rFonts w:hint="eastAsia"/>
          <w:kern w:val="24"/>
        </w:rPr>
        <w:tab/>
      </w:r>
      <w:r>
        <w:rPr>
          <w:rFonts w:hint="eastAsia"/>
          <w:kern w:val="24"/>
        </w:rPr>
        <w:t>改善教员的条件</w:t>
      </w:r>
      <w:r>
        <w:rPr>
          <w:rFonts w:hint="eastAsia"/>
          <w:kern w:val="24"/>
        </w:rPr>
        <w:t>...</w:t>
      </w:r>
      <w:r>
        <w:rPr>
          <w:rFonts w:hint="eastAsia"/>
          <w:kern w:val="24"/>
        </w:rPr>
        <w:tab/>
      </w:r>
      <w:r>
        <w:rPr>
          <w:rFonts w:hint="eastAsia"/>
          <w:kern w:val="24"/>
        </w:rPr>
        <w:tab/>
      </w:r>
      <w:r>
        <w:rPr>
          <w:rFonts w:hint="eastAsia"/>
          <w:kern w:val="24"/>
        </w:rPr>
        <w:tab/>
        <w:t>601</w:t>
      </w:r>
      <w:r>
        <w:rPr>
          <w:rFonts w:hint="eastAsia"/>
          <w:kern w:val="24"/>
        </w:rPr>
        <w:tab/>
        <w:t>119</w:t>
      </w:r>
    </w:p>
    <w:p w:rsidR="00000000" w:rsidRDefault="00000000">
      <w:pPr>
        <w:pStyle w:val="a9"/>
        <w:rPr>
          <w:rFonts w:hint="eastAsia"/>
        </w:rPr>
      </w:pPr>
      <w:r>
        <w:rPr>
          <w:rFonts w:hint="eastAsia"/>
        </w:rPr>
        <w:t>第</w:t>
      </w:r>
      <w:r>
        <w:rPr>
          <w:rFonts w:hint="eastAsia"/>
        </w:rPr>
        <w:t>15</w:t>
      </w:r>
      <w:r>
        <w:rPr>
          <w:rFonts w:hint="eastAsia"/>
        </w:rPr>
        <w:t>条</w:t>
      </w:r>
      <w:r>
        <w:t>….</w:t>
      </w:r>
      <w:r>
        <w:rPr>
          <w:rFonts w:hint="eastAsia"/>
        </w:rPr>
        <w:t>................................................</w:t>
      </w:r>
      <w:r>
        <w:rPr>
          <w:rFonts w:hint="eastAsia"/>
        </w:rPr>
        <w:tab/>
      </w:r>
      <w:r>
        <w:rPr>
          <w:rFonts w:hint="eastAsia"/>
        </w:rPr>
        <w:tab/>
        <w:t>602</w:t>
      </w:r>
      <w:r>
        <w:rPr>
          <w:rFonts w:hint="eastAsia"/>
        </w:rPr>
        <w:tab/>
        <w:t>-</w:t>
      </w:r>
      <w:r>
        <w:rPr>
          <w:rFonts w:hint="eastAsia"/>
        </w:rPr>
        <w:tab/>
        <w:t>627</w:t>
      </w:r>
      <w:r>
        <w:rPr>
          <w:rFonts w:hint="eastAsia"/>
        </w:rPr>
        <w:tab/>
        <w:t>119</w:t>
      </w:r>
    </w:p>
    <w:p w:rsidR="00000000" w:rsidRDefault="00000000">
      <w:pPr>
        <w:pStyle w:val="a9"/>
        <w:tabs>
          <w:tab w:val="clear" w:pos="1021"/>
          <w:tab w:val="clear" w:pos="1531"/>
        </w:tabs>
        <w:ind w:left="1148" w:hanging="628"/>
        <w:rPr>
          <w:rFonts w:hint="eastAsia"/>
        </w:rPr>
      </w:pPr>
      <w:r>
        <w:rPr>
          <w:rFonts w:hint="eastAsia"/>
        </w:rPr>
        <w:t>1.</w:t>
      </w:r>
      <w:r>
        <w:rPr>
          <w:rFonts w:hint="eastAsia"/>
        </w:rPr>
        <w:tab/>
      </w:r>
      <w:r>
        <w:rPr>
          <w:rFonts w:hint="eastAsia"/>
        </w:rPr>
        <w:t>参加文化生活的权利</w:t>
      </w:r>
      <w:r>
        <w:rPr>
          <w:rFonts w:hint="eastAsia"/>
        </w:rPr>
        <w:t>...............</w:t>
      </w:r>
      <w:r>
        <w:rPr>
          <w:rFonts w:hint="eastAsia"/>
        </w:rPr>
        <w:tab/>
      </w:r>
      <w:r>
        <w:rPr>
          <w:rFonts w:hint="eastAsia"/>
        </w:rPr>
        <w:tab/>
        <w:t>602</w:t>
      </w:r>
      <w:r>
        <w:rPr>
          <w:rFonts w:hint="eastAsia"/>
        </w:rPr>
        <w:tab/>
        <w:t>-</w:t>
      </w:r>
      <w:r>
        <w:rPr>
          <w:rFonts w:hint="eastAsia"/>
        </w:rPr>
        <w:tab/>
        <w:t>624</w:t>
      </w:r>
      <w:r>
        <w:rPr>
          <w:rFonts w:hint="eastAsia"/>
        </w:rPr>
        <w:tab/>
        <w:t>119</w:t>
      </w:r>
    </w:p>
    <w:p w:rsidR="00000000" w:rsidRDefault="00000000">
      <w:pPr>
        <w:pStyle w:val="a9"/>
        <w:tabs>
          <w:tab w:val="clear" w:pos="1021"/>
          <w:tab w:val="clear" w:pos="1531"/>
        </w:tabs>
        <w:ind w:left="1148" w:hanging="628"/>
        <w:rPr>
          <w:rFonts w:hint="eastAsia"/>
        </w:rPr>
      </w:pPr>
      <w:r>
        <w:rPr>
          <w:rFonts w:hint="eastAsia"/>
          <w:spacing w:val="0"/>
        </w:rPr>
        <w:t>1.</w:t>
      </w:r>
      <w:r>
        <w:rPr>
          <w:spacing w:val="0"/>
        </w:rPr>
        <w:t>(a)</w:t>
      </w:r>
      <w:r>
        <w:rPr>
          <w:rFonts w:hint="eastAsia"/>
          <w:spacing w:val="0"/>
        </w:rPr>
        <w:t>至</w:t>
      </w:r>
      <w:r>
        <w:rPr>
          <w:spacing w:val="0"/>
        </w:rPr>
        <w:t>(c)</w:t>
      </w:r>
      <w:r>
        <w:rPr>
          <w:rFonts w:hint="eastAsia"/>
          <w:spacing w:val="0"/>
          <w:vertAlign w:val="superscript"/>
        </w:rPr>
        <w:t xml:space="preserve">  </w:t>
      </w:r>
      <w:r>
        <w:rPr>
          <w:rFonts w:hint="eastAsia"/>
          <w:spacing w:val="0"/>
          <w:kern w:val="24"/>
        </w:rPr>
        <w:t>推动</w:t>
      </w:r>
      <w:r>
        <w:rPr>
          <w:rFonts w:hint="eastAsia"/>
          <w:spacing w:val="0"/>
        </w:rPr>
        <w:t>文化发展和民众参加文化活动</w:t>
      </w:r>
      <w:r>
        <w:rPr>
          <w:rFonts w:hint="eastAsia"/>
        </w:rPr>
        <w:t>..........</w:t>
      </w:r>
      <w:r>
        <w:rPr>
          <w:rFonts w:hint="eastAsia"/>
        </w:rPr>
        <w:tab/>
      </w:r>
      <w:r>
        <w:rPr>
          <w:rFonts w:hint="eastAsia"/>
        </w:rPr>
        <w:tab/>
        <w:t>602</w:t>
      </w:r>
      <w:r>
        <w:rPr>
          <w:rFonts w:hint="eastAsia"/>
        </w:rPr>
        <w:tab/>
        <w:t>-</w:t>
      </w:r>
      <w:r>
        <w:rPr>
          <w:rFonts w:hint="eastAsia"/>
        </w:rPr>
        <w:tab/>
        <w:t>618</w:t>
      </w:r>
      <w:r>
        <w:rPr>
          <w:rFonts w:hint="eastAsia"/>
        </w:rPr>
        <w:tab/>
        <w:t>119</w:t>
      </w:r>
    </w:p>
    <w:p w:rsidR="00000000" w:rsidRDefault="00000000">
      <w:pPr>
        <w:pStyle w:val="a9"/>
        <w:tabs>
          <w:tab w:val="clear" w:pos="1021"/>
          <w:tab w:val="left" w:pos="1560"/>
        </w:tabs>
        <w:ind w:left="1300" w:hanging="780"/>
        <w:rPr>
          <w:rFonts w:hint="eastAsia"/>
        </w:rPr>
      </w:pPr>
      <w:r>
        <w:rPr>
          <w:rFonts w:hint="eastAsia"/>
        </w:rPr>
        <w:t>1.</w:t>
      </w:r>
      <w:r>
        <w:t>(d)</w:t>
      </w:r>
      <w:r>
        <w:rPr>
          <w:rFonts w:hint="eastAsia"/>
        </w:rPr>
        <w:tab/>
      </w:r>
      <w:r>
        <w:rPr>
          <w:rFonts w:hint="eastAsia"/>
        </w:rPr>
        <w:t>种族族群、少数民族以及土著人的文化遗产</w:t>
      </w:r>
      <w:r>
        <w:rPr>
          <w:rFonts w:hint="eastAsia"/>
        </w:rPr>
        <w:t>..................</w:t>
      </w:r>
      <w:r>
        <w:rPr>
          <w:rFonts w:hint="eastAsia"/>
        </w:rPr>
        <w:tab/>
      </w:r>
      <w:r>
        <w:rPr>
          <w:rFonts w:hint="eastAsia"/>
        </w:rPr>
        <w:tab/>
        <w:t>619</w:t>
      </w:r>
      <w:r>
        <w:rPr>
          <w:rFonts w:hint="eastAsia"/>
        </w:rPr>
        <w:tab/>
        <w:t>-</w:t>
      </w:r>
      <w:r>
        <w:rPr>
          <w:rFonts w:hint="eastAsia"/>
        </w:rPr>
        <w:tab/>
        <w:t>624</w:t>
      </w:r>
      <w:r>
        <w:rPr>
          <w:rFonts w:hint="eastAsia"/>
        </w:rPr>
        <w:tab/>
        <w:t>122</w:t>
      </w:r>
    </w:p>
    <w:p w:rsidR="00000000" w:rsidRDefault="00000000">
      <w:pPr>
        <w:pStyle w:val="a9"/>
        <w:tabs>
          <w:tab w:val="clear" w:pos="1021"/>
          <w:tab w:val="clear" w:pos="1531"/>
        </w:tabs>
        <w:ind w:left="1148" w:hanging="628"/>
        <w:rPr>
          <w:rFonts w:hint="eastAsia"/>
        </w:rPr>
      </w:pPr>
      <w:r>
        <w:rPr>
          <w:rFonts w:hint="eastAsia"/>
        </w:rPr>
        <w:t>2.</w:t>
      </w:r>
      <w:r>
        <w:rPr>
          <w:rFonts w:hint="eastAsia"/>
        </w:rPr>
        <w:tab/>
      </w:r>
      <w:r>
        <w:rPr>
          <w:rFonts w:hint="eastAsia"/>
        </w:rPr>
        <w:t>所有人都享用科学进步及其应用的成果的权利</w:t>
      </w:r>
      <w:r>
        <w:rPr>
          <w:rFonts w:hint="eastAsia"/>
        </w:rPr>
        <w:t>....................</w:t>
      </w:r>
      <w:r>
        <w:rPr>
          <w:rFonts w:hint="eastAsia"/>
        </w:rPr>
        <w:tab/>
      </w:r>
      <w:r>
        <w:rPr>
          <w:rFonts w:hint="eastAsia"/>
        </w:rPr>
        <w:tab/>
        <w:t>625</w:t>
      </w:r>
      <w:r>
        <w:rPr>
          <w:rFonts w:hint="eastAsia"/>
        </w:rPr>
        <w:tab/>
        <w:t>-</w:t>
      </w:r>
      <w:r>
        <w:rPr>
          <w:rFonts w:hint="eastAsia"/>
        </w:rPr>
        <w:tab/>
        <w:t>627</w:t>
      </w:r>
      <w:r>
        <w:rPr>
          <w:rFonts w:hint="eastAsia"/>
        </w:rPr>
        <w:tab/>
        <w:t>123</w:t>
      </w:r>
    </w:p>
    <w:p w:rsidR="00000000" w:rsidRDefault="00000000">
      <w:pPr>
        <w:pStyle w:val="a9"/>
        <w:tabs>
          <w:tab w:val="clear" w:pos="1021"/>
          <w:tab w:val="clear" w:pos="1531"/>
        </w:tabs>
        <w:ind w:left="1148" w:hanging="628"/>
        <w:rPr>
          <w:rFonts w:hint="eastAsia"/>
        </w:rPr>
      </w:pPr>
      <w:r>
        <w:rPr>
          <w:rFonts w:hint="eastAsia"/>
        </w:rPr>
        <w:t>2.</w:t>
      </w:r>
      <w:r>
        <w:t>(a)</w:t>
      </w:r>
      <w:r>
        <w:rPr>
          <w:rFonts w:hint="eastAsia"/>
        </w:rPr>
        <w:t>和</w:t>
      </w:r>
      <w:r>
        <w:t>(b)</w:t>
      </w:r>
      <w:r>
        <w:rPr>
          <w:rFonts w:hint="eastAsia"/>
          <w:vertAlign w:val="superscript"/>
        </w:rPr>
        <w:t xml:space="preserve">  </w:t>
      </w:r>
      <w:r>
        <w:rPr>
          <w:rFonts w:hint="eastAsia"/>
        </w:rPr>
        <w:t>为</w:t>
      </w:r>
      <w:r>
        <w:rPr>
          <w:rFonts w:hint="eastAsia"/>
          <w:kern w:val="24"/>
        </w:rPr>
        <w:t>确保</w:t>
      </w:r>
      <w:r>
        <w:rPr>
          <w:rFonts w:hint="eastAsia"/>
        </w:rPr>
        <w:t>科学进步的应用有利于所有人以及为推动传播关于科学进步的信息而采取的措施</w:t>
      </w:r>
      <w:r>
        <w:rPr>
          <w:rFonts w:hint="eastAsia"/>
        </w:rPr>
        <w:t>......</w:t>
      </w:r>
      <w:r>
        <w:rPr>
          <w:rFonts w:hint="eastAsia"/>
        </w:rPr>
        <w:tab/>
      </w:r>
      <w:r>
        <w:rPr>
          <w:rFonts w:hint="eastAsia"/>
        </w:rPr>
        <w:tab/>
        <w:t>625</w:t>
      </w:r>
      <w:r>
        <w:rPr>
          <w:rFonts w:hint="eastAsia"/>
        </w:rPr>
        <w:tab/>
        <w:t>-</w:t>
      </w:r>
      <w:r>
        <w:rPr>
          <w:rFonts w:hint="eastAsia"/>
        </w:rPr>
        <w:tab/>
        <w:t>627</w:t>
      </w:r>
      <w:r>
        <w:rPr>
          <w:rFonts w:hint="eastAsia"/>
        </w:rPr>
        <w:tab/>
        <w:t>123</w:t>
      </w:r>
    </w:p>
    <w:p w:rsidR="00000000" w:rsidRDefault="00000000">
      <w:pPr>
        <w:pStyle w:val="a9"/>
        <w:tabs>
          <w:tab w:val="clear" w:pos="1021"/>
          <w:tab w:val="clear" w:pos="1531"/>
        </w:tabs>
        <w:spacing w:after="160"/>
        <w:ind w:left="1148" w:hanging="628"/>
        <w:rPr>
          <w:rFonts w:hint="eastAsia"/>
        </w:rPr>
      </w:pPr>
      <w:r>
        <w:rPr>
          <w:rFonts w:hint="eastAsia"/>
        </w:rPr>
        <w:t>6.</w:t>
      </w:r>
      <w:r>
        <w:rPr>
          <w:rFonts w:hint="eastAsia"/>
        </w:rPr>
        <w:tab/>
      </w:r>
      <w:r>
        <w:rPr>
          <w:rFonts w:hint="eastAsia"/>
        </w:rPr>
        <w:t>国际联系与合作</w:t>
      </w:r>
      <w:r>
        <w:rPr>
          <w:rFonts w:hint="eastAsia"/>
        </w:rPr>
        <w:t>.....</w:t>
      </w:r>
      <w:r>
        <w:rPr>
          <w:rFonts w:hint="eastAsia"/>
        </w:rPr>
        <w:tab/>
      </w:r>
      <w:r>
        <w:rPr>
          <w:rFonts w:hint="eastAsia"/>
        </w:rPr>
        <w:tab/>
        <w:t>628</w:t>
      </w:r>
      <w:r>
        <w:rPr>
          <w:rFonts w:hint="eastAsia"/>
        </w:rPr>
        <w:tab/>
        <w:t>-</w:t>
      </w:r>
      <w:r>
        <w:rPr>
          <w:rFonts w:hint="eastAsia"/>
        </w:rPr>
        <w:tab/>
        <w:t>630</w:t>
      </w:r>
      <w:r>
        <w:rPr>
          <w:rFonts w:hint="eastAsia"/>
        </w:rPr>
        <w:tab/>
        <w:t>123</w:t>
      </w:r>
    </w:p>
    <w:p w:rsidR="00000000" w:rsidRDefault="00000000">
      <w:pPr>
        <w:pStyle w:val="aa"/>
        <w:rPr>
          <w:rFonts w:hint="eastAsia"/>
          <w:kern w:val="24"/>
        </w:rPr>
      </w:pPr>
      <w:r>
        <w:rPr>
          <w:rFonts w:hint="eastAsia"/>
          <w:kern w:val="24"/>
        </w:rPr>
        <w:t>附</w:t>
      </w:r>
      <w:r>
        <w:rPr>
          <w:rFonts w:hint="eastAsia"/>
          <w:kern w:val="24"/>
        </w:rPr>
        <w:t xml:space="preserve">  </w:t>
      </w:r>
      <w:r>
        <w:rPr>
          <w:rFonts w:hint="eastAsia"/>
          <w:kern w:val="24"/>
        </w:rPr>
        <w:t>件</w:t>
      </w:r>
      <w:r>
        <w:rPr>
          <w:kern w:val="24"/>
        </w:rPr>
        <w:t>…</w:t>
      </w:r>
      <w:r>
        <w:rPr>
          <w:rFonts w:hint="eastAsia"/>
          <w:kern w:val="24"/>
        </w:rPr>
        <w:t>...............</w:t>
      </w:r>
      <w:r>
        <w:rPr>
          <w:rFonts w:hint="eastAsia"/>
          <w:kern w:val="24"/>
        </w:rPr>
        <w:tab/>
      </w:r>
      <w:r>
        <w:rPr>
          <w:rFonts w:hint="eastAsia"/>
          <w:kern w:val="24"/>
        </w:rPr>
        <w:tab/>
        <w:t>125</w:t>
      </w:r>
    </w:p>
    <w:p w:rsidR="00000000" w:rsidRDefault="00000000">
      <w:pPr>
        <w:pStyle w:val="Heading2"/>
        <w:rPr>
          <w:rFonts w:ascii="Time New Roman" w:eastAsia="SimHei" w:hAnsi="Time New Roman" w:hint="eastAsia"/>
        </w:rPr>
      </w:pPr>
      <w:r>
        <w:rPr>
          <w:kern w:val="24"/>
        </w:rPr>
        <w:br w:type="page"/>
      </w:r>
      <w:r>
        <w:rPr>
          <w:rFonts w:ascii="Time New Roman" w:eastAsia="SimHei" w:hAnsi="Time New Roman" w:hint="eastAsia"/>
        </w:rPr>
        <w:t>导</w:t>
      </w:r>
      <w:r>
        <w:rPr>
          <w:rFonts w:ascii="Time New Roman" w:eastAsia="SimHei" w:hAnsi="Time New Roman" w:hint="eastAsia"/>
        </w:rPr>
        <w:t xml:space="preserve">  </w:t>
      </w:r>
      <w:r>
        <w:rPr>
          <w:rFonts w:ascii="Time New Roman" w:eastAsia="SimHei" w:hAnsi="Time New Roman" w:hint="eastAsia"/>
        </w:rPr>
        <w:t>言</w:t>
      </w:r>
    </w:p>
    <w:p w:rsidR="00000000" w:rsidRDefault="00000000">
      <w:pPr>
        <w:rPr>
          <w:rFonts w:hint="eastAsia"/>
        </w:rPr>
      </w:pPr>
      <w:r>
        <w:tab/>
      </w:r>
      <w:r>
        <w:rPr>
          <w:rFonts w:hint="eastAsia"/>
        </w:rPr>
        <w:t xml:space="preserve">1.  </w:t>
      </w:r>
      <w:r>
        <w:rPr>
          <w:rFonts w:hint="eastAsia"/>
        </w:rPr>
        <w:t>芬兰政府提交的关于《经济、社会、文化权利国际公约》执行情况的第五次定期报告涉及时间为</w:t>
      </w:r>
      <w:r>
        <w:rPr>
          <w:rFonts w:hint="eastAsia"/>
        </w:rPr>
        <w:t>1999</w:t>
      </w:r>
      <w:r>
        <w:rPr>
          <w:rFonts w:hint="eastAsia"/>
        </w:rPr>
        <w:t>年</w:t>
      </w:r>
      <w:r>
        <w:rPr>
          <w:rFonts w:hint="eastAsia"/>
        </w:rPr>
        <w:t>7</w:t>
      </w:r>
      <w:r>
        <w:rPr>
          <w:rFonts w:hint="eastAsia"/>
        </w:rPr>
        <w:t>月至</w:t>
      </w:r>
      <w:r>
        <w:rPr>
          <w:rFonts w:hint="eastAsia"/>
        </w:rPr>
        <w:t>2005</w:t>
      </w:r>
      <w:r>
        <w:rPr>
          <w:rFonts w:hint="eastAsia"/>
        </w:rPr>
        <w:t>年</w:t>
      </w:r>
      <w:r>
        <w:rPr>
          <w:rFonts w:hint="eastAsia"/>
        </w:rPr>
        <w:t>5</w:t>
      </w:r>
      <w:r>
        <w:rPr>
          <w:rFonts w:hint="eastAsia"/>
        </w:rPr>
        <w:t>月。</w:t>
      </w:r>
    </w:p>
    <w:p w:rsidR="00000000" w:rsidRDefault="00000000">
      <w:pPr>
        <w:rPr>
          <w:rFonts w:hint="eastAsia"/>
        </w:rPr>
      </w:pPr>
      <w:r>
        <w:tab/>
      </w:r>
      <w:r>
        <w:rPr>
          <w:rFonts w:hint="eastAsia"/>
        </w:rPr>
        <w:t xml:space="preserve">2.  </w:t>
      </w:r>
      <w:r>
        <w:rPr>
          <w:rFonts w:hint="eastAsia"/>
        </w:rPr>
        <w:t>芬兰新的宪法已经于</w:t>
      </w:r>
      <w:r>
        <w:rPr>
          <w:rFonts w:hint="eastAsia"/>
        </w:rPr>
        <w:t>2000</w:t>
      </w:r>
      <w:r>
        <w:rPr>
          <w:rFonts w:hint="eastAsia"/>
        </w:rPr>
        <w:t>年</w:t>
      </w:r>
      <w:r>
        <w:rPr>
          <w:rFonts w:hint="eastAsia"/>
        </w:rPr>
        <w:t>3</w:t>
      </w:r>
      <w:r>
        <w:rPr>
          <w:rFonts w:hint="eastAsia"/>
        </w:rPr>
        <w:t>月</w:t>
      </w:r>
      <w:r>
        <w:rPr>
          <w:rFonts w:hint="eastAsia"/>
        </w:rPr>
        <w:t>1</w:t>
      </w:r>
      <w:r>
        <w:rPr>
          <w:rFonts w:hint="eastAsia"/>
        </w:rPr>
        <w:t>日正式生效，其中有关基本权利和自由的规定已经在第三次和第四次定期报告中予以讨论。新的宪法对于《</w:t>
      </w:r>
      <w:r>
        <w:rPr>
          <w:rFonts w:hint="eastAsia"/>
        </w:rPr>
        <w:t>1995</w:t>
      </w:r>
      <w:r>
        <w:rPr>
          <w:rFonts w:hint="eastAsia"/>
        </w:rPr>
        <w:t>年宪法案》中有关基本权利的规定作了修订，使得对于人权的保护从传统的基本权利和自由扩大到了保障事实上的平等以及享有经济、社会和文化权利。</w:t>
      </w:r>
    </w:p>
    <w:p w:rsidR="00000000" w:rsidRDefault="00000000">
      <w:pPr>
        <w:rPr>
          <w:rFonts w:hint="eastAsia"/>
        </w:rPr>
      </w:pPr>
      <w:r>
        <w:rPr>
          <w:rFonts w:hint="eastAsia"/>
        </w:rPr>
        <w:tab/>
        <w:t xml:space="preserve">3.  </w:t>
      </w:r>
      <w:r>
        <w:rPr>
          <w:rFonts w:hint="eastAsia"/>
        </w:rPr>
        <w:t>在社会福利和医疗卫生领域中的国家战略规划体制已经于</w:t>
      </w:r>
      <w:r>
        <w:rPr>
          <w:rFonts w:hint="eastAsia"/>
        </w:rPr>
        <w:t>1999</w:t>
      </w:r>
      <w:r>
        <w:rPr>
          <w:rFonts w:hint="eastAsia"/>
        </w:rPr>
        <w:t>年年初进行了改革，以前每年一次的国家计划已经被四年一次的目标和行动计划所取代，计划年限同政府任期相同。因此，目前的社会福利和医疗卫生目标和行动计划适用于</w:t>
      </w:r>
      <w:r>
        <w:rPr>
          <w:rFonts w:hint="eastAsia"/>
        </w:rPr>
        <w:t>2004-2007</w:t>
      </w:r>
      <w:r>
        <w:rPr>
          <w:rFonts w:hint="eastAsia"/>
        </w:rPr>
        <w:t>年。</w:t>
      </w:r>
    </w:p>
    <w:p w:rsidR="00000000" w:rsidRDefault="00000000">
      <w:pPr>
        <w:rPr>
          <w:rFonts w:hint="eastAsia"/>
        </w:rPr>
      </w:pPr>
      <w:r>
        <w:rPr>
          <w:rFonts w:hint="eastAsia"/>
        </w:rPr>
        <w:tab/>
        <w:t>4.  2001</w:t>
      </w:r>
      <w:r>
        <w:rPr>
          <w:rFonts w:hint="eastAsia"/>
        </w:rPr>
        <w:t>年，社会事务和卫生部通过了又一项战略文书，即《</w:t>
      </w:r>
      <w:r>
        <w:rPr>
          <w:rFonts w:hint="eastAsia"/>
        </w:rPr>
        <w:t>2010</w:t>
      </w:r>
      <w:r>
        <w:rPr>
          <w:rFonts w:hint="eastAsia"/>
        </w:rPr>
        <w:t>年社会保护战略》。议会根据国家预算，就地方社会福利和医疗卫生的资源作出了决定。在本报告所涉期间，已对社会福利和医疗卫生项目的国家补助制度作出了修订，因此，从</w:t>
      </w:r>
      <w:r>
        <w:rPr>
          <w:rFonts w:hint="eastAsia"/>
        </w:rPr>
        <w:t>2003</w:t>
      </w:r>
      <w:r>
        <w:rPr>
          <w:rFonts w:hint="eastAsia"/>
        </w:rPr>
        <w:t>年开始，就能对于旨在促进地方当局和市级联合管理委员会各项服务的项目提供财政支助。</w:t>
      </w:r>
    </w:p>
    <w:p w:rsidR="00000000" w:rsidRDefault="00000000">
      <w:pPr>
        <w:rPr>
          <w:rFonts w:hint="eastAsia"/>
        </w:rPr>
      </w:pPr>
      <w:r>
        <w:rPr>
          <w:rFonts w:hint="eastAsia"/>
        </w:rPr>
        <w:tab/>
        <w:t xml:space="preserve">5.  </w:t>
      </w:r>
      <w:r>
        <w:rPr>
          <w:rFonts w:hint="eastAsia"/>
        </w:rPr>
        <w:t>实际上承担确保福利的巨大责任的是地方当局。以下情况也证明了这一点：有人估计地方当局在</w:t>
      </w:r>
      <w:r>
        <w:rPr>
          <w:rFonts w:hint="eastAsia"/>
        </w:rPr>
        <w:t>2005</w:t>
      </w:r>
      <w:r>
        <w:rPr>
          <w:rFonts w:hint="eastAsia"/>
        </w:rPr>
        <w:t>年社会福利和医疗卫生领域中的开支相当于所有开支总额的</w:t>
      </w:r>
      <w:r>
        <w:rPr>
          <w:rFonts w:hint="eastAsia"/>
        </w:rPr>
        <w:t>75%</w:t>
      </w:r>
      <w:r>
        <w:rPr>
          <w:rFonts w:hint="eastAsia"/>
        </w:rPr>
        <w:t>。</w:t>
      </w:r>
    </w:p>
    <w:p w:rsidR="00000000" w:rsidRDefault="00000000">
      <w:pPr>
        <w:rPr>
          <w:rFonts w:hint="eastAsia"/>
        </w:rPr>
      </w:pPr>
      <w:r>
        <w:rPr>
          <w:rFonts w:hint="eastAsia"/>
        </w:rPr>
        <w:tab/>
        <w:t xml:space="preserve">6.  </w:t>
      </w:r>
      <w:r>
        <w:rPr>
          <w:rFonts w:hint="eastAsia"/>
        </w:rPr>
        <w:t>根据国家同芬兰地区及地方当局协会所作的一项评估</w:t>
      </w:r>
      <w:r>
        <w:rPr>
          <w:rFonts w:hint="eastAsia"/>
        </w:rPr>
        <w:t>(</w:t>
      </w:r>
      <w:r>
        <w:rPr>
          <w:rFonts w:hint="eastAsia"/>
        </w:rPr>
        <w:t>附于国家</w:t>
      </w:r>
      <w:r>
        <w:rPr>
          <w:rFonts w:hint="eastAsia"/>
        </w:rPr>
        <w:t>2006</w:t>
      </w:r>
      <w:r>
        <w:rPr>
          <w:rFonts w:hint="eastAsia"/>
        </w:rPr>
        <w:t>年至</w:t>
      </w:r>
      <w:r>
        <w:rPr>
          <w:rFonts w:hint="eastAsia"/>
        </w:rPr>
        <w:t>2009</w:t>
      </w:r>
      <w:r>
        <w:rPr>
          <w:rFonts w:hint="eastAsia"/>
        </w:rPr>
        <w:t>年开支指导方针</w:t>
      </w:r>
      <w:r>
        <w:rPr>
          <w:rFonts w:hint="eastAsia"/>
        </w:rPr>
        <w:t>)</w:t>
      </w:r>
      <w:r>
        <w:rPr>
          <w:rFonts w:hint="eastAsia"/>
        </w:rPr>
        <w:t>，</w:t>
      </w:r>
      <w:r>
        <w:rPr>
          <w:rFonts w:hint="eastAsia"/>
        </w:rPr>
        <w:t>2004</w:t>
      </w:r>
      <w:r>
        <w:rPr>
          <w:rFonts w:hint="eastAsia"/>
        </w:rPr>
        <w:t>年地方当局同市级联合管理委员会的财政要比预料之中的更加不平衡。据估计，在开支方面的压力会因此而增加。在</w:t>
      </w:r>
      <w:r>
        <w:rPr>
          <w:rFonts w:hint="eastAsia"/>
        </w:rPr>
        <w:t>2005</w:t>
      </w:r>
      <w:r>
        <w:rPr>
          <w:rFonts w:hint="eastAsia"/>
        </w:rPr>
        <w:t>年和</w:t>
      </w:r>
      <w:r>
        <w:rPr>
          <w:rFonts w:hint="eastAsia"/>
        </w:rPr>
        <w:t>2006</w:t>
      </w:r>
      <w:r>
        <w:rPr>
          <w:rFonts w:hint="eastAsia"/>
        </w:rPr>
        <w:t>年，地方当局的财政仍然紧张。由于人口的老化问题，社会福利和医疗卫生部门的开支压力尤其会增加。目前，地方当局是唯一有收支逆差的公共经济部门。</w:t>
      </w:r>
    </w:p>
    <w:p w:rsidR="00000000" w:rsidRDefault="00000000">
      <w:pPr>
        <w:rPr>
          <w:rFonts w:hint="eastAsia"/>
        </w:rPr>
      </w:pPr>
      <w:r>
        <w:rPr>
          <w:rFonts w:hint="eastAsia"/>
        </w:rPr>
        <w:tab/>
        <w:t xml:space="preserve">7.  </w:t>
      </w:r>
      <w:r>
        <w:rPr>
          <w:rFonts w:hint="eastAsia"/>
        </w:rPr>
        <w:t>根据《宪法》第</w:t>
      </w:r>
      <w:r>
        <w:rPr>
          <w:rFonts w:hint="eastAsia"/>
        </w:rPr>
        <w:t>109</w:t>
      </w:r>
      <w:r>
        <w:rPr>
          <w:rFonts w:hint="eastAsia"/>
        </w:rPr>
        <w:t>节的规定，议会监察员的职责包括监督基本权利和人权的执行。评估政府部门是否尊重《宪法》所保障的基本权利和自由以及是否尊重基于国际公约的人权是这种监督的一部分。议会监察员提交议会的报告专门载有关于基本权利和人权的一节。议会监察员还通过，除其他外，向各个部委以及议会各委员会提出意见来提请注意有关的缺陷。议会监察员同非政府组织经常开展对话，其目的是要获得有关实施经济、社会及文化权利的信息。这些非政府组织包括：罗姆人组织、保护残疾人权利组织、儿童组织以及妇女组织。</w:t>
      </w:r>
    </w:p>
    <w:p w:rsidR="00000000" w:rsidRDefault="00000000">
      <w:pPr>
        <w:rPr>
          <w:rFonts w:hint="eastAsia"/>
        </w:rPr>
      </w:pPr>
      <w:r>
        <w:rPr>
          <w:rFonts w:hint="eastAsia"/>
        </w:rPr>
        <w:tab/>
        <w:t xml:space="preserve">8.  </w:t>
      </w:r>
      <w:r>
        <w:rPr>
          <w:rFonts w:hint="eastAsia"/>
        </w:rPr>
        <w:t>《少数人事务监察员法》</w:t>
      </w:r>
      <w:r>
        <w:rPr>
          <w:rFonts w:hint="eastAsia"/>
        </w:rPr>
        <w:t>(660/2001)</w:t>
      </w:r>
      <w:r>
        <w:rPr>
          <w:rFonts w:hint="eastAsia"/>
        </w:rPr>
        <w:t>于</w:t>
      </w:r>
      <w:r>
        <w:rPr>
          <w:rFonts w:hint="eastAsia"/>
        </w:rPr>
        <w:t>2001</w:t>
      </w:r>
      <w:r>
        <w:rPr>
          <w:rFonts w:hint="eastAsia"/>
        </w:rPr>
        <w:t>年</w:t>
      </w:r>
      <w:r>
        <w:rPr>
          <w:rFonts w:hint="eastAsia"/>
        </w:rPr>
        <w:t>9</w:t>
      </w:r>
      <w:r>
        <w:rPr>
          <w:rFonts w:hint="eastAsia"/>
        </w:rPr>
        <w:t>月</w:t>
      </w:r>
      <w:r>
        <w:rPr>
          <w:rFonts w:hint="eastAsia"/>
        </w:rPr>
        <w:t>1</w:t>
      </w:r>
      <w:r>
        <w:rPr>
          <w:rFonts w:hint="eastAsia"/>
        </w:rPr>
        <w:t>日正式生效，取代了以前的《外国人事务监察员法》。少数人事务监察员办公室是一个独立的和公平的机构，其职责包括防止种族歧视、促进良好的种族关系和增进移民和少数的人地位和权利、监测不同种族群体之间的平等以及监测对于不歧视原则的尊重情况。</w:t>
      </w:r>
    </w:p>
    <w:p w:rsidR="00000000" w:rsidRDefault="00000000">
      <w:pPr>
        <w:rPr>
          <w:rFonts w:hint="eastAsia"/>
        </w:rPr>
      </w:pPr>
      <w:r>
        <w:rPr>
          <w:rFonts w:hint="eastAsia"/>
        </w:rPr>
        <w:tab/>
        <w:t xml:space="preserve">9.  </w:t>
      </w:r>
      <w:r>
        <w:rPr>
          <w:rFonts w:hint="eastAsia"/>
        </w:rPr>
        <w:t>根据首相</w:t>
      </w:r>
      <w:r>
        <w:t xml:space="preserve">Matti </w:t>
      </w:r>
      <w:r>
        <w:rPr>
          <w:rFonts w:hint="eastAsia"/>
        </w:rPr>
        <w:t>V</w:t>
      </w:r>
      <w:r>
        <w:t>anhanen</w:t>
      </w:r>
      <w:r>
        <w:rPr>
          <w:rFonts w:hint="eastAsia"/>
        </w:rPr>
        <w:t>政府</w:t>
      </w:r>
      <w:r>
        <w:rPr>
          <w:rFonts w:hint="eastAsia"/>
        </w:rPr>
        <w:t>2003</w:t>
      </w:r>
      <w:r>
        <w:rPr>
          <w:rFonts w:hint="eastAsia"/>
        </w:rPr>
        <w:t>年</w:t>
      </w:r>
      <w:r>
        <w:rPr>
          <w:rFonts w:hint="eastAsia"/>
        </w:rPr>
        <w:t>6</w:t>
      </w:r>
      <w:r>
        <w:rPr>
          <w:rFonts w:hint="eastAsia"/>
        </w:rPr>
        <w:t>月</w:t>
      </w:r>
      <w:r>
        <w:rPr>
          <w:rFonts w:hint="eastAsia"/>
        </w:rPr>
        <w:t>24</w:t>
      </w:r>
      <w:r>
        <w:rPr>
          <w:rFonts w:hint="eastAsia"/>
        </w:rPr>
        <w:t>日的政治纲领，政府计划在其任期结束以前向议会提交一份有关政府残疾人政策的报告。这份报告将涉及所有行政部门。这份报告是由社会事务和卫生部在国家发展社会服务项目的框架内协调编写的。</w:t>
      </w:r>
    </w:p>
    <w:p w:rsidR="00000000" w:rsidRDefault="00000000">
      <w:pPr>
        <w:spacing w:after="320"/>
        <w:rPr>
          <w:rFonts w:hint="eastAsia"/>
        </w:rPr>
      </w:pPr>
      <w:r>
        <w:rPr>
          <w:rFonts w:hint="eastAsia"/>
        </w:rPr>
        <w:tab/>
        <w:t xml:space="preserve">10.  </w:t>
      </w:r>
      <w:r>
        <w:rPr>
          <w:rFonts w:hint="eastAsia"/>
        </w:rPr>
        <w:t>在</w:t>
      </w:r>
      <w:r>
        <w:rPr>
          <w:rFonts w:hint="eastAsia"/>
        </w:rPr>
        <w:t>1998</w:t>
      </w:r>
      <w:r>
        <w:rPr>
          <w:rFonts w:hint="eastAsia"/>
        </w:rPr>
        <w:t>年，议会已经获悉政府人权政策的优先事项。获得这种信息的途径是：开始是外交部向议会外交事务委员会提出报告，后来是政府汇总报告。在编写这份报告的过程中，曾经请工会以及非政府组织就报告所涉期间政府根据《公约》承担义务的执行情况提出意见。</w:t>
      </w:r>
    </w:p>
    <w:p w:rsidR="00000000" w:rsidRDefault="00000000">
      <w:pPr>
        <w:pStyle w:val="Heading3"/>
        <w:spacing w:after="240"/>
        <w:rPr>
          <w:rFonts w:ascii="Time New Roman" w:eastAsia="SimHei" w:hAnsi="Time New Roman"/>
          <w:u w:val="none"/>
        </w:rPr>
      </w:pPr>
      <w:r>
        <w:rPr>
          <w:rFonts w:ascii="Time New Roman" w:eastAsia="SimHei" w:hAnsi="Time New Roman" w:hint="eastAsia"/>
          <w:u w:val="none"/>
        </w:rPr>
        <w:t>委员会的结论性意见</w:t>
      </w:r>
      <w:r>
        <w:rPr>
          <w:rFonts w:ascii="Time New Roman" w:eastAsia="SimHei" w:hAnsi="Time New Roman" w:hint="eastAsia"/>
          <w:u w:val="none"/>
        </w:rPr>
        <w:t>(</w:t>
      </w:r>
      <w:r>
        <w:rPr>
          <w:rFonts w:ascii="Time New Roman" w:eastAsia="SimHei" w:hAnsi="Time New Roman" w:hint="eastAsia"/>
          <w:b/>
          <w:bCs/>
          <w:u w:val="none"/>
        </w:rPr>
        <w:t>01</w:t>
      </w:r>
      <w:r>
        <w:rPr>
          <w:rFonts w:ascii="Time New Roman" w:eastAsia="SimHei" w:hAnsi="Time New Roman" w:hint="eastAsia"/>
          <w:bCs/>
          <w:u w:val="none"/>
        </w:rPr>
        <w:t>/</w:t>
      </w:r>
      <w:r>
        <w:rPr>
          <w:rFonts w:ascii="Time New Roman" w:eastAsia="SimHei" w:hAnsi="Time New Roman" w:hint="eastAsia"/>
          <w:b/>
          <w:bCs/>
          <w:u w:val="none"/>
        </w:rPr>
        <w:t>12</w:t>
      </w:r>
      <w:r>
        <w:rPr>
          <w:rFonts w:ascii="Time New Roman" w:eastAsia="SimHei" w:hAnsi="Time New Roman" w:hint="eastAsia"/>
          <w:bCs/>
          <w:u w:val="none"/>
        </w:rPr>
        <w:t>/</w:t>
      </w:r>
      <w:r>
        <w:rPr>
          <w:rFonts w:ascii="Time New Roman" w:eastAsia="SimHei" w:hAnsi="Time New Roman" w:hint="eastAsia"/>
          <w:b/>
          <w:bCs/>
          <w:u w:val="none"/>
        </w:rPr>
        <w:t>2000</w:t>
      </w:r>
      <w:r>
        <w:rPr>
          <w:rFonts w:ascii="Time New Roman" w:eastAsia="SimHei" w:hAnsi="Time New Roman" w:hint="eastAsia"/>
          <w:bCs/>
          <w:u w:val="none"/>
        </w:rPr>
        <w:t>/</w:t>
      </w:r>
      <w:r>
        <w:rPr>
          <w:rFonts w:ascii="Time New Roman" w:eastAsia="SimHei" w:hAnsi="Time New Roman" w:hint="eastAsia"/>
          <w:b/>
          <w:bCs/>
          <w:u w:val="none"/>
        </w:rPr>
        <w:t>E</w:t>
      </w:r>
      <w:r>
        <w:rPr>
          <w:rFonts w:ascii="Time New Roman" w:eastAsia="SimHei" w:hAnsi="Time New Roman" w:hint="eastAsia"/>
          <w:bCs/>
          <w:u w:val="none"/>
        </w:rPr>
        <w:t>/</w:t>
      </w:r>
      <w:r>
        <w:rPr>
          <w:rFonts w:ascii="Time New Roman" w:eastAsia="SimHei" w:hAnsi="Time New Roman" w:hint="eastAsia"/>
          <w:b/>
          <w:bCs/>
          <w:u w:val="none"/>
        </w:rPr>
        <w:t>C</w:t>
      </w:r>
      <w:r>
        <w:rPr>
          <w:rFonts w:ascii="Time New Roman" w:eastAsia="SimHei" w:hAnsi="Time New Roman" w:hint="eastAsia"/>
          <w:bCs/>
          <w:u w:val="none"/>
        </w:rPr>
        <w:t>.</w:t>
      </w:r>
      <w:r>
        <w:rPr>
          <w:rFonts w:ascii="Time New Roman" w:eastAsia="SimHei" w:hAnsi="Time New Roman" w:hint="eastAsia"/>
          <w:b/>
          <w:bCs/>
          <w:u w:val="none"/>
        </w:rPr>
        <w:t>12</w:t>
      </w:r>
      <w:r>
        <w:rPr>
          <w:rFonts w:ascii="Time New Roman" w:eastAsia="SimHei" w:hAnsi="Time New Roman" w:hint="eastAsia"/>
          <w:bCs/>
          <w:u w:val="none"/>
        </w:rPr>
        <w:t>/</w:t>
      </w:r>
      <w:r>
        <w:rPr>
          <w:rFonts w:ascii="Time New Roman" w:eastAsia="SimHei" w:hAnsi="Time New Roman" w:hint="eastAsia"/>
          <w:b/>
          <w:bCs/>
          <w:u w:val="none"/>
        </w:rPr>
        <w:t>1</w:t>
      </w:r>
      <w:r>
        <w:rPr>
          <w:rFonts w:ascii="Time New Roman" w:eastAsia="SimHei" w:hAnsi="Time New Roman" w:hint="eastAsia"/>
          <w:bCs/>
          <w:u w:val="none"/>
        </w:rPr>
        <w:t>/</w:t>
      </w:r>
      <w:r>
        <w:rPr>
          <w:rFonts w:ascii="Time New Roman" w:eastAsia="SimHei" w:hAnsi="Time New Roman" w:hint="eastAsia"/>
          <w:b/>
          <w:bCs/>
          <w:u w:val="none"/>
        </w:rPr>
        <w:t>A</w:t>
      </w:r>
      <w:r>
        <w:rPr>
          <w:rFonts w:ascii="Time New Roman" w:eastAsia="SimHei" w:hAnsi="Time New Roman"/>
          <w:b/>
          <w:bCs/>
          <w:u w:val="none"/>
        </w:rPr>
        <w:t>dd</w:t>
      </w:r>
      <w:r>
        <w:rPr>
          <w:rFonts w:ascii="Time New Roman" w:eastAsia="SimHei" w:hAnsi="Time New Roman"/>
          <w:bCs/>
          <w:u w:val="none"/>
        </w:rPr>
        <w:t>.</w:t>
      </w:r>
      <w:r>
        <w:rPr>
          <w:rFonts w:ascii="Time New Roman" w:eastAsia="SimHei" w:hAnsi="Time New Roman"/>
          <w:b/>
          <w:bCs/>
          <w:u w:val="none"/>
        </w:rPr>
        <w:t>52</w:t>
      </w:r>
      <w:r>
        <w:rPr>
          <w:rFonts w:ascii="Time New Roman" w:eastAsia="SimHei" w:hAnsi="Time New Roman" w:hint="eastAsia"/>
          <w:bCs/>
          <w:u w:val="none"/>
        </w:rPr>
        <w:t>)</w:t>
      </w:r>
    </w:p>
    <w:p w:rsidR="00000000" w:rsidRDefault="00000000">
      <w:pPr>
        <w:pStyle w:val="Heading3"/>
        <w:spacing w:after="240"/>
        <w:rPr>
          <w:rFonts w:ascii="Time New Roman" w:eastAsia="SimHei" w:hAnsi="Time New Roman" w:hint="eastAsia"/>
          <w:u w:val="none"/>
        </w:rPr>
      </w:pPr>
      <w:r>
        <w:rPr>
          <w:rFonts w:ascii="Time New Roman" w:eastAsia="SimHei" w:hAnsi="Time New Roman"/>
          <w:b/>
          <w:u w:val="none"/>
        </w:rPr>
        <w:t>D</w:t>
      </w:r>
      <w:r>
        <w:rPr>
          <w:rFonts w:ascii="Time New Roman" w:eastAsia="SimHei" w:hAnsi="Time New Roman"/>
          <w:u w:val="none"/>
        </w:rPr>
        <w:t xml:space="preserve">.  </w:t>
      </w:r>
      <w:r>
        <w:rPr>
          <w:rFonts w:ascii="Time New Roman" w:eastAsia="SimHei" w:hAnsi="Time New Roman" w:hint="eastAsia"/>
          <w:u w:val="none"/>
        </w:rPr>
        <w:t>主要的关注问题</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D</w:t>
      </w:r>
      <w:r>
        <w:rPr>
          <w:rFonts w:ascii="Time New Roman" w:eastAsia="SimHei" w:hAnsi="Time New Roman" w:hint="eastAsia"/>
          <w:u w:val="none"/>
        </w:rPr>
        <w:t xml:space="preserve"> </w:t>
      </w:r>
      <w:r>
        <w:rPr>
          <w:rFonts w:ascii="Time New Roman" w:eastAsia="SimHei" w:hAnsi="Time New Roman" w:hint="eastAsia"/>
          <w:b/>
          <w:u w:val="none"/>
        </w:rPr>
        <w:t>12.</w:t>
      </w:r>
      <w:r>
        <w:rPr>
          <w:rFonts w:ascii="Time New Roman" w:eastAsia="SimHei" w:hAnsi="Time New Roman" w:hint="eastAsia"/>
          <w:u w:val="none"/>
        </w:rPr>
        <w:t xml:space="preserve">  </w:t>
      </w:r>
      <w:r>
        <w:rPr>
          <w:rFonts w:ascii="Time New Roman" w:eastAsia="SimHei" w:hAnsi="Time New Roman" w:hint="eastAsia"/>
          <w:u w:val="none"/>
        </w:rPr>
        <w:t>判例法</w:t>
      </w:r>
    </w:p>
    <w:p w:rsidR="00000000" w:rsidRDefault="00000000">
      <w:pPr>
        <w:rPr>
          <w:rFonts w:hint="eastAsia"/>
        </w:rPr>
      </w:pPr>
      <w:r>
        <w:rPr>
          <w:rFonts w:hint="eastAsia"/>
        </w:rPr>
        <w:tab/>
        <w:t xml:space="preserve">11.  </w:t>
      </w:r>
      <w:r>
        <w:rPr>
          <w:rFonts w:hint="eastAsia"/>
        </w:rPr>
        <w:t>委员会对以下情况表示关注：虽然在芬兰的法庭上可能直接援用《公约》，但是没有资料显示曾经有过这种案例。</w:t>
      </w:r>
    </w:p>
    <w:p w:rsidR="00000000" w:rsidRDefault="00000000">
      <w:pPr>
        <w:rPr>
          <w:rFonts w:hint="eastAsia"/>
        </w:rPr>
      </w:pPr>
      <w:r>
        <w:rPr>
          <w:rFonts w:hint="eastAsia"/>
        </w:rPr>
        <w:tab/>
        <w:t xml:space="preserve">12.  </w:t>
      </w:r>
      <w:r>
        <w:rPr>
          <w:rFonts w:hint="eastAsia"/>
        </w:rPr>
        <w:t>政府指出，尽管这种案例不多，但是还是有一些案子明确引用了《公约》。这些案例包括：最高法院</w:t>
      </w:r>
      <w:r>
        <w:rPr>
          <w:rFonts w:hint="eastAsia"/>
        </w:rPr>
        <w:t>1998</w:t>
      </w:r>
      <w:r>
        <w:rPr>
          <w:rFonts w:hint="eastAsia"/>
        </w:rPr>
        <w:t>年</w:t>
      </w:r>
      <w:r>
        <w:rPr>
          <w:rFonts w:hint="eastAsia"/>
        </w:rPr>
        <w:t>6</w:t>
      </w:r>
      <w:r>
        <w:rPr>
          <w:rFonts w:hint="eastAsia"/>
        </w:rPr>
        <w:t>月</w:t>
      </w:r>
      <w:r>
        <w:rPr>
          <w:rFonts w:hint="eastAsia"/>
        </w:rPr>
        <w:t>25</w:t>
      </w:r>
      <w:r>
        <w:rPr>
          <w:rFonts w:hint="eastAsia"/>
        </w:rPr>
        <w:t>日的判例</w:t>
      </w:r>
      <w:r>
        <w:rPr>
          <w:rFonts w:hint="eastAsia"/>
        </w:rPr>
        <w:t>KKO</w:t>
      </w:r>
      <w:r>
        <w:rPr>
          <w:rFonts w:hint="eastAsia"/>
        </w:rPr>
        <w:t>：</w:t>
      </w:r>
      <w:r>
        <w:rPr>
          <w:rFonts w:hint="eastAsia"/>
        </w:rPr>
        <w:t>1998</w:t>
      </w:r>
      <w:r>
        <w:rPr>
          <w:rFonts w:hint="eastAsia"/>
        </w:rPr>
        <w:t>：</w:t>
      </w:r>
      <w:r>
        <w:rPr>
          <w:rFonts w:hint="eastAsia"/>
        </w:rPr>
        <w:t>79</w:t>
      </w:r>
      <w:r>
        <w:rPr>
          <w:rFonts w:hint="eastAsia"/>
        </w:rPr>
        <w:t>、最高行政法院</w:t>
      </w:r>
      <w:r>
        <w:rPr>
          <w:rFonts w:hint="eastAsia"/>
        </w:rPr>
        <w:t>2003</w:t>
      </w:r>
      <w:r>
        <w:rPr>
          <w:rFonts w:hint="eastAsia"/>
        </w:rPr>
        <w:t>年</w:t>
      </w:r>
      <w:r>
        <w:rPr>
          <w:rFonts w:hint="eastAsia"/>
        </w:rPr>
        <w:t>9</w:t>
      </w:r>
      <w:r>
        <w:rPr>
          <w:rFonts w:hint="eastAsia"/>
        </w:rPr>
        <w:t>月</w:t>
      </w:r>
      <w:r>
        <w:rPr>
          <w:rFonts w:hint="eastAsia"/>
        </w:rPr>
        <w:t>5</w:t>
      </w:r>
      <w:r>
        <w:rPr>
          <w:rFonts w:hint="eastAsia"/>
        </w:rPr>
        <w:t>日的判例</w:t>
      </w:r>
      <w:r>
        <w:rPr>
          <w:rFonts w:hint="eastAsia"/>
        </w:rPr>
        <w:t>KHO</w:t>
      </w:r>
      <w:r>
        <w:rPr>
          <w:rFonts w:hint="eastAsia"/>
        </w:rPr>
        <w:t>：</w:t>
      </w:r>
      <w:r>
        <w:rPr>
          <w:rFonts w:hint="eastAsia"/>
        </w:rPr>
        <w:t>2003</w:t>
      </w:r>
      <w:r>
        <w:rPr>
          <w:rFonts w:hint="eastAsia"/>
        </w:rPr>
        <w:t>：</w:t>
      </w:r>
      <w:r>
        <w:rPr>
          <w:rFonts w:hint="eastAsia"/>
        </w:rPr>
        <w:t>58</w:t>
      </w:r>
      <w:r>
        <w:rPr>
          <w:rFonts w:hint="eastAsia"/>
        </w:rPr>
        <w:t>、芬兰中部县级行政法院</w:t>
      </w:r>
      <w:r>
        <w:rPr>
          <w:rFonts w:hint="eastAsia"/>
        </w:rPr>
        <w:t>1997</w:t>
      </w:r>
      <w:r>
        <w:rPr>
          <w:rFonts w:hint="eastAsia"/>
        </w:rPr>
        <w:t>年</w:t>
      </w:r>
      <w:r>
        <w:rPr>
          <w:rFonts w:hint="eastAsia"/>
        </w:rPr>
        <w:t>3</w:t>
      </w:r>
      <w:r>
        <w:rPr>
          <w:rFonts w:hint="eastAsia"/>
        </w:rPr>
        <w:t>月</w:t>
      </w:r>
      <w:r>
        <w:rPr>
          <w:rFonts w:hint="eastAsia"/>
        </w:rPr>
        <w:t>26</w:t>
      </w:r>
      <w:r>
        <w:rPr>
          <w:rFonts w:hint="eastAsia"/>
        </w:rPr>
        <w:t>日的第</w:t>
      </w:r>
      <w:r>
        <w:rPr>
          <w:rFonts w:hint="eastAsia"/>
        </w:rPr>
        <w:t>227</w:t>
      </w:r>
      <w:r>
        <w:rPr>
          <w:rFonts w:hint="eastAsia"/>
        </w:rPr>
        <w:t>号裁决以及劳工法院</w:t>
      </w:r>
      <w:r>
        <w:rPr>
          <w:rFonts w:hint="eastAsia"/>
        </w:rPr>
        <w:t>1995</w:t>
      </w:r>
      <w:r>
        <w:rPr>
          <w:rFonts w:hint="eastAsia"/>
        </w:rPr>
        <w:t>年</w:t>
      </w:r>
      <w:r>
        <w:rPr>
          <w:rFonts w:hint="eastAsia"/>
        </w:rPr>
        <w:t>7</w:t>
      </w:r>
      <w:r>
        <w:rPr>
          <w:rFonts w:hint="eastAsia"/>
        </w:rPr>
        <w:t>月</w:t>
      </w:r>
      <w:r>
        <w:rPr>
          <w:rFonts w:hint="eastAsia"/>
        </w:rPr>
        <w:t>3</w:t>
      </w:r>
      <w:r>
        <w:rPr>
          <w:rFonts w:hint="eastAsia"/>
        </w:rPr>
        <w:t>日的</w:t>
      </w:r>
      <w:r>
        <w:rPr>
          <w:rFonts w:hint="eastAsia"/>
        </w:rPr>
        <w:t>TT</w:t>
      </w:r>
      <w:r>
        <w:rPr>
          <w:rFonts w:hint="eastAsia"/>
        </w:rPr>
        <w:t>：</w:t>
      </w:r>
      <w:r>
        <w:rPr>
          <w:rFonts w:hint="eastAsia"/>
        </w:rPr>
        <w:t>1995-43</w:t>
      </w:r>
      <w:r>
        <w:rPr>
          <w:rFonts w:hint="eastAsia"/>
        </w:rPr>
        <w:t>号裁决。</w:t>
      </w:r>
    </w:p>
    <w:p w:rsidR="00000000" w:rsidRDefault="00000000">
      <w:pPr>
        <w:rPr>
          <w:rFonts w:hint="eastAsia"/>
        </w:rPr>
      </w:pPr>
      <w:r>
        <w:rPr>
          <w:rFonts w:hint="eastAsia"/>
        </w:rPr>
        <w:tab/>
        <w:t xml:space="preserve">13.  </w:t>
      </w:r>
      <w:r>
        <w:rPr>
          <w:rFonts w:hint="eastAsia"/>
        </w:rPr>
        <w:t>引用《公约》以及其他国际人权公约的数目很少，可能是由于案子是根据同国际人权承诺相符合的有关国内法律裁决的，因此就认为没有必要明确提到人权公约的某项规定。然而，在那些被发现国内法律同国际人权公约发生抵触的案件中，可能会引用那些公约</w:t>
      </w:r>
      <w:r>
        <w:rPr>
          <w:rFonts w:hint="eastAsia"/>
        </w:rPr>
        <w:t>(</w:t>
      </w:r>
      <w:r>
        <w:rPr>
          <w:rFonts w:hint="eastAsia"/>
        </w:rPr>
        <w:t>包括其判例法</w:t>
      </w:r>
      <w:r>
        <w:rPr>
          <w:rFonts w:hint="eastAsia"/>
        </w:rPr>
        <w:t>)</w:t>
      </w:r>
      <w:r>
        <w:rPr>
          <w:rFonts w:hint="eastAsia"/>
        </w:rPr>
        <w:t>作为裁决的依据。</w:t>
      </w:r>
    </w:p>
    <w:p w:rsidR="00000000" w:rsidRDefault="00000000">
      <w:pPr>
        <w:spacing w:after="240"/>
        <w:rPr>
          <w:rFonts w:hint="eastAsia"/>
        </w:rPr>
      </w:pPr>
      <w:r>
        <w:rPr>
          <w:rFonts w:hint="eastAsia"/>
        </w:rPr>
        <w:tab/>
        <w:t xml:space="preserve">14.  </w:t>
      </w:r>
      <w:r>
        <w:rPr>
          <w:rFonts w:hint="eastAsia"/>
        </w:rPr>
        <w:t>关于《公约》以及一般人权的培训问题，在下文</w:t>
      </w:r>
      <w:r>
        <w:rPr>
          <w:rFonts w:hint="eastAsia"/>
        </w:rPr>
        <w:t>E22</w:t>
      </w:r>
      <w:r>
        <w:rPr>
          <w:rFonts w:hint="eastAsia"/>
        </w:rPr>
        <w:t>委员会的建议中将予以讨论。</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D14.</w:t>
      </w:r>
      <w:r>
        <w:rPr>
          <w:rFonts w:ascii="Time New Roman" w:eastAsia="SimHei" w:hAnsi="Time New Roman" w:hint="eastAsia"/>
          <w:u w:val="none"/>
        </w:rPr>
        <w:t xml:space="preserve">  </w:t>
      </w:r>
      <w:r>
        <w:rPr>
          <w:rFonts w:ascii="Time New Roman" w:eastAsia="SimHei" w:hAnsi="Time New Roman" w:hint="eastAsia"/>
          <w:u w:val="none"/>
        </w:rPr>
        <w:t>种族主义态度</w:t>
      </w:r>
    </w:p>
    <w:p w:rsidR="00000000" w:rsidRDefault="00000000">
      <w:pPr>
        <w:rPr>
          <w:rFonts w:hint="eastAsia"/>
        </w:rPr>
      </w:pPr>
      <w:r>
        <w:rPr>
          <w:rFonts w:hint="eastAsia"/>
        </w:rPr>
        <w:tab/>
        <w:t xml:space="preserve">15.  </w:t>
      </w:r>
      <w:r>
        <w:rPr>
          <w:rFonts w:hint="eastAsia"/>
        </w:rPr>
        <w:t>委员会遗憾地指出芬兰人的种族主义态度相当普遍。</w:t>
      </w:r>
    </w:p>
    <w:p w:rsidR="00000000" w:rsidRDefault="00000000">
      <w:pPr>
        <w:rPr>
          <w:rFonts w:hint="eastAsia"/>
        </w:rPr>
      </w:pPr>
      <w:r>
        <w:rPr>
          <w:rFonts w:hint="eastAsia"/>
        </w:rPr>
        <w:tab/>
        <w:t xml:space="preserve">16.  </w:t>
      </w:r>
      <w:r>
        <w:rPr>
          <w:rFonts w:hint="eastAsia"/>
        </w:rPr>
        <w:t>有关平等和禁止歧视的法律规定在芬兰的基本权利制度中发挥重要作用。</w:t>
      </w:r>
    </w:p>
    <w:p w:rsidR="00000000" w:rsidRDefault="00000000">
      <w:pPr>
        <w:rPr>
          <w:rFonts w:hint="eastAsia"/>
        </w:rPr>
      </w:pPr>
      <w:r>
        <w:rPr>
          <w:rFonts w:hint="eastAsia"/>
        </w:rPr>
        <w:tab/>
        <w:t xml:space="preserve">17.  </w:t>
      </w:r>
      <w:r>
        <w:rPr>
          <w:rFonts w:hint="eastAsia"/>
        </w:rPr>
        <w:t>芬兰宪法</w:t>
      </w:r>
      <w:r>
        <w:rPr>
          <w:rFonts w:hint="eastAsia"/>
        </w:rPr>
        <w:t>(731/1999)</w:t>
      </w:r>
      <w:r>
        <w:rPr>
          <w:rFonts w:hint="eastAsia"/>
        </w:rPr>
        <w:t>第</w:t>
      </w:r>
      <w:r>
        <w:rPr>
          <w:rFonts w:hint="eastAsia"/>
        </w:rPr>
        <w:t>6</w:t>
      </w:r>
      <w:r>
        <w:rPr>
          <w:rFonts w:hint="eastAsia"/>
        </w:rPr>
        <w:t>节第</w:t>
      </w:r>
      <w:r>
        <w:rPr>
          <w:rFonts w:hint="eastAsia"/>
        </w:rPr>
        <w:t>2</w:t>
      </w:r>
      <w:r>
        <w:rPr>
          <w:rFonts w:hint="eastAsia"/>
        </w:rPr>
        <w:t>小节载有关于禁止歧视的规定：如果没有可以接受的理由，不得以性别、年龄、出身、语言、宗教、信念、意见、健康、残疾以及涉及其人身的任何其他理由对任何人加以区别对待。然而，没有详细列出禁止歧视的理由。</w:t>
      </w:r>
    </w:p>
    <w:p w:rsidR="00000000" w:rsidRDefault="00000000">
      <w:pPr>
        <w:rPr>
          <w:rFonts w:hint="eastAsia"/>
        </w:rPr>
      </w:pPr>
      <w:r>
        <w:rPr>
          <w:rFonts w:hint="eastAsia"/>
        </w:rPr>
        <w:tab/>
        <w:t xml:space="preserve">18.  </w:t>
      </w:r>
      <w:r>
        <w:rPr>
          <w:rFonts w:hint="eastAsia"/>
        </w:rPr>
        <w:t>将同下文第</w:t>
      </w:r>
      <w:r>
        <w:rPr>
          <w:rFonts w:hint="eastAsia"/>
        </w:rPr>
        <w:t>2</w:t>
      </w:r>
      <w:r>
        <w:rPr>
          <w:rFonts w:hint="eastAsia"/>
        </w:rPr>
        <w:t>条一起讨论新的《禁止歧视法》</w:t>
      </w:r>
      <w:r>
        <w:rPr>
          <w:rFonts w:hint="eastAsia"/>
        </w:rPr>
        <w:t>(21/2004)</w:t>
      </w:r>
      <w:r>
        <w:rPr>
          <w:rFonts w:hint="eastAsia"/>
        </w:rPr>
        <w:t>的有关规定。</w:t>
      </w:r>
    </w:p>
    <w:p w:rsidR="00000000" w:rsidRDefault="00000000">
      <w:pPr>
        <w:rPr>
          <w:rFonts w:hint="eastAsia"/>
        </w:rPr>
      </w:pPr>
      <w:r>
        <w:rPr>
          <w:rFonts w:hint="eastAsia"/>
        </w:rPr>
        <w:tab/>
        <w:t xml:space="preserve">19.  </w:t>
      </w:r>
      <w:r>
        <w:rPr>
          <w:rFonts w:hint="eastAsia"/>
        </w:rPr>
        <w:t>有关判刑的《刑法》第</w:t>
      </w:r>
      <w:r>
        <w:rPr>
          <w:rFonts w:hint="eastAsia"/>
        </w:rPr>
        <w:t>6</w:t>
      </w:r>
      <w:r>
        <w:rPr>
          <w:rFonts w:hint="eastAsia"/>
        </w:rPr>
        <w:t>章的规定已经修订，因此，如果犯罪是出于种族主义动机，就可能加重惩罚</w:t>
      </w:r>
      <w:r>
        <w:rPr>
          <w:rFonts w:hint="eastAsia"/>
        </w:rPr>
        <w:t>(</w:t>
      </w:r>
      <w:r>
        <w:rPr>
          <w:rFonts w:hint="eastAsia"/>
        </w:rPr>
        <w:t>这项法案修订了《刑法》，</w:t>
      </w:r>
      <w:r>
        <w:rPr>
          <w:rFonts w:hint="eastAsia"/>
        </w:rPr>
        <w:t>515/2003)</w:t>
      </w:r>
      <w:r>
        <w:rPr>
          <w:rFonts w:hint="eastAsia"/>
        </w:rPr>
        <w:t>。根据其中第</w:t>
      </w:r>
      <w:r>
        <w:rPr>
          <w:rFonts w:hint="eastAsia"/>
        </w:rPr>
        <w:t>5</w:t>
      </w:r>
      <w:r>
        <w:rPr>
          <w:rFonts w:hint="eastAsia"/>
        </w:rPr>
        <w:t>节第</w:t>
      </w:r>
      <w:r>
        <w:rPr>
          <w:rFonts w:hint="eastAsia"/>
        </w:rPr>
        <w:t>4</w:t>
      </w:r>
      <w:r>
        <w:rPr>
          <w:rFonts w:hint="eastAsia"/>
        </w:rPr>
        <w:t>段的规定，如果是出于民族或者种族的原因而侵犯某人，就有可能加重刑罚。这项规定于</w:t>
      </w:r>
      <w:r>
        <w:rPr>
          <w:rFonts w:hint="eastAsia"/>
        </w:rPr>
        <w:t>2004</w:t>
      </w:r>
      <w:r>
        <w:rPr>
          <w:rFonts w:hint="eastAsia"/>
        </w:rPr>
        <w:t>年</w:t>
      </w:r>
      <w:r>
        <w:rPr>
          <w:rFonts w:hint="eastAsia"/>
        </w:rPr>
        <w:t>1</w:t>
      </w:r>
      <w:r>
        <w:rPr>
          <w:rFonts w:hint="eastAsia"/>
        </w:rPr>
        <w:t>月</w:t>
      </w:r>
      <w:r>
        <w:rPr>
          <w:rFonts w:hint="eastAsia"/>
        </w:rPr>
        <w:t>1</w:t>
      </w:r>
      <w:r>
        <w:rPr>
          <w:rFonts w:hint="eastAsia"/>
        </w:rPr>
        <w:t>日正式生效。</w:t>
      </w:r>
    </w:p>
    <w:p w:rsidR="00000000" w:rsidRDefault="00000000">
      <w:pPr>
        <w:rPr>
          <w:rFonts w:hint="eastAsia"/>
        </w:rPr>
      </w:pPr>
      <w:r>
        <w:rPr>
          <w:rFonts w:hint="eastAsia"/>
        </w:rPr>
        <w:tab/>
        <w:t xml:space="preserve">20.  </w:t>
      </w:r>
      <w:r>
        <w:rPr>
          <w:rFonts w:hint="eastAsia"/>
        </w:rPr>
        <w:t>政府在制定上述规定的法案的解释部分中指出，由于社会的变革，在一些国家中种族主义和仇外心理的表现日益明显。人们认为，必须通过刑法对于这一问题作出反应，因为表达种族主义和仇外心理的态度和观点本身就包含着犯罪的因素。人们在以下问题上的看法日益趋向一致：出于上述动机的罪行应该受到更为严厉的惩罚。在芬兰，这种罪行是特别针对难民和移民的，但是其动机也可能涉及受害人的宗教或者种族</w:t>
      </w:r>
      <w:r>
        <w:rPr>
          <w:rFonts w:hint="eastAsia"/>
        </w:rPr>
        <w:t>(</w:t>
      </w:r>
      <w:r>
        <w:rPr>
          <w:rFonts w:hint="eastAsia"/>
        </w:rPr>
        <w:t>政府法案</w:t>
      </w:r>
      <w:r>
        <w:rPr>
          <w:rFonts w:hint="eastAsia"/>
        </w:rPr>
        <w:t>44/2002)</w:t>
      </w:r>
      <w:r>
        <w:rPr>
          <w:rFonts w:hint="eastAsia"/>
        </w:rPr>
        <w:t>。</w:t>
      </w:r>
    </w:p>
    <w:p w:rsidR="00000000" w:rsidRDefault="00000000">
      <w:pPr>
        <w:rPr>
          <w:rFonts w:hint="eastAsia"/>
        </w:rPr>
      </w:pPr>
      <w:r>
        <w:rPr>
          <w:rFonts w:hint="eastAsia"/>
        </w:rPr>
        <w:tab/>
        <w:t xml:space="preserve">21.  </w:t>
      </w:r>
      <w:r>
        <w:rPr>
          <w:rFonts w:hint="eastAsia"/>
        </w:rPr>
        <w:t>《刑法》第</w:t>
      </w:r>
      <w:r>
        <w:rPr>
          <w:rFonts w:hint="eastAsia"/>
        </w:rPr>
        <w:t>47</w:t>
      </w:r>
      <w:r>
        <w:rPr>
          <w:rFonts w:hint="eastAsia"/>
        </w:rPr>
        <w:t>章第</w:t>
      </w:r>
      <w:r>
        <w:rPr>
          <w:rFonts w:hint="eastAsia"/>
        </w:rPr>
        <w:t>3</w:t>
      </w:r>
      <w:r>
        <w:rPr>
          <w:rFonts w:hint="eastAsia"/>
        </w:rPr>
        <w:t>节</w:t>
      </w:r>
      <w:r>
        <w:rPr>
          <w:rFonts w:hint="eastAsia"/>
        </w:rPr>
        <w:t>(578/1995)</w:t>
      </w:r>
      <w:r>
        <w:rPr>
          <w:rFonts w:hint="eastAsia"/>
        </w:rPr>
        <w:t>涉及就业方面的罪行，其中有一项具体规定禁止在工作方面的歧视。根据这项规定，如果雇主或其代表在刊登广告招聘或者选择员工时，或者在雇用期间，由于种族、原籍、肤色、语言、性别、年龄、关系、性取向或者健康状况的原因，在没有重要而正当的理由的情况下将一名求职者或者雇员降级使用，应以工作歧视罪处以罚款或者处以</w:t>
      </w:r>
      <w:r>
        <w:rPr>
          <w:rFonts w:hint="eastAsia"/>
        </w:rPr>
        <w:t>6</w:t>
      </w:r>
      <w:r>
        <w:rPr>
          <w:rFonts w:hint="eastAsia"/>
        </w:rPr>
        <w:t>个月以下的徒刑。</w:t>
      </w:r>
    </w:p>
    <w:p w:rsidR="00000000" w:rsidRDefault="00000000">
      <w:pPr>
        <w:rPr>
          <w:rFonts w:hint="eastAsia"/>
        </w:rPr>
      </w:pPr>
      <w:r>
        <w:rPr>
          <w:rFonts w:hint="eastAsia"/>
        </w:rPr>
        <w:tab/>
        <w:t xml:space="preserve">22.  </w:t>
      </w:r>
      <w:r>
        <w:rPr>
          <w:rFonts w:hint="eastAsia"/>
        </w:rPr>
        <w:t>由于通过了目前的《外国人法》，在有关禁止工作歧视的《刑法》第</w:t>
      </w:r>
      <w:r>
        <w:rPr>
          <w:rFonts w:hint="eastAsia"/>
        </w:rPr>
        <w:t>47</w:t>
      </w:r>
      <w:r>
        <w:rPr>
          <w:rFonts w:hint="eastAsia"/>
        </w:rPr>
        <w:t>章第</w:t>
      </w:r>
      <w:r>
        <w:rPr>
          <w:rFonts w:hint="eastAsia"/>
        </w:rPr>
        <w:t>3</w:t>
      </w:r>
      <w:r>
        <w:rPr>
          <w:rFonts w:hint="eastAsia"/>
        </w:rPr>
        <w:t>节中又加入了国籍，并以此作为禁止歧视的一个因素。与此同时，在《刑法》第</w:t>
      </w:r>
      <w:r>
        <w:rPr>
          <w:rFonts w:hint="eastAsia"/>
        </w:rPr>
        <w:t>47</w:t>
      </w:r>
      <w:r>
        <w:rPr>
          <w:rFonts w:hint="eastAsia"/>
        </w:rPr>
        <w:t>章中还增加了有关恶性工作歧视的</w:t>
      </w:r>
      <w:r>
        <w:rPr>
          <w:rFonts w:hint="eastAsia"/>
        </w:rPr>
        <w:t>3</w:t>
      </w:r>
      <w:r>
        <w:t>a</w:t>
      </w:r>
      <w:r>
        <w:rPr>
          <w:rFonts w:hint="eastAsia"/>
        </w:rPr>
        <w:t>节。如果雇主利用求职者或者雇员在财务或者其他方面的困难，求助的地位、互相不了解、考虑不周或者无知而将其降格使用，犯罪人将以恶性工作歧视的罪名被处以罚款或被处以两年以下的徒刑。这种歧视的最高刑罚要比普通工作歧视的刑罚严厉得多，因为后者只是被处以罚款或者不超过</w:t>
      </w:r>
      <w:r>
        <w:rPr>
          <w:rFonts w:hint="eastAsia"/>
        </w:rPr>
        <w:t>6</w:t>
      </w:r>
      <w:r>
        <w:rPr>
          <w:rFonts w:hint="eastAsia"/>
        </w:rPr>
        <w:t>个月的徒刑。</w:t>
      </w:r>
    </w:p>
    <w:p w:rsidR="00000000" w:rsidRDefault="00000000">
      <w:pPr>
        <w:rPr>
          <w:rFonts w:hint="eastAsia"/>
        </w:rPr>
      </w:pPr>
      <w:r>
        <w:rPr>
          <w:rFonts w:hint="eastAsia"/>
        </w:rPr>
        <w:tab/>
        <w:t xml:space="preserve">23.  </w:t>
      </w:r>
      <w:r>
        <w:rPr>
          <w:rFonts w:hint="eastAsia"/>
        </w:rPr>
        <w:t>根据政府法案，上述两项修正案的目的都是要防止在工作方面对外国人的歧视，同时加强雇员的平等待遇。由于害怕失去工作或者被遣送回国，正如有关恶性工作歧视的规定中所指出，具有外国背景的雇员往往依赖其雇主。此外，缺乏知识或者语言不通也使得外国雇员很难获得有关劳动法律和做法的信息。之所以要规定禁止恶性工作歧视，是为了要加强对于弱势一方的保护</w:t>
      </w:r>
      <w:r>
        <w:rPr>
          <w:rFonts w:hint="eastAsia"/>
        </w:rPr>
        <w:t>(</w:t>
      </w:r>
      <w:r>
        <w:rPr>
          <w:rFonts w:hint="eastAsia"/>
        </w:rPr>
        <w:t>政府法案</w:t>
      </w:r>
      <w:r>
        <w:rPr>
          <w:rFonts w:hint="eastAsia"/>
        </w:rPr>
        <w:t>151/2003)</w:t>
      </w:r>
      <w:r>
        <w:rPr>
          <w:rFonts w:hint="eastAsia"/>
        </w:rPr>
        <w:t>。</w:t>
      </w:r>
    </w:p>
    <w:p w:rsidR="00000000" w:rsidRDefault="00000000">
      <w:pPr>
        <w:rPr>
          <w:rFonts w:hint="eastAsia"/>
        </w:rPr>
      </w:pPr>
      <w:r>
        <w:rPr>
          <w:rFonts w:hint="eastAsia"/>
        </w:rPr>
        <w:tab/>
        <w:t xml:space="preserve">24.  </w:t>
      </w:r>
      <w:r>
        <w:rPr>
          <w:rFonts w:hint="eastAsia"/>
        </w:rPr>
        <w:t>对于《刑法》第</w:t>
      </w:r>
      <w:r>
        <w:rPr>
          <w:rFonts w:hint="eastAsia"/>
        </w:rPr>
        <w:t>47</w:t>
      </w:r>
      <w:r>
        <w:rPr>
          <w:rFonts w:hint="eastAsia"/>
        </w:rPr>
        <w:t>章的上述修正案已于</w:t>
      </w:r>
      <w:r>
        <w:rPr>
          <w:rFonts w:hint="eastAsia"/>
        </w:rPr>
        <w:t>2004</w:t>
      </w:r>
      <w:r>
        <w:rPr>
          <w:rFonts w:hint="eastAsia"/>
        </w:rPr>
        <w:t>年</w:t>
      </w:r>
      <w:r>
        <w:rPr>
          <w:rFonts w:hint="eastAsia"/>
        </w:rPr>
        <w:t>5</w:t>
      </w:r>
      <w:r>
        <w:rPr>
          <w:rFonts w:hint="eastAsia"/>
        </w:rPr>
        <w:t>月</w:t>
      </w:r>
      <w:r>
        <w:rPr>
          <w:rFonts w:hint="eastAsia"/>
        </w:rPr>
        <w:t>1</w:t>
      </w:r>
      <w:r>
        <w:rPr>
          <w:rFonts w:hint="eastAsia"/>
        </w:rPr>
        <w:t>日正式生效。</w:t>
      </w:r>
    </w:p>
    <w:p w:rsidR="00000000" w:rsidRDefault="00000000">
      <w:pPr>
        <w:rPr>
          <w:rFonts w:hint="eastAsia"/>
        </w:rPr>
      </w:pPr>
      <w:r>
        <w:rPr>
          <w:rFonts w:hint="eastAsia"/>
        </w:rPr>
        <w:tab/>
        <w:t xml:space="preserve">25.  </w:t>
      </w:r>
      <w:r>
        <w:rPr>
          <w:rFonts w:hint="eastAsia"/>
        </w:rPr>
        <w:t>已经于</w:t>
      </w:r>
      <w:r>
        <w:rPr>
          <w:rFonts w:hint="eastAsia"/>
        </w:rPr>
        <w:t>2001</w:t>
      </w:r>
      <w:r>
        <w:rPr>
          <w:rFonts w:hint="eastAsia"/>
        </w:rPr>
        <w:t>年正式生效的新的《雇佣合同法》</w:t>
      </w:r>
      <w:r>
        <w:rPr>
          <w:rFonts w:hint="eastAsia"/>
        </w:rPr>
        <w:t>(55/2001)</w:t>
      </w:r>
      <w:r>
        <w:rPr>
          <w:rFonts w:hint="eastAsia"/>
        </w:rPr>
        <w:t>是一项普遍适用的法律，其中载有有关雇佣的各种规定，对于雇主和雇员都有约束力，旧的《雇佣合同法》</w:t>
      </w:r>
      <w:r>
        <w:rPr>
          <w:rFonts w:hint="eastAsia"/>
        </w:rPr>
        <w:t>(320/1970)</w:t>
      </w:r>
      <w:r>
        <w:rPr>
          <w:rFonts w:hint="eastAsia"/>
        </w:rPr>
        <w:t>中的有关工作歧视的规定已经被纳入新的法律，同时还补充了某些具体规定。《雇佣合同法》规定同等对待雇员，以及禁止歧视。该法第</w:t>
      </w:r>
      <w:r>
        <w:rPr>
          <w:rFonts w:hint="eastAsia"/>
        </w:rPr>
        <w:t>2</w:t>
      </w:r>
      <w:r>
        <w:rPr>
          <w:rFonts w:hint="eastAsia"/>
        </w:rPr>
        <w:t>章第</w:t>
      </w:r>
      <w:r>
        <w:rPr>
          <w:rFonts w:hint="eastAsia"/>
        </w:rPr>
        <w:t>1</w:t>
      </w:r>
      <w:r>
        <w:rPr>
          <w:rFonts w:hint="eastAsia"/>
        </w:rPr>
        <w:t>节载有一项普遍义务，规定雇主必须在工作的所有方面改进雇主同雇员的关系以及雇员之间的关系。雇主还应努力为雇员创造机会，让雇员根据自己的能力进行发展，从而在其事业中取得进展。</w:t>
      </w:r>
    </w:p>
    <w:p w:rsidR="00000000" w:rsidRDefault="00000000">
      <w:pPr>
        <w:rPr>
          <w:rFonts w:hint="eastAsia"/>
        </w:rPr>
      </w:pPr>
      <w:r>
        <w:rPr>
          <w:rFonts w:hint="eastAsia"/>
        </w:rPr>
        <w:tab/>
        <w:t xml:space="preserve">26.  </w:t>
      </w:r>
      <w:r>
        <w:rPr>
          <w:rFonts w:hint="eastAsia"/>
        </w:rPr>
        <w:t>除了依据《刑法》的上述规定作出制裁以外，还可以根据《雇佣合同法》第</w:t>
      </w:r>
      <w:r>
        <w:rPr>
          <w:rFonts w:hint="eastAsia"/>
        </w:rPr>
        <w:t>12</w:t>
      </w:r>
      <w:r>
        <w:rPr>
          <w:rFonts w:hint="eastAsia"/>
        </w:rPr>
        <w:t>条，命令雇主为其侵权行为责任支付赔偿金，或者根据《禁止歧视法》</w:t>
      </w:r>
      <w:r>
        <w:rPr>
          <w:rFonts w:hint="eastAsia"/>
        </w:rPr>
        <w:t>(21/2004)</w:t>
      </w:r>
      <w:r>
        <w:rPr>
          <w:rFonts w:hint="eastAsia"/>
        </w:rPr>
        <w:t>或者《男女平等法》</w:t>
      </w:r>
      <w:r>
        <w:rPr>
          <w:rFonts w:hint="eastAsia"/>
        </w:rPr>
        <w:t>(609/1986)</w:t>
      </w:r>
      <w:r>
        <w:rPr>
          <w:rFonts w:hint="eastAsia"/>
        </w:rPr>
        <w:t>作出其他形式的赔偿。其他形式的赔偿并不需要任何应由雇主直接承担的侵犯行为。</w:t>
      </w:r>
    </w:p>
    <w:p w:rsidR="00000000" w:rsidRDefault="00000000">
      <w:pPr>
        <w:rPr>
          <w:rFonts w:hint="eastAsia"/>
        </w:rPr>
      </w:pPr>
      <w:r>
        <w:rPr>
          <w:rFonts w:hint="eastAsia"/>
        </w:rPr>
        <w:tab/>
        <w:t>27.  2004</w:t>
      </w:r>
      <w:r>
        <w:rPr>
          <w:rFonts w:hint="eastAsia"/>
        </w:rPr>
        <w:t>年，在《国家公务员法》</w:t>
      </w:r>
      <w:r>
        <w:rPr>
          <w:rFonts w:hint="eastAsia"/>
        </w:rPr>
        <w:t>(750/1994)</w:t>
      </w:r>
      <w:r>
        <w:rPr>
          <w:rFonts w:hint="eastAsia"/>
        </w:rPr>
        <w:t>以及《地方政府公务员法》</w:t>
      </w:r>
      <w:r>
        <w:rPr>
          <w:rFonts w:hint="eastAsia"/>
        </w:rPr>
        <w:t>(304/2003)</w:t>
      </w:r>
      <w:r>
        <w:rPr>
          <w:rFonts w:hint="eastAsia"/>
        </w:rPr>
        <w:t>中加入了一条新的规定，禁止基于国籍、种族或者宗教的歧视。</w:t>
      </w:r>
    </w:p>
    <w:p w:rsidR="00000000" w:rsidRDefault="00000000">
      <w:pPr>
        <w:rPr>
          <w:rFonts w:hint="eastAsia"/>
        </w:rPr>
      </w:pPr>
      <w:r>
        <w:rPr>
          <w:rFonts w:hint="eastAsia"/>
        </w:rPr>
        <w:tab/>
        <w:t xml:space="preserve">28.  </w:t>
      </w:r>
      <w:r>
        <w:rPr>
          <w:rFonts w:hint="eastAsia"/>
        </w:rPr>
        <w:t>《海员法》</w:t>
      </w:r>
      <w:r>
        <w:rPr>
          <w:rFonts w:hint="eastAsia"/>
        </w:rPr>
        <w:t>(423/1978)</w:t>
      </w:r>
      <w:r>
        <w:rPr>
          <w:rFonts w:hint="eastAsia"/>
        </w:rPr>
        <w:t>、《国家公务员法》</w:t>
      </w:r>
      <w:r>
        <w:rPr>
          <w:rFonts w:hint="eastAsia"/>
        </w:rPr>
        <w:t>(750/1994)</w:t>
      </w:r>
      <w:r>
        <w:rPr>
          <w:rFonts w:hint="eastAsia"/>
        </w:rPr>
        <w:t>以及《地方政府公务员法》都载有禁止歧视的具体规定。《男女平等法》</w:t>
      </w:r>
      <w:r>
        <w:rPr>
          <w:rFonts w:hint="eastAsia"/>
        </w:rPr>
        <w:t>(609/1986)</w:t>
      </w:r>
      <w:r>
        <w:rPr>
          <w:rFonts w:hint="eastAsia"/>
        </w:rPr>
        <w:t>禁止性别歧视。有关歧视概念，禁止采取报复措施以及举证责任的规定都列入了已经于</w:t>
      </w:r>
      <w:r>
        <w:rPr>
          <w:rFonts w:hint="eastAsia"/>
        </w:rPr>
        <w:t>2004</w:t>
      </w:r>
      <w:r>
        <w:rPr>
          <w:rFonts w:hint="eastAsia"/>
        </w:rPr>
        <w:t>年</w:t>
      </w:r>
      <w:r>
        <w:rPr>
          <w:rFonts w:hint="eastAsia"/>
        </w:rPr>
        <w:t>2</w:t>
      </w:r>
      <w:r>
        <w:rPr>
          <w:rFonts w:hint="eastAsia"/>
        </w:rPr>
        <w:t>月</w:t>
      </w:r>
      <w:r>
        <w:rPr>
          <w:rFonts w:hint="eastAsia"/>
        </w:rPr>
        <w:t>1</w:t>
      </w:r>
      <w:r>
        <w:rPr>
          <w:rFonts w:hint="eastAsia"/>
        </w:rPr>
        <w:t>日正式生效的新的《禁止歧视法》</w:t>
      </w:r>
      <w:r>
        <w:rPr>
          <w:rFonts w:hint="eastAsia"/>
        </w:rPr>
        <w:t>(21/2004)</w:t>
      </w:r>
      <w:r>
        <w:rPr>
          <w:rFonts w:hint="eastAsia"/>
        </w:rPr>
        <w:t>。</w:t>
      </w:r>
    </w:p>
    <w:p w:rsidR="00000000" w:rsidRDefault="00000000">
      <w:pPr>
        <w:rPr>
          <w:rFonts w:hint="eastAsia"/>
        </w:rPr>
      </w:pPr>
      <w:r>
        <w:rPr>
          <w:rFonts w:hint="eastAsia"/>
        </w:rPr>
        <w:tab/>
        <w:t xml:space="preserve">29.  </w:t>
      </w:r>
      <w:r>
        <w:rPr>
          <w:rFonts w:hint="eastAsia"/>
        </w:rPr>
        <w:t>劳工部在过去几年中支助了几次提倡容忍的广泛运动。例如劳工部在</w:t>
      </w:r>
      <w:r>
        <w:rPr>
          <w:rFonts w:hint="eastAsia"/>
        </w:rPr>
        <w:t>2002</w:t>
      </w:r>
      <w:r>
        <w:rPr>
          <w:rFonts w:hint="eastAsia"/>
        </w:rPr>
        <w:t>年制作了一份新闻杂志、一盘录像带以及一种宣传画，面向雇主介绍移民的技能。劳工部还设计了网页，为加强多样性和防止歧视而编辑材料和文件，登记培训机构，编写有关《禁止歧视法》的宣传材料和禁止歧视良好做法的范例。这些网页还同旨在促进平等的其他有关的国家和国际资料保持链接。</w:t>
      </w:r>
      <w:r>
        <w:rPr>
          <w:rFonts w:hint="eastAsia"/>
        </w:rPr>
        <w:t>2005</w:t>
      </w:r>
      <w:r>
        <w:rPr>
          <w:rFonts w:hint="eastAsia"/>
        </w:rPr>
        <w:t>年</w:t>
      </w:r>
      <w:r>
        <w:rPr>
          <w:rFonts w:hint="eastAsia"/>
        </w:rPr>
        <w:t>6</w:t>
      </w:r>
      <w:r>
        <w:rPr>
          <w:rFonts w:hint="eastAsia"/>
        </w:rPr>
        <w:t>月，将开放一个专门防止歧视的门户</w:t>
      </w:r>
      <w:r>
        <w:rPr>
          <w:rFonts w:hint="eastAsia"/>
        </w:rPr>
        <w:t>(</w:t>
      </w:r>
      <w:r>
        <w:t>www.equality.fi</w:t>
      </w:r>
      <w:r>
        <w:rPr>
          <w:rFonts w:hint="eastAsia"/>
        </w:rPr>
        <w:t>)</w:t>
      </w:r>
      <w:r>
        <w:rPr>
          <w:rFonts w:hint="eastAsia"/>
        </w:rPr>
        <w:t>。劳工部还支助人权联盟</w:t>
      </w:r>
      <w:r>
        <w:rPr>
          <w:rFonts w:hint="eastAsia"/>
        </w:rPr>
        <w:t>(</w:t>
      </w:r>
      <w:r>
        <w:rPr>
          <w:rFonts w:hint="eastAsia"/>
        </w:rPr>
        <w:t>一个本国的非政府组织</w:t>
      </w:r>
      <w:r>
        <w:rPr>
          <w:rFonts w:hint="eastAsia"/>
        </w:rPr>
        <w:t>)</w:t>
      </w:r>
      <w:r>
        <w:rPr>
          <w:rFonts w:hint="eastAsia"/>
        </w:rPr>
        <w:t>在防止种族主义和种族歧视方面的工作，其中包括提供公众信息、咨询以及培训。</w:t>
      </w:r>
    </w:p>
    <w:p w:rsidR="00000000" w:rsidRDefault="00000000">
      <w:pPr>
        <w:rPr>
          <w:rFonts w:hint="eastAsia"/>
        </w:rPr>
      </w:pPr>
      <w:r>
        <w:rPr>
          <w:rFonts w:hint="eastAsia"/>
        </w:rPr>
        <w:tab/>
        <w:t xml:space="preserve">30.  </w:t>
      </w:r>
      <w:r>
        <w:rPr>
          <w:rFonts w:hint="eastAsia"/>
        </w:rPr>
        <w:t>从</w:t>
      </w:r>
      <w:r>
        <w:rPr>
          <w:rFonts w:hint="eastAsia"/>
        </w:rPr>
        <w:t>2003</w:t>
      </w:r>
      <w:r>
        <w:rPr>
          <w:rFonts w:hint="eastAsia"/>
        </w:rPr>
        <w:t>年至</w:t>
      </w:r>
      <w:r>
        <w:rPr>
          <w:rFonts w:hint="eastAsia"/>
        </w:rPr>
        <w:t>2006</w:t>
      </w:r>
      <w:r>
        <w:rPr>
          <w:rFonts w:hint="eastAsia"/>
        </w:rPr>
        <w:t>年，在欧洲社会基金会的支助下，实施了一项旨在发展工作场所文化多样性的项目。这个项目的目的是要编辑有关工作方面良好做法的信息，设计在公共部门和私营部门招聘移民的功能模式。该项目包括在公共场所举办有关文化多样性和容忍问题的培训班。目前这个项目拥有</w:t>
      </w:r>
      <w:r>
        <w:rPr>
          <w:rFonts w:hint="eastAsia"/>
        </w:rPr>
        <w:t>29</w:t>
      </w:r>
      <w:r>
        <w:rPr>
          <w:rFonts w:hint="eastAsia"/>
        </w:rPr>
        <w:t>个以相互合作方式实施的各有侧重主题的分项目。</w:t>
      </w:r>
    </w:p>
    <w:p w:rsidR="00000000" w:rsidRDefault="00000000">
      <w:pPr>
        <w:spacing w:after="240"/>
        <w:rPr>
          <w:rFonts w:hint="eastAsia"/>
        </w:rPr>
      </w:pPr>
      <w:r>
        <w:rPr>
          <w:rFonts w:hint="eastAsia"/>
        </w:rPr>
        <w:tab/>
        <w:t xml:space="preserve">31. </w:t>
      </w:r>
      <w:r>
        <w:rPr>
          <w:rFonts w:hint="eastAsia"/>
          <w:vertAlign w:val="superscript"/>
        </w:rPr>
        <w:t xml:space="preserve"> </w:t>
      </w:r>
      <w:r>
        <w:rPr>
          <w:rFonts w:hint="eastAsia"/>
        </w:rPr>
        <w:t>《刑法》第</w:t>
      </w:r>
      <w:r>
        <w:rPr>
          <w:rFonts w:hint="eastAsia"/>
        </w:rPr>
        <w:t>11</w:t>
      </w:r>
      <w:r>
        <w:rPr>
          <w:rFonts w:hint="eastAsia"/>
        </w:rPr>
        <w:t>章第</w:t>
      </w:r>
      <w:r>
        <w:rPr>
          <w:rFonts w:hint="eastAsia"/>
        </w:rPr>
        <w:t>9</w:t>
      </w:r>
      <w:r>
        <w:rPr>
          <w:rFonts w:hint="eastAsia"/>
        </w:rPr>
        <w:t>节</w:t>
      </w:r>
      <w:r>
        <w:rPr>
          <w:rFonts w:hint="eastAsia"/>
        </w:rPr>
        <w:t>(578/1995)</w:t>
      </w:r>
      <w:r>
        <w:rPr>
          <w:rFonts w:hint="eastAsia"/>
        </w:rPr>
        <w:t>载有普遍禁止歧视的规定。</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D15.</w:t>
      </w:r>
      <w:r>
        <w:rPr>
          <w:rFonts w:ascii="Time New Roman" w:eastAsia="SimHei" w:hAnsi="Time New Roman" w:hint="eastAsia"/>
          <w:u w:val="none"/>
        </w:rPr>
        <w:t xml:space="preserve">  </w:t>
      </w:r>
      <w:r>
        <w:rPr>
          <w:rFonts w:ascii="Time New Roman" w:eastAsia="SimHei" w:hAnsi="Time New Roman" w:hint="eastAsia"/>
          <w:u w:val="none"/>
        </w:rPr>
        <w:t>所谓“待聘”工人享有的劳动权利</w:t>
      </w:r>
    </w:p>
    <w:p w:rsidR="00000000" w:rsidRDefault="00000000">
      <w:pPr>
        <w:rPr>
          <w:rFonts w:hint="eastAsia"/>
        </w:rPr>
      </w:pPr>
      <w:r>
        <w:rPr>
          <w:rFonts w:hint="eastAsia"/>
        </w:rPr>
        <w:tab/>
        <w:t xml:space="preserve">32.  </w:t>
      </w:r>
      <w:r>
        <w:rPr>
          <w:rFonts w:hint="eastAsia"/>
        </w:rPr>
        <w:t>在芬兰，雇佣合同可能是长期性的或者临时性的，根据《雇佣合同法》</w:t>
      </w:r>
      <w:r>
        <w:rPr>
          <w:rFonts w:hint="eastAsia"/>
        </w:rPr>
        <w:t>(55/2001)</w:t>
      </w:r>
      <w:r>
        <w:rPr>
          <w:rFonts w:hint="eastAsia"/>
        </w:rPr>
        <w:t>第</w:t>
      </w:r>
      <w:r>
        <w:rPr>
          <w:rFonts w:hint="eastAsia"/>
        </w:rPr>
        <w:t>3</w:t>
      </w:r>
      <w:r>
        <w:rPr>
          <w:rFonts w:hint="eastAsia"/>
        </w:rPr>
        <w:t>节第</w:t>
      </w:r>
      <w:r>
        <w:rPr>
          <w:rFonts w:hint="eastAsia"/>
        </w:rPr>
        <w:t>2</w:t>
      </w:r>
      <w:r>
        <w:rPr>
          <w:rFonts w:hint="eastAsia"/>
        </w:rPr>
        <w:t>分节的规定，必须要有正当理由才能签订临时性的雇佣合同。这项规定之目的是要防止以雇佣时间很短为由逃避有关保护雇员权利的有约束性的规定。签订临时合同的正当理由可以是：工作的性质、替代另一名雇员的需要，培训或者其他类似原因。在雇主具有另外一种正当理由</w:t>
      </w:r>
      <w:r>
        <w:rPr>
          <w:rFonts w:hint="eastAsia"/>
        </w:rPr>
        <w:t>(</w:t>
      </w:r>
      <w:r>
        <w:rPr>
          <w:rFonts w:hint="eastAsia"/>
        </w:rPr>
        <w:t>例如公司的活动或者需要完成的工作</w:t>
      </w:r>
      <w:r>
        <w:rPr>
          <w:rFonts w:hint="eastAsia"/>
        </w:rPr>
        <w:t>)</w:t>
      </w:r>
      <w:r>
        <w:rPr>
          <w:rFonts w:hint="eastAsia"/>
        </w:rPr>
        <w:t>的情况下，也可以签订临时性的雇佣合同。如果雇主对于雇员只有临时需要，临时性雇用合同的使用是未经授权的。在雇主主动提出的情况下，在没有正当理由的情况下签订的临时雇佣合同以及以后与同一名雇员同样在没有正当理由情况下签订的临时性雇用合同应被视为具有连续性质的有效合同。</w:t>
      </w:r>
    </w:p>
    <w:p w:rsidR="00000000" w:rsidRDefault="00000000">
      <w:pPr>
        <w:rPr>
          <w:rFonts w:hint="eastAsia"/>
        </w:rPr>
      </w:pPr>
      <w:r>
        <w:rPr>
          <w:rFonts w:hint="eastAsia"/>
        </w:rPr>
        <w:tab/>
        <w:t xml:space="preserve">33.  </w:t>
      </w:r>
      <w:r>
        <w:rPr>
          <w:rFonts w:hint="eastAsia"/>
        </w:rPr>
        <w:t>临时雇佣合同在合同期满结束，无须另行终止雇用。在合同期满之前，除非废除合同的条件存在，例如，有关雇员严重违反合同，否则不得终止临时雇员的雇佣。</w:t>
      </w:r>
    </w:p>
    <w:p w:rsidR="00000000" w:rsidRDefault="00000000">
      <w:pPr>
        <w:spacing w:after="240"/>
        <w:rPr>
          <w:rFonts w:hint="eastAsia"/>
        </w:rPr>
      </w:pPr>
      <w:r>
        <w:rPr>
          <w:rFonts w:hint="eastAsia"/>
        </w:rPr>
        <w:tab/>
        <w:t xml:space="preserve">34.  </w:t>
      </w:r>
      <w:r>
        <w:rPr>
          <w:rFonts w:hint="eastAsia"/>
        </w:rPr>
        <w:t>芬兰法律并不区分所谓的“待聘”工人和其他的临时工人。雇员的合同条件是根据《雇佣合同法》第</w:t>
      </w:r>
      <w:r>
        <w:rPr>
          <w:rFonts w:hint="eastAsia"/>
        </w:rPr>
        <w:t>2</w:t>
      </w:r>
      <w:r>
        <w:rPr>
          <w:rFonts w:hint="eastAsia"/>
        </w:rPr>
        <w:t>章第</w:t>
      </w:r>
      <w:r>
        <w:rPr>
          <w:rFonts w:hint="eastAsia"/>
        </w:rPr>
        <w:t>9</w:t>
      </w:r>
      <w:r>
        <w:rPr>
          <w:rFonts w:hint="eastAsia"/>
        </w:rPr>
        <w:t>节的规定确定的。如果雇主派遣其雇员为另一名雇主</w:t>
      </w:r>
      <w:r>
        <w:rPr>
          <w:rFonts w:hint="eastAsia"/>
        </w:rPr>
        <w:t>(</w:t>
      </w:r>
      <w:r>
        <w:rPr>
          <w:rFonts w:hint="eastAsia"/>
        </w:rPr>
        <w:t>用户企业</w:t>
      </w:r>
      <w:r>
        <w:rPr>
          <w:rFonts w:hint="eastAsia"/>
        </w:rPr>
        <w:t>)</w:t>
      </w:r>
      <w:r>
        <w:rPr>
          <w:rFonts w:hint="eastAsia"/>
        </w:rPr>
        <w:t>工作，而该用户企业既不受第</w:t>
      </w:r>
      <w:r>
        <w:rPr>
          <w:rFonts w:hint="eastAsia"/>
        </w:rPr>
        <w:t>7</w:t>
      </w:r>
      <w:r>
        <w:rPr>
          <w:rFonts w:hint="eastAsia"/>
        </w:rPr>
        <w:t>节第</w:t>
      </w:r>
      <w:r>
        <w:rPr>
          <w:rFonts w:hint="eastAsia"/>
        </w:rPr>
        <w:t>3</w:t>
      </w:r>
      <w:r>
        <w:rPr>
          <w:rFonts w:hint="eastAsia"/>
        </w:rPr>
        <w:t>段所指的集体协议的束缚，也无须在其雇佣关系中遵守普遍适用的集体协议，那么适用于用户企业的另外一项集体协议的规定应当适用于有关雇员的雇佣关系。</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D16.</w:t>
      </w:r>
      <w:r>
        <w:rPr>
          <w:rFonts w:ascii="Time New Roman" w:eastAsia="SimHei" w:hAnsi="Time New Roman" w:hint="eastAsia"/>
          <w:u w:val="none"/>
        </w:rPr>
        <w:t xml:space="preserve">  </w:t>
      </w:r>
      <w:r>
        <w:rPr>
          <w:rFonts w:ascii="Time New Roman" w:eastAsia="SimHei" w:hAnsi="Time New Roman" w:hint="eastAsia"/>
          <w:u w:val="none"/>
        </w:rPr>
        <w:t>最低工资</w:t>
      </w:r>
    </w:p>
    <w:p w:rsidR="00000000" w:rsidRDefault="00000000">
      <w:r>
        <w:rPr>
          <w:rFonts w:hint="eastAsia"/>
        </w:rPr>
        <w:tab/>
        <w:t xml:space="preserve">35.  </w:t>
      </w:r>
      <w:r>
        <w:rPr>
          <w:rFonts w:hint="eastAsia"/>
        </w:rPr>
        <w:t>根据芬兰的制度，工资是根据工人的雇佣合同以及适用于有关部门的集体协议加以确定的。《雇佣合同法》是一项普遍适用的法律，其中载有适用于雇佣问题的各种有关规定，对于雇主和雇员具有同样的束缚力。根据《集体协议法》</w:t>
      </w:r>
      <w:r>
        <w:rPr>
          <w:rFonts w:hint="eastAsia"/>
        </w:rPr>
        <w:t>(436/1946)</w:t>
      </w:r>
      <w:r>
        <w:rPr>
          <w:rFonts w:hint="eastAsia"/>
        </w:rPr>
        <w:t>，除非集体协议的适用范围有具体的限制，只适用于所规定的工人，否则受到集体协议束缚的雇主有义务在雇佣任何工人方面遵守集体协议，而无论有关工人是否受到该协议的束缚。如果雇佣合同在某些方面同适用的集体协议的规定发生冲突，该集体协议的有关规定应当适用。</w:t>
      </w:r>
    </w:p>
    <w:p w:rsidR="00000000" w:rsidRDefault="00000000">
      <w:pPr>
        <w:rPr>
          <w:rFonts w:hint="eastAsia"/>
        </w:rPr>
      </w:pPr>
      <w:r>
        <w:rPr>
          <w:rFonts w:hint="eastAsia"/>
        </w:rPr>
        <w:tab/>
        <w:t xml:space="preserve">36.  </w:t>
      </w:r>
      <w:r>
        <w:rPr>
          <w:rFonts w:hint="eastAsia"/>
        </w:rPr>
        <w:t>根据《雇佣合同法》第二章第</w:t>
      </w:r>
      <w:r>
        <w:rPr>
          <w:rFonts w:hint="eastAsia"/>
        </w:rPr>
        <w:t>7</w:t>
      </w:r>
      <w:r>
        <w:rPr>
          <w:rFonts w:hint="eastAsia"/>
        </w:rPr>
        <w:t>节的规定，雇主应当至少遵守被视为在有关部门有代表性的国家集体协议</w:t>
      </w:r>
      <w:r>
        <w:rPr>
          <w:rFonts w:hint="eastAsia"/>
        </w:rPr>
        <w:t>(</w:t>
      </w:r>
      <w:r>
        <w:rPr>
          <w:rFonts w:hint="eastAsia"/>
        </w:rPr>
        <w:t>普遍适用的集体协议</w:t>
      </w:r>
      <w:r>
        <w:rPr>
          <w:rFonts w:hint="eastAsia"/>
        </w:rPr>
        <w:t>)</w:t>
      </w:r>
      <w:r>
        <w:rPr>
          <w:rFonts w:hint="eastAsia"/>
        </w:rPr>
        <w:t>的规定，遵守其中涉及雇员的工作或者与此最相似工作的雇用关系中有关工作条件的规定。因此，在普遍适用的集体协议存在的情况下，最低工资以及其他标准是根据这种协议确定的。因此，有关规定之目标是要确保没有组织的工人同参加工会的工人获得同样的工资和福利。如果在有关部门没有适用的集体协议，则可自由商定工资。然而，根据《雇佣合同法》的原则，对于任何工作都必须支付通常的和合理的工资。</w:t>
      </w:r>
    </w:p>
    <w:p w:rsidR="00000000" w:rsidRDefault="00000000">
      <w:pPr>
        <w:spacing w:after="240"/>
        <w:rPr>
          <w:rFonts w:hint="eastAsia"/>
        </w:rPr>
      </w:pPr>
      <w:r>
        <w:rPr>
          <w:rFonts w:hint="eastAsia"/>
        </w:rPr>
        <w:tab/>
        <w:t xml:space="preserve">37.  </w:t>
      </w:r>
      <w:r>
        <w:rPr>
          <w:rFonts w:hint="eastAsia"/>
        </w:rPr>
        <w:t>根据《雇佣合同法》第十章第</w:t>
      </w:r>
      <w:r>
        <w:rPr>
          <w:rFonts w:hint="eastAsia"/>
        </w:rPr>
        <w:t>2</w:t>
      </w:r>
      <w:r>
        <w:rPr>
          <w:rFonts w:hint="eastAsia"/>
        </w:rPr>
        <w:t>节的规定，如果在雇佣合同中适用的条款或者条件是同良好做法相矛盾的或者是不合理的，可以调整有关的条款或者条件，或者不予理会。</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D17.</w:t>
      </w:r>
      <w:r>
        <w:rPr>
          <w:rFonts w:ascii="Time New Roman" w:eastAsia="SimHei" w:hAnsi="Time New Roman" w:hint="eastAsia"/>
          <w:u w:val="none"/>
        </w:rPr>
        <w:t xml:space="preserve">  </w:t>
      </w:r>
      <w:r>
        <w:rPr>
          <w:rFonts w:ascii="Time New Roman" w:eastAsia="SimHei" w:hAnsi="Time New Roman" w:hint="eastAsia"/>
          <w:u w:val="none"/>
        </w:rPr>
        <w:t>侵犯妇女的暴力行为</w:t>
      </w:r>
    </w:p>
    <w:p w:rsidR="00000000" w:rsidRDefault="00000000">
      <w:pPr>
        <w:spacing w:after="240"/>
        <w:rPr>
          <w:rFonts w:hint="eastAsia"/>
        </w:rPr>
      </w:pPr>
      <w:r>
        <w:rPr>
          <w:rFonts w:hint="eastAsia"/>
        </w:rPr>
        <w:tab/>
        <w:t xml:space="preserve">38.  </w:t>
      </w:r>
      <w:r>
        <w:rPr>
          <w:rFonts w:hint="eastAsia"/>
        </w:rPr>
        <w:t>在答复委员会建议的</w:t>
      </w:r>
      <w:r>
        <w:rPr>
          <w:rFonts w:hint="eastAsia"/>
        </w:rPr>
        <w:t>E30</w:t>
      </w:r>
      <w:r>
        <w:rPr>
          <w:rFonts w:hint="eastAsia"/>
        </w:rPr>
        <w:t>节中将讨论侵犯妇女暴力行为的严重程度、为暴力受害者提供的服务、受害者的康复以及向他们提供的法律补偿。</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D18.</w:t>
      </w:r>
      <w:r>
        <w:rPr>
          <w:rFonts w:ascii="Time New Roman" w:eastAsia="SimHei" w:hAnsi="Time New Roman" w:hint="eastAsia"/>
          <w:bCs/>
          <w:u w:val="none"/>
        </w:rPr>
        <w:t xml:space="preserve">  </w:t>
      </w:r>
      <w:r>
        <w:rPr>
          <w:rFonts w:ascii="Time New Roman" w:eastAsia="SimHei" w:hAnsi="Time New Roman" w:hint="eastAsia"/>
          <w:bCs/>
          <w:u w:val="none"/>
        </w:rPr>
        <w:t>在大赫尔辛基地区的无家可归者</w:t>
      </w:r>
    </w:p>
    <w:p w:rsidR="00000000" w:rsidRDefault="00000000">
      <w:pPr>
        <w:rPr>
          <w:rFonts w:hint="eastAsia"/>
        </w:rPr>
      </w:pPr>
      <w:r>
        <w:rPr>
          <w:rFonts w:hint="eastAsia"/>
        </w:rPr>
        <w:tab/>
        <w:t xml:space="preserve">39.  </w:t>
      </w:r>
      <w:r>
        <w:rPr>
          <w:rFonts w:hint="eastAsia"/>
        </w:rPr>
        <w:t>大约</w:t>
      </w:r>
      <w:r>
        <w:rPr>
          <w:rFonts w:hint="eastAsia"/>
        </w:rPr>
        <w:t>60%</w:t>
      </w:r>
      <w:r>
        <w:rPr>
          <w:rFonts w:hint="eastAsia"/>
        </w:rPr>
        <w:t>的芬兰无家可归者住在赫尔辛基或邻近城市之中，尽管这些城市的居民只占全国总人口的大约</w:t>
      </w:r>
      <w:r>
        <w:rPr>
          <w:rFonts w:hint="eastAsia"/>
        </w:rPr>
        <w:t>20%</w:t>
      </w:r>
      <w:r>
        <w:rPr>
          <w:rFonts w:hint="eastAsia"/>
        </w:rPr>
        <w:t>。之所以有这样高的比例，主要是因为同全国其他地方相比，大赫尔辛基地区的房地产市场问题更多以及生活费用更高，同时也因为无家可归者有向大城市移居的倾向。</w:t>
      </w:r>
    </w:p>
    <w:p w:rsidR="00000000" w:rsidRDefault="00000000">
      <w:pPr>
        <w:spacing w:after="320"/>
        <w:rPr>
          <w:rFonts w:hint="eastAsia"/>
        </w:rPr>
      </w:pPr>
      <w:r>
        <w:rPr>
          <w:rFonts w:hint="eastAsia"/>
        </w:rPr>
        <w:tab/>
        <w:t xml:space="preserve">40.  </w:t>
      </w:r>
      <w:r>
        <w:rPr>
          <w:rFonts w:hint="eastAsia"/>
        </w:rPr>
        <w:t>国家以及赫尔辛基、</w:t>
      </w:r>
      <w:r>
        <w:t xml:space="preserve">Espoo </w:t>
      </w:r>
      <w:r>
        <w:rPr>
          <w:rFonts w:hint="eastAsia"/>
        </w:rPr>
        <w:t>和</w:t>
      </w:r>
      <w:r>
        <w:t xml:space="preserve"> Vantaa</w:t>
      </w:r>
      <w:r>
        <w:rPr>
          <w:rFonts w:hint="eastAsia"/>
        </w:rPr>
        <w:t>等城市已经商定了一项在</w:t>
      </w:r>
      <w:r>
        <w:rPr>
          <w:rFonts w:hint="eastAsia"/>
        </w:rPr>
        <w:t>2002</w:t>
      </w:r>
      <w:r>
        <w:rPr>
          <w:rFonts w:hint="eastAsia"/>
        </w:rPr>
        <w:t>年至</w:t>
      </w:r>
      <w:r>
        <w:rPr>
          <w:rFonts w:hint="eastAsia"/>
        </w:rPr>
        <w:t>2005</w:t>
      </w:r>
      <w:r>
        <w:rPr>
          <w:rFonts w:hint="eastAsia"/>
        </w:rPr>
        <w:t>年减少无家可归者人数的计划。在该项计划期间，总共大约</w:t>
      </w:r>
      <w:r>
        <w:rPr>
          <w:rFonts w:hint="eastAsia"/>
        </w:rPr>
        <w:t>3,000</w:t>
      </w:r>
      <w:r>
        <w:rPr>
          <w:rFonts w:hint="eastAsia"/>
        </w:rPr>
        <w:t>套公寓已经或者将被分配给无家可归者。</w:t>
      </w:r>
      <w:r>
        <w:rPr>
          <w:rFonts w:hint="eastAsia"/>
        </w:rPr>
        <w:t>(</w:t>
      </w:r>
      <w:r>
        <w:rPr>
          <w:rFonts w:hint="eastAsia"/>
        </w:rPr>
        <w:t>在大赫尔辛基地区的单身无家可归者的人数已经从</w:t>
      </w:r>
      <w:r>
        <w:rPr>
          <w:rFonts w:hint="eastAsia"/>
        </w:rPr>
        <w:t>5,500</w:t>
      </w:r>
      <w:r>
        <w:rPr>
          <w:rFonts w:hint="eastAsia"/>
        </w:rPr>
        <w:t>名下降到</w:t>
      </w:r>
      <w:r>
        <w:rPr>
          <w:rFonts w:hint="eastAsia"/>
        </w:rPr>
        <w:t>4,200</w:t>
      </w:r>
      <w:r>
        <w:rPr>
          <w:rFonts w:hint="eastAsia"/>
        </w:rPr>
        <w:t>名。</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1999</w:t>
      </w:r>
      <w:r>
        <w:rPr>
          <w:rFonts w:ascii="Time New Roman" w:eastAsia="SimHei" w:hAnsi="Time New Roman" w:hint="eastAsia"/>
          <w:sz w:val="22"/>
          <w:u w:val="none"/>
        </w:rPr>
        <w:t>-</w:t>
      </w:r>
      <w:r>
        <w:rPr>
          <w:rFonts w:ascii="Time New Roman" w:eastAsia="SimHei" w:hAnsi="Time New Roman" w:hint="eastAsia"/>
          <w:b/>
          <w:sz w:val="22"/>
          <w:u w:val="none"/>
        </w:rPr>
        <w:t>2004</w:t>
      </w:r>
      <w:r>
        <w:rPr>
          <w:rFonts w:ascii="Time New Roman" w:eastAsia="SimHei" w:hAnsi="Time New Roman" w:hint="eastAsia"/>
          <w:sz w:val="22"/>
          <w:u w:val="none"/>
        </w:rPr>
        <w:t>年大赫尔辛基地区无家可归者的人数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851"/>
        <w:gridCol w:w="936"/>
        <w:gridCol w:w="936"/>
        <w:gridCol w:w="851"/>
        <w:gridCol w:w="851"/>
        <w:gridCol w:w="851"/>
      </w:tblGrid>
      <w:tr w:rsidR="00000000">
        <w:tblPrEx>
          <w:tblCellMar>
            <w:top w:w="0" w:type="dxa"/>
            <w:bottom w:w="0" w:type="dxa"/>
          </w:tblCellMar>
        </w:tblPrEx>
        <w:tc>
          <w:tcPr>
            <w:tcW w:w="3969" w:type="dxa"/>
          </w:tcPr>
          <w:p w:rsidR="00000000" w:rsidRDefault="00000000">
            <w:pPr>
              <w:spacing w:before="120"/>
              <w:rPr>
                <w:sz w:val="22"/>
              </w:rPr>
            </w:pPr>
          </w:p>
        </w:tc>
        <w:tc>
          <w:tcPr>
            <w:tcW w:w="851" w:type="dxa"/>
          </w:tcPr>
          <w:p w:rsidR="00000000" w:rsidRDefault="00000000">
            <w:pPr>
              <w:spacing w:before="120"/>
              <w:jc w:val="center"/>
              <w:rPr>
                <w:sz w:val="22"/>
              </w:rPr>
            </w:pPr>
            <w:r>
              <w:rPr>
                <w:sz w:val="22"/>
              </w:rPr>
              <w:t>1999</w:t>
            </w:r>
          </w:p>
        </w:tc>
        <w:tc>
          <w:tcPr>
            <w:tcW w:w="936" w:type="dxa"/>
          </w:tcPr>
          <w:p w:rsidR="00000000" w:rsidRDefault="00000000">
            <w:pPr>
              <w:spacing w:before="120"/>
              <w:jc w:val="center"/>
              <w:rPr>
                <w:sz w:val="22"/>
              </w:rPr>
            </w:pPr>
            <w:r>
              <w:rPr>
                <w:sz w:val="22"/>
              </w:rPr>
              <w:t>2000</w:t>
            </w:r>
          </w:p>
        </w:tc>
        <w:tc>
          <w:tcPr>
            <w:tcW w:w="936" w:type="dxa"/>
          </w:tcPr>
          <w:p w:rsidR="00000000" w:rsidRDefault="00000000">
            <w:pPr>
              <w:spacing w:before="120"/>
              <w:jc w:val="center"/>
              <w:rPr>
                <w:sz w:val="22"/>
              </w:rPr>
            </w:pPr>
            <w:r>
              <w:rPr>
                <w:sz w:val="22"/>
              </w:rPr>
              <w:t>2001</w:t>
            </w:r>
          </w:p>
        </w:tc>
        <w:tc>
          <w:tcPr>
            <w:tcW w:w="851" w:type="dxa"/>
          </w:tcPr>
          <w:p w:rsidR="00000000" w:rsidRDefault="00000000">
            <w:pPr>
              <w:spacing w:before="120"/>
              <w:jc w:val="center"/>
              <w:rPr>
                <w:sz w:val="22"/>
              </w:rPr>
            </w:pPr>
            <w:r>
              <w:rPr>
                <w:sz w:val="22"/>
              </w:rPr>
              <w:t>2002</w:t>
            </w:r>
          </w:p>
        </w:tc>
        <w:tc>
          <w:tcPr>
            <w:tcW w:w="851" w:type="dxa"/>
          </w:tcPr>
          <w:p w:rsidR="00000000" w:rsidRDefault="00000000">
            <w:pPr>
              <w:spacing w:before="120"/>
              <w:jc w:val="center"/>
              <w:rPr>
                <w:sz w:val="22"/>
              </w:rPr>
            </w:pPr>
            <w:r>
              <w:rPr>
                <w:sz w:val="22"/>
              </w:rPr>
              <w:t>2003</w:t>
            </w:r>
          </w:p>
        </w:tc>
        <w:tc>
          <w:tcPr>
            <w:tcW w:w="851" w:type="dxa"/>
          </w:tcPr>
          <w:p w:rsidR="00000000" w:rsidRDefault="00000000">
            <w:pPr>
              <w:spacing w:before="120"/>
              <w:jc w:val="center"/>
              <w:rPr>
                <w:sz w:val="22"/>
              </w:rPr>
            </w:pPr>
            <w:r>
              <w:rPr>
                <w:sz w:val="22"/>
              </w:rPr>
              <w:t>2004</w:t>
            </w:r>
          </w:p>
        </w:tc>
      </w:tr>
      <w:tr w:rsidR="00000000">
        <w:tblPrEx>
          <w:tblCellMar>
            <w:top w:w="0" w:type="dxa"/>
            <w:bottom w:w="0" w:type="dxa"/>
          </w:tblCellMar>
        </w:tblPrEx>
        <w:tc>
          <w:tcPr>
            <w:tcW w:w="3969" w:type="dxa"/>
            <w:tcBorders>
              <w:bottom w:val="nil"/>
            </w:tcBorders>
          </w:tcPr>
          <w:p w:rsidR="00000000" w:rsidRDefault="00000000">
            <w:pPr>
              <w:spacing w:before="80" w:line="288" w:lineRule="auto"/>
              <w:rPr>
                <w:sz w:val="22"/>
              </w:rPr>
            </w:pPr>
            <w:r>
              <w:rPr>
                <w:rFonts w:hint="eastAsia"/>
                <w:sz w:val="22"/>
              </w:rPr>
              <w:t>单身无家可归者</w:t>
            </w:r>
          </w:p>
        </w:tc>
        <w:tc>
          <w:tcPr>
            <w:tcW w:w="851" w:type="dxa"/>
            <w:tcBorders>
              <w:bottom w:val="nil"/>
            </w:tcBorders>
          </w:tcPr>
          <w:p w:rsidR="00000000" w:rsidRDefault="00000000">
            <w:pPr>
              <w:spacing w:before="80" w:line="288" w:lineRule="auto"/>
              <w:jc w:val="center"/>
              <w:rPr>
                <w:sz w:val="22"/>
              </w:rPr>
            </w:pPr>
          </w:p>
        </w:tc>
        <w:tc>
          <w:tcPr>
            <w:tcW w:w="936" w:type="dxa"/>
            <w:tcBorders>
              <w:bottom w:val="nil"/>
            </w:tcBorders>
          </w:tcPr>
          <w:p w:rsidR="00000000" w:rsidRDefault="00000000">
            <w:pPr>
              <w:spacing w:before="80" w:line="288" w:lineRule="auto"/>
              <w:jc w:val="center"/>
              <w:rPr>
                <w:sz w:val="22"/>
              </w:rPr>
            </w:pPr>
          </w:p>
        </w:tc>
        <w:tc>
          <w:tcPr>
            <w:tcW w:w="936" w:type="dxa"/>
            <w:tcBorders>
              <w:bottom w:val="nil"/>
            </w:tcBorders>
          </w:tcPr>
          <w:p w:rsidR="00000000" w:rsidRDefault="00000000">
            <w:pPr>
              <w:spacing w:before="80" w:line="288" w:lineRule="auto"/>
              <w:jc w:val="center"/>
              <w:rPr>
                <w:sz w:val="22"/>
              </w:rPr>
            </w:pPr>
          </w:p>
        </w:tc>
        <w:tc>
          <w:tcPr>
            <w:tcW w:w="851" w:type="dxa"/>
            <w:tcBorders>
              <w:bottom w:val="nil"/>
            </w:tcBorders>
          </w:tcPr>
          <w:p w:rsidR="00000000" w:rsidRDefault="00000000">
            <w:pPr>
              <w:spacing w:before="80" w:line="288" w:lineRule="auto"/>
              <w:jc w:val="center"/>
              <w:rPr>
                <w:sz w:val="22"/>
              </w:rPr>
            </w:pPr>
          </w:p>
        </w:tc>
        <w:tc>
          <w:tcPr>
            <w:tcW w:w="851" w:type="dxa"/>
            <w:tcBorders>
              <w:bottom w:val="nil"/>
            </w:tcBorders>
          </w:tcPr>
          <w:p w:rsidR="00000000" w:rsidRDefault="00000000">
            <w:pPr>
              <w:spacing w:before="80" w:line="288" w:lineRule="auto"/>
              <w:jc w:val="center"/>
              <w:rPr>
                <w:sz w:val="22"/>
              </w:rPr>
            </w:pPr>
          </w:p>
        </w:tc>
        <w:tc>
          <w:tcPr>
            <w:tcW w:w="851" w:type="dxa"/>
            <w:tcBorders>
              <w:bottom w:val="nil"/>
            </w:tcBorders>
          </w:tcPr>
          <w:p w:rsidR="00000000" w:rsidRDefault="00000000">
            <w:pPr>
              <w:spacing w:before="80" w:line="288" w:lineRule="auto"/>
              <w:jc w:val="center"/>
              <w:rPr>
                <w:sz w:val="22"/>
              </w:rPr>
            </w:pPr>
          </w:p>
        </w:tc>
      </w:tr>
      <w:tr w:rsidR="00000000">
        <w:tblPrEx>
          <w:tblCellMar>
            <w:top w:w="0" w:type="dxa"/>
            <w:bottom w:w="0" w:type="dxa"/>
          </w:tblCellMar>
        </w:tblPrEx>
        <w:tc>
          <w:tcPr>
            <w:tcW w:w="3969" w:type="dxa"/>
            <w:tcBorders>
              <w:top w:val="nil"/>
              <w:bottom w:val="nil"/>
            </w:tcBorders>
          </w:tcPr>
          <w:p w:rsidR="00000000" w:rsidRDefault="00000000">
            <w:pPr>
              <w:spacing w:line="288" w:lineRule="auto"/>
              <w:rPr>
                <w:rFonts w:hint="eastAsia"/>
                <w:sz w:val="22"/>
              </w:rPr>
            </w:pPr>
            <w:r>
              <w:rPr>
                <w:rFonts w:hint="eastAsia"/>
                <w:sz w:val="22"/>
              </w:rPr>
              <w:t>芬兰无家可归者总数</w:t>
            </w:r>
          </w:p>
        </w:tc>
        <w:tc>
          <w:tcPr>
            <w:tcW w:w="851" w:type="dxa"/>
            <w:tcBorders>
              <w:top w:val="nil"/>
              <w:bottom w:val="nil"/>
            </w:tcBorders>
          </w:tcPr>
          <w:p w:rsidR="00000000" w:rsidRDefault="00000000">
            <w:pPr>
              <w:spacing w:line="288" w:lineRule="auto"/>
              <w:jc w:val="right"/>
              <w:rPr>
                <w:sz w:val="22"/>
              </w:rPr>
            </w:pPr>
            <w:r>
              <w:rPr>
                <w:sz w:val="22"/>
              </w:rPr>
              <w:t>9,900</w:t>
            </w:r>
          </w:p>
        </w:tc>
        <w:tc>
          <w:tcPr>
            <w:tcW w:w="936" w:type="dxa"/>
            <w:tcBorders>
              <w:top w:val="nil"/>
              <w:bottom w:val="nil"/>
            </w:tcBorders>
          </w:tcPr>
          <w:p w:rsidR="00000000" w:rsidRDefault="00000000">
            <w:pPr>
              <w:spacing w:line="288" w:lineRule="auto"/>
              <w:jc w:val="right"/>
              <w:rPr>
                <w:sz w:val="22"/>
              </w:rPr>
            </w:pPr>
            <w:r>
              <w:rPr>
                <w:sz w:val="22"/>
              </w:rPr>
              <w:t>10,000</w:t>
            </w:r>
          </w:p>
        </w:tc>
        <w:tc>
          <w:tcPr>
            <w:tcW w:w="936" w:type="dxa"/>
            <w:tcBorders>
              <w:top w:val="nil"/>
              <w:bottom w:val="nil"/>
            </w:tcBorders>
          </w:tcPr>
          <w:p w:rsidR="00000000" w:rsidRDefault="00000000">
            <w:pPr>
              <w:spacing w:line="288" w:lineRule="auto"/>
              <w:jc w:val="right"/>
              <w:rPr>
                <w:sz w:val="22"/>
              </w:rPr>
            </w:pPr>
            <w:r>
              <w:rPr>
                <w:sz w:val="22"/>
              </w:rPr>
              <w:t>10,000</w:t>
            </w:r>
          </w:p>
        </w:tc>
        <w:tc>
          <w:tcPr>
            <w:tcW w:w="851" w:type="dxa"/>
            <w:tcBorders>
              <w:top w:val="nil"/>
              <w:bottom w:val="nil"/>
            </w:tcBorders>
          </w:tcPr>
          <w:p w:rsidR="00000000" w:rsidRDefault="00000000">
            <w:pPr>
              <w:spacing w:line="288" w:lineRule="auto"/>
              <w:jc w:val="right"/>
              <w:rPr>
                <w:sz w:val="22"/>
              </w:rPr>
            </w:pPr>
            <w:r>
              <w:rPr>
                <w:sz w:val="22"/>
              </w:rPr>
              <w:t>9,560</w:t>
            </w:r>
          </w:p>
        </w:tc>
        <w:tc>
          <w:tcPr>
            <w:tcW w:w="851" w:type="dxa"/>
            <w:tcBorders>
              <w:top w:val="nil"/>
              <w:bottom w:val="nil"/>
            </w:tcBorders>
          </w:tcPr>
          <w:p w:rsidR="00000000" w:rsidRDefault="00000000">
            <w:pPr>
              <w:spacing w:line="288" w:lineRule="auto"/>
              <w:jc w:val="right"/>
              <w:rPr>
                <w:sz w:val="22"/>
              </w:rPr>
            </w:pPr>
            <w:r>
              <w:rPr>
                <w:sz w:val="22"/>
              </w:rPr>
              <w:t>8,190</w:t>
            </w:r>
          </w:p>
        </w:tc>
        <w:tc>
          <w:tcPr>
            <w:tcW w:w="851" w:type="dxa"/>
            <w:tcBorders>
              <w:top w:val="nil"/>
              <w:bottom w:val="nil"/>
            </w:tcBorders>
          </w:tcPr>
          <w:p w:rsidR="00000000" w:rsidRDefault="00000000">
            <w:pPr>
              <w:spacing w:line="288" w:lineRule="auto"/>
              <w:jc w:val="right"/>
              <w:rPr>
                <w:sz w:val="22"/>
              </w:rPr>
            </w:pPr>
            <w:r>
              <w:rPr>
                <w:sz w:val="22"/>
              </w:rPr>
              <w:t>7,650</w:t>
            </w:r>
          </w:p>
        </w:tc>
      </w:tr>
      <w:tr w:rsidR="00000000">
        <w:tblPrEx>
          <w:tblCellMar>
            <w:top w:w="0" w:type="dxa"/>
            <w:bottom w:w="0" w:type="dxa"/>
          </w:tblCellMar>
        </w:tblPrEx>
        <w:tc>
          <w:tcPr>
            <w:tcW w:w="3969" w:type="dxa"/>
            <w:tcBorders>
              <w:top w:val="nil"/>
              <w:bottom w:val="nil"/>
            </w:tcBorders>
          </w:tcPr>
          <w:p w:rsidR="00000000" w:rsidRDefault="00000000">
            <w:pPr>
              <w:spacing w:line="288" w:lineRule="auto"/>
              <w:rPr>
                <w:rFonts w:hint="eastAsia"/>
                <w:sz w:val="22"/>
              </w:rPr>
            </w:pPr>
            <w:r>
              <w:rPr>
                <w:rFonts w:hint="eastAsia"/>
                <w:sz w:val="22"/>
              </w:rPr>
              <w:t>大赫尔辛基地区</w:t>
            </w:r>
          </w:p>
        </w:tc>
        <w:tc>
          <w:tcPr>
            <w:tcW w:w="851" w:type="dxa"/>
            <w:tcBorders>
              <w:top w:val="nil"/>
              <w:bottom w:val="nil"/>
            </w:tcBorders>
          </w:tcPr>
          <w:p w:rsidR="00000000" w:rsidRDefault="00000000">
            <w:pPr>
              <w:spacing w:line="288" w:lineRule="auto"/>
              <w:jc w:val="right"/>
              <w:rPr>
                <w:sz w:val="22"/>
                <w:lang w:val="fi-FI"/>
              </w:rPr>
            </w:pPr>
            <w:r>
              <w:rPr>
                <w:sz w:val="22"/>
                <w:lang w:val="fi-FI"/>
              </w:rPr>
              <w:t>5,463</w:t>
            </w:r>
          </w:p>
        </w:tc>
        <w:tc>
          <w:tcPr>
            <w:tcW w:w="936" w:type="dxa"/>
            <w:tcBorders>
              <w:top w:val="nil"/>
              <w:bottom w:val="nil"/>
            </w:tcBorders>
          </w:tcPr>
          <w:p w:rsidR="00000000" w:rsidRDefault="00000000">
            <w:pPr>
              <w:spacing w:line="288" w:lineRule="auto"/>
              <w:jc w:val="right"/>
              <w:rPr>
                <w:sz w:val="22"/>
                <w:lang w:val="fi-FI"/>
              </w:rPr>
            </w:pPr>
            <w:r>
              <w:rPr>
                <w:sz w:val="22"/>
                <w:lang w:val="fi-FI"/>
              </w:rPr>
              <w:t>5,716</w:t>
            </w:r>
          </w:p>
        </w:tc>
        <w:tc>
          <w:tcPr>
            <w:tcW w:w="936" w:type="dxa"/>
            <w:tcBorders>
              <w:top w:val="nil"/>
              <w:bottom w:val="nil"/>
            </w:tcBorders>
          </w:tcPr>
          <w:p w:rsidR="00000000" w:rsidRDefault="00000000">
            <w:pPr>
              <w:spacing w:line="288" w:lineRule="auto"/>
              <w:jc w:val="right"/>
              <w:rPr>
                <w:sz w:val="22"/>
                <w:lang w:val="fi-FI"/>
              </w:rPr>
            </w:pPr>
            <w:r>
              <w:rPr>
                <w:sz w:val="22"/>
                <w:lang w:val="fi-FI"/>
              </w:rPr>
              <w:t>5,787</w:t>
            </w:r>
          </w:p>
        </w:tc>
        <w:tc>
          <w:tcPr>
            <w:tcW w:w="851" w:type="dxa"/>
            <w:tcBorders>
              <w:top w:val="nil"/>
              <w:bottom w:val="nil"/>
            </w:tcBorders>
          </w:tcPr>
          <w:p w:rsidR="00000000" w:rsidRDefault="00000000">
            <w:pPr>
              <w:spacing w:line="288" w:lineRule="auto"/>
              <w:jc w:val="right"/>
              <w:rPr>
                <w:sz w:val="22"/>
                <w:lang w:val="fi-FI"/>
              </w:rPr>
            </w:pPr>
            <w:r>
              <w:rPr>
                <w:sz w:val="22"/>
                <w:lang w:val="fi-FI"/>
              </w:rPr>
              <w:t>5,560</w:t>
            </w:r>
          </w:p>
        </w:tc>
        <w:tc>
          <w:tcPr>
            <w:tcW w:w="851" w:type="dxa"/>
            <w:tcBorders>
              <w:top w:val="nil"/>
              <w:bottom w:val="nil"/>
            </w:tcBorders>
          </w:tcPr>
          <w:p w:rsidR="00000000" w:rsidRDefault="00000000">
            <w:pPr>
              <w:spacing w:line="288" w:lineRule="auto"/>
              <w:jc w:val="right"/>
              <w:rPr>
                <w:sz w:val="22"/>
                <w:lang w:val="fi-FI"/>
              </w:rPr>
            </w:pPr>
            <w:r>
              <w:rPr>
                <w:sz w:val="22"/>
                <w:lang w:val="fi-FI"/>
              </w:rPr>
              <w:t>4,440</w:t>
            </w:r>
          </w:p>
        </w:tc>
        <w:tc>
          <w:tcPr>
            <w:tcW w:w="851" w:type="dxa"/>
            <w:tcBorders>
              <w:top w:val="nil"/>
              <w:bottom w:val="nil"/>
            </w:tcBorders>
          </w:tcPr>
          <w:p w:rsidR="00000000" w:rsidRDefault="00000000">
            <w:pPr>
              <w:spacing w:line="288" w:lineRule="auto"/>
              <w:jc w:val="right"/>
              <w:rPr>
                <w:sz w:val="22"/>
                <w:lang w:val="fi-FI"/>
              </w:rPr>
            </w:pPr>
            <w:r>
              <w:rPr>
                <w:sz w:val="22"/>
                <w:lang w:val="fi-FI"/>
              </w:rPr>
              <w:t>4,185</w:t>
            </w:r>
          </w:p>
        </w:tc>
      </w:tr>
      <w:tr w:rsidR="00000000">
        <w:tblPrEx>
          <w:tblCellMar>
            <w:top w:w="0" w:type="dxa"/>
            <w:bottom w:w="0" w:type="dxa"/>
          </w:tblCellMar>
        </w:tblPrEx>
        <w:tc>
          <w:tcPr>
            <w:tcW w:w="3969" w:type="dxa"/>
            <w:tcBorders>
              <w:top w:val="nil"/>
              <w:bottom w:val="nil"/>
            </w:tcBorders>
          </w:tcPr>
          <w:p w:rsidR="00000000" w:rsidRDefault="00000000">
            <w:pPr>
              <w:spacing w:line="288" w:lineRule="auto"/>
              <w:rPr>
                <w:sz w:val="22"/>
                <w:lang w:val="fi-FI"/>
              </w:rPr>
            </w:pPr>
            <w:r>
              <w:rPr>
                <w:rFonts w:hint="eastAsia"/>
                <w:sz w:val="22"/>
                <w:lang w:val="fi-FI"/>
              </w:rPr>
              <w:t>赫尔辛基</w:t>
            </w:r>
          </w:p>
        </w:tc>
        <w:tc>
          <w:tcPr>
            <w:tcW w:w="851" w:type="dxa"/>
            <w:tcBorders>
              <w:top w:val="nil"/>
              <w:bottom w:val="nil"/>
            </w:tcBorders>
          </w:tcPr>
          <w:p w:rsidR="00000000" w:rsidRDefault="00000000">
            <w:pPr>
              <w:spacing w:line="288" w:lineRule="auto"/>
              <w:jc w:val="right"/>
              <w:rPr>
                <w:sz w:val="22"/>
                <w:lang w:val="fi-FI"/>
              </w:rPr>
            </w:pPr>
            <w:r>
              <w:rPr>
                <w:sz w:val="22"/>
                <w:lang w:val="fi-FI"/>
              </w:rPr>
              <w:t>4,440</w:t>
            </w:r>
          </w:p>
        </w:tc>
        <w:tc>
          <w:tcPr>
            <w:tcW w:w="936" w:type="dxa"/>
            <w:tcBorders>
              <w:top w:val="nil"/>
              <w:bottom w:val="nil"/>
            </w:tcBorders>
          </w:tcPr>
          <w:p w:rsidR="00000000" w:rsidRDefault="00000000">
            <w:pPr>
              <w:spacing w:line="288" w:lineRule="auto"/>
              <w:jc w:val="right"/>
              <w:rPr>
                <w:sz w:val="22"/>
                <w:lang w:val="fi-FI"/>
              </w:rPr>
            </w:pPr>
            <w:r>
              <w:rPr>
                <w:sz w:val="22"/>
                <w:lang w:val="fi-FI"/>
              </w:rPr>
              <w:t>4,700</w:t>
            </w:r>
          </w:p>
        </w:tc>
        <w:tc>
          <w:tcPr>
            <w:tcW w:w="936" w:type="dxa"/>
            <w:tcBorders>
              <w:top w:val="nil"/>
              <w:bottom w:val="nil"/>
            </w:tcBorders>
          </w:tcPr>
          <w:p w:rsidR="00000000" w:rsidRDefault="00000000">
            <w:pPr>
              <w:spacing w:line="288" w:lineRule="auto"/>
              <w:jc w:val="right"/>
              <w:rPr>
                <w:sz w:val="22"/>
                <w:lang w:val="fi-FI"/>
              </w:rPr>
            </w:pPr>
            <w:r>
              <w:rPr>
                <w:sz w:val="22"/>
                <w:lang w:val="fi-FI"/>
              </w:rPr>
              <w:t>4,700</w:t>
            </w:r>
          </w:p>
        </w:tc>
        <w:tc>
          <w:tcPr>
            <w:tcW w:w="851" w:type="dxa"/>
            <w:tcBorders>
              <w:top w:val="nil"/>
              <w:bottom w:val="nil"/>
            </w:tcBorders>
          </w:tcPr>
          <w:p w:rsidR="00000000" w:rsidRDefault="00000000">
            <w:pPr>
              <w:spacing w:line="288" w:lineRule="auto"/>
              <w:jc w:val="right"/>
              <w:rPr>
                <w:sz w:val="22"/>
                <w:lang w:val="fi-FI"/>
              </w:rPr>
            </w:pPr>
            <w:r>
              <w:rPr>
                <w:sz w:val="22"/>
                <w:lang w:val="fi-FI"/>
              </w:rPr>
              <w:t>4,600</w:t>
            </w:r>
          </w:p>
        </w:tc>
        <w:tc>
          <w:tcPr>
            <w:tcW w:w="851" w:type="dxa"/>
            <w:tcBorders>
              <w:top w:val="nil"/>
              <w:bottom w:val="nil"/>
            </w:tcBorders>
          </w:tcPr>
          <w:p w:rsidR="00000000" w:rsidRDefault="00000000">
            <w:pPr>
              <w:spacing w:line="288" w:lineRule="auto"/>
              <w:jc w:val="right"/>
              <w:rPr>
                <w:sz w:val="22"/>
                <w:lang w:val="fi-FI"/>
              </w:rPr>
            </w:pPr>
            <w:r>
              <w:rPr>
                <w:sz w:val="22"/>
                <w:lang w:val="fi-FI"/>
              </w:rPr>
              <w:t>3,515</w:t>
            </w:r>
          </w:p>
        </w:tc>
        <w:tc>
          <w:tcPr>
            <w:tcW w:w="851" w:type="dxa"/>
            <w:tcBorders>
              <w:top w:val="nil"/>
              <w:bottom w:val="nil"/>
            </w:tcBorders>
          </w:tcPr>
          <w:p w:rsidR="00000000" w:rsidRDefault="00000000">
            <w:pPr>
              <w:spacing w:line="288" w:lineRule="auto"/>
              <w:jc w:val="right"/>
              <w:rPr>
                <w:sz w:val="22"/>
                <w:lang w:val="fi-FI"/>
              </w:rPr>
            </w:pPr>
            <w:r>
              <w:rPr>
                <w:sz w:val="22"/>
                <w:lang w:val="fi-FI"/>
              </w:rPr>
              <w:t>3,270</w:t>
            </w:r>
          </w:p>
        </w:tc>
      </w:tr>
      <w:tr w:rsidR="00000000">
        <w:tblPrEx>
          <w:tblCellMar>
            <w:top w:w="0" w:type="dxa"/>
            <w:bottom w:w="0" w:type="dxa"/>
          </w:tblCellMar>
        </w:tblPrEx>
        <w:tc>
          <w:tcPr>
            <w:tcW w:w="3969" w:type="dxa"/>
            <w:tcBorders>
              <w:top w:val="nil"/>
              <w:bottom w:val="nil"/>
            </w:tcBorders>
          </w:tcPr>
          <w:p w:rsidR="00000000" w:rsidRDefault="00000000">
            <w:pPr>
              <w:spacing w:line="288" w:lineRule="auto"/>
              <w:rPr>
                <w:sz w:val="22"/>
                <w:lang w:val="fi-FI"/>
              </w:rPr>
            </w:pPr>
            <w:r>
              <w:rPr>
                <w:sz w:val="22"/>
                <w:lang w:val="fi-FI"/>
              </w:rPr>
              <w:t>Espoo</w:t>
            </w:r>
          </w:p>
        </w:tc>
        <w:tc>
          <w:tcPr>
            <w:tcW w:w="851" w:type="dxa"/>
            <w:tcBorders>
              <w:top w:val="nil"/>
              <w:bottom w:val="nil"/>
            </w:tcBorders>
          </w:tcPr>
          <w:p w:rsidR="00000000" w:rsidRDefault="00000000">
            <w:pPr>
              <w:spacing w:line="288" w:lineRule="auto"/>
              <w:jc w:val="right"/>
              <w:rPr>
                <w:sz w:val="22"/>
                <w:lang w:val="fi-FI"/>
              </w:rPr>
            </w:pPr>
            <w:r>
              <w:rPr>
                <w:sz w:val="22"/>
                <w:lang w:val="fi-FI"/>
              </w:rPr>
              <w:t>550</w:t>
            </w:r>
          </w:p>
        </w:tc>
        <w:tc>
          <w:tcPr>
            <w:tcW w:w="936" w:type="dxa"/>
            <w:tcBorders>
              <w:top w:val="nil"/>
              <w:bottom w:val="nil"/>
            </w:tcBorders>
          </w:tcPr>
          <w:p w:rsidR="00000000" w:rsidRDefault="00000000">
            <w:pPr>
              <w:spacing w:line="288" w:lineRule="auto"/>
              <w:jc w:val="right"/>
              <w:rPr>
                <w:sz w:val="22"/>
                <w:lang w:val="fi-FI"/>
              </w:rPr>
            </w:pPr>
            <w:r>
              <w:rPr>
                <w:sz w:val="22"/>
                <w:lang w:val="fi-FI"/>
              </w:rPr>
              <w:t>550</w:t>
            </w:r>
          </w:p>
        </w:tc>
        <w:tc>
          <w:tcPr>
            <w:tcW w:w="936" w:type="dxa"/>
            <w:tcBorders>
              <w:top w:val="nil"/>
              <w:bottom w:val="nil"/>
            </w:tcBorders>
          </w:tcPr>
          <w:p w:rsidR="00000000" w:rsidRDefault="00000000">
            <w:pPr>
              <w:spacing w:line="288" w:lineRule="auto"/>
              <w:jc w:val="right"/>
              <w:rPr>
                <w:sz w:val="22"/>
                <w:lang w:val="fi-FI"/>
              </w:rPr>
            </w:pPr>
            <w:r>
              <w:rPr>
                <w:sz w:val="22"/>
                <w:lang w:val="fi-FI"/>
              </w:rPr>
              <w:t>580</w:t>
            </w:r>
          </w:p>
        </w:tc>
        <w:tc>
          <w:tcPr>
            <w:tcW w:w="851" w:type="dxa"/>
            <w:tcBorders>
              <w:top w:val="nil"/>
              <w:bottom w:val="nil"/>
            </w:tcBorders>
          </w:tcPr>
          <w:p w:rsidR="00000000" w:rsidRDefault="00000000">
            <w:pPr>
              <w:spacing w:line="288" w:lineRule="auto"/>
              <w:jc w:val="right"/>
              <w:rPr>
                <w:sz w:val="22"/>
                <w:lang w:val="fi-FI"/>
              </w:rPr>
            </w:pPr>
            <w:r>
              <w:rPr>
                <w:sz w:val="22"/>
                <w:lang w:val="fi-FI"/>
              </w:rPr>
              <w:t>529</w:t>
            </w:r>
          </w:p>
        </w:tc>
        <w:tc>
          <w:tcPr>
            <w:tcW w:w="851" w:type="dxa"/>
            <w:tcBorders>
              <w:top w:val="nil"/>
              <w:bottom w:val="nil"/>
            </w:tcBorders>
          </w:tcPr>
          <w:p w:rsidR="00000000" w:rsidRDefault="00000000">
            <w:pPr>
              <w:spacing w:line="288" w:lineRule="auto"/>
              <w:jc w:val="right"/>
              <w:rPr>
                <w:sz w:val="22"/>
                <w:lang w:val="fi-FI"/>
              </w:rPr>
            </w:pPr>
            <w:r>
              <w:rPr>
                <w:sz w:val="22"/>
                <w:lang w:val="fi-FI"/>
              </w:rPr>
              <w:t>446</w:t>
            </w:r>
          </w:p>
        </w:tc>
        <w:tc>
          <w:tcPr>
            <w:tcW w:w="851" w:type="dxa"/>
            <w:tcBorders>
              <w:top w:val="nil"/>
              <w:bottom w:val="nil"/>
            </w:tcBorders>
          </w:tcPr>
          <w:p w:rsidR="00000000" w:rsidRDefault="00000000">
            <w:pPr>
              <w:spacing w:line="288" w:lineRule="auto"/>
              <w:jc w:val="right"/>
              <w:rPr>
                <w:sz w:val="22"/>
                <w:lang w:val="fi-FI"/>
              </w:rPr>
            </w:pPr>
            <w:r>
              <w:rPr>
                <w:sz w:val="22"/>
                <w:lang w:val="fi-FI"/>
              </w:rPr>
              <w:t>438</w:t>
            </w:r>
          </w:p>
        </w:tc>
      </w:tr>
      <w:tr w:rsidR="00000000">
        <w:tblPrEx>
          <w:tblCellMar>
            <w:top w:w="0" w:type="dxa"/>
            <w:bottom w:w="0" w:type="dxa"/>
          </w:tblCellMar>
        </w:tblPrEx>
        <w:tc>
          <w:tcPr>
            <w:tcW w:w="3969" w:type="dxa"/>
            <w:tcBorders>
              <w:top w:val="nil"/>
              <w:bottom w:val="nil"/>
            </w:tcBorders>
          </w:tcPr>
          <w:p w:rsidR="00000000" w:rsidRDefault="00000000">
            <w:pPr>
              <w:spacing w:line="288" w:lineRule="auto"/>
              <w:rPr>
                <w:sz w:val="22"/>
                <w:lang w:val="fi-FI"/>
              </w:rPr>
            </w:pPr>
            <w:r>
              <w:rPr>
                <w:sz w:val="22"/>
                <w:lang w:val="fi-FI"/>
              </w:rPr>
              <w:t>Vantaa</w:t>
            </w:r>
          </w:p>
        </w:tc>
        <w:tc>
          <w:tcPr>
            <w:tcW w:w="851" w:type="dxa"/>
            <w:tcBorders>
              <w:top w:val="nil"/>
              <w:bottom w:val="nil"/>
            </w:tcBorders>
          </w:tcPr>
          <w:p w:rsidR="00000000" w:rsidRDefault="00000000">
            <w:pPr>
              <w:spacing w:line="288" w:lineRule="auto"/>
              <w:jc w:val="right"/>
              <w:rPr>
                <w:sz w:val="22"/>
              </w:rPr>
            </w:pPr>
            <w:r>
              <w:rPr>
                <w:sz w:val="22"/>
              </w:rPr>
              <w:t>473</w:t>
            </w:r>
          </w:p>
        </w:tc>
        <w:tc>
          <w:tcPr>
            <w:tcW w:w="936" w:type="dxa"/>
            <w:tcBorders>
              <w:top w:val="nil"/>
              <w:bottom w:val="nil"/>
            </w:tcBorders>
          </w:tcPr>
          <w:p w:rsidR="00000000" w:rsidRDefault="00000000">
            <w:pPr>
              <w:spacing w:line="288" w:lineRule="auto"/>
              <w:jc w:val="right"/>
              <w:rPr>
                <w:sz w:val="22"/>
              </w:rPr>
            </w:pPr>
            <w:r>
              <w:rPr>
                <w:sz w:val="22"/>
              </w:rPr>
              <w:t>466</w:t>
            </w:r>
          </w:p>
        </w:tc>
        <w:tc>
          <w:tcPr>
            <w:tcW w:w="936" w:type="dxa"/>
            <w:tcBorders>
              <w:top w:val="nil"/>
              <w:bottom w:val="nil"/>
            </w:tcBorders>
          </w:tcPr>
          <w:p w:rsidR="00000000" w:rsidRDefault="00000000">
            <w:pPr>
              <w:spacing w:line="288" w:lineRule="auto"/>
              <w:jc w:val="right"/>
              <w:rPr>
                <w:sz w:val="22"/>
              </w:rPr>
            </w:pPr>
            <w:r>
              <w:rPr>
                <w:sz w:val="22"/>
              </w:rPr>
              <w:t>507</w:t>
            </w:r>
          </w:p>
        </w:tc>
        <w:tc>
          <w:tcPr>
            <w:tcW w:w="851" w:type="dxa"/>
            <w:tcBorders>
              <w:top w:val="nil"/>
              <w:bottom w:val="nil"/>
            </w:tcBorders>
          </w:tcPr>
          <w:p w:rsidR="00000000" w:rsidRDefault="00000000">
            <w:pPr>
              <w:spacing w:line="288" w:lineRule="auto"/>
              <w:jc w:val="right"/>
              <w:rPr>
                <w:sz w:val="22"/>
              </w:rPr>
            </w:pPr>
            <w:r>
              <w:rPr>
                <w:sz w:val="22"/>
              </w:rPr>
              <w:t>431</w:t>
            </w:r>
          </w:p>
        </w:tc>
        <w:tc>
          <w:tcPr>
            <w:tcW w:w="851" w:type="dxa"/>
            <w:tcBorders>
              <w:top w:val="nil"/>
              <w:bottom w:val="nil"/>
            </w:tcBorders>
          </w:tcPr>
          <w:p w:rsidR="00000000" w:rsidRDefault="00000000">
            <w:pPr>
              <w:spacing w:line="288" w:lineRule="auto"/>
              <w:jc w:val="right"/>
              <w:rPr>
                <w:sz w:val="22"/>
              </w:rPr>
            </w:pPr>
            <w:r>
              <w:rPr>
                <w:sz w:val="22"/>
              </w:rPr>
              <w:t>479</w:t>
            </w:r>
          </w:p>
        </w:tc>
        <w:tc>
          <w:tcPr>
            <w:tcW w:w="851" w:type="dxa"/>
            <w:tcBorders>
              <w:top w:val="nil"/>
              <w:bottom w:val="nil"/>
            </w:tcBorders>
          </w:tcPr>
          <w:p w:rsidR="00000000" w:rsidRDefault="00000000">
            <w:pPr>
              <w:spacing w:line="288" w:lineRule="auto"/>
              <w:jc w:val="right"/>
              <w:rPr>
                <w:sz w:val="22"/>
              </w:rPr>
            </w:pPr>
            <w:r>
              <w:rPr>
                <w:sz w:val="22"/>
              </w:rPr>
              <w:t>477</w:t>
            </w:r>
          </w:p>
        </w:tc>
      </w:tr>
      <w:tr w:rsidR="00000000">
        <w:tblPrEx>
          <w:tblCellMar>
            <w:top w:w="0" w:type="dxa"/>
            <w:bottom w:w="0" w:type="dxa"/>
          </w:tblCellMar>
        </w:tblPrEx>
        <w:tc>
          <w:tcPr>
            <w:tcW w:w="3969" w:type="dxa"/>
            <w:tcBorders>
              <w:top w:val="nil"/>
              <w:bottom w:val="nil"/>
            </w:tcBorders>
          </w:tcPr>
          <w:p w:rsidR="00000000" w:rsidRDefault="00000000">
            <w:pPr>
              <w:spacing w:line="288" w:lineRule="auto"/>
              <w:rPr>
                <w:sz w:val="22"/>
                <w:lang w:val="fi-FI"/>
              </w:rPr>
            </w:pPr>
            <w:r>
              <w:rPr>
                <w:rFonts w:hint="eastAsia"/>
                <w:sz w:val="22"/>
              </w:rPr>
              <w:t>无家可归者家庭</w:t>
            </w:r>
          </w:p>
        </w:tc>
        <w:tc>
          <w:tcPr>
            <w:tcW w:w="851" w:type="dxa"/>
            <w:tcBorders>
              <w:top w:val="nil"/>
              <w:bottom w:val="nil"/>
            </w:tcBorders>
          </w:tcPr>
          <w:p w:rsidR="00000000" w:rsidRDefault="00000000">
            <w:pPr>
              <w:spacing w:line="288" w:lineRule="auto"/>
              <w:jc w:val="right"/>
              <w:rPr>
                <w:sz w:val="22"/>
              </w:rPr>
            </w:pPr>
          </w:p>
        </w:tc>
        <w:tc>
          <w:tcPr>
            <w:tcW w:w="936" w:type="dxa"/>
            <w:tcBorders>
              <w:top w:val="nil"/>
              <w:bottom w:val="nil"/>
            </w:tcBorders>
          </w:tcPr>
          <w:p w:rsidR="00000000" w:rsidRDefault="00000000">
            <w:pPr>
              <w:spacing w:line="288" w:lineRule="auto"/>
              <w:jc w:val="right"/>
              <w:rPr>
                <w:sz w:val="22"/>
              </w:rPr>
            </w:pPr>
          </w:p>
        </w:tc>
        <w:tc>
          <w:tcPr>
            <w:tcW w:w="936" w:type="dxa"/>
            <w:tcBorders>
              <w:top w:val="nil"/>
              <w:bottom w:val="nil"/>
            </w:tcBorders>
          </w:tcPr>
          <w:p w:rsidR="00000000" w:rsidRDefault="00000000">
            <w:pPr>
              <w:spacing w:line="288" w:lineRule="auto"/>
              <w:jc w:val="right"/>
              <w:rPr>
                <w:sz w:val="22"/>
              </w:rPr>
            </w:pPr>
          </w:p>
        </w:tc>
        <w:tc>
          <w:tcPr>
            <w:tcW w:w="851" w:type="dxa"/>
            <w:tcBorders>
              <w:top w:val="nil"/>
              <w:bottom w:val="nil"/>
            </w:tcBorders>
          </w:tcPr>
          <w:p w:rsidR="00000000" w:rsidRDefault="00000000">
            <w:pPr>
              <w:spacing w:line="288" w:lineRule="auto"/>
              <w:jc w:val="right"/>
              <w:rPr>
                <w:sz w:val="22"/>
              </w:rPr>
            </w:pPr>
          </w:p>
        </w:tc>
        <w:tc>
          <w:tcPr>
            <w:tcW w:w="851" w:type="dxa"/>
            <w:tcBorders>
              <w:top w:val="nil"/>
              <w:bottom w:val="nil"/>
            </w:tcBorders>
          </w:tcPr>
          <w:p w:rsidR="00000000" w:rsidRDefault="00000000">
            <w:pPr>
              <w:spacing w:line="288" w:lineRule="auto"/>
              <w:jc w:val="right"/>
              <w:rPr>
                <w:sz w:val="22"/>
              </w:rPr>
            </w:pPr>
          </w:p>
        </w:tc>
        <w:tc>
          <w:tcPr>
            <w:tcW w:w="851" w:type="dxa"/>
            <w:tcBorders>
              <w:top w:val="nil"/>
              <w:bottom w:val="nil"/>
            </w:tcBorders>
          </w:tcPr>
          <w:p w:rsidR="00000000" w:rsidRDefault="00000000">
            <w:pPr>
              <w:spacing w:line="288" w:lineRule="auto"/>
              <w:jc w:val="right"/>
              <w:rPr>
                <w:sz w:val="22"/>
              </w:rPr>
            </w:pPr>
          </w:p>
        </w:tc>
      </w:tr>
      <w:tr w:rsidR="00000000">
        <w:tblPrEx>
          <w:tblCellMar>
            <w:top w:w="0" w:type="dxa"/>
            <w:bottom w:w="0" w:type="dxa"/>
          </w:tblCellMar>
        </w:tblPrEx>
        <w:tc>
          <w:tcPr>
            <w:tcW w:w="3969" w:type="dxa"/>
            <w:tcBorders>
              <w:top w:val="nil"/>
              <w:bottom w:val="nil"/>
            </w:tcBorders>
          </w:tcPr>
          <w:p w:rsidR="00000000" w:rsidRDefault="00000000">
            <w:pPr>
              <w:spacing w:line="288" w:lineRule="auto"/>
              <w:rPr>
                <w:rFonts w:hint="eastAsia"/>
                <w:sz w:val="22"/>
              </w:rPr>
            </w:pPr>
            <w:r>
              <w:rPr>
                <w:rFonts w:hint="eastAsia"/>
                <w:sz w:val="22"/>
              </w:rPr>
              <w:t>芬兰无家可归者家庭总数</w:t>
            </w:r>
          </w:p>
        </w:tc>
        <w:tc>
          <w:tcPr>
            <w:tcW w:w="851" w:type="dxa"/>
            <w:tcBorders>
              <w:top w:val="nil"/>
              <w:bottom w:val="nil"/>
            </w:tcBorders>
          </w:tcPr>
          <w:p w:rsidR="00000000" w:rsidRDefault="00000000">
            <w:pPr>
              <w:spacing w:line="288" w:lineRule="auto"/>
              <w:jc w:val="right"/>
              <w:rPr>
                <w:sz w:val="22"/>
              </w:rPr>
            </w:pPr>
            <w:r>
              <w:rPr>
                <w:sz w:val="22"/>
              </w:rPr>
              <w:t>780</w:t>
            </w:r>
          </w:p>
        </w:tc>
        <w:tc>
          <w:tcPr>
            <w:tcW w:w="936" w:type="dxa"/>
            <w:tcBorders>
              <w:top w:val="nil"/>
              <w:bottom w:val="nil"/>
            </w:tcBorders>
          </w:tcPr>
          <w:p w:rsidR="00000000" w:rsidRDefault="00000000">
            <w:pPr>
              <w:spacing w:line="288" w:lineRule="auto"/>
              <w:jc w:val="right"/>
              <w:rPr>
                <w:sz w:val="22"/>
              </w:rPr>
            </w:pPr>
            <w:r>
              <w:rPr>
                <w:sz w:val="22"/>
              </w:rPr>
              <w:t>780</w:t>
            </w:r>
          </w:p>
        </w:tc>
        <w:tc>
          <w:tcPr>
            <w:tcW w:w="936" w:type="dxa"/>
            <w:tcBorders>
              <w:top w:val="nil"/>
              <w:bottom w:val="nil"/>
            </w:tcBorders>
          </w:tcPr>
          <w:p w:rsidR="00000000" w:rsidRDefault="00000000">
            <w:pPr>
              <w:spacing w:line="288" w:lineRule="auto"/>
              <w:jc w:val="right"/>
              <w:rPr>
                <w:sz w:val="22"/>
              </w:rPr>
            </w:pPr>
            <w:r>
              <w:rPr>
                <w:sz w:val="22"/>
              </w:rPr>
              <w:t>780</w:t>
            </w:r>
          </w:p>
        </w:tc>
        <w:tc>
          <w:tcPr>
            <w:tcW w:w="851" w:type="dxa"/>
            <w:tcBorders>
              <w:top w:val="nil"/>
              <w:bottom w:val="nil"/>
            </w:tcBorders>
          </w:tcPr>
          <w:p w:rsidR="00000000" w:rsidRDefault="00000000">
            <w:pPr>
              <w:spacing w:line="288" w:lineRule="auto"/>
              <w:jc w:val="right"/>
              <w:rPr>
                <w:sz w:val="22"/>
              </w:rPr>
            </w:pPr>
            <w:r>
              <w:rPr>
                <w:sz w:val="22"/>
              </w:rPr>
              <w:t>770</w:t>
            </w:r>
          </w:p>
        </w:tc>
        <w:tc>
          <w:tcPr>
            <w:tcW w:w="851" w:type="dxa"/>
            <w:tcBorders>
              <w:top w:val="nil"/>
              <w:bottom w:val="nil"/>
            </w:tcBorders>
          </w:tcPr>
          <w:p w:rsidR="00000000" w:rsidRDefault="00000000">
            <w:pPr>
              <w:spacing w:line="288" w:lineRule="auto"/>
              <w:jc w:val="right"/>
              <w:rPr>
                <w:sz w:val="22"/>
              </w:rPr>
            </w:pPr>
            <w:r>
              <w:rPr>
                <w:sz w:val="22"/>
              </w:rPr>
              <w:t>420</w:t>
            </w:r>
          </w:p>
        </w:tc>
        <w:tc>
          <w:tcPr>
            <w:tcW w:w="851" w:type="dxa"/>
            <w:tcBorders>
              <w:top w:val="nil"/>
              <w:bottom w:val="nil"/>
            </w:tcBorders>
          </w:tcPr>
          <w:p w:rsidR="00000000" w:rsidRDefault="00000000">
            <w:pPr>
              <w:spacing w:line="288" w:lineRule="auto"/>
              <w:jc w:val="right"/>
              <w:rPr>
                <w:sz w:val="22"/>
              </w:rPr>
            </w:pPr>
            <w:r>
              <w:rPr>
                <w:sz w:val="22"/>
              </w:rPr>
              <w:t>360</w:t>
            </w:r>
          </w:p>
        </w:tc>
      </w:tr>
      <w:tr w:rsidR="00000000">
        <w:tblPrEx>
          <w:tblCellMar>
            <w:top w:w="0" w:type="dxa"/>
            <w:bottom w:w="0" w:type="dxa"/>
          </w:tblCellMar>
        </w:tblPrEx>
        <w:tc>
          <w:tcPr>
            <w:tcW w:w="3969" w:type="dxa"/>
            <w:tcBorders>
              <w:top w:val="nil"/>
            </w:tcBorders>
          </w:tcPr>
          <w:p w:rsidR="00000000" w:rsidRDefault="00000000">
            <w:pPr>
              <w:spacing w:line="288" w:lineRule="auto"/>
              <w:rPr>
                <w:sz w:val="22"/>
              </w:rPr>
            </w:pPr>
            <w:r>
              <w:rPr>
                <w:rFonts w:hint="eastAsia"/>
                <w:sz w:val="22"/>
              </w:rPr>
              <w:t>大赫尔辛基地区</w:t>
            </w:r>
          </w:p>
        </w:tc>
        <w:tc>
          <w:tcPr>
            <w:tcW w:w="851" w:type="dxa"/>
            <w:tcBorders>
              <w:top w:val="nil"/>
            </w:tcBorders>
          </w:tcPr>
          <w:p w:rsidR="00000000" w:rsidRDefault="00000000">
            <w:pPr>
              <w:spacing w:line="288" w:lineRule="auto"/>
              <w:jc w:val="right"/>
              <w:rPr>
                <w:sz w:val="22"/>
              </w:rPr>
            </w:pPr>
            <w:r>
              <w:rPr>
                <w:sz w:val="22"/>
              </w:rPr>
              <w:t>686</w:t>
            </w:r>
          </w:p>
        </w:tc>
        <w:tc>
          <w:tcPr>
            <w:tcW w:w="936" w:type="dxa"/>
            <w:tcBorders>
              <w:top w:val="nil"/>
            </w:tcBorders>
          </w:tcPr>
          <w:p w:rsidR="00000000" w:rsidRDefault="00000000">
            <w:pPr>
              <w:spacing w:line="288" w:lineRule="auto"/>
              <w:jc w:val="right"/>
              <w:rPr>
                <w:sz w:val="22"/>
              </w:rPr>
            </w:pPr>
            <w:r>
              <w:rPr>
                <w:sz w:val="22"/>
              </w:rPr>
              <w:t>684</w:t>
            </w:r>
          </w:p>
        </w:tc>
        <w:tc>
          <w:tcPr>
            <w:tcW w:w="936" w:type="dxa"/>
            <w:tcBorders>
              <w:top w:val="nil"/>
            </w:tcBorders>
          </w:tcPr>
          <w:p w:rsidR="00000000" w:rsidRDefault="00000000">
            <w:pPr>
              <w:spacing w:line="288" w:lineRule="auto"/>
              <w:jc w:val="right"/>
              <w:rPr>
                <w:sz w:val="22"/>
              </w:rPr>
            </w:pPr>
            <w:r>
              <w:rPr>
                <w:sz w:val="22"/>
              </w:rPr>
              <w:t>688</w:t>
            </w:r>
          </w:p>
        </w:tc>
        <w:tc>
          <w:tcPr>
            <w:tcW w:w="851" w:type="dxa"/>
            <w:tcBorders>
              <w:top w:val="nil"/>
            </w:tcBorders>
          </w:tcPr>
          <w:p w:rsidR="00000000" w:rsidRDefault="00000000">
            <w:pPr>
              <w:spacing w:line="288" w:lineRule="auto"/>
              <w:jc w:val="right"/>
              <w:rPr>
                <w:sz w:val="22"/>
              </w:rPr>
            </w:pPr>
            <w:r>
              <w:rPr>
                <w:sz w:val="22"/>
              </w:rPr>
              <w:t>657</w:t>
            </w:r>
          </w:p>
        </w:tc>
        <w:tc>
          <w:tcPr>
            <w:tcW w:w="851" w:type="dxa"/>
            <w:tcBorders>
              <w:top w:val="nil"/>
            </w:tcBorders>
          </w:tcPr>
          <w:p w:rsidR="00000000" w:rsidRDefault="00000000">
            <w:pPr>
              <w:spacing w:line="288" w:lineRule="auto"/>
              <w:jc w:val="right"/>
              <w:rPr>
                <w:sz w:val="22"/>
              </w:rPr>
            </w:pPr>
            <w:r>
              <w:rPr>
                <w:sz w:val="22"/>
              </w:rPr>
              <w:t>315</w:t>
            </w:r>
          </w:p>
        </w:tc>
        <w:tc>
          <w:tcPr>
            <w:tcW w:w="851" w:type="dxa"/>
            <w:tcBorders>
              <w:top w:val="nil"/>
            </w:tcBorders>
          </w:tcPr>
          <w:p w:rsidR="00000000" w:rsidRDefault="00000000">
            <w:pPr>
              <w:spacing w:line="288" w:lineRule="auto"/>
              <w:jc w:val="right"/>
              <w:rPr>
                <w:sz w:val="22"/>
              </w:rPr>
            </w:pPr>
            <w:r>
              <w:rPr>
                <w:sz w:val="22"/>
              </w:rPr>
              <w:t>229</w:t>
            </w:r>
          </w:p>
        </w:tc>
      </w:tr>
    </w:tbl>
    <w:p w:rsidR="00000000" w:rsidRDefault="00000000">
      <w:pPr>
        <w:pStyle w:val="a6"/>
        <w:spacing w:line="240" w:lineRule="auto"/>
        <w:rPr>
          <w:rFonts w:eastAsia="SimSun" w:hint="eastAsia"/>
        </w:rPr>
      </w:pPr>
    </w:p>
    <w:p w:rsidR="00000000" w:rsidRDefault="00000000">
      <w:pPr>
        <w:spacing w:after="320"/>
        <w:rPr>
          <w:rFonts w:eastAsia="KaiTi_GB2312" w:hint="eastAsia"/>
          <w:spacing w:val="0"/>
        </w:rPr>
      </w:pPr>
      <w:r>
        <w:rPr>
          <w:rFonts w:eastAsia="KaiTi_GB2312" w:hint="eastAsia"/>
          <w:spacing w:val="0"/>
        </w:rPr>
        <w:t xml:space="preserve"> </w:t>
      </w:r>
      <w:r>
        <w:rPr>
          <w:rFonts w:eastAsia="KaiTi_GB2312" w:hint="eastAsia"/>
          <w:spacing w:val="0"/>
          <w:u w:val="single"/>
        </w:rPr>
        <w:t>资料来源</w:t>
      </w:r>
      <w:r>
        <w:rPr>
          <w:rFonts w:eastAsia="KaiTi_GB2312" w:hint="eastAsia"/>
          <w:spacing w:val="0"/>
        </w:rPr>
        <w:t>：芬兰住房基金会，</w:t>
      </w:r>
      <w:r>
        <w:rPr>
          <w:rFonts w:eastAsia="KaiTi_GB2312" w:hint="eastAsia"/>
          <w:spacing w:val="0"/>
        </w:rPr>
        <w:t>1999</w:t>
      </w:r>
      <w:r>
        <w:rPr>
          <w:rFonts w:eastAsia="KaiTi_GB2312" w:hint="eastAsia"/>
          <w:spacing w:val="0"/>
        </w:rPr>
        <w:t>年至</w:t>
      </w:r>
      <w:r>
        <w:rPr>
          <w:rFonts w:eastAsia="KaiTi_GB2312" w:hint="eastAsia"/>
          <w:spacing w:val="0"/>
        </w:rPr>
        <w:t>2004</w:t>
      </w:r>
      <w:r>
        <w:rPr>
          <w:rFonts w:eastAsia="KaiTi_GB2312" w:hint="eastAsia"/>
          <w:spacing w:val="0"/>
        </w:rPr>
        <w:t>年。</w:t>
      </w:r>
    </w:p>
    <w:p w:rsidR="00000000" w:rsidRDefault="00000000">
      <w:pPr>
        <w:rPr>
          <w:rFonts w:hint="eastAsia"/>
        </w:rPr>
      </w:pPr>
      <w:r>
        <w:rPr>
          <w:rFonts w:eastAsia="KaiTi_GB2312" w:hint="eastAsia"/>
          <w:spacing w:val="0"/>
        </w:rPr>
        <w:tab/>
        <w:t xml:space="preserve">41.  </w:t>
      </w:r>
      <w:r>
        <w:rPr>
          <w:rFonts w:hint="eastAsia"/>
        </w:rPr>
        <w:t>在</w:t>
      </w:r>
      <w:r>
        <w:rPr>
          <w:rFonts w:hint="eastAsia"/>
        </w:rPr>
        <w:t>2002</w:t>
      </w:r>
      <w:r>
        <w:rPr>
          <w:rFonts w:hint="eastAsia"/>
        </w:rPr>
        <w:t>年实施的旨在减少大赫尔辛基地区无家可归者人数的措施特别包括：加强新的出租公寓的建设，特别是小型公寓的建设、提供一般性的出租住房设施、增加向特定群体提供的公寓和建房土地、加强各个地区在开发扶助住房计划和住房服务方面的合作以及提高庇护住房和服务的质量。</w:t>
      </w:r>
    </w:p>
    <w:p w:rsidR="00000000" w:rsidRDefault="00000000">
      <w:pPr>
        <w:rPr>
          <w:rFonts w:hint="eastAsia"/>
        </w:rPr>
      </w:pPr>
      <w:r>
        <w:rPr>
          <w:rFonts w:hint="eastAsia"/>
        </w:rPr>
        <w:tab/>
        <w:t xml:space="preserve">42.  </w:t>
      </w:r>
      <w:r>
        <w:rPr>
          <w:rFonts w:hint="eastAsia"/>
        </w:rPr>
        <w:t>上述住房设施包括特别为无家可归者保留的普通出租公寓以及用于临时居住的扶助和庇护住房和住房设施。据估计，大约</w:t>
      </w:r>
      <w:r>
        <w:rPr>
          <w:rFonts w:hint="eastAsia"/>
        </w:rPr>
        <w:t>70%</w:t>
      </w:r>
      <w:r>
        <w:rPr>
          <w:rFonts w:hint="eastAsia"/>
        </w:rPr>
        <w:t>在赫尔辛基大都会地区的无家可归者都需要各种类型的扶助服务。其中一半以上的人需要一天</w:t>
      </w:r>
      <w:r>
        <w:rPr>
          <w:rFonts w:hint="eastAsia"/>
        </w:rPr>
        <w:t>24</w:t>
      </w:r>
      <w:r>
        <w:rPr>
          <w:rFonts w:hint="eastAsia"/>
        </w:rPr>
        <w:t>小时提供扶助服务的住房设施。</w:t>
      </w:r>
    </w:p>
    <w:p w:rsidR="00000000" w:rsidRDefault="00000000">
      <w:pPr>
        <w:rPr>
          <w:rFonts w:hint="eastAsia"/>
        </w:rPr>
      </w:pPr>
      <w:r>
        <w:rPr>
          <w:rFonts w:hint="eastAsia"/>
        </w:rPr>
        <w:tab/>
        <w:t xml:space="preserve">43.  </w:t>
      </w:r>
      <w:r>
        <w:rPr>
          <w:rFonts w:hint="eastAsia"/>
        </w:rPr>
        <w:t>在</w:t>
      </w:r>
      <w:r>
        <w:rPr>
          <w:rFonts w:hint="eastAsia"/>
        </w:rPr>
        <w:t>2002</w:t>
      </w:r>
      <w:r>
        <w:rPr>
          <w:rFonts w:hint="eastAsia"/>
        </w:rPr>
        <w:t>年至</w:t>
      </w:r>
      <w:r>
        <w:rPr>
          <w:rFonts w:hint="eastAsia"/>
        </w:rPr>
        <w:t>2004</w:t>
      </w:r>
      <w:r>
        <w:rPr>
          <w:rFonts w:hint="eastAsia"/>
        </w:rPr>
        <w:t>年建成的出租公寓的总数几乎是有关减少无家可归者计划所规定目标的一半。在某些类型的住房方面，例如普通出租公寓以及青年公寓，目标已经明显超出。在扶助和庇护住房以及临时住房设施方面，在有关减少大赫尔辛基地区无家可归者的计划中所规定的目标至今已经大约完成三分之二。赫尔辛基的目标已经超过，但是在</w:t>
      </w:r>
      <w:r>
        <w:t xml:space="preserve">Espoo </w:t>
      </w:r>
      <w:r>
        <w:rPr>
          <w:rFonts w:hint="eastAsia"/>
        </w:rPr>
        <w:t>和</w:t>
      </w:r>
      <w:r>
        <w:t xml:space="preserve"> Vantaa, </w:t>
      </w:r>
      <w:r>
        <w:rPr>
          <w:rFonts w:hint="eastAsia"/>
        </w:rPr>
        <w:t>目标还没有完全达到，这就意味着发展形势是不平衡的。此外，除了因为精神健康问题而需要康复的人以外，这项计划还强调必须为精神或者身体残疾的人提供住房设施，但是计划基本上没有注意到在酗酒或者其他方面有严重问题的人在住房设施方面的需要。在赫尔辛基大都会地区的多数无家可归者或者需要特别服务，或者需要</w:t>
      </w:r>
      <w:r>
        <w:rPr>
          <w:rFonts w:hint="eastAsia"/>
        </w:rPr>
        <w:t>24</w:t>
      </w:r>
      <w:r>
        <w:rPr>
          <w:rFonts w:hint="eastAsia"/>
        </w:rPr>
        <w:t>小时的扶助，或者甚至需要在社会福利服务的框架内的监督或者扶助。因此，就减少无家可归者人数之目的而言，必须要强调建立扶助和庇护住房设施，以及确保为独立生活提供支助和咨询。要向那些很难获得住房的无家可归者提供住房服务，就必须要作出大量投资以及适当解决有关住房设施在位置、数量、规模以及维修等方面的问题。有关城市、国家以及第三部门的合作计划专门就这些住房设施作出了规定。</w:t>
      </w:r>
    </w:p>
    <w:p w:rsidR="00000000" w:rsidRDefault="00000000">
      <w:pPr>
        <w:rPr>
          <w:rFonts w:hint="eastAsia"/>
        </w:rPr>
      </w:pPr>
      <w:r>
        <w:rPr>
          <w:rFonts w:hint="eastAsia"/>
        </w:rPr>
        <w:tab/>
        <w:t xml:space="preserve">44.  </w:t>
      </w:r>
      <w:r>
        <w:rPr>
          <w:rFonts w:hint="eastAsia"/>
        </w:rPr>
        <w:t>在赫尔辛基市，市政府以及负责庇护住房设施的机构在过去几年中提高了服务质量。环境部以及社会事务和卫生部的代表讨论了有关庇护住房设施和服务质量问题的指示。人们普遍认为，应该同地方当局合作共同发展庇护住房，以便就住房设施和服务的标准提出建议。</w:t>
      </w:r>
    </w:p>
    <w:p w:rsidR="00000000" w:rsidRDefault="00000000">
      <w:pPr>
        <w:rPr>
          <w:rFonts w:hint="eastAsia"/>
        </w:rPr>
      </w:pPr>
      <w:r>
        <w:rPr>
          <w:rFonts w:hint="eastAsia"/>
        </w:rPr>
        <w:tab/>
        <w:t xml:space="preserve">45.  </w:t>
      </w:r>
      <w:r>
        <w:rPr>
          <w:rFonts w:hint="eastAsia"/>
        </w:rPr>
        <w:t>一个工作组在研究了大赫尔辛基地区无家可归者的状况之后，提出了一项有关在</w:t>
      </w:r>
      <w:r>
        <w:rPr>
          <w:rFonts w:hint="eastAsia"/>
        </w:rPr>
        <w:t>2005</w:t>
      </w:r>
      <w:r>
        <w:rPr>
          <w:rFonts w:hint="eastAsia"/>
        </w:rPr>
        <w:t>年至</w:t>
      </w:r>
      <w:r>
        <w:rPr>
          <w:rFonts w:hint="eastAsia"/>
        </w:rPr>
        <w:t>2007</w:t>
      </w:r>
      <w:r>
        <w:rPr>
          <w:rFonts w:hint="eastAsia"/>
        </w:rPr>
        <w:t>年发展无家可归者住房设施的共同计划的建议。在大赫尔辛基地区的城市建立了一个地区合作网，其目的是要为很难获得住房的无家可归者发展住房设施和扶助，研究一劳永逸地解决无家可归问题的办法和模式，以及为无家可归者的独立生活提供支助和咨询。在执行这项计划期间，将建立一种适当的服务体制以便确保地区和合作网在将来也能发挥作用。</w:t>
      </w:r>
    </w:p>
    <w:p w:rsidR="00000000" w:rsidRDefault="00000000">
      <w:pPr>
        <w:spacing w:after="240"/>
        <w:rPr>
          <w:rFonts w:hint="eastAsia"/>
        </w:rPr>
      </w:pPr>
      <w:r>
        <w:rPr>
          <w:rFonts w:hint="eastAsia"/>
        </w:rPr>
        <w:tab/>
        <w:t xml:space="preserve">46.  </w:t>
      </w:r>
      <w:r>
        <w:rPr>
          <w:rFonts w:hint="eastAsia"/>
        </w:rPr>
        <w:t>芬兰自动售货机协会在</w:t>
      </w:r>
      <w:r>
        <w:rPr>
          <w:rFonts w:hint="eastAsia"/>
        </w:rPr>
        <w:t>2002</w:t>
      </w:r>
      <w:r>
        <w:rPr>
          <w:rFonts w:hint="eastAsia"/>
        </w:rPr>
        <w:t>年至</w:t>
      </w:r>
      <w:r>
        <w:rPr>
          <w:rFonts w:hint="eastAsia"/>
        </w:rPr>
        <w:t>2005</w:t>
      </w:r>
      <w:r>
        <w:rPr>
          <w:rFonts w:hint="eastAsia"/>
        </w:rPr>
        <w:t>年期间总共向非营利组织和协会捐款</w:t>
      </w:r>
      <w:r>
        <w:rPr>
          <w:rFonts w:hint="eastAsia"/>
        </w:rPr>
        <w:t>3,700</w:t>
      </w:r>
      <w:r>
        <w:rPr>
          <w:rFonts w:hint="eastAsia"/>
        </w:rPr>
        <w:t>万欧元用于为无家可归者购买或者建造大约</w:t>
      </w:r>
      <w:r>
        <w:rPr>
          <w:rFonts w:hint="eastAsia"/>
        </w:rPr>
        <w:t>1,200</w:t>
      </w:r>
      <w:r>
        <w:rPr>
          <w:rFonts w:hint="eastAsia"/>
        </w:rPr>
        <w:t>套公寓，其中部分捐款用于业务补助。</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D</w:t>
      </w:r>
      <w:r>
        <w:rPr>
          <w:rFonts w:ascii="Time New Roman" w:eastAsia="SimHei" w:hAnsi="Time New Roman" w:hint="eastAsia"/>
          <w:bCs/>
          <w:u w:val="none"/>
        </w:rPr>
        <w:t>.</w:t>
      </w:r>
      <w:r>
        <w:rPr>
          <w:rFonts w:ascii="Time New Roman" w:eastAsia="SimHei" w:hAnsi="Time New Roman" w:hint="eastAsia"/>
          <w:b/>
          <w:bCs/>
          <w:u w:val="none"/>
        </w:rPr>
        <w:t>19.</w:t>
      </w:r>
      <w:r>
        <w:rPr>
          <w:rFonts w:ascii="Time New Roman" w:eastAsia="SimHei" w:hAnsi="Time New Roman" w:hint="eastAsia"/>
          <w:bCs/>
          <w:u w:val="none"/>
        </w:rPr>
        <w:t xml:space="preserve">  </w:t>
      </w:r>
      <w:r>
        <w:rPr>
          <w:rFonts w:ascii="Time New Roman" w:eastAsia="SimHei" w:hAnsi="Time New Roman" w:hint="eastAsia"/>
          <w:bCs/>
          <w:u w:val="none"/>
        </w:rPr>
        <w:t>公共医疗服务制度</w:t>
      </w:r>
    </w:p>
    <w:p w:rsidR="00000000" w:rsidRDefault="00000000">
      <w:pPr>
        <w:rPr>
          <w:rFonts w:hint="eastAsia"/>
        </w:rPr>
      </w:pPr>
      <w:r>
        <w:rPr>
          <w:rFonts w:hint="eastAsia"/>
        </w:rPr>
        <w:tab/>
        <w:t xml:space="preserve">47.  </w:t>
      </w:r>
      <w:r>
        <w:rPr>
          <w:rFonts w:hint="eastAsia"/>
        </w:rPr>
        <w:t>自从提交了上次定期报告以来，芬兰医疗服务制度的灵活性以及病人的权利已经有很大改进，主要是规定了评估医疗需要的期限，同时规定在必要时必须提供医疗。有关法律修正案已于</w:t>
      </w:r>
      <w:r>
        <w:rPr>
          <w:rFonts w:hint="eastAsia"/>
        </w:rPr>
        <w:t>2005</w:t>
      </w:r>
      <w:r>
        <w:rPr>
          <w:rFonts w:hint="eastAsia"/>
        </w:rPr>
        <w:t>年</w:t>
      </w:r>
      <w:r>
        <w:rPr>
          <w:rFonts w:hint="eastAsia"/>
        </w:rPr>
        <w:t>3</w:t>
      </w:r>
      <w:r>
        <w:rPr>
          <w:rFonts w:hint="eastAsia"/>
        </w:rPr>
        <w:t>月</w:t>
      </w:r>
      <w:r>
        <w:rPr>
          <w:rFonts w:hint="eastAsia"/>
        </w:rPr>
        <w:t>1</w:t>
      </w:r>
      <w:r>
        <w:rPr>
          <w:rFonts w:hint="eastAsia"/>
        </w:rPr>
        <w:t>日正式生效。人人在工作时间必须能够立即同公共医疗中心取得联系。除非能够在电话上作出评估，否则医疗专业人员必须在联系之后的三个工作日内就医疗需要作出评估。如果根据医学标准认为有必要接受治疗，就必须在合理时间内予以提供。在特别医疗服务方面，有关医院在收到医生请求后的三周内必须开始对医疗需要进行评估。如果根据医学标准认为有必要接受特别医疗服务，则必须在评估之后的六个月内予以提供。</w:t>
      </w:r>
    </w:p>
    <w:p w:rsidR="00000000" w:rsidRDefault="00000000">
      <w:pPr>
        <w:rPr>
          <w:rFonts w:hint="eastAsia"/>
        </w:rPr>
      </w:pPr>
      <w:r>
        <w:rPr>
          <w:rFonts w:hint="eastAsia"/>
        </w:rPr>
        <w:tab/>
        <w:t xml:space="preserve">48.  </w:t>
      </w:r>
      <w:r>
        <w:rPr>
          <w:rFonts w:hint="eastAsia"/>
        </w:rPr>
        <w:t>如果无法在规定的时限内提供治疗，地方当局或者市级联合管理委员会必须作出安排，请其他医院提供治疗服务，同时不得因此而增加病人的负担。医区负责为转送到医院的病人提供医疗服务。医区所涉城市的所有居民必须依据同一原则获得医疗服务。医疗服务单位必须公布医疗的等候时间。其目的是要减少各个地区在提供非紧急治疗方面的差别，因此，无论居住何处，人们都能根据更加统一的标准获得医疗服务。已经为最为紧迫的疾病和医疗制定了统一的标准。</w:t>
      </w:r>
    </w:p>
    <w:p w:rsidR="00000000" w:rsidRDefault="00000000">
      <w:pPr>
        <w:spacing w:after="240"/>
        <w:rPr>
          <w:rFonts w:hint="eastAsia"/>
        </w:rPr>
      </w:pPr>
      <w:r>
        <w:rPr>
          <w:rFonts w:hint="eastAsia"/>
        </w:rPr>
        <w:tab/>
        <w:t xml:space="preserve">49.  </w:t>
      </w:r>
      <w:r>
        <w:rPr>
          <w:rFonts w:hint="eastAsia"/>
        </w:rPr>
        <w:t>芬兰地区和地方当局协会认为，虽然公共医疗服务制度有所发展，但是地方当局没有能够获得足以应付其日益增加责任的经费。总的来说，地方当局的经济比以前削弱，但是统计数据显示，地方当局优先考虑了社会福利和医疗卫生服务。社会福利和医疗卫生部门开支增加的幅度是最大的。</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D20.</w:t>
      </w:r>
      <w:r>
        <w:rPr>
          <w:rFonts w:ascii="Time New Roman" w:eastAsia="SimHei" w:hAnsi="Time New Roman" w:hint="eastAsia"/>
          <w:bCs/>
          <w:u w:val="none"/>
        </w:rPr>
        <w:t xml:space="preserve">  </w:t>
      </w:r>
      <w:r>
        <w:rPr>
          <w:rFonts w:ascii="Time New Roman" w:eastAsia="SimHei" w:hAnsi="Time New Roman" w:hint="eastAsia"/>
          <w:bCs/>
          <w:u w:val="none"/>
        </w:rPr>
        <w:t>居住地点引起的不平等</w:t>
      </w:r>
    </w:p>
    <w:p w:rsidR="00000000" w:rsidRDefault="00000000">
      <w:pPr>
        <w:spacing w:after="320"/>
        <w:rPr>
          <w:rFonts w:hint="eastAsia"/>
        </w:rPr>
      </w:pPr>
      <w:r>
        <w:rPr>
          <w:rFonts w:hint="eastAsia"/>
        </w:rPr>
        <w:tab/>
        <w:t xml:space="preserve">50.  </w:t>
      </w:r>
      <w:r>
        <w:rPr>
          <w:rFonts w:hint="eastAsia"/>
        </w:rPr>
        <w:t>在公共医疗卫生方面，一贯强调平等的原则。然而，无法在所有方面都做到绝对平等，因为由于存在地方独立决策的制度，从而引起明显的地区差别。公民的社会和经济地位也造成了在获得医疗服务方面的差别。已经特别注意这些问题以及对于有关最长等待时间立法的修订；已经作出努力在国家目标的指导下解决这些问题。委员会所提到的那些病人并不认为在获得医疗服务方面存在不平等现象。</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E</w:t>
      </w:r>
      <w:r>
        <w:rPr>
          <w:rFonts w:ascii="Time New Roman" w:eastAsia="SimHei" w:hAnsi="Time New Roman" w:hint="eastAsia"/>
          <w:u w:val="none"/>
        </w:rPr>
        <w:t xml:space="preserve">.  </w:t>
      </w:r>
      <w:r>
        <w:rPr>
          <w:rFonts w:ascii="Time New Roman" w:eastAsia="SimHei" w:hAnsi="Time New Roman" w:hint="eastAsia"/>
          <w:u w:val="none"/>
        </w:rPr>
        <w:t>建</w:t>
      </w:r>
      <w:r>
        <w:rPr>
          <w:rFonts w:ascii="Time New Roman" w:eastAsia="SimHei" w:hAnsi="Time New Roman" w:hint="eastAsia"/>
          <w:u w:val="none"/>
        </w:rPr>
        <w:t xml:space="preserve">  </w:t>
      </w:r>
      <w:r>
        <w:rPr>
          <w:rFonts w:ascii="Time New Roman" w:eastAsia="SimHei" w:hAnsi="Time New Roman" w:hint="eastAsia"/>
          <w:u w:val="none"/>
        </w:rPr>
        <w:t>议</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E21.</w:t>
      </w:r>
      <w:r>
        <w:rPr>
          <w:rFonts w:ascii="Time New Roman" w:eastAsia="SimHei" w:hAnsi="Time New Roman" w:hint="eastAsia"/>
          <w:bCs/>
          <w:u w:val="none"/>
        </w:rPr>
        <w:t xml:space="preserve">  </w:t>
      </w:r>
      <w:r>
        <w:rPr>
          <w:rFonts w:ascii="Time New Roman" w:eastAsia="SimHei" w:hAnsi="Time New Roman" w:hint="eastAsia"/>
          <w:bCs/>
          <w:u w:val="none"/>
        </w:rPr>
        <w:t>国家行动计划</w:t>
      </w:r>
    </w:p>
    <w:p w:rsidR="00000000" w:rsidRDefault="00000000">
      <w:pPr>
        <w:spacing w:after="240"/>
        <w:rPr>
          <w:rFonts w:hint="eastAsia"/>
        </w:rPr>
      </w:pPr>
      <w:r>
        <w:rPr>
          <w:rFonts w:hint="eastAsia"/>
        </w:rPr>
        <w:tab/>
        <w:t xml:space="preserve">51.  </w:t>
      </w:r>
      <w:r>
        <w:rPr>
          <w:rFonts w:hint="eastAsia"/>
        </w:rPr>
        <w:t>在</w:t>
      </w:r>
      <w:r>
        <w:rPr>
          <w:rFonts w:hint="eastAsia"/>
        </w:rPr>
        <w:t>2004</w:t>
      </w:r>
      <w:r>
        <w:rPr>
          <w:rFonts w:hint="eastAsia"/>
        </w:rPr>
        <w:t>年提交议会的有关芬兰人权政策的报告中，政府将有效执行对于芬兰有约束力的所有人权公约作为其目标。将进一步加强开展同条约监测机构的建设性对话，增加在编写定期报告方面的透明度，促进民间社会在编写报告中的参与以及监测条约监测机构建议的执行情况。</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E22.</w:t>
      </w:r>
      <w:r>
        <w:rPr>
          <w:rFonts w:ascii="Time New Roman" w:eastAsia="SimHei" w:hAnsi="Time New Roman" w:hint="eastAsia"/>
          <w:bCs/>
          <w:u w:val="none"/>
        </w:rPr>
        <w:t xml:space="preserve">  </w:t>
      </w:r>
      <w:r>
        <w:rPr>
          <w:rFonts w:ascii="Time New Roman" w:eastAsia="SimHei" w:hAnsi="Time New Roman" w:hint="eastAsia"/>
          <w:bCs/>
          <w:u w:val="none"/>
        </w:rPr>
        <w:t>对于法官和律师的进一步培训</w:t>
      </w:r>
    </w:p>
    <w:p w:rsidR="00000000" w:rsidRDefault="00000000">
      <w:pPr>
        <w:rPr>
          <w:rFonts w:hint="eastAsia"/>
        </w:rPr>
      </w:pPr>
      <w:r>
        <w:rPr>
          <w:rFonts w:hint="eastAsia"/>
        </w:rPr>
        <w:tab/>
        <w:t xml:space="preserve">52.  </w:t>
      </w:r>
      <w:r>
        <w:rPr>
          <w:rFonts w:hint="eastAsia"/>
        </w:rPr>
        <w:t>委员会鼓励缔约国确保所有法官和律师均能免费获得进一步培训，使他们熟悉《公约》的条款以及委员会所通过的一般性评论。</w:t>
      </w:r>
    </w:p>
    <w:p w:rsidR="00000000" w:rsidRDefault="00000000">
      <w:pPr>
        <w:rPr>
          <w:rFonts w:hint="eastAsia"/>
        </w:rPr>
      </w:pPr>
      <w:r>
        <w:rPr>
          <w:rFonts w:hint="eastAsia"/>
        </w:rPr>
        <w:tab/>
        <w:t xml:space="preserve">53.  </w:t>
      </w:r>
      <w:r>
        <w:rPr>
          <w:rFonts w:hint="eastAsia"/>
        </w:rPr>
        <w:t>这项建议已经得到重视，并且为有关人员提供了培训。从</w:t>
      </w:r>
      <w:r>
        <w:rPr>
          <w:rFonts w:hint="eastAsia"/>
        </w:rPr>
        <w:t>1997</w:t>
      </w:r>
      <w:r>
        <w:rPr>
          <w:rFonts w:hint="eastAsia"/>
        </w:rPr>
        <w:t>年至</w:t>
      </w:r>
      <w:r>
        <w:rPr>
          <w:rFonts w:hint="eastAsia"/>
        </w:rPr>
        <w:t>2004</w:t>
      </w:r>
      <w:r>
        <w:rPr>
          <w:rFonts w:hint="eastAsia"/>
        </w:rPr>
        <w:t>年，司法部总共举办了</w:t>
      </w:r>
      <w:r>
        <w:rPr>
          <w:rFonts w:hint="eastAsia"/>
        </w:rPr>
        <w:t>25</w:t>
      </w:r>
      <w:r>
        <w:rPr>
          <w:rFonts w:hint="eastAsia"/>
        </w:rPr>
        <w:t>场有关“司法中的人权和基本权利”的研讨会。迄今为止，共有</w:t>
      </w:r>
      <w:r>
        <w:rPr>
          <w:rFonts w:hint="eastAsia"/>
        </w:rPr>
        <w:t>768</w:t>
      </w:r>
      <w:r>
        <w:rPr>
          <w:rFonts w:hint="eastAsia"/>
        </w:rPr>
        <w:t>人</w:t>
      </w:r>
      <w:r>
        <w:rPr>
          <w:rFonts w:hint="eastAsia"/>
        </w:rPr>
        <w:t>(</w:t>
      </w:r>
      <w:r>
        <w:rPr>
          <w:rFonts w:hint="eastAsia"/>
        </w:rPr>
        <w:t>主要是法官和法庭审查官</w:t>
      </w:r>
      <w:r>
        <w:rPr>
          <w:rFonts w:hint="eastAsia"/>
        </w:rPr>
        <w:t>)</w:t>
      </w:r>
      <w:r>
        <w:rPr>
          <w:rFonts w:hint="eastAsia"/>
        </w:rPr>
        <w:t>参加了为期三天的研讨会。今后还将每年组织两场研讨会。研讨会通常包括有关“司法中的经济、社会和文化权利以及少数人的权利”的演讲。在关于其他问题的判例法中也涉及同一主题。研讨会的演讲人主要是国际著名的芬兰大学教授。</w:t>
      </w:r>
    </w:p>
    <w:p w:rsidR="00000000" w:rsidRDefault="00000000">
      <w:pPr>
        <w:rPr>
          <w:rFonts w:hint="eastAsia"/>
        </w:rPr>
      </w:pPr>
      <w:r>
        <w:rPr>
          <w:rFonts w:hint="eastAsia"/>
        </w:rPr>
        <w:tab/>
        <w:t xml:space="preserve">54.  </w:t>
      </w:r>
      <w:r>
        <w:rPr>
          <w:rFonts w:hint="eastAsia"/>
        </w:rPr>
        <w:t>除了法官以外，也免费为政府律师举办了有关人权和基本权利的培训，而且今后还将继续举办。其中许多学员是芬兰律师协会的成员。经济、社会和文化权利也都是培训的部分内容。从</w:t>
      </w:r>
      <w:r>
        <w:rPr>
          <w:rFonts w:hint="eastAsia"/>
        </w:rPr>
        <w:t>2003</w:t>
      </w:r>
      <w:r>
        <w:rPr>
          <w:rFonts w:hint="eastAsia"/>
        </w:rPr>
        <w:t>年至今，已经为政府律师举办了三期培训班，共有</w:t>
      </w:r>
      <w:r>
        <w:rPr>
          <w:rFonts w:hint="eastAsia"/>
        </w:rPr>
        <w:t>72</w:t>
      </w:r>
      <w:r>
        <w:rPr>
          <w:rFonts w:hint="eastAsia"/>
        </w:rPr>
        <w:t>名律师参加。今后将每年举办两期培训班。</w:t>
      </w:r>
    </w:p>
    <w:p w:rsidR="00000000" w:rsidRDefault="00000000">
      <w:pPr>
        <w:spacing w:after="320"/>
        <w:rPr>
          <w:rFonts w:hint="eastAsia"/>
        </w:rPr>
      </w:pPr>
      <w:r>
        <w:rPr>
          <w:rFonts w:hint="eastAsia"/>
        </w:rPr>
        <w:tab/>
        <w:t xml:space="preserve">55.  </w:t>
      </w:r>
      <w:r>
        <w:rPr>
          <w:rFonts w:hint="eastAsia"/>
        </w:rPr>
        <w:t>然而，由于缺乏资源，司法部无法免费为私人律师举办培训班。</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E23.</w:t>
      </w:r>
      <w:r>
        <w:rPr>
          <w:rFonts w:ascii="Time New Roman" w:eastAsia="SimHei" w:hAnsi="Time New Roman" w:hint="eastAsia"/>
          <w:bCs/>
          <w:u w:val="none"/>
        </w:rPr>
        <w:t xml:space="preserve">  </w:t>
      </w:r>
      <w:r>
        <w:rPr>
          <w:rFonts w:ascii="Time New Roman" w:eastAsia="SimHei" w:hAnsi="Time New Roman" w:hint="eastAsia"/>
          <w:bCs/>
          <w:u w:val="none"/>
        </w:rPr>
        <w:t>用于国际合作的预算拨款</w:t>
      </w:r>
    </w:p>
    <w:p w:rsidR="00000000" w:rsidRDefault="00000000">
      <w:pPr>
        <w:rPr>
          <w:rFonts w:hint="eastAsia"/>
        </w:rPr>
      </w:pPr>
      <w:r>
        <w:rPr>
          <w:rFonts w:hint="eastAsia"/>
        </w:rPr>
        <w:tab/>
        <w:t xml:space="preserve">56.  </w:t>
      </w:r>
      <w:r>
        <w:rPr>
          <w:rFonts w:hint="eastAsia"/>
        </w:rPr>
        <w:t>根据</w:t>
      </w:r>
      <w:r>
        <w:rPr>
          <w:rFonts w:hint="eastAsia"/>
        </w:rPr>
        <w:t>2004</w:t>
      </w:r>
      <w:r>
        <w:rPr>
          <w:rFonts w:hint="eastAsia"/>
        </w:rPr>
        <w:t>年</w:t>
      </w:r>
      <w:r>
        <w:rPr>
          <w:rFonts w:hint="eastAsia"/>
        </w:rPr>
        <w:t>2</w:t>
      </w:r>
      <w:r>
        <w:rPr>
          <w:rFonts w:hint="eastAsia"/>
        </w:rPr>
        <w:t>月</w:t>
      </w:r>
      <w:r>
        <w:rPr>
          <w:rFonts w:hint="eastAsia"/>
        </w:rPr>
        <w:t>5</w:t>
      </w:r>
      <w:r>
        <w:rPr>
          <w:rFonts w:hint="eastAsia"/>
        </w:rPr>
        <w:t>日通过的政府发展政策计划，用于发展合作的预算拨款有所增加。根据已经作出的决定，在到</w:t>
      </w:r>
      <w:r>
        <w:rPr>
          <w:rFonts w:hint="eastAsia"/>
        </w:rPr>
        <w:t>2007</w:t>
      </w:r>
      <w:r>
        <w:rPr>
          <w:rFonts w:hint="eastAsia"/>
        </w:rPr>
        <w:t>年为止的选举阶段中所增加的拨款大约相当于</w:t>
      </w:r>
      <w:r>
        <w:rPr>
          <w:rFonts w:hint="eastAsia"/>
        </w:rPr>
        <w:t>218,000,000</w:t>
      </w:r>
      <w:r>
        <w:rPr>
          <w:rFonts w:hint="eastAsia"/>
        </w:rPr>
        <w:t>欧元。根据初步信息，</w:t>
      </w:r>
      <w:r>
        <w:rPr>
          <w:rFonts w:hint="eastAsia"/>
        </w:rPr>
        <w:t>2004</w:t>
      </w:r>
      <w:r>
        <w:rPr>
          <w:rFonts w:hint="eastAsia"/>
        </w:rPr>
        <w:t>年用于发展合作的经费相当于国民生产总值的</w:t>
      </w:r>
      <w:r>
        <w:rPr>
          <w:rFonts w:hint="eastAsia"/>
        </w:rPr>
        <w:t>0.35%</w:t>
      </w:r>
      <w:r>
        <w:rPr>
          <w:rFonts w:hint="eastAsia"/>
        </w:rPr>
        <w:t>。在</w:t>
      </w:r>
      <w:r>
        <w:rPr>
          <w:rFonts w:hint="eastAsia"/>
        </w:rPr>
        <w:t>2005</w:t>
      </w:r>
      <w:r>
        <w:rPr>
          <w:rFonts w:hint="eastAsia"/>
        </w:rPr>
        <w:t>年的国家预算中，发展合作的拨款相当于国民生产总值的</w:t>
      </w:r>
      <w:r>
        <w:rPr>
          <w:rFonts w:hint="eastAsia"/>
        </w:rPr>
        <w:t>0.39%</w:t>
      </w:r>
      <w:r>
        <w:rPr>
          <w:rFonts w:hint="eastAsia"/>
        </w:rPr>
        <w:t>。这方面的预算拨款正在逐步增加，据估计，到</w:t>
      </w:r>
      <w:r>
        <w:rPr>
          <w:rFonts w:hint="eastAsia"/>
        </w:rPr>
        <w:t>2009</w:t>
      </w:r>
      <w:r>
        <w:rPr>
          <w:rFonts w:hint="eastAsia"/>
        </w:rPr>
        <w:t>年将达到国民生产总值的</w:t>
      </w:r>
      <w:r>
        <w:rPr>
          <w:rFonts w:hint="eastAsia"/>
        </w:rPr>
        <w:t>0.48%</w:t>
      </w:r>
      <w:r>
        <w:rPr>
          <w:rFonts w:hint="eastAsia"/>
        </w:rPr>
        <w:t>。</w:t>
      </w:r>
    </w:p>
    <w:p w:rsidR="00000000" w:rsidRDefault="00000000">
      <w:pPr>
        <w:rPr>
          <w:rFonts w:hint="eastAsia"/>
        </w:rPr>
      </w:pPr>
      <w:r>
        <w:rPr>
          <w:rFonts w:hint="eastAsia"/>
        </w:rPr>
        <w:tab/>
        <w:t xml:space="preserve">57.  </w:t>
      </w:r>
      <w:r>
        <w:rPr>
          <w:rFonts w:hint="eastAsia"/>
        </w:rPr>
        <w:t>已经在欧洲联盟的框架内讨论了官方发展援助的金额，作为对于审议</w:t>
      </w:r>
      <w:r>
        <w:rPr>
          <w:rFonts w:hint="eastAsia"/>
        </w:rPr>
        <w:t>2005</w:t>
      </w:r>
      <w:r>
        <w:rPr>
          <w:rFonts w:hint="eastAsia"/>
        </w:rPr>
        <w:t>年</w:t>
      </w:r>
      <w:r>
        <w:rPr>
          <w:rFonts w:hint="eastAsia"/>
        </w:rPr>
        <w:t>9</w:t>
      </w:r>
      <w:r>
        <w:rPr>
          <w:rFonts w:hint="eastAsia"/>
        </w:rPr>
        <w:t>月联合国千年发展目标首脑会议的贡献。官方发展援助的新目标超过了以往任何时期的金额，这是各成员国政府的代表在欧洲委员会</w:t>
      </w:r>
      <w:r>
        <w:rPr>
          <w:rFonts w:hint="eastAsia"/>
        </w:rPr>
        <w:t>2005</w:t>
      </w:r>
      <w:r>
        <w:rPr>
          <w:rFonts w:hint="eastAsia"/>
        </w:rPr>
        <w:t>年</w:t>
      </w:r>
      <w:r>
        <w:rPr>
          <w:rFonts w:hint="eastAsia"/>
        </w:rPr>
        <w:t>5</w:t>
      </w:r>
      <w:r>
        <w:rPr>
          <w:rFonts w:hint="eastAsia"/>
        </w:rPr>
        <w:t>月</w:t>
      </w:r>
      <w:r>
        <w:rPr>
          <w:rFonts w:hint="eastAsia"/>
        </w:rPr>
        <w:t>24</w:t>
      </w:r>
      <w:r>
        <w:rPr>
          <w:rFonts w:hint="eastAsia"/>
        </w:rPr>
        <w:t>日的会议上作为委员会结论</w:t>
      </w:r>
      <w:r>
        <w:rPr>
          <w:rFonts w:hint="eastAsia"/>
        </w:rPr>
        <w:t>(9266/05)</w:t>
      </w:r>
      <w:r>
        <w:rPr>
          <w:rFonts w:hint="eastAsia"/>
        </w:rPr>
        <w:t>商定的。根据委员会结论，欧盟商定到</w:t>
      </w:r>
      <w:r>
        <w:rPr>
          <w:rFonts w:hint="eastAsia"/>
        </w:rPr>
        <w:t>2010</w:t>
      </w:r>
      <w:r>
        <w:rPr>
          <w:rFonts w:hint="eastAsia"/>
        </w:rPr>
        <w:t>年官方发展援助的集体目标要达到国民总收入的</w:t>
      </w:r>
      <w:r>
        <w:rPr>
          <w:rFonts w:hint="eastAsia"/>
        </w:rPr>
        <w:t>0.56%</w:t>
      </w:r>
      <w:r>
        <w:rPr>
          <w:rFonts w:hint="eastAsia"/>
        </w:rPr>
        <w:t>，那些其官方发展援助尚未达到其国民总收入</w:t>
      </w:r>
      <w:r>
        <w:rPr>
          <w:rFonts w:hint="eastAsia"/>
        </w:rPr>
        <w:t>0.51%</w:t>
      </w:r>
      <w:r>
        <w:rPr>
          <w:rFonts w:hint="eastAsia"/>
        </w:rPr>
        <w:t>的成员国已经作出承诺，必须在同一年达到这一水平。</w:t>
      </w:r>
    </w:p>
    <w:p w:rsidR="00000000" w:rsidRDefault="00000000">
      <w:pPr>
        <w:spacing w:after="240"/>
        <w:rPr>
          <w:rFonts w:hint="eastAsia"/>
        </w:rPr>
      </w:pPr>
      <w:r>
        <w:rPr>
          <w:rFonts w:hint="eastAsia"/>
        </w:rPr>
        <w:tab/>
        <w:t xml:space="preserve">58.  </w:t>
      </w:r>
      <w:r>
        <w:rPr>
          <w:rFonts w:hint="eastAsia"/>
        </w:rPr>
        <w:t>考虑到在计算方法方面的不确定性，芬兰接受到</w:t>
      </w:r>
      <w:r>
        <w:rPr>
          <w:rFonts w:hint="eastAsia"/>
        </w:rPr>
        <w:t>2010</w:t>
      </w:r>
      <w:r>
        <w:rPr>
          <w:rFonts w:hint="eastAsia"/>
        </w:rPr>
        <w:t>年达到</w:t>
      </w:r>
      <w:r>
        <w:rPr>
          <w:rFonts w:hint="eastAsia"/>
        </w:rPr>
        <w:t>0.56%</w:t>
      </w:r>
      <w:r>
        <w:rPr>
          <w:rFonts w:hint="eastAsia"/>
        </w:rPr>
        <w:t>的集体目标，以及旧的成员国达到</w:t>
      </w:r>
      <w:r>
        <w:rPr>
          <w:rFonts w:hint="eastAsia"/>
        </w:rPr>
        <w:t>0.51%</w:t>
      </w:r>
      <w:r>
        <w:rPr>
          <w:rFonts w:hint="eastAsia"/>
        </w:rPr>
        <w:t>的目标。政府本身的发展政策计划规定到</w:t>
      </w:r>
      <w:r>
        <w:rPr>
          <w:rFonts w:hint="eastAsia"/>
        </w:rPr>
        <w:t>2010</w:t>
      </w:r>
      <w:r>
        <w:rPr>
          <w:rFonts w:hint="eastAsia"/>
        </w:rPr>
        <w:t>年要达到国民生产总值</w:t>
      </w:r>
      <w:r>
        <w:rPr>
          <w:rFonts w:hint="eastAsia"/>
        </w:rPr>
        <w:t>0.7%</w:t>
      </w:r>
      <w:r>
        <w:rPr>
          <w:rFonts w:hint="eastAsia"/>
        </w:rPr>
        <w:t>的目标，然而这必须取决于整体经济发展情况。无论如何，政府仍然致力于到</w:t>
      </w:r>
      <w:r>
        <w:rPr>
          <w:rFonts w:hint="eastAsia"/>
        </w:rPr>
        <w:t>2010</w:t>
      </w:r>
      <w:r>
        <w:rPr>
          <w:rFonts w:hint="eastAsia"/>
        </w:rPr>
        <w:t>年达到</w:t>
      </w:r>
      <w:r>
        <w:rPr>
          <w:rFonts w:hint="eastAsia"/>
        </w:rPr>
        <w:t>0.7%</w:t>
      </w:r>
      <w:r>
        <w:rPr>
          <w:rFonts w:hint="eastAsia"/>
        </w:rPr>
        <w:t>的水平。</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E24.</w:t>
      </w:r>
      <w:r>
        <w:rPr>
          <w:rFonts w:ascii="Time New Roman" w:eastAsia="SimHei" w:hAnsi="Time New Roman" w:hint="eastAsia"/>
          <w:bCs/>
          <w:u w:val="none"/>
        </w:rPr>
        <w:t xml:space="preserve">  </w:t>
      </w:r>
      <w:r>
        <w:rPr>
          <w:rFonts w:ascii="Time New Roman" w:eastAsia="SimHei" w:hAnsi="Time New Roman" w:hint="eastAsia"/>
          <w:bCs/>
          <w:u w:val="none"/>
        </w:rPr>
        <w:t>作为国际金融机构成员的义务</w:t>
      </w:r>
    </w:p>
    <w:p w:rsidR="00000000" w:rsidRDefault="00000000">
      <w:pPr>
        <w:spacing w:after="240"/>
        <w:rPr>
          <w:rFonts w:hint="eastAsia"/>
        </w:rPr>
      </w:pPr>
      <w:r>
        <w:rPr>
          <w:rFonts w:hint="eastAsia"/>
        </w:rPr>
        <w:tab/>
        <w:t xml:space="preserve">59.  </w:t>
      </w:r>
      <w:r>
        <w:rPr>
          <w:rFonts w:hint="eastAsia"/>
        </w:rPr>
        <w:t>芬兰作为其所在地区成员参加了国际金融机构的工作。为此目的，芬兰遵循政府于</w:t>
      </w:r>
      <w:r>
        <w:rPr>
          <w:rFonts w:hint="eastAsia"/>
        </w:rPr>
        <w:t>2004</w:t>
      </w:r>
      <w:r>
        <w:rPr>
          <w:rFonts w:hint="eastAsia"/>
        </w:rPr>
        <w:t>年通过的发展政策计划，政府在计划中承诺致力于实现《联合国千年发展目标》，采用以司法为基础的方法，组成发展伙伴关系以及尊重发展中国家及其人民的自决权。芬兰同国际金融机构合作，根据国家发展和扶贫计划，加强同各国的合作和协调，通过其在执行董事会上的代表，积极为多边体制的运行和效率作出贡献。</w:t>
      </w:r>
    </w:p>
    <w:p w:rsidR="00000000" w:rsidRDefault="00000000">
      <w:pPr>
        <w:pStyle w:val="Heading4"/>
        <w:jc w:val="center"/>
        <w:rPr>
          <w:rFonts w:ascii="Time New Roman" w:eastAsia="SimHei" w:hAnsi="Time New Roman" w:hint="eastAsia"/>
          <w:bCs/>
          <w:u w:val="none"/>
        </w:rPr>
      </w:pPr>
      <w:r>
        <w:rPr>
          <w:rFonts w:ascii="Time New Roman" w:eastAsia="SimHei" w:hAnsi="Time New Roman" w:hint="eastAsia"/>
          <w:b/>
          <w:bCs/>
          <w:u w:val="none"/>
        </w:rPr>
        <w:t>E25.</w:t>
      </w:r>
      <w:r>
        <w:rPr>
          <w:rFonts w:ascii="Time New Roman" w:eastAsia="SimHei" w:hAnsi="Time New Roman" w:hint="eastAsia"/>
          <w:bCs/>
          <w:u w:val="none"/>
        </w:rPr>
        <w:t xml:space="preserve">  </w:t>
      </w:r>
      <w:r>
        <w:rPr>
          <w:rFonts w:ascii="Time New Roman" w:eastAsia="SimHei" w:hAnsi="Time New Roman" w:hint="eastAsia"/>
          <w:bCs/>
          <w:u w:val="none"/>
        </w:rPr>
        <w:t>劳工组织第</w:t>
      </w:r>
      <w:r>
        <w:rPr>
          <w:rFonts w:ascii="Time New Roman" w:eastAsia="SimHei" w:hAnsi="Time New Roman" w:hint="eastAsia"/>
          <w:b/>
          <w:bCs/>
          <w:u w:val="none"/>
        </w:rPr>
        <w:t>169</w:t>
      </w:r>
      <w:r>
        <w:rPr>
          <w:rFonts w:ascii="Time New Roman" w:eastAsia="SimHei" w:hAnsi="Time New Roman" w:hint="eastAsia"/>
          <w:bCs/>
          <w:u w:val="none"/>
        </w:rPr>
        <w:t>号公约以及萨米地契问题</w:t>
      </w:r>
    </w:p>
    <w:p w:rsidR="00000000" w:rsidRDefault="00000000">
      <w:pPr>
        <w:rPr>
          <w:rFonts w:hint="eastAsia"/>
        </w:rPr>
      </w:pPr>
      <w:r>
        <w:rPr>
          <w:rFonts w:hint="eastAsia"/>
        </w:rPr>
        <w:tab/>
        <w:t xml:space="preserve">60.  </w:t>
      </w:r>
      <w:r>
        <w:rPr>
          <w:rFonts w:hint="eastAsia"/>
        </w:rPr>
        <w:t>在本报告所涉期间，政府为解决萨米人的地契问题作出了努力。</w:t>
      </w:r>
    </w:p>
    <w:p w:rsidR="00000000" w:rsidRDefault="00000000">
      <w:pPr>
        <w:rPr>
          <w:rFonts w:hint="eastAsia"/>
        </w:rPr>
      </w:pPr>
      <w:r>
        <w:rPr>
          <w:rFonts w:hint="eastAsia"/>
        </w:rPr>
        <w:tab/>
        <w:t xml:space="preserve">61.  </w:t>
      </w:r>
      <w:r>
        <w:rPr>
          <w:rFonts w:hint="eastAsia"/>
        </w:rPr>
        <w:t>在规定萨米人的文化自治方面，在制定有关萨米人的行政地位的法律时并未涉及土地所有权的问题，因为考虑到在解决立法手段的问题之前，必须更加深入研究有关土地所有权的一些问题。萨米议会在</w:t>
      </w:r>
      <w:r>
        <w:rPr>
          <w:rFonts w:hint="eastAsia"/>
        </w:rPr>
        <w:t>1993</w:t>
      </w:r>
      <w:r>
        <w:rPr>
          <w:rFonts w:hint="eastAsia"/>
        </w:rPr>
        <w:t>年已经宣布，准备独立研究有关土地所有权的问题。与此同时，司法部已经积极设法从财产法的角度来研究土地所有权的问题，并就土地管理问题制定法律，从而确定萨米人在使用土地方面的权利。</w:t>
      </w:r>
    </w:p>
    <w:p w:rsidR="00000000" w:rsidRDefault="00000000">
      <w:pPr>
        <w:rPr>
          <w:rFonts w:hint="eastAsia"/>
        </w:rPr>
      </w:pPr>
      <w:r>
        <w:rPr>
          <w:rFonts w:hint="eastAsia"/>
        </w:rPr>
        <w:tab/>
        <w:t xml:space="preserve">62.  </w:t>
      </w:r>
      <w:r>
        <w:rPr>
          <w:rFonts w:hint="eastAsia"/>
        </w:rPr>
        <w:t>为了制定上述法律，司法部请最高行政法院的法官，</w:t>
      </w:r>
      <w:r>
        <w:t>Pekka Vihervuori</w:t>
      </w:r>
      <w:r>
        <w:rPr>
          <w:rFonts w:hint="eastAsia"/>
        </w:rPr>
        <w:t>先生，编写一份报告，研究是否可能消除在批准劳工组织第</w:t>
      </w:r>
      <w:r>
        <w:rPr>
          <w:rFonts w:hint="eastAsia"/>
        </w:rPr>
        <w:t>169</w:t>
      </w:r>
      <w:r>
        <w:rPr>
          <w:rFonts w:hint="eastAsia"/>
        </w:rPr>
        <w:t>号公约方面的障碍。该报告建议设立一个土地权利委员会，除了征求萨米议会的意见之外，还可就有关使用土地的项目提出意见。另外一项建议涉及设立一项土地权利基金，包括砍伐树木在内的使用土地的收入部分纳入该基金。</w:t>
      </w:r>
      <w:r>
        <w:t>Vihervuori</w:t>
      </w:r>
      <w:r>
        <w:rPr>
          <w:rFonts w:hint="eastAsia"/>
        </w:rPr>
        <w:t>先生还建议对于适用于这一地区土地使用的法律进行重大修订，以便加强驯鹿放牧。总的来说，人们认为</w:t>
      </w:r>
      <w:r>
        <w:t>Vihervuori</w:t>
      </w:r>
      <w:r>
        <w:rPr>
          <w:rFonts w:hint="eastAsia"/>
        </w:rPr>
        <w:t>先生的建议是不实际的而且难以执行，这份建议没有导致任何立法措施。</w:t>
      </w:r>
    </w:p>
    <w:p w:rsidR="00000000" w:rsidRDefault="00000000">
      <w:pPr>
        <w:rPr>
          <w:rFonts w:hint="eastAsia"/>
        </w:rPr>
      </w:pPr>
      <w:r>
        <w:rPr>
          <w:rFonts w:hint="eastAsia"/>
        </w:rPr>
        <w:tab/>
        <w:t xml:space="preserve">63.  </w:t>
      </w:r>
      <w:r>
        <w:rPr>
          <w:rFonts w:hint="eastAsia"/>
        </w:rPr>
        <w:t>司法部于</w:t>
      </w:r>
      <w:r>
        <w:rPr>
          <w:rFonts w:hint="eastAsia"/>
        </w:rPr>
        <w:t>2000</w:t>
      </w:r>
      <w:r>
        <w:rPr>
          <w:rFonts w:hint="eastAsia"/>
        </w:rPr>
        <w:t>年设立了一个委员会，以便研究有关土地所有权的问题，并且就如何规定在萨米家园内国家管理土地使用权的问题提出建议，从而确保作为土著人民的萨米人在保持和发展其文化以及传统生计方面的权利，同时考虑到当地条件和发展需要。该委员会建议为批准劳工组织第</w:t>
      </w:r>
      <w:r>
        <w:rPr>
          <w:rFonts w:hint="eastAsia"/>
        </w:rPr>
        <w:t>169</w:t>
      </w:r>
      <w:r>
        <w:rPr>
          <w:rFonts w:hint="eastAsia"/>
        </w:rPr>
        <w:t>号公约制定最低标准。该委员会特别应当评估，</w:t>
      </w:r>
      <w:r>
        <w:t xml:space="preserve"> Vihervuori</w:t>
      </w:r>
      <w:r>
        <w:rPr>
          <w:rFonts w:hint="eastAsia"/>
        </w:rPr>
        <w:t>先生有关确定土地使用权的建议在何种程度上是可以实施的，以及在何种程度上应该予以修订，同时应当注意萨米人的权利以及这些权利的特别性质。委员会还在报告中纳入了关于实施这些措施的开支和其他影响。</w:t>
      </w:r>
    </w:p>
    <w:p w:rsidR="00000000" w:rsidRDefault="00000000">
      <w:pPr>
        <w:rPr>
          <w:rFonts w:hint="eastAsia"/>
        </w:rPr>
      </w:pPr>
      <w:r>
        <w:rPr>
          <w:rFonts w:hint="eastAsia"/>
        </w:rPr>
        <w:tab/>
        <w:t xml:space="preserve">64.  </w:t>
      </w:r>
      <w:r>
        <w:rPr>
          <w:rFonts w:hint="eastAsia"/>
        </w:rPr>
        <w:t>委员会于</w:t>
      </w:r>
      <w:r>
        <w:rPr>
          <w:rFonts w:hint="eastAsia"/>
        </w:rPr>
        <w:t>2001</w:t>
      </w:r>
      <w:r>
        <w:rPr>
          <w:rFonts w:hint="eastAsia"/>
        </w:rPr>
        <w:t>年</w:t>
      </w:r>
      <w:r>
        <w:rPr>
          <w:rFonts w:hint="eastAsia"/>
        </w:rPr>
        <w:t>12</w:t>
      </w:r>
      <w:r>
        <w:rPr>
          <w:rFonts w:hint="eastAsia"/>
        </w:rPr>
        <w:t>月建议为萨米家园设立一个管理委员会，以便解决同土地所有权有关的某些问题；该管理委员会由萨米人以及当地的其他居民代表组成。委员会在这个问题上的意见并不相同，有关这个建议的意见在许多方面也是有分歧的。因此，这项建议也没有导致任何立法上的措施。</w:t>
      </w:r>
    </w:p>
    <w:p w:rsidR="00000000" w:rsidRDefault="00000000">
      <w:pPr>
        <w:rPr>
          <w:rFonts w:hint="eastAsia"/>
        </w:rPr>
      </w:pPr>
      <w:r>
        <w:rPr>
          <w:rFonts w:hint="eastAsia"/>
        </w:rPr>
        <w:tab/>
        <w:t xml:space="preserve">65.  </w:t>
      </w:r>
      <w:r>
        <w:rPr>
          <w:rFonts w:hint="eastAsia"/>
        </w:rPr>
        <w:t>司法部继续拟定法律修正案，并且同萨米议会和政府举行了进一步讨论。</w:t>
      </w:r>
    </w:p>
    <w:p w:rsidR="00000000" w:rsidRDefault="00000000">
      <w:pPr>
        <w:rPr>
          <w:rFonts w:hint="eastAsia"/>
        </w:rPr>
      </w:pPr>
      <w:r>
        <w:rPr>
          <w:rFonts w:hint="eastAsia"/>
        </w:rPr>
        <w:tab/>
        <w:t>66.  2002</w:t>
      </w:r>
      <w:r>
        <w:rPr>
          <w:rFonts w:hint="eastAsia"/>
        </w:rPr>
        <w:t>年</w:t>
      </w:r>
      <w:r>
        <w:rPr>
          <w:rFonts w:hint="eastAsia"/>
        </w:rPr>
        <w:t>6</w:t>
      </w:r>
      <w:r>
        <w:rPr>
          <w:rFonts w:hint="eastAsia"/>
        </w:rPr>
        <w:t>月，司法部建议成立一个萨米家园咨询委员会，其任务是按照议会另外一项法案的规定，就关于该地区土地所有权最重要的决定提出意见。根据这项建议，国家公园和森林局通常必须根据该咨询委员会的意见行事。咨询委员会在关于土地使用的最为重要的决定方面发挥关键作用，从而确保更好地协调自然资源的管理、使用和养护，确保萨米人能够保持其文化以及传统的谋生手段，同时考虑到当地的条件以及发展的需要。其目的是要通过协调的措施寻找一种生态、社会、文化以及经济各方面都能持续的解决办法。该咨询委员会将由萨米议会以及当地其他居民的代表组成。</w:t>
      </w:r>
    </w:p>
    <w:p w:rsidR="00000000" w:rsidRDefault="00000000">
      <w:pPr>
        <w:rPr>
          <w:rFonts w:hint="eastAsia"/>
        </w:rPr>
      </w:pPr>
      <w:r>
        <w:rPr>
          <w:rFonts w:hint="eastAsia"/>
        </w:rPr>
        <w:tab/>
        <w:t xml:space="preserve">67.  </w:t>
      </w:r>
      <w:r>
        <w:rPr>
          <w:rFonts w:hint="eastAsia"/>
        </w:rPr>
        <w:t>此外，司法部还建议，该咨询委员会在其成员组成中将保持萨米人事实上的多数，就如同委员会所建议成立的行政委员会一样。司法部认为，考虑到当地历史、土地使用、人口组成以及通过长期实践和立法形成的该地区的国家管理形式，萨米人在使用土地方面的参与和影响是必要的。这项解决办法不会影响到城市的自治，也不会侵犯各个地主的权利。这项拟议中的解决办法也不会加剧该地区的争议。司法部认为，也应该确保除了萨米人以外的当地其他居民在决策方面的参与权，因为几百年来，当地的其他居民也一直采用萨米人的传统谋生手段。</w:t>
      </w:r>
    </w:p>
    <w:p w:rsidR="00000000" w:rsidRDefault="00000000">
      <w:pPr>
        <w:rPr>
          <w:rFonts w:hint="eastAsia"/>
        </w:rPr>
      </w:pPr>
      <w:r>
        <w:rPr>
          <w:rFonts w:hint="eastAsia"/>
        </w:rPr>
        <w:tab/>
        <w:t xml:space="preserve">68.  </w:t>
      </w:r>
      <w:r>
        <w:rPr>
          <w:rFonts w:hint="eastAsia"/>
        </w:rPr>
        <w:t>司法部将其建议发给了许多政府机关以及有关的非政府组织以征求意见。从已经收到的意见来看，在土地所有权对于通过立法管理土地安排的影响问题上意见纷纭，因此无法按照原先的计划在</w:t>
      </w:r>
      <w:r>
        <w:rPr>
          <w:rFonts w:hint="eastAsia"/>
        </w:rPr>
        <w:t>2002</w:t>
      </w:r>
      <w:r>
        <w:rPr>
          <w:rFonts w:hint="eastAsia"/>
        </w:rPr>
        <w:t>年向议会提出政府法案。萨米议会也反对这项建议。</w:t>
      </w:r>
    </w:p>
    <w:p w:rsidR="00000000" w:rsidRDefault="00000000">
      <w:pPr>
        <w:rPr>
          <w:rFonts w:hint="eastAsia"/>
        </w:rPr>
      </w:pPr>
      <w:r>
        <w:rPr>
          <w:rFonts w:hint="eastAsia"/>
        </w:rPr>
        <w:tab/>
        <w:t xml:space="preserve">69.  </w:t>
      </w:r>
      <w:r>
        <w:rPr>
          <w:rFonts w:hint="eastAsia"/>
        </w:rPr>
        <w:t>有关萨米家园土地和水资源的所有权问题证明是十分复杂的，因此人们认为，必须通过具体措施给予解决。从法律角度来说，通过司法程序来解决萨米人土地所有权的问题是不合适的。司法程序的结果可能会引起证据方面的不确定性。与此相反，根据档案进行充分的历史研究可能会为政治决策打下坚实的基础。</w:t>
      </w:r>
    </w:p>
    <w:p w:rsidR="00000000" w:rsidRDefault="00000000">
      <w:pPr>
        <w:rPr>
          <w:rFonts w:hint="eastAsia"/>
        </w:rPr>
      </w:pPr>
      <w:r>
        <w:rPr>
          <w:rFonts w:hint="eastAsia"/>
        </w:rPr>
        <w:tab/>
        <w:t xml:space="preserve">70.  </w:t>
      </w:r>
      <w:r>
        <w:rPr>
          <w:rFonts w:hint="eastAsia"/>
        </w:rPr>
        <w:t>为了解决这个问题，司法部于</w:t>
      </w:r>
      <w:r>
        <w:rPr>
          <w:rFonts w:hint="eastAsia"/>
        </w:rPr>
        <w:t>2000</w:t>
      </w:r>
      <w:r>
        <w:rPr>
          <w:rFonts w:hint="eastAsia"/>
        </w:rPr>
        <w:t>年年底委派法学博士</w:t>
      </w:r>
      <w:r>
        <w:t>Juhani Wirilander</w:t>
      </w:r>
      <w:r>
        <w:rPr>
          <w:rFonts w:hint="eastAsia"/>
        </w:rPr>
        <w:t>先生就迄今为止有关萨米家园中土地所有权问题的报告的法律意义发表专家意见。他的专家意见于</w:t>
      </w:r>
      <w:r>
        <w:rPr>
          <w:rFonts w:hint="eastAsia"/>
        </w:rPr>
        <w:t>2001</w:t>
      </w:r>
      <w:r>
        <w:rPr>
          <w:rFonts w:hint="eastAsia"/>
        </w:rPr>
        <w:t>年</w:t>
      </w:r>
      <w:r>
        <w:rPr>
          <w:rFonts w:hint="eastAsia"/>
        </w:rPr>
        <w:t>8</w:t>
      </w:r>
      <w:r>
        <w:rPr>
          <w:rFonts w:hint="eastAsia"/>
        </w:rPr>
        <w:t>月提交给了司法部。</w:t>
      </w:r>
      <w:r>
        <w:t>Wirilander</w:t>
      </w:r>
      <w:r>
        <w:rPr>
          <w:rFonts w:hint="eastAsia"/>
        </w:rPr>
        <w:t>先生认为，并没有无可辩驳的证据说明，萨米人曾经拥有其村庄所在的土地。与此相反，由地区法院记录构成的证据说明，居住在萨米人村庄里的一些家庭除了拥有其住宅所在的土地以外，还拥有水资源、渔场、猎场以及牧场，而且在村民</w:t>
      </w:r>
      <w:r>
        <w:rPr>
          <w:rFonts w:hint="eastAsia"/>
        </w:rPr>
        <w:t>(</w:t>
      </w:r>
      <w:r>
        <w:rPr>
          <w:rFonts w:hint="eastAsia"/>
        </w:rPr>
        <w:t>户主</w:t>
      </w:r>
      <w:r>
        <w:rPr>
          <w:rFonts w:hint="eastAsia"/>
        </w:rPr>
        <w:t>)</w:t>
      </w:r>
      <w:r>
        <w:rPr>
          <w:rFonts w:hint="eastAsia"/>
        </w:rPr>
        <w:t>分配税负时也考虑到了这些因素。以前的法院裁决显示，当时还有无主的工地。此外，专家意见也谈到了当时的国王和后来逐步建立起来的国家所有权的日益增长的作用。在这一方面，专家认为有一点情况也是值得注意的：萨米人为了保护其利益已经开始建立新的农庄。</w:t>
      </w:r>
    </w:p>
    <w:p w:rsidR="00000000" w:rsidRDefault="00000000">
      <w:pPr>
        <w:rPr>
          <w:rFonts w:hint="eastAsia"/>
        </w:rPr>
      </w:pPr>
      <w:r>
        <w:rPr>
          <w:rFonts w:hint="eastAsia"/>
        </w:rPr>
        <w:tab/>
        <w:t xml:space="preserve">71.  </w:t>
      </w:r>
      <w:r>
        <w:t>Wirilander</w:t>
      </w:r>
      <w:r>
        <w:rPr>
          <w:rFonts w:hint="eastAsia"/>
        </w:rPr>
        <w:t>先生认为他的意见是说理性的，并且在其送文说明中指出，如果要对这个问题进行深入的调查，就必须对历史资料进行研究。他列出了所有他认为应该研究的资料。</w:t>
      </w:r>
    </w:p>
    <w:p w:rsidR="00000000" w:rsidRDefault="00000000">
      <w:pPr>
        <w:rPr>
          <w:rFonts w:hint="eastAsia"/>
        </w:rPr>
      </w:pPr>
      <w:r>
        <w:rPr>
          <w:rFonts w:hint="eastAsia"/>
        </w:rPr>
        <w:tab/>
        <w:t xml:space="preserve">72.  </w:t>
      </w:r>
      <w:r>
        <w:rPr>
          <w:rFonts w:hint="eastAsia"/>
        </w:rPr>
        <w:t>除了提出法律修正案以外，上述委员会还建议进行</w:t>
      </w:r>
      <w:r>
        <w:t>Wirilander</w:t>
      </w:r>
      <w:r>
        <w:rPr>
          <w:rFonts w:hint="eastAsia"/>
        </w:rPr>
        <w:t>先生所提出的研究。</w:t>
      </w:r>
    </w:p>
    <w:p w:rsidR="00000000" w:rsidRDefault="00000000">
      <w:pPr>
        <w:rPr>
          <w:rFonts w:hint="eastAsia"/>
        </w:rPr>
      </w:pPr>
      <w:r>
        <w:rPr>
          <w:rFonts w:hint="eastAsia"/>
        </w:rPr>
        <w:tab/>
        <w:t xml:space="preserve">73.  </w:t>
      </w:r>
      <w:r>
        <w:rPr>
          <w:rFonts w:hint="eastAsia"/>
        </w:rPr>
        <w:t>目前的报告显示，几百年来，萨米人以及其他芬兰人一直居住在同一地区，并且采用同样的谋生手段。为了根据历史事实寻找合理的解决办法，有关住宅、人口以及土地使用权的演变情况将发挥更为重要的作用。</w:t>
      </w:r>
    </w:p>
    <w:p w:rsidR="00000000" w:rsidRDefault="00000000">
      <w:pPr>
        <w:rPr>
          <w:rFonts w:hint="eastAsia"/>
        </w:rPr>
      </w:pPr>
      <w:r>
        <w:rPr>
          <w:rFonts w:hint="eastAsia"/>
        </w:rPr>
        <w:tab/>
        <w:t xml:space="preserve">74.  </w:t>
      </w:r>
      <w:r>
        <w:rPr>
          <w:rFonts w:hint="eastAsia"/>
        </w:rPr>
        <w:t>政府在</w:t>
      </w:r>
      <w:r>
        <w:rPr>
          <w:rFonts w:hint="eastAsia"/>
        </w:rPr>
        <w:t>2002</w:t>
      </w:r>
      <w:r>
        <w:rPr>
          <w:rFonts w:hint="eastAsia"/>
        </w:rPr>
        <w:t>年</w:t>
      </w:r>
      <w:r>
        <w:rPr>
          <w:rFonts w:hint="eastAsia"/>
        </w:rPr>
        <w:t>5</w:t>
      </w:r>
      <w:r>
        <w:rPr>
          <w:rFonts w:hint="eastAsia"/>
        </w:rPr>
        <w:t>月</w:t>
      </w:r>
      <w:r>
        <w:rPr>
          <w:rFonts w:hint="eastAsia"/>
        </w:rPr>
        <w:t>22</w:t>
      </w:r>
      <w:r>
        <w:rPr>
          <w:rFonts w:hint="eastAsia"/>
        </w:rPr>
        <w:t>日的一次会议上讨论了有关作为一个实体的萨米人的各种问题，并且认为必须根据档案对于在十八世纪中期一直到二十世纪初在</w:t>
      </w:r>
      <w:r>
        <w:t>Lapland</w:t>
      </w:r>
      <w:r>
        <w:rPr>
          <w:rFonts w:hint="eastAsia"/>
        </w:rPr>
        <w:t>的</w:t>
      </w:r>
      <w:r>
        <w:rPr>
          <w:rFonts w:hint="eastAsia"/>
        </w:rPr>
        <w:t>K</w:t>
      </w:r>
      <w:r>
        <w:t>emi</w:t>
      </w:r>
      <w:r>
        <w:rPr>
          <w:rFonts w:hint="eastAsia"/>
        </w:rPr>
        <w:t>地区和</w:t>
      </w:r>
      <w:r>
        <w:t>Tornio</w:t>
      </w:r>
      <w:r>
        <w:rPr>
          <w:rFonts w:hint="eastAsia"/>
        </w:rPr>
        <w:t>地区中的住宅、人口和土地使用的历史进行独立的研究。</w:t>
      </w:r>
    </w:p>
    <w:p w:rsidR="00000000" w:rsidRDefault="00000000">
      <w:pPr>
        <w:rPr>
          <w:rFonts w:hint="eastAsia"/>
        </w:rPr>
      </w:pPr>
      <w:r>
        <w:rPr>
          <w:rFonts w:hint="eastAsia"/>
        </w:rPr>
        <w:tab/>
        <w:t xml:space="preserve">75.  </w:t>
      </w:r>
      <w:r>
        <w:rPr>
          <w:rFonts w:hint="eastAsia"/>
        </w:rPr>
        <w:t>在议会批准了有关土地所有权的研究所需经费之后，就已经为研究项目发出了招标，萨米议会也已收到通知。到截止日期，只有</w:t>
      </w:r>
      <w:r>
        <w:t>Oulu</w:t>
      </w:r>
      <w:r>
        <w:rPr>
          <w:rFonts w:hint="eastAsia"/>
        </w:rPr>
        <w:t>大学和</w:t>
      </w:r>
      <w:r>
        <w:t>Lapland</w:t>
      </w:r>
      <w:r>
        <w:rPr>
          <w:rFonts w:hint="eastAsia"/>
        </w:rPr>
        <w:t>大学的联合研究小组向司法部提出了标书。这份标书符合招标所规定的各项条件，司法部于</w:t>
      </w:r>
      <w:r>
        <w:rPr>
          <w:rFonts w:hint="eastAsia"/>
        </w:rPr>
        <w:t>2002</w:t>
      </w:r>
      <w:r>
        <w:rPr>
          <w:rFonts w:hint="eastAsia"/>
        </w:rPr>
        <w:t>年</w:t>
      </w:r>
      <w:r>
        <w:rPr>
          <w:rFonts w:hint="eastAsia"/>
        </w:rPr>
        <w:t>12</w:t>
      </w:r>
      <w:r>
        <w:rPr>
          <w:rFonts w:hint="eastAsia"/>
        </w:rPr>
        <w:t>月</w:t>
      </w:r>
      <w:r>
        <w:rPr>
          <w:rFonts w:hint="eastAsia"/>
        </w:rPr>
        <w:t>20</w:t>
      </w:r>
      <w:r>
        <w:rPr>
          <w:rFonts w:hint="eastAsia"/>
        </w:rPr>
        <w:t>日接受了这份标书。在研究过程中，该研究小组向指导小组汇报了工作进展和研究结果，研究小组的报告可能于</w:t>
      </w:r>
      <w:r>
        <w:rPr>
          <w:rFonts w:hint="eastAsia"/>
        </w:rPr>
        <w:t>2005</w:t>
      </w:r>
      <w:r>
        <w:rPr>
          <w:rFonts w:hint="eastAsia"/>
        </w:rPr>
        <w:t>年</w:t>
      </w:r>
      <w:r>
        <w:rPr>
          <w:rFonts w:hint="eastAsia"/>
        </w:rPr>
        <w:t>9</w:t>
      </w:r>
      <w:r>
        <w:rPr>
          <w:rFonts w:hint="eastAsia"/>
        </w:rPr>
        <w:t>月发表。为了监测研究的进展成立了一个指导小组，也邀请了萨米议会派出代表参加该小组。不幸的是，萨米议会已经决定</w:t>
      </w:r>
      <w:r>
        <w:rPr>
          <w:rFonts w:hint="eastAsia"/>
        </w:rPr>
        <w:t>(</w:t>
      </w:r>
      <w:r>
        <w:rPr>
          <w:rFonts w:hint="eastAsia"/>
        </w:rPr>
        <w:t>至少是目前</w:t>
      </w:r>
      <w:r>
        <w:rPr>
          <w:rFonts w:hint="eastAsia"/>
        </w:rPr>
        <w:t>)</w:t>
      </w:r>
      <w:r>
        <w:rPr>
          <w:rFonts w:hint="eastAsia"/>
        </w:rPr>
        <w:t>不参加指导小组。研究认为，无论是出自法律原因或者政治原因，如果要解决这个问题，就必须就住宅和人口以及谋生手段和使用土地权利的演变情况进行深入的历史研究。</w:t>
      </w:r>
    </w:p>
    <w:p w:rsidR="00000000" w:rsidRDefault="00000000">
      <w:pPr>
        <w:rPr>
          <w:rFonts w:hint="eastAsia"/>
        </w:rPr>
      </w:pPr>
      <w:r>
        <w:rPr>
          <w:rFonts w:hint="eastAsia"/>
        </w:rPr>
        <w:tab/>
        <w:t xml:space="preserve">76.  </w:t>
      </w:r>
      <w:r>
        <w:rPr>
          <w:rFonts w:hint="eastAsia"/>
        </w:rPr>
        <w:t>在采取上述措施的同时，萨米议会继续进行自己的调查。</w:t>
      </w:r>
      <w:r>
        <w:rPr>
          <w:rFonts w:hint="eastAsia"/>
        </w:rPr>
        <w:t>2002</w:t>
      </w:r>
      <w:r>
        <w:rPr>
          <w:rFonts w:hint="eastAsia"/>
        </w:rPr>
        <w:t>年</w:t>
      </w:r>
      <w:r>
        <w:rPr>
          <w:rFonts w:hint="eastAsia"/>
        </w:rPr>
        <w:t>9</w:t>
      </w:r>
      <w:r>
        <w:rPr>
          <w:rFonts w:hint="eastAsia"/>
        </w:rPr>
        <w:t>月，萨米议会发表了萨米家园土地所有权问题工作组的报告</w:t>
      </w:r>
      <w:r>
        <w:rPr>
          <w:rFonts w:hint="eastAsia"/>
        </w:rPr>
        <w:t>(</w:t>
      </w:r>
      <w:r>
        <w:rPr>
          <w:rFonts w:hint="eastAsia"/>
        </w:rPr>
        <w:t>第一份最初报告</w:t>
      </w:r>
      <w:r>
        <w:rPr>
          <w:rFonts w:hint="eastAsia"/>
        </w:rPr>
        <w:t>)</w:t>
      </w:r>
      <w:r>
        <w:rPr>
          <w:rFonts w:hint="eastAsia"/>
        </w:rPr>
        <w:t>。这份报告的基本观点是国家土地所有权没有可靠的法律依据，从而对国家的土地所有权提出了质疑。萨米议会指出，大约是在</w:t>
      </w:r>
      <w:r>
        <w:rPr>
          <w:rFonts w:hint="eastAsia"/>
        </w:rPr>
        <w:t>30</w:t>
      </w:r>
      <w:r>
        <w:rPr>
          <w:rFonts w:hint="eastAsia"/>
        </w:rPr>
        <w:t>年前于</w:t>
      </w:r>
      <w:r>
        <w:rPr>
          <w:rFonts w:hint="eastAsia"/>
        </w:rPr>
        <w:t>1976</w:t>
      </w:r>
      <w:r>
        <w:rPr>
          <w:rFonts w:hint="eastAsia"/>
        </w:rPr>
        <w:t>年对有关法律进行修订时，森林才正式转交给国家，从而确定了国家对于森林的所有权，并且记录在土地登记册中。</w:t>
      </w:r>
    </w:p>
    <w:p w:rsidR="00000000" w:rsidRDefault="00000000">
      <w:pPr>
        <w:rPr>
          <w:rFonts w:hint="eastAsia"/>
        </w:rPr>
      </w:pPr>
      <w:r>
        <w:rPr>
          <w:rFonts w:hint="eastAsia"/>
        </w:rPr>
        <w:tab/>
        <w:t xml:space="preserve">77.  </w:t>
      </w:r>
      <w:r>
        <w:rPr>
          <w:rFonts w:hint="eastAsia"/>
        </w:rPr>
        <w:t>然而，记录从来就没有对土地所有权产生任何行政上或者名义上的影响。地产登记以及在这以前的土地登记的原意并不是要涉及所有土地，所登记的只是私人拥有的农庄和住宅。关于国有土地的内容是后来才登记的。最初的登记册中没有国家拥有土地的内容，但是这不能说明，有关地区属于无主土地的地位。有关土地所有权的重大改革、土地分割以及其他重要的法律改革发生在许多年以前。</w:t>
      </w:r>
    </w:p>
    <w:p w:rsidR="00000000" w:rsidRDefault="00000000">
      <w:pPr>
        <w:rPr>
          <w:rFonts w:hint="eastAsia"/>
        </w:rPr>
      </w:pPr>
      <w:r>
        <w:rPr>
          <w:rFonts w:hint="eastAsia"/>
        </w:rPr>
        <w:tab/>
        <w:t xml:space="preserve">78.  </w:t>
      </w:r>
      <w:r>
        <w:rPr>
          <w:rFonts w:hint="eastAsia"/>
        </w:rPr>
        <w:t>联合国人权委员会在其</w:t>
      </w:r>
      <w:r>
        <w:rPr>
          <w:rFonts w:hint="eastAsia"/>
        </w:rPr>
        <w:t>2004</w:t>
      </w:r>
      <w:r>
        <w:rPr>
          <w:rFonts w:hint="eastAsia"/>
        </w:rPr>
        <w:t>年的建议中对萨米人的土地权利表示关注，并且认为芬兰并没有解决这一问题。</w:t>
      </w:r>
    </w:p>
    <w:p w:rsidR="00000000" w:rsidRDefault="00000000">
      <w:pPr>
        <w:spacing w:after="240"/>
        <w:rPr>
          <w:rFonts w:hint="eastAsia"/>
        </w:rPr>
      </w:pPr>
      <w:r>
        <w:rPr>
          <w:rFonts w:hint="eastAsia"/>
        </w:rPr>
        <w:tab/>
        <w:t xml:space="preserve">79.  </w:t>
      </w:r>
      <w:r>
        <w:rPr>
          <w:rFonts w:hint="eastAsia"/>
        </w:rPr>
        <w:t>政府指出，为解决这一问题所采取的措施尚未完成。司法部愿意就萨米议会在这方面所提出的任何意见继续进行讨论。然而，在上述工作组完成其工作以及在审查即报告之前，司法部不可能就此问题提出新的建议。</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E26.</w:t>
      </w:r>
      <w:r>
        <w:rPr>
          <w:rFonts w:ascii="Time New Roman" w:eastAsia="SimHei" w:hAnsi="Time New Roman" w:hint="eastAsia"/>
          <w:u w:val="none"/>
        </w:rPr>
        <w:t xml:space="preserve">  </w:t>
      </w:r>
      <w:r>
        <w:rPr>
          <w:rFonts w:ascii="Time New Roman" w:eastAsia="SimHei" w:hAnsi="Time New Roman" w:hint="eastAsia"/>
          <w:u w:val="none"/>
        </w:rPr>
        <w:t>罗姆人的地位</w:t>
      </w:r>
    </w:p>
    <w:p w:rsidR="00000000" w:rsidRDefault="00000000">
      <w:pPr>
        <w:rPr>
          <w:rFonts w:hint="eastAsia"/>
        </w:rPr>
      </w:pPr>
      <w:r>
        <w:rPr>
          <w:rFonts w:hint="eastAsia"/>
        </w:rPr>
        <w:tab/>
        <w:t xml:space="preserve">80.  </w:t>
      </w:r>
      <w:r>
        <w:rPr>
          <w:rFonts w:hint="eastAsia"/>
        </w:rPr>
        <w:t>芬兰罗姆人同占多数的其他人一样生活在同一地区，并且住在同样类型的公寓中，无家可归的罗姆人为数很少。然而，罗姆人必须依靠公共出租住房，因为由于其经济状况较差以及普遍存在的偏见，他们很难在私营出租住房市场上找到公寓。虽然在过去几年中在公共和私营住房市场上出租公寓的供应已经有所改善，但是罗姆人在住房市场还是面临困难。在私营住房市场，通常必需的保证金和偿债能力规定使得罗姆人很难找到公寓。在私人住房方面，由于证据的问题，很难就可能的歧视情况进行干预。在出租公房方面，罗姆人同其他申请者处于同等的地位。新的《禁止歧视法》</w:t>
      </w:r>
      <w:r>
        <w:rPr>
          <w:rFonts w:hint="eastAsia"/>
        </w:rPr>
        <w:t>(</w:t>
      </w:r>
      <w:r>
        <w:rPr>
          <w:rFonts w:hint="eastAsia"/>
        </w:rPr>
        <w:t>见在第</w:t>
      </w:r>
      <w:r>
        <w:rPr>
          <w:rFonts w:hint="eastAsia"/>
        </w:rPr>
        <w:t>2</w:t>
      </w:r>
      <w:r>
        <w:rPr>
          <w:rFonts w:hint="eastAsia"/>
        </w:rPr>
        <w:t>条下所提供的信息</w:t>
      </w:r>
      <w:r>
        <w:rPr>
          <w:rFonts w:hint="eastAsia"/>
        </w:rPr>
        <w:t>)</w:t>
      </w:r>
      <w:r>
        <w:rPr>
          <w:rFonts w:hint="eastAsia"/>
        </w:rPr>
        <w:t>进一步加强了对于歧视情况进行干预的可能性。</w:t>
      </w:r>
    </w:p>
    <w:p w:rsidR="00000000" w:rsidRDefault="00000000">
      <w:pPr>
        <w:rPr>
          <w:rFonts w:hint="eastAsia"/>
        </w:rPr>
      </w:pPr>
      <w:r>
        <w:rPr>
          <w:rFonts w:hint="eastAsia"/>
        </w:rPr>
        <w:tab/>
        <w:t xml:space="preserve">81.  </w:t>
      </w:r>
      <w:r>
        <w:rPr>
          <w:rFonts w:hint="eastAsia"/>
        </w:rPr>
        <w:t>主管住房问题的环境部在其发给政府部门有关指导挑选出租公房住户的手册中特别提请注意有关平等的规定。环境部同罗姆人事务咨询委员会合作，还编写了一份名为“在罗姆人文化中有关住房的特别问题”的手册。这份手册旨在向地方住房管理部门以及其他有关机构提供有关罗姆人的信息，从而帮助罗姆人获得住房和搬迁。这两份手册都已经广为散发。在为地方当局以及其他负责住房问题的机构举办各种培训班和召开会议时，也都讨论了有关同等待遇的问题。</w:t>
      </w:r>
    </w:p>
    <w:p w:rsidR="00000000" w:rsidRDefault="00000000">
      <w:pPr>
        <w:rPr>
          <w:rFonts w:hint="eastAsia"/>
        </w:rPr>
      </w:pPr>
      <w:r>
        <w:rPr>
          <w:rFonts w:hint="eastAsia"/>
        </w:rPr>
        <w:tab/>
        <w:t xml:space="preserve">82.  </w:t>
      </w:r>
      <w:r>
        <w:rPr>
          <w:rFonts w:hint="eastAsia"/>
        </w:rPr>
        <w:t>在挑选出租公房的租户方面，罗姆人可以向芬兰住房基金会或者少数人事务监察员提出申诉，也已经向议会监察员发出了有关罗姆人住房状况的投诉。环境部、罗姆人事务咨询委员会以及少数人事务监察员最近提请注意在地方一级解决有关问题的重要性，并且为此目的作出了努力。在这一方面，为地方住房部门和社会福利部门、房地产机构、罗姆联系人以及代表举办的培训班和提供的咨询意见发挥了重要作用。</w:t>
      </w:r>
    </w:p>
    <w:p w:rsidR="00000000" w:rsidRDefault="00000000">
      <w:pPr>
        <w:rPr>
          <w:rFonts w:hint="eastAsia"/>
        </w:rPr>
      </w:pPr>
      <w:r>
        <w:rPr>
          <w:rFonts w:hint="eastAsia"/>
        </w:rPr>
        <w:tab/>
        <w:t>83.  2002</w:t>
      </w:r>
      <w:r>
        <w:rPr>
          <w:rFonts w:hint="eastAsia"/>
        </w:rPr>
        <w:t>年秋天，少数人事务监察员主动提出，要改进旨在改善罗姆人就业状况的服务。</w:t>
      </w:r>
    </w:p>
    <w:p w:rsidR="00000000" w:rsidRDefault="00000000">
      <w:pPr>
        <w:rPr>
          <w:rFonts w:hint="eastAsia"/>
        </w:rPr>
      </w:pPr>
      <w:r>
        <w:rPr>
          <w:rFonts w:hint="eastAsia"/>
        </w:rPr>
        <w:tab/>
        <w:t xml:space="preserve">84.  </w:t>
      </w:r>
      <w:r>
        <w:rPr>
          <w:rFonts w:hint="eastAsia"/>
        </w:rPr>
        <w:t>因此，劳工部在</w:t>
      </w:r>
      <w:r>
        <w:rPr>
          <w:rFonts w:hint="eastAsia"/>
        </w:rPr>
        <w:t>2003</w:t>
      </w:r>
      <w:r>
        <w:rPr>
          <w:rFonts w:hint="eastAsia"/>
        </w:rPr>
        <w:t>年春天向所有的职业介绍机构发出了一份问卷调查表，希望能够找到通过劳工管理部门现有的手段来支持罗姆人就业的方法，查明到底有多少罗姆人已经在职业介绍机构中作为求职者或者失业求职者登记，对于罗姆失业求职者的年龄分布及其教育程度作出评估以及就良好做法征求意见。</w:t>
      </w:r>
    </w:p>
    <w:p w:rsidR="00000000" w:rsidRDefault="00000000">
      <w:pPr>
        <w:rPr>
          <w:rFonts w:hint="eastAsia"/>
        </w:rPr>
      </w:pPr>
      <w:r>
        <w:rPr>
          <w:rFonts w:hint="eastAsia"/>
        </w:rPr>
        <w:tab/>
        <w:t xml:space="preserve">85.  </w:t>
      </w:r>
      <w:r>
        <w:rPr>
          <w:rFonts w:hint="eastAsia"/>
        </w:rPr>
        <w:t>在经过上述调查之后，劳工部致函就业和经济发展中心下属的劳工部门以及职业介绍机构，请他们：</w:t>
      </w:r>
    </w:p>
    <w:p w:rsidR="00000000" w:rsidRDefault="00000000">
      <w:pPr>
        <w:numPr>
          <w:ilvl w:val="0"/>
          <w:numId w:val="126"/>
        </w:numPr>
        <w:tabs>
          <w:tab w:val="clear" w:pos="1531"/>
        </w:tabs>
        <w:rPr>
          <w:rFonts w:hint="eastAsia"/>
        </w:rPr>
      </w:pPr>
      <w:r>
        <w:rPr>
          <w:rFonts w:hint="eastAsia"/>
        </w:rPr>
        <w:t>委派代表参加地区罗姆人事务咨询委员会；</w:t>
      </w:r>
    </w:p>
    <w:p w:rsidR="00000000" w:rsidRDefault="00000000">
      <w:pPr>
        <w:numPr>
          <w:ilvl w:val="0"/>
          <w:numId w:val="126"/>
        </w:numPr>
        <w:tabs>
          <w:tab w:val="clear" w:pos="1531"/>
        </w:tabs>
        <w:rPr>
          <w:rFonts w:hint="eastAsia"/>
        </w:rPr>
      </w:pPr>
      <w:r>
        <w:rPr>
          <w:rFonts w:hint="eastAsia"/>
        </w:rPr>
        <w:t>为所有就业介绍机构以及所有就业和经济发展中心下属的劳工部门委派罗姆联系人。这项工作可由负责平等事务的联系人兼任；</w:t>
      </w:r>
    </w:p>
    <w:p w:rsidR="00000000" w:rsidRDefault="00000000">
      <w:pPr>
        <w:numPr>
          <w:ilvl w:val="0"/>
          <w:numId w:val="126"/>
        </w:numPr>
        <w:tabs>
          <w:tab w:val="clear" w:pos="1531"/>
        </w:tabs>
        <w:rPr>
          <w:rFonts w:hint="eastAsia"/>
        </w:rPr>
      </w:pPr>
      <w:r>
        <w:rPr>
          <w:rFonts w:hint="eastAsia"/>
        </w:rPr>
        <w:t>向其工作人员提供有关种族平等和罗姆人文化以及将其纳入工作等问题的培训；</w:t>
      </w:r>
    </w:p>
    <w:p w:rsidR="00000000" w:rsidRDefault="00000000">
      <w:pPr>
        <w:numPr>
          <w:ilvl w:val="0"/>
          <w:numId w:val="126"/>
        </w:numPr>
        <w:tabs>
          <w:tab w:val="clear" w:pos="1531"/>
        </w:tabs>
        <w:rPr>
          <w:rFonts w:hint="eastAsia"/>
        </w:rPr>
      </w:pPr>
      <w:r>
        <w:rPr>
          <w:rFonts w:hint="eastAsia"/>
        </w:rPr>
        <w:t>同罗姆人的代表合作，寻找加强在职业介绍机构登记的年轻罗姆人就业的方法；</w:t>
      </w:r>
    </w:p>
    <w:p w:rsidR="00000000" w:rsidRDefault="00000000">
      <w:pPr>
        <w:numPr>
          <w:ilvl w:val="0"/>
          <w:numId w:val="126"/>
        </w:numPr>
        <w:tabs>
          <w:tab w:val="clear" w:pos="1531"/>
        </w:tabs>
        <w:rPr>
          <w:rFonts w:hint="eastAsia"/>
        </w:rPr>
      </w:pPr>
      <w:r>
        <w:rPr>
          <w:rFonts w:hint="eastAsia"/>
        </w:rPr>
        <w:t>同罗姆人的代表合作，试办适合罗姆人的劳工市场培训；</w:t>
      </w:r>
    </w:p>
    <w:p w:rsidR="00000000" w:rsidRDefault="00000000">
      <w:pPr>
        <w:numPr>
          <w:ilvl w:val="0"/>
          <w:numId w:val="126"/>
        </w:numPr>
        <w:tabs>
          <w:tab w:val="clear" w:pos="1531"/>
        </w:tabs>
        <w:rPr>
          <w:rFonts w:hint="eastAsia"/>
        </w:rPr>
      </w:pPr>
      <w:r>
        <w:rPr>
          <w:rFonts w:hint="eastAsia"/>
        </w:rPr>
        <w:t>研究是否可能为希望完成全面学校教育的罗姆人安排初步培训；</w:t>
      </w:r>
    </w:p>
    <w:p w:rsidR="00000000" w:rsidRDefault="00000000">
      <w:pPr>
        <w:numPr>
          <w:ilvl w:val="0"/>
          <w:numId w:val="126"/>
        </w:numPr>
        <w:tabs>
          <w:tab w:val="clear" w:pos="1531"/>
        </w:tabs>
        <w:rPr>
          <w:rFonts w:hint="eastAsia"/>
        </w:rPr>
      </w:pPr>
      <w:r>
        <w:rPr>
          <w:rFonts w:hint="eastAsia"/>
        </w:rPr>
        <w:t>同罗姆人合作，研究是否可能为他们举办有关自营职业或者各种职业的劳工市场培训；</w:t>
      </w:r>
    </w:p>
    <w:p w:rsidR="00000000" w:rsidRDefault="00000000">
      <w:pPr>
        <w:numPr>
          <w:ilvl w:val="0"/>
          <w:numId w:val="126"/>
        </w:numPr>
        <w:tabs>
          <w:tab w:val="clear" w:pos="1531"/>
        </w:tabs>
        <w:rPr>
          <w:rFonts w:hint="eastAsia"/>
        </w:rPr>
      </w:pPr>
      <w:r>
        <w:rPr>
          <w:rFonts w:hint="eastAsia"/>
        </w:rPr>
        <w:t>在根据《禁止歧视法》拟定禁止歧视的计划时，考虑上述建议。</w:t>
      </w:r>
    </w:p>
    <w:p w:rsidR="00000000" w:rsidRDefault="00000000">
      <w:pPr>
        <w:rPr>
          <w:rFonts w:hint="eastAsia"/>
        </w:rPr>
      </w:pPr>
      <w:r>
        <w:rPr>
          <w:rFonts w:hint="eastAsia"/>
        </w:rPr>
        <w:tab/>
        <w:t xml:space="preserve">86.  </w:t>
      </w:r>
      <w:r>
        <w:rPr>
          <w:rFonts w:hint="eastAsia"/>
        </w:rPr>
        <w:t>此外，劳工部还同罗姆人事务咨询委员会进行了讨论，以便共同编写一些手册</w:t>
      </w:r>
      <w:r>
        <w:rPr>
          <w:rFonts w:hint="eastAsia"/>
        </w:rPr>
        <w:t>(</w:t>
      </w:r>
      <w:r>
        <w:rPr>
          <w:rFonts w:hint="eastAsia"/>
        </w:rPr>
        <w:t>包括为不同的行政部门编写的有关罗姆人文化的手册以及为雇主和职业介绍机构编写的另外一份手册</w:t>
      </w:r>
      <w:r>
        <w:rPr>
          <w:rFonts w:hint="eastAsia"/>
        </w:rPr>
        <w:t>)</w:t>
      </w:r>
      <w:r>
        <w:rPr>
          <w:rFonts w:hint="eastAsia"/>
        </w:rPr>
        <w:t>、为罗姆人编写的关于职业介绍机构所提供服务的一份指南、一份有关社会福利服务的指南以及一份经过更新的有关医疗服务的指南。</w:t>
      </w:r>
    </w:p>
    <w:p w:rsidR="00000000" w:rsidRDefault="00000000">
      <w:pPr>
        <w:rPr>
          <w:rFonts w:hint="eastAsia"/>
        </w:rPr>
      </w:pPr>
      <w:r>
        <w:rPr>
          <w:rFonts w:hint="eastAsia"/>
        </w:rPr>
        <w:tab/>
        <w:t xml:space="preserve">87.  </w:t>
      </w:r>
      <w:r>
        <w:rPr>
          <w:rFonts w:hint="eastAsia"/>
        </w:rPr>
        <w:t>目前，劳工部正在研究是否可能在今年年底进行一项研究，以便评估为罗姆人提供的就业服务和这些服务是否适用和有效。</w:t>
      </w:r>
    </w:p>
    <w:p w:rsidR="00000000" w:rsidRDefault="00000000">
      <w:pPr>
        <w:rPr>
          <w:rFonts w:hint="eastAsia"/>
        </w:rPr>
      </w:pPr>
      <w:r>
        <w:rPr>
          <w:rFonts w:hint="eastAsia"/>
        </w:rPr>
        <w:tab/>
        <w:t xml:space="preserve">88.  </w:t>
      </w:r>
      <w:r>
        <w:rPr>
          <w:rFonts w:hint="eastAsia"/>
        </w:rPr>
        <w:t>除其他外，劳工部今年还通过向职业介绍机构发出新的问卷调查表来监测上述建议的执行情况。</w:t>
      </w:r>
    </w:p>
    <w:p w:rsidR="00000000" w:rsidRDefault="00000000">
      <w:pPr>
        <w:rPr>
          <w:rFonts w:hint="eastAsia"/>
        </w:rPr>
      </w:pPr>
      <w:r>
        <w:rPr>
          <w:rFonts w:hint="eastAsia"/>
        </w:rPr>
        <w:tab/>
        <w:t xml:space="preserve">89.  </w:t>
      </w:r>
      <w:r>
        <w:rPr>
          <w:rFonts w:hint="eastAsia"/>
          <w:spacing w:val="6"/>
        </w:rPr>
        <w:t>从</w:t>
      </w:r>
      <w:r>
        <w:rPr>
          <w:rFonts w:hint="eastAsia"/>
          <w:spacing w:val="6"/>
        </w:rPr>
        <w:t>2001</w:t>
      </w:r>
      <w:r>
        <w:rPr>
          <w:rFonts w:hint="eastAsia"/>
          <w:spacing w:val="6"/>
        </w:rPr>
        <w:t>年至今，劳工部一直在协调一场反对歧视的宣传运动</w:t>
      </w:r>
      <w:r>
        <w:rPr>
          <w:rFonts w:hint="eastAsia"/>
          <w:spacing w:val="6"/>
        </w:rPr>
        <w:t>(SEIS</w:t>
      </w:r>
      <w:r>
        <w:rPr>
          <w:rFonts w:hint="eastAsia"/>
          <w:spacing w:val="6"/>
        </w:rPr>
        <w:t>；摆脱歧视，继续前进</w:t>
      </w:r>
      <w:r>
        <w:rPr>
          <w:rFonts w:hint="eastAsia"/>
          <w:spacing w:val="6"/>
        </w:rPr>
        <w:t>)</w:t>
      </w:r>
      <w:r>
        <w:rPr>
          <w:rFonts w:hint="eastAsia"/>
          <w:spacing w:val="6"/>
        </w:rPr>
        <w:t>。这场运动的部分经费是由欧洲联盟在共同体打击歧视行动纲领的框架内提供的。罗姆人事务咨询委员会作为伙伴参加了这场运动。除其他外，还通过出版物、文章、以及网页</w:t>
      </w:r>
      <w:r>
        <w:rPr>
          <w:rFonts w:hint="eastAsia"/>
          <w:spacing w:val="6"/>
          <w:vertAlign w:val="superscript"/>
        </w:rPr>
        <w:t xml:space="preserve"> </w:t>
      </w:r>
      <w:r>
        <w:rPr>
          <w:spacing w:val="6"/>
        </w:rPr>
        <w:t>(www.join.fi/seis and http://www</w:t>
      </w:r>
      <w:r>
        <w:rPr>
          <w:rFonts w:hint="eastAsia"/>
          <w:spacing w:val="6"/>
        </w:rPr>
        <w:t>.</w:t>
      </w:r>
      <w:r>
        <w:rPr>
          <w:spacing w:val="6"/>
        </w:rPr>
        <w:t>join.fi/seis/english/)</w:t>
      </w:r>
      <w:r>
        <w:rPr>
          <w:rFonts w:hint="eastAsia"/>
          <w:vertAlign w:val="superscript"/>
        </w:rPr>
        <w:t xml:space="preserve"> </w:t>
      </w:r>
      <w:r>
        <w:rPr>
          <w:rFonts w:hint="eastAsia"/>
        </w:rPr>
        <w:t>来开展这场运动。还在互联网上出版了一份网上杂志</w:t>
      </w:r>
      <w:r>
        <w:rPr>
          <w:rFonts w:hint="eastAsia"/>
        </w:rPr>
        <w:t>(</w:t>
      </w:r>
      <w:r>
        <w:t>Push</w:t>
      </w:r>
      <w:r>
        <w:rPr>
          <w:rFonts w:hint="eastAsia"/>
        </w:rPr>
        <w:t>)</w:t>
      </w:r>
      <w:r>
        <w:t>，</w:t>
      </w:r>
      <w:r>
        <w:rPr>
          <w:rFonts w:hint="eastAsia"/>
        </w:rPr>
        <w:t>其中载有以罗姆语写的文章。</w:t>
      </w:r>
    </w:p>
    <w:p w:rsidR="00000000" w:rsidRDefault="00000000">
      <w:pPr>
        <w:rPr>
          <w:rFonts w:hint="eastAsia"/>
        </w:rPr>
      </w:pPr>
      <w:r>
        <w:rPr>
          <w:rFonts w:hint="eastAsia"/>
        </w:rPr>
        <w:tab/>
        <w:t>90.  2004</w:t>
      </w:r>
      <w:r>
        <w:rPr>
          <w:rFonts w:hint="eastAsia"/>
        </w:rPr>
        <w:t>年春天，在</w:t>
      </w:r>
      <w:r>
        <w:rPr>
          <w:rFonts w:hint="eastAsia"/>
        </w:rPr>
        <w:t>SEIS</w:t>
      </w:r>
      <w:r>
        <w:rPr>
          <w:rFonts w:hint="eastAsia"/>
        </w:rPr>
        <w:t>运动的框架内举行了地区研讨会，提供有关新的《禁止歧视法》的信息，同时在工作场所举办了有关平等问题的培训。在同这场运动有关的所有活动中都讨论了关于罗姆少数人的问题，罗姆人也参加了这些活动的规划和执行。在</w:t>
      </w:r>
      <w:r>
        <w:rPr>
          <w:rFonts w:hint="eastAsia"/>
        </w:rPr>
        <w:t>2004</w:t>
      </w:r>
      <w:r>
        <w:rPr>
          <w:rFonts w:hint="eastAsia"/>
        </w:rPr>
        <w:t>年秋天以及</w:t>
      </w:r>
      <w:r>
        <w:rPr>
          <w:rFonts w:hint="eastAsia"/>
        </w:rPr>
        <w:t>2005</w:t>
      </w:r>
      <w:r>
        <w:rPr>
          <w:rFonts w:hint="eastAsia"/>
        </w:rPr>
        <w:t>年的春天和夏天，这场运动的重点是将加强非歧视做法的模式纳入主流以及为有关部门提供关于平等问题的培训。这场运动的网页上载有提供有关罗姆人问题培训的专家数据库。目前，数据库内有十个专家的资料。</w:t>
      </w:r>
    </w:p>
    <w:p w:rsidR="00000000" w:rsidRDefault="00000000">
      <w:pPr>
        <w:rPr>
          <w:rFonts w:hint="eastAsia"/>
        </w:rPr>
      </w:pPr>
      <w:r>
        <w:rPr>
          <w:rFonts w:hint="eastAsia"/>
        </w:rPr>
        <w:tab/>
        <w:t xml:space="preserve">91.  </w:t>
      </w:r>
      <w:r>
        <w:rPr>
          <w:rFonts w:hint="eastAsia"/>
        </w:rPr>
        <w:t>劳工部还协调了部分由欧洲联盟资助的另外一个项目</w:t>
      </w:r>
      <w:r>
        <w:rPr>
          <w:rFonts w:hint="eastAsia"/>
        </w:rPr>
        <w:t>(JOIN</w:t>
      </w:r>
      <w:r>
        <w:rPr>
          <w:rFonts w:hint="eastAsia"/>
        </w:rPr>
        <w:t>；共同提倡在地方一级禁止歧视</w:t>
      </w:r>
      <w:r>
        <w:rPr>
          <w:rFonts w:hint="eastAsia"/>
        </w:rPr>
        <w:t>)</w:t>
      </w:r>
      <w:r>
        <w:rPr>
          <w:rFonts w:hint="eastAsia"/>
        </w:rPr>
        <w:t>，其中最有关的目标是通过加强政府部门同面临歧视风险的群体之间的合作和对话来推动这些部门的工作。这个项目包括了两项侧重于罗姆人问题的活动。一项活动导致罗姆人自己编写了第一本历史书</w:t>
      </w:r>
      <w:r>
        <w:rPr>
          <w:rFonts w:hint="eastAsia"/>
        </w:rPr>
        <w:t>(</w:t>
      </w:r>
      <w:r>
        <w:rPr>
          <w:rFonts w:hint="eastAsia"/>
        </w:rPr>
        <w:t>“罗姆人历史”</w:t>
      </w:r>
      <w:r>
        <w:rPr>
          <w:rFonts w:hint="eastAsia"/>
        </w:rPr>
        <w:t>)</w:t>
      </w:r>
      <w:r>
        <w:rPr>
          <w:rFonts w:hint="eastAsia"/>
        </w:rPr>
        <w:t>。可在互联网上阅读这本书，有德语、英语、芬兰语以及罗姆语等版本。目前印刷出版的书籍只有德语版本。在芬兰开展的另外一项活动导致编制和测试了有关支持罗姆人儿童教育的模式。</w:t>
      </w:r>
    </w:p>
    <w:p w:rsidR="00000000" w:rsidRDefault="00000000">
      <w:pPr>
        <w:rPr>
          <w:spacing w:val="-4"/>
        </w:rPr>
      </w:pPr>
      <w:r>
        <w:rPr>
          <w:rFonts w:hint="eastAsia"/>
        </w:rPr>
        <w:tab/>
        <w:t xml:space="preserve">92.  </w:t>
      </w:r>
      <w:r>
        <w:rPr>
          <w:rFonts w:hint="eastAsia"/>
          <w:spacing w:val="8"/>
        </w:rPr>
        <w:t>JOIN</w:t>
      </w:r>
      <w:r>
        <w:rPr>
          <w:rFonts w:hint="eastAsia"/>
          <w:spacing w:val="8"/>
        </w:rPr>
        <w:t>项目已在</w:t>
      </w:r>
      <w:r>
        <w:rPr>
          <w:rFonts w:hint="eastAsia"/>
          <w:spacing w:val="8"/>
        </w:rPr>
        <w:t>2004</w:t>
      </w:r>
      <w:r>
        <w:rPr>
          <w:rFonts w:hint="eastAsia"/>
          <w:spacing w:val="8"/>
        </w:rPr>
        <w:t>年</w:t>
      </w:r>
      <w:r>
        <w:rPr>
          <w:rFonts w:hint="eastAsia"/>
          <w:spacing w:val="8"/>
        </w:rPr>
        <w:t>8</w:t>
      </w:r>
      <w:r>
        <w:rPr>
          <w:rFonts w:hint="eastAsia"/>
          <w:spacing w:val="8"/>
        </w:rPr>
        <w:t>月底完成，但是这个项目在罗姆人问题上的成果已经融入日常做法。在互联网上可以找到有关这个项目的进一步信息</w:t>
      </w:r>
      <w:r>
        <w:rPr>
          <w:rFonts w:hint="eastAsia"/>
          <w:spacing w:val="8"/>
        </w:rPr>
        <w:t>(</w:t>
      </w:r>
      <w:r>
        <w:rPr>
          <w:spacing w:val="8"/>
        </w:rPr>
        <w:t>www.join.fi</w:t>
      </w:r>
      <w:r>
        <w:rPr>
          <w:rFonts w:hint="eastAsia"/>
          <w:spacing w:val="8"/>
        </w:rPr>
        <w:t>)</w:t>
      </w:r>
      <w:r>
        <w:rPr>
          <w:rFonts w:hint="eastAsia"/>
          <w:spacing w:val="8"/>
        </w:rPr>
        <w:t>。</w:t>
      </w:r>
      <w:r>
        <w:rPr>
          <w:rFonts w:hint="eastAsia"/>
          <w:spacing w:val="-4"/>
        </w:rPr>
        <w:t>在赫尔辛基举行的有关罗姆人活动的说明和模式也可在互联网上找到</w:t>
      </w:r>
      <w:r>
        <w:rPr>
          <w:rFonts w:hint="eastAsia"/>
          <w:spacing w:val="-4"/>
        </w:rPr>
        <w:t>(</w:t>
      </w:r>
      <w:r>
        <w:rPr>
          <w:spacing w:val="-4"/>
        </w:rPr>
        <w:t>http://www.join.fi/english/helsinki.html</w:t>
      </w:r>
      <w:r>
        <w:rPr>
          <w:rFonts w:hint="eastAsia"/>
          <w:spacing w:val="-4"/>
        </w:rPr>
        <w:t>),</w:t>
      </w:r>
      <w:r>
        <w:rPr>
          <w:rFonts w:hint="eastAsia"/>
          <w:spacing w:val="-4"/>
        </w:rPr>
        <w:t>“罗姆人历史”也是如此</w:t>
      </w:r>
      <w:r>
        <w:rPr>
          <w:rFonts w:hint="eastAsia"/>
          <w:spacing w:val="-4"/>
        </w:rPr>
        <w:t>(</w:t>
      </w:r>
      <w:r>
        <w:rPr>
          <w:spacing w:val="-4"/>
        </w:rPr>
        <w:t>http://www.romahistory.com</w:t>
      </w:r>
      <w:r>
        <w:rPr>
          <w:rFonts w:hint="eastAsia"/>
          <w:spacing w:val="-4"/>
        </w:rPr>
        <w:t>)</w:t>
      </w:r>
      <w:r>
        <w:rPr>
          <w:rFonts w:hint="eastAsia"/>
          <w:spacing w:val="-4"/>
        </w:rPr>
        <w:t>。</w:t>
      </w:r>
    </w:p>
    <w:p w:rsidR="00000000" w:rsidRDefault="00000000">
      <w:pPr>
        <w:rPr>
          <w:rFonts w:hint="eastAsia"/>
        </w:rPr>
      </w:pPr>
      <w:r>
        <w:tab/>
        <w:t xml:space="preserve">93.  </w:t>
      </w:r>
      <w:r>
        <w:rPr>
          <w:rFonts w:hint="eastAsia"/>
        </w:rPr>
        <w:t>劳工部建立了全国平等问题联系人网络，涉及地区和地方行政部门。在过去几年中为这些联系人提供的正规培训包括加强种族平等以及发展在工作场所的文化多样性和非歧视做法。</w:t>
      </w:r>
      <w:r>
        <w:rPr>
          <w:rFonts w:hint="eastAsia"/>
        </w:rPr>
        <w:t>2003</w:t>
      </w:r>
      <w:r>
        <w:rPr>
          <w:rFonts w:hint="eastAsia"/>
        </w:rPr>
        <w:t>年，这种培训特别侧重于芬兰罗姆人的地位、罗姆人所遭受的歧视以及罗姆人文化问题。培训班的教员全部是罗姆人。</w:t>
      </w:r>
    </w:p>
    <w:p w:rsidR="00000000" w:rsidRDefault="00000000">
      <w:pPr>
        <w:rPr>
          <w:rFonts w:hint="eastAsia"/>
        </w:rPr>
      </w:pPr>
      <w:r>
        <w:rPr>
          <w:rFonts w:hint="eastAsia"/>
        </w:rPr>
        <w:tab/>
        <w:t xml:space="preserve">94.  </w:t>
      </w:r>
      <w:r>
        <w:rPr>
          <w:rFonts w:hint="eastAsia"/>
        </w:rPr>
        <w:t>主要鼓励罗姆人申请参加向所有符合入学资格的人开放的教育计划。然而，劳工局在过去一些年中一直在提供专门为罗姆人设计的成人职业进修。这种教育主要着重于同罗姆人文化紧密有关的领域</w:t>
      </w:r>
      <w:r>
        <w:rPr>
          <w:rFonts w:hint="eastAsia"/>
        </w:rPr>
        <w:t>(</w:t>
      </w:r>
      <w:r>
        <w:rPr>
          <w:rFonts w:hint="eastAsia"/>
        </w:rPr>
        <w:t>刺绣、音乐、戏剧以及牧马</w:t>
      </w:r>
      <w:r>
        <w:rPr>
          <w:rFonts w:hint="eastAsia"/>
        </w:rPr>
        <w:t>)</w:t>
      </w:r>
      <w:r>
        <w:rPr>
          <w:rFonts w:hint="eastAsia"/>
        </w:rPr>
        <w:t>。罗姆人也参加了这种教育的规划。在规划劳工市场培训的会议上，少数的人教育需要总是议题这一。</w:t>
      </w:r>
    </w:p>
    <w:p w:rsidR="00000000" w:rsidRDefault="00000000">
      <w:pPr>
        <w:rPr>
          <w:rFonts w:hint="eastAsia"/>
        </w:rPr>
      </w:pPr>
      <w:r>
        <w:rPr>
          <w:rFonts w:hint="eastAsia"/>
        </w:rPr>
        <w:tab/>
        <w:t xml:space="preserve">95.  </w:t>
      </w:r>
      <w:r>
        <w:rPr>
          <w:rFonts w:hint="eastAsia"/>
        </w:rPr>
        <w:t>在过去一些年中，欧洲社会基金会所提供的经费用于执行一项名为“</w:t>
      </w:r>
      <w:r>
        <w:rPr>
          <w:rFonts w:hint="eastAsia"/>
        </w:rPr>
        <w:t>R</w:t>
      </w:r>
      <w:r>
        <w:t>omako</w:t>
      </w:r>
      <w:r>
        <w:rPr>
          <w:rFonts w:hint="eastAsia"/>
        </w:rPr>
        <w:t>”的项目。这个项目的目标是要提高罗姆人的教育水平、就业和福利。除此以外，在欧洲社会基金会的框架内，</w:t>
      </w:r>
      <w:r>
        <w:rPr>
          <w:rFonts w:hint="eastAsia"/>
        </w:rPr>
        <w:t>2004</w:t>
      </w:r>
      <w:r>
        <w:rPr>
          <w:rFonts w:hint="eastAsia"/>
        </w:rPr>
        <w:t>年还在有关罗姆人的</w:t>
      </w:r>
      <w:r>
        <w:rPr>
          <w:rFonts w:hint="eastAsia"/>
        </w:rPr>
        <w:t>EQUAL</w:t>
      </w:r>
      <w:r>
        <w:rPr>
          <w:rFonts w:hint="eastAsia"/>
        </w:rPr>
        <w:t>计划项下启动了两个项目。这两个项目是打击种族主义和仇外心理行动的一部分，特别着重于教育和影响多数的人态度。其中一个项目致力于通过教育和为已经完成必要教育的罗姆人安排工作，从而使得罗姆人能够融入职工队伍。另外一个项目致力于提高罗姆人的教育水平和制定旨在培养罗姆人文化教员的模式。</w:t>
      </w:r>
    </w:p>
    <w:p w:rsidR="00000000" w:rsidRDefault="00000000">
      <w:pPr>
        <w:rPr>
          <w:rFonts w:hint="eastAsia"/>
        </w:rPr>
      </w:pPr>
      <w:r>
        <w:rPr>
          <w:rFonts w:hint="eastAsia"/>
        </w:rPr>
        <w:tab/>
        <w:t xml:space="preserve">96.  </w:t>
      </w:r>
      <w:r>
        <w:rPr>
          <w:rFonts w:hint="eastAsia"/>
        </w:rPr>
        <w:t>此外，为了建立一个向所有人开放的劳工市场，制定了一套旨在促进进入和返回劳工市场的措施，其中包括一个有关罗姆人的项目</w:t>
      </w:r>
      <w:r>
        <w:rPr>
          <w:rFonts w:hint="eastAsia"/>
        </w:rPr>
        <w:t>(ROM</w:t>
      </w:r>
      <w:r>
        <w:rPr>
          <w:rFonts w:hint="eastAsia"/>
        </w:rPr>
        <w:t>－</w:t>
      </w:r>
      <w:r>
        <w:rPr>
          <w:rFonts w:hint="eastAsia"/>
        </w:rPr>
        <w:t>EQUAL)</w:t>
      </w:r>
      <w:r>
        <w:rPr>
          <w:rFonts w:hint="eastAsia"/>
        </w:rPr>
        <w:t>。这个项目的目的是要建立一个将罗姆人融入职工队伍的模式以及培训罗姆人教员，这样可能有助于改变目前教职员工的态度，从而帮助罗姆人儿童完成全面的学校教育。</w:t>
      </w:r>
    </w:p>
    <w:p w:rsidR="00000000" w:rsidRDefault="00000000">
      <w:pPr>
        <w:rPr>
          <w:rFonts w:hint="eastAsia"/>
        </w:rPr>
      </w:pPr>
      <w:r>
        <w:rPr>
          <w:rFonts w:hint="eastAsia"/>
        </w:rPr>
        <w:tab/>
        <w:t>97.  2000</w:t>
      </w:r>
      <w:r>
        <w:rPr>
          <w:rFonts w:hint="eastAsia"/>
        </w:rPr>
        <w:t>年</w:t>
      </w:r>
      <w:r>
        <w:rPr>
          <w:rFonts w:hint="eastAsia"/>
        </w:rPr>
        <w:t>1</w:t>
      </w:r>
      <w:r>
        <w:rPr>
          <w:rFonts w:hint="eastAsia"/>
        </w:rPr>
        <w:t>月</w:t>
      </w:r>
      <w:r>
        <w:rPr>
          <w:rFonts w:hint="eastAsia"/>
        </w:rPr>
        <w:t>1</w:t>
      </w:r>
      <w:r>
        <w:rPr>
          <w:rFonts w:hint="eastAsia"/>
        </w:rPr>
        <w:t>日到</w:t>
      </w:r>
      <w:r>
        <w:rPr>
          <w:rFonts w:hint="eastAsia"/>
        </w:rPr>
        <w:t>2002</w:t>
      </w:r>
      <w:r>
        <w:rPr>
          <w:rFonts w:hint="eastAsia"/>
        </w:rPr>
        <w:t>年</w:t>
      </w:r>
      <w:r>
        <w:rPr>
          <w:rFonts w:hint="eastAsia"/>
        </w:rPr>
        <w:t>12</w:t>
      </w:r>
      <w:r>
        <w:rPr>
          <w:rFonts w:hint="eastAsia"/>
        </w:rPr>
        <w:t>月</w:t>
      </w:r>
      <w:r>
        <w:rPr>
          <w:rFonts w:hint="eastAsia"/>
        </w:rPr>
        <w:t>31</w:t>
      </w:r>
      <w:r>
        <w:rPr>
          <w:rFonts w:hint="eastAsia"/>
        </w:rPr>
        <w:t>日，欧洲社会基金会支助了一项帮助罗姆人就业和职业培训的项目</w:t>
      </w:r>
      <w:r>
        <w:rPr>
          <w:rFonts w:hint="eastAsia"/>
        </w:rPr>
        <w:t>(</w:t>
      </w:r>
      <w:r>
        <w:t>Finitiko romako</w:t>
      </w:r>
      <w:r>
        <w:rPr>
          <w:rFonts w:hint="eastAsia"/>
        </w:rPr>
        <w:t>)</w:t>
      </w:r>
      <w:r>
        <w:rPr>
          <w:rFonts w:hint="eastAsia"/>
        </w:rPr>
        <w:t>。这个项目制订了一些措施，以提高罗姆人学生在普通教育体系的学校中的入学率，并且帮助他们就业。此外，还特别为罗姆人举办了就业培训班。这个项目致力于提高罗姆人的教育水平和减少罗姆人同社会多数人之间的偏见。许多罗姆人通过这个项目获得了职业培训。然而，尽管如此，一些雇主还是不愿意雇佣罗姆人。部分原因在于罗姆人的教育水平太低，而且工作经验也不足，同时也由于罗姆人遭到社会排斥，不能适应社会生活。</w:t>
      </w:r>
    </w:p>
    <w:p w:rsidR="00000000" w:rsidRDefault="00000000">
      <w:pPr>
        <w:rPr>
          <w:rFonts w:hint="eastAsia"/>
        </w:rPr>
      </w:pPr>
      <w:r>
        <w:rPr>
          <w:rFonts w:hint="eastAsia"/>
        </w:rPr>
        <w:tab/>
        <w:t xml:space="preserve">98.  </w:t>
      </w:r>
      <w:r>
        <w:rPr>
          <w:rFonts w:hint="eastAsia"/>
        </w:rPr>
        <w:t>罗姆人事务咨询委员会已经提请注意旨在帮助罗姆人就业的各个项目的意义。该委员会认为，劳工部门和教育部门必须继续同罗姆人合作，支持他们的教育。一些罗姆人仍然没有认识到完成全面学校教育和职业培训的意义。同样，必须帮助那些已经完成必要教育的罗姆人就业。政府机关以及接受国家资助的组织必须在罗姆人就业方面作出榜样。《禁止歧视法》也可被解释为：必须改变公共部门的招聘做法。必须予以重视的另外一点是：有关部门应该就歧视案件以及一般案件向罗姆人提供咨询。</w:t>
      </w:r>
    </w:p>
    <w:p w:rsidR="00000000" w:rsidRDefault="00000000">
      <w:pPr>
        <w:rPr>
          <w:rFonts w:hint="eastAsia"/>
        </w:rPr>
      </w:pPr>
      <w:r>
        <w:tab/>
        <w:t xml:space="preserve">99.  </w:t>
      </w:r>
      <w:r>
        <w:rPr>
          <w:rFonts w:hint="eastAsia"/>
        </w:rPr>
        <w:t>罗姆人事务咨询委员会指出，私人店铺和餐厅禁止罗姆人进入和限制服务仍然是针对罗姆人的典型歧视形式。另外一种严重的歧视形式是把罗姆犯人单独囚禁。为了保护罗姆人囚犯，以免受到其他犯人的威胁，应其本人要求而单独囚禁是必要的。这就意味着，一项原意是制裁的措施实际上可能被用来保护罗姆人囚犯。但是，这样他们就很难参加集体教育、工作、户外娱乐活动以及在监狱中所开展的其他活动。由于在工作场所的偏见，罗姆人囚犯在参加社区服务方面也存在一些问题。</w:t>
      </w:r>
    </w:p>
    <w:p w:rsidR="00000000" w:rsidRDefault="00000000">
      <w:pPr>
        <w:rPr>
          <w:rFonts w:hint="eastAsia"/>
        </w:rPr>
      </w:pPr>
      <w:r>
        <w:rPr>
          <w:rFonts w:hint="eastAsia"/>
        </w:rPr>
        <w:tab/>
        <w:t xml:space="preserve">100.  </w:t>
      </w:r>
      <w:r>
        <w:rPr>
          <w:rFonts w:hint="eastAsia"/>
        </w:rPr>
        <w:t>将在下文第</w:t>
      </w:r>
      <w:r>
        <w:rPr>
          <w:rFonts w:hint="eastAsia"/>
        </w:rPr>
        <w:t>13</w:t>
      </w:r>
      <w:r>
        <w:rPr>
          <w:rFonts w:hint="eastAsia"/>
        </w:rPr>
        <w:t>条项下详细讨论有关罗姆人的教育和培训。</w:t>
      </w:r>
    </w:p>
    <w:p w:rsidR="00000000" w:rsidRDefault="00000000">
      <w:pPr>
        <w:spacing w:after="240"/>
        <w:rPr>
          <w:rFonts w:hint="eastAsia"/>
        </w:rPr>
      </w:pPr>
      <w:r>
        <w:rPr>
          <w:rFonts w:hint="eastAsia"/>
        </w:rPr>
        <w:tab/>
        <w:t xml:space="preserve">101.  </w:t>
      </w:r>
      <w:r>
        <w:rPr>
          <w:rFonts w:hint="eastAsia"/>
        </w:rPr>
        <w:t>政府于</w:t>
      </w:r>
      <w:r>
        <w:rPr>
          <w:rFonts w:hint="eastAsia"/>
        </w:rPr>
        <w:t>1999</w:t>
      </w:r>
      <w:r>
        <w:rPr>
          <w:rFonts w:hint="eastAsia"/>
        </w:rPr>
        <w:t>年、</w:t>
      </w:r>
      <w:r>
        <w:rPr>
          <w:rFonts w:hint="eastAsia"/>
        </w:rPr>
        <w:t>2001</w:t>
      </w:r>
      <w:r>
        <w:rPr>
          <w:rFonts w:hint="eastAsia"/>
        </w:rPr>
        <w:t>年以及</w:t>
      </w:r>
      <w:r>
        <w:rPr>
          <w:rFonts w:hint="eastAsia"/>
        </w:rPr>
        <w:t>2003</w:t>
      </w:r>
      <w:r>
        <w:rPr>
          <w:rFonts w:hint="eastAsia"/>
        </w:rPr>
        <w:t>年提交的有关执行劳工组织第</w:t>
      </w:r>
      <w:r>
        <w:rPr>
          <w:rFonts w:hint="eastAsia"/>
        </w:rPr>
        <w:t>111</w:t>
      </w:r>
      <w:r>
        <w:rPr>
          <w:rFonts w:hint="eastAsia"/>
        </w:rPr>
        <w:t>号公约的定期报告</w:t>
      </w:r>
      <w:r>
        <w:rPr>
          <w:rFonts w:hint="eastAsia"/>
        </w:rPr>
        <w:t>(</w:t>
      </w:r>
      <w:r>
        <w:rPr>
          <w:rFonts w:hint="eastAsia"/>
        </w:rPr>
        <w:t>附件一至三</w:t>
      </w:r>
      <w:r>
        <w:rPr>
          <w:rFonts w:hint="eastAsia"/>
        </w:rPr>
        <w:t>)</w:t>
      </w:r>
      <w:r>
        <w:rPr>
          <w:rFonts w:hint="eastAsia"/>
        </w:rPr>
        <w:t>也叙述了为帮助罗姆人就业而采取的措施。</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E27.</w:t>
      </w:r>
      <w:r>
        <w:rPr>
          <w:rFonts w:ascii="Time New Roman" w:eastAsia="SimHei" w:hAnsi="Time New Roman" w:hint="eastAsia"/>
          <w:u w:val="none"/>
        </w:rPr>
        <w:t xml:space="preserve">  </w:t>
      </w:r>
      <w:r>
        <w:rPr>
          <w:rFonts w:ascii="Time New Roman" w:eastAsia="SimHei" w:hAnsi="Time New Roman" w:hint="eastAsia"/>
          <w:u w:val="none"/>
        </w:rPr>
        <w:t>种族主义和仇外心理</w:t>
      </w:r>
    </w:p>
    <w:p w:rsidR="00000000" w:rsidRDefault="00000000">
      <w:pPr>
        <w:rPr>
          <w:rFonts w:hint="eastAsia"/>
        </w:rPr>
      </w:pPr>
      <w:r>
        <w:rPr>
          <w:rFonts w:hint="eastAsia"/>
        </w:rPr>
        <w:tab/>
        <w:t xml:space="preserve">102.  </w:t>
      </w:r>
      <w:r>
        <w:rPr>
          <w:rFonts w:hint="eastAsia"/>
        </w:rPr>
        <w:t>欧洲联盟已经制定了一项关于打击种族主义和仇外心理的理事会框架决定的建议。这项框架决定将取代有关打击种族主义和仇外心理的联合行动</w:t>
      </w:r>
      <w:r>
        <w:rPr>
          <w:rFonts w:hint="eastAsia"/>
        </w:rPr>
        <w:t>(96/443/JHA)</w:t>
      </w:r>
      <w:r>
        <w:rPr>
          <w:rFonts w:hint="eastAsia"/>
        </w:rPr>
        <w:t>，并将补充有关执行无论民族或种族同等待遇原则的理事会指示</w:t>
      </w:r>
      <w:r>
        <w:rPr>
          <w:rFonts w:hint="eastAsia"/>
        </w:rPr>
        <w:t>(2000/43/EC)</w:t>
      </w:r>
      <w:r>
        <w:rPr>
          <w:rFonts w:hint="eastAsia"/>
        </w:rPr>
        <w:t>。芬兰认为拟议中的框架决定是极为重要的，并且支持为在这个问题达成一致而作出的努力。</w:t>
      </w:r>
    </w:p>
    <w:p w:rsidR="00000000" w:rsidRDefault="00000000">
      <w:pPr>
        <w:rPr>
          <w:rFonts w:hint="eastAsia"/>
        </w:rPr>
      </w:pPr>
      <w:r>
        <w:rPr>
          <w:rFonts w:hint="eastAsia"/>
        </w:rPr>
        <w:tab/>
        <w:t xml:space="preserve">103.  </w:t>
      </w:r>
      <w:r>
        <w:rPr>
          <w:rFonts w:hint="eastAsia"/>
        </w:rPr>
        <w:t>政府的《打击种族歧视和种族主义</w:t>
      </w:r>
      <w:r>
        <w:rPr>
          <w:rFonts w:hint="eastAsia"/>
        </w:rPr>
        <w:t>(</w:t>
      </w:r>
      <w:r>
        <w:rPr>
          <w:rFonts w:hint="eastAsia"/>
        </w:rPr>
        <w:t>争取种族平等和多样化</w:t>
      </w:r>
      <w:r>
        <w:rPr>
          <w:rFonts w:hint="eastAsia"/>
        </w:rPr>
        <w:t>)</w:t>
      </w:r>
      <w:r>
        <w:rPr>
          <w:rFonts w:hint="eastAsia"/>
        </w:rPr>
        <w:t>行动计划》于</w:t>
      </w:r>
      <w:r>
        <w:rPr>
          <w:rFonts w:hint="eastAsia"/>
        </w:rPr>
        <w:t>2001</w:t>
      </w:r>
      <w:r>
        <w:rPr>
          <w:rFonts w:hint="eastAsia"/>
        </w:rPr>
        <w:t>年</w:t>
      </w:r>
      <w:r>
        <w:rPr>
          <w:rFonts w:hint="eastAsia"/>
        </w:rPr>
        <w:t>3</w:t>
      </w:r>
      <w:r>
        <w:rPr>
          <w:rFonts w:hint="eastAsia"/>
        </w:rPr>
        <w:t>月</w:t>
      </w:r>
      <w:r>
        <w:rPr>
          <w:rFonts w:hint="eastAsia"/>
        </w:rPr>
        <w:t>23</w:t>
      </w:r>
      <w:r>
        <w:rPr>
          <w:rFonts w:hint="eastAsia"/>
        </w:rPr>
        <w:t>日获得通过。劳工部负责协调《行动计划》以及《共同体打击歧视行动纲领》的执行。《行动计划》是在许多部门以及其他有关机构的合作下制订的，有关信息已经通过研讨会、出版物以及网页在全国广为散发。劳工部还负责执行在德班举行的联合国第三次反对种族主义、种族歧视、仇外心理和有关不容忍行为世界会议所通过的《行动纲领》。</w:t>
      </w:r>
    </w:p>
    <w:p w:rsidR="00000000" w:rsidRDefault="00000000">
      <w:pPr>
        <w:rPr>
          <w:rFonts w:hint="eastAsia"/>
        </w:rPr>
      </w:pPr>
      <w:r>
        <w:rPr>
          <w:rFonts w:hint="eastAsia"/>
        </w:rPr>
        <w:tab/>
        <w:t xml:space="preserve">104.  </w:t>
      </w:r>
      <w:r>
        <w:rPr>
          <w:rFonts w:hint="eastAsia"/>
        </w:rPr>
        <w:t>《行动计划》侧重于</w:t>
      </w:r>
      <w:r>
        <w:rPr>
          <w:rFonts w:hint="eastAsia"/>
        </w:rPr>
        <w:t>2001</w:t>
      </w:r>
      <w:r>
        <w:rPr>
          <w:rFonts w:hint="eastAsia"/>
        </w:rPr>
        <w:t>年至</w:t>
      </w:r>
      <w:r>
        <w:rPr>
          <w:rFonts w:hint="eastAsia"/>
        </w:rPr>
        <w:t>2003</w:t>
      </w:r>
      <w:r>
        <w:rPr>
          <w:rFonts w:hint="eastAsia"/>
        </w:rPr>
        <w:t>年，其目的是要支持和制定一些措施，在芬兰社会中加强良好的种族关系以及防止种族主义和种族歧视。在地方、地区以及国家一级均已根据《行动计划》采取了措施，同等对待新移民、已经在芬兰住上一段时间的移民、第二代移民以及包括罗姆人、犹太人、鞑靼人、所谓的老俄罗斯人和土著萨米人在内的传统的少数民族。所采取的措施也涉及归国侨民及其家人。</w:t>
      </w:r>
    </w:p>
    <w:p w:rsidR="00000000" w:rsidRDefault="00000000">
      <w:pPr>
        <w:rPr>
          <w:rFonts w:hint="eastAsia"/>
        </w:rPr>
      </w:pPr>
      <w:r>
        <w:rPr>
          <w:rFonts w:hint="eastAsia"/>
        </w:rPr>
        <w:tab/>
        <w:t xml:space="preserve">105.  </w:t>
      </w:r>
      <w:r>
        <w:rPr>
          <w:rFonts w:hint="eastAsia"/>
        </w:rPr>
        <w:t>在执行《行动计划》的过程中，也争取到了在《共同体打击歧视行动纲领》的框架内提供的经费。目前这些经费仍然用于一些国家和国际的项目。</w:t>
      </w:r>
    </w:p>
    <w:p w:rsidR="00000000" w:rsidRDefault="00000000">
      <w:pPr>
        <w:rPr>
          <w:rFonts w:hint="eastAsia"/>
        </w:rPr>
      </w:pPr>
      <w:r>
        <w:rPr>
          <w:rFonts w:hint="eastAsia"/>
        </w:rPr>
        <w:tab/>
        <w:t xml:space="preserve">106.  </w:t>
      </w:r>
      <w:r>
        <w:rPr>
          <w:rFonts w:hint="eastAsia"/>
        </w:rPr>
        <w:t>在</w:t>
      </w:r>
      <w:r>
        <w:rPr>
          <w:rFonts w:hint="eastAsia"/>
        </w:rPr>
        <w:t>2003</w:t>
      </w:r>
      <w:r>
        <w:rPr>
          <w:rFonts w:hint="eastAsia"/>
        </w:rPr>
        <w:t>年和</w:t>
      </w:r>
      <w:r>
        <w:rPr>
          <w:rFonts w:hint="eastAsia"/>
        </w:rPr>
        <w:t>2004</w:t>
      </w:r>
      <w:r>
        <w:rPr>
          <w:rFonts w:hint="eastAsia"/>
        </w:rPr>
        <w:t>年，《共同体行动纲领》的经费也用于资助由芬兰劳工部担任主席的一个欧洲一级的工作组。该工作组的任务是在编辑有关歧视问题的信息过程中说明欧洲的做法，查明相应的禁止歧视指标，并就在欧洲联盟成员国中编辑有关歧视的信息的方法提出建议。根据这项工作，将建立一种监测歧视、种族主义和仇外心理的国家体制。</w:t>
      </w:r>
    </w:p>
    <w:p w:rsidR="00000000" w:rsidRDefault="00000000">
      <w:pPr>
        <w:rPr>
          <w:rFonts w:hint="eastAsia"/>
        </w:rPr>
      </w:pPr>
      <w:r>
        <w:rPr>
          <w:rFonts w:hint="eastAsia"/>
        </w:rPr>
        <w:tab/>
        <w:t xml:space="preserve">107.  </w:t>
      </w:r>
      <w:r>
        <w:rPr>
          <w:rFonts w:hint="eastAsia"/>
        </w:rPr>
        <w:t>将在下文第</w:t>
      </w:r>
      <w:r>
        <w:rPr>
          <w:rFonts w:hint="eastAsia"/>
        </w:rPr>
        <w:t>2</w:t>
      </w:r>
      <w:r>
        <w:rPr>
          <w:rFonts w:hint="eastAsia"/>
        </w:rPr>
        <w:t>条项下提供有关新的《禁止歧视法》的信息。</w:t>
      </w:r>
    </w:p>
    <w:p w:rsidR="00000000" w:rsidRDefault="00000000">
      <w:pPr>
        <w:rPr>
          <w:rFonts w:hint="eastAsia"/>
        </w:rPr>
      </w:pPr>
      <w:r>
        <w:rPr>
          <w:rFonts w:hint="eastAsia"/>
        </w:rPr>
        <w:tab/>
        <w:t xml:space="preserve">108.  </w:t>
      </w:r>
      <w:r>
        <w:rPr>
          <w:rFonts w:hint="eastAsia"/>
        </w:rPr>
        <w:t>《关于少数人事务监察员和国家禁止歧视委员会的法律》</w:t>
      </w:r>
      <w:r>
        <w:rPr>
          <w:rFonts w:hint="eastAsia"/>
        </w:rPr>
        <w:t>(660/2001)</w:t>
      </w:r>
      <w:r>
        <w:rPr>
          <w:rFonts w:hint="eastAsia"/>
        </w:rPr>
        <w:t>于</w:t>
      </w:r>
      <w:r>
        <w:rPr>
          <w:rFonts w:hint="eastAsia"/>
        </w:rPr>
        <w:t>2001</w:t>
      </w:r>
      <w:r>
        <w:rPr>
          <w:rFonts w:hint="eastAsia"/>
        </w:rPr>
        <w:t>年</w:t>
      </w:r>
      <w:r>
        <w:rPr>
          <w:rFonts w:hint="eastAsia"/>
        </w:rPr>
        <w:t>9</w:t>
      </w:r>
      <w:r>
        <w:rPr>
          <w:rFonts w:hint="eastAsia"/>
        </w:rPr>
        <w:t>月</w:t>
      </w:r>
      <w:r>
        <w:rPr>
          <w:rFonts w:hint="eastAsia"/>
        </w:rPr>
        <w:t>1</w:t>
      </w:r>
      <w:r>
        <w:rPr>
          <w:rFonts w:hint="eastAsia"/>
        </w:rPr>
        <w:t>日正式生效，从而废除了外国人事务监察员办公室。少数人事务监察员的职责是要加强社会中的良好种族关系和改进外国人与少数民族的地位和权利，并就社会上各个种族群体之间的平等及其地位和条件提出报告，采取主动行动消除歧视和改进不足之处以及提供有关种族歧视的法律和判例法和少数民族同外国人的地位的信息。此外，少数人事务监察员还同其他部门合作，监测平等对待各族人民的情况。少数人事务监察员有权从其他部门免费获得为执行其职务所必需的信息，而无须遵守有关机密文件的法律规定。</w:t>
      </w:r>
    </w:p>
    <w:p w:rsidR="00000000" w:rsidRDefault="00000000">
      <w:pPr>
        <w:rPr>
          <w:rFonts w:hint="eastAsia"/>
        </w:rPr>
      </w:pPr>
      <w:r>
        <w:rPr>
          <w:rFonts w:hint="eastAsia"/>
        </w:rPr>
        <w:tab/>
        <w:t xml:space="preserve">109.  </w:t>
      </w:r>
      <w:r>
        <w:rPr>
          <w:rFonts w:hint="eastAsia"/>
        </w:rPr>
        <w:t>少数人事务监察员可将案件转交国家禁止歧视委员会，这是一种新的法律补救办法，从而使得人民可以更好地利用司法手段解决问题。《禁止歧视法》第</w:t>
      </w:r>
      <w:r>
        <w:rPr>
          <w:rFonts w:hint="eastAsia"/>
        </w:rPr>
        <w:t>13</w:t>
      </w:r>
      <w:r>
        <w:rPr>
          <w:rFonts w:hint="eastAsia"/>
        </w:rPr>
        <w:t>节规定了该委员会的职责。在有关种族歧视的案件中，如果案件不涉及就业、公共服务、培训或者在工作场所的其他类似活动，该委员会可：</w:t>
      </w:r>
      <w:r>
        <w:rPr>
          <w:rFonts w:hint="eastAsia"/>
        </w:rPr>
        <w:t xml:space="preserve">(1) </w:t>
      </w:r>
      <w:r>
        <w:rPr>
          <w:rFonts w:hint="eastAsia"/>
        </w:rPr>
        <w:t>确定以友好方式解决各方的争端；或者</w:t>
      </w:r>
      <w:r>
        <w:rPr>
          <w:rFonts w:hint="eastAsia"/>
        </w:rPr>
        <w:t xml:space="preserve">(2) </w:t>
      </w:r>
      <w:r>
        <w:rPr>
          <w:rFonts w:hint="eastAsia"/>
        </w:rPr>
        <w:t>在冲突一方或者少数人事务监察员的提议下，禁止继续违反有关禁止歧视和报复的规定。除了发出有关禁令以外，该委员会还可处以罚款。国家禁止歧视委员会并不取代早已存在的其他法律补救办法，也没有改变有关部门决定的职权。</w:t>
      </w:r>
    </w:p>
    <w:p w:rsidR="00000000" w:rsidRDefault="00000000">
      <w:pPr>
        <w:rPr>
          <w:rFonts w:hint="eastAsia"/>
        </w:rPr>
      </w:pPr>
      <w:r>
        <w:rPr>
          <w:rFonts w:hint="eastAsia"/>
        </w:rPr>
        <w:tab/>
        <w:t xml:space="preserve">110.  </w:t>
      </w:r>
      <w:r>
        <w:rPr>
          <w:rFonts w:hint="eastAsia"/>
        </w:rPr>
        <w:t>政府于</w:t>
      </w:r>
      <w:r>
        <w:rPr>
          <w:rFonts w:hint="eastAsia"/>
        </w:rPr>
        <w:t>2005</w:t>
      </w:r>
      <w:r>
        <w:rPr>
          <w:rFonts w:hint="eastAsia"/>
        </w:rPr>
        <w:t>年春天设立了少数人事务咨询委员会。这个委员会协助少数人事务监察员，并且可就促进监督和监测有关禁止种族歧视和保护外国人的地位和权利的规定的遵守情况提出建议和意见。该咨询委员会致力于在监测和防止歧视方面推动各个部门和非政府组织之间的合作。</w:t>
      </w:r>
    </w:p>
    <w:p w:rsidR="00000000" w:rsidRDefault="00000000">
      <w:pPr>
        <w:rPr>
          <w:rFonts w:hint="eastAsia"/>
        </w:rPr>
      </w:pPr>
      <w:r>
        <w:rPr>
          <w:rFonts w:hint="eastAsia"/>
        </w:rPr>
        <w:tab/>
        <w:t>111.  2005</w:t>
      </w:r>
      <w:r>
        <w:rPr>
          <w:rFonts w:hint="eastAsia"/>
        </w:rPr>
        <w:t>年</w:t>
      </w:r>
      <w:r>
        <w:rPr>
          <w:rFonts w:hint="eastAsia"/>
        </w:rPr>
        <w:t>3</w:t>
      </w:r>
      <w:r>
        <w:rPr>
          <w:rFonts w:hint="eastAsia"/>
        </w:rPr>
        <w:t>月</w:t>
      </w:r>
      <w:r>
        <w:rPr>
          <w:rFonts w:hint="eastAsia"/>
        </w:rPr>
        <w:t>1</w:t>
      </w:r>
      <w:r>
        <w:rPr>
          <w:rFonts w:hint="eastAsia"/>
        </w:rPr>
        <w:t>日，劳工部设立了经过改革的种族关系咨询委员会。改革之目的是要增加种族关系的透明度和提高该咨询委员会的威信，并把该委员会的部分实权下放给计划在</w:t>
      </w:r>
      <w:r>
        <w:t>Turku</w:t>
      </w:r>
      <w:r>
        <w:rPr>
          <w:rFonts w:hint="eastAsia"/>
        </w:rPr>
        <w:t>、</w:t>
      </w:r>
      <w:r>
        <w:t>Joensuu</w:t>
      </w:r>
      <w:r>
        <w:rPr>
          <w:rFonts w:hint="eastAsia"/>
        </w:rPr>
        <w:t>和</w:t>
      </w:r>
      <w:r>
        <w:t>Oulu</w:t>
      </w:r>
      <w:r>
        <w:rPr>
          <w:rFonts w:hint="eastAsia"/>
        </w:rPr>
        <w:t>等城市中成立的地区咨询委员会。因此，移民和少数民族参与的可能性得以加强，在议会占有席位的政党也被邀请参加该咨询委员会。</w:t>
      </w:r>
    </w:p>
    <w:p w:rsidR="00000000" w:rsidRDefault="00000000">
      <w:pPr>
        <w:rPr>
          <w:rFonts w:hint="eastAsia"/>
        </w:rPr>
      </w:pPr>
      <w:r>
        <w:rPr>
          <w:rFonts w:hint="eastAsia"/>
        </w:rPr>
        <w:tab/>
        <w:t xml:space="preserve">112.  </w:t>
      </w:r>
      <w:r>
        <w:rPr>
          <w:rFonts w:hint="eastAsia"/>
        </w:rPr>
        <w:t>《融合移民和接待寻求庇护者法》</w:t>
      </w:r>
      <w:r>
        <w:rPr>
          <w:rFonts w:hint="eastAsia"/>
        </w:rPr>
        <w:t>(</w:t>
      </w:r>
      <w:r>
        <w:rPr>
          <w:rFonts w:hint="eastAsia"/>
        </w:rPr>
        <w:t>《融合法》；</w:t>
      </w:r>
      <w:r>
        <w:rPr>
          <w:rFonts w:hint="eastAsia"/>
        </w:rPr>
        <w:t>493/1999)</w:t>
      </w:r>
      <w:r>
        <w:rPr>
          <w:rFonts w:hint="eastAsia"/>
        </w:rPr>
        <w:t>于</w:t>
      </w:r>
      <w:r>
        <w:rPr>
          <w:rFonts w:hint="eastAsia"/>
        </w:rPr>
        <w:t>1999</w:t>
      </w:r>
      <w:r>
        <w:rPr>
          <w:rFonts w:hint="eastAsia"/>
        </w:rPr>
        <w:t>年</w:t>
      </w:r>
      <w:r>
        <w:rPr>
          <w:rFonts w:hint="eastAsia"/>
        </w:rPr>
        <w:t>5</w:t>
      </w:r>
      <w:r>
        <w:rPr>
          <w:rFonts w:hint="eastAsia"/>
        </w:rPr>
        <w:t>月</w:t>
      </w:r>
      <w:r>
        <w:rPr>
          <w:rFonts w:hint="eastAsia"/>
        </w:rPr>
        <w:t>1</w:t>
      </w:r>
      <w:r>
        <w:rPr>
          <w:rFonts w:hint="eastAsia"/>
        </w:rPr>
        <w:t>日正式生效。这项法律的目的是要加强移民的融合、平等以及选择自由，办法是制定措施</w:t>
      </w:r>
      <w:r>
        <w:t>，</w:t>
      </w:r>
      <w:r>
        <w:rPr>
          <w:rFonts w:hint="eastAsia"/>
        </w:rPr>
        <w:t>帮助他们获得社会生活所必需的信息和技能和确保其谋生手段，以及接待寻求庇护者和需要临时保护的人。在</w:t>
      </w:r>
      <w:r>
        <w:rPr>
          <w:rFonts w:hint="eastAsia"/>
        </w:rPr>
        <w:t>2002</w:t>
      </w:r>
      <w:r>
        <w:rPr>
          <w:rFonts w:hint="eastAsia"/>
        </w:rPr>
        <w:t>年</w:t>
      </w:r>
      <w:r>
        <w:t>，</w:t>
      </w:r>
      <w:r>
        <w:rPr>
          <w:rFonts w:hint="eastAsia"/>
        </w:rPr>
        <w:t>在这项法律中又加入了一条关于加强平等和良好种族关系的规定。这项义务涉及地方当局以及负责制定融合计划的其他部门。为了执行这条规定，芬兰地区和地方当局协会及其合作伙伴已经为负责加强平等和良好种族关系的部门提供了培训。</w:t>
      </w:r>
    </w:p>
    <w:p w:rsidR="00000000" w:rsidRDefault="00000000">
      <w:pPr>
        <w:rPr>
          <w:rFonts w:hint="eastAsia"/>
        </w:rPr>
      </w:pPr>
      <w:r>
        <w:rPr>
          <w:rFonts w:hint="eastAsia"/>
        </w:rPr>
        <w:tab/>
        <w:t xml:space="preserve">113.  </w:t>
      </w:r>
      <w:r>
        <w:rPr>
          <w:rFonts w:hint="eastAsia"/>
        </w:rPr>
        <w:t>《融合法》所规定的最重要的文件是当地融合方案和为每一个失业移民制定的个人融合计划。《融合法》为移民提供了某些权利，同时也为他们规定了一些义务。这些义务特别涉及需要从社会领取生活津贴和其他补助的移民。移民有权制定从抵达芬兰之日算起的三年融合计划，但是他们必须是有资格领取劳工市场补贴和</w:t>
      </w:r>
      <w:r>
        <w:rPr>
          <w:rFonts w:hint="eastAsia"/>
        </w:rPr>
        <w:t>/</w:t>
      </w:r>
      <w:r>
        <w:rPr>
          <w:rFonts w:hint="eastAsia"/>
        </w:rPr>
        <w:t>或生活津贴的失业求职者。执行本人融合计划的移民可以领取劳工市场补贴，在必要情况下，还可领取生活津贴。</w:t>
      </w:r>
    </w:p>
    <w:p w:rsidR="00000000" w:rsidRDefault="00000000">
      <w:pPr>
        <w:rPr>
          <w:rFonts w:hint="eastAsia"/>
        </w:rPr>
      </w:pPr>
      <w:r>
        <w:rPr>
          <w:rFonts w:hint="eastAsia"/>
        </w:rPr>
        <w:tab/>
        <w:t xml:space="preserve">114.  </w:t>
      </w:r>
      <w:r>
        <w:rPr>
          <w:rFonts w:hint="eastAsia"/>
        </w:rPr>
        <w:t>政府于</w:t>
      </w:r>
      <w:r>
        <w:rPr>
          <w:rFonts w:hint="eastAsia"/>
        </w:rPr>
        <w:t>2002</w:t>
      </w:r>
      <w:r>
        <w:rPr>
          <w:rFonts w:hint="eastAsia"/>
        </w:rPr>
        <w:t>年</w:t>
      </w:r>
      <w:r>
        <w:rPr>
          <w:rFonts w:hint="eastAsia"/>
        </w:rPr>
        <w:t>5</w:t>
      </w:r>
      <w:r>
        <w:rPr>
          <w:rFonts w:hint="eastAsia"/>
        </w:rPr>
        <w:t>月向议会提交了一份有关《融合法》执行情况的报告。根据这份报告，这项法律证明是有效的和必要的，并且已对移民的地位产生了积极影响。然而，许多地方当局和劳工管理部门仍然在努力制订惯例和建立合作。政府将在</w:t>
      </w:r>
      <w:r>
        <w:rPr>
          <w:rFonts w:hint="eastAsia"/>
        </w:rPr>
        <w:t>2007</w:t>
      </w:r>
      <w:r>
        <w:rPr>
          <w:rFonts w:hint="eastAsia"/>
        </w:rPr>
        <w:t>年年底再一次向议会提交有关这项法律执行情况的报告。</w:t>
      </w:r>
    </w:p>
    <w:p w:rsidR="00000000" w:rsidRDefault="00000000">
      <w:pPr>
        <w:rPr>
          <w:rFonts w:hint="eastAsia"/>
        </w:rPr>
      </w:pPr>
      <w:r>
        <w:rPr>
          <w:rFonts w:hint="eastAsia"/>
        </w:rPr>
        <w:tab/>
        <w:t xml:space="preserve">115.  </w:t>
      </w:r>
      <w:r>
        <w:rPr>
          <w:rFonts w:hint="eastAsia"/>
        </w:rPr>
        <w:t>移民政策方案。劳工部在</w:t>
      </w:r>
      <w:r>
        <w:rPr>
          <w:rFonts w:hint="eastAsia"/>
        </w:rPr>
        <w:t>2004</w:t>
      </w:r>
      <w:r>
        <w:rPr>
          <w:rFonts w:hint="eastAsia"/>
        </w:rPr>
        <w:t>年成立了一个工作组，其任务是就政府的移民政策方案提出建议。新的方案是根据首相</w:t>
      </w:r>
      <w:r>
        <w:t>Matti Vanhanen</w:t>
      </w:r>
      <w:r>
        <w:rPr>
          <w:rFonts w:hint="eastAsia"/>
        </w:rPr>
        <w:t>政府的政治纲领编写的。移民政策方案的目的是要具体说明移民政策的价值观念，尊重人权和基本权利以及加强良好的行政文化。同时，方案也是要处置有关针对移民的威胁。</w:t>
      </w:r>
    </w:p>
    <w:p w:rsidR="00000000" w:rsidRDefault="00000000">
      <w:pPr>
        <w:rPr>
          <w:rFonts w:hint="eastAsia"/>
        </w:rPr>
      </w:pPr>
      <w:r>
        <w:rPr>
          <w:rFonts w:hint="eastAsia"/>
        </w:rPr>
        <w:tab/>
        <w:t xml:space="preserve">116.  </w:t>
      </w:r>
      <w:r>
        <w:rPr>
          <w:rFonts w:hint="eastAsia"/>
        </w:rPr>
        <w:t>工作组于</w:t>
      </w:r>
      <w:r>
        <w:rPr>
          <w:rFonts w:hint="eastAsia"/>
        </w:rPr>
        <w:t>2005</w:t>
      </w:r>
      <w:r>
        <w:rPr>
          <w:rFonts w:hint="eastAsia"/>
        </w:rPr>
        <w:t>年</w:t>
      </w:r>
      <w:r>
        <w:rPr>
          <w:rFonts w:hint="eastAsia"/>
        </w:rPr>
        <w:t>6</w:t>
      </w:r>
      <w:r>
        <w:rPr>
          <w:rFonts w:hint="eastAsia"/>
        </w:rPr>
        <w:t>月</w:t>
      </w:r>
      <w:r>
        <w:rPr>
          <w:rFonts w:hint="eastAsia"/>
        </w:rPr>
        <w:t>15</w:t>
      </w:r>
      <w:r>
        <w:rPr>
          <w:rFonts w:hint="eastAsia"/>
        </w:rPr>
        <w:t>日完成了移民政策方案的草案。草案列出了总共</w:t>
      </w:r>
      <w:r>
        <w:rPr>
          <w:rFonts w:hint="eastAsia"/>
        </w:rPr>
        <w:t>35</w:t>
      </w:r>
      <w:r>
        <w:rPr>
          <w:rFonts w:hint="eastAsia"/>
        </w:rPr>
        <w:t>个政治目标，并且提出了实现目标的措施。方案侧重于加强同工作有关的移民。其他有关的目标包括：建立咨询体制、改进融合移民的制度以及改善种族关系。目的是要加速发展以价值观念和文化的多样性以及非歧视原则为基础的社会，从而支持芬兰的国际化和竞争能力。</w:t>
      </w:r>
    </w:p>
    <w:p w:rsidR="00000000" w:rsidRDefault="00000000">
      <w:pPr>
        <w:rPr>
          <w:rFonts w:hint="eastAsia"/>
        </w:rPr>
      </w:pPr>
      <w:r>
        <w:rPr>
          <w:rFonts w:hint="eastAsia"/>
        </w:rPr>
        <w:tab/>
        <w:t xml:space="preserve">117.  </w:t>
      </w:r>
      <w:r>
        <w:rPr>
          <w:rFonts w:hint="eastAsia"/>
        </w:rPr>
        <w:t>工作组建议，专门为移民政策方案制订一项执行计划，以便评估方案的开支及其分布，同时确定负责执行的部门和机构以及各种合作形式。工作组指出，执行移民方针需要适当的后续行动。</w:t>
      </w:r>
    </w:p>
    <w:p w:rsidR="00000000" w:rsidRDefault="00000000">
      <w:pPr>
        <w:ind w:firstLine="510"/>
        <w:rPr>
          <w:rFonts w:hint="eastAsia"/>
        </w:rPr>
      </w:pPr>
      <w:r>
        <w:rPr>
          <w:rFonts w:hint="eastAsia"/>
        </w:rPr>
        <w:t>118.  2001</w:t>
      </w:r>
      <w:r>
        <w:rPr>
          <w:rFonts w:hint="eastAsia"/>
        </w:rPr>
        <w:t>年，劳工部提出了一个项目，旨在通过建立一个专家网络</w:t>
      </w:r>
      <w:r>
        <w:rPr>
          <w:rFonts w:hint="eastAsia"/>
        </w:rPr>
        <w:t>(ETNA)</w:t>
      </w:r>
      <w:r>
        <w:rPr>
          <w:rFonts w:hint="eastAsia"/>
        </w:rPr>
        <w:t>来加强工作方面的种族平等。这个网络有自己的网页，而且已经编写了关于工作方面平等问题的资料。这个网络由有关部门、非政府组织以及遭到歧视的群体</w:t>
      </w:r>
      <w:r>
        <w:rPr>
          <w:rFonts w:hint="eastAsia"/>
        </w:rPr>
        <w:t>(</w:t>
      </w:r>
      <w:r>
        <w:rPr>
          <w:rFonts w:hint="eastAsia"/>
        </w:rPr>
        <w:t>其中包括代表罗姆人、残疾人和移民的组织</w:t>
      </w:r>
      <w:r>
        <w:rPr>
          <w:rFonts w:hint="eastAsia"/>
        </w:rPr>
        <w:t>)</w:t>
      </w:r>
      <w:r>
        <w:rPr>
          <w:rFonts w:hint="eastAsia"/>
        </w:rPr>
        <w:t>的代表组成。在</w:t>
      </w:r>
      <w:r>
        <w:rPr>
          <w:rFonts w:hint="eastAsia"/>
        </w:rPr>
        <w:t>2004</w:t>
      </w:r>
      <w:r>
        <w:rPr>
          <w:rFonts w:hint="eastAsia"/>
        </w:rPr>
        <w:t>年和</w:t>
      </w:r>
      <w:r>
        <w:rPr>
          <w:rFonts w:hint="eastAsia"/>
        </w:rPr>
        <w:t>2005</w:t>
      </w:r>
      <w:r>
        <w:rPr>
          <w:rFonts w:hint="eastAsia"/>
        </w:rPr>
        <w:t>年，这个网络发展成为一个全国性的专家网络</w:t>
      </w:r>
      <w:r>
        <w:rPr>
          <w:rFonts w:hint="eastAsia"/>
        </w:rPr>
        <w:t>(NOVAETNA)</w:t>
      </w:r>
      <w:r>
        <w:rPr>
          <w:rFonts w:hint="eastAsia"/>
        </w:rPr>
        <w:t>，其遍布全国的成员接受了讲习班式的培训，因此有能力为其他人提供有关禁止歧视问题的培训。他们在执行《禁止歧视法》方面充当地区专家。</w:t>
      </w:r>
    </w:p>
    <w:p w:rsidR="00000000" w:rsidRDefault="00000000">
      <w:pPr>
        <w:ind w:firstLine="510"/>
        <w:rPr>
          <w:rFonts w:hint="eastAsia"/>
        </w:rPr>
      </w:pPr>
      <w:r>
        <w:rPr>
          <w:rFonts w:hint="eastAsia"/>
        </w:rPr>
        <w:t xml:space="preserve">119.  </w:t>
      </w:r>
      <w:r>
        <w:rPr>
          <w:rFonts w:hint="eastAsia"/>
        </w:rPr>
        <w:t>打击歧视的方案。劳工部在欧盟等组织经费的帮助下，实施了各种旨在确保和加强文化多样性和平等的方案和措施。上述</w:t>
      </w:r>
      <w:r>
        <w:rPr>
          <w:rFonts w:hint="eastAsia"/>
        </w:rPr>
        <w:t>SEIS</w:t>
      </w:r>
      <w:r>
        <w:rPr>
          <w:rFonts w:hint="eastAsia"/>
        </w:rPr>
        <w:t>项目的目标是就关于文化多样性和禁止歧视的问题提供信息和培训，同时发展旨在加强平等的机构和模式。从</w:t>
      </w:r>
      <w:r>
        <w:rPr>
          <w:rFonts w:hint="eastAsia"/>
        </w:rPr>
        <w:t>2002</w:t>
      </w:r>
      <w:r>
        <w:rPr>
          <w:rFonts w:hint="eastAsia"/>
        </w:rPr>
        <w:t>年以来一直在执行</w:t>
      </w:r>
      <w:r>
        <w:rPr>
          <w:rFonts w:hint="eastAsia"/>
        </w:rPr>
        <w:t>JOIN</w:t>
      </w:r>
      <w:r>
        <w:rPr>
          <w:rFonts w:hint="eastAsia"/>
        </w:rPr>
        <w:t>项目，其目的是要通过查明和防止歧视性的做法，推动地方一级各个有关部门之间的对话，同时提倡良好做法。这些项目被用来安排培训、主题讲习班、人员交流和访问以及测试新的做法。同时还在</w:t>
      </w:r>
      <w:r>
        <w:rPr>
          <w:rFonts w:hint="eastAsia"/>
        </w:rPr>
        <w:t>JOIN</w:t>
      </w:r>
      <w:r>
        <w:rPr>
          <w:rFonts w:hint="eastAsia"/>
        </w:rPr>
        <w:t>项目的框架内推出了一个网页、一份网上杂志、一个提供培训的网络以及教育资料。这些项目致力于在遭到歧视的群体的经历中寻找相似之点，从而加强有关禁止歧视和推动平等的思想。</w:t>
      </w:r>
    </w:p>
    <w:p w:rsidR="00000000" w:rsidRDefault="00000000">
      <w:pPr>
        <w:ind w:firstLine="510"/>
        <w:rPr>
          <w:rFonts w:hint="eastAsia"/>
        </w:rPr>
      </w:pPr>
      <w:r>
        <w:rPr>
          <w:rFonts w:hint="eastAsia"/>
        </w:rPr>
        <w:t xml:space="preserve">120.  </w:t>
      </w:r>
      <w:r>
        <w:rPr>
          <w:rFonts w:hint="eastAsia"/>
        </w:rPr>
        <w:t>教育部主张通过每年的国家支助来打击种族主义。经费主要是拨给反对种族主义、仇外心理和不容忍行为的非政府组织。项目可能采取各种形式；例如经费可能用于以消除对于不同文化偏见和提醒人们注意种族主义和仇外心理危险为目的的宣传运动、学校访问和学校俱乐部。在特殊情况下，经费也可用于由地方当局提出的反对种族主义的试验性发展项目。在决定补助时，特别注意支助那些致力于引导青年人警惕各种煽动种族主义的团体的项目。</w:t>
      </w:r>
    </w:p>
    <w:p w:rsidR="00000000" w:rsidRDefault="00000000">
      <w:pPr>
        <w:spacing w:after="320"/>
        <w:ind w:firstLine="510"/>
        <w:rPr>
          <w:rFonts w:hint="eastAsia"/>
        </w:rPr>
      </w:pPr>
      <w:r>
        <w:rPr>
          <w:rFonts w:hint="eastAsia"/>
        </w:rPr>
        <w:t xml:space="preserve">121.  </w:t>
      </w:r>
      <w:r>
        <w:rPr>
          <w:rFonts w:hint="eastAsia"/>
        </w:rPr>
        <w:t>在政府于</w:t>
      </w:r>
      <w:r>
        <w:rPr>
          <w:rFonts w:hint="eastAsia"/>
        </w:rPr>
        <w:t>1999</w:t>
      </w:r>
      <w:r>
        <w:rPr>
          <w:rFonts w:hint="eastAsia"/>
        </w:rPr>
        <w:t>年、</w:t>
      </w:r>
      <w:r>
        <w:rPr>
          <w:rFonts w:hint="eastAsia"/>
        </w:rPr>
        <w:t>2001</w:t>
      </w:r>
      <w:r>
        <w:rPr>
          <w:rFonts w:hint="eastAsia"/>
        </w:rPr>
        <w:t>年和</w:t>
      </w:r>
      <w:r>
        <w:rPr>
          <w:rFonts w:hint="eastAsia"/>
        </w:rPr>
        <w:t>2003</w:t>
      </w:r>
      <w:r>
        <w:rPr>
          <w:rFonts w:hint="eastAsia"/>
        </w:rPr>
        <w:t>年提交的有关劳工组织第</w:t>
      </w:r>
      <w:r>
        <w:rPr>
          <w:rFonts w:hint="eastAsia"/>
        </w:rPr>
        <w:t>111</w:t>
      </w:r>
      <w:r>
        <w:rPr>
          <w:rFonts w:hint="eastAsia"/>
        </w:rPr>
        <w:t>号公约执行情况的定期报告</w:t>
      </w:r>
      <w:r>
        <w:rPr>
          <w:rFonts w:hint="eastAsia"/>
        </w:rPr>
        <w:t>(</w:t>
      </w:r>
      <w:r>
        <w:rPr>
          <w:rFonts w:hint="eastAsia"/>
        </w:rPr>
        <w:t>附件一至三</w:t>
      </w:r>
      <w:r>
        <w:rPr>
          <w:rFonts w:hint="eastAsia"/>
        </w:rPr>
        <w:t>)</w:t>
      </w:r>
      <w:r>
        <w:rPr>
          <w:rFonts w:hint="eastAsia"/>
        </w:rPr>
        <w:t>中也叙述了有关为打击歧视而采取的各种措施。</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E28.</w:t>
      </w:r>
      <w:r>
        <w:rPr>
          <w:rFonts w:ascii="Time New Roman" w:eastAsia="SimHei" w:hAnsi="Time New Roman" w:hint="eastAsia"/>
          <w:u w:val="none"/>
        </w:rPr>
        <w:t xml:space="preserve">  </w:t>
      </w:r>
      <w:r>
        <w:rPr>
          <w:rFonts w:ascii="Time New Roman" w:eastAsia="SimHei" w:hAnsi="Time New Roman" w:hint="eastAsia"/>
          <w:u w:val="none"/>
        </w:rPr>
        <w:t>非全日制工人、待聘工人和外国人的工作保障</w:t>
      </w:r>
    </w:p>
    <w:p w:rsidR="00000000" w:rsidRDefault="00000000">
      <w:pPr>
        <w:ind w:firstLine="510"/>
        <w:rPr>
          <w:rFonts w:hint="eastAsia"/>
        </w:rPr>
      </w:pPr>
      <w:r>
        <w:rPr>
          <w:rFonts w:hint="eastAsia"/>
        </w:rPr>
        <w:t xml:space="preserve">122.  </w:t>
      </w:r>
      <w:r>
        <w:rPr>
          <w:rFonts w:hint="eastAsia"/>
        </w:rPr>
        <w:t>《雇佣合同法》</w:t>
      </w:r>
      <w:r>
        <w:rPr>
          <w:rFonts w:hint="eastAsia"/>
        </w:rPr>
        <w:t>(55/2001)</w:t>
      </w:r>
      <w:r>
        <w:rPr>
          <w:rFonts w:hint="eastAsia"/>
        </w:rPr>
        <w:t>之目的是要给临时雇佣合同同长期合同一样的地位。除其他外，这项法律的第一章第五节规定：“如果雇主和雇员已经连续签订一系列的定期雇佣合同，而且其中的雇佣关系是不间断的或者很少中断的，在具体说明这种雇佣关系的福利时，应将这种雇佣关系视为具有连续的有效性。”</w:t>
      </w:r>
    </w:p>
    <w:p w:rsidR="00000000" w:rsidRDefault="00000000">
      <w:pPr>
        <w:ind w:firstLine="510"/>
        <w:rPr>
          <w:rFonts w:hint="eastAsia"/>
        </w:rPr>
      </w:pPr>
      <w:r>
        <w:rPr>
          <w:rFonts w:hint="eastAsia"/>
        </w:rPr>
        <w:t xml:space="preserve">123.  </w:t>
      </w:r>
      <w:r>
        <w:rPr>
          <w:rFonts w:hint="eastAsia"/>
        </w:rPr>
        <w:t>这项法律还规定，雇主在宣布职位空缺时有义务确保非全日制的临时工人同长期工人以及全日制工人享有同等机会。</w:t>
      </w:r>
    </w:p>
    <w:p w:rsidR="00000000" w:rsidRDefault="00000000">
      <w:pPr>
        <w:ind w:firstLine="510"/>
        <w:rPr>
          <w:rFonts w:hint="eastAsia"/>
        </w:rPr>
      </w:pPr>
      <w:r>
        <w:rPr>
          <w:rFonts w:hint="eastAsia"/>
        </w:rPr>
        <w:t xml:space="preserve">124.  </w:t>
      </w:r>
      <w:r>
        <w:rPr>
          <w:rFonts w:hint="eastAsia"/>
        </w:rPr>
        <w:t>雇主也不能在没有正当理由的情况下根据雇佣时间或者工作时数给予较差的工作条件。雇主在其他方面也必须给予所有工人以同等待遇。</w:t>
      </w:r>
    </w:p>
    <w:p w:rsidR="00000000" w:rsidRDefault="00000000">
      <w:pPr>
        <w:ind w:firstLine="510"/>
        <w:rPr>
          <w:rFonts w:hint="eastAsia"/>
        </w:rPr>
      </w:pPr>
      <w:r>
        <w:rPr>
          <w:rFonts w:hint="eastAsia"/>
        </w:rPr>
        <w:t xml:space="preserve">125.  </w:t>
      </w:r>
      <w:r>
        <w:rPr>
          <w:rFonts w:hint="eastAsia"/>
        </w:rPr>
        <w:t>劳工部担任三方工作组的主席，该工作组的任务是要说明灰色经济所引起的问题，尤其是在遵守有关最低工作条件和公司之间公平竞争方面的问题，特别要注意欧洲联盟的扩大和国际经验引起的问题。工作组要评估对于上述问题的监督是否足够，并且就修订法律或者其他措施提出必要的建议。此外，工作组还要评估是否可能在跨国合作的框架内，根据芬兰的劳工法律以及涉及派驻外国工人的集体协议，确保最低工作条件，同时就立法或者其他方面的措施提出必要的建议。该工作组将于</w:t>
      </w:r>
      <w:r>
        <w:rPr>
          <w:rFonts w:hint="eastAsia"/>
        </w:rPr>
        <w:t>2006</w:t>
      </w:r>
      <w:r>
        <w:rPr>
          <w:rFonts w:hint="eastAsia"/>
        </w:rPr>
        <w:t>年</w:t>
      </w:r>
      <w:r>
        <w:rPr>
          <w:rFonts w:hint="eastAsia"/>
        </w:rPr>
        <w:t>1</w:t>
      </w:r>
      <w:r>
        <w:rPr>
          <w:rFonts w:hint="eastAsia"/>
        </w:rPr>
        <w:t>月</w:t>
      </w:r>
      <w:r>
        <w:rPr>
          <w:rFonts w:hint="eastAsia"/>
        </w:rPr>
        <w:t>31</w:t>
      </w:r>
      <w:r>
        <w:rPr>
          <w:rFonts w:hint="eastAsia"/>
        </w:rPr>
        <w:t>日完成其工作。</w:t>
      </w:r>
    </w:p>
    <w:p w:rsidR="00000000" w:rsidRDefault="00000000">
      <w:pPr>
        <w:spacing w:after="320"/>
        <w:ind w:firstLine="510"/>
        <w:rPr>
          <w:rFonts w:hint="eastAsia"/>
        </w:rPr>
      </w:pPr>
      <w:r>
        <w:rPr>
          <w:rFonts w:hint="eastAsia"/>
        </w:rPr>
        <w:t xml:space="preserve">126.  </w:t>
      </w:r>
      <w:r>
        <w:rPr>
          <w:rFonts w:hint="eastAsia"/>
        </w:rPr>
        <w:t>关于工会，芬兰支薪雇员联合会</w:t>
      </w:r>
      <w:r>
        <w:rPr>
          <w:rFonts w:hint="eastAsia"/>
        </w:rPr>
        <w:t>(STTK)</w:t>
      </w:r>
      <w:r>
        <w:rPr>
          <w:rFonts w:hint="eastAsia"/>
        </w:rPr>
        <w:t>指出，自从提出第四份定期报告以来，已经就非全日制工人的工作保障问题对芬兰的劳工法律进行了积极的修订。新的《雇佣合同法》第二章第二节第二分节禁止在没有正当理由的情况下，仅以工作时数为由，实行较差的工作条件。这项条款规定，雇主有义务向非全日制的工人提供工作。如果雇主需要更多的工人，而所涉工作又适合于已经在雇的非全日制工人，这些工作必须首先提供给这些工人。同样，于</w:t>
      </w:r>
      <w:r>
        <w:rPr>
          <w:rFonts w:hint="eastAsia"/>
        </w:rPr>
        <w:t>2003</w:t>
      </w:r>
      <w:r>
        <w:rPr>
          <w:rFonts w:hint="eastAsia"/>
        </w:rPr>
        <w:t>年</w:t>
      </w:r>
      <w:r>
        <w:rPr>
          <w:rFonts w:hint="eastAsia"/>
        </w:rPr>
        <w:t>11</w:t>
      </w:r>
      <w:r>
        <w:rPr>
          <w:rFonts w:hint="eastAsia"/>
        </w:rPr>
        <w:t>月</w:t>
      </w:r>
      <w:r>
        <w:rPr>
          <w:rFonts w:hint="eastAsia"/>
        </w:rPr>
        <w:t>1</w:t>
      </w:r>
      <w:r>
        <w:rPr>
          <w:rFonts w:hint="eastAsia"/>
        </w:rPr>
        <w:t>日正式生效的《地方政府公务员法》</w:t>
      </w:r>
      <w:r>
        <w:rPr>
          <w:rFonts w:hint="eastAsia"/>
        </w:rPr>
        <w:t>(304/2003)</w:t>
      </w:r>
      <w:r>
        <w:rPr>
          <w:rFonts w:hint="eastAsia"/>
        </w:rPr>
        <w:t>第二十二节规定，非全日制的办公室工作人员在竞争另外一个办公室的工作时享有优先权。然而，实际上，非全日制工人的工作条件仍然是不如全日制工人的。就所谓的待聘工人而言，《雇佣合同法》第二章第二节第二分节禁止在没有正当理由的情况下，仅以雇佣时间为由实行较差的工作条件，但是这项规定并不能解决职业保障问题，因为临时雇佣人员仍然因为缺乏保护而遭到解雇。</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E29.</w:t>
      </w:r>
      <w:r>
        <w:rPr>
          <w:rFonts w:ascii="Time New Roman" w:eastAsia="SimHei" w:hAnsi="Time New Roman" w:hint="eastAsia"/>
          <w:u w:val="none"/>
        </w:rPr>
        <w:t xml:space="preserve">  </w:t>
      </w:r>
      <w:r>
        <w:rPr>
          <w:rFonts w:ascii="Time New Roman" w:eastAsia="SimHei" w:hAnsi="Time New Roman" w:hint="eastAsia"/>
          <w:u w:val="none"/>
        </w:rPr>
        <w:t>为保护没有参加部门集体协议的工人而规定的最低工资</w:t>
      </w:r>
    </w:p>
    <w:p w:rsidR="00000000" w:rsidRDefault="00000000">
      <w:pPr>
        <w:ind w:firstLine="510"/>
        <w:rPr>
          <w:rFonts w:hint="eastAsia"/>
        </w:rPr>
      </w:pPr>
      <w:r>
        <w:rPr>
          <w:rFonts w:hint="eastAsia"/>
        </w:rPr>
        <w:t xml:space="preserve">127.  </w:t>
      </w:r>
      <w:r>
        <w:rPr>
          <w:rFonts w:hint="eastAsia"/>
        </w:rPr>
        <w:t>根据新的《雇佣合同法》</w:t>
      </w:r>
      <w:r>
        <w:rPr>
          <w:rFonts w:hint="eastAsia"/>
        </w:rPr>
        <w:t>(55/2001)</w:t>
      </w:r>
      <w:r>
        <w:rPr>
          <w:rFonts w:hint="eastAsia"/>
        </w:rPr>
        <w:t>，最低工作条件仍然是由普遍适用的集体协议确定的。如果被视为在有关部门有代表性的全国性集体协议载有关于工人所开展的工作类型的规定，雇主就有义务实行协议中所规定的最低工作条件。在具有普遍适用的集体协议的部门中，最低工资还是由有关的集体协议确定。如果根据《集体协议法》</w:t>
      </w:r>
      <w:r>
        <w:rPr>
          <w:rFonts w:hint="eastAsia"/>
        </w:rPr>
        <w:t>(436/1946)</w:t>
      </w:r>
      <w:r>
        <w:rPr>
          <w:rFonts w:hint="eastAsia"/>
        </w:rPr>
        <w:t>的规定，雇主必须遵守另外一个缔约方为全国性的雇员组织的集体协议，雇主还是可以实行这项集体协议而不是普遍适用的集体协议的有关规定。</w:t>
      </w:r>
    </w:p>
    <w:p w:rsidR="00000000" w:rsidRDefault="00000000">
      <w:pPr>
        <w:ind w:firstLine="510"/>
        <w:rPr>
          <w:rFonts w:hint="eastAsia"/>
        </w:rPr>
      </w:pPr>
      <w:r>
        <w:rPr>
          <w:rFonts w:hint="eastAsia"/>
        </w:rPr>
        <w:t xml:space="preserve">128.  </w:t>
      </w:r>
      <w:r>
        <w:rPr>
          <w:rFonts w:hint="eastAsia"/>
        </w:rPr>
        <w:t>在没有普遍适用的集体协议的部门中，工人工资可由其他适用的全国性集体协议确定，或者可以根据《集体协议法》由对于雇主有约束力的公司专用的集体协议确定。如果没有这种集体协议，工人工资可以根据雇主同工人所签订的雇佣合同规定加以确定。</w:t>
      </w:r>
    </w:p>
    <w:p w:rsidR="00000000" w:rsidRDefault="00000000">
      <w:pPr>
        <w:ind w:firstLine="510"/>
        <w:rPr>
          <w:rFonts w:hint="eastAsia"/>
        </w:rPr>
      </w:pPr>
      <w:r>
        <w:rPr>
          <w:rFonts w:hint="eastAsia"/>
        </w:rPr>
        <w:t xml:space="preserve">129.  </w:t>
      </w:r>
      <w:r>
        <w:rPr>
          <w:rFonts w:hint="eastAsia"/>
        </w:rPr>
        <w:t>《雇佣合同法》还具体规定了在以下情况中的最低工资：既没有任何普遍适用的集体协议，也没有任何根据《雇佣合同法》对于雇主有约束力的集体协议；在雇佣合同中没有商定工资。在这些情况下，工人有权领取通常支付给这类工作的合理工资。</w:t>
      </w:r>
    </w:p>
    <w:p w:rsidR="00000000" w:rsidRDefault="00000000">
      <w:pPr>
        <w:ind w:firstLine="510"/>
        <w:rPr>
          <w:rFonts w:hint="eastAsia"/>
        </w:rPr>
      </w:pPr>
      <w:r>
        <w:rPr>
          <w:rFonts w:hint="eastAsia"/>
        </w:rPr>
        <w:t xml:space="preserve">130.  </w:t>
      </w:r>
      <w:r>
        <w:rPr>
          <w:rFonts w:hint="eastAsia"/>
        </w:rPr>
        <w:t>《雇佣合同法》第十章中有关调整不合理的工作条件的规定补充了上述有关最低工资的规定。如果实施雇佣合同中的条款和条件是违反良好做法的或者是不合理的，则可修改这些条款和条件或者不予理会。如果雇佣合同双方已经商定不合理的低工资，则可根据《雇佣合同法》第十章第二节的规定，修改有关合同的条件。</w:t>
      </w:r>
    </w:p>
    <w:p w:rsidR="00000000" w:rsidRDefault="00000000">
      <w:pPr>
        <w:ind w:firstLine="510"/>
        <w:rPr>
          <w:rFonts w:hint="eastAsia"/>
        </w:rPr>
      </w:pPr>
      <w:r>
        <w:rPr>
          <w:rFonts w:hint="eastAsia"/>
        </w:rPr>
        <w:t xml:space="preserve">131.  </w:t>
      </w:r>
      <w:r>
        <w:rPr>
          <w:rFonts w:hint="eastAsia"/>
        </w:rPr>
        <w:t>之所以在《雇佣合同法》中就集体协议的普遍适用性、集体协议的确定和有效性以及就适用于雇佣雇员的集体协议作出规定，主要是为了说明如果工人受雇于没有参加雇主联合会的雇主，他们也可以得到集体协议的保护。</w:t>
      </w:r>
    </w:p>
    <w:p w:rsidR="00000000" w:rsidRDefault="00000000">
      <w:pPr>
        <w:spacing w:after="320"/>
        <w:ind w:firstLine="510"/>
        <w:rPr>
          <w:rFonts w:hint="eastAsia"/>
        </w:rPr>
      </w:pPr>
      <w:r>
        <w:rPr>
          <w:rFonts w:hint="eastAsia"/>
        </w:rPr>
        <w:t>132.  2001</w:t>
      </w:r>
      <w:r>
        <w:rPr>
          <w:rFonts w:hint="eastAsia"/>
        </w:rPr>
        <w:t>年</w:t>
      </w:r>
      <w:r>
        <w:rPr>
          <w:rFonts w:hint="eastAsia"/>
        </w:rPr>
        <w:t>6</w:t>
      </w:r>
      <w:r>
        <w:rPr>
          <w:rFonts w:hint="eastAsia"/>
        </w:rPr>
        <w:t>月</w:t>
      </w:r>
      <w:r>
        <w:rPr>
          <w:rFonts w:hint="eastAsia"/>
        </w:rPr>
        <w:t>1</w:t>
      </w:r>
      <w:r>
        <w:rPr>
          <w:rFonts w:hint="eastAsia"/>
        </w:rPr>
        <w:t>日，《确定集体协议普遍适用性法》</w:t>
      </w:r>
      <w:r>
        <w:rPr>
          <w:rFonts w:hint="eastAsia"/>
        </w:rPr>
        <w:t>(56/2001)</w:t>
      </w:r>
      <w:r>
        <w:rPr>
          <w:rFonts w:hint="eastAsia"/>
        </w:rPr>
        <w:t>同《雇主合同法》同时生效。根据这项法律，在向负责职业安全和卫生事项的部提供了有关的集体协议以及《集体协议法》第二节的第</w:t>
      </w:r>
      <w:r>
        <w:rPr>
          <w:rFonts w:hint="eastAsia"/>
        </w:rPr>
        <w:t>2</w:t>
      </w:r>
      <w:r>
        <w:rPr>
          <w:rFonts w:hint="eastAsia"/>
        </w:rPr>
        <w:t>段和第</w:t>
      </w:r>
      <w:r>
        <w:rPr>
          <w:rFonts w:hint="eastAsia"/>
        </w:rPr>
        <w:t>4</w:t>
      </w:r>
      <w:r>
        <w:rPr>
          <w:rFonts w:hint="eastAsia"/>
        </w:rPr>
        <w:t>段中所指的信息之后，确定集体协议普遍适用性的委员会必须就涉及确定普遍适用性的事项采取行动。可以通过向劳工法院提出书面申诉来对该委员会的决定提出质疑。劳工法院的裁决是最终的。该委员会已经确认了大约</w:t>
      </w:r>
      <w:r>
        <w:rPr>
          <w:rFonts w:hint="eastAsia"/>
        </w:rPr>
        <w:t>150</w:t>
      </w:r>
      <w:r>
        <w:rPr>
          <w:rFonts w:hint="eastAsia"/>
        </w:rPr>
        <w:t>份集体协议的普遍适用性，这些协议同其他一些通常适用的集体协议代表着</w:t>
      </w:r>
      <w:r>
        <w:rPr>
          <w:rFonts w:hint="eastAsia"/>
        </w:rPr>
        <w:t>90%</w:t>
      </w:r>
      <w:r>
        <w:rPr>
          <w:rFonts w:hint="eastAsia"/>
        </w:rPr>
        <w:t>至</w:t>
      </w:r>
      <w:r>
        <w:rPr>
          <w:rFonts w:hint="eastAsia"/>
        </w:rPr>
        <w:t>95%</w:t>
      </w:r>
      <w:r>
        <w:rPr>
          <w:rFonts w:hint="eastAsia"/>
        </w:rPr>
        <w:t>的工人。因此，集体协议是保护最低工作条件的有效工具。至于那些仍然没有参加集体协议的工人，《雇佣合同法》第二章第十节中有关在没有集体协议情况下最低工资的规定也同样适用。这项规定适用于在雇佣合同中没有商定工资的情况。此外，根据《雇佣合同法》第十章第二节的规定，涉及不合理低工资的条款可以修订。此外，《刑法》第四十七章第三</w:t>
      </w:r>
      <w:r>
        <w:rPr>
          <w:rFonts w:hint="eastAsia"/>
        </w:rPr>
        <w:t>A</w:t>
      </w:r>
      <w:r>
        <w:rPr>
          <w:rFonts w:hint="eastAsia"/>
        </w:rPr>
        <w:t>节有关恶性工作歧视的条款明确规定，支付明显过低工资为刑事罪。</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E30.</w:t>
      </w:r>
      <w:r>
        <w:rPr>
          <w:rFonts w:ascii="Time New Roman" w:eastAsia="SimHei" w:hAnsi="Time New Roman" w:hint="eastAsia"/>
          <w:u w:val="none"/>
        </w:rPr>
        <w:t xml:space="preserve">  </w:t>
      </w:r>
      <w:r>
        <w:rPr>
          <w:rFonts w:ascii="Time New Roman" w:eastAsia="SimHei" w:hAnsi="Time New Roman" w:hint="eastAsia"/>
          <w:u w:val="none"/>
        </w:rPr>
        <w:t>侵犯妇女的暴力行为</w:t>
      </w:r>
    </w:p>
    <w:p w:rsidR="00000000" w:rsidRDefault="00000000">
      <w:pPr>
        <w:widowControl w:val="0"/>
        <w:ind w:firstLine="510"/>
        <w:rPr>
          <w:rFonts w:hint="eastAsia"/>
        </w:rPr>
      </w:pPr>
      <w:r>
        <w:rPr>
          <w:rFonts w:hint="eastAsia"/>
        </w:rPr>
        <w:t xml:space="preserve">133.  </w:t>
      </w:r>
      <w:r>
        <w:rPr>
          <w:rFonts w:hint="eastAsia"/>
        </w:rPr>
        <w:t>在第四份定期报告中，已经根据</w:t>
      </w:r>
      <w:r>
        <w:rPr>
          <w:rFonts w:hint="eastAsia"/>
        </w:rPr>
        <w:t>1997</w:t>
      </w:r>
      <w:r>
        <w:rPr>
          <w:rFonts w:hint="eastAsia"/>
        </w:rPr>
        <w:t>年的一份关于男子侵犯妇女暴力行为的研究报告，说明了在芬兰存在针对妇女的暴力行为。根据这份研究报告的调查，</w:t>
      </w:r>
      <w:r>
        <w:rPr>
          <w:rFonts w:hint="eastAsia"/>
        </w:rPr>
        <w:t>40%</w:t>
      </w:r>
      <w:r>
        <w:rPr>
          <w:rFonts w:hint="eastAsia"/>
        </w:rPr>
        <w:t>的妇女在其一生的某个时期都曾经遭受过男子身体暴力或者性暴力或者暴力威胁。在已婚妇女或者同居妇女之中，</w:t>
      </w:r>
      <w:r>
        <w:rPr>
          <w:rFonts w:hint="eastAsia"/>
        </w:rPr>
        <w:t>22%</w:t>
      </w:r>
      <w:r>
        <w:rPr>
          <w:rFonts w:hint="eastAsia"/>
        </w:rPr>
        <w:t>的人曾经遭受其配偶或者性伙伴的暴力或者暴力威胁，在这份研究报告所涉的最后一年中有</w:t>
      </w:r>
      <w:r>
        <w:rPr>
          <w:rFonts w:hint="eastAsia"/>
        </w:rPr>
        <w:t>9%</w:t>
      </w:r>
      <w:r>
        <w:rPr>
          <w:rFonts w:hint="eastAsia"/>
        </w:rPr>
        <w:t>的妇女曾经有这种遭遇。由于从</w:t>
      </w:r>
      <w:r>
        <w:rPr>
          <w:rFonts w:hint="eastAsia"/>
        </w:rPr>
        <w:t>1997</w:t>
      </w:r>
      <w:r>
        <w:rPr>
          <w:rFonts w:hint="eastAsia"/>
        </w:rPr>
        <w:t>年以来没有开展过类似的研究，在针对妇女的暴力行为演变方面没有确切的资料。</w:t>
      </w:r>
    </w:p>
    <w:p w:rsidR="00000000" w:rsidRDefault="00000000">
      <w:pPr>
        <w:ind w:firstLine="510"/>
        <w:rPr>
          <w:rFonts w:hint="eastAsia"/>
        </w:rPr>
      </w:pPr>
      <w:r>
        <w:rPr>
          <w:rFonts w:hint="eastAsia"/>
        </w:rPr>
        <w:t xml:space="preserve">134.  </w:t>
      </w:r>
      <w:r>
        <w:rPr>
          <w:rFonts w:hint="eastAsia"/>
        </w:rPr>
        <w:t>然而，可以根据有关当局所编辑的关于向警方报告的死亡原因和犯罪事实的统计数据以及通过有关受害人的一般性研究来监测在芬兰针对妇女的暴力行为的演变。根据有关死亡原因的统计数据，在过去十年中被杀害妇女的人数幅度在</w:t>
      </w:r>
      <w:r>
        <w:rPr>
          <w:rFonts w:hint="eastAsia"/>
        </w:rPr>
        <w:t>29</w:t>
      </w:r>
      <w:r>
        <w:rPr>
          <w:rFonts w:hint="eastAsia"/>
        </w:rPr>
        <w:t>至</w:t>
      </w:r>
      <w:r>
        <w:rPr>
          <w:rFonts w:hint="eastAsia"/>
        </w:rPr>
        <w:t>53</w:t>
      </w:r>
      <w:r>
        <w:rPr>
          <w:rFonts w:hint="eastAsia"/>
        </w:rPr>
        <w:t>之间。在</w:t>
      </w:r>
      <w:r>
        <w:rPr>
          <w:rFonts w:hint="eastAsia"/>
        </w:rPr>
        <w:t>2003</w:t>
      </w:r>
      <w:r>
        <w:rPr>
          <w:rFonts w:hint="eastAsia"/>
        </w:rPr>
        <w:t>年，有</w:t>
      </w:r>
      <w:r>
        <w:rPr>
          <w:rFonts w:hint="eastAsia"/>
        </w:rPr>
        <w:t>29</w:t>
      </w:r>
      <w:r>
        <w:rPr>
          <w:rFonts w:hint="eastAsia"/>
        </w:rPr>
        <w:t>名妇女被杀，明显低于这十年期的平均数</w:t>
      </w:r>
      <w:r>
        <w:rPr>
          <w:rFonts w:hint="eastAsia"/>
        </w:rPr>
        <w:t>(44</w:t>
      </w:r>
      <w:r>
        <w:rPr>
          <w:rFonts w:hint="eastAsia"/>
        </w:rPr>
        <w:t>名</w:t>
      </w:r>
      <w:r>
        <w:rPr>
          <w:rFonts w:hint="eastAsia"/>
        </w:rPr>
        <w:t>)</w:t>
      </w:r>
      <w:r>
        <w:rPr>
          <w:rFonts w:hint="eastAsia"/>
        </w:rPr>
        <w:t>。从</w:t>
      </w:r>
      <w:r>
        <w:rPr>
          <w:rFonts w:hint="eastAsia"/>
        </w:rPr>
        <w:t>2001</w:t>
      </w:r>
      <w:r>
        <w:rPr>
          <w:rFonts w:hint="eastAsia"/>
        </w:rPr>
        <w:t>年以来，被杀害妇女的人数有所下降，</w:t>
      </w:r>
      <w:r>
        <w:rPr>
          <w:rFonts w:hint="eastAsia"/>
        </w:rPr>
        <w:t>2001</w:t>
      </w:r>
      <w:r>
        <w:rPr>
          <w:rFonts w:hint="eastAsia"/>
        </w:rPr>
        <w:t>年是</w:t>
      </w:r>
      <w:r>
        <w:rPr>
          <w:rFonts w:hint="eastAsia"/>
        </w:rPr>
        <w:t>47</w:t>
      </w:r>
      <w:r>
        <w:rPr>
          <w:rFonts w:hint="eastAsia"/>
        </w:rPr>
        <w:t>人；</w:t>
      </w:r>
      <w:r>
        <w:rPr>
          <w:rFonts w:hint="eastAsia"/>
        </w:rPr>
        <w:t>2002</w:t>
      </w:r>
      <w:r>
        <w:rPr>
          <w:rFonts w:hint="eastAsia"/>
        </w:rPr>
        <w:t>年是</w:t>
      </w:r>
      <w:r>
        <w:rPr>
          <w:rFonts w:hint="eastAsia"/>
        </w:rPr>
        <w:t>44</w:t>
      </w:r>
      <w:r>
        <w:rPr>
          <w:rFonts w:hint="eastAsia"/>
        </w:rPr>
        <w:t>人。然而，仅仅根据</w:t>
      </w:r>
      <w:r>
        <w:rPr>
          <w:rFonts w:hint="eastAsia"/>
        </w:rPr>
        <w:t>2003</w:t>
      </w:r>
      <w:r>
        <w:rPr>
          <w:rFonts w:hint="eastAsia"/>
        </w:rPr>
        <w:t>年的数字就判断这是一种持续下降的趋势，还为时过早，因为人数下降可能带有偶然性。在因为暴力行为而致死的妇女之中，大约有半数是因为其性伴侣的暴力而致死的。在</w:t>
      </w:r>
      <w:r>
        <w:rPr>
          <w:rFonts w:hint="eastAsia"/>
        </w:rPr>
        <w:t>1990</w:t>
      </w:r>
      <w:r>
        <w:rPr>
          <w:rFonts w:hint="eastAsia"/>
        </w:rPr>
        <w:t>年代底，每年大约有</w:t>
      </w:r>
      <w:r>
        <w:rPr>
          <w:rFonts w:hint="eastAsia"/>
        </w:rPr>
        <w:t>15</w:t>
      </w:r>
      <w:r>
        <w:rPr>
          <w:rFonts w:hint="eastAsia"/>
        </w:rPr>
        <w:t>名妇女因为暴力行为而被害。这个数字在</w:t>
      </w:r>
      <w:r>
        <w:rPr>
          <w:rFonts w:hint="eastAsia"/>
        </w:rPr>
        <w:t>2002</w:t>
      </w:r>
      <w:r>
        <w:rPr>
          <w:rFonts w:hint="eastAsia"/>
        </w:rPr>
        <w:t>年上升到</w:t>
      </w:r>
      <w:r>
        <w:rPr>
          <w:rFonts w:hint="eastAsia"/>
        </w:rPr>
        <w:t xml:space="preserve">20, </w:t>
      </w:r>
      <w:r>
        <w:rPr>
          <w:rFonts w:hint="eastAsia"/>
        </w:rPr>
        <w:t>在</w:t>
      </w:r>
      <w:r>
        <w:rPr>
          <w:rFonts w:hint="eastAsia"/>
        </w:rPr>
        <w:t>2003</w:t>
      </w:r>
      <w:r>
        <w:rPr>
          <w:rFonts w:hint="eastAsia"/>
        </w:rPr>
        <w:t>年又下降到</w:t>
      </w:r>
      <w:r>
        <w:rPr>
          <w:rFonts w:hint="eastAsia"/>
        </w:rPr>
        <w:t>15(</w:t>
      </w:r>
      <w:r>
        <w:rPr>
          <w:rFonts w:hint="eastAsia"/>
        </w:rPr>
        <w:t>资料来源：</w:t>
      </w:r>
      <w:r>
        <w:t>StatFinn</w:t>
      </w:r>
      <w:r>
        <w:rPr>
          <w:rFonts w:hint="eastAsia"/>
        </w:rPr>
        <w:t>)</w:t>
      </w:r>
      <w:r>
        <w:rPr>
          <w:rFonts w:hint="eastAsia"/>
        </w:rPr>
        <w:t>。</w:t>
      </w:r>
    </w:p>
    <w:p w:rsidR="00000000" w:rsidRDefault="00000000">
      <w:pPr>
        <w:rPr>
          <w:rFonts w:hint="eastAsia"/>
        </w:rPr>
      </w:pPr>
      <w:r>
        <w:rPr>
          <w:rFonts w:hint="eastAsia"/>
        </w:rPr>
        <w:tab/>
        <w:t xml:space="preserve">135.  </w:t>
      </w:r>
      <w:r>
        <w:rPr>
          <w:rFonts w:hint="eastAsia"/>
        </w:rPr>
        <w:t>根据向警方报告的案件，同男子相比，妇女更加容易遭到性伙伴的暴力侵袭。在</w:t>
      </w:r>
      <w:r>
        <w:rPr>
          <w:rFonts w:hint="eastAsia"/>
        </w:rPr>
        <w:t>2003</w:t>
      </w:r>
      <w:r>
        <w:rPr>
          <w:rFonts w:hint="eastAsia"/>
        </w:rPr>
        <w:t>年，在向警方报告的暴力案件中大约有十分之一是作为家庭暴力登记的。</w:t>
      </w:r>
      <w:r>
        <w:rPr>
          <w:rStyle w:val="EndnoteReference"/>
        </w:rPr>
        <w:endnoteReference w:id="4"/>
      </w:r>
      <w:r>
        <w:rPr>
          <w:rFonts w:hint="eastAsia"/>
        </w:rPr>
        <w:t xml:space="preserve"> </w:t>
      </w:r>
      <w:r>
        <w:rPr>
          <w:rFonts w:hint="eastAsia"/>
        </w:rPr>
        <w:t>在每年所报告的犯罪案件中，妇女受害者大约为</w:t>
      </w:r>
      <w:r>
        <w:rPr>
          <w:rFonts w:hint="eastAsia"/>
        </w:rPr>
        <w:t>80%(2004</w:t>
      </w:r>
      <w:r>
        <w:rPr>
          <w:rFonts w:hint="eastAsia"/>
        </w:rPr>
        <w:t>年《犯罪情况报告》</w:t>
      </w:r>
      <w:r>
        <w:rPr>
          <w:rFonts w:hint="eastAsia"/>
        </w:rPr>
        <w:t>)</w:t>
      </w:r>
      <w:r>
        <w:rPr>
          <w:rFonts w:hint="eastAsia"/>
        </w:rPr>
        <w:t>。</w:t>
      </w:r>
    </w:p>
    <w:p w:rsidR="00000000" w:rsidRDefault="00000000">
      <w:pPr>
        <w:rPr>
          <w:rFonts w:hint="eastAsia"/>
        </w:rPr>
      </w:pPr>
      <w:r>
        <w:rPr>
          <w:rFonts w:hint="eastAsia"/>
        </w:rPr>
        <w:tab/>
        <w:t xml:space="preserve">136.  </w:t>
      </w:r>
      <w:r>
        <w:rPr>
          <w:rFonts w:hint="eastAsia"/>
        </w:rPr>
        <w:t>警方在收到家庭紧急电话、参与刑事调查以及提供援助时就已介入针对妇女的暴力行为的案件。警方在申请针对其性伙伴的禁制令时，也可能已经了解到有关的侵犯妇女的案件。警方在</w:t>
      </w:r>
      <w:r>
        <w:rPr>
          <w:rFonts w:hint="eastAsia"/>
        </w:rPr>
        <w:t>2004</w:t>
      </w:r>
      <w:r>
        <w:rPr>
          <w:rFonts w:hint="eastAsia"/>
        </w:rPr>
        <w:t>年收到了</w:t>
      </w:r>
      <w:r>
        <w:rPr>
          <w:rFonts w:hint="eastAsia"/>
        </w:rPr>
        <w:t>7</w:t>
      </w:r>
      <w:r>
        <w:rPr>
          <w:rFonts w:hint="eastAsia"/>
        </w:rPr>
        <w:t>万多个紧急电话，同时还接到了</w:t>
      </w:r>
      <w:r>
        <w:rPr>
          <w:rFonts w:hint="eastAsia"/>
        </w:rPr>
        <w:t>3</w:t>
      </w:r>
      <w:r>
        <w:rPr>
          <w:rFonts w:hint="eastAsia"/>
        </w:rPr>
        <w:t>万个袭击案件的报告</w:t>
      </w:r>
      <w:r>
        <w:rPr>
          <w:rFonts w:hint="eastAsia"/>
        </w:rPr>
        <w:t>(</w:t>
      </w:r>
      <w:r>
        <w:rPr>
          <w:rFonts w:hint="eastAsia"/>
        </w:rPr>
        <w:t>超出</w:t>
      </w:r>
      <w:r>
        <w:rPr>
          <w:rFonts w:hint="eastAsia"/>
        </w:rPr>
        <w:t>2003</w:t>
      </w:r>
      <w:r>
        <w:rPr>
          <w:rFonts w:hint="eastAsia"/>
        </w:rPr>
        <w:t>年统计数字</w:t>
      </w:r>
      <w:r>
        <w:rPr>
          <w:rFonts w:hint="eastAsia"/>
        </w:rPr>
        <w:t>3%</w:t>
      </w:r>
      <w:r>
        <w:t>)</w:t>
      </w:r>
      <w:r>
        <w:rPr>
          <w:rFonts w:hint="eastAsia"/>
        </w:rPr>
        <w:t>。</w:t>
      </w:r>
    </w:p>
    <w:p w:rsidR="00000000" w:rsidRDefault="00000000">
      <w:pPr>
        <w:rPr>
          <w:rFonts w:hint="eastAsia"/>
        </w:rPr>
      </w:pPr>
      <w:r>
        <w:rPr>
          <w:rFonts w:hint="eastAsia"/>
        </w:rPr>
        <w:tab/>
        <w:t xml:space="preserve">137.  </w:t>
      </w:r>
      <w:r>
        <w:rPr>
          <w:rFonts w:hint="eastAsia"/>
        </w:rPr>
        <w:t>在</w:t>
      </w:r>
      <w:r>
        <w:rPr>
          <w:rFonts w:hint="eastAsia"/>
        </w:rPr>
        <w:t>1990</w:t>
      </w:r>
      <w:r>
        <w:rPr>
          <w:rFonts w:hint="eastAsia"/>
        </w:rPr>
        <w:t>年代末，向警方报告的强奸案件的数目有所增加。在</w:t>
      </w:r>
      <w:r>
        <w:rPr>
          <w:rFonts w:hint="eastAsia"/>
        </w:rPr>
        <w:t>1992</w:t>
      </w:r>
      <w:r>
        <w:rPr>
          <w:rFonts w:hint="eastAsia"/>
        </w:rPr>
        <w:t>年向警方报告的强奸案件有</w:t>
      </w:r>
      <w:r>
        <w:rPr>
          <w:rFonts w:hint="eastAsia"/>
        </w:rPr>
        <w:t>400</w:t>
      </w:r>
      <w:r>
        <w:rPr>
          <w:rFonts w:hint="eastAsia"/>
        </w:rPr>
        <w:t>件。而从</w:t>
      </w:r>
      <w:r>
        <w:rPr>
          <w:rFonts w:hint="eastAsia"/>
        </w:rPr>
        <w:t>1999</w:t>
      </w:r>
      <w:r>
        <w:rPr>
          <w:rFonts w:hint="eastAsia"/>
        </w:rPr>
        <w:t>年至</w:t>
      </w:r>
      <w:r>
        <w:rPr>
          <w:rFonts w:hint="eastAsia"/>
        </w:rPr>
        <w:t>2003</w:t>
      </w:r>
      <w:r>
        <w:rPr>
          <w:rFonts w:hint="eastAsia"/>
        </w:rPr>
        <w:t>年，每年向警方报告的强奸案件的平均数为</w:t>
      </w:r>
      <w:r>
        <w:rPr>
          <w:rFonts w:hint="eastAsia"/>
        </w:rPr>
        <w:t>535(</w:t>
      </w:r>
      <w:r>
        <w:rPr>
          <w:rFonts w:hint="eastAsia"/>
        </w:rPr>
        <w:t>芬兰统计局数字</w:t>
      </w:r>
      <w:r>
        <w:rPr>
          <w:rFonts w:hint="eastAsia"/>
        </w:rPr>
        <w:t>)</w:t>
      </w:r>
      <w:r>
        <w:rPr>
          <w:rFonts w:hint="eastAsia"/>
        </w:rPr>
        <w:t>。根据</w:t>
      </w:r>
      <w:r>
        <w:rPr>
          <w:rFonts w:hint="eastAsia"/>
        </w:rPr>
        <w:t>2004</w:t>
      </w:r>
      <w:r>
        <w:rPr>
          <w:rFonts w:hint="eastAsia"/>
        </w:rPr>
        <w:t>年发表的一份研究报告</w:t>
      </w:r>
      <w:r>
        <w:rPr>
          <w:rFonts w:hint="eastAsia"/>
        </w:rPr>
        <w:t>(</w:t>
      </w:r>
      <w:r>
        <w:t>Kainulainen, Heini</w:t>
      </w:r>
      <w:r>
        <w:t>：</w:t>
      </w:r>
      <w:r>
        <w:rPr>
          <w:i/>
          <w:iCs/>
        </w:rPr>
        <w:t>Raiskattu</w:t>
      </w:r>
      <w:r>
        <w:rPr>
          <w:rFonts w:hint="eastAsia"/>
          <w:i/>
          <w:iCs/>
        </w:rPr>
        <w:t>？</w:t>
      </w:r>
      <w:r>
        <w:rPr>
          <w:rFonts w:hint="eastAsia"/>
        </w:rPr>
        <w:t>(</w:t>
      </w:r>
      <w:r>
        <w:rPr>
          <w:rFonts w:hint="eastAsia"/>
        </w:rPr>
        <w:t>强奸</w:t>
      </w:r>
      <w:r>
        <w:rPr>
          <w:rFonts w:hint="eastAsia"/>
        </w:rPr>
        <w:t>))</w:t>
      </w:r>
      <w:r>
        <w:rPr>
          <w:rFonts w:hint="eastAsia"/>
        </w:rPr>
        <w:t>，国家法律研究所第</w:t>
      </w:r>
      <w:r>
        <w:rPr>
          <w:rFonts w:hint="eastAsia"/>
        </w:rPr>
        <w:t>212</w:t>
      </w:r>
      <w:r>
        <w:rPr>
          <w:rFonts w:hint="eastAsia"/>
        </w:rPr>
        <w:t>号出版物，芬兰统计局</w:t>
      </w:r>
      <w:r>
        <w:rPr>
          <w:rFonts w:hint="eastAsia"/>
        </w:rPr>
        <w:t>(</w:t>
      </w:r>
      <w:r>
        <w:rPr>
          <w:i/>
          <w:iCs/>
        </w:rPr>
        <w:t xml:space="preserve">Oikeus </w:t>
      </w:r>
      <w:r>
        <w:rPr>
          <w:rFonts w:hint="eastAsia"/>
        </w:rPr>
        <w:t>2004</w:t>
      </w:r>
      <w:r>
        <w:t>:</w:t>
      </w:r>
      <w:r>
        <w:rPr>
          <w:rFonts w:hint="eastAsia"/>
        </w:rPr>
        <w:t>16)</w:t>
      </w:r>
      <w:r>
        <w:rPr>
          <w:rFonts w:hint="eastAsia"/>
        </w:rPr>
        <w:t>，向警方报告的强奸案件通常不会导致刑事指控。例如在</w:t>
      </w:r>
      <w:r>
        <w:rPr>
          <w:rFonts w:hint="eastAsia"/>
        </w:rPr>
        <w:t>1998</w:t>
      </w:r>
      <w:r>
        <w:rPr>
          <w:rFonts w:hint="eastAsia"/>
        </w:rPr>
        <w:t>年，遭到起诉的强奸案件还不到</w:t>
      </w:r>
      <w:r>
        <w:rPr>
          <w:rFonts w:hint="eastAsia"/>
        </w:rPr>
        <w:t>10%</w:t>
      </w:r>
      <w:r>
        <w:rPr>
          <w:rFonts w:hint="eastAsia"/>
        </w:rPr>
        <w:t>。然而，由于对关于性犯罪的刑法规定进行了修订，对于强奸案件的刑事指控数目有所增加。从</w:t>
      </w:r>
      <w:r>
        <w:rPr>
          <w:rFonts w:hint="eastAsia"/>
        </w:rPr>
        <w:t>1999</w:t>
      </w:r>
      <w:r>
        <w:rPr>
          <w:rFonts w:hint="eastAsia"/>
        </w:rPr>
        <w:t>年至</w:t>
      </w:r>
      <w:r>
        <w:rPr>
          <w:rFonts w:hint="eastAsia"/>
        </w:rPr>
        <w:t>2003</w:t>
      </w:r>
      <w:r>
        <w:rPr>
          <w:rFonts w:hint="eastAsia"/>
        </w:rPr>
        <w:t>年，对大约</w:t>
      </w:r>
      <w:r>
        <w:rPr>
          <w:rFonts w:hint="eastAsia"/>
        </w:rPr>
        <w:t>15%</w:t>
      </w:r>
      <w:r>
        <w:rPr>
          <w:rFonts w:hint="eastAsia"/>
        </w:rPr>
        <w:t>的案件提出了起诉。</w:t>
      </w:r>
    </w:p>
    <w:p w:rsidR="00000000" w:rsidRDefault="00000000">
      <w:pPr>
        <w:rPr>
          <w:rFonts w:hint="eastAsia"/>
        </w:rPr>
      </w:pPr>
      <w:r>
        <w:rPr>
          <w:rFonts w:hint="eastAsia"/>
        </w:rPr>
        <w:tab/>
        <w:t xml:space="preserve">138.  </w:t>
      </w:r>
      <w:r>
        <w:rPr>
          <w:rFonts w:hint="eastAsia"/>
        </w:rPr>
        <w:t>在</w:t>
      </w:r>
      <w:r>
        <w:rPr>
          <w:rFonts w:hint="eastAsia"/>
        </w:rPr>
        <w:t>1980</w:t>
      </w:r>
      <w:r>
        <w:rPr>
          <w:rFonts w:hint="eastAsia"/>
        </w:rPr>
        <w:t>年、</w:t>
      </w:r>
      <w:r>
        <w:rPr>
          <w:rFonts w:hint="eastAsia"/>
        </w:rPr>
        <w:t>1988</w:t>
      </w:r>
      <w:r>
        <w:rPr>
          <w:rFonts w:hint="eastAsia"/>
        </w:rPr>
        <w:t>年、</w:t>
      </w:r>
      <w:r>
        <w:rPr>
          <w:rFonts w:hint="eastAsia"/>
        </w:rPr>
        <w:t>1993</w:t>
      </w:r>
      <w:r>
        <w:rPr>
          <w:rFonts w:hint="eastAsia"/>
        </w:rPr>
        <w:t>年、</w:t>
      </w:r>
      <w:r>
        <w:rPr>
          <w:rFonts w:hint="eastAsia"/>
        </w:rPr>
        <w:t>1997</w:t>
      </w:r>
      <w:r>
        <w:rPr>
          <w:rFonts w:hint="eastAsia"/>
        </w:rPr>
        <w:t>年以及</w:t>
      </w:r>
      <w:r>
        <w:rPr>
          <w:rFonts w:hint="eastAsia"/>
        </w:rPr>
        <w:t>2003</w:t>
      </w:r>
      <w:r>
        <w:rPr>
          <w:rFonts w:hint="eastAsia"/>
        </w:rPr>
        <w:t>年都对受害人进行了一般性研究，从而提供了有关针对妇女暴力行为演变的基本情况。然而，这些研究报告并没有像侧重于某个问题的专题研究一样，就针对妇女的暴力行为提供具体资料。这是因为在所提出的问题以及编辑资料的方式等方面都存在差异。根据有关受害人的研究报告，在男子和妇女成为暴力或者威胁的受害人方面没有很大区别。妇女遭受暴力侵袭的案件从</w:t>
      </w:r>
      <w:r>
        <w:rPr>
          <w:rFonts w:hint="eastAsia"/>
        </w:rPr>
        <w:t>1980</w:t>
      </w:r>
      <w:r>
        <w:rPr>
          <w:rFonts w:hint="eastAsia"/>
        </w:rPr>
        <w:t>年的</w:t>
      </w:r>
      <w:r>
        <w:rPr>
          <w:rFonts w:hint="eastAsia"/>
        </w:rPr>
        <w:t>8%</w:t>
      </w:r>
      <w:r>
        <w:rPr>
          <w:rFonts w:hint="eastAsia"/>
        </w:rPr>
        <w:t>增加到</w:t>
      </w:r>
      <w:r>
        <w:rPr>
          <w:rFonts w:hint="eastAsia"/>
        </w:rPr>
        <w:t>2003</w:t>
      </w:r>
      <w:r>
        <w:rPr>
          <w:rFonts w:hint="eastAsia"/>
        </w:rPr>
        <w:t>年的</w:t>
      </w:r>
      <w:r>
        <w:rPr>
          <w:rFonts w:hint="eastAsia"/>
        </w:rPr>
        <w:t>11.8%</w:t>
      </w:r>
      <w:r>
        <w:rPr>
          <w:rFonts w:hint="eastAsia"/>
        </w:rPr>
        <w:t>。这种增长的主要原因在于妇女在工作场所所面临的暴力行为有所增加。与此相反，使得妇女受伤的家庭暴力有所减少。</w:t>
      </w:r>
    </w:p>
    <w:p w:rsidR="00000000" w:rsidRDefault="00000000">
      <w:pPr>
        <w:rPr>
          <w:rFonts w:hint="eastAsia"/>
        </w:rPr>
      </w:pPr>
      <w:r>
        <w:rPr>
          <w:rFonts w:hint="eastAsia"/>
        </w:rPr>
        <w:tab/>
        <w:t xml:space="preserve">139.  </w:t>
      </w:r>
      <w:r>
        <w:rPr>
          <w:rFonts w:hint="eastAsia"/>
        </w:rPr>
        <w:t>家庭暴力是一再发生的典型犯罪行为。在</w:t>
      </w:r>
      <w:r>
        <w:rPr>
          <w:rFonts w:hint="eastAsia"/>
        </w:rPr>
        <w:t>1990</w:t>
      </w:r>
      <w:r>
        <w:rPr>
          <w:rFonts w:hint="eastAsia"/>
        </w:rPr>
        <w:t>年代，每年大约有</w:t>
      </w:r>
      <w:r>
        <w:rPr>
          <w:rFonts w:hint="eastAsia"/>
        </w:rPr>
        <w:t>50</w:t>
      </w:r>
      <w:r>
        <w:rPr>
          <w:rFonts w:hint="eastAsia"/>
        </w:rPr>
        <w:t>名妇女死于暴力行为，其中</w:t>
      </w:r>
      <w:r>
        <w:rPr>
          <w:rFonts w:hint="eastAsia"/>
        </w:rPr>
        <w:t>20</w:t>
      </w:r>
      <w:r>
        <w:rPr>
          <w:rFonts w:hint="eastAsia"/>
        </w:rPr>
        <w:t>名至</w:t>
      </w:r>
      <w:r>
        <w:rPr>
          <w:rFonts w:hint="eastAsia"/>
        </w:rPr>
        <w:t>30</w:t>
      </w:r>
      <w:r>
        <w:rPr>
          <w:rFonts w:hint="eastAsia"/>
        </w:rPr>
        <w:t>名是死于家庭暴力或者其性伙伴的暴力。在大约</w:t>
      </w:r>
      <w:r>
        <w:rPr>
          <w:rFonts w:hint="eastAsia"/>
        </w:rPr>
        <w:t>90%</w:t>
      </w:r>
      <w:r>
        <w:rPr>
          <w:rFonts w:hint="eastAsia"/>
        </w:rPr>
        <w:t>的性伙伴暴力案件中，犯罪人是男子。家庭暴力的主要受害人是妇女，这些案件往往显示出犯罪的严重性和屡发性。</w:t>
      </w:r>
    </w:p>
    <w:p w:rsidR="00000000" w:rsidRDefault="00000000">
      <w:pPr>
        <w:rPr>
          <w:rFonts w:hint="eastAsia"/>
        </w:rPr>
      </w:pPr>
      <w:r>
        <w:rPr>
          <w:rFonts w:hint="eastAsia"/>
        </w:rPr>
        <w:tab/>
        <w:t xml:space="preserve">140.  </w:t>
      </w:r>
      <w:r>
        <w:rPr>
          <w:rFonts w:hint="eastAsia"/>
        </w:rPr>
        <w:t>已经注意到了犯罪受害人的处境和向他们提供的援助。根据《刑事调查和保护措施法令》第六节的规定，警方必须告知受害人，可因犯罪引起的损害而从国家取得补偿。除了有关当局所提供的服务之外，可以建议受害人利用各种非营利组织所提供的服务。警方也同地方当局签订了合作协议。地方安全计划也用于这个目的。</w:t>
      </w:r>
    </w:p>
    <w:p w:rsidR="00000000" w:rsidRDefault="00000000">
      <w:pPr>
        <w:rPr>
          <w:rFonts w:hint="eastAsia"/>
        </w:rPr>
      </w:pPr>
      <w:r>
        <w:rPr>
          <w:rFonts w:hint="eastAsia"/>
        </w:rPr>
        <w:tab/>
        <w:t xml:space="preserve">141.  </w:t>
      </w:r>
      <w:r>
        <w:rPr>
          <w:rFonts w:hint="eastAsia"/>
        </w:rPr>
        <w:t>国家残疾人理事会指出，让残疾妇女了解如何保护自己，以免遭到各种形式暴力行为的袭击是特别重要的。该理事会认为，应当更加有效地向残疾妇女提供信息，例如：如何申请禁制令、如何入住庇护所以及如何获得其他帮助以中止有关的暴力行为。</w:t>
      </w:r>
    </w:p>
    <w:p w:rsidR="00000000" w:rsidRDefault="00000000">
      <w:pPr>
        <w:rPr>
          <w:rFonts w:hint="eastAsia"/>
        </w:rPr>
      </w:pPr>
      <w:r>
        <w:rPr>
          <w:rFonts w:hint="eastAsia"/>
        </w:rPr>
        <w:tab/>
        <w:t xml:space="preserve">142.  </w:t>
      </w:r>
      <w:r>
        <w:rPr>
          <w:rFonts w:hint="eastAsia"/>
        </w:rPr>
        <w:t>向受害者提供的设施、康复和补救措施。在</w:t>
      </w:r>
      <w:r>
        <w:rPr>
          <w:rFonts w:hint="eastAsia"/>
        </w:rPr>
        <w:t>1997</w:t>
      </w:r>
      <w:r>
        <w:rPr>
          <w:rFonts w:hint="eastAsia"/>
        </w:rPr>
        <w:t>年提交的有关《消除对妇女一切形式歧视公约》执行情况的第三次定期报告中已经介绍了为暴力受害者提供的各种设施。后来，在第</w:t>
      </w:r>
      <w:r>
        <w:rPr>
          <w:rFonts w:hint="eastAsia"/>
        </w:rPr>
        <w:t>4</w:t>
      </w:r>
      <w:r>
        <w:rPr>
          <w:rFonts w:hint="eastAsia"/>
        </w:rPr>
        <w:t>次定期报告中又对这一信息作了补充，介绍了那些希望摆脱其具有暴力倾向性伙伴的男子可以使用的设施。预防针对妇女的暴力已经作为一项目标纳入各种旨在预防和减少暴力的方案：由内务部协调的《国内安全方案》、由司法部提出的《国家减少暴力方案》以及由社会事务和卫生部提出的《预防性伙伴暴力和家庭暴力行动纲领》。政府的《平等纲领》也载有一些涉及预防性伙伴暴力、针对妇女暴力和卖淫的目标。</w:t>
      </w:r>
    </w:p>
    <w:p w:rsidR="00000000" w:rsidRDefault="00000000">
      <w:pPr>
        <w:rPr>
          <w:rFonts w:hint="eastAsia"/>
        </w:rPr>
      </w:pPr>
      <w:r>
        <w:rPr>
          <w:rFonts w:hint="eastAsia"/>
        </w:rPr>
        <w:tab/>
        <w:t xml:space="preserve">143.  </w:t>
      </w:r>
      <w:r>
        <w:rPr>
          <w:rFonts w:hint="eastAsia"/>
        </w:rPr>
        <w:t>在</w:t>
      </w:r>
      <w:r>
        <w:rPr>
          <w:rFonts w:hint="eastAsia"/>
        </w:rPr>
        <w:t>1999</w:t>
      </w:r>
      <w:r>
        <w:rPr>
          <w:rFonts w:hint="eastAsia"/>
        </w:rPr>
        <w:t>年</w:t>
      </w:r>
      <w:r>
        <w:rPr>
          <w:rFonts w:hint="eastAsia"/>
        </w:rPr>
        <w:t>1</w:t>
      </w:r>
      <w:r>
        <w:rPr>
          <w:rFonts w:hint="eastAsia"/>
        </w:rPr>
        <w:t>月正式生效的议会的一项法案修订了《刑法》有关性犯罪的一些规定。根据罪行的严重程度，强奸分为三类：逼奸、强奸以及恶性强奸。根据同一项修正案，国家检察官可以不顾受害人本身的意愿，对强奸或者恶性强奸案件提出起诉。关于逼奸，目前仍然需要受害人的正式要求才能提出起诉。</w:t>
      </w:r>
    </w:p>
    <w:p w:rsidR="00000000" w:rsidRDefault="00000000">
      <w:pPr>
        <w:rPr>
          <w:rFonts w:hint="eastAsia"/>
        </w:rPr>
      </w:pPr>
      <w:r>
        <w:rPr>
          <w:rFonts w:hint="eastAsia"/>
        </w:rPr>
        <w:tab/>
        <w:t xml:space="preserve">144.  </w:t>
      </w:r>
      <w:r>
        <w:rPr>
          <w:rFonts w:hint="eastAsia"/>
        </w:rPr>
        <w:t>在《刑法》中也增加了有关贩卖人口和恶性贩卖人口的具体规定，并且已于</w:t>
      </w:r>
      <w:r>
        <w:rPr>
          <w:rFonts w:hint="eastAsia"/>
        </w:rPr>
        <w:t>2004</w:t>
      </w:r>
      <w:r>
        <w:rPr>
          <w:rFonts w:hint="eastAsia"/>
        </w:rPr>
        <w:t>年</w:t>
      </w:r>
      <w:r>
        <w:rPr>
          <w:rFonts w:hint="eastAsia"/>
        </w:rPr>
        <w:t>8</w:t>
      </w:r>
      <w:r>
        <w:rPr>
          <w:rFonts w:hint="eastAsia"/>
        </w:rPr>
        <w:t>月</w:t>
      </w:r>
      <w:r>
        <w:rPr>
          <w:rFonts w:hint="eastAsia"/>
        </w:rPr>
        <w:t>1</w:t>
      </w:r>
      <w:r>
        <w:rPr>
          <w:rFonts w:hint="eastAsia"/>
        </w:rPr>
        <w:t>日正式生效，《禁制令法》也在</w:t>
      </w:r>
      <w:r>
        <w:rPr>
          <w:rFonts w:hint="eastAsia"/>
        </w:rPr>
        <w:t>2005</w:t>
      </w:r>
      <w:r>
        <w:rPr>
          <w:rFonts w:hint="eastAsia"/>
        </w:rPr>
        <w:t>年年初补充了一些规定，从而可以向家庭成员发出禁制令。司法部还一直在制定有关《刑法》的一项修正案，将嫖娼定为刑事罪行。这些计划中的新的规定涉及《联合国打击跨国有组织犯罪公约》有关贩卖人口和偷运移民的补充议定书的执行情况。政府法案预定在今年年底以前提交议会。</w:t>
      </w:r>
    </w:p>
    <w:p w:rsidR="00000000" w:rsidRDefault="00000000">
      <w:pPr>
        <w:rPr>
          <w:rFonts w:hint="eastAsia"/>
        </w:rPr>
      </w:pPr>
      <w:r>
        <w:rPr>
          <w:rFonts w:hint="eastAsia"/>
        </w:rPr>
        <w:tab/>
        <w:t xml:space="preserve">145.  </w:t>
      </w:r>
      <w:r>
        <w:rPr>
          <w:rFonts w:hint="eastAsia"/>
        </w:rPr>
        <w:t>在过去几年中都十分重视移民妇女所面临的性伙伴的暴力行为及其预防问题。在</w:t>
      </w:r>
      <w:r>
        <w:rPr>
          <w:rFonts w:hint="eastAsia"/>
        </w:rPr>
        <w:t>1998</w:t>
      </w:r>
      <w:r>
        <w:rPr>
          <w:rFonts w:hint="eastAsia"/>
        </w:rPr>
        <w:t>年成立了一个多国妇女协会</w:t>
      </w:r>
      <w:r>
        <w:rPr>
          <w:rFonts w:hint="eastAsia"/>
        </w:rPr>
        <w:t>(</w:t>
      </w:r>
      <w:r>
        <w:t>Monika-Naiset</w:t>
      </w:r>
      <w:r>
        <w:rPr>
          <w:rFonts w:hint="eastAsia"/>
        </w:rPr>
        <w:t>)</w:t>
      </w:r>
      <w:r>
        <w:rPr>
          <w:rFonts w:hint="eastAsia"/>
        </w:rPr>
        <w:t>。</w:t>
      </w:r>
      <w:r>
        <w:t>Turku</w:t>
      </w:r>
      <w:r>
        <w:rPr>
          <w:rFonts w:hint="eastAsia"/>
        </w:rPr>
        <w:t>市的一个妇女协会提出了一个项目，旨在通过消除在就业和教育方面的障碍来帮助移民妇女融入芬兰社会。一条全国性的妇女救助热线以各种语言向移民妇女提供服务。然而，有关这条热线的反馈意见显示，许多移民妇女付不起有关服务的费用。</w:t>
      </w:r>
    </w:p>
    <w:p w:rsidR="00000000" w:rsidRDefault="00000000">
      <w:pPr>
        <w:rPr>
          <w:rFonts w:hint="eastAsia"/>
        </w:rPr>
      </w:pPr>
      <w:r>
        <w:rPr>
          <w:rFonts w:hint="eastAsia"/>
        </w:rPr>
        <w:tab/>
        <w:t xml:space="preserve">146.  </w:t>
      </w:r>
      <w:r>
        <w:rPr>
          <w:rFonts w:hint="eastAsia"/>
        </w:rPr>
        <w:t>在庇护所服务方面仍然存在缺点。一些大的地区根本就没有庇护所，特别是在芬兰的北部和东部。此外，没有收费低廉的收容所或者支助中心，以供暴力行为受害者或者感到受到威胁的妇女临时居留。在培训专业人员查明和干预暴力行为方面同样存在缺点。</w:t>
      </w:r>
    </w:p>
    <w:p w:rsidR="00000000" w:rsidRDefault="00000000">
      <w:pPr>
        <w:rPr>
          <w:rFonts w:hint="eastAsia"/>
        </w:rPr>
      </w:pPr>
      <w:r>
        <w:rPr>
          <w:rFonts w:hint="eastAsia"/>
        </w:rPr>
        <w:tab/>
        <w:t xml:space="preserve">147.  </w:t>
      </w:r>
      <w:r>
        <w:rPr>
          <w:rFonts w:hint="eastAsia"/>
        </w:rPr>
        <w:t>综合性的跨部门的《国内安全方案》是在内务部的协调下在</w:t>
      </w:r>
      <w:r>
        <w:rPr>
          <w:rFonts w:hint="eastAsia"/>
        </w:rPr>
        <w:t>2004</w:t>
      </w:r>
      <w:r>
        <w:rPr>
          <w:rFonts w:hint="eastAsia"/>
        </w:rPr>
        <w:t>年夏天制定完成的。这个方案的一个有关目标是预防犯罪，特别是减少伤害生命的罪行。这项方案侧重于日常生活中的预防和安全，同时也注意到了针对妇女的暴力行为。这项方案强调了改进各个部门之间合作的重要性。该方案将经常予以更新，其执行情况也将受到监测。</w:t>
      </w:r>
    </w:p>
    <w:p w:rsidR="00000000" w:rsidRDefault="00000000">
      <w:pPr>
        <w:rPr>
          <w:rFonts w:hint="eastAsia"/>
        </w:rPr>
      </w:pPr>
      <w:r>
        <w:rPr>
          <w:rFonts w:hint="eastAsia"/>
        </w:rPr>
        <w:tab/>
        <w:t xml:space="preserve">148.  </w:t>
      </w:r>
      <w:r>
        <w:rPr>
          <w:rFonts w:hint="eastAsia"/>
        </w:rPr>
        <w:t>社会事务和卫生部正在根据政府的政治纲领拟定一项旨在防止家庭暴力的行动方案。计划在《国家社会服务发展项目》的框架内，于</w:t>
      </w:r>
      <w:r>
        <w:rPr>
          <w:rFonts w:hint="eastAsia"/>
        </w:rPr>
        <w:t>2007</w:t>
      </w:r>
      <w:r>
        <w:rPr>
          <w:rFonts w:hint="eastAsia"/>
        </w:rPr>
        <w:t>年之前设立一个全国性的紧急社会服务体制。根据这个项目所采取的措施包括：评估紧急社会服务的状况、澄清这些服务的目标、列出各种形式的紧急和危机服务和措施、制定紧急社会服务的质量标准以及评估同其他部门合作的必要性。作为一项具体措施，将改进地方当局、警方以及社会福利部门之间的合作。在地方一级，可以尽可能地将紧急社会服务部门设在警署附近，在社会福利官员和警察之间建立经常的联系和合作，并使之成为惯例。到目前为止，社会福利官员在警署办公的做法证明是成功的。由于地方当局同警方之间的合作，目前大约有</w:t>
      </w:r>
      <w:r>
        <w:rPr>
          <w:rFonts w:hint="eastAsia"/>
        </w:rPr>
        <w:t>20</w:t>
      </w:r>
      <w:r>
        <w:rPr>
          <w:rFonts w:hint="eastAsia"/>
        </w:rPr>
        <w:t>个社会福利官员在全国各地的警署工作。建立和发展这种合作加强了《国内安全方案》所规定的许多措施的执行，其中包括：早期干预原则、指导吸毒者就医、发展儿童福利工作以及预防家庭暴力。</w:t>
      </w:r>
    </w:p>
    <w:p w:rsidR="00000000" w:rsidRDefault="00000000">
      <w:pPr>
        <w:rPr>
          <w:rFonts w:hint="eastAsia"/>
        </w:rPr>
      </w:pPr>
      <w:r>
        <w:rPr>
          <w:rFonts w:hint="eastAsia"/>
        </w:rPr>
        <w:tab/>
        <w:t xml:space="preserve">149.  </w:t>
      </w:r>
      <w:r>
        <w:rPr>
          <w:rFonts w:hint="eastAsia"/>
        </w:rPr>
        <w:t>此外，全国预防犯罪理事会还拟定了一项《国家减少暴力行为方案》。这项方案涉及所有主要的暴力形式，计划同政府在</w:t>
      </w:r>
      <w:r>
        <w:rPr>
          <w:rFonts w:hint="eastAsia"/>
        </w:rPr>
        <w:t>1999</w:t>
      </w:r>
      <w:r>
        <w:rPr>
          <w:rFonts w:hint="eastAsia"/>
        </w:rPr>
        <w:t>年通过的《国家预防犯罪方案》以及</w:t>
      </w:r>
      <w:r>
        <w:rPr>
          <w:rFonts w:hint="eastAsia"/>
        </w:rPr>
        <w:t>2004</w:t>
      </w:r>
      <w:r>
        <w:rPr>
          <w:rFonts w:hint="eastAsia"/>
        </w:rPr>
        <w:t>年</w:t>
      </w:r>
      <w:r>
        <w:rPr>
          <w:rFonts w:hint="eastAsia"/>
        </w:rPr>
        <w:t>9</w:t>
      </w:r>
      <w:r>
        <w:rPr>
          <w:rFonts w:hint="eastAsia"/>
        </w:rPr>
        <w:t>月通过的《国内安全方案》一起实施。这项方案的目标是在所有地方安全规划中将预防犯罪纳入主流。减少暴力行为也是政府的政治纲领中所规定的目标之一。</w:t>
      </w:r>
    </w:p>
    <w:p w:rsidR="00000000" w:rsidRDefault="00000000">
      <w:pPr>
        <w:rPr>
          <w:rFonts w:hint="eastAsia"/>
        </w:rPr>
      </w:pPr>
      <w:r>
        <w:rPr>
          <w:rFonts w:hint="eastAsia"/>
        </w:rPr>
        <w:tab/>
        <w:t xml:space="preserve">150.  </w:t>
      </w:r>
      <w:r>
        <w:rPr>
          <w:rFonts w:hint="eastAsia"/>
        </w:rPr>
        <w:t>《国家减少暴力行为方案》建议，政府树立一个不断减少遭受暴力威胁人数的目标。暴力行为包括：家庭暴力、街头暴力、针对具体群体的暴力、工作地点暴力以及其他形式的暴力行为。</w:t>
      </w:r>
    </w:p>
    <w:p w:rsidR="00000000" w:rsidRDefault="00000000">
      <w:pPr>
        <w:rPr>
          <w:rFonts w:hint="eastAsia"/>
        </w:rPr>
      </w:pPr>
      <w:r>
        <w:rPr>
          <w:rFonts w:hint="eastAsia"/>
        </w:rPr>
        <w:tab/>
        <w:t xml:space="preserve">151.  </w:t>
      </w:r>
      <w:r>
        <w:rPr>
          <w:rFonts w:hint="eastAsia"/>
        </w:rPr>
        <w:t>方案为减少一般性暴力行为而提议的一些措施也应有助于减少针对妇女的暴力。然而，还有一个目标是要更加广泛和更加迅速地减少针对妇女的暴力。在这一方面还应实行透明的原则：暴力是应该予以谴责的罪行，即使犯罪人是受害人的家庭成员，这种行为也绝对不能算是家庭私事。必须在各级加强干预和提供援助，以及帮助受害人了解能够获得的援助。</w:t>
      </w:r>
    </w:p>
    <w:p w:rsidR="00000000" w:rsidRDefault="00000000">
      <w:pPr>
        <w:rPr>
          <w:rFonts w:hint="eastAsia"/>
        </w:rPr>
      </w:pPr>
      <w:r>
        <w:rPr>
          <w:rFonts w:hint="eastAsia"/>
        </w:rPr>
        <w:tab/>
        <w:t xml:space="preserve">152.  </w:t>
      </w:r>
      <w:r>
        <w:rPr>
          <w:rFonts w:hint="eastAsia"/>
        </w:rPr>
        <w:t>为了避免重复努力，在执行上述三个方案时进行了协调。</w:t>
      </w:r>
    </w:p>
    <w:p w:rsidR="00000000" w:rsidRDefault="00000000">
      <w:pPr>
        <w:rPr>
          <w:rFonts w:hint="eastAsia"/>
        </w:rPr>
      </w:pPr>
      <w:r>
        <w:rPr>
          <w:rFonts w:hint="eastAsia"/>
        </w:rPr>
        <w:tab/>
        <w:t xml:space="preserve">153.  </w:t>
      </w:r>
      <w:r>
        <w:rPr>
          <w:rFonts w:hint="eastAsia"/>
        </w:rPr>
        <w:t>如果暴力行为受害人有可能再次受到袭击，警方可以帮助受害人拟订安全计划。《警察法》</w:t>
      </w:r>
      <w:r>
        <w:rPr>
          <w:rFonts w:hint="eastAsia"/>
        </w:rPr>
        <w:t>(493/1995)</w:t>
      </w:r>
      <w:r>
        <w:rPr>
          <w:rFonts w:hint="eastAsia"/>
        </w:rPr>
        <w:t>也授权警方在实际犯罪之前，对于危险局面进行干预。此外，即使罪行是在家中发生的，国家检察官目前可以就有关的暴力行为提出起诉，而不必理会受害人是否有此要求。这就使得警方有可能干预以前被视为家庭内部事务的暴力行为。《禁制令法》于</w:t>
      </w:r>
      <w:r>
        <w:rPr>
          <w:rFonts w:hint="eastAsia"/>
        </w:rPr>
        <w:t>1999</w:t>
      </w:r>
      <w:r>
        <w:rPr>
          <w:rFonts w:hint="eastAsia"/>
        </w:rPr>
        <w:t>年</w:t>
      </w:r>
      <w:r>
        <w:rPr>
          <w:rFonts w:hint="eastAsia"/>
        </w:rPr>
        <w:t>1</w:t>
      </w:r>
      <w:r>
        <w:rPr>
          <w:rFonts w:hint="eastAsia"/>
        </w:rPr>
        <w:t>月</w:t>
      </w:r>
      <w:r>
        <w:rPr>
          <w:rFonts w:hint="eastAsia"/>
        </w:rPr>
        <w:t>1</w:t>
      </w:r>
      <w:r>
        <w:rPr>
          <w:rFonts w:hint="eastAsia"/>
        </w:rPr>
        <w:t>日正式生效。</w:t>
      </w:r>
      <w:r>
        <w:rPr>
          <w:rFonts w:hint="eastAsia"/>
        </w:rPr>
        <w:t>2004</w:t>
      </w:r>
      <w:r>
        <w:rPr>
          <w:rFonts w:hint="eastAsia"/>
        </w:rPr>
        <w:t>年，大约发出了</w:t>
      </w:r>
      <w:r>
        <w:rPr>
          <w:rFonts w:hint="eastAsia"/>
        </w:rPr>
        <w:t>1,700</w:t>
      </w:r>
      <w:r>
        <w:rPr>
          <w:rFonts w:hint="eastAsia"/>
        </w:rPr>
        <w:t>份禁制令。到</w:t>
      </w:r>
      <w:r>
        <w:rPr>
          <w:rFonts w:hint="eastAsia"/>
        </w:rPr>
        <w:t>2005</w:t>
      </w:r>
      <w:r>
        <w:rPr>
          <w:rFonts w:hint="eastAsia"/>
        </w:rPr>
        <w:t>年</w:t>
      </w:r>
      <w:r>
        <w:rPr>
          <w:rFonts w:hint="eastAsia"/>
        </w:rPr>
        <w:t>1</w:t>
      </w:r>
      <w:r>
        <w:rPr>
          <w:rFonts w:hint="eastAsia"/>
        </w:rPr>
        <w:t>月</w:t>
      </w:r>
      <w:r>
        <w:rPr>
          <w:rFonts w:hint="eastAsia"/>
        </w:rPr>
        <w:t>1</w:t>
      </w:r>
      <w:r>
        <w:rPr>
          <w:rFonts w:hint="eastAsia"/>
        </w:rPr>
        <w:t>日，这项法令已经补充了一些新的规定：可以向共同居住的家庭成员发出禁制令。</w:t>
      </w:r>
    </w:p>
    <w:p w:rsidR="00000000" w:rsidRDefault="00000000">
      <w:pPr>
        <w:spacing w:after="320"/>
        <w:rPr>
          <w:rFonts w:hint="eastAsia"/>
        </w:rPr>
      </w:pPr>
      <w:r>
        <w:rPr>
          <w:rFonts w:hint="eastAsia"/>
        </w:rPr>
        <w:tab/>
        <w:t xml:space="preserve">154.  </w:t>
      </w:r>
      <w:r>
        <w:rPr>
          <w:rFonts w:hint="eastAsia"/>
        </w:rPr>
        <w:t>警察总部设立了一个指导小组，以便协调和推动对于家庭暴力的预防。警方还制定了行动方案。对于警察的基本培训包括预防家庭暴力的最重要内容。在这一方面，自从</w:t>
      </w:r>
      <w:r>
        <w:rPr>
          <w:rFonts w:hint="eastAsia"/>
        </w:rPr>
        <w:t>2002</w:t>
      </w:r>
      <w:r>
        <w:rPr>
          <w:rFonts w:hint="eastAsia"/>
        </w:rPr>
        <w:t>年以来，已经为上岗警察安排了培训。</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E</w:t>
      </w:r>
      <w:r>
        <w:rPr>
          <w:rFonts w:ascii="Time New Roman" w:eastAsia="SimHei" w:hAnsi="Time New Roman" w:hint="eastAsia"/>
          <w:u w:val="none"/>
        </w:rPr>
        <w:t xml:space="preserve"> </w:t>
      </w:r>
      <w:r>
        <w:rPr>
          <w:rFonts w:ascii="Time New Roman" w:eastAsia="SimHei" w:hAnsi="Time New Roman" w:hint="eastAsia"/>
          <w:b/>
          <w:u w:val="none"/>
        </w:rPr>
        <w:t>31</w:t>
      </w:r>
      <w:r>
        <w:rPr>
          <w:rFonts w:ascii="Time New Roman" w:eastAsia="SimHei" w:hAnsi="Time New Roman" w:hint="eastAsia"/>
          <w:u w:val="none"/>
        </w:rPr>
        <w:t xml:space="preserve">.  </w:t>
      </w:r>
      <w:r>
        <w:rPr>
          <w:rFonts w:ascii="Time New Roman" w:eastAsia="SimHei" w:hAnsi="Time New Roman" w:hint="eastAsia"/>
          <w:u w:val="none"/>
        </w:rPr>
        <w:t>公共卫生服务</w:t>
      </w:r>
    </w:p>
    <w:p w:rsidR="00000000" w:rsidRDefault="00000000">
      <w:pPr>
        <w:spacing w:after="320"/>
        <w:rPr>
          <w:rFonts w:hint="eastAsia"/>
        </w:rPr>
      </w:pPr>
      <w:r>
        <w:rPr>
          <w:rFonts w:hint="eastAsia"/>
        </w:rPr>
        <w:tab/>
        <w:t xml:space="preserve">155.  </w:t>
      </w:r>
      <w:r>
        <w:rPr>
          <w:rFonts w:hint="eastAsia"/>
        </w:rPr>
        <w:t>政府在</w:t>
      </w:r>
      <w:r>
        <w:rPr>
          <w:rFonts w:hint="eastAsia"/>
        </w:rPr>
        <w:t>2001</w:t>
      </w:r>
      <w:r>
        <w:rPr>
          <w:rFonts w:hint="eastAsia"/>
        </w:rPr>
        <w:t>年提出了一项有关保障今后医疗卫生服务的全国性项目。这个项目是芬兰支薪雇员联合会及其在医疗卫生部门的下属工会提议实施的。项目之目的是要同国家和地方当局合作，发展医疗卫生服务，使得所有人都能享受到所需要的高质量医疗卫生服务，而不论其经济地位和居住地点。在这个项目的框架内提出的最重要的法律修正案已经于</w:t>
      </w:r>
      <w:r>
        <w:rPr>
          <w:rFonts w:hint="eastAsia"/>
        </w:rPr>
        <w:t>2005</w:t>
      </w:r>
      <w:r>
        <w:rPr>
          <w:rFonts w:hint="eastAsia"/>
        </w:rPr>
        <w:t>年</w:t>
      </w:r>
      <w:r>
        <w:rPr>
          <w:rFonts w:hint="eastAsia"/>
        </w:rPr>
        <w:t>3</w:t>
      </w:r>
      <w:r>
        <w:rPr>
          <w:rFonts w:hint="eastAsia"/>
        </w:rPr>
        <w:t>月</w:t>
      </w:r>
      <w:r>
        <w:rPr>
          <w:rFonts w:hint="eastAsia"/>
        </w:rPr>
        <w:t>1</w:t>
      </w:r>
      <w:r>
        <w:rPr>
          <w:rFonts w:hint="eastAsia"/>
        </w:rPr>
        <w:t>日正式生效。这个全国性的项目已经初见成效，人们认为将其全面实施是非常重要的。然而，政府在</w:t>
      </w:r>
      <w:r>
        <w:rPr>
          <w:rFonts w:hint="eastAsia"/>
        </w:rPr>
        <w:t>2006</w:t>
      </w:r>
      <w:r>
        <w:rPr>
          <w:rFonts w:hint="eastAsia"/>
        </w:rPr>
        <w:t>年至</w:t>
      </w:r>
      <w:r>
        <w:rPr>
          <w:rFonts w:hint="eastAsia"/>
        </w:rPr>
        <w:t>2009</w:t>
      </w:r>
      <w:r>
        <w:rPr>
          <w:rFonts w:hint="eastAsia"/>
        </w:rPr>
        <w:t>年的预算框架决定，在公共部门的生产率得以改善之前，不再增加对于这个项目的国家拨款。根据估计，</w:t>
      </w:r>
      <w:r>
        <w:rPr>
          <w:rFonts w:hint="eastAsia"/>
        </w:rPr>
        <w:t>2005</w:t>
      </w:r>
      <w:r>
        <w:rPr>
          <w:rFonts w:hint="eastAsia"/>
        </w:rPr>
        <w:t>年的生产总值将增加</w:t>
      </w:r>
      <w:r>
        <w:rPr>
          <w:rFonts w:hint="eastAsia"/>
        </w:rPr>
        <w:t>3.7%</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E</w:t>
      </w:r>
      <w:r>
        <w:rPr>
          <w:rFonts w:ascii="Time New Roman" w:eastAsia="SimHei" w:hAnsi="Time New Roman" w:hint="eastAsia"/>
          <w:u w:val="none"/>
        </w:rPr>
        <w:t xml:space="preserve"> </w:t>
      </w:r>
      <w:r>
        <w:rPr>
          <w:rFonts w:ascii="Time New Roman" w:eastAsia="SimHei" w:hAnsi="Time New Roman" w:hint="eastAsia"/>
          <w:b/>
          <w:u w:val="none"/>
        </w:rPr>
        <w:t>32</w:t>
      </w:r>
      <w:r>
        <w:rPr>
          <w:rFonts w:ascii="Time New Roman" w:eastAsia="SimHei" w:hAnsi="Time New Roman" w:hint="eastAsia"/>
          <w:u w:val="none"/>
        </w:rPr>
        <w:t xml:space="preserve">.  </w:t>
      </w:r>
      <w:r>
        <w:rPr>
          <w:rFonts w:ascii="Time New Roman" w:eastAsia="SimHei" w:hAnsi="Time New Roman" w:hint="eastAsia"/>
          <w:u w:val="none"/>
        </w:rPr>
        <w:t>适足的卫生服务，特别是向弱势群体提供的卫生服务</w:t>
      </w:r>
    </w:p>
    <w:p w:rsidR="00000000" w:rsidRDefault="00000000">
      <w:pPr>
        <w:spacing w:after="320"/>
        <w:rPr>
          <w:rFonts w:hint="eastAsia"/>
        </w:rPr>
      </w:pPr>
      <w:r>
        <w:rPr>
          <w:rFonts w:hint="eastAsia"/>
        </w:rPr>
        <w:tab/>
        <w:t xml:space="preserve">156.  </w:t>
      </w:r>
      <w:r>
        <w:rPr>
          <w:rFonts w:hint="eastAsia"/>
        </w:rPr>
        <w:t>公共医疗卫生服务体制是建立在公平原则基础上的，根据这项原则，弱势群体应当享有同等地位。根据医疗标准对于治疗的紧迫性进行评估，然后在此基础上决定提供治疗的优先顺序。</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E</w:t>
      </w:r>
      <w:r>
        <w:rPr>
          <w:rFonts w:ascii="Time New Roman" w:eastAsia="SimHei" w:hAnsi="Time New Roman" w:hint="eastAsia"/>
          <w:u w:val="none"/>
        </w:rPr>
        <w:t xml:space="preserve"> </w:t>
      </w:r>
      <w:r>
        <w:rPr>
          <w:rFonts w:ascii="Time New Roman" w:eastAsia="SimHei" w:hAnsi="Time New Roman" w:hint="eastAsia"/>
          <w:b/>
          <w:u w:val="none"/>
        </w:rPr>
        <w:t>34</w:t>
      </w:r>
      <w:r>
        <w:rPr>
          <w:rFonts w:ascii="Time New Roman" w:eastAsia="SimHei" w:hAnsi="Time New Roman" w:hint="eastAsia"/>
          <w:u w:val="none"/>
        </w:rPr>
        <w:t xml:space="preserve">.  </w:t>
      </w:r>
      <w:r>
        <w:rPr>
          <w:rFonts w:ascii="Time New Roman" w:eastAsia="SimHei" w:hAnsi="Time New Roman" w:hint="eastAsia"/>
          <w:u w:val="none"/>
        </w:rPr>
        <w:t>结论性意见的传播</w:t>
      </w:r>
    </w:p>
    <w:p w:rsidR="00000000" w:rsidRDefault="00000000">
      <w:pPr>
        <w:rPr>
          <w:rFonts w:hint="eastAsia"/>
        </w:rPr>
      </w:pPr>
      <w:r>
        <w:rPr>
          <w:rFonts w:hint="eastAsia"/>
        </w:rPr>
        <w:tab/>
        <w:t xml:space="preserve">157.  </w:t>
      </w:r>
      <w:r>
        <w:rPr>
          <w:rFonts w:hint="eastAsia"/>
        </w:rPr>
        <w:t>在委员会的听证会结束以后，外交部就立即召开了记者招待会，会上请在日内瓦参加了听证会的专家传达了最重要的问题。记者招待会之目的是要通过媒体来宣传听证会，以便公民了解。</w:t>
      </w:r>
    </w:p>
    <w:p w:rsidR="00000000" w:rsidRDefault="00000000">
      <w:pPr>
        <w:rPr>
          <w:rFonts w:hint="eastAsia"/>
        </w:rPr>
      </w:pPr>
      <w:r>
        <w:rPr>
          <w:rFonts w:hint="eastAsia"/>
        </w:rPr>
        <w:tab/>
        <w:t xml:space="preserve">158.  </w:t>
      </w:r>
      <w:r>
        <w:rPr>
          <w:rFonts w:hint="eastAsia"/>
        </w:rPr>
        <w:t>在委员会通过其结论性意见</w:t>
      </w:r>
      <w:r>
        <w:rPr>
          <w:rFonts w:hint="eastAsia"/>
        </w:rPr>
        <w:t>3</w:t>
      </w:r>
      <w:r>
        <w:rPr>
          <w:rFonts w:hint="eastAsia"/>
        </w:rPr>
        <w:t>周以后，外交部用英语和芬兰语向所有部委作了传达，要求它们在</w:t>
      </w:r>
      <w:r>
        <w:rPr>
          <w:rFonts w:hint="eastAsia"/>
        </w:rPr>
        <w:t>3</w:t>
      </w:r>
      <w:r>
        <w:rPr>
          <w:rFonts w:hint="eastAsia"/>
        </w:rPr>
        <w:t>个月之内在其主管部门进行初步评估，并就采取何种措施来执行委员会的建议发表意见。与此同时，除其他外，结论性意见已经转交议会、议会监察员、大法官、最高法院和最高行政法院、工会以及许多非政府组织。然而，公民也应了解有关主管部门提出的各种项目的信息，也应关心有关项目的执行情况。在这一方面，全国的行政机构都应积极向公众提供有关信息。</w:t>
      </w:r>
    </w:p>
    <w:p w:rsidR="00000000" w:rsidRDefault="00000000">
      <w:pPr>
        <w:spacing w:after="320"/>
        <w:rPr>
          <w:rFonts w:hint="eastAsia"/>
        </w:rPr>
      </w:pPr>
      <w:r>
        <w:rPr>
          <w:rFonts w:hint="eastAsia"/>
        </w:rPr>
        <w:tab/>
        <w:t xml:space="preserve">159.  </w:t>
      </w:r>
      <w:r>
        <w:rPr>
          <w:rFonts w:hint="eastAsia"/>
        </w:rPr>
        <w:t>外交部在其网页上公布了有关人权的信息，其中包括关于执行国际人权公约的定期报告。在网页上载有向条约监测机构提交的英文版和芬兰语版的报告以及用英语、芬兰语和瑞典语公布的各个监测机构的结论性意见。外交部下属的人权法院和公约股负责回答公民有关定期报告的问题。</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一</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160.  </w:t>
      </w:r>
      <w:r>
        <w:rPr>
          <w:rFonts w:hint="eastAsia"/>
        </w:rPr>
        <w:t>在第三次和第四次定期报告中已经说明了奥兰群岛和《奥兰群岛自治法》的特殊地位。奥兰群岛自治的历史原因在于岛上讲瑞典语的人民需要保持其语言、文化和其他传统。</w:t>
      </w:r>
    </w:p>
    <w:p w:rsidR="00000000" w:rsidRDefault="00000000">
      <w:pPr>
        <w:rPr>
          <w:rFonts w:hint="eastAsia"/>
        </w:rPr>
      </w:pPr>
      <w:r>
        <w:rPr>
          <w:rFonts w:hint="eastAsia"/>
        </w:rPr>
        <w:tab/>
        <w:t xml:space="preserve">161.  </w:t>
      </w:r>
      <w:r>
        <w:rPr>
          <w:rFonts w:hint="eastAsia"/>
        </w:rPr>
        <w:t>《芬兰宪法》</w:t>
      </w:r>
      <w:r>
        <w:rPr>
          <w:rFonts w:hint="eastAsia"/>
        </w:rPr>
        <w:t>(731/1999)</w:t>
      </w:r>
      <w:r>
        <w:rPr>
          <w:rFonts w:hint="eastAsia"/>
        </w:rPr>
        <w:t>于</w:t>
      </w:r>
      <w:r>
        <w:rPr>
          <w:rFonts w:hint="eastAsia"/>
        </w:rPr>
        <w:t>2000</w:t>
      </w:r>
      <w:r>
        <w:rPr>
          <w:rFonts w:hint="eastAsia"/>
        </w:rPr>
        <w:t>年</w:t>
      </w:r>
      <w:r>
        <w:rPr>
          <w:rFonts w:hint="eastAsia"/>
        </w:rPr>
        <w:t>3</w:t>
      </w:r>
      <w:r>
        <w:rPr>
          <w:rFonts w:hint="eastAsia"/>
        </w:rPr>
        <w:t>月</w:t>
      </w:r>
      <w:r>
        <w:rPr>
          <w:rFonts w:hint="eastAsia"/>
        </w:rPr>
        <w:t>1</w:t>
      </w:r>
      <w:r>
        <w:rPr>
          <w:rFonts w:hint="eastAsia"/>
        </w:rPr>
        <w:t>日正式生效，其中载有关于萨米人的一些规定。《宪法》第</w:t>
      </w:r>
      <w:r>
        <w:rPr>
          <w:rFonts w:hint="eastAsia"/>
        </w:rPr>
        <w:t>17</w:t>
      </w:r>
      <w:r>
        <w:rPr>
          <w:rFonts w:hint="eastAsia"/>
        </w:rPr>
        <w:t>节第</w:t>
      </w:r>
      <w:r>
        <w:rPr>
          <w:rFonts w:hint="eastAsia"/>
        </w:rPr>
        <w:t>3</w:t>
      </w:r>
      <w:r>
        <w:rPr>
          <w:rFonts w:hint="eastAsia"/>
        </w:rPr>
        <w:t>分节保障了作为土著居民的萨米人保持和发展其本族语言和文化的权利。其中第</w:t>
      </w:r>
      <w:r>
        <w:rPr>
          <w:rFonts w:hint="eastAsia"/>
        </w:rPr>
        <w:t>3</w:t>
      </w:r>
      <w:r>
        <w:rPr>
          <w:rFonts w:hint="eastAsia"/>
        </w:rPr>
        <w:t>分节还规定，有关萨米人在政府机构使用萨米语的权利是由一项法律规定的。此外，《宪法》第</w:t>
      </w:r>
      <w:r>
        <w:rPr>
          <w:rFonts w:hint="eastAsia"/>
        </w:rPr>
        <w:t>121</w:t>
      </w:r>
      <w:r>
        <w:rPr>
          <w:rFonts w:hint="eastAsia"/>
        </w:rPr>
        <w:t>节第</w:t>
      </w:r>
      <w:r>
        <w:rPr>
          <w:rFonts w:hint="eastAsia"/>
        </w:rPr>
        <w:t>4</w:t>
      </w:r>
      <w:r>
        <w:rPr>
          <w:rFonts w:hint="eastAsia"/>
        </w:rPr>
        <w:t>分节还规定，萨米人在其居住地区实行语言和文化的自治。这些新的规定同以前的规定是一致的。具有宪法法律地位的旧的《宪法法》载有一项规定</w:t>
      </w:r>
      <w:r>
        <w:rPr>
          <w:rFonts w:hint="eastAsia"/>
        </w:rPr>
        <w:t>(</w:t>
      </w:r>
      <w:r>
        <w:rPr>
          <w:rFonts w:hint="eastAsia"/>
        </w:rPr>
        <w:t>第</w:t>
      </w:r>
      <w:r>
        <w:rPr>
          <w:rFonts w:hint="eastAsia"/>
        </w:rPr>
        <w:t>52</w:t>
      </w:r>
      <w:r>
        <w:t>a</w:t>
      </w:r>
      <w:r>
        <w:rPr>
          <w:rFonts w:hint="eastAsia"/>
        </w:rPr>
        <w:t>节</w:t>
      </w:r>
      <w:r>
        <w:rPr>
          <w:rFonts w:hint="eastAsia"/>
        </w:rPr>
        <w:t>)</w:t>
      </w:r>
      <w:r>
        <w:rPr>
          <w:rFonts w:hint="eastAsia"/>
        </w:rPr>
        <w:t>，根据这项规定，有关萨米人的事务应依据《议会议事规则》的规定，特别提交议会审议。这项规定已经改为在</w:t>
      </w:r>
      <w:r>
        <w:rPr>
          <w:rFonts w:hint="eastAsia"/>
        </w:rPr>
        <w:t>1999</w:t>
      </w:r>
      <w:r>
        <w:rPr>
          <w:rFonts w:hint="eastAsia"/>
        </w:rPr>
        <w:t>年年底经议会通过的经修改的《议会议事规则》</w:t>
      </w:r>
      <w:r>
        <w:rPr>
          <w:rFonts w:hint="eastAsia"/>
        </w:rPr>
        <w:t>(20/2000)</w:t>
      </w:r>
      <w:r>
        <w:rPr>
          <w:rFonts w:hint="eastAsia"/>
        </w:rPr>
        <w:t>中新的第</w:t>
      </w:r>
      <w:r>
        <w:rPr>
          <w:rFonts w:hint="eastAsia"/>
        </w:rPr>
        <w:t>37</w:t>
      </w:r>
      <w:r>
        <w:rPr>
          <w:rFonts w:hint="eastAsia"/>
        </w:rPr>
        <w:t>节第</w:t>
      </w:r>
      <w:r>
        <w:rPr>
          <w:rFonts w:hint="eastAsia"/>
        </w:rPr>
        <w:t>2</w:t>
      </w:r>
      <w:r>
        <w:rPr>
          <w:rFonts w:hint="eastAsia"/>
        </w:rPr>
        <w:t>分节。</w:t>
      </w:r>
    </w:p>
    <w:p w:rsidR="00000000" w:rsidRDefault="00000000">
      <w:pPr>
        <w:rPr>
          <w:rFonts w:hint="eastAsia"/>
        </w:rPr>
      </w:pPr>
      <w:r>
        <w:rPr>
          <w:rFonts w:hint="eastAsia"/>
        </w:rPr>
        <w:tab/>
        <w:t xml:space="preserve">162.  </w:t>
      </w:r>
      <w:r>
        <w:rPr>
          <w:rFonts w:hint="eastAsia"/>
        </w:rPr>
        <w:t>于</w:t>
      </w:r>
      <w:r>
        <w:rPr>
          <w:rFonts w:hint="eastAsia"/>
        </w:rPr>
        <w:t>2004</w:t>
      </w:r>
      <w:r>
        <w:rPr>
          <w:rFonts w:hint="eastAsia"/>
        </w:rPr>
        <w:t>年</w:t>
      </w:r>
      <w:r>
        <w:rPr>
          <w:rFonts w:hint="eastAsia"/>
        </w:rPr>
        <w:t>1</w:t>
      </w:r>
      <w:r>
        <w:rPr>
          <w:rFonts w:hint="eastAsia"/>
        </w:rPr>
        <w:t>月</w:t>
      </w:r>
      <w:r>
        <w:rPr>
          <w:rFonts w:hint="eastAsia"/>
        </w:rPr>
        <w:t>1</w:t>
      </w:r>
      <w:r>
        <w:rPr>
          <w:rFonts w:hint="eastAsia"/>
        </w:rPr>
        <w:t>日正式生效的新的《萨米语法》</w:t>
      </w:r>
      <w:r>
        <w:rPr>
          <w:rFonts w:hint="eastAsia"/>
        </w:rPr>
        <w:t>(1086/2003)</w:t>
      </w:r>
      <w:r>
        <w:rPr>
          <w:rFonts w:hint="eastAsia"/>
        </w:rPr>
        <w:t>修改了《关于在政府机构使用萨米语的法律》</w:t>
      </w:r>
      <w:r>
        <w:rPr>
          <w:rFonts w:hint="eastAsia"/>
        </w:rPr>
        <w:t>(516/1991)</w:t>
      </w:r>
      <w:r>
        <w:rPr>
          <w:rFonts w:hint="eastAsia"/>
        </w:rPr>
        <w:t>。适用于芬兰国语</w:t>
      </w:r>
      <w:r>
        <w:rPr>
          <w:rFonts w:hint="eastAsia"/>
        </w:rPr>
        <w:t>(</w:t>
      </w:r>
      <w:r>
        <w:rPr>
          <w:rFonts w:hint="eastAsia"/>
        </w:rPr>
        <w:t>芬兰语和瑞典语</w:t>
      </w:r>
      <w:r>
        <w:rPr>
          <w:rFonts w:hint="eastAsia"/>
        </w:rPr>
        <w:t>)</w:t>
      </w:r>
      <w:r>
        <w:rPr>
          <w:rFonts w:hint="eastAsia"/>
        </w:rPr>
        <w:t>的新的《语言法》</w:t>
      </w:r>
      <w:r>
        <w:rPr>
          <w:rFonts w:hint="eastAsia"/>
        </w:rPr>
        <w:t>(423/2003)</w:t>
      </w:r>
      <w:r>
        <w:rPr>
          <w:rFonts w:hint="eastAsia"/>
        </w:rPr>
        <w:t>也同时正式生效。《萨米语法》第</w:t>
      </w:r>
      <w:r>
        <w:rPr>
          <w:rFonts w:hint="eastAsia"/>
        </w:rPr>
        <w:t>1</w:t>
      </w:r>
      <w:r>
        <w:rPr>
          <w:rFonts w:hint="eastAsia"/>
        </w:rPr>
        <w:t>节规定，这项法律之目的是要根据《宪法》以及对于芬兰有约束力的国际公约的规定，确保萨米人保持和发展其本族语言和文化的权利。这项法律规定，萨米人有权在法院以及其他政府机构使用本族语言</w:t>
      </w:r>
      <w:r>
        <w:rPr>
          <w:rFonts w:hint="eastAsia"/>
        </w:rPr>
        <w:t>(</w:t>
      </w:r>
      <w:r>
        <w:rPr>
          <w:szCs w:val="22"/>
        </w:rPr>
        <w:t>Inari</w:t>
      </w:r>
      <w:r>
        <w:rPr>
          <w:rFonts w:hint="eastAsia"/>
        </w:rPr>
        <w:t>萨米</w:t>
      </w:r>
      <w:r>
        <w:rPr>
          <w:rFonts w:hint="eastAsia"/>
          <w:szCs w:val="22"/>
        </w:rPr>
        <w:t>语</w:t>
      </w:r>
      <w:r>
        <w:rPr>
          <w:szCs w:val="22"/>
        </w:rPr>
        <w:t>，</w:t>
      </w:r>
      <w:r>
        <w:rPr>
          <w:szCs w:val="22"/>
        </w:rPr>
        <w:t>Skolt</w:t>
      </w:r>
      <w:r>
        <w:rPr>
          <w:rFonts w:hint="eastAsia"/>
        </w:rPr>
        <w:t>萨米</w:t>
      </w:r>
      <w:r>
        <w:rPr>
          <w:rFonts w:hint="eastAsia"/>
          <w:szCs w:val="22"/>
        </w:rPr>
        <w:t>语以及</w:t>
      </w:r>
      <w:r>
        <w:rPr>
          <w:szCs w:val="22"/>
        </w:rPr>
        <w:t>North</w:t>
      </w:r>
      <w:r>
        <w:rPr>
          <w:rFonts w:hint="eastAsia"/>
        </w:rPr>
        <w:t>萨米</w:t>
      </w:r>
      <w:r>
        <w:rPr>
          <w:rFonts w:hint="eastAsia"/>
          <w:szCs w:val="22"/>
        </w:rPr>
        <w:t>语</w:t>
      </w:r>
      <w:r>
        <w:rPr>
          <w:rFonts w:hint="eastAsia"/>
          <w:szCs w:val="22"/>
        </w:rPr>
        <w:t>)</w:t>
      </w:r>
      <w:r>
        <w:rPr>
          <w:rFonts w:hint="eastAsia"/>
          <w:szCs w:val="22"/>
        </w:rPr>
        <w:t>。根据已被废止的法律，在芬兰政府机构使用所有三种</w:t>
      </w:r>
      <w:r>
        <w:rPr>
          <w:rFonts w:hint="eastAsia"/>
        </w:rPr>
        <w:t>萨米语的权利的唯一依据是政府在这项法律中的解释性说明。而在这项新的法律中，所有三种萨米语均被界定为这项法律</w:t>
      </w:r>
      <w:r>
        <w:rPr>
          <w:rFonts w:hint="eastAsia"/>
        </w:rPr>
        <w:t>(</w:t>
      </w:r>
      <w:r>
        <w:rPr>
          <w:rFonts w:hint="eastAsia"/>
        </w:rPr>
        <w:t>第</w:t>
      </w:r>
      <w:r>
        <w:rPr>
          <w:rFonts w:hint="eastAsia"/>
        </w:rPr>
        <w:t>3</w:t>
      </w:r>
      <w:r>
        <w:rPr>
          <w:rFonts w:hint="eastAsia"/>
        </w:rPr>
        <w:t>节第</w:t>
      </w:r>
      <w:r>
        <w:rPr>
          <w:rFonts w:hint="eastAsia"/>
        </w:rPr>
        <w:t>1</w:t>
      </w:r>
      <w:r>
        <w:rPr>
          <w:rFonts w:hint="eastAsia"/>
        </w:rPr>
        <w:t>分节</w:t>
      </w:r>
      <w:r>
        <w:rPr>
          <w:rFonts w:hint="eastAsia"/>
        </w:rPr>
        <w:t>)</w:t>
      </w:r>
      <w:r>
        <w:rPr>
          <w:rFonts w:hint="eastAsia"/>
        </w:rPr>
        <w:t>所指的萨米语，从而澄清了这项法律在这一方面的内容。</w:t>
      </w:r>
    </w:p>
    <w:p w:rsidR="00000000" w:rsidRDefault="00000000">
      <w:pPr>
        <w:rPr>
          <w:rFonts w:hint="eastAsia"/>
        </w:rPr>
      </w:pPr>
      <w:r>
        <w:rPr>
          <w:rFonts w:hint="eastAsia"/>
        </w:rPr>
        <w:tab/>
        <w:t xml:space="preserve">163.  </w:t>
      </w:r>
      <w:r>
        <w:rPr>
          <w:rFonts w:hint="eastAsia"/>
        </w:rPr>
        <w:t>《萨米语法》还载有各种有关政府机构有义务执行和加强萨米人语言权利的规定</w:t>
      </w:r>
      <w:r>
        <w:rPr>
          <w:rFonts w:hint="eastAsia"/>
        </w:rPr>
        <w:t>(</w:t>
      </w:r>
      <w:r>
        <w:rPr>
          <w:rFonts w:hint="eastAsia"/>
        </w:rPr>
        <w:t>例如：第</w:t>
      </w:r>
      <w:r>
        <w:rPr>
          <w:rFonts w:hint="eastAsia"/>
        </w:rPr>
        <w:t>1</w:t>
      </w:r>
      <w:r>
        <w:rPr>
          <w:rFonts w:hint="eastAsia"/>
        </w:rPr>
        <w:t>节第</w:t>
      </w:r>
      <w:r>
        <w:rPr>
          <w:rFonts w:hint="eastAsia"/>
        </w:rPr>
        <w:t>2</w:t>
      </w:r>
      <w:r>
        <w:rPr>
          <w:rFonts w:hint="eastAsia"/>
        </w:rPr>
        <w:t>分节、第</w:t>
      </w:r>
      <w:r>
        <w:rPr>
          <w:rFonts w:hint="eastAsia"/>
        </w:rPr>
        <w:t>14</w:t>
      </w:r>
      <w:r>
        <w:rPr>
          <w:rFonts w:hint="eastAsia"/>
        </w:rPr>
        <w:t>节第</w:t>
      </w:r>
      <w:r>
        <w:rPr>
          <w:rFonts w:hint="eastAsia"/>
        </w:rPr>
        <w:t>1</w:t>
      </w:r>
      <w:r>
        <w:rPr>
          <w:rFonts w:hint="eastAsia"/>
        </w:rPr>
        <w:t>和第</w:t>
      </w:r>
      <w:r>
        <w:rPr>
          <w:rFonts w:hint="eastAsia"/>
        </w:rPr>
        <w:t>2</w:t>
      </w:r>
      <w:r>
        <w:rPr>
          <w:rFonts w:hint="eastAsia"/>
        </w:rPr>
        <w:t>分节、第</w:t>
      </w:r>
      <w:r>
        <w:rPr>
          <w:rFonts w:hint="eastAsia"/>
        </w:rPr>
        <w:t>15</w:t>
      </w:r>
      <w:r>
        <w:rPr>
          <w:rFonts w:hint="eastAsia"/>
        </w:rPr>
        <w:t>和第</w:t>
      </w:r>
      <w:r>
        <w:rPr>
          <w:rFonts w:hint="eastAsia"/>
        </w:rPr>
        <w:t>24</w:t>
      </w:r>
      <w:r>
        <w:rPr>
          <w:rFonts w:hint="eastAsia"/>
        </w:rPr>
        <w:t>节以及第</w:t>
      </w:r>
      <w:r>
        <w:rPr>
          <w:rFonts w:hint="eastAsia"/>
        </w:rPr>
        <w:t>28</w:t>
      </w:r>
      <w:r>
        <w:rPr>
          <w:rFonts w:hint="eastAsia"/>
        </w:rPr>
        <w:t>节第</w:t>
      </w:r>
      <w:r>
        <w:rPr>
          <w:rFonts w:hint="eastAsia"/>
        </w:rPr>
        <w:t>1</w:t>
      </w:r>
      <w:r>
        <w:rPr>
          <w:rFonts w:hint="eastAsia"/>
        </w:rPr>
        <w:t>分节</w:t>
      </w:r>
      <w:r>
        <w:rPr>
          <w:rFonts w:hint="eastAsia"/>
        </w:rPr>
        <w:t>)</w:t>
      </w:r>
      <w:r>
        <w:rPr>
          <w:rFonts w:hint="eastAsia"/>
        </w:rPr>
        <w:t>。其目的是要确保萨米人使用本族语也能获得公平审判和良好的管理，有权通过法律规定确保其语言权</w:t>
      </w:r>
      <w:r>
        <w:rPr>
          <w:rFonts w:hint="eastAsia"/>
        </w:rPr>
        <w:t>(</w:t>
      </w:r>
      <w:r>
        <w:rPr>
          <w:rFonts w:hint="eastAsia"/>
        </w:rPr>
        <w:t>第</w:t>
      </w:r>
      <w:r>
        <w:rPr>
          <w:rFonts w:hint="eastAsia"/>
        </w:rPr>
        <w:t>1</w:t>
      </w:r>
      <w:r>
        <w:rPr>
          <w:rFonts w:hint="eastAsia"/>
        </w:rPr>
        <w:t>节第</w:t>
      </w:r>
      <w:r>
        <w:rPr>
          <w:rFonts w:hint="eastAsia"/>
        </w:rPr>
        <w:t>3</w:t>
      </w:r>
      <w:r>
        <w:rPr>
          <w:rFonts w:hint="eastAsia"/>
        </w:rPr>
        <w:t>分节</w:t>
      </w:r>
      <w:r>
        <w:rPr>
          <w:rFonts w:hint="eastAsia"/>
        </w:rPr>
        <w:t>)</w:t>
      </w:r>
      <w:r>
        <w:rPr>
          <w:rFonts w:hint="eastAsia"/>
        </w:rPr>
        <w:t>。根据这项法律，政府机构应当告知公众，它也用萨米语提供服务</w:t>
      </w:r>
      <w:r>
        <w:rPr>
          <w:rFonts w:hint="eastAsia"/>
        </w:rPr>
        <w:t>(</w:t>
      </w:r>
      <w:r>
        <w:rPr>
          <w:rFonts w:hint="eastAsia"/>
        </w:rPr>
        <w:t>第</w:t>
      </w:r>
      <w:r>
        <w:rPr>
          <w:rFonts w:hint="eastAsia"/>
        </w:rPr>
        <w:t>24</w:t>
      </w:r>
      <w:r>
        <w:rPr>
          <w:rFonts w:hint="eastAsia"/>
        </w:rPr>
        <w:t>节第</w:t>
      </w:r>
      <w:r>
        <w:rPr>
          <w:rFonts w:hint="eastAsia"/>
        </w:rPr>
        <w:t>1</w:t>
      </w:r>
      <w:r>
        <w:rPr>
          <w:rFonts w:hint="eastAsia"/>
        </w:rPr>
        <w:t>分节</w:t>
      </w:r>
      <w:r>
        <w:rPr>
          <w:rFonts w:hint="eastAsia"/>
        </w:rPr>
        <w:t>)</w:t>
      </w:r>
      <w:r>
        <w:rPr>
          <w:rFonts w:hint="eastAsia"/>
        </w:rPr>
        <w:t>。政府机构不得以萨米人也懂得其他语言</w:t>
      </w:r>
      <w:r>
        <w:rPr>
          <w:rFonts w:hint="eastAsia"/>
        </w:rPr>
        <w:t>(</w:t>
      </w:r>
      <w:r>
        <w:rPr>
          <w:rFonts w:hint="eastAsia"/>
        </w:rPr>
        <w:t>例如芬兰语或者瑞典语</w:t>
      </w:r>
      <w:r>
        <w:rPr>
          <w:rFonts w:hint="eastAsia"/>
        </w:rPr>
        <w:t>)</w:t>
      </w:r>
      <w:r>
        <w:rPr>
          <w:rFonts w:hint="eastAsia"/>
        </w:rPr>
        <w:t>为由限制或者拒绝执行这项法律有关语言权的规定</w:t>
      </w:r>
      <w:r>
        <w:rPr>
          <w:rFonts w:hint="eastAsia"/>
        </w:rPr>
        <w:t>(</w:t>
      </w:r>
      <w:r>
        <w:rPr>
          <w:rFonts w:hint="eastAsia"/>
        </w:rPr>
        <w:t>第</w:t>
      </w:r>
      <w:r>
        <w:rPr>
          <w:rFonts w:hint="eastAsia"/>
        </w:rPr>
        <w:t>4</w:t>
      </w:r>
      <w:r>
        <w:rPr>
          <w:rFonts w:hint="eastAsia"/>
        </w:rPr>
        <w:t>节第</w:t>
      </w:r>
      <w:r>
        <w:rPr>
          <w:rFonts w:hint="eastAsia"/>
        </w:rPr>
        <w:t>2</w:t>
      </w:r>
      <w:r>
        <w:rPr>
          <w:rFonts w:hint="eastAsia"/>
        </w:rPr>
        <w:t>分节</w:t>
      </w:r>
      <w:r>
        <w:rPr>
          <w:rFonts w:hint="eastAsia"/>
        </w:rPr>
        <w:t>)</w:t>
      </w:r>
      <w:r>
        <w:rPr>
          <w:rFonts w:hint="eastAsia"/>
        </w:rPr>
        <w:t>。</w:t>
      </w:r>
    </w:p>
    <w:p w:rsidR="00000000" w:rsidRDefault="00000000">
      <w:pPr>
        <w:rPr>
          <w:rFonts w:hint="eastAsia"/>
        </w:rPr>
      </w:pPr>
      <w:r>
        <w:rPr>
          <w:rFonts w:hint="eastAsia"/>
        </w:rPr>
        <w:tab/>
        <w:t xml:space="preserve">164.  </w:t>
      </w:r>
      <w:r>
        <w:rPr>
          <w:rFonts w:hint="eastAsia"/>
        </w:rPr>
        <w:t>《萨米语法》适用于这项法律所指的政府机构执行的所有公务。这项新的法律所涉的政府机构同已经被废止的法律所涉机构是大体一致的。除了国家以及在萨米家园中的地方当局以外，这项法律对于在这个范围以外的涉及通过法律保护公民权利的某些机构也有约束力，例如：大法官、议会监察员以及少数人事务监察员。《萨米语法》还对国有企业和国有公司有约束力</w:t>
      </w:r>
      <w:r>
        <w:rPr>
          <w:rFonts w:hint="eastAsia"/>
        </w:rPr>
        <w:t>(</w:t>
      </w:r>
      <w:r>
        <w:rPr>
          <w:rFonts w:hint="eastAsia"/>
        </w:rPr>
        <w:t>第</w:t>
      </w:r>
      <w:r>
        <w:rPr>
          <w:rFonts w:hint="eastAsia"/>
        </w:rPr>
        <w:t>17</w:t>
      </w:r>
      <w:r>
        <w:rPr>
          <w:rFonts w:hint="eastAsia"/>
        </w:rPr>
        <w:t>节</w:t>
      </w:r>
      <w:r>
        <w:rPr>
          <w:rFonts w:hint="eastAsia"/>
        </w:rPr>
        <w:t>)</w:t>
      </w:r>
      <w:r>
        <w:rPr>
          <w:rFonts w:hint="eastAsia"/>
        </w:rPr>
        <w:t>，除了某些条件以外，这项法律对于在萨米家园执行公务的私人实体也有约束力</w:t>
      </w:r>
      <w:r>
        <w:rPr>
          <w:rFonts w:hint="eastAsia"/>
        </w:rPr>
        <w:t>(</w:t>
      </w:r>
      <w:r>
        <w:rPr>
          <w:rFonts w:hint="eastAsia"/>
        </w:rPr>
        <w:t>第</w:t>
      </w:r>
      <w:r>
        <w:rPr>
          <w:rFonts w:hint="eastAsia"/>
        </w:rPr>
        <w:t>18</w:t>
      </w:r>
      <w:r>
        <w:rPr>
          <w:rFonts w:hint="eastAsia"/>
        </w:rPr>
        <w:t>节</w:t>
      </w:r>
      <w:r>
        <w:rPr>
          <w:rFonts w:hint="eastAsia"/>
        </w:rPr>
        <w:t>)</w:t>
      </w:r>
      <w:r>
        <w:rPr>
          <w:rFonts w:hint="eastAsia"/>
        </w:rPr>
        <w:t>。因此，将执行公务的责任下放给私营实体并不影响语言权。根据这项法律，政府机构在其活动中应当主动确保法律所保障的语言权得以实施</w:t>
      </w:r>
      <w:r>
        <w:rPr>
          <w:rFonts w:hint="eastAsia"/>
        </w:rPr>
        <w:t>(</w:t>
      </w:r>
      <w:r>
        <w:rPr>
          <w:rFonts w:hint="eastAsia"/>
        </w:rPr>
        <w:t>第</w:t>
      </w:r>
      <w:r>
        <w:rPr>
          <w:rFonts w:hint="eastAsia"/>
        </w:rPr>
        <w:t>24</w:t>
      </w:r>
      <w:r>
        <w:rPr>
          <w:rFonts w:hint="eastAsia"/>
        </w:rPr>
        <w:t>节第</w:t>
      </w:r>
      <w:r>
        <w:rPr>
          <w:rFonts w:hint="eastAsia"/>
        </w:rPr>
        <w:t>1</w:t>
      </w:r>
      <w:r>
        <w:rPr>
          <w:rFonts w:hint="eastAsia"/>
        </w:rPr>
        <w:t>分节</w:t>
      </w:r>
      <w:r>
        <w:rPr>
          <w:rFonts w:hint="eastAsia"/>
        </w:rPr>
        <w:t>)</w:t>
      </w:r>
      <w:r>
        <w:rPr>
          <w:rFonts w:hint="eastAsia"/>
        </w:rPr>
        <w:t>。</w:t>
      </w:r>
    </w:p>
    <w:p w:rsidR="00000000" w:rsidRDefault="00000000">
      <w:pPr>
        <w:rPr>
          <w:rFonts w:hint="eastAsia"/>
        </w:rPr>
      </w:pPr>
      <w:r>
        <w:rPr>
          <w:rFonts w:hint="eastAsia"/>
        </w:rPr>
        <w:tab/>
        <w:t xml:space="preserve">165.  </w:t>
      </w:r>
      <w:r>
        <w:rPr>
          <w:rFonts w:hint="eastAsia"/>
        </w:rPr>
        <w:t>所有政府机构监督这项法律在其工作范围内的实施。萨米议会监测这项法律的执行，并可就有关语言法律的问题提出建议以及为纠正它所注意到的缺点而采取行动</w:t>
      </w:r>
      <w:r>
        <w:rPr>
          <w:rFonts w:hint="eastAsia"/>
        </w:rPr>
        <w:t>(</w:t>
      </w:r>
      <w:r>
        <w:rPr>
          <w:rFonts w:hint="eastAsia"/>
        </w:rPr>
        <w:t>第</w:t>
      </w:r>
      <w:r>
        <w:rPr>
          <w:rFonts w:hint="eastAsia"/>
        </w:rPr>
        <w:t>28</w:t>
      </w:r>
      <w:r>
        <w:rPr>
          <w:rFonts w:hint="eastAsia"/>
        </w:rPr>
        <w:t>节</w:t>
      </w:r>
      <w:r>
        <w:rPr>
          <w:rFonts w:hint="eastAsia"/>
        </w:rPr>
        <w:t>)</w:t>
      </w:r>
      <w:r>
        <w:rPr>
          <w:rFonts w:hint="eastAsia"/>
        </w:rPr>
        <w:t>。</w:t>
      </w:r>
    </w:p>
    <w:p w:rsidR="00000000" w:rsidRDefault="00000000">
      <w:pPr>
        <w:rPr>
          <w:rFonts w:hint="eastAsia"/>
        </w:rPr>
      </w:pPr>
      <w:r>
        <w:rPr>
          <w:rFonts w:hint="eastAsia"/>
        </w:rPr>
        <w:tab/>
        <w:t xml:space="preserve">166.  </w:t>
      </w:r>
      <w:r>
        <w:rPr>
          <w:rFonts w:hint="eastAsia"/>
        </w:rPr>
        <w:t>由于《萨米语法》第</w:t>
      </w:r>
      <w:r>
        <w:rPr>
          <w:rFonts w:hint="eastAsia"/>
        </w:rPr>
        <w:t>29</w:t>
      </w:r>
      <w:r>
        <w:rPr>
          <w:rFonts w:hint="eastAsia"/>
        </w:rPr>
        <w:t>节第</w:t>
      </w:r>
      <w:r>
        <w:rPr>
          <w:rFonts w:hint="eastAsia"/>
        </w:rPr>
        <w:t>1</w:t>
      </w:r>
      <w:r>
        <w:rPr>
          <w:rFonts w:hint="eastAsia"/>
        </w:rPr>
        <w:t>分节所指的有关这项法律执行情况的第一份报告要到</w:t>
      </w:r>
      <w:r>
        <w:rPr>
          <w:rFonts w:hint="eastAsia"/>
        </w:rPr>
        <w:t>2006</w:t>
      </w:r>
      <w:r>
        <w:rPr>
          <w:rFonts w:hint="eastAsia"/>
        </w:rPr>
        <w:t>年才根据议会在其任期内所获得的经验提交萨米议会，目前要评估新的《萨米语法》对于实施萨米人语言权的影响还为时过早。</w:t>
      </w:r>
    </w:p>
    <w:p w:rsidR="00000000" w:rsidRDefault="00000000">
      <w:pPr>
        <w:rPr>
          <w:rFonts w:hint="eastAsia"/>
        </w:rPr>
      </w:pPr>
      <w:r>
        <w:rPr>
          <w:rFonts w:hint="eastAsia"/>
        </w:rPr>
        <w:tab/>
        <w:t xml:space="preserve">167.  </w:t>
      </w:r>
      <w:r>
        <w:rPr>
          <w:rFonts w:hint="eastAsia"/>
        </w:rPr>
        <w:t>正如第四次定期报告所指出，在议会审查《萨米议会法》期间，这项法律所载的有关萨米人的定义已经有所扩大。然而，其目的仍然是有关之人必须认为自己是萨米人。除此以外，主要的规定仍然是：必须同萨米人有语言上的联系。根据《萨米议会法》，萨米人是指认为自己是萨米人的人，而且其本人或者至少其父母或者祖父母所学习的第一语言必须是萨米语。</w:t>
      </w:r>
    </w:p>
    <w:p w:rsidR="00000000" w:rsidRDefault="00000000">
      <w:pPr>
        <w:rPr>
          <w:rFonts w:hint="eastAsia"/>
        </w:rPr>
      </w:pPr>
      <w:r>
        <w:rPr>
          <w:rFonts w:hint="eastAsia"/>
        </w:rPr>
        <w:tab/>
        <w:t xml:space="preserve">168.  </w:t>
      </w:r>
      <w:r>
        <w:rPr>
          <w:rFonts w:hint="eastAsia"/>
        </w:rPr>
        <w:t>此外，这项法律还包括一项新的标准：如果有人希望自己被认为是萨米人，那么其祖先在土地、税务或者人口管理部门必须是以山区、林区或者渔区萨米人的身份登记在册的。在登记为萨米人时并不需要提出任何有关其本人或者其父母或者其祖父母掌握萨米语技能的证据。最初的用意是要颁布一项法令，规定不得再援用在</w:t>
      </w:r>
      <w:r>
        <w:rPr>
          <w:rFonts w:hint="eastAsia"/>
        </w:rPr>
        <w:t>1875</w:t>
      </w:r>
      <w:r>
        <w:rPr>
          <w:rFonts w:hint="eastAsia"/>
        </w:rPr>
        <w:t>以前拟定的名单。然而，议会的宪法法律委员会认定，颁布这样一项法令是没有法律依据的，从而认为以这种方式对这项法律进行补充是不合适的。</w:t>
      </w:r>
    </w:p>
    <w:p w:rsidR="00000000" w:rsidRDefault="00000000">
      <w:pPr>
        <w:rPr>
          <w:rFonts w:hint="eastAsia"/>
        </w:rPr>
      </w:pPr>
      <w:r>
        <w:rPr>
          <w:rFonts w:hint="eastAsia"/>
        </w:rPr>
        <w:tab/>
        <w:t xml:space="preserve">169.  </w:t>
      </w:r>
      <w:r>
        <w:rPr>
          <w:rFonts w:hint="eastAsia"/>
        </w:rPr>
        <w:t>根据《萨米议会法》，如果至少某人的父母曾经或者可能登记为选民，参加过萨米代表团或者萨米议会的选举，那么其本人也可被视为萨米人。之所以应用这条标准，是因为有些人的父母可能请人在选民民册上登记，但是因为某种原因而结果没有登记。</w:t>
      </w:r>
    </w:p>
    <w:p w:rsidR="00000000" w:rsidRDefault="00000000">
      <w:pPr>
        <w:rPr>
          <w:rFonts w:hint="eastAsia"/>
        </w:rPr>
      </w:pPr>
      <w:r>
        <w:rPr>
          <w:rFonts w:hint="eastAsia"/>
        </w:rPr>
        <w:tab/>
        <w:t xml:space="preserve">170.  </w:t>
      </w:r>
      <w:r>
        <w:rPr>
          <w:rFonts w:hint="eastAsia"/>
        </w:rPr>
        <w:t>上述规定在</w:t>
      </w:r>
      <w:r>
        <w:rPr>
          <w:rFonts w:hint="eastAsia"/>
        </w:rPr>
        <w:t>1999</w:t>
      </w:r>
      <w:r>
        <w:rPr>
          <w:rFonts w:hint="eastAsia"/>
        </w:rPr>
        <w:t>年第一次应用于萨米议会选举。在这次选举中，人们注意到，就有关人员在土地、税务或者人口管理部门以山区、林区或者渔区萨米人的身份登记在册的标准而言，萨米人的定义明显过于灵活。总共有</w:t>
      </w:r>
      <w:r>
        <w:rPr>
          <w:rFonts w:hint="eastAsia"/>
        </w:rPr>
        <w:t>1,128</w:t>
      </w:r>
      <w:r>
        <w:rPr>
          <w:rFonts w:hint="eastAsia"/>
        </w:rPr>
        <w:t>人要求登记为选民。几乎所有人都提到，其祖先曾经在</w:t>
      </w:r>
      <w:r>
        <w:rPr>
          <w:rFonts w:hint="eastAsia"/>
        </w:rPr>
        <w:t>1739</w:t>
      </w:r>
      <w:r>
        <w:rPr>
          <w:rFonts w:hint="eastAsia"/>
        </w:rPr>
        <w:t>年到至</w:t>
      </w:r>
      <w:r>
        <w:rPr>
          <w:rFonts w:hint="eastAsia"/>
        </w:rPr>
        <w:t>1825</w:t>
      </w:r>
      <w:r>
        <w:rPr>
          <w:rFonts w:hint="eastAsia"/>
        </w:rPr>
        <w:t>年期间在土地管理部门作过登记，从而证明他们的祖先是在十七世纪或者十八世纪出生的。然而，所提到的最早的记录是</w:t>
      </w:r>
      <w:r>
        <w:rPr>
          <w:rFonts w:hint="eastAsia"/>
        </w:rPr>
        <w:t>1695</w:t>
      </w:r>
      <w:r>
        <w:rPr>
          <w:rFonts w:hint="eastAsia"/>
        </w:rPr>
        <w:t>年的一本土地登记册。有</w:t>
      </w:r>
      <w:r>
        <w:rPr>
          <w:rFonts w:hint="eastAsia"/>
        </w:rPr>
        <w:t>54</w:t>
      </w:r>
      <w:r>
        <w:rPr>
          <w:rFonts w:hint="eastAsia"/>
        </w:rPr>
        <w:t>名申请人所提到的最近的记录是从</w:t>
      </w:r>
      <w:r>
        <w:rPr>
          <w:rFonts w:hint="eastAsia"/>
        </w:rPr>
        <w:t>1826</w:t>
      </w:r>
      <w:r>
        <w:rPr>
          <w:rFonts w:hint="eastAsia"/>
        </w:rPr>
        <w:t>年至</w:t>
      </w:r>
      <w:r>
        <w:rPr>
          <w:rFonts w:hint="eastAsia"/>
        </w:rPr>
        <w:t>1857</w:t>
      </w:r>
      <w:r>
        <w:rPr>
          <w:rFonts w:hint="eastAsia"/>
        </w:rPr>
        <w:t>年的土地登记册。</w:t>
      </w:r>
    </w:p>
    <w:p w:rsidR="00000000" w:rsidRDefault="00000000">
      <w:pPr>
        <w:rPr>
          <w:rFonts w:hint="eastAsia"/>
        </w:rPr>
      </w:pPr>
      <w:r>
        <w:rPr>
          <w:rFonts w:hint="eastAsia"/>
        </w:rPr>
        <w:tab/>
        <w:t xml:space="preserve">171.  </w:t>
      </w:r>
      <w:r>
        <w:rPr>
          <w:rFonts w:hint="eastAsia"/>
        </w:rPr>
        <w:t>萨米议会选举委员会没有批准大多数以其祖先曾经在土地、税务或者人口管理部门登记为理由而提出的申请；委员会认为，从语言角度来说，这些申请人应当属于芬兰人，而不是萨米人。然而，其中有</w:t>
      </w:r>
      <w:r>
        <w:rPr>
          <w:rFonts w:hint="eastAsia"/>
        </w:rPr>
        <w:t>56</w:t>
      </w:r>
      <w:r>
        <w:rPr>
          <w:rFonts w:hint="eastAsia"/>
        </w:rPr>
        <w:t>名申请人由于其语言技能而被接受。多达</w:t>
      </w:r>
      <w:r>
        <w:rPr>
          <w:rFonts w:hint="eastAsia"/>
        </w:rPr>
        <w:t>765</w:t>
      </w:r>
      <w:r>
        <w:rPr>
          <w:rFonts w:hint="eastAsia"/>
        </w:rPr>
        <w:t>名申请人要求选举委员会审查其决定。在这些要求中，选举委员会驳回了其中</w:t>
      </w:r>
      <w:r>
        <w:rPr>
          <w:rFonts w:hint="eastAsia"/>
        </w:rPr>
        <w:t>740</w:t>
      </w:r>
      <w:r>
        <w:rPr>
          <w:rFonts w:hint="eastAsia"/>
        </w:rPr>
        <w:t>人的申请，指出有关申请人没有提出任何能够影响裁决结果的新的证据。选举委员会以语言技能为由接受了其中</w:t>
      </w:r>
      <w:r>
        <w:rPr>
          <w:rFonts w:hint="eastAsia"/>
        </w:rPr>
        <w:t>25</w:t>
      </w:r>
      <w:r>
        <w:rPr>
          <w:rFonts w:hint="eastAsia"/>
        </w:rPr>
        <w:t>名申请人的要求。在其申请被驳回的申请人中，有</w:t>
      </w:r>
      <w:r>
        <w:rPr>
          <w:rFonts w:hint="eastAsia"/>
        </w:rPr>
        <w:t>726</w:t>
      </w:r>
      <w:r>
        <w:rPr>
          <w:rFonts w:hint="eastAsia"/>
        </w:rPr>
        <w:t>人将其要求提交萨米议会委员会审核。除了其中</w:t>
      </w:r>
      <w:r>
        <w:rPr>
          <w:rFonts w:hint="eastAsia"/>
        </w:rPr>
        <w:t>1</w:t>
      </w:r>
      <w:r>
        <w:rPr>
          <w:rFonts w:hint="eastAsia"/>
        </w:rPr>
        <w:t>人以外，议会委员会驳回了所有的要求，因为委员会认为，这名申请人已经提出了足够的证据来证明自己是萨米人。将近</w:t>
      </w:r>
      <w:r>
        <w:rPr>
          <w:rFonts w:hint="eastAsia"/>
        </w:rPr>
        <w:t>700</w:t>
      </w:r>
      <w:r>
        <w:rPr>
          <w:rFonts w:hint="eastAsia"/>
        </w:rPr>
        <w:t>人针对萨米议会委员会的裁决向萨米议会提出了申诉，其中大多数又被驳回。然而，其中大约</w:t>
      </w:r>
      <w:r>
        <w:rPr>
          <w:rFonts w:hint="eastAsia"/>
        </w:rPr>
        <w:t>30</w:t>
      </w:r>
      <w:r>
        <w:rPr>
          <w:rFonts w:hint="eastAsia"/>
        </w:rPr>
        <w:t>人的申诉以语言技能为由被接受。总共有</w:t>
      </w:r>
      <w:r>
        <w:rPr>
          <w:rFonts w:hint="eastAsia"/>
        </w:rPr>
        <w:t>657</w:t>
      </w:r>
      <w:r>
        <w:rPr>
          <w:rFonts w:hint="eastAsia"/>
        </w:rPr>
        <w:t>名申请人又向最高行政法院提出上诉。</w:t>
      </w:r>
    </w:p>
    <w:p w:rsidR="00000000" w:rsidRDefault="00000000">
      <w:pPr>
        <w:rPr>
          <w:rFonts w:hint="eastAsia"/>
        </w:rPr>
      </w:pPr>
      <w:r>
        <w:rPr>
          <w:rFonts w:hint="eastAsia"/>
        </w:rPr>
        <w:tab/>
        <w:t xml:space="preserve">172.  </w:t>
      </w:r>
      <w:r>
        <w:rPr>
          <w:rFonts w:hint="eastAsia"/>
        </w:rPr>
        <w:t>最高行政法院于</w:t>
      </w:r>
      <w:r>
        <w:rPr>
          <w:rFonts w:hint="eastAsia"/>
        </w:rPr>
        <w:t>1999</w:t>
      </w:r>
      <w:r>
        <w:rPr>
          <w:rFonts w:hint="eastAsia"/>
        </w:rPr>
        <w:t>年</w:t>
      </w:r>
      <w:r>
        <w:rPr>
          <w:rFonts w:hint="eastAsia"/>
        </w:rPr>
        <w:t>9</w:t>
      </w:r>
      <w:r>
        <w:rPr>
          <w:rFonts w:hint="eastAsia"/>
        </w:rPr>
        <w:t>月</w:t>
      </w:r>
      <w:r>
        <w:rPr>
          <w:rFonts w:hint="eastAsia"/>
        </w:rPr>
        <w:t>22</w:t>
      </w:r>
      <w:r>
        <w:rPr>
          <w:rFonts w:hint="eastAsia"/>
        </w:rPr>
        <w:t>日就萨米人定义问题作出了最后裁决。最高行政法院驳回了大多数上诉。法院指出，有关在土地、税务或者人口管理部门以山区、林区或者渔区萨米人的身份登记在册的标准而言，有关萨米人定义的规定是不明确的。因此，法院认为，不能仅仅根据规定的措施而作出裁决。最高行政法院在解释这条规定时考虑到了《宪法》所保障的作为土著人民的萨米人的权利，同时也考虑到了《萨米议会法》要确保萨米人的语言和文化自治的目的。法院指出，既然语言标准是指至少申请人的祖父母所学的第一语言必须是萨米语，那么，如果在有关部门登记的并非申请人的祖父母，根据登记标准，该申请人也不能被视为萨米人。因此，之所以大多数申诉被驳回，是因为有关登记的年代已经过于久远。</w:t>
      </w:r>
    </w:p>
    <w:p w:rsidR="00000000" w:rsidRDefault="00000000">
      <w:pPr>
        <w:rPr>
          <w:rFonts w:hint="eastAsia"/>
        </w:rPr>
      </w:pPr>
      <w:r>
        <w:rPr>
          <w:rFonts w:hint="eastAsia"/>
        </w:rPr>
        <w:tab/>
        <w:t xml:space="preserve">173.  </w:t>
      </w:r>
      <w:r>
        <w:rPr>
          <w:rFonts w:hint="eastAsia"/>
        </w:rPr>
        <w:t>由于最高行政法院已经就关于萨米人定义规定的解释问题作出了裁决，人们认为，就没有必要再修订《萨米议会法》第</w:t>
      </w:r>
      <w:r>
        <w:rPr>
          <w:rFonts w:hint="eastAsia"/>
        </w:rPr>
        <w:t>3</w:t>
      </w:r>
      <w:r>
        <w:rPr>
          <w:rFonts w:hint="eastAsia"/>
        </w:rPr>
        <w:t>节中的有关规定。根据已经申请登记为</w:t>
      </w:r>
      <w:r>
        <w:rPr>
          <w:rFonts w:hint="eastAsia"/>
        </w:rPr>
        <w:t>2003</w:t>
      </w:r>
      <w:r>
        <w:rPr>
          <w:rFonts w:hint="eastAsia"/>
        </w:rPr>
        <w:t>年萨米议会选举人的数目</w:t>
      </w:r>
      <w:r>
        <w:rPr>
          <w:rFonts w:hint="eastAsia"/>
        </w:rPr>
        <w:t>(</w:t>
      </w:r>
      <w:r>
        <w:rPr>
          <w:rFonts w:hint="eastAsia"/>
        </w:rPr>
        <w:t>大约</w:t>
      </w:r>
      <w:r>
        <w:rPr>
          <w:rFonts w:hint="eastAsia"/>
        </w:rPr>
        <w:t>50</w:t>
      </w:r>
      <w:r>
        <w:rPr>
          <w:rFonts w:hint="eastAsia"/>
        </w:rPr>
        <w:t>人</w:t>
      </w:r>
      <w:r>
        <w:rPr>
          <w:rFonts w:hint="eastAsia"/>
        </w:rPr>
        <w:t>)</w:t>
      </w:r>
      <w:r>
        <w:rPr>
          <w:rFonts w:hint="eastAsia"/>
        </w:rPr>
        <w:t>以及登记标准，人们估计，不会再出现如同第一次选举中如此众多的申诉，这也是因为通过修订法律已经简化了有关针对萨米议会裁决的上诉程序。</w:t>
      </w:r>
    </w:p>
    <w:p w:rsidR="00000000" w:rsidRDefault="00000000">
      <w:pPr>
        <w:spacing w:after="320"/>
        <w:rPr>
          <w:rFonts w:hint="eastAsia"/>
        </w:rPr>
      </w:pPr>
      <w:r>
        <w:rPr>
          <w:rFonts w:hint="eastAsia"/>
        </w:rPr>
        <w:tab/>
        <w:t xml:space="preserve">174.  </w:t>
      </w:r>
      <w:r>
        <w:rPr>
          <w:rFonts w:hint="eastAsia"/>
        </w:rPr>
        <w:t>已在上文</w:t>
      </w:r>
      <w:r>
        <w:rPr>
          <w:rFonts w:hint="eastAsia"/>
        </w:rPr>
        <w:t>E 25</w:t>
      </w:r>
      <w:r>
        <w:rPr>
          <w:rFonts w:hint="eastAsia"/>
        </w:rPr>
        <w:t>关于委员会建议的答复中讨论了有关萨米人土地所有权的问题。</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二</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禁止歧视</w:t>
      </w:r>
    </w:p>
    <w:p w:rsidR="00000000" w:rsidRDefault="00000000">
      <w:pPr>
        <w:rPr>
          <w:rFonts w:hint="eastAsia"/>
        </w:rPr>
      </w:pPr>
      <w:r>
        <w:rPr>
          <w:rFonts w:hint="eastAsia"/>
        </w:rPr>
        <w:tab/>
        <w:t xml:space="preserve">175.  </w:t>
      </w:r>
      <w:r>
        <w:rPr>
          <w:rFonts w:hint="eastAsia"/>
        </w:rPr>
        <w:t>《禁止歧视法》</w:t>
      </w:r>
      <w:r>
        <w:rPr>
          <w:rFonts w:hint="eastAsia"/>
        </w:rPr>
        <w:t>(21/2004)</w:t>
      </w:r>
      <w:r>
        <w:rPr>
          <w:rFonts w:hint="eastAsia"/>
        </w:rPr>
        <w:t>于</w:t>
      </w:r>
      <w:r>
        <w:rPr>
          <w:rFonts w:hint="eastAsia"/>
        </w:rPr>
        <w:t>2004</w:t>
      </w:r>
      <w:r>
        <w:rPr>
          <w:rFonts w:hint="eastAsia"/>
        </w:rPr>
        <w:t>年</w:t>
      </w:r>
      <w:r>
        <w:rPr>
          <w:rFonts w:hint="eastAsia"/>
        </w:rPr>
        <w:t>2</w:t>
      </w:r>
      <w:r>
        <w:rPr>
          <w:rFonts w:hint="eastAsia"/>
        </w:rPr>
        <w:t>月</w:t>
      </w:r>
      <w:r>
        <w:rPr>
          <w:rFonts w:hint="eastAsia"/>
        </w:rPr>
        <w:t>1</w:t>
      </w:r>
      <w:r>
        <w:rPr>
          <w:rFonts w:hint="eastAsia"/>
        </w:rPr>
        <w:t>日正式生效，从而实施了关于无论民族或种族一律平等对待原则的理事会指示</w:t>
      </w:r>
      <w:r>
        <w:rPr>
          <w:rFonts w:hint="eastAsia"/>
        </w:rPr>
        <w:t>(2000/43/EC)</w:t>
      </w:r>
      <w:r>
        <w:rPr>
          <w:rFonts w:hint="eastAsia"/>
        </w:rPr>
        <w:t>以及关于制定在就业和职业方面平等待遇一般性框架的理事会指示</w:t>
      </w:r>
      <w:r>
        <w:rPr>
          <w:rFonts w:hint="eastAsia"/>
        </w:rPr>
        <w:t>(2000/78/EC)</w:t>
      </w:r>
      <w:r>
        <w:rPr>
          <w:rFonts w:hint="eastAsia"/>
        </w:rPr>
        <w:t>的有关规定。这项法律的目的是要加强和确保平等并且为这项法律适用范围内的歧视受害人提供更加有效的保护。《禁止歧视法》禁止以年龄、民族或种族、国籍、语言、宗教、信仰、意见、健康、残疾和性取向、以及其他人身理由实行歧视。《禁止歧视法》还规定必须改进残疾人的就业和教育。这项法律中有关歧视的定义是广泛的，涉及直接和间接歧视。</w:t>
      </w:r>
    </w:p>
    <w:p w:rsidR="00000000" w:rsidRDefault="00000000">
      <w:pPr>
        <w:rPr>
          <w:rFonts w:hint="eastAsia"/>
        </w:rPr>
      </w:pPr>
      <w:r>
        <w:rPr>
          <w:rFonts w:hint="eastAsia"/>
        </w:rPr>
        <w:tab/>
        <w:t xml:space="preserve">176.  </w:t>
      </w:r>
      <w:r>
        <w:rPr>
          <w:rFonts w:hint="eastAsia"/>
        </w:rPr>
        <w:t>根据《禁止歧视法》第</w:t>
      </w:r>
      <w:r>
        <w:rPr>
          <w:rFonts w:hint="eastAsia"/>
        </w:rPr>
        <w:t>2</w:t>
      </w:r>
      <w:r>
        <w:rPr>
          <w:rFonts w:hint="eastAsia"/>
        </w:rPr>
        <w:t>节的规定，这项法律适用于在以下方面的公共部门和私营部门的活动：</w:t>
      </w:r>
    </w:p>
    <w:p w:rsidR="00000000" w:rsidRDefault="00000000">
      <w:pPr>
        <w:numPr>
          <w:ilvl w:val="0"/>
          <w:numId w:val="80"/>
        </w:numPr>
        <w:rPr>
          <w:rFonts w:hint="eastAsia"/>
        </w:rPr>
      </w:pPr>
      <w:r>
        <w:rPr>
          <w:rFonts w:hint="eastAsia"/>
        </w:rPr>
        <w:t>自营职业或者谋生手段的条件以及对于商业活动的支助；</w:t>
      </w:r>
    </w:p>
    <w:p w:rsidR="00000000" w:rsidRDefault="00000000">
      <w:pPr>
        <w:numPr>
          <w:ilvl w:val="0"/>
          <w:numId w:val="80"/>
        </w:numPr>
        <w:rPr>
          <w:rFonts w:hint="eastAsia"/>
        </w:rPr>
      </w:pPr>
      <w:r>
        <w:rPr>
          <w:rFonts w:hint="eastAsia"/>
        </w:rPr>
        <w:t>招聘条件，就业和工作条件、人员培训以及晋升；</w:t>
      </w:r>
    </w:p>
    <w:p w:rsidR="00000000" w:rsidRDefault="00000000">
      <w:pPr>
        <w:numPr>
          <w:ilvl w:val="0"/>
          <w:numId w:val="80"/>
        </w:numPr>
        <w:rPr>
          <w:rFonts w:hint="eastAsia"/>
        </w:rPr>
      </w:pPr>
      <w:r>
        <w:rPr>
          <w:rFonts w:hint="eastAsia"/>
        </w:rPr>
        <w:t>获得培训、其中包括高级培训和再培训和职业指导；以及</w:t>
      </w:r>
    </w:p>
    <w:p w:rsidR="00000000" w:rsidRDefault="00000000">
      <w:pPr>
        <w:numPr>
          <w:ilvl w:val="0"/>
          <w:numId w:val="80"/>
        </w:numPr>
        <w:rPr>
          <w:rFonts w:hint="eastAsia"/>
        </w:rPr>
      </w:pPr>
      <w:r>
        <w:rPr>
          <w:rFonts w:hint="eastAsia"/>
        </w:rPr>
        <w:t>参加和参与工人或者雇主的组织或者专业组织，其中包括这些组织所提供的福利。</w:t>
      </w:r>
    </w:p>
    <w:p w:rsidR="00000000" w:rsidRDefault="00000000">
      <w:pPr>
        <w:rPr>
          <w:rFonts w:hint="eastAsia"/>
        </w:rPr>
      </w:pPr>
      <w:r>
        <w:rPr>
          <w:rFonts w:hint="eastAsia"/>
        </w:rPr>
        <w:tab/>
        <w:t xml:space="preserve">177.  </w:t>
      </w:r>
      <w:r>
        <w:rPr>
          <w:rFonts w:hint="eastAsia"/>
        </w:rPr>
        <w:t>这项法律还适用于以下各方面的种族歧视：</w:t>
      </w:r>
    </w:p>
    <w:p w:rsidR="00000000" w:rsidRDefault="00000000">
      <w:pPr>
        <w:numPr>
          <w:ilvl w:val="0"/>
          <w:numId w:val="81"/>
        </w:numPr>
        <w:rPr>
          <w:rFonts w:hint="eastAsia"/>
        </w:rPr>
      </w:pPr>
      <w:r>
        <w:rPr>
          <w:rFonts w:hint="eastAsia"/>
        </w:rPr>
        <w:t>社会福利和医疗服务；</w:t>
      </w:r>
    </w:p>
    <w:p w:rsidR="00000000" w:rsidRDefault="00000000">
      <w:pPr>
        <w:numPr>
          <w:ilvl w:val="0"/>
          <w:numId w:val="81"/>
        </w:numPr>
        <w:rPr>
          <w:rFonts w:hint="eastAsia"/>
        </w:rPr>
      </w:pPr>
      <w:r>
        <w:rPr>
          <w:rFonts w:hint="eastAsia"/>
        </w:rPr>
        <w:t>社会保障福利或者社会发给的其它形式的支助、折扣或者利益；</w:t>
      </w:r>
    </w:p>
    <w:p w:rsidR="00000000" w:rsidRDefault="00000000">
      <w:pPr>
        <w:numPr>
          <w:ilvl w:val="0"/>
          <w:numId w:val="81"/>
        </w:numPr>
        <w:rPr>
          <w:rFonts w:hint="eastAsia"/>
        </w:rPr>
      </w:pPr>
      <w:r>
        <w:rPr>
          <w:rFonts w:hint="eastAsia"/>
        </w:rPr>
        <w:t>兵役、妇女自愿兵役或者非兵役服务；</w:t>
      </w:r>
    </w:p>
    <w:p w:rsidR="00000000" w:rsidRDefault="00000000">
      <w:pPr>
        <w:numPr>
          <w:ilvl w:val="0"/>
          <w:numId w:val="81"/>
        </w:numPr>
        <w:rPr>
          <w:rFonts w:hint="eastAsia"/>
        </w:rPr>
      </w:pPr>
      <w:r>
        <w:rPr>
          <w:rFonts w:hint="eastAsia"/>
        </w:rPr>
        <w:t>向一般公共提供的而非基于私人关系的住房、动产、不动产以及服务。</w:t>
      </w:r>
    </w:p>
    <w:p w:rsidR="00000000" w:rsidRDefault="00000000">
      <w:pPr>
        <w:rPr>
          <w:rFonts w:hint="eastAsia"/>
        </w:rPr>
      </w:pPr>
      <w:r>
        <w:rPr>
          <w:rFonts w:hint="eastAsia"/>
        </w:rPr>
        <w:tab/>
        <w:t xml:space="preserve">178.  </w:t>
      </w:r>
      <w:r>
        <w:rPr>
          <w:rFonts w:hint="eastAsia"/>
        </w:rPr>
        <w:t>根据《禁止歧视法》第</w:t>
      </w:r>
      <w:r>
        <w:rPr>
          <w:rFonts w:hint="eastAsia"/>
        </w:rPr>
        <w:t>3</w:t>
      </w:r>
      <w:r>
        <w:rPr>
          <w:rFonts w:hint="eastAsia"/>
        </w:rPr>
        <w:t>节的规定，这项法律不适用于：</w:t>
      </w:r>
    </w:p>
    <w:p w:rsidR="00000000" w:rsidRDefault="00000000">
      <w:pPr>
        <w:numPr>
          <w:ilvl w:val="0"/>
          <w:numId w:val="82"/>
        </w:numPr>
        <w:rPr>
          <w:rFonts w:hint="eastAsia"/>
        </w:rPr>
      </w:pPr>
      <w:r>
        <w:rPr>
          <w:rFonts w:hint="eastAsia"/>
        </w:rPr>
        <w:t>教育或者教育制度之目的或者内容；</w:t>
      </w:r>
    </w:p>
    <w:p w:rsidR="00000000" w:rsidRDefault="00000000">
      <w:pPr>
        <w:numPr>
          <w:ilvl w:val="0"/>
          <w:numId w:val="82"/>
        </w:numPr>
        <w:rPr>
          <w:rFonts w:hint="eastAsia"/>
        </w:rPr>
      </w:pPr>
      <w:r>
        <w:rPr>
          <w:rFonts w:hint="eastAsia"/>
        </w:rPr>
        <w:t>外国人申请入境和居留或者改变外国人的法定地位。</w:t>
      </w:r>
    </w:p>
    <w:p w:rsidR="00000000" w:rsidRDefault="00000000">
      <w:pPr>
        <w:rPr>
          <w:rFonts w:hint="eastAsia"/>
        </w:rPr>
      </w:pPr>
      <w:r>
        <w:rPr>
          <w:rFonts w:hint="eastAsia"/>
        </w:rPr>
        <w:tab/>
        <w:t xml:space="preserve">179.  </w:t>
      </w:r>
      <w:r>
        <w:rPr>
          <w:rFonts w:hint="eastAsia"/>
        </w:rPr>
        <w:t>根据这项法律第</w:t>
      </w:r>
      <w:r>
        <w:rPr>
          <w:rFonts w:hint="eastAsia"/>
        </w:rPr>
        <w:t>11</w:t>
      </w:r>
      <w:r>
        <w:rPr>
          <w:rFonts w:hint="eastAsia"/>
        </w:rPr>
        <w:t>节的规定，《禁止歧视法》中有关由公法管制的雇佣关系和服务关系、培训以及其它在工作场所的类似活动的条款执行情况由职业安全和卫生管理部门根据《关于监督职业安全和卫生以及就职业安全和卫生事务提出上诉的法律》</w:t>
      </w:r>
      <w:r>
        <w:rPr>
          <w:rFonts w:hint="eastAsia"/>
        </w:rPr>
        <w:t>(131/1973)</w:t>
      </w:r>
      <w:r>
        <w:rPr>
          <w:rFonts w:hint="eastAsia"/>
        </w:rPr>
        <w:t>的有关规定加以监督。禁止其他方面的种族歧视由少数人事务监察员和禁止歧视委员会共同监督。</w:t>
      </w:r>
    </w:p>
    <w:p w:rsidR="00000000" w:rsidRDefault="00000000">
      <w:pPr>
        <w:rPr>
          <w:rFonts w:hint="eastAsia"/>
        </w:rPr>
      </w:pPr>
      <w:r>
        <w:rPr>
          <w:rFonts w:hint="eastAsia"/>
        </w:rPr>
        <w:tab/>
        <w:t xml:space="preserve">180.  </w:t>
      </w:r>
      <w:r>
        <w:rPr>
          <w:rFonts w:hint="eastAsia"/>
        </w:rPr>
        <w:t>《禁止歧视法》第</w:t>
      </w:r>
      <w:r>
        <w:rPr>
          <w:rFonts w:hint="eastAsia"/>
        </w:rPr>
        <w:t>13</w:t>
      </w:r>
      <w:r>
        <w:rPr>
          <w:rFonts w:hint="eastAsia"/>
        </w:rPr>
        <w:t>节规定了国家禁止歧视委员会的职责。在有关种族歧视的事务中，如果这些事务不触及由公法管制的雇佣关系或者服务关系、培训以及其它在工作场所的类似活动，禁止歧视委员会则有权：</w:t>
      </w:r>
    </w:p>
    <w:p w:rsidR="00000000" w:rsidRDefault="00000000">
      <w:pPr>
        <w:numPr>
          <w:ilvl w:val="0"/>
          <w:numId w:val="83"/>
        </w:numPr>
        <w:rPr>
          <w:rFonts w:hint="eastAsia"/>
        </w:rPr>
      </w:pPr>
      <w:r>
        <w:rPr>
          <w:rFonts w:hint="eastAsia"/>
        </w:rPr>
        <w:t>调解解决各方争端；</w:t>
      </w:r>
    </w:p>
    <w:p w:rsidR="00000000" w:rsidRDefault="00000000">
      <w:pPr>
        <w:numPr>
          <w:ilvl w:val="0"/>
          <w:numId w:val="83"/>
        </w:numPr>
        <w:rPr>
          <w:rFonts w:hint="eastAsia"/>
        </w:rPr>
      </w:pPr>
      <w:r>
        <w:rPr>
          <w:rFonts w:hint="eastAsia"/>
        </w:rPr>
        <w:t>禁止继续或者重复违反第</w:t>
      </w:r>
      <w:r>
        <w:rPr>
          <w:rFonts w:hint="eastAsia"/>
        </w:rPr>
        <w:t>6</w:t>
      </w:r>
      <w:r>
        <w:rPr>
          <w:rFonts w:hint="eastAsia"/>
        </w:rPr>
        <w:t>节或者第</w:t>
      </w:r>
      <w:r>
        <w:rPr>
          <w:rFonts w:hint="eastAsia"/>
        </w:rPr>
        <w:t>8</w:t>
      </w:r>
      <w:r>
        <w:rPr>
          <w:rFonts w:hint="eastAsia"/>
        </w:rPr>
        <w:t>节规定的行为。</w:t>
      </w:r>
    </w:p>
    <w:p w:rsidR="00000000" w:rsidRDefault="00000000">
      <w:pPr>
        <w:rPr>
          <w:rFonts w:hint="eastAsia"/>
        </w:rPr>
      </w:pPr>
      <w:r>
        <w:rPr>
          <w:rFonts w:hint="eastAsia"/>
        </w:rPr>
        <w:tab/>
        <w:t xml:space="preserve">181.  </w:t>
      </w:r>
      <w:r>
        <w:rPr>
          <w:rFonts w:hint="eastAsia"/>
        </w:rPr>
        <w:t>为了确保执行其决定，国家禁止歧视委员会可以根据《有条件罚款法》</w:t>
      </w:r>
      <w:r>
        <w:rPr>
          <w:rFonts w:hint="eastAsia"/>
        </w:rPr>
        <w:t>(1113/1990)</w:t>
      </w:r>
      <w:r>
        <w:rPr>
          <w:rFonts w:hint="eastAsia"/>
        </w:rPr>
        <w:t>处以有条件罚款。该委员会也可就《禁止歧视法》的执行情况发表意见。禁止歧视委员会并非取代任何现有的补救办法或者上诉形式，但是为歧视的受害者提供了一种新的补救办法。</w:t>
      </w:r>
    </w:p>
    <w:p w:rsidR="00000000" w:rsidRDefault="00000000">
      <w:pPr>
        <w:rPr>
          <w:rFonts w:hint="eastAsia"/>
        </w:rPr>
      </w:pPr>
      <w:r>
        <w:rPr>
          <w:rFonts w:hint="eastAsia"/>
        </w:rPr>
        <w:tab/>
        <w:t xml:space="preserve">182.  </w:t>
      </w:r>
      <w:r>
        <w:rPr>
          <w:rFonts w:hint="eastAsia"/>
        </w:rPr>
        <w:t>《禁止歧视法》规定，所有政府机构均应制定支持种族平等的计划</w:t>
      </w:r>
      <w:r>
        <w:rPr>
          <w:rFonts w:hint="eastAsia"/>
        </w:rPr>
        <w:t>(</w:t>
      </w:r>
      <w:r>
        <w:rPr>
          <w:rFonts w:hint="eastAsia"/>
        </w:rPr>
        <w:t>平等计划</w:t>
      </w:r>
      <w:r>
        <w:rPr>
          <w:rFonts w:hint="eastAsia"/>
        </w:rPr>
        <w:t>)</w:t>
      </w:r>
      <w:r>
        <w:rPr>
          <w:rFonts w:hint="eastAsia"/>
        </w:rPr>
        <w:t>。劳工部已就国家和地方当局平等计划的内容用芬兰语、瑞典语和萨米语发出了一些一般性建议。这些平等计划必须在</w:t>
      </w:r>
      <w:r>
        <w:rPr>
          <w:rFonts w:hint="eastAsia"/>
        </w:rPr>
        <w:t>2005</w:t>
      </w:r>
      <w:r>
        <w:rPr>
          <w:rFonts w:hint="eastAsia"/>
        </w:rPr>
        <w:t>年年底以前制定完毕。在以下网址可以查阅英文版的《禁止歧视法》：</w:t>
      </w:r>
      <w:r>
        <w:t>http://www.finiex.fi/fi/laki/kaannokset/2004/</w:t>
      </w:r>
      <w:r>
        <w:rPr>
          <w:rFonts w:hint="eastAsia"/>
        </w:rPr>
        <w:t xml:space="preserve"> </w:t>
      </w:r>
      <w:r>
        <w:t>en20040021.pdf.</w:t>
      </w:r>
    </w:p>
    <w:p w:rsidR="00000000" w:rsidRDefault="00000000">
      <w:pPr>
        <w:rPr>
          <w:rFonts w:hint="eastAsia"/>
        </w:rPr>
      </w:pPr>
      <w:r>
        <w:rPr>
          <w:rFonts w:hint="eastAsia"/>
        </w:rPr>
        <w:tab/>
        <w:t xml:space="preserve">183.  </w:t>
      </w:r>
      <w:r>
        <w:rPr>
          <w:rFonts w:hint="eastAsia"/>
        </w:rPr>
        <w:t>国家残疾人理事会是社会事务和卫生部的下属机构，负责协调有关部门、残疾人及其家庭以及残疾人组织在规划、发展和执行有关残疾人的生活条件和福利的事务方面的合作。</w:t>
      </w:r>
    </w:p>
    <w:p w:rsidR="00000000" w:rsidRDefault="00000000">
      <w:pPr>
        <w:rPr>
          <w:rFonts w:hint="eastAsia"/>
        </w:rPr>
      </w:pPr>
      <w:r>
        <w:rPr>
          <w:rFonts w:hint="eastAsia"/>
        </w:rPr>
        <w:tab/>
        <w:t xml:space="preserve">184.  </w:t>
      </w:r>
      <w:r>
        <w:rPr>
          <w:rFonts w:hint="eastAsia"/>
        </w:rPr>
        <w:t>《关于向残疾人提供服务和资助措施的法律》</w:t>
      </w:r>
      <w:r>
        <w:rPr>
          <w:rFonts w:hint="eastAsia"/>
        </w:rPr>
        <w:t>(380/1987)</w:t>
      </w:r>
      <w:r>
        <w:rPr>
          <w:rFonts w:hint="eastAsia"/>
        </w:rPr>
        <w:t>致力于促进残疾人同社会其他成员一起平等生活，以及防止和消除因残疾而引起的障碍。这项法律规定，地方当局可以建立地方残疾人理事会以及加强和监测残疾人的各种重要活动。这些理事会可就涉及残疾人日常生活的各种问题采取行动以及提出建议和意见。在地方残疾人理事会中残疾人及其家人以及残疾人组织必须要有充分的代表。</w:t>
      </w:r>
    </w:p>
    <w:p w:rsidR="00000000" w:rsidRDefault="00000000">
      <w:pPr>
        <w:rPr>
          <w:rFonts w:hint="eastAsia"/>
        </w:rPr>
      </w:pPr>
      <w:r>
        <w:rPr>
          <w:rFonts w:hint="eastAsia"/>
        </w:rPr>
        <w:tab/>
        <w:t xml:space="preserve">185.  </w:t>
      </w:r>
      <w:r>
        <w:rPr>
          <w:rFonts w:hint="eastAsia"/>
        </w:rPr>
        <w:t>在上文</w:t>
      </w:r>
      <w:r>
        <w:rPr>
          <w:rFonts w:hint="eastAsia"/>
        </w:rPr>
        <w:t>D14</w:t>
      </w:r>
      <w:r>
        <w:rPr>
          <w:rFonts w:hint="eastAsia"/>
        </w:rPr>
        <w:t>有关委员会关注问题的答复中已经讨论了于</w:t>
      </w:r>
      <w:r>
        <w:rPr>
          <w:rFonts w:hint="eastAsia"/>
        </w:rPr>
        <w:t>2001</w:t>
      </w:r>
      <w:r>
        <w:rPr>
          <w:rFonts w:hint="eastAsia"/>
        </w:rPr>
        <w:t>年正式生效的新的《雇佣合同法》</w:t>
      </w:r>
      <w:r>
        <w:rPr>
          <w:rFonts w:hint="eastAsia"/>
        </w:rPr>
        <w:t>(55/2001)</w:t>
      </w:r>
      <w:r>
        <w:rPr>
          <w:rFonts w:hint="eastAsia"/>
        </w:rPr>
        <w:t>。</w:t>
      </w:r>
    </w:p>
    <w:p w:rsidR="00000000" w:rsidRDefault="00000000">
      <w:pPr>
        <w:rPr>
          <w:rFonts w:hint="eastAsia"/>
        </w:rPr>
      </w:pPr>
      <w:r>
        <w:rPr>
          <w:rFonts w:hint="eastAsia"/>
        </w:rPr>
        <w:tab/>
        <w:t xml:space="preserve">186.  </w:t>
      </w:r>
      <w:r>
        <w:rPr>
          <w:rFonts w:hint="eastAsia"/>
        </w:rPr>
        <w:t>少数人事务监察员认为，自从《禁止歧视法》于</w:t>
      </w:r>
      <w:r>
        <w:rPr>
          <w:rFonts w:hint="eastAsia"/>
        </w:rPr>
        <w:t>2004</w:t>
      </w:r>
      <w:r>
        <w:rPr>
          <w:rFonts w:hint="eastAsia"/>
        </w:rPr>
        <w:t>年</w:t>
      </w:r>
      <w:r>
        <w:rPr>
          <w:rFonts w:hint="eastAsia"/>
        </w:rPr>
        <w:t>2</w:t>
      </w:r>
      <w:r>
        <w:rPr>
          <w:rFonts w:hint="eastAsia"/>
        </w:rPr>
        <w:t>月</w:t>
      </w:r>
      <w:r>
        <w:rPr>
          <w:rFonts w:hint="eastAsia"/>
        </w:rPr>
        <w:t>1</w:t>
      </w:r>
      <w:r>
        <w:rPr>
          <w:rFonts w:hint="eastAsia"/>
        </w:rPr>
        <w:t>日正式生效以来，对于种族歧视进行干预的情况大有好转。从受害人的角度来说，《禁止歧视法》中有关共同承担举证责任以及通过法律行动寻求补偿的规定</w:t>
      </w:r>
      <w:r>
        <w:rPr>
          <w:rFonts w:hint="eastAsia"/>
        </w:rPr>
        <w:t>(</w:t>
      </w:r>
      <w:r>
        <w:rPr>
          <w:rFonts w:hint="eastAsia"/>
        </w:rPr>
        <w:t>第</w:t>
      </w:r>
      <w:r>
        <w:rPr>
          <w:rFonts w:hint="eastAsia"/>
        </w:rPr>
        <w:t>9</w:t>
      </w:r>
      <w:r>
        <w:rPr>
          <w:rFonts w:hint="eastAsia"/>
        </w:rPr>
        <w:t>节和第</w:t>
      </w:r>
      <w:r>
        <w:rPr>
          <w:rFonts w:hint="eastAsia"/>
        </w:rPr>
        <w:t>17</w:t>
      </w:r>
      <w:r>
        <w:rPr>
          <w:rFonts w:hint="eastAsia"/>
        </w:rPr>
        <w:t>节</w:t>
      </w:r>
      <w:r>
        <w:rPr>
          <w:rFonts w:hint="eastAsia"/>
        </w:rPr>
        <w:t>)</w:t>
      </w:r>
      <w:r>
        <w:rPr>
          <w:rFonts w:hint="eastAsia"/>
        </w:rPr>
        <w:t>是特别重要的。</w:t>
      </w:r>
    </w:p>
    <w:p w:rsidR="00000000" w:rsidRDefault="00000000">
      <w:pPr>
        <w:rPr>
          <w:rFonts w:hint="eastAsia"/>
        </w:rPr>
      </w:pPr>
      <w:r>
        <w:rPr>
          <w:rFonts w:hint="eastAsia"/>
        </w:rPr>
        <w:tab/>
        <w:t xml:space="preserve">187.  </w:t>
      </w:r>
      <w:r>
        <w:rPr>
          <w:rFonts w:hint="eastAsia"/>
        </w:rPr>
        <w:t>议会监察员</w:t>
      </w:r>
      <w:r>
        <w:rPr>
          <w:rFonts w:hint="eastAsia"/>
        </w:rPr>
        <w:t>2002</w:t>
      </w:r>
      <w:r>
        <w:rPr>
          <w:rFonts w:hint="eastAsia"/>
        </w:rPr>
        <w:t>年的报告提请注意针对少数人的不容忍，甚至歧视可能会导致严重违反基本权利和人权。</w:t>
      </w:r>
    </w:p>
    <w:p w:rsidR="00000000" w:rsidRDefault="00000000">
      <w:pPr>
        <w:rPr>
          <w:rFonts w:hint="eastAsia"/>
        </w:rPr>
      </w:pPr>
      <w:r>
        <w:rPr>
          <w:rFonts w:hint="eastAsia"/>
        </w:rPr>
        <w:tab/>
        <w:t xml:space="preserve">188.  </w:t>
      </w:r>
      <w:r>
        <w:rPr>
          <w:rFonts w:hint="eastAsia"/>
        </w:rPr>
        <w:t>向议会监察员提出的申诉涉及一些官员的种族主义态度或者仇外心理。议会监察员的一项决定批评地方警察说，警方向公众提供的信息给人的印象是所有的罗姆人都是罪犯。同时还提请警方注意，在提到嫌疑犯的种族时必须使用适当的语言。</w:t>
      </w:r>
    </w:p>
    <w:p w:rsidR="00000000" w:rsidRDefault="00000000">
      <w:pPr>
        <w:rPr>
          <w:rFonts w:hint="eastAsia"/>
        </w:rPr>
      </w:pPr>
      <w:r>
        <w:rPr>
          <w:rFonts w:hint="eastAsia"/>
        </w:rPr>
        <w:tab/>
        <w:t xml:space="preserve">189.  </w:t>
      </w:r>
      <w:r>
        <w:rPr>
          <w:rFonts w:hint="eastAsia"/>
        </w:rPr>
        <w:t>议会监察员在</w:t>
      </w:r>
      <w:r>
        <w:rPr>
          <w:rFonts w:hint="eastAsia"/>
        </w:rPr>
        <w:t>2004</w:t>
      </w:r>
      <w:r>
        <w:rPr>
          <w:rFonts w:hint="eastAsia"/>
        </w:rPr>
        <w:t>年开展视察的一个目的是要查明有关机构在何种程度上遵守了新的《禁止歧视法》所规定的义务。议会监察员在视察监狱和其他关闭式监所时总是特别注意罗姆人囚犯、外国人囚犯以及使用少数民族语言囚犯的地位和平等待遇问题。</w:t>
      </w:r>
    </w:p>
    <w:p w:rsidR="00000000" w:rsidRDefault="00000000">
      <w:pPr>
        <w:rPr>
          <w:rFonts w:hint="eastAsia"/>
        </w:rPr>
      </w:pPr>
      <w:r>
        <w:rPr>
          <w:rFonts w:hint="eastAsia"/>
        </w:rPr>
        <w:tab/>
        <w:t xml:space="preserve">190.  </w:t>
      </w:r>
      <w:r>
        <w:rPr>
          <w:rFonts w:hint="eastAsia"/>
        </w:rPr>
        <w:t>根据议会监察员的报告，为了确保残疾人的平等，也应注意严重残疾人的交通服务问题。地方当局必须确保这些人实际上能够享用适当的交通服务。</w:t>
      </w:r>
    </w:p>
    <w:p w:rsidR="00000000" w:rsidRDefault="00000000">
      <w:pPr>
        <w:rPr>
          <w:rFonts w:hint="eastAsia"/>
        </w:rPr>
      </w:pPr>
      <w:r>
        <w:rPr>
          <w:rFonts w:hint="eastAsia"/>
        </w:rPr>
        <w:tab/>
        <w:t xml:space="preserve">191.  </w:t>
      </w:r>
      <w:r>
        <w:rPr>
          <w:rFonts w:hint="eastAsia"/>
        </w:rPr>
        <w:t>议会监察员在一项决定中指出，一个地方当局有关残疾人卫生设备的指示是同禁止年龄歧视的宪法规定相冲突的。因为这些指示不给那些需要有关卫生设备的</w:t>
      </w:r>
      <w:r>
        <w:rPr>
          <w:rFonts w:hint="eastAsia"/>
        </w:rPr>
        <w:t>18</w:t>
      </w:r>
      <w:r>
        <w:rPr>
          <w:rFonts w:hint="eastAsia"/>
        </w:rPr>
        <w:t>岁以上的病人以康复机会，而且该地方当局也没有就有关的年龄标准提出任何可以接受的理由。</w:t>
      </w:r>
    </w:p>
    <w:p w:rsidR="00000000" w:rsidRDefault="00000000">
      <w:pPr>
        <w:rPr>
          <w:rFonts w:hint="eastAsia"/>
        </w:rPr>
      </w:pPr>
      <w:r>
        <w:rPr>
          <w:rFonts w:hint="eastAsia"/>
        </w:rPr>
        <w:tab/>
        <w:t xml:space="preserve">192.  </w:t>
      </w:r>
      <w:r>
        <w:rPr>
          <w:rFonts w:hint="eastAsia"/>
        </w:rPr>
        <w:t>芬兰女权主义者同盟</w:t>
      </w:r>
      <w:r>
        <w:rPr>
          <w:rFonts w:hint="eastAsia"/>
        </w:rPr>
        <w:t>(U</w:t>
      </w:r>
      <w:r>
        <w:t>nioni</w:t>
      </w:r>
      <w:r>
        <w:rPr>
          <w:rFonts w:hint="eastAsia"/>
        </w:rPr>
        <w:t>)</w:t>
      </w:r>
      <w:r>
        <w:rPr>
          <w:rFonts w:hint="eastAsia"/>
        </w:rPr>
        <w:t>认为，在改变性别和性别特征问题上的歧视也应被定为性别歧视。之所以应将其定为性别歧视，是因为只是某人的外貌并不符合其正式性别的一般性认识，或是因为某人只是进行了性别调整手术。</w:t>
      </w:r>
    </w:p>
    <w:p w:rsidR="00000000" w:rsidRDefault="00000000">
      <w:pPr>
        <w:spacing w:after="320"/>
        <w:rPr>
          <w:rFonts w:hint="eastAsia"/>
        </w:rPr>
      </w:pPr>
      <w:r>
        <w:rPr>
          <w:rFonts w:hint="eastAsia"/>
        </w:rPr>
        <w:tab/>
        <w:t xml:space="preserve">193.  </w:t>
      </w:r>
      <w:r>
        <w:rPr>
          <w:rFonts w:hint="eastAsia"/>
        </w:rPr>
        <w:t>在有关</w:t>
      </w:r>
      <w:r>
        <w:rPr>
          <w:rFonts w:hint="eastAsia"/>
        </w:rPr>
        <w:t>D14</w:t>
      </w:r>
      <w:r>
        <w:rPr>
          <w:rFonts w:hint="eastAsia"/>
        </w:rPr>
        <w:t>委员会的关注问题以及</w:t>
      </w:r>
      <w:r>
        <w:rPr>
          <w:rFonts w:hint="eastAsia"/>
        </w:rPr>
        <w:t>E27</w:t>
      </w:r>
      <w:r>
        <w:rPr>
          <w:rFonts w:hint="eastAsia"/>
        </w:rPr>
        <w:t>委员会的建议的答复中也都讨论了歧视问题。</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三</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法律的修订</w:t>
      </w:r>
    </w:p>
    <w:p w:rsidR="00000000" w:rsidRDefault="00000000">
      <w:pPr>
        <w:rPr>
          <w:rFonts w:hint="eastAsia"/>
        </w:rPr>
      </w:pPr>
      <w:r>
        <w:rPr>
          <w:rFonts w:hint="eastAsia"/>
        </w:rPr>
        <w:tab/>
        <w:t xml:space="preserve">194.  </w:t>
      </w:r>
      <w:r>
        <w:rPr>
          <w:rFonts w:hint="eastAsia"/>
        </w:rPr>
        <w:t>于</w:t>
      </w:r>
      <w:r>
        <w:rPr>
          <w:rFonts w:hint="eastAsia"/>
        </w:rPr>
        <w:t>2005</w:t>
      </w:r>
      <w:r>
        <w:rPr>
          <w:rFonts w:hint="eastAsia"/>
        </w:rPr>
        <w:t>年</w:t>
      </w:r>
      <w:r>
        <w:rPr>
          <w:rFonts w:hint="eastAsia"/>
        </w:rPr>
        <w:t>6</w:t>
      </w:r>
      <w:r>
        <w:rPr>
          <w:rFonts w:hint="eastAsia"/>
        </w:rPr>
        <w:t>月</w:t>
      </w:r>
      <w:r>
        <w:rPr>
          <w:rFonts w:hint="eastAsia"/>
        </w:rPr>
        <w:t>1</w:t>
      </w:r>
      <w:r>
        <w:rPr>
          <w:rFonts w:hint="eastAsia"/>
        </w:rPr>
        <w:t>日正式生效的一些规定</w:t>
      </w:r>
      <w:r>
        <w:rPr>
          <w:rFonts w:hint="eastAsia"/>
        </w:rPr>
        <w:t>(</w:t>
      </w:r>
      <w:r>
        <w:rPr>
          <w:rFonts w:hint="eastAsia"/>
        </w:rPr>
        <w:t>第</w:t>
      </w:r>
      <w:r>
        <w:rPr>
          <w:rFonts w:hint="eastAsia"/>
        </w:rPr>
        <w:t>232/2005</w:t>
      </w:r>
      <w:r>
        <w:rPr>
          <w:rFonts w:hint="eastAsia"/>
        </w:rPr>
        <w:t>号法</w:t>
      </w:r>
      <w:r>
        <w:rPr>
          <w:rFonts w:hint="eastAsia"/>
        </w:rPr>
        <w:t>)</w:t>
      </w:r>
      <w:r>
        <w:rPr>
          <w:rFonts w:hint="eastAsia"/>
        </w:rPr>
        <w:t>改革了《男女平等法》</w:t>
      </w:r>
      <w:r>
        <w:rPr>
          <w:rFonts w:hint="eastAsia"/>
        </w:rPr>
        <w:t>(609/1986</w:t>
      </w:r>
      <w:r>
        <w:rPr>
          <w:rFonts w:hint="eastAsia"/>
        </w:rPr>
        <w:t>；《平等法》</w:t>
      </w:r>
      <w:r>
        <w:rPr>
          <w:rFonts w:hint="eastAsia"/>
        </w:rPr>
        <w:t>)</w:t>
      </w:r>
      <w:r>
        <w:rPr>
          <w:rFonts w:hint="eastAsia"/>
        </w:rPr>
        <w:t>。改革之目的是要修订和补充《平等法》，使它符合共同体法的标准以及欧洲共同体法院的判例法。改革也消除了《男女平等法》执行过程中所出现的问题和缺点。改革的一个目标是要澄清政府和雇主在加强平等方面的义务，同时使得这项法律中有关禁止工作歧视的规定更加明确。与此同时，对于《平等法》的修订也执行了有关制定在就业和职业方面平等待遇的一般性框架的理事会指示</w:t>
      </w:r>
      <w:r>
        <w:rPr>
          <w:rFonts w:hint="eastAsia"/>
        </w:rPr>
        <w:t>(2000/78/EC)</w:t>
      </w:r>
      <w:r>
        <w:rPr>
          <w:rFonts w:hint="eastAsia"/>
        </w:rPr>
        <w:t>。</w:t>
      </w:r>
    </w:p>
    <w:p w:rsidR="00000000" w:rsidRDefault="00000000">
      <w:pPr>
        <w:rPr>
          <w:rFonts w:hint="eastAsia"/>
        </w:rPr>
      </w:pPr>
      <w:r>
        <w:rPr>
          <w:rFonts w:hint="eastAsia"/>
        </w:rPr>
        <w:tab/>
        <w:t xml:space="preserve">195.  </w:t>
      </w:r>
      <w:r>
        <w:rPr>
          <w:rFonts w:hint="eastAsia"/>
        </w:rPr>
        <w:t>涉及雇主的最重要的改变是《平等法》所规定的平等计划的最低内容。《平等法》规定，新的平等计划必须说明在工作场所的事实上的平等，其中包括在不同岗位上的男女工人的人数、职务、工资以及工资差别的分类、为加强平等而采取的措施以及对于以前的措施及其成效的评估。凡是雇佣</w:t>
      </w:r>
      <w:r>
        <w:rPr>
          <w:rFonts w:hint="eastAsia"/>
        </w:rPr>
        <w:t>30</w:t>
      </w:r>
      <w:r>
        <w:rPr>
          <w:rFonts w:hint="eastAsia"/>
        </w:rPr>
        <w:t>名以上职工的雇主必须制定平等计划。</w:t>
      </w:r>
    </w:p>
    <w:p w:rsidR="00000000" w:rsidRDefault="00000000">
      <w:pPr>
        <w:rPr>
          <w:rFonts w:hint="eastAsia"/>
        </w:rPr>
      </w:pPr>
      <w:r>
        <w:rPr>
          <w:rFonts w:hint="eastAsia"/>
        </w:rPr>
        <w:tab/>
        <w:t xml:space="preserve">196.  </w:t>
      </w:r>
      <w:r>
        <w:rPr>
          <w:rFonts w:hint="eastAsia"/>
        </w:rPr>
        <w:t>有关政府机构在加强平等方面一般性义务的规定已经变得更加明确。政府机构必须在其所有具有明确目标的活动中根据平等计划加强男女平等，同时必须确立在行政以及其他方面的惯例，以便确保在筹备工作和决策过程中加强平等。在计划和提供服务时也必须考虑到加强平等的问题。</w:t>
      </w:r>
    </w:p>
    <w:p w:rsidR="00000000" w:rsidRDefault="00000000">
      <w:pPr>
        <w:widowControl w:val="0"/>
        <w:rPr>
          <w:rFonts w:hint="eastAsia"/>
        </w:rPr>
      </w:pPr>
      <w:r>
        <w:rPr>
          <w:rFonts w:hint="eastAsia"/>
        </w:rPr>
        <w:tab/>
        <w:t xml:space="preserve">197.  </w:t>
      </w:r>
      <w:r>
        <w:rPr>
          <w:rFonts w:hint="eastAsia"/>
        </w:rPr>
        <w:t>《平等法》规定，在所有国家和地方的集体机构中必须要有适当的男女比例</w:t>
      </w:r>
      <w:r>
        <w:rPr>
          <w:rFonts w:hint="eastAsia"/>
        </w:rPr>
        <w:t>(</w:t>
      </w:r>
      <w:r>
        <w:rPr>
          <w:rFonts w:hint="eastAsia"/>
        </w:rPr>
        <w:t>至少占</w:t>
      </w:r>
      <w:r>
        <w:rPr>
          <w:rFonts w:hint="eastAsia"/>
        </w:rPr>
        <w:t>40%)</w:t>
      </w:r>
      <w:r>
        <w:rPr>
          <w:rFonts w:hint="eastAsia"/>
        </w:rPr>
        <w:t>，这条规定也适用于一些城市所建立的联合集体机构。这种联合集体机构至少包括《地方当局法》第</w:t>
      </w:r>
      <w:r>
        <w:rPr>
          <w:rFonts w:hint="eastAsia"/>
        </w:rPr>
        <w:t>17</w:t>
      </w:r>
      <w:r>
        <w:rPr>
          <w:rFonts w:hint="eastAsia"/>
        </w:rPr>
        <w:t>条所指的市级机构。</w:t>
      </w:r>
    </w:p>
    <w:p w:rsidR="00000000" w:rsidRDefault="00000000">
      <w:pPr>
        <w:rPr>
          <w:rFonts w:hint="eastAsia"/>
        </w:rPr>
      </w:pPr>
      <w:r>
        <w:rPr>
          <w:rFonts w:hint="eastAsia"/>
        </w:rPr>
        <w:tab/>
        <w:t xml:space="preserve">198.  </w:t>
      </w:r>
      <w:r>
        <w:rPr>
          <w:rFonts w:hint="eastAsia"/>
        </w:rPr>
        <w:t>经修改的《平等法》还具体规定，教育部门和其他教育提供者有责任加强男女平等。教育部门也必须制定平等计划。涉及教育部门和其他教育提供者的其他新的规定包括：界定教育单位中的性别歧视和性骚扰；规定在学生提出要求时，教育部门有义务向该学生提供采取有关措施的解释，这条规定同涉及雇主的规定相适。这些规定不适用于《基本教育法》</w:t>
      </w:r>
      <w:r>
        <w:rPr>
          <w:rFonts w:hint="eastAsia"/>
        </w:rPr>
        <w:t>(628/1998</w:t>
      </w:r>
      <w:r>
        <w:rPr>
          <w:rFonts w:hint="eastAsia"/>
        </w:rPr>
        <w:t>；适用于全面学校教育</w:t>
      </w:r>
      <w:r>
        <w:rPr>
          <w:rFonts w:hint="eastAsia"/>
        </w:rPr>
        <w:t>)</w:t>
      </w:r>
      <w:r>
        <w:rPr>
          <w:rFonts w:hint="eastAsia"/>
        </w:rPr>
        <w:t>中所指的教育提供者或者学校。与此相反，在提供基本教育时也必须考虑到适用于地方当局和市级联合管理委员会的《平等法》的规定。</w:t>
      </w:r>
    </w:p>
    <w:p w:rsidR="00000000" w:rsidRDefault="00000000">
      <w:pPr>
        <w:spacing w:after="320"/>
        <w:rPr>
          <w:rFonts w:hint="eastAsia"/>
        </w:rPr>
      </w:pPr>
      <w:r>
        <w:rPr>
          <w:rFonts w:hint="eastAsia"/>
        </w:rPr>
        <w:tab/>
        <w:t xml:space="preserve">199.  </w:t>
      </w:r>
      <w:r>
        <w:rPr>
          <w:rFonts w:hint="eastAsia"/>
        </w:rPr>
        <w:t>《平等法》曾经规定了违反歧视禁令赔偿金额的上限，但是这种上限现在已经取消。更加严格的有关制裁的规定有利于平等计划目标的实现。芬兰全国妇女理事会以及芬兰女权主义者同盟指出，只有</w:t>
      </w:r>
      <w:r>
        <w:rPr>
          <w:rFonts w:hint="eastAsia"/>
        </w:rPr>
        <w:t>27%</w:t>
      </w:r>
      <w:r>
        <w:rPr>
          <w:rFonts w:hint="eastAsia"/>
        </w:rPr>
        <w:t>的私营部门公司和</w:t>
      </w:r>
      <w:r>
        <w:rPr>
          <w:rFonts w:hint="eastAsia"/>
        </w:rPr>
        <w:t>25%</w:t>
      </w:r>
      <w:r>
        <w:rPr>
          <w:rFonts w:hint="eastAsia"/>
        </w:rPr>
        <w:t>的地方当局按照《平等法》的规定制定了平等计划。</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 xml:space="preserve">.  </w:t>
      </w:r>
      <w:r>
        <w:rPr>
          <w:rFonts w:ascii="Time New Roman" w:eastAsia="SimHei" w:hAnsi="Time New Roman" w:hint="eastAsia"/>
          <w:u w:val="none"/>
        </w:rPr>
        <w:t>平等方针</w:t>
      </w:r>
    </w:p>
    <w:p w:rsidR="00000000" w:rsidRDefault="00000000">
      <w:pPr>
        <w:rPr>
          <w:rFonts w:hint="eastAsia"/>
        </w:rPr>
      </w:pPr>
      <w:r>
        <w:rPr>
          <w:rFonts w:hint="eastAsia"/>
        </w:rPr>
        <w:tab/>
        <w:t xml:space="preserve">200.  </w:t>
      </w:r>
      <w:r>
        <w:rPr>
          <w:rFonts w:hint="eastAsia"/>
        </w:rPr>
        <w:t>政府</w:t>
      </w:r>
      <w:r>
        <w:rPr>
          <w:rFonts w:hint="eastAsia"/>
        </w:rPr>
        <w:t>2004</w:t>
      </w:r>
      <w:r>
        <w:rPr>
          <w:rFonts w:hint="eastAsia"/>
        </w:rPr>
        <w:t>年至</w:t>
      </w:r>
      <w:r>
        <w:rPr>
          <w:rFonts w:hint="eastAsia"/>
        </w:rPr>
        <w:t>2007</w:t>
      </w:r>
      <w:r>
        <w:rPr>
          <w:rFonts w:hint="eastAsia"/>
        </w:rPr>
        <w:t>年的平等方案。根据政府的政治纲领，加强男女平等是整个政府的责任。政府已经拟定了</w:t>
      </w:r>
      <w:r>
        <w:rPr>
          <w:rFonts w:hint="eastAsia"/>
        </w:rPr>
        <w:t>2004</w:t>
      </w:r>
      <w:r>
        <w:rPr>
          <w:rFonts w:hint="eastAsia"/>
        </w:rPr>
        <w:t>年至</w:t>
      </w:r>
      <w:r>
        <w:rPr>
          <w:rFonts w:hint="eastAsia"/>
        </w:rPr>
        <w:t>2007</w:t>
      </w:r>
      <w:r>
        <w:rPr>
          <w:rFonts w:hint="eastAsia"/>
        </w:rPr>
        <w:t>年的平等方案。这个方案同时执行了联合国</w:t>
      </w:r>
      <w:r>
        <w:rPr>
          <w:rFonts w:hint="eastAsia"/>
        </w:rPr>
        <w:t>1995</w:t>
      </w:r>
      <w:r>
        <w:rPr>
          <w:rFonts w:hint="eastAsia"/>
        </w:rPr>
        <w:t>年第四次妇女问题世界会议所通过的《北京宣言》和《行动纲领》。政府的平等方案特别强调在工作方面的平等。</w:t>
      </w:r>
    </w:p>
    <w:p w:rsidR="00000000" w:rsidRDefault="00000000">
      <w:pPr>
        <w:rPr>
          <w:rFonts w:hint="eastAsia"/>
        </w:rPr>
      </w:pPr>
      <w:r>
        <w:rPr>
          <w:rFonts w:hint="eastAsia"/>
        </w:rPr>
        <w:tab/>
        <w:t xml:space="preserve">201.  </w:t>
      </w:r>
      <w:r>
        <w:rPr>
          <w:rFonts w:hint="eastAsia"/>
        </w:rPr>
        <w:t>这个方案是各部委合作拟定的，方案的基础是实现政府政治纲领中各个有关平等的目标。方案包括了立法项目、教育和发展项目、报告以及其他措施。各部委合作实施的最广泛的项目是将男女平等纳入主流。方案中的其他大型项目包括：加强工作方面的平等以及预防针对妇女的暴力和性伙伴暴力。</w:t>
      </w:r>
    </w:p>
    <w:p w:rsidR="00000000" w:rsidRDefault="00000000">
      <w:pPr>
        <w:rPr>
          <w:rFonts w:hint="eastAsia"/>
        </w:rPr>
      </w:pPr>
      <w:r>
        <w:rPr>
          <w:rFonts w:hint="eastAsia"/>
        </w:rPr>
        <w:tab/>
        <w:t xml:space="preserve">202.  </w:t>
      </w:r>
      <w:r>
        <w:rPr>
          <w:rFonts w:hint="eastAsia"/>
        </w:rPr>
        <w:t>人们在这个方案中注意到，政府计划同工会合作，通过一项长期的方案来加强同工同酬。其目的是要取消毫无道理的男女工资差距。</w:t>
      </w:r>
    </w:p>
    <w:p w:rsidR="00000000" w:rsidRDefault="00000000">
      <w:pPr>
        <w:widowControl w:val="0"/>
        <w:rPr>
          <w:rFonts w:hint="eastAsia"/>
        </w:rPr>
      </w:pPr>
      <w:r>
        <w:rPr>
          <w:rFonts w:hint="eastAsia"/>
        </w:rPr>
        <w:tab/>
        <w:t xml:space="preserve">203.  </w:t>
      </w:r>
      <w:r>
        <w:rPr>
          <w:rFonts w:hint="eastAsia"/>
        </w:rPr>
        <w:t>鼓励男子使用探亲假，同时允许雇主将因这种假期而引起的开支摊入成本。政府通过提供日托以及其他公共服务项目方便妇女参加工作和开展商业活动。单独计税、以就业为基础的工人和自营职业者的社会保障以及向创业妇女发放的贷款等措施都鼓励妇女进入劳工市场。</w:t>
      </w:r>
    </w:p>
    <w:p w:rsidR="00000000" w:rsidRDefault="00000000">
      <w:pPr>
        <w:rPr>
          <w:rFonts w:hint="eastAsia"/>
        </w:rPr>
      </w:pPr>
      <w:r>
        <w:rPr>
          <w:rFonts w:hint="eastAsia"/>
        </w:rPr>
        <w:tab/>
        <w:t xml:space="preserve">204.  </w:t>
      </w:r>
      <w:r>
        <w:rPr>
          <w:rFonts w:hint="eastAsia"/>
        </w:rPr>
        <w:t>纳入主流。将男女平等纳入主流的目标是要发展这种行政和其他方面的做法，使得加强平等成为各部委和其它政府机构所有活动的一部分。这样的纳入主流对于整个社会都有深远的影响。必须评估各部委的决定对于男子和妇女以及男女平等的影响。纳入主流的目的是要破坏那些不分性别的或者不考虑男女差别的做法和经营文化。</w:t>
      </w:r>
    </w:p>
    <w:p w:rsidR="00000000" w:rsidRDefault="00000000">
      <w:pPr>
        <w:rPr>
          <w:rFonts w:hint="eastAsia"/>
        </w:rPr>
      </w:pPr>
      <w:r>
        <w:rPr>
          <w:rFonts w:hint="eastAsia"/>
        </w:rPr>
        <w:tab/>
        <w:t xml:space="preserve">205.  </w:t>
      </w:r>
      <w:r>
        <w:rPr>
          <w:rFonts w:hint="eastAsia"/>
        </w:rPr>
        <w:t>纳入主流旨在促使官员将性别观点纳入其决策考虑。其目的是要使得官员更加认识到其决定对于男女平等的影响。在各个行政部门平等问题可能有很大差别。因此，所有行政部门都必须查明和考虑同本部门有关的平等问题。社会事务和卫生部从</w:t>
      </w:r>
      <w:r>
        <w:rPr>
          <w:rFonts w:hint="eastAsia"/>
        </w:rPr>
        <w:t>2002</w:t>
      </w:r>
      <w:r>
        <w:rPr>
          <w:rFonts w:hint="eastAsia"/>
        </w:rPr>
        <w:t>年以来就制定了纳入主流项目。其他的一些部委也有自己的有关将平等问题纳入主流的项目。社会事务和卫生部实验项目的经验被用来为全国行政部门制定将平等问题纳入主流的模式。</w:t>
      </w:r>
    </w:p>
    <w:p w:rsidR="00000000" w:rsidRDefault="00000000">
      <w:pPr>
        <w:rPr>
          <w:rFonts w:hint="eastAsia"/>
        </w:rPr>
      </w:pPr>
      <w:r>
        <w:rPr>
          <w:rFonts w:hint="eastAsia"/>
        </w:rPr>
        <w:tab/>
        <w:t xml:space="preserve">206.  </w:t>
      </w:r>
      <w:r>
        <w:rPr>
          <w:rFonts w:hint="eastAsia"/>
        </w:rPr>
        <w:t>除其它外，已经通过以下措施实施了纳入主流的原则：</w:t>
      </w:r>
    </w:p>
    <w:p w:rsidR="00000000" w:rsidRDefault="00000000">
      <w:pPr>
        <w:numPr>
          <w:ilvl w:val="0"/>
          <w:numId w:val="84"/>
        </w:numPr>
        <w:rPr>
          <w:rFonts w:hint="eastAsia"/>
        </w:rPr>
      </w:pPr>
      <w:r>
        <w:rPr>
          <w:rFonts w:hint="eastAsia"/>
        </w:rPr>
        <w:t>培训和编制信息</w:t>
      </w:r>
    </w:p>
    <w:p w:rsidR="00000000" w:rsidRDefault="00000000">
      <w:pPr>
        <w:pStyle w:val="a0"/>
        <w:tabs>
          <w:tab w:val="num" w:pos="2070"/>
        </w:tabs>
        <w:ind w:left="2070"/>
        <w:rPr>
          <w:rFonts w:hint="eastAsia"/>
        </w:rPr>
      </w:pPr>
      <w:r>
        <w:rPr>
          <w:rFonts w:hint="eastAsia"/>
        </w:rPr>
        <w:t>从</w:t>
      </w:r>
      <w:r>
        <w:rPr>
          <w:rFonts w:hint="eastAsia"/>
        </w:rPr>
        <w:t>2004</w:t>
      </w:r>
      <w:r>
        <w:rPr>
          <w:rFonts w:hint="eastAsia"/>
        </w:rPr>
        <w:t>年以来，各部委已经在将平等问题纳入主流和性别影响评估两方面共同举办了培训。</w:t>
      </w:r>
    </w:p>
    <w:p w:rsidR="00000000" w:rsidRDefault="00000000">
      <w:pPr>
        <w:pStyle w:val="a0"/>
        <w:tabs>
          <w:tab w:val="num" w:pos="2070"/>
        </w:tabs>
        <w:ind w:left="2070"/>
        <w:rPr>
          <w:rFonts w:hint="eastAsia"/>
        </w:rPr>
      </w:pPr>
      <w:r>
        <w:rPr>
          <w:rFonts w:hint="eastAsia"/>
        </w:rPr>
        <w:t>各部委的内部培训方案将包括平等观点。其目的是要将平等观点纳入到</w:t>
      </w:r>
      <w:r>
        <w:rPr>
          <w:rFonts w:hint="eastAsia"/>
        </w:rPr>
        <w:t>2007</w:t>
      </w:r>
      <w:r>
        <w:rPr>
          <w:rFonts w:hint="eastAsia"/>
        </w:rPr>
        <w:t>年的培训方案。</w:t>
      </w:r>
    </w:p>
    <w:p w:rsidR="00000000" w:rsidRDefault="00000000">
      <w:pPr>
        <w:pStyle w:val="a0"/>
        <w:tabs>
          <w:tab w:val="num" w:pos="2070"/>
        </w:tabs>
        <w:ind w:left="2070"/>
        <w:rPr>
          <w:rFonts w:hint="eastAsia"/>
        </w:rPr>
      </w:pPr>
      <w:r>
        <w:rPr>
          <w:rFonts w:hint="eastAsia"/>
        </w:rPr>
        <w:t>社会事务和卫生部将为国家官员编写有关性别影响评估的手册。</w:t>
      </w:r>
    </w:p>
    <w:p w:rsidR="00000000" w:rsidRDefault="00000000">
      <w:pPr>
        <w:pStyle w:val="a0"/>
        <w:tabs>
          <w:tab w:val="num" w:pos="2070"/>
        </w:tabs>
        <w:ind w:left="2070"/>
        <w:rPr>
          <w:rFonts w:hint="eastAsia"/>
        </w:rPr>
      </w:pPr>
      <w:r>
        <w:rPr>
          <w:rFonts w:hint="eastAsia"/>
        </w:rPr>
        <w:t>为了支持将平等观点纳入主流，芬兰已经建立了一个有关平等和女权主义者研究信息的互联网门户。这是芬兰第一个侧重于平等问题的数据库。</w:t>
      </w:r>
    </w:p>
    <w:p w:rsidR="00000000" w:rsidRDefault="00000000">
      <w:pPr>
        <w:pStyle w:val="a0"/>
        <w:tabs>
          <w:tab w:val="num" w:pos="2070"/>
        </w:tabs>
        <w:ind w:left="2070"/>
        <w:rPr>
          <w:rFonts w:hint="eastAsia"/>
        </w:rPr>
      </w:pPr>
      <w:r>
        <w:rPr>
          <w:rFonts w:hint="eastAsia"/>
        </w:rPr>
        <w:t>平等气压计每三年编制一次有关公民在平等问题上的态度、期望和意见的信息。</w:t>
      </w:r>
    </w:p>
    <w:p w:rsidR="00000000" w:rsidRDefault="00000000">
      <w:pPr>
        <w:pStyle w:val="a0"/>
        <w:tabs>
          <w:tab w:val="num" w:pos="2070"/>
        </w:tabs>
        <w:ind w:left="2070"/>
        <w:rPr>
          <w:rFonts w:hint="eastAsia"/>
        </w:rPr>
      </w:pPr>
      <w:r>
        <w:rPr>
          <w:rFonts w:hint="eastAsia"/>
        </w:rPr>
        <w:t>地方当局建立的一个向所有人开放的数据库，提供有关性别问题的信息。</w:t>
      </w:r>
    </w:p>
    <w:p w:rsidR="00000000" w:rsidRDefault="00000000">
      <w:pPr>
        <w:numPr>
          <w:ilvl w:val="0"/>
          <w:numId w:val="84"/>
        </w:numPr>
        <w:rPr>
          <w:rFonts w:hint="eastAsia"/>
        </w:rPr>
      </w:pPr>
      <w:r>
        <w:rPr>
          <w:rFonts w:hint="eastAsia"/>
        </w:rPr>
        <w:t>立法中的性别影响评估。</w:t>
      </w:r>
    </w:p>
    <w:p w:rsidR="00000000" w:rsidRDefault="00000000">
      <w:pPr>
        <w:widowControl w:val="0"/>
        <w:ind w:left="1559"/>
        <w:rPr>
          <w:rFonts w:hint="eastAsia"/>
        </w:rPr>
      </w:pPr>
      <w:r>
        <w:rPr>
          <w:rFonts w:hint="eastAsia"/>
        </w:rPr>
        <w:tab/>
      </w:r>
      <w:r>
        <w:rPr>
          <w:rFonts w:hint="eastAsia"/>
        </w:rPr>
        <w:t>在</w:t>
      </w:r>
      <w:r>
        <w:rPr>
          <w:rFonts w:hint="eastAsia"/>
        </w:rPr>
        <w:t>2004</w:t>
      </w:r>
      <w:r>
        <w:rPr>
          <w:rFonts w:hint="eastAsia"/>
        </w:rPr>
        <w:t>年经过修订的有关起草政府法案的指示包括了关于性别影响评估的指示。其目的是要在</w:t>
      </w:r>
      <w:r>
        <w:rPr>
          <w:rFonts w:hint="eastAsia"/>
        </w:rPr>
        <w:t>2006</w:t>
      </w:r>
      <w:r>
        <w:rPr>
          <w:rFonts w:hint="eastAsia"/>
        </w:rPr>
        <w:t>年以前审议在所有新的立法项目中进行性别影响评估的必要性，如果有此必要，将在有关的政府法案中开展性别影响评估。</w:t>
      </w:r>
    </w:p>
    <w:p w:rsidR="00000000" w:rsidRDefault="00000000">
      <w:pPr>
        <w:numPr>
          <w:ilvl w:val="0"/>
          <w:numId w:val="84"/>
        </w:numPr>
        <w:rPr>
          <w:rFonts w:hint="eastAsia"/>
        </w:rPr>
      </w:pPr>
      <w:r>
        <w:rPr>
          <w:rFonts w:hint="eastAsia"/>
        </w:rPr>
        <w:t>预算的性别影响评估</w:t>
      </w:r>
    </w:p>
    <w:p w:rsidR="00000000" w:rsidRDefault="00000000">
      <w:pPr>
        <w:ind w:left="1560"/>
        <w:rPr>
          <w:rFonts w:hint="eastAsia"/>
        </w:rPr>
      </w:pPr>
      <w:r>
        <w:rPr>
          <w:rFonts w:hint="eastAsia"/>
        </w:rPr>
        <w:tab/>
      </w:r>
      <w:r>
        <w:rPr>
          <w:rFonts w:hint="eastAsia"/>
        </w:rPr>
        <w:t>在社会事务和卫生部于</w:t>
      </w:r>
      <w:r>
        <w:rPr>
          <w:rFonts w:hint="eastAsia"/>
        </w:rPr>
        <w:t>2004</w:t>
      </w:r>
      <w:r>
        <w:rPr>
          <w:rFonts w:hint="eastAsia"/>
        </w:rPr>
        <w:t>年发起的实验项目中，国家经济研究中心对有关部门的国家预算进行了性别影响评估，分析了预算的各个部分及其对男女平等的直接和间接影响。这个项目是北欧部长理事会提出的有关预算性别影响评估的一个更大项目的一部分。在</w:t>
      </w:r>
      <w:r>
        <w:rPr>
          <w:rFonts w:hint="eastAsia"/>
        </w:rPr>
        <w:t>2005</w:t>
      </w:r>
      <w:r>
        <w:rPr>
          <w:rFonts w:hint="eastAsia"/>
        </w:rPr>
        <w:t>年，社会事务和卫生部以及财政部计划根据上述实验项目所取得的信息，进一步发展性别影响评估，以便依据将性别观点考虑在内的新的指示，编制</w:t>
      </w:r>
      <w:r>
        <w:rPr>
          <w:rFonts w:hint="eastAsia"/>
        </w:rPr>
        <w:t>2008</w:t>
      </w:r>
      <w:r>
        <w:rPr>
          <w:rFonts w:hint="eastAsia"/>
        </w:rPr>
        <w:t>年的国家预算。</w:t>
      </w:r>
    </w:p>
    <w:p w:rsidR="00000000" w:rsidRDefault="00000000">
      <w:pPr>
        <w:rPr>
          <w:rFonts w:hint="eastAsia"/>
          <w:spacing w:val="6"/>
        </w:rPr>
      </w:pPr>
      <w:r>
        <w:rPr>
          <w:rFonts w:hint="eastAsia"/>
        </w:rPr>
        <w:tab/>
        <w:t xml:space="preserve">207.  </w:t>
      </w:r>
      <w:r>
        <w:rPr>
          <w:rFonts w:hint="eastAsia"/>
          <w:spacing w:val="6"/>
        </w:rPr>
        <w:t>教育部下属运动司一直在拟定措施，以便加强在运动领域中的男女平等。从</w:t>
      </w:r>
      <w:r>
        <w:rPr>
          <w:rFonts w:hint="eastAsia"/>
          <w:spacing w:val="6"/>
        </w:rPr>
        <w:t>1990</w:t>
      </w:r>
      <w:r>
        <w:rPr>
          <w:rFonts w:hint="eastAsia"/>
          <w:spacing w:val="6"/>
        </w:rPr>
        <w:t>代中期教育部所成立的一个工作组提出了一份加强平等的行动计划以来，平等一直是这个领域中的一个目标。虽然，部分由于教育部的指导，长期以来一直在运动领域中致力于平等，但是作为政府措施的性别影响评估是一种加强平等的新的尝试。</w:t>
      </w:r>
    </w:p>
    <w:p w:rsidR="00000000" w:rsidRDefault="00000000">
      <w:pPr>
        <w:rPr>
          <w:rFonts w:hint="eastAsia"/>
        </w:rPr>
      </w:pPr>
      <w:r>
        <w:rPr>
          <w:rFonts w:hint="eastAsia"/>
        </w:rPr>
        <w:tab/>
        <w:t xml:space="preserve">208.  </w:t>
      </w:r>
      <w:r>
        <w:rPr>
          <w:rFonts w:hint="eastAsia"/>
        </w:rPr>
        <w:t>教育部成立了一个工作组，并且建议将性别影响评估应用于国家运动预算的所有有关部分，其中包括：运动组织的经费、运动设施的建造、地方政府的运动部门、运动研究所和运动科学、青年方案以及健康人生项目。在这一方面，由教育部提供国家补助以及通过调拨资源和提供信息来加强平等是十分重要的。</w:t>
      </w:r>
    </w:p>
    <w:p w:rsidR="00000000" w:rsidRDefault="00000000">
      <w:pPr>
        <w:rPr>
          <w:rFonts w:hint="eastAsia"/>
        </w:rPr>
      </w:pPr>
      <w:r>
        <w:rPr>
          <w:rFonts w:hint="eastAsia"/>
        </w:rPr>
        <w:tab/>
        <w:t xml:space="preserve">209.  </w:t>
      </w:r>
      <w:r>
        <w:rPr>
          <w:rFonts w:hint="eastAsia"/>
        </w:rPr>
        <w:t>残疾人协会和妇女组织认为，在评估《平等法》的执行情况时必须重视包括残疾妇女在内的处于少数人地位的妇女享有平等，以及加强她们的平等。没有关于残疾人就业的统计数据，从而显示出残疾人遭到了无形歧视。</w:t>
      </w:r>
    </w:p>
    <w:p w:rsidR="00000000" w:rsidRDefault="00000000">
      <w:pPr>
        <w:spacing w:after="160"/>
        <w:rPr>
          <w:rFonts w:hint="eastAsia"/>
        </w:rPr>
      </w:pPr>
      <w:r>
        <w:rPr>
          <w:rFonts w:hint="eastAsia"/>
        </w:rPr>
        <w:tab/>
        <w:t xml:space="preserve">210.  </w:t>
      </w:r>
      <w:r>
        <w:rPr>
          <w:rFonts w:hint="eastAsia"/>
        </w:rPr>
        <w:t>性别平等协会</w:t>
      </w:r>
      <w:r>
        <w:rPr>
          <w:rFonts w:hint="eastAsia"/>
        </w:rPr>
        <w:t>(SETA)</w:t>
      </w:r>
      <w:r>
        <w:rPr>
          <w:rFonts w:hint="eastAsia"/>
        </w:rPr>
        <w:t>指出，已经于</w:t>
      </w:r>
      <w:r>
        <w:rPr>
          <w:rFonts w:hint="eastAsia"/>
        </w:rPr>
        <w:t>2003</w:t>
      </w:r>
      <w:r>
        <w:rPr>
          <w:rFonts w:hint="eastAsia"/>
        </w:rPr>
        <w:t>年</w:t>
      </w:r>
      <w:r>
        <w:rPr>
          <w:rFonts w:hint="eastAsia"/>
        </w:rPr>
        <w:t>1</w:t>
      </w:r>
      <w:r>
        <w:rPr>
          <w:rFonts w:hint="eastAsia"/>
        </w:rPr>
        <w:t>月正式生效的《变性人性别法定定义法》</w:t>
      </w:r>
      <w:r>
        <w:rPr>
          <w:rFonts w:hint="eastAsia"/>
        </w:rPr>
        <w:t>(563/2002)</w:t>
      </w:r>
      <w:r>
        <w:rPr>
          <w:rFonts w:hint="eastAsia"/>
        </w:rPr>
        <w:t>澄清了变性人的法律地位；这是保护这个群体权利的一大进展。</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六</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国际公约</w:t>
      </w:r>
    </w:p>
    <w:p w:rsidR="00000000" w:rsidRDefault="00000000">
      <w:pPr>
        <w:rPr>
          <w:rFonts w:hint="eastAsia"/>
          <w:spacing w:val="4"/>
        </w:rPr>
      </w:pPr>
      <w:r>
        <w:rPr>
          <w:rFonts w:hint="eastAsia"/>
        </w:rPr>
        <w:tab/>
        <w:t xml:space="preserve">211.  </w:t>
      </w:r>
      <w:r>
        <w:rPr>
          <w:rFonts w:hint="eastAsia"/>
          <w:spacing w:val="4"/>
        </w:rPr>
        <w:t>芬兰已经批准了在有关报告的形式和内容的一般性准则中所指的所有公约。</w:t>
      </w:r>
    </w:p>
    <w:p w:rsidR="00000000" w:rsidRDefault="00000000">
      <w:pPr>
        <w:widowControl w:val="0"/>
        <w:spacing w:after="320"/>
        <w:rPr>
          <w:rFonts w:hint="eastAsia"/>
        </w:rPr>
      </w:pPr>
      <w:r>
        <w:rPr>
          <w:rFonts w:hint="eastAsia"/>
        </w:rPr>
        <w:tab/>
        <w:t xml:space="preserve">212.  </w:t>
      </w:r>
      <w:r>
        <w:rPr>
          <w:rFonts w:hint="eastAsia"/>
        </w:rPr>
        <w:t>本报告附有于</w:t>
      </w:r>
      <w:r>
        <w:rPr>
          <w:rFonts w:hint="eastAsia"/>
        </w:rPr>
        <w:t>1999</w:t>
      </w:r>
      <w:r>
        <w:rPr>
          <w:rFonts w:hint="eastAsia"/>
        </w:rPr>
        <w:t>年、</w:t>
      </w:r>
      <w:r>
        <w:rPr>
          <w:rFonts w:hint="eastAsia"/>
        </w:rPr>
        <w:t>2001</w:t>
      </w:r>
      <w:r>
        <w:rPr>
          <w:rFonts w:hint="eastAsia"/>
        </w:rPr>
        <w:t>年和</w:t>
      </w:r>
      <w:r>
        <w:rPr>
          <w:rFonts w:hint="eastAsia"/>
        </w:rPr>
        <w:t>2003</w:t>
      </w:r>
      <w:r>
        <w:rPr>
          <w:rFonts w:hint="eastAsia"/>
        </w:rPr>
        <w:t>年提交的有关为执行劳工组织第</w:t>
      </w:r>
      <w:r>
        <w:rPr>
          <w:rFonts w:hint="eastAsia"/>
        </w:rPr>
        <w:t>111</w:t>
      </w:r>
      <w:r>
        <w:rPr>
          <w:rFonts w:hint="eastAsia"/>
        </w:rPr>
        <w:t>号公约而采取措施的定期报告以及于</w:t>
      </w:r>
      <w:r>
        <w:rPr>
          <w:rFonts w:hint="eastAsia"/>
        </w:rPr>
        <w:t>2001</w:t>
      </w:r>
      <w:r>
        <w:rPr>
          <w:rFonts w:hint="eastAsia"/>
        </w:rPr>
        <w:t>年、</w:t>
      </w:r>
      <w:r>
        <w:rPr>
          <w:rFonts w:hint="eastAsia"/>
        </w:rPr>
        <w:t>2002</w:t>
      </w:r>
      <w:r>
        <w:rPr>
          <w:rFonts w:hint="eastAsia"/>
        </w:rPr>
        <w:t>年和</w:t>
      </w:r>
      <w:r>
        <w:rPr>
          <w:rFonts w:hint="eastAsia"/>
        </w:rPr>
        <w:t>2003</w:t>
      </w:r>
      <w:r>
        <w:rPr>
          <w:rFonts w:hint="eastAsia"/>
        </w:rPr>
        <w:t>年提交的关于为实施劳工组织第</w:t>
      </w:r>
      <w:r>
        <w:rPr>
          <w:rFonts w:hint="eastAsia"/>
        </w:rPr>
        <w:t>122</w:t>
      </w:r>
      <w:r>
        <w:rPr>
          <w:rFonts w:hint="eastAsia"/>
        </w:rPr>
        <w:t>号公约而采取措施的定期报告</w:t>
      </w:r>
      <w:r>
        <w:rPr>
          <w:rFonts w:hint="eastAsia"/>
        </w:rPr>
        <w:t>(</w:t>
      </w:r>
      <w:r>
        <w:rPr>
          <w:rFonts w:hint="eastAsia"/>
        </w:rPr>
        <w:t>附件一至六</w:t>
      </w:r>
      <w:r>
        <w:rPr>
          <w:rFonts w:hint="eastAsia"/>
        </w:rPr>
        <w:t>)</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a</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就业的状况、水平和趋势</w:t>
      </w:r>
    </w:p>
    <w:p w:rsidR="00000000" w:rsidRDefault="00000000">
      <w:pPr>
        <w:spacing w:after="160"/>
        <w:rPr>
          <w:rFonts w:hint="eastAsia"/>
        </w:rPr>
      </w:pPr>
      <w:r>
        <w:rPr>
          <w:rFonts w:hint="eastAsia"/>
        </w:rPr>
        <w:tab/>
        <w:t xml:space="preserve">213.  </w:t>
      </w:r>
      <w:r>
        <w:rPr>
          <w:rFonts w:hint="eastAsia"/>
        </w:rPr>
        <w:t>由于近年来经济的下降趋势，就业率和失业率的短期演变十分缓慢，有关情况几乎保持不变。在过去几年中，失业率的下降十分缓慢。</w:t>
      </w:r>
      <w:r>
        <w:rPr>
          <w:rFonts w:hint="eastAsia"/>
        </w:rPr>
        <w:t>2003</w:t>
      </w:r>
      <w:r>
        <w:rPr>
          <w:rFonts w:hint="eastAsia"/>
        </w:rPr>
        <w:t>年失业率有所下降，但是</w:t>
      </w:r>
      <w:r>
        <w:rPr>
          <w:rFonts w:hint="eastAsia"/>
        </w:rPr>
        <w:t>2004</w:t>
      </w:r>
      <w:r>
        <w:rPr>
          <w:rFonts w:hint="eastAsia"/>
        </w:rPr>
        <w:t>年基本保持不变。然而，从长期来说，情况演变是非常正面的。由于</w:t>
      </w:r>
      <w:r>
        <w:rPr>
          <w:rFonts w:hint="eastAsia"/>
        </w:rPr>
        <w:t>1990</w:t>
      </w:r>
      <w:r>
        <w:rPr>
          <w:rFonts w:hint="eastAsia"/>
        </w:rPr>
        <w:t>年代初期的经济衰退，失业率于</w:t>
      </w:r>
      <w:r>
        <w:rPr>
          <w:rFonts w:hint="eastAsia"/>
        </w:rPr>
        <w:t>1994</w:t>
      </w:r>
      <w:r>
        <w:rPr>
          <w:rFonts w:hint="eastAsia"/>
        </w:rPr>
        <w:t>年达到了最高点</w:t>
      </w:r>
      <w:r>
        <w:rPr>
          <w:rFonts w:hint="eastAsia"/>
        </w:rPr>
        <w:t>(408,300</w:t>
      </w:r>
      <w:r>
        <w:rPr>
          <w:rFonts w:hint="eastAsia"/>
        </w:rPr>
        <w:t>人</w:t>
      </w:r>
      <w:r>
        <w:rPr>
          <w:rFonts w:hint="eastAsia"/>
        </w:rPr>
        <w:t>)</w:t>
      </w:r>
      <w:r>
        <w:rPr>
          <w:rFonts w:hint="eastAsia"/>
        </w:rPr>
        <w:t>，根据芬兰统计局的一项调查，到</w:t>
      </w:r>
      <w:r>
        <w:rPr>
          <w:rFonts w:hint="eastAsia"/>
        </w:rPr>
        <w:t>2004</w:t>
      </w:r>
      <w:r>
        <w:rPr>
          <w:rFonts w:hint="eastAsia"/>
        </w:rPr>
        <w:t>年年底失业率已经下降了</w:t>
      </w:r>
      <w:r>
        <w:rPr>
          <w:rFonts w:hint="eastAsia"/>
        </w:rPr>
        <w:t>44%</w:t>
      </w:r>
      <w:r>
        <w:rPr>
          <w:rFonts w:hint="eastAsia"/>
        </w:rPr>
        <w:t>。然而，失业率下降主要是发生在</w:t>
      </w:r>
      <w:r>
        <w:rPr>
          <w:rFonts w:hint="eastAsia"/>
        </w:rPr>
        <w:t>1990</w:t>
      </w:r>
      <w:r>
        <w:rPr>
          <w:rFonts w:hint="eastAsia"/>
        </w:rPr>
        <w:t>年代的末期。从</w:t>
      </w:r>
      <w:r>
        <w:rPr>
          <w:rFonts w:hint="eastAsia"/>
        </w:rPr>
        <w:t>2000</w:t>
      </w:r>
      <w:r>
        <w:rPr>
          <w:rFonts w:hint="eastAsia"/>
        </w:rPr>
        <w:t>年开始，失业率的下降明显放缓，停留在每年</w:t>
      </w:r>
      <w:r>
        <w:rPr>
          <w:rFonts w:hint="eastAsia"/>
        </w:rPr>
        <w:t>12%</w:t>
      </w:r>
      <w:r>
        <w:rPr>
          <w:rFonts w:hint="eastAsia"/>
        </w:rPr>
        <w:t>的平均水平上。</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2</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1994</w:t>
      </w:r>
      <w:r>
        <w:rPr>
          <w:rFonts w:ascii="Time New Roman" w:eastAsia="SimHei" w:hAnsi="Time New Roman" w:hint="eastAsia"/>
          <w:sz w:val="22"/>
          <w:u w:val="none"/>
        </w:rPr>
        <w:t>年、</w:t>
      </w:r>
      <w:r>
        <w:rPr>
          <w:rFonts w:ascii="Time New Roman" w:eastAsia="SimHei" w:hAnsi="Time New Roman" w:hint="eastAsia"/>
          <w:b/>
          <w:sz w:val="22"/>
          <w:u w:val="none"/>
        </w:rPr>
        <w:t>1999</w:t>
      </w:r>
      <w:r>
        <w:rPr>
          <w:rFonts w:ascii="Time New Roman" w:eastAsia="SimHei" w:hAnsi="Time New Roman" w:hint="eastAsia"/>
          <w:sz w:val="22"/>
          <w:u w:val="none"/>
        </w:rPr>
        <w:t>年和</w:t>
      </w:r>
      <w:r>
        <w:rPr>
          <w:rFonts w:ascii="Time New Roman" w:eastAsia="SimHei" w:hAnsi="Time New Roman" w:hint="eastAsia"/>
          <w:b/>
          <w:sz w:val="22"/>
          <w:u w:val="none"/>
        </w:rPr>
        <w:t>2004</w:t>
      </w:r>
      <w:r>
        <w:rPr>
          <w:rFonts w:ascii="Time New Roman" w:eastAsia="SimHei" w:hAnsi="Time New Roman" w:hint="eastAsia"/>
          <w:sz w:val="22"/>
          <w:u w:val="none"/>
        </w:rPr>
        <w:t>年芬兰的劳工分类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568"/>
        <w:gridCol w:w="1568"/>
        <w:gridCol w:w="1568"/>
        <w:gridCol w:w="1569"/>
        <w:gridCol w:w="1569"/>
      </w:tblGrid>
      <w:tr w:rsidR="00000000">
        <w:tblPrEx>
          <w:tblCellMar>
            <w:top w:w="0" w:type="dxa"/>
            <w:bottom w:w="0" w:type="dxa"/>
          </w:tblCellMar>
        </w:tblPrEx>
        <w:tc>
          <w:tcPr>
            <w:tcW w:w="1568" w:type="dxa"/>
          </w:tcPr>
          <w:p w:rsidR="00000000" w:rsidRDefault="00000000">
            <w:pPr>
              <w:spacing w:before="120" w:line="288" w:lineRule="auto"/>
              <w:jc w:val="center"/>
              <w:rPr>
                <w:rFonts w:hint="eastAsia"/>
                <w:sz w:val="22"/>
              </w:rPr>
            </w:pPr>
            <w:r>
              <w:rPr>
                <w:rFonts w:hint="eastAsia"/>
                <w:sz w:val="22"/>
              </w:rPr>
              <w:t>年</w:t>
            </w:r>
            <w:r>
              <w:rPr>
                <w:rFonts w:hint="eastAsia"/>
                <w:sz w:val="22"/>
              </w:rPr>
              <w:t xml:space="preserve"> </w:t>
            </w:r>
            <w:r>
              <w:rPr>
                <w:rFonts w:hint="eastAsia"/>
                <w:sz w:val="22"/>
              </w:rPr>
              <w:t>份</w:t>
            </w:r>
          </w:p>
        </w:tc>
        <w:tc>
          <w:tcPr>
            <w:tcW w:w="1568" w:type="dxa"/>
          </w:tcPr>
          <w:p w:rsidR="00000000" w:rsidRDefault="00000000">
            <w:pPr>
              <w:spacing w:before="120" w:line="288" w:lineRule="auto"/>
              <w:jc w:val="center"/>
              <w:rPr>
                <w:rFonts w:hint="eastAsia"/>
                <w:sz w:val="22"/>
              </w:rPr>
            </w:pPr>
            <w:r>
              <w:rPr>
                <w:rFonts w:hint="eastAsia"/>
                <w:sz w:val="22"/>
              </w:rPr>
              <w:t>总</w:t>
            </w:r>
            <w:r>
              <w:rPr>
                <w:rFonts w:hint="eastAsia"/>
                <w:sz w:val="22"/>
              </w:rPr>
              <w:t xml:space="preserve"> </w:t>
            </w:r>
            <w:r>
              <w:rPr>
                <w:rFonts w:hint="eastAsia"/>
                <w:sz w:val="22"/>
              </w:rPr>
              <w:t>数</w:t>
            </w:r>
          </w:p>
        </w:tc>
        <w:tc>
          <w:tcPr>
            <w:tcW w:w="1568" w:type="dxa"/>
          </w:tcPr>
          <w:p w:rsidR="00000000" w:rsidRDefault="00000000">
            <w:pPr>
              <w:spacing w:before="120" w:line="288" w:lineRule="auto"/>
              <w:jc w:val="center"/>
              <w:rPr>
                <w:rFonts w:hint="eastAsia"/>
                <w:sz w:val="22"/>
              </w:rPr>
            </w:pPr>
            <w:r>
              <w:rPr>
                <w:rFonts w:hint="eastAsia"/>
                <w:sz w:val="22"/>
              </w:rPr>
              <w:t>男</w:t>
            </w:r>
            <w:r>
              <w:rPr>
                <w:rFonts w:hint="eastAsia"/>
                <w:sz w:val="22"/>
              </w:rPr>
              <w:t xml:space="preserve"> </w:t>
            </w:r>
            <w:r>
              <w:rPr>
                <w:rFonts w:hint="eastAsia"/>
                <w:sz w:val="22"/>
              </w:rPr>
              <w:t>子</w:t>
            </w:r>
          </w:p>
        </w:tc>
        <w:tc>
          <w:tcPr>
            <w:tcW w:w="1568" w:type="dxa"/>
          </w:tcPr>
          <w:p w:rsidR="00000000" w:rsidRDefault="00000000">
            <w:pPr>
              <w:spacing w:before="120" w:line="288" w:lineRule="auto"/>
              <w:jc w:val="center"/>
              <w:rPr>
                <w:rFonts w:hint="eastAsia"/>
                <w:sz w:val="22"/>
              </w:rPr>
            </w:pPr>
            <w:r>
              <w:rPr>
                <w:rFonts w:hint="eastAsia"/>
                <w:sz w:val="22"/>
              </w:rPr>
              <w:t>妇</w:t>
            </w:r>
            <w:r>
              <w:rPr>
                <w:rFonts w:hint="eastAsia"/>
                <w:sz w:val="22"/>
              </w:rPr>
              <w:t xml:space="preserve"> </w:t>
            </w:r>
            <w:r>
              <w:rPr>
                <w:rFonts w:hint="eastAsia"/>
                <w:sz w:val="22"/>
              </w:rPr>
              <w:t>女</w:t>
            </w:r>
          </w:p>
        </w:tc>
        <w:tc>
          <w:tcPr>
            <w:tcW w:w="1569" w:type="dxa"/>
          </w:tcPr>
          <w:p w:rsidR="00000000" w:rsidRDefault="00000000">
            <w:pPr>
              <w:spacing w:before="120" w:line="288" w:lineRule="auto"/>
              <w:jc w:val="center"/>
              <w:rPr>
                <w:rFonts w:hint="eastAsia"/>
                <w:sz w:val="22"/>
              </w:rPr>
            </w:pPr>
            <w:r>
              <w:rPr>
                <w:rFonts w:hint="eastAsia"/>
                <w:sz w:val="22"/>
              </w:rPr>
              <w:t>青年人</w:t>
            </w:r>
            <w:r>
              <w:rPr>
                <w:rFonts w:hint="eastAsia"/>
                <w:sz w:val="22"/>
              </w:rPr>
              <w:t xml:space="preserve"> </w:t>
            </w:r>
            <w:r>
              <w:rPr>
                <w:b/>
                <w:vertAlign w:val="superscript"/>
              </w:rPr>
              <w:endnoteReference w:id="5"/>
            </w:r>
          </w:p>
        </w:tc>
        <w:tc>
          <w:tcPr>
            <w:tcW w:w="1569" w:type="dxa"/>
          </w:tcPr>
          <w:p w:rsidR="00000000" w:rsidRDefault="00000000">
            <w:pPr>
              <w:spacing w:before="120" w:line="288" w:lineRule="auto"/>
              <w:jc w:val="center"/>
              <w:rPr>
                <w:rFonts w:hint="eastAsia"/>
                <w:sz w:val="22"/>
              </w:rPr>
            </w:pPr>
            <w:r>
              <w:rPr>
                <w:rFonts w:hint="eastAsia"/>
                <w:sz w:val="22"/>
              </w:rPr>
              <w:t xml:space="preserve"> </w:t>
            </w:r>
            <w:r>
              <w:rPr>
                <w:rFonts w:hint="eastAsia"/>
                <w:sz w:val="22"/>
              </w:rPr>
              <w:t>老年人</w:t>
            </w:r>
            <w:r>
              <w:rPr>
                <w:rFonts w:hint="eastAsia"/>
                <w:sz w:val="22"/>
              </w:rPr>
              <w:t xml:space="preserve"> </w:t>
            </w:r>
            <w:r>
              <w:rPr>
                <w:rStyle w:val="EndnoteReference"/>
                <w:sz w:val="22"/>
              </w:rPr>
              <w:endnoteReference w:id="6"/>
            </w:r>
          </w:p>
        </w:tc>
      </w:tr>
      <w:tr w:rsidR="00000000">
        <w:tblPrEx>
          <w:tblCellMar>
            <w:top w:w="0" w:type="dxa"/>
            <w:bottom w:w="0" w:type="dxa"/>
          </w:tblCellMar>
        </w:tblPrEx>
        <w:tc>
          <w:tcPr>
            <w:tcW w:w="1568" w:type="dxa"/>
            <w:tcBorders>
              <w:bottom w:val="nil"/>
            </w:tcBorders>
          </w:tcPr>
          <w:p w:rsidR="00000000" w:rsidRDefault="00000000">
            <w:pPr>
              <w:spacing w:before="80" w:line="288" w:lineRule="auto"/>
              <w:jc w:val="center"/>
              <w:rPr>
                <w:sz w:val="22"/>
              </w:rPr>
            </w:pPr>
            <w:r>
              <w:rPr>
                <w:sz w:val="22"/>
              </w:rPr>
              <w:t>1994</w:t>
            </w:r>
          </w:p>
        </w:tc>
        <w:tc>
          <w:tcPr>
            <w:tcW w:w="1568" w:type="dxa"/>
            <w:tcBorders>
              <w:bottom w:val="nil"/>
            </w:tcBorders>
          </w:tcPr>
          <w:p w:rsidR="00000000" w:rsidRDefault="00000000">
            <w:pPr>
              <w:spacing w:before="80" w:line="288" w:lineRule="auto"/>
              <w:jc w:val="center"/>
              <w:rPr>
                <w:sz w:val="22"/>
              </w:rPr>
            </w:pPr>
            <w:r>
              <w:rPr>
                <w:sz w:val="22"/>
              </w:rPr>
              <w:t>2 462 700</w:t>
            </w:r>
          </w:p>
        </w:tc>
        <w:tc>
          <w:tcPr>
            <w:tcW w:w="1568" w:type="dxa"/>
            <w:tcBorders>
              <w:bottom w:val="nil"/>
            </w:tcBorders>
          </w:tcPr>
          <w:p w:rsidR="00000000" w:rsidRDefault="00000000">
            <w:pPr>
              <w:spacing w:before="80" w:line="288" w:lineRule="auto"/>
              <w:jc w:val="center"/>
              <w:rPr>
                <w:sz w:val="22"/>
              </w:rPr>
            </w:pPr>
            <w:r>
              <w:rPr>
                <w:sz w:val="22"/>
              </w:rPr>
              <w:t>1 293 700</w:t>
            </w:r>
          </w:p>
        </w:tc>
        <w:tc>
          <w:tcPr>
            <w:tcW w:w="1568" w:type="dxa"/>
            <w:tcBorders>
              <w:bottom w:val="nil"/>
            </w:tcBorders>
          </w:tcPr>
          <w:p w:rsidR="00000000" w:rsidRDefault="00000000">
            <w:pPr>
              <w:spacing w:before="80" w:line="288" w:lineRule="auto"/>
              <w:jc w:val="center"/>
              <w:rPr>
                <w:sz w:val="22"/>
              </w:rPr>
            </w:pPr>
            <w:r>
              <w:rPr>
                <w:sz w:val="22"/>
              </w:rPr>
              <w:t>1 169 100</w:t>
            </w:r>
          </w:p>
        </w:tc>
        <w:tc>
          <w:tcPr>
            <w:tcW w:w="1569" w:type="dxa"/>
            <w:tcBorders>
              <w:bottom w:val="nil"/>
            </w:tcBorders>
          </w:tcPr>
          <w:p w:rsidR="00000000" w:rsidRDefault="00000000">
            <w:pPr>
              <w:spacing w:before="80" w:line="288" w:lineRule="auto"/>
              <w:jc w:val="center"/>
              <w:rPr>
                <w:sz w:val="22"/>
              </w:rPr>
            </w:pPr>
            <w:r>
              <w:rPr>
                <w:sz w:val="22"/>
              </w:rPr>
              <w:t>266 500</w:t>
            </w:r>
          </w:p>
        </w:tc>
        <w:tc>
          <w:tcPr>
            <w:tcW w:w="1569" w:type="dxa"/>
            <w:tcBorders>
              <w:bottom w:val="nil"/>
            </w:tcBorders>
          </w:tcPr>
          <w:p w:rsidR="00000000" w:rsidRDefault="00000000">
            <w:pPr>
              <w:spacing w:before="80" w:line="288" w:lineRule="auto"/>
              <w:ind w:right="372"/>
              <w:jc w:val="right"/>
              <w:rPr>
                <w:sz w:val="22"/>
              </w:rPr>
            </w:pPr>
            <w:r>
              <w:rPr>
                <w:sz w:val="22"/>
              </w:rPr>
              <w:t>210 700</w:t>
            </w:r>
          </w:p>
        </w:tc>
      </w:tr>
      <w:tr w:rsidR="00000000">
        <w:tblPrEx>
          <w:tblCellMar>
            <w:top w:w="0" w:type="dxa"/>
            <w:bottom w:w="0" w:type="dxa"/>
          </w:tblCellMar>
        </w:tblPrEx>
        <w:tc>
          <w:tcPr>
            <w:tcW w:w="1568" w:type="dxa"/>
            <w:tcBorders>
              <w:top w:val="nil"/>
              <w:bottom w:val="nil"/>
            </w:tcBorders>
          </w:tcPr>
          <w:p w:rsidR="00000000" w:rsidRDefault="00000000">
            <w:pPr>
              <w:spacing w:line="288" w:lineRule="auto"/>
              <w:jc w:val="center"/>
              <w:rPr>
                <w:sz w:val="22"/>
              </w:rPr>
            </w:pPr>
            <w:r>
              <w:rPr>
                <w:sz w:val="22"/>
              </w:rPr>
              <w:t>1999</w:t>
            </w:r>
          </w:p>
        </w:tc>
        <w:tc>
          <w:tcPr>
            <w:tcW w:w="1568" w:type="dxa"/>
            <w:tcBorders>
              <w:top w:val="nil"/>
              <w:bottom w:val="nil"/>
            </w:tcBorders>
          </w:tcPr>
          <w:p w:rsidR="00000000" w:rsidRDefault="00000000">
            <w:pPr>
              <w:spacing w:line="288" w:lineRule="auto"/>
              <w:jc w:val="center"/>
              <w:rPr>
                <w:sz w:val="22"/>
              </w:rPr>
            </w:pPr>
            <w:r>
              <w:rPr>
                <w:sz w:val="22"/>
              </w:rPr>
              <w:t>2 556 900</w:t>
            </w:r>
          </w:p>
        </w:tc>
        <w:tc>
          <w:tcPr>
            <w:tcW w:w="1568" w:type="dxa"/>
            <w:tcBorders>
              <w:top w:val="nil"/>
              <w:bottom w:val="nil"/>
            </w:tcBorders>
          </w:tcPr>
          <w:p w:rsidR="00000000" w:rsidRDefault="00000000">
            <w:pPr>
              <w:spacing w:line="288" w:lineRule="auto"/>
              <w:jc w:val="center"/>
              <w:rPr>
                <w:sz w:val="22"/>
              </w:rPr>
            </w:pPr>
            <w:r>
              <w:rPr>
                <w:sz w:val="22"/>
              </w:rPr>
              <w:t>1 335 900</w:t>
            </w:r>
          </w:p>
        </w:tc>
        <w:tc>
          <w:tcPr>
            <w:tcW w:w="1568" w:type="dxa"/>
            <w:tcBorders>
              <w:top w:val="nil"/>
              <w:bottom w:val="nil"/>
            </w:tcBorders>
          </w:tcPr>
          <w:p w:rsidR="00000000" w:rsidRDefault="00000000">
            <w:pPr>
              <w:spacing w:line="288" w:lineRule="auto"/>
              <w:jc w:val="center"/>
              <w:rPr>
                <w:sz w:val="22"/>
              </w:rPr>
            </w:pPr>
            <w:r>
              <w:rPr>
                <w:sz w:val="22"/>
              </w:rPr>
              <w:t>1 221 000</w:t>
            </w:r>
          </w:p>
        </w:tc>
        <w:tc>
          <w:tcPr>
            <w:tcW w:w="1569" w:type="dxa"/>
            <w:tcBorders>
              <w:top w:val="nil"/>
              <w:bottom w:val="nil"/>
            </w:tcBorders>
          </w:tcPr>
          <w:p w:rsidR="00000000" w:rsidRDefault="00000000">
            <w:pPr>
              <w:spacing w:line="288" w:lineRule="auto"/>
              <w:jc w:val="center"/>
              <w:rPr>
                <w:sz w:val="22"/>
              </w:rPr>
            </w:pPr>
            <w:r>
              <w:rPr>
                <w:sz w:val="22"/>
              </w:rPr>
              <w:t>324 500</w:t>
            </w:r>
          </w:p>
        </w:tc>
        <w:tc>
          <w:tcPr>
            <w:tcW w:w="1569" w:type="dxa"/>
            <w:tcBorders>
              <w:top w:val="nil"/>
              <w:bottom w:val="nil"/>
            </w:tcBorders>
          </w:tcPr>
          <w:p w:rsidR="00000000" w:rsidRDefault="00000000">
            <w:pPr>
              <w:spacing w:line="288" w:lineRule="auto"/>
              <w:ind w:right="372"/>
              <w:jc w:val="right"/>
              <w:rPr>
                <w:sz w:val="22"/>
              </w:rPr>
            </w:pPr>
            <w:r>
              <w:rPr>
                <w:sz w:val="22"/>
              </w:rPr>
              <w:t>235 500</w:t>
            </w:r>
          </w:p>
        </w:tc>
      </w:tr>
      <w:tr w:rsidR="00000000">
        <w:tblPrEx>
          <w:tblCellMar>
            <w:top w:w="0" w:type="dxa"/>
            <w:bottom w:w="0" w:type="dxa"/>
          </w:tblCellMar>
        </w:tblPrEx>
        <w:tc>
          <w:tcPr>
            <w:tcW w:w="1568" w:type="dxa"/>
            <w:tcBorders>
              <w:top w:val="nil"/>
              <w:bottom w:val="single" w:sz="4" w:space="0" w:color="auto"/>
            </w:tcBorders>
          </w:tcPr>
          <w:p w:rsidR="00000000" w:rsidRDefault="00000000">
            <w:pPr>
              <w:spacing w:after="40" w:line="288" w:lineRule="auto"/>
              <w:jc w:val="center"/>
              <w:rPr>
                <w:sz w:val="22"/>
              </w:rPr>
            </w:pPr>
            <w:r>
              <w:rPr>
                <w:sz w:val="22"/>
              </w:rPr>
              <w:t>2004</w:t>
            </w:r>
          </w:p>
        </w:tc>
        <w:tc>
          <w:tcPr>
            <w:tcW w:w="1568" w:type="dxa"/>
            <w:tcBorders>
              <w:top w:val="nil"/>
              <w:bottom w:val="single" w:sz="4" w:space="0" w:color="auto"/>
            </w:tcBorders>
          </w:tcPr>
          <w:p w:rsidR="00000000" w:rsidRDefault="00000000">
            <w:pPr>
              <w:spacing w:after="40" w:line="288" w:lineRule="auto"/>
              <w:jc w:val="center"/>
              <w:rPr>
                <w:sz w:val="22"/>
              </w:rPr>
            </w:pPr>
            <w:r>
              <w:rPr>
                <w:sz w:val="22"/>
              </w:rPr>
              <w:t>2 593 500</w:t>
            </w:r>
          </w:p>
        </w:tc>
        <w:tc>
          <w:tcPr>
            <w:tcW w:w="1568" w:type="dxa"/>
            <w:tcBorders>
              <w:top w:val="nil"/>
              <w:bottom w:val="single" w:sz="4" w:space="0" w:color="auto"/>
            </w:tcBorders>
          </w:tcPr>
          <w:p w:rsidR="00000000" w:rsidRDefault="00000000">
            <w:pPr>
              <w:spacing w:after="40" w:line="288" w:lineRule="auto"/>
              <w:jc w:val="center"/>
              <w:rPr>
                <w:sz w:val="22"/>
              </w:rPr>
            </w:pPr>
            <w:r>
              <w:rPr>
                <w:sz w:val="22"/>
              </w:rPr>
              <w:t>1 346 300</w:t>
            </w:r>
          </w:p>
        </w:tc>
        <w:tc>
          <w:tcPr>
            <w:tcW w:w="1568" w:type="dxa"/>
            <w:tcBorders>
              <w:top w:val="nil"/>
              <w:bottom w:val="single" w:sz="4" w:space="0" w:color="auto"/>
            </w:tcBorders>
          </w:tcPr>
          <w:p w:rsidR="00000000" w:rsidRDefault="00000000">
            <w:pPr>
              <w:spacing w:after="40" w:line="288" w:lineRule="auto"/>
              <w:jc w:val="center"/>
              <w:rPr>
                <w:sz w:val="22"/>
              </w:rPr>
            </w:pPr>
            <w:r>
              <w:rPr>
                <w:sz w:val="22"/>
              </w:rPr>
              <w:t>1 247 200</w:t>
            </w:r>
          </w:p>
        </w:tc>
        <w:tc>
          <w:tcPr>
            <w:tcW w:w="1569" w:type="dxa"/>
            <w:tcBorders>
              <w:top w:val="nil"/>
              <w:bottom w:val="single" w:sz="4" w:space="0" w:color="auto"/>
            </w:tcBorders>
          </w:tcPr>
          <w:p w:rsidR="00000000" w:rsidRDefault="00000000">
            <w:pPr>
              <w:spacing w:after="40" w:line="288" w:lineRule="auto"/>
              <w:jc w:val="center"/>
              <w:rPr>
                <w:sz w:val="22"/>
              </w:rPr>
            </w:pPr>
            <w:r>
              <w:rPr>
                <w:sz w:val="22"/>
              </w:rPr>
              <w:t>312 600</w:t>
            </w:r>
          </w:p>
        </w:tc>
        <w:tc>
          <w:tcPr>
            <w:tcW w:w="1569" w:type="dxa"/>
            <w:tcBorders>
              <w:top w:val="nil"/>
              <w:bottom w:val="single" w:sz="4" w:space="0" w:color="auto"/>
            </w:tcBorders>
          </w:tcPr>
          <w:p w:rsidR="00000000" w:rsidRDefault="00000000">
            <w:pPr>
              <w:spacing w:after="40" w:line="288" w:lineRule="auto"/>
              <w:ind w:right="372"/>
              <w:jc w:val="right"/>
              <w:rPr>
                <w:sz w:val="22"/>
              </w:rPr>
            </w:pPr>
            <w:r>
              <w:rPr>
                <w:sz w:val="22"/>
              </w:rPr>
              <w:t>369 600</w:t>
            </w:r>
          </w:p>
        </w:tc>
      </w:tr>
    </w:tbl>
    <w:p w:rsidR="00000000" w:rsidRDefault="00000000">
      <w:pPr>
        <w:pStyle w:val="Heading3"/>
        <w:spacing w:after="0" w:line="240" w:lineRule="auto"/>
        <w:rPr>
          <w:rFonts w:hint="eastAsia"/>
        </w:rPr>
      </w:pPr>
    </w:p>
    <w:p w:rsidR="00000000" w:rsidRDefault="00000000">
      <w:pPr>
        <w:spacing w:after="320"/>
        <w:rPr>
          <w:rFonts w:hint="eastAsia"/>
        </w:rPr>
      </w:pPr>
      <w:r>
        <w:rPr>
          <w:rFonts w:eastAsia="KaiTi_GB2312" w:hint="eastAsia"/>
          <w:spacing w:val="0"/>
        </w:rPr>
        <w:tab/>
      </w:r>
      <w:r>
        <w:rPr>
          <w:rFonts w:eastAsia="KaiTi_GB2312" w:hint="eastAsia"/>
          <w:spacing w:val="0"/>
          <w:u w:val="single"/>
        </w:rPr>
        <w:t>资料来源</w:t>
      </w:r>
      <w:r>
        <w:rPr>
          <w:rFonts w:eastAsia="KaiTi_GB2312" w:hint="eastAsia"/>
          <w:spacing w:val="0"/>
        </w:rPr>
        <w:t>：芬兰统计局，劳工调查。</w:t>
      </w:r>
    </w:p>
    <w:p w:rsidR="00000000" w:rsidRDefault="00000000">
      <w:pPr>
        <w:pStyle w:val="Heading3"/>
        <w:spacing w:after="16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3</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1994</w:t>
      </w:r>
      <w:r>
        <w:rPr>
          <w:rFonts w:ascii="Time New Roman" w:eastAsia="SimHei" w:hAnsi="Time New Roman" w:hint="eastAsia"/>
          <w:sz w:val="22"/>
          <w:u w:val="none"/>
        </w:rPr>
        <w:t>年、</w:t>
      </w:r>
      <w:r>
        <w:rPr>
          <w:rFonts w:ascii="Time New Roman" w:eastAsia="SimHei" w:hAnsi="Time New Roman" w:hint="eastAsia"/>
          <w:b/>
          <w:sz w:val="22"/>
          <w:u w:val="none"/>
        </w:rPr>
        <w:t>1999</w:t>
      </w:r>
      <w:r>
        <w:rPr>
          <w:rFonts w:ascii="Time New Roman" w:eastAsia="SimHei" w:hAnsi="Time New Roman" w:hint="eastAsia"/>
          <w:sz w:val="22"/>
          <w:u w:val="none"/>
        </w:rPr>
        <w:t>年和</w:t>
      </w:r>
      <w:r>
        <w:rPr>
          <w:rFonts w:ascii="Time New Roman" w:eastAsia="SimHei" w:hAnsi="Time New Roman" w:hint="eastAsia"/>
          <w:b/>
          <w:sz w:val="22"/>
          <w:u w:val="none"/>
        </w:rPr>
        <w:t>2004</w:t>
      </w:r>
      <w:r>
        <w:rPr>
          <w:rFonts w:ascii="Time New Roman" w:eastAsia="SimHei" w:hAnsi="Time New Roman" w:hint="eastAsia"/>
          <w:sz w:val="22"/>
          <w:u w:val="none"/>
        </w:rPr>
        <w:t>年就业人员分类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38"/>
        <w:gridCol w:w="1204"/>
        <w:gridCol w:w="1260"/>
        <w:gridCol w:w="1218"/>
        <w:gridCol w:w="1091"/>
        <w:gridCol w:w="1176"/>
        <w:gridCol w:w="1190"/>
        <w:gridCol w:w="1333"/>
      </w:tblGrid>
      <w:tr w:rsidR="00000000">
        <w:tblPrEx>
          <w:tblCellMar>
            <w:top w:w="0" w:type="dxa"/>
            <w:bottom w:w="0" w:type="dxa"/>
          </w:tblCellMar>
        </w:tblPrEx>
        <w:tc>
          <w:tcPr>
            <w:tcW w:w="938" w:type="dxa"/>
            <w:vAlign w:val="center"/>
          </w:tcPr>
          <w:p w:rsidR="00000000" w:rsidRDefault="00000000">
            <w:pPr>
              <w:jc w:val="center"/>
              <w:rPr>
                <w:rFonts w:hint="eastAsia"/>
                <w:sz w:val="21"/>
              </w:rPr>
            </w:pPr>
            <w:r>
              <w:rPr>
                <w:rFonts w:hint="eastAsia"/>
                <w:sz w:val="21"/>
              </w:rPr>
              <w:t>年</w:t>
            </w:r>
            <w:r>
              <w:rPr>
                <w:rFonts w:hint="eastAsia"/>
                <w:sz w:val="21"/>
              </w:rPr>
              <w:t xml:space="preserve"> </w:t>
            </w:r>
            <w:r>
              <w:rPr>
                <w:rFonts w:hint="eastAsia"/>
                <w:sz w:val="21"/>
              </w:rPr>
              <w:t>份</w:t>
            </w:r>
          </w:p>
        </w:tc>
        <w:tc>
          <w:tcPr>
            <w:tcW w:w="1204" w:type="dxa"/>
            <w:vAlign w:val="center"/>
          </w:tcPr>
          <w:p w:rsidR="00000000" w:rsidRDefault="00000000">
            <w:pPr>
              <w:jc w:val="center"/>
              <w:rPr>
                <w:rFonts w:hint="eastAsia"/>
                <w:sz w:val="21"/>
              </w:rPr>
            </w:pPr>
            <w:r>
              <w:rPr>
                <w:rFonts w:hint="eastAsia"/>
                <w:sz w:val="21"/>
              </w:rPr>
              <w:t>总</w:t>
            </w:r>
            <w:r>
              <w:rPr>
                <w:rFonts w:hint="eastAsia"/>
                <w:sz w:val="21"/>
              </w:rPr>
              <w:t xml:space="preserve"> </w:t>
            </w:r>
            <w:r>
              <w:rPr>
                <w:rFonts w:hint="eastAsia"/>
                <w:sz w:val="21"/>
              </w:rPr>
              <w:t>数</w:t>
            </w:r>
          </w:p>
        </w:tc>
        <w:tc>
          <w:tcPr>
            <w:tcW w:w="1260" w:type="dxa"/>
            <w:vAlign w:val="center"/>
          </w:tcPr>
          <w:p w:rsidR="00000000" w:rsidRDefault="00000000">
            <w:pPr>
              <w:jc w:val="center"/>
              <w:rPr>
                <w:rFonts w:hint="eastAsia"/>
                <w:sz w:val="21"/>
              </w:rPr>
            </w:pPr>
            <w:r>
              <w:rPr>
                <w:rFonts w:hint="eastAsia"/>
                <w:sz w:val="21"/>
              </w:rPr>
              <w:t>男</w:t>
            </w:r>
            <w:r>
              <w:rPr>
                <w:rFonts w:hint="eastAsia"/>
                <w:sz w:val="21"/>
              </w:rPr>
              <w:t xml:space="preserve"> </w:t>
            </w:r>
            <w:r>
              <w:rPr>
                <w:rFonts w:hint="eastAsia"/>
                <w:sz w:val="21"/>
              </w:rPr>
              <w:t>子</w:t>
            </w:r>
          </w:p>
        </w:tc>
        <w:tc>
          <w:tcPr>
            <w:tcW w:w="1218" w:type="dxa"/>
            <w:vAlign w:val="center"/>
          </w:tcPr>
          <w:p w:rsidR="00000000" w:rsidRDefault="00000000">
            <w:pPr>
              <w:jc w:val="center"/>
              <w:rPr>
                <w:rFonts w:hint="eastAsia"/>
                <w:sz w:val="21"/>
              </w:rPr>
            </w:pPr>
            <w:r>
              <w:rPr>
                <w:rFonts w:hint="eastAsia"/>
                <w:sz w:val="21"/>
              </w:rPr>
              <w:t>妇</w:t>
            </w:r>
            <w:r>
              <w:rPr>
                <w:rFonts w:hint="eastAsia"/>
                <w:sz w:val="21"/>
              </w:rPr>
              <w:t xml:space="preserve"> </w:t>
            </w:r>
            <w:r>
              <w:rPr>
                <w:rFonts w:hint="eastAsia"/>
                <w:sz w:val="21"/>
              </w:rPr>
              <w:t>女</w:t>
            </w:r>
          </w:p>
        </w:tc>
        <w:tc>
          <w:tcPr>
            <w:tcW w:w="1091" w:type="dxa"/>
            <w:vAlign w:val="center"/>
          </w:tcPr>
          <w:p w:rsidR="00000000" w:rsidRDefault="00000000">
            <w:pPr>
              <w:jc w:val="center"/>
              <w:rPr>
                <w:rFonts w:hint="eastAsia"/>
                <w:sz w:val="21"/>
              </w:rPr>
            </w:pPr>
            <w:r>
              <w:rPr>
                <w:rFonts w:hint="eastAsia"/>
                <w:sz w:val="21"/>
              </w:rPr>
              <w:t>青年人</w:t>
            </w:r>
          </w:p>
        </w:tc>
        <w:tc>
          <w:tcPr>
            <w:tcW w:w="1176" w:type="dxa"/>
            <w:vAlign w:val="center"/>
          </w:tcPr>
          <w:p w:rsidR="00000000" w:rsidRDefault="00000000">
            <w:pPr>
              <w:jc w:val="center"/>
              <w:rPr>
                <w:rFonts w:hint="eastAsia"/>
                <w:sz w:val="21"/>
              </w:rPr>
            </w:pPr>
            <w:r>
              <w:rPr>
                <w:rFonts w:hint="eastAsia"/>
                <w:sz w:val="21"/>
              </w:rPr>
              <w:t>老年人</w:t>
            </w:r>
          </w:p>
        </w:tc>
        <w:tc>
          <w:tcPr>
            <w:tcW w:w="1190" w:type="dxa"/>
            <w:vAlign w:val="center"/>
          </w:tcPr>
          <w:p w:rsidR="00000000" w:rsidRDefault="00000000">
            <w:pPr>
              <w:spacing w:line="240" w:lineRule="auto"/>
              <w:jc w:val="center"/>
              <w:rPr>
                <w:rFonts w:hint="eastAsia"/>
                <w:sz w:val="21"/>
              </w:rPr>
            </w:pPr>
            <w:r>
              <w:rPr>
                <w:rFonts w:hint="eastAsia"/>
                <w:sz w:val="21"/>
              </w:rPr>
              <w:t>总就业率</w:t>
            </w:r>
            <w:r>
              <w:rPr>
                <w:sz w:val="21"/>
              </w:rPr>
              <w:br/>
            </w:r>
            <w:r>
              <w:rPr>
                <w:rFonts w:hint="eastAsia"/>
                <w:sz w:val="21"/>
              </w:rPr>
              <w:t>(</w:t>
            </w:r>
            <w:r>
              <w:rPr>
                <w:rFonts w:hint="eastAsia"/>
                <w:sz w:val="21"/>
              </w:rPr>
              <w:t>百分比</w:t>
            </w:r>
            <w:r>
              <w:rPr>
                <w:rFonts w:hint="eastAsia"/>
                <w:sz w:val="21"/>
              </w:rPr>
              <w:t>)</w:t>
            </w:r>
          </w:p>
        </w:tc>
        <w:tc>
          <w:tcPr>
            <w:tcW w:w="1333" w:type="dxa"/>
          </w:tcPr>
          <w:p w:rsidR="00000000" w:rsidRDefault="00000000">
            <w:pPr>
              <w:spacing w:before="60" w:after="20" w:line="216" w:lineRule="auto"/>
              <w:jc w:val="center"/>
              <w:rPr>
                <w:sz w:val="21"/>
              </w:rPr>
            </w:pPr>
            <w:r>
              <w:rPr>
                <w:rFonts w:hint="eastAsia"/>
                <w:sz w:val="21"/>
              </w:rPr>
              <w:t>老年人的</w:t>
            </w:r>
            <w:r>
              <w:rPr>
                <w:sz w:val="21"/>
              </w:rPr>
              <w:br/>
            </w:r>
            <w:r>
              <w:rPr>
                <w:rFonts w:hint="eastAsia"/>
                <w:sz w:val="21"/>
              </w:rPr>
              <w:t>就业率</w:t>
            </w:r>
            <w:r>
              <w:rPr>
                <w:sz w:val="21"/>
              </w:rPr>
              <w:br/>
            </w:r>
            <w:r>
              <w:rPr>
                <w:rFonts w:hint="eastAsia"/>
                <w:sz w:val="21"/>
              </w:rPr>
              <w:t>(</w:t>
            </w:r>
            <w:r>
              <w:rPr>
                <w:rFonts w:hint="eastAsia"/>
                <w:sz w:val="21"/>
              </w:rPr>
              <w:t>百分比</w:t>
            </w:r>
            <w:r>
              <w:rPr>
                <w:rFonts w:hint="eastAsia"/>
                <w:sz w:val="21"/>
              </w:rPr>
              <w:t>)</w:t>
            </w:r>
          </w:p>
        </w:tc>
      </w:tr>
      <w:tr w:rsidR="00000000">
        <w:tblPrEx>
          <w:tblCellMar>
            <w:top w:w="0" w:type="dxa"/>
            <w:bottom w:w="0" w:type="dxa"/>
          </w:tblCellMar>
        </w:tblPrEx>
        <w:tc>
          <w:tcPr>
            <w:tcW w:w="938" w:type="dxa"/>
            <w:tcBorders>
              <w:bottom w:val="nil"/>
            </w:tcBorders>
          </w:tcPr>
          <w:p w:rsidR="00000000" w:rsidRDefault="00000000">
            <w:pPr>
              <w:spacing w:before="80" w:line="288" w:lineRule="auto"/>
              <w:jc w:val="center"/>
              <w:rPr>
                <w:sz w:val="21"/>
              </w:rPr>
            </w:pPr>
            <w:r>
              <w:rPr>
                <w:sz w:val="21"/>
              </w:rPr>
              <w:t>1994</w:t>
            </w:r>
          </w:p>
        </w:tc>
        <w:tc>
          <w:tcPr>
            <w:tcW w:w="1204" w:type="dxa"/>
            <w:tcBorders>
              <w:bottom w:val="nil"/>
            </w:tcBorders>
          </w:tcPr>
          <w:p w:rsidR="00000000" w:rsidRDefault="00000000">
            <w:pPr>
              <w:spacing w:before="80" w:line="288" w:lineRule="auto"/>
              <w:jc w:val="center"/>
              <w:rPr>
                <w:sz w:val="21"/>
              </w:rPr>
            </w:pPr>
            <w:r>
              <w:rPr>
                <w:sz w:val="21"/>
              </w:rPr>
              <w:t>2 054 400</w:t>
            </w:r>
          </w:p>
        </w:tc>
        <w:tc>
          <w:tcPr>
            <w:tcW w:w="1260" w:type="dxa"/>
            <w:tcBorders>
              <w:bottom w:val="nil"/>
            </w:tcBorders>
          </w:tcPr>
          <w:p w:rsidR="00000000" w:rsidRDefault="00000000">
            <w:pPr>
              <w:spacing w:before="80" w:line="288" w:lineRule="auto"/>
              <w:jc w:val="center"/>
              <w:rPr>
                <w:sz w:val="21"/>
              </w:rPr>
            </w:pPr>
            <w:r>
              <w:rPr>
                <w:sz w:val="21"/>
              </w:rPr>
              <w:t>1 058 900</w:t>
            </w:r>
          </w:p>
        </w:tc>
        <w:tc>
          <w:tcPr>
            <w:tcW w:w="1218" w:type="dxa"/>
            <w:tcBorders>
              <w:bottom w:val="nil"/>
            </w:tcBorders>
          </w:tcPr>
          <w:p w:rsidR="00000000" w:rsidRDefault="00000000">
            <w:pPr>
              <w:spacing w:before="80" w:line="288" w:lineRule="auto"/>
              <w:jc w:val="center"/>
              <w:rPr>
                <w:sz w:val="21"/>
              </w:rPr>
            </w:pPr>
            <w:r>
              <w:rPr>
                <w:sz w:val="21"/>
              </w:rPr>
              <w:t>995 500</w:t>
            </w:r>
          </w:p>
        </w:tc>
        <w:tc>
          <w:tcPr>
            <w:tcW w:w="1091" w:type="dxa"/>
            <w:tcBorders>
              <w:bottom w:val="nil"/>
            </w:tcBorders>
          </w:tcPr>
          <w:p w:rsidR="00000000" w:rsidRDefault="00000000">
            <w:pPr>
              <w:spacing w:before="80" w:line="288" w:lineRule="auto"/>
              <w:jc w:val="center"/>
              <w:rPr>
                <w:sz w:val="21"/>
              </w:rPr>
            </w:pPr>
            <w:r>
              <w:rPr>
                <w:sz w:val="21"/>
              </w:rPr>
              <w:t>175 900</w:t>
            </w:r>
          </w:p>
        </w:tc>
        <w:tc>
          <w:tcPr>
            <w:tcW w:w="1176" w:type="dxa"/>
            <w:tcBorders>
              <w:bottom w:val="nil"/>
            </w:tcBorders>
          </w:tcPr>
          <w:p w:rsidR="00000000" w:rsidRDefault="00000000">
            <w:pPr>
              <w:spacing w:before="80" w:line="288" w:lineRule="auto"/>
              <w:jc w:val="center"/>
              <w:rPr>
                <w:sz w:val="21"/>
              </w:rPr>
            </w:pPr>
            <w:r>
              <w:rPr>
                <w:sz w:val="21"/>
              </w:rPr>
              <w:t>171 000</w:t>
            </w:r>
          </w:p>
        </w:tc>
        <w:tc>
          <w:tcPr>
            <w:tcW w:w="1190" w:type="dxa"/>
            <w:tcBorders>
              <w:bottom w:val="nil"/>
            </w:tcBorders>
          </w:tcPr>
          <w:p w:rsidR="00000000" w:rsidRDefault="00000000">
            <w:pPr>
              <w:spacing w:before="80" w:line="288" w:lineRule="auto"/>
              <w:jc w:val="center"/>
              <w:rPr>
                <w:sz w:val="21"/>
              </w:rPr>
            </w:pPr>
            <w:r>
              <w:rPr>
                <w:sz w:val="21"/>
              </w:rPr>
              <w:t>59.9</w:t>
            </w:r>
          </w:p>
        </w:tc>
        <w:tc>
          <w:tcPr>
            <w:tcW w:w="1333" w:type="dxa"/>
            <w:tcBorders>
              <w:bottom w:val="nil"/>
            </w:tcBorders>
          </w:tcPr>
          <w:p w:rsidR="00000000" w:rsidRDefault="00000000">
            <w:pPr>
              <w:spacing w:before="80" w:line="288" w:lineRule="auto"/>
              <w:jc w:val="center"/>
              <w:rPr>
                <w:sz w:val="21"/>
              </w:rPr>
            </w:pPr>
            <w:r>
              <w:rPr>
                <w:sz w:val="21"/>
              </w:rPr>
              <w:t>33.5</w:t>
            </w:r>
          </w:p>
        </w:tc>
      </w:tr>
      <w:tr w:rsidR="00000000">
        <w:tblPrEx>
          <w:tblCellMar>
            <w:top w:w="0" w:type="dxa"/>
            <w:bottom w:w="0" w:type="dxa"/>
          </w:tblCellMar>
        </w:tblPrEx>
        <w:tc>
          <w:tcPr>
            <w:tcW w:w="938" w:type="dxa"/>
            <w:tcBorders>
              <w:top w:val="nil"/>
              <w:bottom w:val="nil"/>
            </w:tcBorders>
          </w:tcPr>
          <w:p w:rsidR="00000000" w:rsidRDefault="00000000">
            <w:pPr>
              <w:spacing w:before="80" w:line="288" w:lineRule="auto"/>
              <w:jc w:val="center"/>
              <w:rPr>
                <w:sz w:val="21"/>
              </w:rPr>
            </w:pPr>
            <w:r>
              <w:rPr>
                <w:sz w:val="21"/>
              </w:rPr>
              <w:t>1999</w:t>
            </w:r>
          </w:p>
        </w:tc>
        <w:tc>
          <w:tcPr>
            <w:tcW w:w="1204" w:type="dxa"/>
            <w:tcBorders>
              <w:top w:val="nil"/>
              <w:bottom w:val="nil"/>
            </w:tcBorders>
          </w:tcPr>
          <w:p w:rsidR="00000000" w:rsidRDefault="00000000">
            <w:pPr>
              <w:spacing w:before="80" w:line="288" w:lineRule="auto"/>
              <w:jc w:val="center"/>
              <w:rPr>
                <w:sz w:val="21"/>
              </w:rPr>
            </w:pPr>
            <w:r>
              <w:rPr>
                <w:sz w:val="21"/>
              </w:rPr>
              <w:t>2 295 900</w:t>
            </w:r>
          </w:p>
        </w:tc>
        <w:tc>
          <w:tcPr>
            <w:tcW w:w="1260" w:type="dxa"/>
            <w:tcBorders>
              <w:top w:val="nil"/>
              <w:bottom w:val="nil"/>
            </w:tcBorders>
          </w:tcPr>
          <w:p w:rsidR="00000000" w:rsidRDefault="00000000">
            <w:pPr>
              <w:spacing w:before="80" w:line="288" w:lineRule="auto"/>
              <w:jc w:val="center"/>
              <w:rPr>
                <w:sz w:val="21"/>
              </w:rPr>
            </w:pPr>
            <w:r>
              <w:rPr>
                <w:sz w:val="21"/>
              </w:rPr>
              <w:t>1 205 600</w:t>
            </w:r>
          </w:p>
        </w:tc>
        <w:tc>
          <w:tcPr>
            <w:tcW w:w="1218" w:type="dxa"/>
            <w:tcBorders>
              <w:top w:val="nil"/>
              <w:bottom w:val="nil"/>
            </w:tcBorders>
          </w:tcPr>
          <w:p w:rsidR="00000000" w:rsidRDefault="00000000">
            <w:pPr>
              <w:spacing w:before="80" w:line="288" w:lineRule="auto"/>
              <w:jc w:val="center"/>
              <w:rPr>
                <w:sz w:val="21"/>
              </w:rPr>
            </w:pPr>
            <w:r>
              <w:rPr>
                <w:sz w:val="21"/>
              </w:rPr>
              <w:t>1 090 400</w:t>
            </w:r>
          </w:p>
        </w:tc>
        <w:tc>
          <w:tcPr>
            <w:tcW w:w="1091" w:type="dxa"/>
            <w:tcBorders>
              <w:top w:val="nil"/>
              <w:bottom w:val="nil"/>
            </w:tcBorders>
          </w:tcPr>
          <w:p w:rsidR="00000000" w:rsidRDefault="00000000">
            <w:pPr>
              <w:spacing w:before="80" w:line="288" w:lineRule="auto"/>
              <w:jc w:val="center"/>
              <w:rPr>
                <w:sz w:val="21"/>
              </w:rPr>
            </w:pPr>
            <w:r>
              <w:rPr>
                <w:sz w:val="21"/>
              </w:rPr>
              <w:t>254 900</w:t>
            </w:r>
          </w:p>
        </w:tc>
        <w:tc>
          <w:tcPr>
            <w:tcW w:w="1176" w:type="dxa"/>
            <w:tcBorders>
              <w:top w:val="nil"/>
              <w:bottom w:val="nil"/>
            </w:tcBorders>
          </w:tcPr>
          <w:p w:rsidR="00000000" w:rsidRDefault="00000000">
            <w:pPr>
              <w:spacing w:before="80" w:line="288" w:lineRule="auto"/>
              <w:jc w:val="center"/>
              <w:rPr>
                <w:sz w:val="21"/>
              </w:rPr>
            </w:pPr>
            <w:r>
              <w:rPr>
                <w:sz w:val="21"/>
              </w:rPr>
              <w:t>211 300</w:t>
            </w:r>
          </w:p>
        </w:tc>
        <w:tc>
          <w:tcPr>
            <w:tcW w:w="1190" w:type="dxa"/>
            <w:tcBorders>
              <w:top w:val="nil"/>
              <w:bottom w:val="nil"/>
            </w:tcBorders>
          </w:tcPr>
          <w:p w:rsidR="00000000" w:rsidRDefault="00000000">
            <w:pPr>
              <w:spacing w:before="80" w:line="288" w:lineRule="auto"/>
              <w:jc w:val="center"/>
              <w:rPr>
                <w:sz w:val="21"/>
              </w:rPr>
            </w:pPr>
            <w:r>
              <w:rPr>
                <w:sz w:val="21"/>
              </w:rPr>
              <w:t>66.0</w:t>
            </w:r>
          </w:p>
        </w:tc>
        <w:tc>
          <w:tcPr>
            <w:tcW w:w="1333" w:type="dxa"/>
            <w:tcBorders>
              <w:top w:val="nil"/>
              <w:bottom w:val="nil"/>
            </w:tcBorders>
          </w:tcPr>
          <w:p w:rsidR="00000000" w:rsidRDefault="00000000">
            <w:pPr>
              <w:spacing w:before="80" w:line="288" w:lineRule="auto"/>
              <w:jc w:val="center"/>
              <w:rPr>
                <w:sz w:val="21"/>
              </w:rPr>
            </w:pPr>
            <w:r>
              <w:rPr>
                <w:sz w:val="21"/>
              </w:rPr>
              <w:t>39.3</w:t>
            </w:r>
          </w:p>
        </w:tc>
      </w:tr>
      <w:tr w:rsidR="00000000">
        <w:tblPrEx>
          <w:tblCellMar>
            <w:top w:w="0" w:type="dxa"/>
            <w:bottom w:w="0" w:type="dxa"/>
          </w:tblCellMar>
        </w:tblPrEx>
        <w:tc>
          <w:tcPr>
            <w:tcW w:w="938" w:type="dxa"/>
            <w:tcBorders>
              <w:top w:val="nil"/>
            </w:tcBorders>
          </w:tcPr>
          <w:p w:rsidR="00000000" w:rsidRDefault="00000000">
            <w:pPr>
              <w:spacing w:before="80" w:after="20" w:line="288" w:lineRule="auto"/>
              <w:jc w:val="center"/>
              <w:rPr>
                <w:sz w:val="21"/>
              </w:rPr>
            </w:pPr>
            <w:r>
              <w:rPr>
                <w:sz w:val="21"/>
              </w:rPr>
              <w:t>2004</w:t>
            </w:r>
          </w:p>
        </w:tc>
        <w:tc>
          <w:tcPr>
            <w:tcW w:w="1204" w:type="dxa"/>
            <w:tcBorders>
              <w:top w:val="nil"/>
            </w:tcBorders>
          </w:tcPr>
          <w:p w:rsidR="00000000" w:rsidRDefault="00000000">
            <w:pPr>
              <w:spacing w:before="80" w:after="20" w:line="288" w:lineRule="auto"/>
              <w:jc w:val="center"/>
              <w:rPr>
                <w:sz w:val="21"/>
              </w:rPr>
            </w:pPr>
            <w:r>
              <w:rPr>
                <w:sz w:val="21"/>
              </w:rPr>
              <w:t>2 364 700</w:t>
            </w:r>
          </w:p>
        </w:tc>
        <w:tc>
          <w:tcPr>
            <w:tcW w:w="1260" w:type="dxa"/>
            <w:tcBorders>
              <w:top w:val="nil"/>
            </w:tcBorders>
          </w:tcPr>
          <w:p w:rsidR="00000000" w:rsidRDefault="00000000">
            <w:pPr>
              <w:spacing w:before="80" w:after="20" w:line="288" w:lineRule="auto"/>
              <w:jc w:val="center"/>
              <w:rPr>
                <w:sz w:val="21"/>
              </w:rPr>
            </w:pPr>
            <w:r>
              <w:rPr>
                <w:sz w:val="21"/>
              </w:rPr>
              <w:t>1 228 800</w:t>
            </w:r>
          </w:p>
        </w:tc>
        <w:tc>
          <w:tcPr>
            <w:tcW w:w="1218" w:type="dxa"/>
            <w:tcBorders>
              <w:top w:val="nil"/>
            </w:tcBorders>
          </w:tcPr>
          <w:p w:rsidR="00000000" w:rsidRDefault="00000000">
            <w:pPr>
              <w:spacing w:before="80" w:after="20" w:line="288" w:lineRule="auto"/>
              <w:jc w:val="center"/>
              <w:rPr>
                <w:sz w:val="21"/>
              </w:rPr>
            </w:pPr>
            <w:r>
              <w:rPr>
                <w:sz w:val="21"/>
              </w:rPr>
              <w:t>1 135 900</w:t>
            </w:r>
          </w:p>
        </w:tc>
        <w:tc>
          <w:tcPr>
            <w:tcW w:w="1091" w:type="dxa"/>
            <w:tcBorders>
              <w:top w:val="nil"/>
            </w:tcBorders>
          </w:tcPr>
          <w:p w:rsidR="00000000" w:rsidRDefault="00000000">
            <w:pPr>
              <w:spacing w:before="80" w:after="20" w:line="288" w:lineRule="auto"/>
              <w:jc w:val="center"/>
              <w:rPr>
                <w:sz w:val="21"/>
              </w:rPr>
            </w:pPr>
            <w:r>
              <w:rPr>
                <w:sz w:val="21"/>
              </w:rPr>
              <w:t>247 900</w:t>
            </w:r>
          </w:p>
        </w:tc>
        <w:tc>
          <w:tcPr>
            <w:tcW w:w="1176" w:type="dxa"/>
            <w:tcBorders>
              <w:top w:val="nil"/>
            </w:tcBorders>
          </w:tcPr>
          <w:p w:rsidR="00000000" w:rsidRDefault="00000000">
            <w:pPr>
              <w:spacing w:before="80" w:after="20" w:line="288" w:lineRule="auto"/>
              <w:jc w:val="center"/>
              <w:rPr>
                <w:sz w:val="21"/>
              </w:rPr>
            </w:pPr>
            <w:r>
              <w:rPr>
                <w:sz w:val="21"/>
              </w:rPr>
              <w:t>342 700</w:t>
            </w:r>
          </w:p>
        </w:tc>
        <w:tc>
          <w:tcPr>
            <w:tcW w:w="1190" w:type="dxa"/>
            <w:tcBorders>
              <w:top w:val="nil"/>
            </w:tcBorders>
          </w:tcPr>
          <w:p w:rsidR="00000000" w:rsidRDefault="00000000">
            <w:pPr>
              <w:spacing w:before="80" w:after="20" w:line="288" w:lineRule="auto"/>
              <w:jc w:val="center"/>
              <w:rPr>
                <w:sz w:val="21"/>
              </w:rPr>
            </w:pPr>
            <w:r>
              <w:rPr>
                <w:sz w:val="21"/>
              </w:rPr>
              <w:t>67.2</w:t>
            </w:r>
          </w:p>
        </w:tc>
        <w:tc>
          <w:tcPr>
            <w:tcW w:w="1333" w:type="dxa"/>
            <w:tcBorders>
              <w:top w:val="nil"/>
            </w:tcBorders>
          </w:tcPr>
          <w:p w:rsidR="00000000" w:rsidRDefault="00000000">
            <w:pPr>
              <w:spacing w:before="80" w:after="20" w:line="288" w:lineRule="auto"/>
              <w:jc w:val="center"/>
              <w:rPr>
                <w:sz w:val="21"/>
              </w:rPr>
            </w:pPr>
            <w:r>
              <w:rPr>
                <w:sz w:val="21"/>
              </w:rPr>
              <w:t>50.9</w:t>
            </w:r>
          </w:p>
        </w:tc>
      </w:tr>
    </w:tbl>
    <w:p w:rsidR="00000000" w:rsidRDefault="00000000">
      <w:pPr>
        <w:pStyle w:val="a6"/>
        <w:spacing w:line="240" w:lineRule="auto"/>
        <w:rPr>
          <w:rFonts w:eastAsia="SimSun" w:hint="eastAsia"/>
        </w:rPr>
      </w:pPr>
    </w:p>
    <w:p w:rsidR="00000000" w:rsidRDefault="00000000">
      <w:pPr>
        <w:spacing w:after="320"/>
        <w:rPr>
          <w:rFonts w:eastAsia="KaiTi_GB2312" w:hint="eastAsia"/>
          <w:spacing w:val="0"/>
        </w:rPr>
      </w:pPr>
      <w:r>
        <w:rPr>
          <w:rFonts w:eastAsia="KaiTi_GB2312" w:hint="eastAsia"/>
          <w:spacing w:val="0"/>
        </w:rPr>
        <w:t xml:space="preserve"> </w:t>
      </w:r>
      <w:r>
        <w:rPr>
          <w:rFonts w:eastAsia="KaiTi_GB2312" w:hint="eastAsia"/>
          <w:spacing w:val="0"/>
          <w:u w:val="single"/>
        </w:rPr>
        <w:t>资料来源</w:t>
      </w:r>
      <w:r>
        <w:rPr>
          <w:rFonts w:eastAsia="KaiTi_GB2312" w:hint="eastAsia"/>
          <w:spacing w:val="0"/>
        </w:rPr>
        <w:t>：芬兰统计局，劳工调查。</w:t>
      </w:r>
    </w:p>
    <w:p w:rsidR="00000000" w:rsidRDefault="00000000">
      <w:pPr>
        <w:rPr>
          <w:rFonts w:hint="eastAsia"/>
        </w:rPr>
      </w:pPr>
      <w:r>
        <w:rPr>
          <w:rFonts w:hint="eastAsia"/>
        </w:rPr>
        <w:tab/>
        <w:t xml:space="preserve">214.  </w:t>
      </w:r>
      <w:r>
        <w:rPr>
          <w:rFonts w:hint="eastAsia"/>
        </w:rPr>
        <w:t>就业率也同时上升了，特别是在</w:t>
      </w:r>
      <w:r>
        <w:rPr>
          <w:rFonts w:hint="eastAsia"/>
        </w:rPr>
        <w:t>1990</w:t>
      </w:r>
      <w:r>
        <w:rPr>
          <w:rFonts w:hint="eastAsia"/>
        </w:rPr>
        <w:t>年代末期。从</w:t>
      </w:r>
      <w:r>
        <w:rPr>
          <w:rFonts w:hint="eastAsia"/>
        </w:rPr>
        <w:t>1994</w:t>
      </w:r>
      <w:r>
        <w:rPr>
          <w:rFonts w:hint="eastAsia"/>
        </w:rPr>
        <w:t>年至今，就业人数已经增加了</w:t>
      </w:r>
      <w:r>
        <w:rPr>
          <w:rFonts w:hint="eastAsia"/>
        </w:rPr>
        <w:t>300,000</w:t>
      </w:r>
      <w:r>
        <w:rPr>
          <w:rFonts w:hint="eastAsia"/>
        </w:rPr>
        <w:t>多人</w:t>
      </w:r>
      <w:r>
        <w:rPr>
          <w:rFonts w:hint="eastAsia"/>
        </w:rPr>
        <w:t>(15%)</w:t>
      </w:r>
      <w:r>
        <w:rPr>
          <w:rFonts w:hint="eastAsia"/>
        </w:rPr>
        <w:t>。在</w:t>
      </w:r>
      <w:r>
        <w:rPr>
          <w:rFonts w:hint="eastAsia"/>
        </w:rPr>
        <w:t>2004</w:t>
      </w:r>
      <w:r>
        <w:rPr>
          <w:rFonts w:hint="eastAsia"/>
        </w:rPr>
        <w:t>年，就业率保持在</w:t>
      </w:r>
      <w:r>
        <w:rPr>
          <w:rFonts w:hint="eastAsia"/>
        </w:rPr>
        <w:t>67.2%</w:t>
      </w:r>
      <w:r>
        <w:rPr>
          <w:rFonts w:hint="eastAsia"/>
        </w:rPr>
        <w:t>的平均水平。根据劳工部的统计数字，职业介绍机构</w:t>
      </w:r>
      <w:r>
        <w:rPr>
          <w:rFonts w:hint="eastAsia"/>
        </w:rPr>
        <w:t>2004</w:t>
      </w:r>
      <w:r>
        <w:rPr>
          <w:rFonts w:hint="eastAsia"/>
        </w:rPr>
        <w:t>年每月公布的职位空缺平均数字为</w:t>
      </w:r>
      <w:r>
        <w:rPr>
          <w:rFonts w:hint="eastAsia"/>
        </w:rPr>
        <w:t>23,500</w:t>
      </w:r>
      <w:r>
        <w:rPr>
          <w:rFonts w:hint="eastAsia"/>
        </w:rPr>
        <w:t>人。</w:t>
      </w:r>
    </w:p>
    <w:p w:rsidR="00000000" w:rsidRDefault="00000000">
      <w:pPr>
        <w:spacing w:after="160"/>
        <w:rPr>
          <w:rFonts w:hint="eastAsia"/>
        </w:rPr>
      </w:pPr>
      <w:r>
        <w:rPr>
          <w:rFonts w:hint="eastAsia"/>
        </w:rPr>
        <w:tab/>
        <w:t xml:space="preserve">215.  </w:t>
      </w:r>
      <w:r>
        <w:rPr>
          <w:rFonts w:hint="eastAsia"/>
        </w:rPr>
        <w:t>非全日制工人</w:t>
      </w:r>
      <w:r>
        <w:rPr>
          <w:rFonts w:hint="eastAsia"/>
        </w:rPr>
        <w:t>(</w:t>
      </w:r>
      <w:r>
        <w:rPr>
          <w:rFonts w:hint="eastAsia"/>
        </w:rPr>
        <w:t>每周工作时间在</w:t>
      </w:r>
      <w:r>
        <w:rPr>
          <w:rFonts w:hint="eastAsia"/>
        </w:rPr>
        <w:t>1-29</w:t>
      </w:r>
      <w:r>
        <w:rPr>
          <w:rFonts w:hint="eastAsia"/>
        </w:rPr>
        <w:t>小时之内</w:t>
      </w:r>
      <w:r>
        <w:rPr>
          <w:rFonts w:hint="eastAsia"/>
        </w:rPr>
        <w:t>)</w:t>
      </w:r>
      <w:r>
        <w:rPr>
          <w:rFonts w:hint="eastAsia"/>
        </w:rPr>
        <w:t>的人数不断增加。从</w:t>
      </w:r>
      <w:r>
        <w:rPr>
          <w:rFonts w:hint="eastAsia"/>
        </w:rPr>
        <w:t>1994</w:t>
      </w:r>
      <w:r>
        <w:rPr>
          <w:rFonts w:hint="eastAsia"/>
        </w:rPr>
        <w:t>年到</w:t>
      </w:r>
      <w:r>
        <w:rPr>
          <w:rFonts w:hint="eastAsia"/>
        </w:rPr>
        <w:t>2004</w:t>
      </w:r>
      <w:r>
        <w:rPr>
          <w:rFonts w:hint="eastAsia"/>
        </w:rPr>
        <w:t>年，这个数字增加了</w:t>
      </w:r>
      <w:r>
        <w:rPr>
          <w:rFonts w:hint="eastAsia"/>
        </w:rPr>
        <w:t>50%</w:t>
      </w:r>
      <w:r>
        <w:rPr>
          <w:rFonts w:hint="eastAsia"/>
        </w:rPr>
        <w:t>以上。其部分原因在于在劳动力市场上越来越多地使用了非全日制退休计划以及其他的关于工作时间的灵活安排。因此，在</w:t>
      </w:r>
      <w:r>
        <w:rPr>
          <w:rFonts w:hint="eastAsia"/>
        </w:rPr>
        <w:t>55</w:t>
      </w:r>
      <w:r>
        <w:rPr>
          <w:rFonts w:hint="eastAsia"/>
        </w:rPr>
        <w:t>岁至</w:t>
      </w:r>
      <w:r>
        <w:rPr>
          <w:rFonts w:hint="eastAsia"/>
        </w:rPr>
        <w:t>64</w:t>
      </w:r>
      <w:r>
        <w:rPr>
          <w:rFonts w:hint="eastAsia"/>
        </w:rPr>
        <w:t>岁的工人中间非全日制的工作有了特别大的增长，</w:t>
      </w:r>
      <w:r>
        <w:rPr>
          <w:rFonts w:hint="eastAsia"/>
        </w:rPr>
        <w:t>2004</w:t>
      </w:r>
      <w:r>
        <w:rPr>
          <w:rFonts w:hint="eastAsia"/>
        </w:rPr>
        <w:t>年这个年龄组的非全日制工人的人数要比</w:t>
      </w:r>
      <w:r>
        <w:rPr>
          <w:rFonts w:hint="eastAsia"/>
        </w:rPr>
        <w:t>1994</w:t>
      </w:r>
      <w:r>
        <w:rPr>
          <w:rFonts w:hint="eastAsia"/>
        </w:rPr>
        <w:t>年多出了三倍。然而，在同一时期，</w:t>
      </w:r>
      <w:r>
        <w:rPr>
          <w:rFonts w:hint="eastAsia"/>
        </w:rPr>
        <w:t>25</w:t>
      </w:r>
      <w:r>
        <w:rPr>
          <w:rFonts w:hint="eastAsia"/>
        </w:rPr>
        <w:t>岁以下的非全日制工人的人数也几乎增加了一倍。</w:t>
      </w:r>
    </w:p>
    <w:p w:rsidR="00000000" w:rsidRDefault="00000000">
      <w:pPr>
        <w:pStyle w:val="Heading3"/>
        <w:spacing w:after="0"/>
        <w:rPr>
          <w:rFonts w:ascii="Time New Roman" w:eastAsia="SimHei" w:hAnsi="Time New Roman"/>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4</w:t>
      </w:r>
      <w:r>
        <w:rPr>
          <w:rFonts w:ascii="Time New Roman" w:eastAsia="SimHei" w:hAnsi="Time New Roman" w:hint="eastAsia"/>
          <w:sz w:val="22"/>
          <w:u w:val="none"/>
        </w:rPr>
        <w:t>.</w:t>
      </w:r>
    </w:p>
    <w:p w:rsidR="00000000" w:rsidRDefault="00000000">
      <w:pPr>
        <w:pStyle w:val="Heading3"/>
        <w:spacing w:after="180" w:line="288" w:lineRule="auto"/>
        <w:rPr>
          <w:rFonts w:ascii="Time New Roman" w:eastAsia="SimHei" w:hAnsi="Time New Roman" w:hint="eastAsia"/>
          <w:sz w:val="22"/>
          <w:u w:val="none"/>
        </w:rPr>
      </w:pPr>
      <w:r>
        <w:rPr>
          <w:rFonts w:ascii="Time New Roman" w:eastAsia="SimHei" w:hAnsi="Time New Roman" w:hint="eastAsia"/>
          <w:b/>
          <w:sz w:val="22"/>
          <w:u w:val="none"/>
        </w:rPr>
        <w:t>1994</w:t>
      </w:r>
      <w:r>
        <w:rPr>
          <w:rFonts w:ascii="Time New Roman" w:eastAsia="SimHei" w:hAnsi="Time New Roman" w:hint="eastAsia"/>
          <w:sz w:val="22"/>
          <w:u w:val="none"/>
        </w:rPr>
        <w:t>年、</w:t>
      </w:r>
      <w:r>
        <w:rPr>
          <w:rFonts w:ascii="Time New Roman" w:eastAsia="SimHei" w:hAnsi="Time New Roman" w:hint="eastAsia"/>
          <w:b/>
          <w:sz w:val="22"/>
          <w:u w:val="none"/>
        </w:rPr>
        <w:t>1999</w:t>
      </w:r>
      <w:r>
        <w:rPr>
          <w:rFonts w:ascii="Time New Roman" w:eastAsia="SimHei" w:hAnsi="Time New Roman" w:hint="eastAsia"/>
          <w:sz w:val="22"/>
          <w:u w:val="none"/>
        </w:rPr>
        <w:t>年和</w:t>
      </w:r>
      <w:r>
        <w:rPr>
          <w:rFonts w:ascii="Time New Roman" w:eastAsia="SimHei" w:hAnsi="Time New Roman" w:hint="eastAsia"/>
          <w:b/>
          <w:sz w:val="22"/>
          <w:u w:val="none"/>
        </w:rPr>
        <w:t>2004</w:t>
      </w:r>
      <w:r>
        <w:rPr>
          <w:rFonts w:ascii="Time New Roman" w:eastAsia="SimHei" w:hAnsi="Time New Roman" w:hint="eastAsia"/>
          <w:sz w:val="22"/>
          <w:u w:val="none"/>
        </w:rPr>
        <w:t>年从事非全日制工作</w:t>
      </w:r>
      <w:r>
        <w:rPr>
          <w:rFonts w:ascii="Time New Roman" w:eastAsia="SimHei" w:hAnsi="Time New Roman"/>
          <w:sz w:val="22"/>
          <w:u w:val="none"/>
        </w:rPr>
        <w:br/>
      </w:r>
      <w:r>
        <w:rPr>
          <w:rFonts w:ascii="Time New Roman" w:eastAsia="SimHei" w:hAnsi="Time New Roman" w:hint="eastAsia"/>
          <w:sz w:val="22"/>
          <w:u w:val="none"/>
        </w:rPr>
        <w:t>(</w:t>
      </w:r>
      <w:r>
        <w:rPr>
          <w:rFonts w:ascii="Time New Roman" w:eastAsia="SimHei" w:hAnsi="Time New Roman" w:hint="eastAsia"/>
          <w:sz w:val="22"/>
          <w:u w:val="none"/>
        </w:rPr>
        <w:t>每周工作</w:t>
      </w:r>
      <w:r>
        <w:rPr>
          <w:rFonts w:ascii="Time New Roman" w:eastAsia="SimHei" w:hAnsi="Time New Roman" w:hint="eastAsia"/>
          <w:b/>
          <w:sz w:val="22"/>
          <w:u w:val="none"/>
        </w:rPr>
        <w:t>1</w:t>
      </w:r>
      <w:r>
        <w:rPr>
          <w:rFonts w:ascii="Time New Roman" w:eastAsia="SimHei" w:hAnsi="Time New Roman" w:hint="eastAsia"/>
          <w:sz w:val="22"/>
          <w:u w:val="none"/>
        </w:rPr>
        <w:t>-</w:t>
      </w:r>
      <w:r>
        <w:rPr>
          <w:rFonts w:ascii="Time New Roman" w:eastAsia="SimHei" w:hAnsi="Time New Roman" w:hint="eastAsia"/>
          <w:b/>
          <w:sz w:val="22"/>
          <w:u w:val="none"/>
        </w:rPr>
        <w:t>29</w:t>
      </w:r>
      <w:r>
        <w:rPr>
          <w:rFonts w:ascii="Time New Roman" w:eastAsia="SimHei" w:hAnsi="Time New Roman" w:hint="eastAsia"/>
          <w:sz w:val="22"/>
          <w:u w:val="none"/>
        </w:rPr>
        <w:t>小时</w:t>
      </w:r>
      <w:r>
        <w:rPr>
          <w:rFonts w:ascii="Time New Roman" w:eastAsia="SimHei" w:hAnsi="Time New Roman" w:hint="eastAsia"/>
          <w:sz w:val="22"/>
          <w:u w:val="none"/>
        </w:rPr>
        <w:t>)</w:t>
      </w:r>
      <w:r>
        <w:rPr>
          <w:rFonts w:ascii="Time New Roman" w:eastAsia="SimHei" w:hAnsi="Time New Roman" w:hint="eastAsia"/>
          <w:sz w:val="22"/>
          <w:u w:val="none"/>
        </w:rPr>
        <w:t>的人员分类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jc w:val="center"/>
        </w:trPr>
        <w:tc>
          <w:tcPr>
            <w:tcW w:w="1882" w:type="dxa"/>
          </w:tcPr>
          <w:p w:rsidR="00000000" w:rsidRDefault="00000000">
            <w:pPr>
              <w:spacing w:before="120" w:line="288" w:lineRule="auto"/>
              <w:jc w:val="center"/>
              <w:rPr>
                <w:rFonts w:hint="eastAsia"/>
                <w:sz w:val="22"/>
              </w:rPr>
            </w:pPr>
            <w:r>
              <w:rPr>
                <w:rFonts w:hint="eastAsia"/>
                <w:sz w:val="22"/>
              </w:rPr>
              <w:t>总</w:t>
            </w:r>
            <w:r>
              <w:rPr>
                <w:rFonts w:hint="eastAsia"/>
                <w:sz w:val="22"/>
              </w:rPr>
              <w:t xml:space="preserve"> </w:t>
            </w:r>
            <w:r>
              <w:rPr>
                <w:rFonts w:hint="eastAsia"/>
                <w:sz w:val="22"/>
              </w:rPr>
              <w:t>数</w:t>
            </w:r>
          </w:p>
        </w:tc>
        <w:tc>
          <w:tcPr>
            <w:tcW w:w="1882" w:type="dxa"/>
          </w:tcPr>
          <w:p w:rsidR="00000000" w:rsidRDefault="00000000">
            <w:pPr>
              <w:spacing w:before="120" w:line="288" w:lineRule="auto"/>
              <w:jc w:val="center"/>
              <w:rPr>
                <w:rFonts w:hint="eastAsia"/>
                <w:sz w:val="22"/>
              </w:rPr>
            </w:pPr>
            <w:r>
              <w:rPr>
                <w:rFonts w:hint="eastAsia"/>
                <w:sz w:val="22"/>
              </w:rPr>
              <w:t>男</w:t>
            </w:r>
            <w:r>
              <w:rPr>
                <w:rFonts w:hint="eastAsia"/>
                <w:sz w:val="22"/>
              </w:rPr>
              <w:t xml:space="preserve"> </w:t>
            </w:r>
            <w:r>
              <w:rPr>
                <w:rFonts w:hint="eastAsia"/>
                <w:sz w:val="22"/>
              </w:rPr>
              <w:t>子</w:t>
            </w:r>
          </w:p>
        </w:tc>
        <w:tc>
          <w:tcPr>
            <w:tcW w:w="1882" w:type="dxa"/>
          </w:tcPr>
          <w:p w:rsidR="00000000" w:rsidRDefault="00000000">
            <w:pPr>
              <w:spacing w:before="120" w:line="288" w:lineRule="auto"/>
              <w:jc w:val="center"/>
              <w:rPr>
                <w:rFonts w:hint="eastAsia"/>
                <w:sz w:val="22"/>
              </w:rPr>
            </w:pPr>
            <w:r>
              <w:rPr>
                <w:rFonts w:hint="eastAsia"/>
                <w:sz w:val="22"/>
              </w:rPr>
              <w:t>妇</w:t>
            </w:r>
            <w:r>
              <w:rPr>
                <w:rFonts w:hint="eastAsia"/>
                <w:sz w:val="22"/>
              </w:rPr>
              <w:t xml:space="preserve"> </w:t>
            </w:r>
            <w:r>
              <w:rPr>
                <w:rFonts w:hint="eastAsia"/>
                <w:sz w:val="22"/>
              </w:rPr>
              <w:t>女</w:t>
            </w:r>
          </w:p>
        </w:tc>
        <w:tc>
          <w:tcPr>
            <w:tcW w:w="1882" w:type="dxa"/>
          </w:tcPr>
          <w:p w:rsidR="00000000" w:rsidRDefault="00000000">
            <w:pPr>
              <w:spacing w:before="120" w:line="288" w:lineRule="auto"/>
              <w:jc w:val="center"/>
              <w:rPr>
                <w:rFonts w:hint="eastAsia"/>
                <w:sz w:val="22"/>
              </w:rPr>
            </w:pPr>
            <w:r>
              <w:rPr>
                <w:rFonts w:hint="eastAsia"/>
                <w:sz w:val="22"/>
              </w:rPr>
              <w:t>青年人</w:t>
            </w:r>
          </w:p>
        </w:tc>
        <w:tc>
          <w:tcPr>
            <w:tcW w:w="1882" w:type="dxa"/>
          </w:tcPr>
          <w:p w:rsidR="00000000" w:rsidRDefault="00000000">
            <w:pPr>
              <w:spacing w:before="120" w:line="288" w:lineRule="auto"/>
              <w:jc w:val="center"/>
              <w:rPr>
                <w:rFonts w:hint="eastAsia"/>
                <w:sz w:val="22"/>
              </w:rPr>
            </w:pPr>
            <w:r>
              <w:rPr>
                <w:rFonts w:hint="eastAsia"/>
                <w:sz w:val="22"/>
              </w:rPr>
              <w:t>老年人</w:t>
            </w:r>
          </w:p>
        </w:tc>
      </w:tr>
      <w:tr w:rsidR="00000000">
        <w:tblPrEx>
          <w:tblCellMar>
            <w:top w:w="0" w:type="dxa"/>
            <w:bottom w:w="0" w:type="dxa"/>
          </w:tblCellMar>
        </w:tblPrEx>
        <w:trPr>
          <w:jc w:val="center"/>
        </w:trPr>
        <w:tc>
          <w:tcPr>
            <w:tcW w:w="1882" w:type="dxa"/>
            <w:tcBorders>
              <w:bottom w:val="nil"/>
            </w:tcBorders>
          </w:tcPr>
          <w:p w:rsidR="00000000" w:rsidRDefault="00000000">
            <w:pPr>
              <w:pStyle w:val="Header"/>
              <w:spacing w:before="120" w:line="288" w:lineRule="auto"/>
              <w:jc w:val="center"/>
              <w:rPr>
                <w:rFonts w:ascii="Times New Roman" w:hAnsi="Times New Roman"/>
                <w:sz w:val="22"/>
              </w:rPr>
            </w:pPr>
            <w:r>
              <w:rPr>
                <w:rFonts w:ascii="Times New Roman" w:hAnsi="Times New Roman"/>
                <w:sz w:val="22"/>
              </w:rPr>
              <w:t>173 500</w:t>
            </w:r>
          </w:p>
        </w:tc>
        <w:tc>
          <w:tcPr>
            <w:tcW w:w="1882" w:type="dxa"/>
            <w:tcBorders>
              <w:bottom w:val="nil"/>
            </w:tcBorders>
          </w:tcPr>
          <w:p w:rsidR="00000000" w:rsidRDefault="00000000">
            <w:pPr>
              <w:spacing w:before="120" w:line="288" w:lineRule="auto"/>
              <w:jc w:val="center"/>
              <w:rPr>
                <w:sz w:val="22"/>
              </w:rPr>
            </w:pPr>
            <w:r>
              <w:rPr>
                <w:sz w:val="22"/>
              </w:rPr>
              <w:t>63 400</w:t>
            </w:r>
          </w:p>
        </w:tc>
        <w:tc>
          <w:tcPr>
            <w:tcW w:w="1882" w:type="dxa"/>
            <w:tcBorders>
              <w:bottom w:val="nil"/>
            </w:tcBorders>
          </w:tcPr>
          <w:p w:rsidR="00000000" w:rsidRDefault="00000000">
            <w:pPr>
              <w:spacing w:before="120" w:line="288" w:lineRule="auto"/>
              <w:jc w:val="center"/>
              <w:rPr>
                <w:sz w:val="22"/>
              </w:rPr>
            </w:pPr>
            <w:r>
              <w:rPr>
                <w:sz w:val="22"/>
              </w:rPr>
              <w:t>110 100</w:t>
            </w:r>
          </w:p>
        </w:tc>
        <w:tc>
          <w:tcPr>
            <w:tcW w:w="1882" w:type="dxa"/>
            <w:tcBorders>
              <w:bottom w:val="nil"/>
            </w:tcBorders>
          </w:tcPr>
          <w:p w:rsidR="00000000" w:rsidRDefault="00000000">
            <w:pPr>
              <w:spacing w:before="120" w:line="288" w:lineRule="auto"/>
              <w:jc w:val="center"/>
              <w:rPr>
                <w:sz w:val="22"/>
              </w:rPr>
            </w:pPr>
            <w:r>
              <w:rPr>
                <w:sz w:val="22"/>
              </w:rPr>
              <w:t>40 000</w:t>
            </w:r>
          </w:p>
        </w:tc>
        <w:tc>
          <w:tcPr>
            <w:tcW w:w="1882" w:type="dxa"/>
            <w:tcBorders>
              <w:bottom w:val="nil"/>
            </w:tcBorders>
          </w:tcPr>
          <w:p w:rsidR="00000000" w:rsidRDefault="00000000">
            <w:pPr>
              <w:spacing w:before="120" w:line="288" w:lineRule="auto"/>
              <w:jc w:val="center"/>
              <w:rPr>
                <w:sz w:val="22"/>
              </w:rPr>
            </w:pPr>
            <w:r>
              <w:rPr>
                <w:sz w:val="22"/>
              </w:rPr>
              <w:t>21 200</w:t>
            </w:r>
          </w:p>
        </w:tc>
      </w:tr>
      <w:tr w:rsidR="00000000">
        <w:tblPrEx>
          <w:tblCellMar>
            <w:top w:w="0" w:type="dxa"/>
            <w:bottom w:w="0" w:type="dxa"/>
          </w:tblCellMar>
        </w:tblPrEx>
        <w:trPr>
          <w:jc w:val="center"/>
        </w:trPr>
        <w:tc>
          <w:tcPr>
            <w:tcW w:w="1882" w:type="dxa"/>
            <w:tcBorders>
              <w:top w:val="nil"/>
              <w:bottom w:val="nil"/>
            </w:tcBorders>
          </w:tcPr>
          <w:p w:rsidR="00000000" w:rsidRDefault="00000000">
            <w:pPr>
              <w:spacing w:line="288" w:lineRule="auto"/>
              <w:jc w:val="center"/>
              <w:rPr>
                <w:sz w:val="22"/>
              </w:rPr>
            </w:pPr>
            <w:r>
              <w:rPr>
                <w:sz w:val="22"/>
              </w:rPr>
              <w:t>225 500</w:t>
            </w:r>
          </w:p>
        </w:tc>
        <w:tc>
          <w:tcPr>
            <w:tcW w:w="1882" w:type="dxa"/>
            <w:tcBorders>
              <w:top w:val="nil"/>
              <w:bottom w:val="nil"/>
            </w:tcBorders>
          </w:tcPr>
          <w:p w:rsidR="00000000" w:rsidRDefault="00000000">
            <w:pPr>
              <w:spacing w:line="288" w:lineRule="auto"/>
              <w:jc w:val="center"/>
              <w:rPr>
                <w:sz w:val="22"/>
              </w:rPr>
            </w:pPr>
            <w:r>
              <w:rPr>
                <w:sz w:val="22"/>
              </w:rPr>
              <w:t>79 700</w:t>
            </w:r>
          </w:p>
        </w:tc>
        <w:tc>
          <w:tcPr>
            <w:tcW w:w="1882" w:type="dxa"/>
            <w:tcBorders>
              <w:top w:val="nil"/>
              <w:bottom w:val="nil"/>
            </w:tcBorders>
          </w:tcPr>
          <w:p w:rsidR="00000000" w:rsidRDefault="00000000">
            <w:pPr>
              <w:spacing w:line="288" w:lineRule="auto"/>
              <w:jc w:val="center"/>
              <w:rPr>
                <w:sz w:val="22"/>
              </w:rPr>
            </w:pPr>
            <w:r>
              <w:rPr>
                <w:sz w:val="22"/>
              </w:rPr>
              <w:t>145 600</w:t>
            </w:r>
          </w:p>
        </w:tc>
        <w:tc>
          <w:tcPr>
            <w:tcW w:w="1882" w:type="dxa"/>
            <w:tcBorders>
              <w:top w:val="nil"/>
              <w:bottom w:val="nil"/>
            </w:tcBorders>
          </w:tcPr>
          <w:p w:rsidR="00000000" w:rsidRDefault="00000000">
            <w:pPr>
              <w:spacing w:line="288" w:lineRule="auto"/>
              <w:jc w:val="center"/>
              <w:rPr>
                <w:sz w:val="22"/>
              </w:rPr>
            </w:pPr>
            <w:r>
              <w:rPr>
                <w:sz w:val="22"/>
              </w:rPr>
              <w:t>72 300</w:t>
            </w:r>
          </w:p>
        </w:tc>
        <w:tc>
          <w:tcPr>
            <w:tcW w:w="1882" w:type="dxa"/>
            <w:tcBorders>
              <w:top w:val="nil"/>
              <w:bottom w:val="nil"/>
            </w:tcBorders>
          </w:tcPr>
          <w:p w:rsidR="00000000" w:rsidRDefault="00000000">
            <w:pPr>
              <w:spacing w:line="288" w:lineRule="auto"/>
              <w:jc w:val="center"/>
              <w:rPr>
                <w:sz w:val="22"/>
              </w:rPr>
            </w:pPr>
            <w:r>
              <w:rPr>
                <w:sz w:val="22"/>
              </w:rPr>
              <w:t>32 800</w:t>
            </w:r>
          </w:p>
        </w:tc>
      </w:tr>
      <w:tr w:rsidR="00000000">
        <w:tblPrEx>
          <w:tblCellMar>
            <w:top w:w="0" w:type="dxa"/>
            <w:bottom w:w="0" w:type="dxa"/>
          </w:tblCellMar>
        </w:tblPrEx>
        <w:trPr>
          <w:jc w:val="center"/>
        </w:trPr>
        <w:tc>
          <w:tcPr>
            <w:tcW w:w="1882" w:type="dxa"/>
            <w:tcBorders>
              <w:top w:val="nil"/>
            </w:tcBorders>
          </w:tcPr>
          <w:p w:rsidR="00000000" w:rsidRDefault="00000000">
            <w:pPr>
              <w:spacing w:line="288" w:lineRule="auto"/>
              <w:jc w:val="center"/>
              <w:rPr>
                <w:sz w:val="22"/>
              </w:rPr>
            </w:pPr>
            <w:r>
              <w:rPr>
                <w:sz w:val="22"/>
              </w:rPr>
              <w:t>265 700</w:t>
            </w:r>
          </w:p>
        </w:tc>
        <w:tc>
          <w:tcPr>
            <w:tcW w:w="1882" w:type="dxa"/>
            <w:tcBorders>
              <w:top w:val="nil"/>
            </w:tcBorders>
          </w:tcPr>
          <w:p w:rsidR="00000000" w:rsidRDefault="00000000">
            <w:pPr>
              <w:spacing w:line="288" w:lineRule="auto"/>
              <w:jc w:val="center"/>
              <w:rPr>
                <w:sz w:val="22"/>
              </w:rPr>
            </w:pPr>
            <w:r>
              <w:rPr>
                <w:sz w:val="22"/>
              </w:rPr>
              <w:t>96 400</w:t>
            </w:r>
          </w:p>
        </w:tc>
        <w:tc>
          <w:tcPr>
            <w:tcW w:w="1882" w:type="dxa"/>
            <w:tcBorders>
              <w:top w:val="nil"/>
            </w:tcBorders>
          </w:tcPr>
          <w:p w:rsidR="00000000" w:rsidRDefault="00000000">
            <w:pPr>
              <w:spacing w:line="288" w:lineRule="auto"/>
              <w:jc w:val="center"/>
              <w:rPr>
                <w:sz w:val="22"/>
              </w:rPr>
            </w:pPr>
            <w:r>
              <w:rPr>
                <w:sz w:val="22"/>
              </w:rPr>
              <w:t>169 200</w:t>
            </w:r>
          </w:p>
        </w:tc>
        <w:tc>
          <w:tcPr>
            <w:tcW w:w="1882" w:type="dxa"/>
            <w:tcBorders>
              <w:top w:val="nil"/>
            </w:tcBorders>
          </w:tcPr>
          <w:p w:rsidR="00000000" w:rsidRDefault="00000000">
            <w:pPr>
              <w:spacing w:line="288" w:lineRule="auto"/>
              <w:jc w:val="center"/>
              <w:rPr>
                <w:sz w:val="22"/>
              </w:rPr>
            </w:pPr>
            <w:r>
              <w:rPr>
                <w:sz w:val="22"/>
              </w:rPr>
              <w:t>78 100</w:t>
            </w:r>
          </w:p>
        </w:tc>
        <w:tc>
          <w:tcPr>
            <w:tcW w:w="1882" w:type="dxa"/>
            <w:tcBorders>
              <w:top w:val="nil"/>
            </w:tcBorders>
          </w:tcPr>
          <w:p w:rsidR="00000000" w:rsidRDefault="00000000">
            <w:pPr>
              <w:spacing w:line="288" w:lineRule="auto"/>
              <w:jc w:val="center"/>
              <w:rPr>
                <w:sz w:val="22"/>
              </w:rPr>
            </w:pPr>
            <w:r>
              <w:rPr>
                <w:sz w:val="22"/>
              </w:rPr>
              <w:t>64 400</w:t>
            </w:r>
          </w:p>
        </w:tc>
      </w:tr>
    </w:tbl>
    <w:p w:rsidR="00000000" w:rsidRDefault="00000000">
      <w:pPr>
        <w:pStyle w:val="a6"/>
        <w:spacing w:line="240" w:lineRule="auto"/>
        <w:rPr>
          <w:rFonts w:eastAsia="SimSun" w:hint="eastAsia"/>
        </w:rPr>
      </w:pPr>
    </w:p>
    <w:p w:rsidR="00000000" w:rsidRDefault="00000000">
      <w:pPr>
        <w:spacing w:after="320"/>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：芬兰统计局，劳工调查。</w:t>
      </w:r>
    </w:p>
    <w:p w:rsidR="00000000" w:rsidRDefault="00000000">
      <w:pPr>
        <w:spacing w:after="360"/>
        <w:rPr>
          <w:rFonts w:hint="eastAsia"/>
        </w:rPr>
      </w:pPr>
      <w:r>
        <w:rPr>
          <w:rFonts w:hint="eastAsia"/>
        </w:rPr>
        <w:tab/>
        <w:t xml:space="preserve">216.  </w:t>
      </w:r>
      <w:r>
        <w:rPr>
          <w:rFonts w:hint="eastAsia"/>
        </w:rPr>
        <w:t>根据劳工部的统计数字，从</w:t>
      </w:r>
      <w:r>
        <w:rPr>
          <w:rFonts w:hint="eastAsia"/>
        </w:rPr>
        <w:t>1994</w:t>
      </w:r>
      <w:r>
        <w:rPr>
          <w:rFonts w:hint="eastAsia"/>
        </w:rPr>
        <w:t>年到</w:t>
      </w:r>
      <w:r>
        <w:rPr>
          <w:rFonts w:hint="eastAsia"/>
        </w:rPr>
        <w:t>1999</w:t>
      </w:r>
      <w:r>
        <w:rPr>
          <w:rFonts w:hint="eastAsia"/>
        </w:rPr>
        <w:t>年失业求职者的人数减少了大约</w:t>
      </w:r>
      <w:r>
        <w:rPr>
          <w:rFonts w:hint="eastAsia"/>
        </w:rPr>
        <w:t>30%</w:t>
      </w:r>
      <w:r>
        <w:rPr>
          <w:rFonts w:hint="eastAsia"/>
        </w:rPr>
        <w:t>。从</w:t>
      </w:r>
      <w:r>
        <w:rPr>
          <w:rFonts w:hint="eastAsia"/>
        </w:rPr>
        <w:t>1999</w:t>
      </w:r>
      <w:r>
        <w:rPr>
          <w:rFonts w:hint="eastAsia"/>
        </w:rPr>
        <w:t>年到</w:t>
      </w:r>
      <w:r>
        <w:rPr>
          <w:rFonts w:hint="eastAsia"/>
        </w:rPr>
        <w:t>2004</w:t>
      </w:r>
      <w:r>
        <w:rPr>
          <w:rFonts w:hint="eastAsia"/>
        </w:rPr>
        <w:t>年，有关人数只下降了</w:t>
      </w:r>
      <w:r>
        <w:rPr>
          <w:rFonts w:hint="eastAsia"/>
        </w:rPr>
        <w:t>17%</w:t>
      </w:r>
      <w:r>
        <w:rPr>
          <w:rFonts w:hint="eastAsia"/>
        </w:rPr>
        <w:t>。</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5</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1994</w:t>
      </w:r>
      <w:r>
        <w:rPr>
          <w:rFonts w:ascii="Time New Roman" w:eastAsia="SimHei" w:hAnsi="Time New Roman" w:hint="eastAsia"/>
          <w:sz w:val="22"/>
          <w:u w:val="none"/>
        </w:rPr>
        <w:t>年、</w:t>
      </w:r>
      <w:r>
        <w:rPr>
          <w:rFonts w:ascii="Time New Roman" w:eastAsia="SimHei" w:hAnsi="Time New Roman" w:hint="eastAsia"/>
          <w:b/>
          <w:sz w:val="22"/>
          <w:u w:val="none"/>
        </w:rPr>
        <w:t>1999</w:t>
      </w:r>
      <w:r>
        <w:rPr>
          <w:rFonts w:ascii="Time New Roman" w:eastAsia="SimHei" w:hAnsi="Time New Roman" w:hint="eastAsia"/>
          <w:sz w:val="22"/>
          <w:u w:val="none"/>
        </w:rPr>
        <w:t>年和</w:t>
      </w:r>
      <w:r>
        <w:rPr>
          <w:rFonts w:ascii="Time New Roman" w:eastAsia="SimHei" w:hAnsi="Time New Roman" w:hint="eastAsia"/>
          <w:b/>
          <w:sz w:val="22"/>
          <w:u w:val="none"/>
        </w:rPr>
        <w:t>2004</w:t>
      </w:r>
      <w:r>
        <w:rPr>
          <w:rFonts w:ascii="Time New Roman" w:eastAsia="SimHei" w:hAnsi="Time New Roman" w:hint="eastAsia"/>
          <w:sz w:val="22"/>
          <w:u w:val="none"/>
        </w:rPr>
        <w:t>年失业人员分类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568"/>
        <w:gridCol w:w="1568"/>
        <w:gridCol w:w="1568"/>
        <w:gridCol w:w="1569"/>
        <w:gridCol w:w="1569"/>
      </w:tblGrid>
      <w:tr w:rsidR="00000000">
        <w:tblPrEx>
          <w:tblCellMar>
            <w:top w:w="0" w:type="dxa"/>
            <w:bottom w:w="0" w:type="dxa"/>
          </w:tblCellMar>
        </w:tblPrEx>
        <w:tc>
          <w:tcPr>
            <w:tcW w:w="1568" w:type="dxa"/>
          </w:tcPr>
          <w:p w:rsidR="00000000" w:rsidRDefault="00000000">
            <w:pPr>
              <w:spacing w:before="120" w:line="288" w:lineRule="auto"/>
              <w:jc w:val="center"/>
              <w:rPr>
                <w:rFonts w:hint="eastAsia"/>
                <w:sz w:val="22"/>
              </w:rPr>
            </w:pPr>
            <w:r>
              <w:rPr>
                <w:rFonts w:hint="eastAsia"/>
                <w:sz w:val="22"/>
              </w:rPr>
              <w:t>总</w:t>
            </w:r>
            <w:r>
              <w:rPr>
                <w:rFonts w:hint="eastAsia"/>
                <w:sz w:val="22"/>
              </w:rPr>
              <w:t xml:space="preserve"> </w:t>
            </w:r>
            <w:r>
              <w:rPr>
                <w:rFonts w:hint="eastAsia"/>
                <w:sz w:val="22"/>
              </w:rPr>
              <w:t>数</w:t>
            </w:r>
          </w:p>
        </w:tc>
        <w:tc>
          <w:tcPr>
            <w:tcW w:w="1568" w:type="dxa"/>
          </w:tcPr>
          <w:p w:rsidR="00000000" w:rsidRDefault="00000000">
            <w:pPr>
              <w:spacing w:before="120" w:line="288" w:lineRule="auto"/>
              <w:jc w:val="center"/>
              <w:rPr>
                <w:rFonts w:hint="eastAsia"/>
                <w:sz w:val="22"/>
              </w:rPr>
            </w:pPr>
            <w:r>
              <w:rPr>
                <w:rFonts w:hint="eastAsia"/>
                <w:sz w:val="22"/>
              </w:rPr>
              <w:t>男</w:t>
            </w:r>
            <w:r>
              <w:rPr>
                <w:rFonts w:hint="eastAsia"/>
                <w:sz w:val="22"/>
              </w:rPr>
              <w:t xml:space="preserve"> </w:t>
            </w:r>
            <w:r>
              <w:rPr>
                <w:rFonts w:hint="eastAsia"/>
                <w:sz w:val="22"/>
              </w:rPr>
              <w:t>子</w:t>
            </w:r>
          </w:p>
        </w:tc>
        <w:tc>
          <w:tcPr>
            <w:tcW w:w="1568" w:type="dxa"/>
          </w:tcPr>
          <w:p w:rsidR="00000000" w:rsidRDefault="00000000">
            <w:pPr>
              <w:spacing w:before="120" w:line="288" w:lineRule="auto"/>
              <w:jc w:val="center"/>
              <w:rPr>
                <w:rFonts w:hint="eastAsia"/>
                <w:sz w:val="22"/>
              </w:rPr>
            </w:pPr>
            <w:r>
              <w:rPr>
                <w:rFonts w:hint="eastAsia"/>
                <w:sz w:val="22"/>
              </w:rPr>
              <w:t>妇</w:t>
            </w:r>
            <w:r>
              <w:rPr>
                <w:rFonts w:hint="eastAsia"/>
                <w:sz w:val="22"/>
              </w:rPr>
              <w:t xml:space="preserve"> </w:t>
            </w:r>
            <w:r>
              <w:rPr>
                <w:rFonts w:hint="eastAsia"/>
                <w:sz w:val="22"/>
              </w:rPr>
              <w:t>女</w:t>
            </w:r>
          </w:p>
        </w:tc>
        <w:tc>
          <w:tcPr>
            <w:tcW w:w="1568" w:type="dxa"/>
          </w:tcPr>
          <w:p w:rsidR="00000000" w:rsidRDefault="00000000">
            <w:pPr>
              <w:spacing w:before="120" w:line="288" w:lineRule="auto"/>
              <w:jc w:val="center"/>
              <w:rPr>
                <w:rFonts w:hint="eastAsia"/>
                <w:sz w:val="22"/>
              </w:rPr>
            </w:pPr>
            <w:r>
              <w:rPr>
                <w:rFonts w:hint="eastAsia"/>
                <w:sz w:val="22"/>
              </w:rPr>
              <w:t>青年人</w:t>
            </w:r>
          </w:p>
        </w:tc>
        <w:tc>
          <w:tcPr>
            <w:tcW w:w="1569" w:type="dxa"/>
          </w:tcPr>
          <w:p w:rsidR="00000000" w:rsidRDefault="00000000">
            <w:pPr>
              <w:spacing w:before="120" w:line="288" w:lineRule="auto"/>
              <w:jc w:val="center"/>
              <w:rPr>
                <w:rFonts w:hint="eastAsia"/>
                <w:sz w:val="22"/>
              </w:rPr>
            </w:pPr>
            <w:r>
              <w:rPr>
                <w:rFonts w:hint="eastAsia"/>
                <w:sz w:val="22"/>
              </w:rPr>
              <w:t>老年人</w:t>
            </w:r>
          </w:p>
        </w:tc>
        <w:tc>
          <w:tcPr>
            <w:tcW w:w="1569" w:type="dxa"/>
          </w:tcPr>
          <w:p w:rsidR="00000000" w:rsidRDefault="00000000">
            <w:pPr>
              <w:spacing w:before="120" w:line="288" w:lineRule="auto"/>
              <w:jc w:val="center"/>
              <w:rPr>
                <w:rFonts w:hint="eastAsia"/>
                <w:sz w:val="22"/>
              </w:rPr>
            </w:pPr>
            <w:r>
              <w:rPr>
                <w:rFonts w:hint="eastAsia"/>
                <w:sz w:val="22"/>
              </w:rPr>
              <w:t>失业率</w:t>
            </w:r>
          </w:p>
        </w:tc>
      </w:tr>
      <w:tr w:rsidR="00000000">
        <w:tblPrEx>
          <w:tblCellMar>
            <w:top w:w="0" w:type="dxa"/>
            <w:bottom w:w="0" w:type="dxa"/>
          </w:tblCellMar>
        </w:tblPrEx>
        <w:tc>
          <w:tcPr>
            <w:tcW w:w="1568" w:type="dxa"/>
            <w:tcBorders>
              <w:bottom w:val="nil"/>
            </w:tcBorders>
          </w:tcPr>
          <w:p w:rsidR="00000000" w:rsidRDefault="00000000">
            <w:pPr>
              <w:spacing w:before="120" w:line="288" w:lineRule="auto"/>
              <w:jc w:val="center"/>
              <w:rPr>
                <w:sz w:val="22"/>
              </w:rPr>
            </w:pPr>
            <w:r>
              <w:rPr>
                <w:sz w:val="22"/>
              </w:rPr>
              <w:t>408 300</w:t>
            </w:r>
          </w:p>
        </w:tc>
        <w:tc>
          <w:tcPr>
            <w:tcW w:w="1568" w:type="dxa"/>
            <w:tcBorders>
              <w:bottom w:val="nil"/>
            </w:tcBorders>
          </w:tcPr>
          <w:p w:rsidR="00000000" w:rsidRDefault="00000000">
            <w:pPr>
              <w:spacing w:before="120" w:line="288" w:lineRule="auto"/>
              <w:ind w:right="340"/>
              <w:jc w:val="right"/>
              <w:rPr>
                <w:sz w:val="22"/>
              </w:rPr>
            </w:pPr>
            <w:r>
              <w:rPr>
                <w:sz w:val="22"/>
              </w:rPr>
              <w:t>234 700</w:t>
            </w:r>
          </w:p>
        </w:tc>
        <w:tc>
          <w:tcPr>
            <w:tcW w:w="1568" w:type="dxa"/>
            <w:tcBorders>
              <w:bottom w:val="nil"/>
            </w:tcBorders>
          </w:tcPr>
          <w:p w:rsidR="00000000" w:rsidRDefault="00000000">
            <w:pPr>
              <w:spacing w:before="120" w:line="288" w:lineRule="auto"/>
              <w:ind w:right="340"/>
              <w:jc w:val="right"/>
              <w:rPr>
                <w:sz w:val="22"/>
              </w:rPr>
            </w:pPr>
            <w:r>
              <w:rPr>
                <w:sz w:val="22"/>
              </w:rPr>
              <w:t>173 600</w:t>
            </w:r>
          </w:p>
        </w:tc>
        <w:tc>
          <w:tcPr>
            <w:tcW w:w="1568" w:type="dxa"/>
            <w:tcBorders>
              <w:bottom w:val="nil"/>
            </w:tcBorders>
          </w:tcPr>
          <w:p w:rsidR="00000000" w:rsidRDefault="00000000">
            <w:pPr>
              <w:spacing w:before="120" w:line="288" w:lineRule="auto"/>
              <w:ind w:right="397"/>
              <w:jc w:val="right"/>
              <w:rPr>
                <w:sz w:val="22"/>
              </w:rPr>
            </w:pPr>
            <w:r>
              <w:rPr>
                <w:sz w:val="22"/>
              </w:rPr>
              <w:t>90 600</w:t>
            </w:r>
          </w:p>
        </w:tc>
        <w:tc>
          <w:tcPr>
            <w:tcW w:w="1569" w:type="dxa"/>
            <w:tcBorders>
              <w:bottom w:val="nil"/>
            </w:tcBorders>
          </w:tcPr>
          <w:p w:rsidR="00000000" w:rsidRDefault="00000000">
            <w:pPr>
              <w:spacing w:before="120" w:line="288" w:lineRule="auto"/>
              <w:jc w:val="center"/>
              <w:rPr>
                <w:sz w:val="22"/>
              </w:rPr>
            </w:pPr>
            <w:r>
              <w:rPr>
                <w:sz w:val="22"/>
              </w:rPr>
              <w:t>39 800</w:t>
            </w:r>
          </w:p>
        </w:tc>
        <w:tc>
          <w:tcPr>
            <w:tcW w:w="1569" w:type="dxa"/>
            <w:tcBorders>
              <w:bottom w:val="nil"/>
            </w:tcBorders>
          </w:tcPr>
          <w:p w:rsidR="00000000" w:rsidRDefault="00000000">
            <w:pPr>
              <w:tabs>
                <w:tab w:val="decimal" w:pos="732"/>
              </w:tabs>
              <w:spacing w:before="120" w:line="288" w:lineRule="auto"/>
              <w:rPr>
                <w:sz w:val="22"/>
              </w:rPr>
            </w:pPr>
            <w:r>
              <w:rPr>
                <w:sz w:val="22"/>
              </w:rPr>
              <w:t>16.6</w:t>
            </w:r>
          </w:p>
        </w:tc>
      </w:tr>
      <w:tr w:rsidR="00000000">
        <w:tblPrEx>
          <w:tblCellMar>
            <w:top w:w="0" w:type="dxa"/>
            <w:bottom w:w="0" w:type="dxa"/>
          </w:tblCellMar>
        </w:tblPrEx>
        <w:tc>
          <w:tcPr>
            <w:tcW w:w="1568" w:type="dxa"/>
            <w:tcBorders>
              <w:top w:val="nil"/>
              <w:bottom w:val="nil"/>
            </w:tcBorders>
          </w:tcPr>
          <w:p w:rsidR="00000000" w:rsidRDefault="00000000">
            <w:pPr>
              <w:spacing w:line="288" w:lineRule="auto"/>
              <w:jc w:val="center"/>
              <w:rPr>
                <w:sz w:val="22"/>
              </w:rPr>
            </w:pPr>
            <w:r>
              <w:rPr>
                <w:sz w:val="22"/>
              </w:rPr>
              <w:t>260 900</w:t>
            </w:r>
          </w:p>
        </w:tc>
        <w:tc>
          <w:tcPr>
            <w:tcW w:w="1568" w:type="dxa"/>
            <w:tcBorders>
              <w:top w:val="nil"/>
              <w:bottom w:val="nil"/>
            </w:tcBorders>
          </w:tcPr>
          <w:p w:rsidR="00000000" w:rsidRDefault="00000000">
            <w:pPr>
              <w:spacing w:line="288" w:lineRule="auto"/>
              <w:ind w:right="340"/>
              <w:jc w:val="right"/>
              <w:rPr>
                <w:sz w:val="22"/>
              </w:rPr>
            </w:pPr>
            <w:r>
              <w:rPr>
                <w:sz w:val="22"/>
              </w:rPr>
              <w:t>130 300</w:t>
            </w:r>
          </w:p>
        </w:tc>
        <w:tc>
          <w:tcPr>
            <w:tcW w:w="1568" w:type="dxa"/>
            <w:tcBorders>
              <w:top w:val="nil"/>
              <w:bottom w:val="nil"/>
            </w:tcBorders>
          </w:tcPr>
          <w:p w:rsidR="00000000" w:rsidRDefault="00000000">
            <w:pPr>
              <w:spacing w:line="288" w:lineRule="auto"/>
              <w:ind w:right="340"/>
              <w:jc w:val="right"/>
              <w:rPr>
                <w:sz w:val="22"/>
              </w:rPr>
            </w:pPr>
            <w:r>
              <w:rPr>
                <w:sz w:val="22"/>
              </w:rPr>
              <w:t>130 600</w:t>
            </w:r>
          </w:p>
        </w:tc>
        <w:tc>
          <w:tcPr>
            <w:tcW w:w="1568" w:type="dxa"/>
            <w:tcBorders>
              <w:top w:val="nil"/>
              <w:bottom w:val="nil"/>
            </w:tcBorders>
          </w:tcPr>
          <w:p w:rsidR="00000000" w:rsidRDefault="00000000">
            <w:pPr>
              <w:spacing w:line="288" w:lineRule="auto"/>
              <w:ind w:right="397"/>
              <w:jc w:val="right"/>
              <w:rPr>
                <w:sz w:val="22"/>
              </w:rPr>
            </w:pPr>
            <w:r>
              <w:rPr>
                <w:sz w:val="22"/>
              </w:rPr>
              <w:t>69 600</w:t>
            </w:r>
          </w:p>
        </w:tc>
        <w:tc>
          <w:tcPr>
            <w:tcW w:w="1569" w:type="dxa"/>
            <w:tcBorders>
              <w:top w:val="nil"/>
              <w:bottom w:val="nil"/>
            </w:tcBorders>
          </w:tcPr>
          <w:p w:rsidR="00000000" w:rsidRDefault="00000000">
            <w:pPr>
              <w:spacing w:line="288" w:lineRule="auto"/>
              <w:jc w:val="center"/>
              <w:rPr>
                <w:sz w:val="22"/>
              </w:rPr>
            </w:pPr>
            <w:r>
              <w:rPr>
                <w:sz w:val="22"/>
              </w:rPr>
              <w:t>24 200</w:t>
            </w:r>
          </w:p>
        </w:tc>
        <w:tc>
          <w:tcPr>
            <w:tcW w:w="1569" w:type="dxa"/>
            <w:tcBorders>
              <w:top w:val="nil"/>
              <w:bottom w:val="nil"/>
            </w:tcBorders>
          </w:tcPr>
          <w:p w:rsidR="00000000" w:rsidRDefault="00000000">
            <w:pPr>
              <w:tabs>
                <w:tab w:val="decimal" w:pos="732"/>
              </w:tabs>
              <w:spacing w:line="288" w:lineRule="auto"/>
              <w:rPr>
                <w:sz w:val="22"/>
              </w:rPr>
            </w:pPr>
            <w:r>
              <w:rPr>
                <w:sz w:val="22"/>
              </w:rPr>
              <w:t>10.2</w:t>
            </w:r>
          </w:p>
        </w:tc>
      </w:tr>
      <w:tr w:rsidR="00000000">
        <w:tblPrEx>
          <w:tblCellMar>
            <w:top w:w="0" w:type="dxa"/>
            <w:bottom w:w="0" w:type="dxa"/>
          </w:tblCellMar>
        </w:tblPrEx>
        <w:tc>
          <w:tcPr>
            <w:tcW w:w="1568" w:type="dxa"/>
            <w:tcBorders>
              <w:top w:val="nil"/>
            </w:tcBorders>
          </w:tcPr>
          <w:p w:rsidR="00000000" w:rsidRDefault="00000000">
            <w:pPr>
              <w:spacing w:line="288" w:lineRule="auto"/>
              <w:jc w:val="center"/>
              <w:rPr>
                <w:sz w:val="22"/>
              </w:rPr>
            </w:pPr>
            <w:r>
              <w:rPr>
                <w:sz w:val="22"/>
              </w:rPr>
              <w:t>228 800</w:t>
            </w:r>
          </w:p>
        </w:tc>
        <w:tc>
          <w:tcPr>
            <w:tcW w:w="1568" w:type="dxa"/>
            <w:tcBorders>
              <w:top w:val="nil"/>
            </w:tcBorders>
          </w:tcPr>
          <w:p w:rsidR="00000000" w:rsidRDefault="00000000">
            <w:pPr>
              <w:spacing w:line="288" w:lineRule="auto"/>
              <w:ind w:right="340"/>
              <w:jc w:val="right"/>
              <w:rPr>
                <w:sz w:val="22"/>
              </w:rPr>
            </w:pPr>
            <w:r>
              <w:rPr>
                <w:sz w:val="22"/>
              </w:rPr>
              <w:t>117 600</w:t>
            </w:r>
          </w:p>
        </w:tc>
        <w:tc>
          <w:tcPr>
            <w:tcW w:w="1568" w:type="dxa"/>
            <w:tcBorders>
              <w:top w:val="nil"/>
            </w:tcBorders>
          </w:tcPr>
          <w:p w:rsidR="00000000" w:rsidRDefault="00000000">
            <w:pPr>
              <w:spacing w:line="288" w:lineRule="auto"/>
              <w:ind w:right="340"/>
              <w:jc w:val="right"/>
              <w:rPr>
                <w:sz w:val="22"/>
              </w:rPr>
            </w:pPr>
            <w:r>
              <w:rPr>
                <w:sz w:val="22"/>
              </w:rPr>
              <w:t>111 300</w:t>
            </w:r>
          </w:p>
        </w:tc>
        <w:tc>
          <w:tcPr>
            <w:tcW w:w="1568" w:type="dxa"/>
            <w:tcBorders>
              <w:top w:val="nil"/>
            </w:tcBorders>
          </w:tcPr>
          <w:p w:rsidR="00000000" w:rsidRDefault="00000000">
            <w:pPr>
              <w:spacing w:line="288" w:lineRule="auto"/>
              <w:ind w:right="397"/>
              <w:jc w:val="right"/>
              <w:rPr>
                <w:sz w:val="22"/>
              </w:rPr>
            </w:pPr>
            <w:r>
              <w:rPr>
                <w:sz w:val="22"/>
              </w:rPr>
              <w:t>64 700</w:t>
            </w:r>
          </w:p>
        </w:tc>
        <w:tc>
          <w:tcPr>
            <w:tcW w:w="1569" w:type="dxa"/>
            <w:tcBorders>
              <w:top w:val="nil"/>
            </w:tcBorders>
          </w:tcPr>
          <w:p w:rsidR="00000000" w:rsidRDefault="00000000">
            <w:pPr>
              <w:spacing w:line="288" w:lineRule="auto"/>
              <w:jc w:val="center"/>
              <w:rPr>
                <w:sz w:val="22"/>
              </w:rPr>
            </w:pPr>
            <w:r>
              <w:rPr>
                <w:sz w:val="22"/>
              </w:rPr>
              <w:t>26 800</w:t>
            </w:r>
          </w:p>
        </w:tc>
        <w:tc>
          <w:tcPr>
            <w:tcW w:w="1569" w:type="dxa"/>
            <w:tcBorders>
              <w:top w:val="nil"/>
            </w:tcBorders>
          </w:tcPr>
          <w:p w:rsidR="00000000" w:rsidRDefault="00000000">
            <w:pPr>
              <w:tabs>
                <w:tab w:val="decimal" w:pos="732"/>
              </w:tabs>
              <w:spacing w:line="288" w:lineRule="auto"/>
              <w:rPr>
                <w:sz w:val="22"/>
              </w:rPr>
            </w:pPr>
            <w:r>
              <w:rPr>
                <w:sz w:val="22"/>
              </w:rPr>
              <w:t>8.8</w:t>
            </w:r>
          </w:p>
        </w:tc>
      </w:tr>
    </w:tbl>
    <w:p w:rsidR="00000000" w:rsidRDefault="00000000">
      <w:pPr>
        <w:pStyle w:val="a6"/>
        <w:spacing w:line="240" w:lineRule="auto"/>
        <w:rPr>
          <w:rFonts w:eastAsia="SimSun" w:hint="eastAsia"/>
        </w:rPr>
      </w:pPr>
    </w:p>
    <w:p w:rsidR="00000000" w:rsidRDefault="00000000">
      <w:pPr>
        <w:spacing w:after="320"/>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：芬兰统计局，劳工调查。</w:t>
      </w:r>
    </w:p>
    <w:p w:rsidR="00000000" w:rsidRDefault="00000000">
      <w:pPr>
        <w:rPr>
          <w:rFonts w:hint="eastAsia"/>
        </w:rPr>
      </w:pPr>
      <w:r>
        <w:rPr>
          <w:rFonts w:hint="eastAsia"/>
        </w:rPr>
        <w:tab/>
        <w:t xml:space="preserve">217.  </w:t>
      </w:r>
      <w:r>
        <w:rPr>
          <w:rFonts w:eastAsia="KaiTi_GB2312" w:hint="eastAsia"/>
          <w:snapToGrid/>
          <w:spacing w:val="0"/>
        </w:rPr>
        <w:t>性别</w:t>
      </w:r>
      <w:r>
        <w:rPr>
          <w:rFonts w:hint="eastAsia"/>
        </w:rPr>
        <w:t>。在过去十年中，男子和妇女的就业率以大约同等速度进行演变。妇女就业率的增加比男子稍低一些。然而，与此同时，妇女失业率的下降也明显要比男子缓慢。尽管如此，男子在所有失业人员中的比例要大一些。在非全日制的工人之中，</w:t>
      </w:r>
      <w:r>
        <w:rPr>
          <w:rFonts w:hint="eastAsia"/>
        </w:rPr>
        <w:t>2004</w:t>
      </w:r>
      <w:r>
        <w:rPr>
          <w:rFonts w:hint="eastAsia"/>
        </w:rPr>
        <w:t>年妇女的比例是</w:t>
      </w:r>
      <w:r>
        <w:rPr>
          <w:rFonts w:hint="eastAsia"/>
        </w:rPr>
        <w:t>64%</w:t>
      </w:r>
      <w:r>
        <w:rPr>
          <w:rFonts w:hint="eastAsia"/>
        </w:rPr>
        <w:t>。在过去十年中，妇女在所增加的非全日制工人人数中的比例要明显大一些。</w:t>
      </w:r>
    </w:p>
    <w:p w:rsidR="00000000" w:rsidRDefault="00000000">
      <w:pPr>
        <w:rPr>
          <w:rFonts w:hint="eastAsia"/>
        </w:rPr>
      </w:pPr>
      <w:r>
        <w:rPr>
          <w:rFonts w:hint="eastAsia"/>
        </w:rPr>
        <w:tab/>
        <w:t xml:space="preserve">218.  </w:t>
      </w:r>
      <w:r>
        <w:rPr>
          <w:rFonts w:hint="eastAsia"/>
        </w:rPr>
        <w:t>在</w:t>
      </w:r>
      <w:r>
        <w:rPr>
          <w:rFonts w:hint="eastAsia"/>
        </w:rPr>
        <w:t>2004</w:t>
      </w:r>
      <w:r>
        <w:rPr>
          <w:rFonts w:hint="eastAsia"/>
        </w:rPr>
        <w:t>年，妇女在</w:t>
      </w:r>
      <w:r>
        <w:rPr>
          <w:rFonts w:hint="eastAsia"/>
        </w:rPr>
        <w:t>15</w:t>
      </w:r>
      <w:r>
        <w:rPr>
          <w:rFonts w:hint="eastAsia"/>
        </w:rPr>
        <w:t>岁至</w:t>
      </w:r>
      <w:r>
        <w:rPr>
          <w:rFonts w:hint="eastAsia"/>
        </w:rPr>
        <w:t>64</w:t>
      </w:r>
      <w:r>
        <w:rPr>
          <w:rFonts w:hint="eastAsia"/>
        </w:rPr>
        <w:t>岁人口中的比例为</w:t>
      </w:r>
      <w:r>
        <w:rPr>
          <w:rFonts w:hint="eastAsia"/>
        </w:rPr>
        <w:t>50%</w:t>
      </w:r>
      <w:r>
        <w:rPr>
          <w:rFonts w:hint="eastAsia"/>
        </w:rPr>
        <w:t>，在就业人口中的比例为</w:t>
      </w:r>
      <w:r>
        <w:rPr>
          <w:rFonts w:hint="eastAsia"/>
        </w:rPr>
        <w:t>48%</w:t>
      </w:r>
      <w:r>
        <w:rPr>
          <w:rFonts w:hint="eastAsia"/>
        </w:rPr>
        <w:t>，在失业人口中的比例为</w:t>
      </w:r>
      <w:r>
        <w:rPr>
          <w:rFonts w:hint="eastAsia"/>
        </w:rPr>
        <w:t>49%</w:t>
      </w:r>
      <w:r>
        <w:rPr>
          <w:rFonts w:hint="eastAsia"/>
        </w:rPr>
        <w:t>，在没有进入劳动市场的人口中的比例为</w:t>
      </w:r>
      <w:r>
        <w:rPr>
          <w:rFonts w:hint="eastAsia"/>
        </w:rPr>
        <w:t>54%</w:t>
      </w:r>
      <w:r>
        <w:rPr>
          <w:rFonts w:hint="eastAsia"/>
        </w:rPr>
        <w:t>。妇女在所有组别中的比例接近</w:t>
      </w:r>
      <w:r>
        <w:rPr>
          <w:rFonts w:hint="eastAsia"/>
        </w:rPr>
        <w:t>50%</w:t>
      </w:r>
      <w:r>
        <w:rPr>
          <w:rFonts w:hint="eastAsia"/>
        </w:rPr>
        <w:t>，从而显示男女是平等的。</w:t>
      </w:r>
    </w:p>
    <w:p w:rsidR="00000000" w:rsidRDefault="00000000">
      <w:pPr>
        <w:rPr>
          <w:rFonts w:hint="eastAsia"/>
        </w:rPr>
      </w:pPr>
      <w:r>
        <w:rPr>
          <w:rFonts w:hint="eastAsia"/>
        </w:rPr>
        <w:tab/>
        <w:t xml:space="preserve">219.  </w:t>
      </w:r>
      <w:r>
        <w:rPr>
          <w:rFonts w:hint="eastAsia"/>
        </w:rPr>
        <w:t>男女之间的最大差别在于劳动市场以外的人口之中。从</w:t>
      </w:r>
      <w:r>
        <w:rPr>
          <w:rFonts w:hint="eastAsia"/>
        </w:rPr>
        <w:t>1998</w:t>
      </w:r>
      <w:r>
        <w:rPr>
          <w:rFonts w:hint="eastAsia"/>
        </w:rPr>
        <w:t>年到</w:t>
      </w:r>
      <w:r>
        <w:rPr>
          <w:rFonts w:hint="eastAsia"/>
        </w:rPr>
        <w:t>2001</w:t>
      </w:r>
      <w:r>
        <w:rPr>
          <w:rFonts w:hint="eastAsia"/>
        </w:rPr>
        <w:t>年，没有进入劳动市场的男子和妇女的人数都有所减少。这种妇女的人数在</w:t>
      </w:r>
      <w:r>
        <w:rPr>
          <w:rFonts w:hint="eastAsia"/>
        </w:rPr>
        <w:t>2002</w:t>
      </w:r>
      <w:r>
        <w:rPr>
          <w:rFonts w:hint="eastAsia"/>
        </w:rPr>
        <w:t>年继续减少。在过去两年中，在劳动市场以外的人数有所增加，其中男子的人数要比妇女稍多一些。在</w:t>
      </w:r>
      <w:r>
        <w:rPr>
          <w:rFonts w:hint="eastAsia"/>
        </w:rPr>
        <w:t>2000</w:t>
      </w:r>
      <w:r>
        <w:rPr>
          <w:rFonts w:hint="eastAsia"/>
        </w:rPr>
        <w:t>年，男女就业率相差</w:t>
      </w:r>
      <w:r>
        <w:rPr>
          <w:rFonts w:hint="eastAsia"/>
        </w:rPr>
        <w:t>5%</w:t>
      </w:r>
      <w:r>
        <w:rPr>
          <w:rFonts w:hint="eastAsia"/>
        </w:rPr>
        <w:t>。</w:t>
      </w:r>
      <w:r>
        <w:rPr>
          <w:rFonts w:hint="eastAsia"/>
        </w:rPr>
        <w:t>2001</w:t>
      </w:r>
      <w:r>
        <w:rPr>
          <w:rFonts w:hint="eastAsia"/>
        </w:rPr>
        <w:t>年以来的经济下降趋势造成了在依赖于出口的工业中的就业率下降。这种情况特别影响到男子的就业。因此，从</w:t>
      </w:r>
      <w:r>
        <w:rPr>
          <w:rFonts w:hint="eastAsia"/>
        </w:rPr>
        <w:t>2000</w:t>
      </w:r>
      <w:r>
        <w:rPr>
          <w:rFonts w:hint="eastAsia"/>
        </w:rPr>
        <w:t>年以来，在就业率方面的男女差别已经缩小。在</w:t>
      </w:r>
      <w:r>
        <w:rPr>
          <w:rFonts w:hint="eastAsia"/>
        </w:rPr>
        <w:t>2004</w:t>
      </w:r>
      <w:r>
        <w:rPr>
          <w:rFonts w:hint="eastAsia"/>
        </w:rPr>
        <w:t>年，男子的就业率为</w:t>
      </w:r>
      <w:r>
        <w:rPr>
          <w:rFonts w:hint="eastAsia"/>
        </w:rPr>
        <w:t>68.9%</w:t>
      </w:r>
      <w:r>
        <w:rPr>
          <w:rFonts w:hint="eastAsia"/>
        </w:rPr>
        <w:t>，而妇女的比例为</w:t>
      </w:r>
      <w:r>
        <w:rPr>
          <w:rFonts w:hint="eastAsia"/>
        </w:rPr>
        <w:t>65.5%</w:t>
      </w:r>
      <w:r>
        <w:rPr>
          <w:rFonts w:hint="eastAsia"/>
        </w:rPr>
        <w:t>。在</w:t>
      </w:r>
      <w:r>
        <w:rPr>
          <w:rFonts w:hint="eastAsia"/>
        </w:rPr>
        <w:t>1998</w:t>
      </w:r>
      <w:r>
        <w:rPr>
          <w:rFonts w:hint="eastAsia"/>
        </w:rPr>
        <w:t>年至</w:t>
      </w:r>
      <w:r>
        <w:rPr>
          <w:rFonts w:hint="eastAsia"/>
        </w:rPr>
        <w:t>2004</w:t>
      </w:r>
      <w:r>
        <w:rPr>
          <w:rFonts w:hint="eastAsia"/>
        </w:rPr>
        <w:t>年期间，只是从</w:t>
      </w:r>
      <w:r>
        <w:rPr>
          <w:rFonts w:hint="eastAsia"/>
        </w:rPr>
        <w:t>1999</w:t>
      </w:r>
      <w:r>
        <w:rPr>
          <w:rFonts w:hint="eastAsia"/>
        </w:rPr>
        <w:t>年到</w:t>
      </w:r>
      <w:r>
        <w:rPr>
          <w:rFonts w:hint="eastAsia"/>
        </w:rPr>
        <w:t>2001</w:t>
      </w:r>
      <w:r>
        <w:rPr>
          <w:rFonts w:hint="eastAsia"/>
        </w:rPr>
        <w:t>年妇女的失业人数才超过男子。然而，虽然在</w:t>
      </w:r>
      <w:r>
        <w:rPr>
          <w:rFonts w:hint="eastAsia"/>
        </w:rPr>
        <w:t>2004</w:t>
      </w:r>
      <w:r>
        <w:rPr>
          <w:rFonts w:hint="eastAsia"/>
        </w:rPr>
        <w:t>年失业男子的人数要超过妇女，但是其失业率</w:t>
      </w:r>
      <w:r>
        <w:rPr>
          <w:rFonts w:hint="eastAsia"/>
        </w:rPr>
        <w:t xml:space="preserve">(8.7%) </w:t>
      </w:r>
      <w:r>
        <w:rPr>
          <w:rFonts w:hint="eastAsia"/>
        </w:rPr>
        <w:t>要低于妇女的失业率</w:t>
      </w:r>
      <w:r>
        <w:rPr>
          <w:rFonts w:hint="eastAsia"/>
        </w:rPr>
        <w:t>(8.9%)</w:t>
      </w:r>
      <w:r>
        <w:rPr>
          <w:rFonts w:hint="eastAsia"/>
        </w:rPr>
        <w:t>。</w:t>
      </w:r>
    </w:p>
    <w:p w:rsidR="00000000" w:rsidRDefault="00000000">
      <w:pPr>
        <w:rPr>
          <w:rFonts w:hint="eastAsia"/>
        </w:rPr>
      </w:pPr>
      <w:r>
        <w:rPr>
          <w:rFonts w:hint="eastAsia"/>
        </w:rPr>
        <w:tab/>
        <w:t xml:space="preserve">220.  </w:t>
      </w:r>
      <w:r>
        <w:rPr>
          <w:rFonts w:hint="eastAsia"/>
        </w:rPr>
        <w:t>从</w:t>
      </w:r>
      <w:r>
        <w:rPr>
          <w:rFonts w:hint="eastAsia"/>
        </w:rPr>
        <w:t>1999</w:t>
      </w:r>
      <w:r>
        <w:rPr>
          <w:rFonts w:hint="eastAsia"/>
        </w:rPr>
        <w:t>年到</w:t>
      </w:r>
      <w:r>
        <w:rPr>
          <w:rFonts w:hint="eastAsia"/>
        </w:rPr>
        <w:t>2004</w:t>
      </w:r>
      <w:r>
        <w:rPr>
          <w:rFonts w:hint="eastAsia"/>
        </w:rPr>
        <w:t>年，就业男子的人数只增加了</w:t>
      </w:r>
      <w:r>
        <w:rPr>
          <w:rFonts w:hint="eastAsia"/>
        </w:rPr>
        <w:t>23,000</w:t>
      </w:r>
      <w:r>
        <w:rPr>
          <w:rFonts w:hint="eastAsia"/>
        </w:rPr>
        <w:t>人，而妇女增加了</w:t>
      </w:r>
      <w:r>
        <w:rPr>
          <w:rFonts w:hint="eastAsia"/>
        </w:rPr>
        <w:t>46,000</w:t>
      </w:r>
      <w:r>
        <w:rPr>
          <w:rFonts w:hint="eastAsia"/>
        </w:rPr>
        <w:t>人。妇女是职位增加的主要受益者，而在过去几年中，在男子占主导地位的工业部门中工作岗位有所减少。在</w:t>
      </w:r>
      <w:r>
        <w:rPr>
          <w:rFonts w:hint="eastAsia"/>
        </w:rPr>
        <w:t>2004</w:t>
      </w:r>
      <w:r>
        <w:rPr>
          <w:rFonts w:hint="eastAsia"/>
        </w:rPr>
        <w:t>年没有进入劳动市场的人口</w:t>
      </w:r>
      <w:r>
        <w:rPr>
          <w:rFonts w:hint="eastAsia"/>
        </w:rPr>
        <w:t>(15</w:t>
      </w:r>
      <w:r>
        <w:rPr>
          <w:rFonts w:hint="eastAsia"/>
        </w:rPr>
        <w:t>岁至</w:t>
      </w:r>
      <w:r>
        <w:rPr>
          <w:rFonts w:hint="eastAsia"/>
        </w:rPr>
        <w:t>64</w:t>
      </w:r>
      <w:r>
        <w:rPr>
          <w:rFonts w:hint="eastAsia"/>
        </w:rPr>
        <w:t>岁</w:t>
      </w:r>
      <w:r>
        <w:rPr>
          <w:rFonts w:hint="eastAsia"/>
        </w:rPr>
        <w:t xml:space="preserve">) </w:t>
      </w:r>
      <w:r>
        <w:rPr>
          <w:rFonts w:hint="eastAsia"/>
        </w:rPr>
        <w:t>中的妇女要比</w:t>
      </w:r>
      <w:r>
        <w:rPr>
          <w:rFonts w:hint="eastAsia"/>
        </w:rPr>
        <w:t>1999</w:t>
      </w:r>
      <w:r>
        <w:rPr>
          <w:rFonts w:hint="eastAsia"/>
        </w:rPr>
        <w:t>年减少</w:t>
      </w:r>
      <w:r>
        <w:rPr>
          <w:rFonts w:hint="eastAsia"/>
        </w:rPr>
        <w:t>9,200</w:t>
      </w:r>
      <w:r>
        <w:rPr>
          <w:rFonts w:hint="eastAsia"/>
        </w:rPr>
        <w:t>人，而男子则增加了</w:t>
      </w:r>
      <w:r>
        <w:rPr>
          <w:rFonts w:hint="eastAsia"/>
        </w:rPr>
        <w:t>10,500</w:t>
      </w:r>
      <w:r>
        <w:rPr>
          <w:rFonts w:hint="eastAsia"/>
        </w:rPr>
        <w:t>人。</w:t>
      </w:r>
    </w:p>
    <w:p w:rsidR="00000000" w:rsidRDefault="00000000">
      <w:pPr>
        <w:rPr>
          <w:rFonts w:hint="eastAsia"/>
        </w:rPr>
      </w:pPr>
      <w:r>
        <w:rPr>
          <w:rFonts w:hint="eastAsia"/>
        </w:rPr>
        <w:tab/>
        <w:t xml:space="preserve">221.  </w:t>
      </w:r>
      <w:r>
        <w:rPr>
          <w:rFonts w:hint="eastAsia"/>
        </w:rPr>
        <w:t>在所有的支薪雇员中，</w:t>
      </w:r>
      <w:r>
        <w:rPr>
          <w:rFonts w:hint="eastAsia"/>
        </w:rPr>
        <w:t>2004</w:t>
      </w:r>
      <w:r>
        <w:rPr>
          <w:rFonts w:hint="eastAsia"/>
        </w:rPr>
        <w:t>年有</w:t>
      </w:r>
      <w:r>
        <w:rPr>
          <w:rFonts w:hint="eastAsia"/>
        </w:rPr>
        <w:t>82%</w:t>
      </w:r>
      <w:r>
        <w:rPr>
          <w:rFonts w:hint="eastAsia"/>
        </w:rPr>
        <w:t>的男子和</w:t>
      </w:r>
      <w:r>
        <w:rPr>
          <w:rFonts w:hint="eastAsia"/>
        </w:rPr>
        <w:t>68%</w:t>
      </w:r>
      <w:r>
        <w:rPr>
          <w:rFonts w:hint="eastAsia"/>
        </w:rPr>
        <w:t>的女子连续从事全日制工作，有</w:t>
      </w:r>
      <w:r>
        <w:rPr>
          <w:rFonts w:hint="eastAsia"/>
        </w:rPr>
        <w:t>5%</w:t>
      </w:r>
      <w:r>
        <w:rPr>
          <w:rFonts w:hint="eastAsia"/>
        </w:rPr>
        <w:t>的男子和将近</w:t>
      </w:r>
      <w:r>
        <w:rPr>
          <w:rFonts w:hint="eastAsia"/>
        </w:rPr>
        <w:t>13%</w:t>
      </w:r>
      <w:r>
        <w:rPr>
          <w:rFonts w:hint="eastAsia"/>
        </w:rPr>
        <w:t>的妇女长期受雇于非全日制工作。</w:t>
      </w:r>
    </w:p>
    <w:p w:rsidR="00000000" w:rsidRDefault="00000000">
      <w:pPr>
        <w:rPr>
          <w:rFonts w:hint="eastAsia"/>
        </w:rPr>
      </w:pPr>
      <w:r>
        <w:rPr>
          <w:rFonts w:hint="eastAsia"/>
        </w:rPr>
        <w:tab/>
        <w:t xml:space="preserve">222.  </w:t>
      </w:r>
      <w:r>
        <w:rPr>
          <w:rFonts w:hint="eastAsia"/>
        </w:rPr>
        <w:t>在</w:t>
      </w:r>
      <w:r>
        <w:rPr>
          <w:rFonts w:hint="eastAsia"/>
        </w:rPr>
        <w:t>2004</w:t>
      </w:r>
      <w:r>
        <w:rPr>
          <w:rFonts w:hint="eastAsia"/>
        </w:rPr>
        <w:t>年，</w:t>
      </w:r>
      <w:r>
        <w:rPr>
          <w:rFonts w:hint="eastAsia"/>
        </w:rPr>
        <w:t>13%</w:t>
      </w:r>
      <w:r>
        <w:rPr>
          <w:rFonts w:hint="eastAsia"/>
        </w:rPr>
        <w:t>的男子和</w:t>
      </w:r>
      <w:r>
        <w:rPr>
          <w:rFonts w:hint="eastAsia"/>
        </w:rPr>
        <w:t>20%</w:t>
      </w:r>
      <w:r>
        <w:rPr>
          <w:rFonts w:hint="eastAsia"/>
        </w:rPr>
        <w:t>的妇女从事临时工。其中，</w:t>
      </w:r>
      <w:r>
        <w:rPr>
          <w:rFonts w:hint="eastAsia"/>
        </w:rPr>
        <w:t>21%</w:t>
      </w:r>
      <w:r>
        <w:rPr>
          <w:rFonts w:hint="eastAsia"/>
        </w:rPr>
        <w:t>的男子和</w:t>
      </w:r>
      <w:r>
        <w:rPr>
          <w:rFonts w:hint="eastAsia"/>
        </w:rPr>
        <w:t>28%</w:t>
      </w:r>
      <w:r>
        <w:rPr>
          <w:rFonts w:hint="eastAsia"/>
        </w:rPr>
        <w:t>的妇女从事非全日制工作。在</w:t>
      </w:r>
      <w:r>
        <w:rPr>
          <w:rFonts w:hint="eastAsia"/>
        </w:rPr>
        <w:t>2004</w:t>
      </w:r>
      <w:r>
        <w:rPr>
          <w:rFonts w:hint="eastAsia"/>
        </w:rPr>
        <w:t>年有</w:t>
      </w:r>
      <w:r>
        <w:rPr>
          <w:rFonts w:hint="eastAsia"/>
        </w:rPr>
        <w:t>13%</w:t>
      </w:r>
      <w:r>
        <w:rPr>
          <w:rFonts w:hint="eastAsia"/>
        </w:rPr>
        <w:t>的雇佣劳动者从事非全日制工作</w:t>
      </w:r>
      <w:r>
        <w:rPr>
          <w:rFonts w:hint="eastAsia"/>
        </w:rPr>
        <w:t>(</w:t>
      </w:r>
      <w:r>
        <w:rPr>
          <w:rFonts w:hint="eastAsia"/>
        </w:rPr>
        <w:t>占男工的</w:t>
      </w:r>
      <w:r>
        <w:rPr>
          <w:rFonts w:hint="eastAsia"/>
        </w:rPr>
        <w:t>8%</w:t>
      </w:r>
      <w:r>
        <w:rPr>
          <w:rFonts w:hint="eastAsia"/>
        </w:rPr>
        <w:t>，占女工的</w:t>
      </w:r>
      <w:r>
        <w:rPr>
          <w:rFonts w:hint="eastAsia"/>
        </w:rPr>
        <w:t>18%)</w:t>
      </w:r>
      <w:r>
        <w:rPr>
          <w:rFonts w:hint="eastAsia"/>
        </w:rPr>
        <w:t>。</w:t>
      </w:r>
    </w:p>
    <w:p w:rsidR="00000000" w:rsidRDefault="00000000">
      <w:pPr>
        <w:rPr>
          <w:rFonts w:hint="eastAsia"/>
        </w:rPr>
      </w:pPr>
      <w:r>
        <w:rPr>
          <w:rFonts w:hint="eastAsia"/>
        </w:rPr>
        <w:tab/>
        <w:t xml:space="preserve">223.  </w:t>
      </w:r>
      <w:r>
        <w:rPr>
          <w:rFonts w:eastAsia="KaiTi_GB2312" w:hint="eastAsia"/>
          <w:snapToGrid/>
          <w:spacing w:val="0"/>
        </w:rPr>
        <w:t>青年人</w:t>
      </w:r>
      <w:r>
        <w:rPr>
          <w:rFonts w:hint="eastAsia"/>
        </w:rPr>
        <w:t>。从</w:t>
      </w:r>
      <w:r>
        <w:rPr>
          <w:rFonts w:hint="eastAsia"/>
        </w:rPr>
        <w:t>1994</w:t>
      </w:r>
      <w:r>
        <w:rPr>
          <w:rFonts w:hint="eastAsia"/>
        </w:rPr>
        <w:t>年到</w:t>
      </w:r>
      <w:r>
        <w:rPr>
          <w:rFonts w:hint="eastAsia"/>
        </w:rPr>
        <w:t>2004</w:t>
      </w:r>
      <w:r>
        <w:rPr>
          <w:rFonts w:hint="eastAsia"/>
        </w:rPr>
        <w:t>年，就业的青年人</w:t>
      </w:r>
      <w:r>
        <w:rPr>
          <w:rFonts w:hint="eastAsia"/>
        </w:rPr>
        <w:t>(15</w:t>
      </w:r>
      <w:r>
        <w:rPr>
          <w:rFonts w:hint="eastAsia"/>
        </w:rPr>
        <w:t>岁至</w:t>
      </w:r>
      <w:r>
        <w:rPr>
          <w:rFonts w:hint="eastAsia"/>
        </w:rPr>
        <w:t>24</w:t>
      </w:r>
      <w:r>
        <w:rPr>
          <w:rFonts w:hint="eastAsia"/>
        </w:rPr>
        <w:t>岁</w:t>
      </w:r>
      <w:r>
        <w:rPr>
          <w:rFonts w:hint="eastAsia"/>
        </w:rPr>
        <w:t>)</w:t>
      </w:r>
      <w:r>
        <w:rPr>
          <w:rFonts w:hint="eastAsia"/>
        </w:rPr>
        <w:t>增加了</w:t>
      </w:r>
      <w:r>
        <w:rPr>
          <w:rFonts w:hint="eastAsia"/>
        </w:rPr>
        <w:t>40%</w:t>
      </w:r>
      <w:r>
        <w:rPr>
          <w:rFonts w:hint="eastAsia"/>
        </w:rPr>
        <w:t>多，是整体就业率增长的两倍。其部分原因在于从事非全日制工作的青年人数大量增加。与此相反，失业青年的人数减幅明显低于同期失业人员的整体数字。青年的失业率</w:t>
      </w:r>
      <w:r>
        <w:rPr>
          <w:rFonts w:hint="eastAsia"/>
        </w:rPr>
        <w:t>(21%)</w:t>
      </w:r>
      <w:r>
        <w:rPr>
          <w:rFonts w:hint="eastAsia"/>
        </w:rPr>
        <w:t>也要比整体失业率高出两倍。这是因为在芬兰</w:t>
      </w:r>
      <w:r>
        <w:rPr>
          <w:rFonts w:hint="eastAsia"/>
        </w:rPr>
        <w:t>25</w:t>
      </w:r>
      <w:r>
        <w:rPr>
          <w:rFonts w:hint="eastAsia"/>
        </w:rPr>
        <w:t>岁以下的失业青年中超过一半是全日制学生。如果不算这一部分人的比例，青年人的失业率就接近全国整体失业率。</w:t>
      </w:r>
    </w:p>
    <w:p w:rsidR="00000000" w:rsidRDefault="00000000">
      <w:pPr>
        <w:rPr>
          <w:rFonts w:hint="eastAsia"/>
        </w:rPr>
      </w:pPr>
      <w:r>
        <w:rPr>
          <w:rFonts w:hint="eastAsia"/>
        </w:rPr>
        <w:tab/>
        <w:t xml:space="preserve">224.  </w:t>
      </w:r>
      <w:r>
        <w:rPr>
          <w:rFonts w:eastAsia="KaiTi_GB2312" w:hint="eastAsia"/>
          <w:snapToGrid/>
          <w:spacing w:val="0"/>
        </w:rPr>
        <w:t>老年人</w:t>
      </w:r>
      <w:r>
        <w:rPr>
          <w:rFonts w:hint="eastAsia"/>
        </w:rPr>
        <w:t>。在过去十年中老年人</w:t>
      </w:r>
      <w:r>
        <w:rPr>
          <w:rFonts w:hint="eastAsia"/>
        </w:rPr>
        <w:t>(55</w:t>
      </w:r>
      <w:r>
        <w:rPr>
          <w:rFonts w:hint="eastAsia"/>
        </w:rPr>
        <w:t>岁至</w:t>
      </w:r>
      <w:r>
        <w:rPr>
          <w:rFonts w:hint="eastAsia"/>
        </w:rPr>
        <w:t>64</w:t>
      </w:r>
      <w:r>
        <w:rPr>
          <w:rFonts w:hint="eastAsia"/>
        </w:rPr>
        <w:t>岁</w:t>
      </w:r>
      <w:r>
        <w:rPr>
          <w:rFonts w:hint="eastAsia"/>
        </w:rPr>
        <w:t>)</w:t>
      </w:r>
      <w:r>
        <w:rPr>
          <w:rFonts w:hint="eastAsia"/>
        </w:rPr>
        <w:t>的就业人数增加了一倍。与此同时，其就业率也增加了</w:t>
      </w:r>
      <w:r>
        <w:rPr>
          <w:rFonts w:hint="eastAsia"/>
        </w:rPr>
        <w:t>17%</w:t>
      </w:r>
      <w:r>
        <w:rPr>
          <w:rFonts w:hint="eastAsia"/>
        </w:rPr>
        <w:t>，占芬兰老年人总数的</w:t>
      </w:r>
      <w:r>
        <w:rPr>
          <w:rFonts w:hint="eastAsia"/>
        </w:rPr>
        <w:t>51%</w:t>
      </w:r>
      <w:r>
        <w:rPr>
          <w:rFonts w:hint="eastAsia"/>
        </w:rPr>
        <w:t>。从事非全日制工作的老年人人数增长特别快，其部分原因在于越来越多地使用了非全日制工作的退休计划。然而，同失业人员的总数相比，失业老年人人数的减少要明显缓慢。根据劳工部的统计数字，在</w:t>
      </w:r>
      <w:r>
        <w:rPr>
          <w:rFonts w:hint="eastAsia"/>
        </w:rPr>
        <w:t>1990</w:t>
      </w:r>
      <w:r>
        <w:rPr>
          <w:rFonts w:hint="eastAsia"/>
        </w:rPr>
        <w:t>年代末期，</w:t>
      </w:r>
      <w:r>
        <w:rPr>
          <w:rFonts w:hint="eastAsia"/>
        </w:rPr>
        <w:t>50</w:t>
      </w:r>
      <w:r>
        <w:rPr>
          <w:rFonts w:hint="eastAsia"/>
        </w:rPr>
        <w:t>岁以上的失业求职者的人数甚至有所增加。在</w:t>
      </w:r>
      <w:r>
        <w:rPr>
          <w:rFonts w:hint="eastAsia"/>
        </w:rPr>
        <w:t>2004</w:t>
      </w:r>
      <w:r>
        <w:rPr>
          <w:rFonts w:hint="eastAsia"/>
        </w:rPr>
        <w:t>年，这种求职者的平均人数只比</w:t>
      </w:r>
      <w:r>
        <w:rPr>
          <w:rFonts w:hint="eastAsia"/>
        </w:rPr>
        <w:t>1999</w:t>
      </w:r>
      <w:r>
        <w:rPr>
          <w:rFonts w:hint="eastAsia"/>
        </w:rPr>
        <w:t>年减少</w:t>
      </w:r>
      <w:r>
        <w:rPr>
          <w:rFonts w:hint="eastAsia"/>
        </w:rPr>
        <w:t>6,600</w:t>
      </w:r>
      <w:r>
        <w:rPr>
          <w:rFonts w:hint="eastAsia"/>
        </w:rPr>
        <w:t>人。对于老年人来说，失业率难以下降是个特别严重的问题。老年人就业状况的改善以及其失业率难以下降之原因在于越来越多的人成为老年人，并且接近退休年龄。随着更多的人加入老年人群体，这种影响将更为严重。</w:t>
      </w:r>
    </w:p>
    <w:p w:rsidR="00000000" w:rsidRDefault="00000000">
      <w:pPr>
        <w:rPr>
          <w:rFonts w:hint="eastAsia"/>
        </w:rPr>
      </w:pPr>
      <w:r>
        <w:rPr>
          <w:rFonts w:hint="eastAsia"/>
        </w:rPr>
        <w:tab/>
        <w:t xml:space="preserve">225.  </w:t>
      </w:r>
      <w:r>
        <w:rPr>
          <w:rFonts w:eastAsia="KaiTi_GB2312" w:hint="eastAsia"/>
          <w:snapToGrid/>
          <w:spacing w:val="0"/>
        </w:rPr>
        <w:t>残疾人</w:t>
      </w:r>
      <w:r>
        <w:rPr>
          <w:rFonts w:hint="eastAsia"/>
        </w:rPr>
        <w:t>。国家就业政策措施的一个重要目标群体是公共部门和私营部门中的残疾人。在本报告所涉期间，为了加强残疾人的就业和消除在这一方面的障碍，对于一些法律进行了修订。这些法律修订特别涉及：《国家退休金法》、《社会福利法》、以及三项新的法律：《康复工作法》</w:t>
      </w:r>
      <w:r>
        <w:rPr>
          <w:rFonts w:hint="eastAsia"/>
        </w:rPr>
        <w:t>(189/2001)</w:t>
      </w:r>
      <w:r>
        <w:rPr>
          <w:rFonts w:hint="eastAsia"/>
        </w:rPr>
        <w:t>、《公共就业服务法》</w:t>
      </w:r>
      <w:r>
        <w:rPr>
          <w:rFonts w:hint="eastAsia"/>
        </w:rPr>
        <w:t>(1295/2002)</w:t>
      </w:r>
      <w:r>
        <w:rPr>
          <w:rFonts w:hint="eastAsia"/>
        </w:rPr>
        <w:t>以及《社会企业法》</w:t>
      </w:r>
      <w:r>
        <w:rPr>
          <w:rFonts w:hint="eastAsia"/>
        </w:rPr>
        <w:t>(1351/2003)</w:t>
      </w:r>
      <w:r>
        <w:rPr>
          <w:rFonts w:hint="eastAsia"/>
        </w:rPr>
        <w:t>。修订这些法律是为了加强有工作能力障碍的人、长期失业的人以及老年求职者的就业，其中包括残疾人的就业。</w:t>
      </w:r>
    </w:p>
    <w:p w:rsidR="00000000" w:rsidRDefault="00000000">
      <w:pPr>
        <w:rPr>
          <w:rFonts w:hint="eastAsia"/>
        </w:rPr>
      </w:pPr>
      <w:r>
        <w:rPr>
          <w:rFonts w:hint="eastAsia"/>
        </w:rPr>
        <w:tab/>
        <w:t xml:space="preserve">226.  </w:t>
      </w:r>
      <w:r>
        <w:rPr>
          <w:rFonts w:hint="eastAsia"/>
        </w:rPr>
        <w:t>根据《国家退休金法》</w:t>
      </w:r>
      <w:r>
        <w:rPr>
          <w:rFonts w:hint="eastAsia"/>
        </w:rPr>
        <w:t>(347/1956)</w:t>
      </w:r>
      <w:r>
        <w:rPr>
          <w:rFonts w:hint="eastAsia"/>
        </w:rPr>
        <w:t>第</w:t>
      </w:r>
      <w:r>
        <w:rPr>
          <w:rFonts w:hint="eastAsia"/>
        </w:rPr>
        <w:t>22</w:t>
      </w:r>
      <w:r>
        <w:rPr>
          <w:rFonts w:hint="eastAsia"/>
        </w:rPr>
        <w:t>节的修正案</w:t>
      </w:r>
      <w:r>
        <w:rPr>
          <w:rFonts w:hint="eastAsia"/>
        </w:rPr>
        <w:t>(70/2002)</w:t>
      </w:r>
      <w:r>
        <w:rPr>
          <w:rFonts w:hint="eastAsia"/>
        </w:rPr>
        <w:t>的规定，残疾人在返回工作岗位之后仍然有权领取最多不超过五年</w:t>
      </w:r>
      <w:r>
        <w:rPr>
          <w:rFonts w:hint="eastAsia"/>
        </w:rPr>
        <w:t>(</w:t>
      </w:r>
      <w:r>
        <w:rPr>
          <w:rFonts w:hint="eastAsia"/>
        </w:rPr>
        <w:t>而不是两年</w:t>
      </w:r>
      <w:r>
        <w:rPr>
          <w:rFonts w:hint="eastAsia"/>
        </w:rPr>
        <w:t>)</w:t>
      </w:r>
      <w:r>
        <w:rPr>
          <w:rFonts w:hint="eastAsia"/>
        </w:rPr>
        <w:t>的残疾津贴。在这个时期，除了雇主支付的工资以外，残疾人还可领取特殊补助。然而，国家残疾人理事会指出，只有极少数人领取了为期五年的残疾津贴。为了帮助残疾人的康复和就业，还对《国家退休金法》作了另外一次修订</w:t>
      </w:r>
      <w:r>
        <w:rPr>
          <w:rFonts w:hint="eastAsia"/>
        </w:rPr>
        <w:t>(</w:t>
      </w:r>
      <w:r>
        <w:rPr>
          <w:rFonts w:hint="eastAsia"/>
        </w:rPr>
        <w:t>同时还修订了《残疾津贴法》；</w:t>
      </w:r>
      <w:r>
        <w:rPr>
          <w:rFonts w:hint="eastAsia"/>
        </w:rPr>
        <w:t>124/1988)</w:t>
      </w:r>
      <w:r>
        <w:rPr>
          <w:rFonts w:hint="eastAsia"/>
        </w:rPr>
        <w:t>，将在没有评估康复可能性的情况下发放残疾津贴的最低年龄从原先的</w:t>
      </w:r>
      <w:r>
        <w:rPr>
          <w:rFonts w:hint="eastAsia"/>
        </w:rPr>
        <w:t>18</w:t>
      </w:r>
      <w:r>
        <w:rPr>
          <w:rFonts w:hint="eastAsia"/>
        </w:rPr>
        <w:t>岁提高到了</w:t>
      </w:r>
      <w:r>
        <w:rPr>
          <w:rFonts w:hint="eastAsia"/>
        </w:rPr>
        <w:t>20</w:t>
      </w:r>
      <w:r>
        <w:rPr>
          <w:rFonts w:hint="eastAsia"/>
        </w:rPr>
        <w:t>岁。此外，如果受益人的收入超过了一定金额，残疾津贴应当停发。这次修订之目的是要使得有关停发残疾津贴的规定更为有效。</w:t>
      </w:r>
    </w:p>
    <w:p w:rsidR="00000000" w:rsidRDefault="00000000">
      <w:pPr>
        <w:rPr>
          <w:rFonts w:hint="eastAsia"/>
        </w:rPr>
      </w:pPr>
      <w:r>
        <w:rPr>
          <w:rFonts w:hint="eastAsia"/>
        </w:rPr>
        <w:tab/>
        <w:t xml:space="preserve">227.  </w:t>
      </w:r>
      <w:r>
        <w:rPr>
          <w:rFonts w:hint="eastAsia"/>
        </w:rPr>
        <w:t>在改革养老金计划的过程中对适用于康复的养老金法律规定进行了修订，并且从</w:t>
      </w:r>
      <w:r>
        <w:rPr>
          <w:rFonts w:hint="eastAsia"/>
        </w:rPr>
        <w:t>2004</w:t>
      </w:r>
      <w:r>
        <w:rPr>
          <w:rFonts w:hint="eastAsia"/>
        </w:rPr>
        <w:t>年</w:t>
      </w:r>
      <w:r>
        <w:rPr>
          <w:rFonts w:hint="eastAsia"/>
        </w:rPr>
        <w:t>1</w:t>
      </w:r>
      <w:r>
        <w:rPr>
          <w:rFonts w:hint="eastAsia"/>
        </w:rPr>
        <w:t>月</w:t>
      </w:r>
      <w:r>
        <w:rPr>
          <w:rFonts w:hint="eastAsia"/>
        </w:rPr>
        <w:t>1</w:t>
      </w:r>
      <w:r>
        <w:rPr>
          <w:rFonts w:hint="eastAsia"/>
        </w:rPr>
        <w:t>日开始生效。改革之目的是要鼓励早期职业康复，和劝阻提早退休。改革侧重于保持工作年龄人口的劳动能力和职业康复。《公共就业服务法》规定了各种形式的职业康复服务。《公共就业服务法》、《社会企业法》以及《康复工作法》在下文第</w:t>
      </w:r>
      <w:r>
        <w:rPr>
          <w:rFonts w:hint="eastAsia"/>
        </w:rPr>
        <w:t>2</w:t>
      </w:r>
      <w:r>
        <w:t>(b)</w:t>
      </w:r>
      <w:r>
        <w:rPr>
          <w:rFonts w:hint="eastAsia"/>
        </w:rPr>
        <w:t>节中均有说明。向所有有工作能力障碍的人提供了职业康复服务。有工作能力障碍的求职者包括残疾人。</w:t>
      </w:r>
    </w:p>
    <w:p w:rsidR="00000000" w:rsidRDefault="00000000">
      <w:pPr>
        <w:rPr>
          <w:rFonts w:hint="eastAsia"/>
        </w:rPr>
      </w:pPr>
      <w:r>
        <w:rPr>
          <w:rFonts w:hint="eastAsia"/>
        </w:rPr>
        <w:tab/>
        <w:t xml:space="preserve">228.  </w:t>
      </w:r>
      <w:r>
        <w:rPr>
          <w:rFonts w:hint="eastAsia"/>
        </w:rPr>
        <w:t>通过支助措施雇佣的人通常必须是失业求职者。然而，即使盲人和有严重残疾的人根据《国家退休金法》第</w:t>
      </w:r>
      <w:r>
        <w:rPr>
          <w:rFonts w:hint="eastAsia"/>
        </w:rPr>
        <w:t>22</w:t>
      </w:r>
      <w:r>
        <w:rPr>
          <w:rFonts w:hint="eastAsia"/>
        </w:rPr>
        <w:t>节的规定领取了残疾津贴，他们仍然被视为失业者。如果雇主雇佣了那些无法通过就业服务或者包括职业康复在内的就业支助措施安排工作的失业求职者，可以领取雇佣补助，但是最长不得超过两年。此外，根据《失业保障法》第三章第</w:t>
      </w:r>
      <w:r>
        <w:rPr>
          <w:rFonts w:hint="eastAsia"/>
        </w:rPr>
        <w:t>3</w:t>
      </w:r>
      <w:r>
        <w:rPr>
          <w:rFonts w:hint="eastAsia"/>
        </w:rPr>
        <w:t>节第</w:t>
      </w:r>
      <w:r>
        <w:rPr>
          <w:rFonts w:hint="eastAsia"/>
        </w:rPr>
        <w:t>2</w:t>
      </w:r>
      <w:r>
        <w:rPr>
          <w:rFonts w:hint="eastAsia"/>
        </w:rPr>
        <w:t>分节的规定，可向有权领取残疾津贴的人发放失业补助，但是，他们在其他方面必须符合领取失业补助的条件。</w:t>
      </w:r>
    </w:p>
    <w:p w:rsidR="00000000" w:rsidRDefault="00000000">
      <w:pPr>
        <w:rPr>
          <w:rFonts w:hint="eastAsia"/>
        </w:rPr>
      </w:pPr>
      <w:r>
        <w:rPr>
          <w:rFonts w:hint="eastAsia"/>
        </w:rPr>
        <w:tab/>
        <w:t xml:space="preserve">229.  </w:t>
      </w:r>
      <w:r>
        <w:rPr>
          <w:rFonts w:hint="eastAsia"/>
        </w:rPr>
        <w:t>虽然劳工管理部门是主要负责推动残疾人就业的机构，但是社会福利系统也协助其工作。根据经过修订的《社会福利法》的有关条款</w:t>
      </w:r>
      <w:r>
        <w:rPr>
          <w:rFonts w:hint="eastAsia"/>
        </w:rPr>
        <w:t>(</w:t>
      </w:r>
      <w:r>
        <w:rPr>
          <w:rFonts w:hint="eastAsia"/>
        </w:rPr>
        <w:t>第</w:t>
      </w:r>
      <w:r>
        <w:rPr>
          <w:rFonts w:hint="eastAsia"/>
        </w:rPr>
        <w:t>17</w:t>
      </w:r>
      <w:r>
        <w:rPr>
          <w:rFonts w:hint="eastAsia"/>
        </w:rPr>
        <w:t>、</w:t>
      </w:r>
      <w:r>
        <w:rPr>
          <w:rFonts w:hint="eastAsia"/>
        </w:rPr>
        <w:t>27</w:t>
      </w:r>
      <w:r>
        <w:t>d</w:t>
      </w:r>
      <w:r>
        <w:rPr>
          <w:rFonts w:hint="eastAsia"/>
        </w:rPr>
        <w:t xml:space="preserve"> </w:t>
      </w:r>
      <w:r>
        <w:rPr>
          <w:rFonts w:hint="eastAsia"/>
        </w:rPr>
        <w:t>和</w:t>
      </w:r>
      <w:r>
        <w:rPr>
          <w:rFonts w:hint="eastAsia"/>
        </w:rPr>
        <w:t>27</w:t>
      </w:r>
      <w:r>
        <w:t>e</w:t>
      </w:r>
      <w:r>
        <w:rPr>
          <w:rFonts w:hint="eastAsia"/>
        </w:rPr>
        <w:t>节</w:t>
      </w:r>
      <w:r>
        <w:rPr>
          <w:rFonts w:hint="eastAsia"/>
        </w:rPr>
        <w:t>)</w:t>
      </w:r>
      <w:r>
        <w:rPr>
          <w:rFonts w:hint="eastAsia"/>
        </w:rPr>
        <w:t>，地方当局有义务在提供社会福利服务的框架内，采取措施支持残疾人的就业，并且安排残疾人求职。修订《社会福利法》的目标之一是将残疾人的福利工厂发展成为能够就残疾人就业提供专家意见的咨询中心。然而，尽管进行了修订，还是很少残疾人能够在福利工厂以外就业。</w:t>
      </w:r>
    </w:p>
    <w:p w:rsidR="00000000" w:rsidRDefault="00000000">
      <w:pPr>
        <w:rPr>
          <w:rFonts w:hint="eastAsia"/>
        </w:rPr>
      </w:pPr>
      <w:r>
        <w:rPr>
          <w:rFonts w:hint="eastAsia"/>
        </w:rPr>
        <w:tab/>
        <w:t xml:space="preserve">230.  </w:t>
      </w:r>
      <w:r>
        <w:rPr>
          <w:rFonts w:hint="eastAsia"/>
        </w:rPr>
        <w:t>残疾人组织批评了在法律中所使用的术语以及为改进残疾人的就业状况而采取的措施。它们认为这些措施是不够的，其中包括《社会企业法》。它们认为，这项法律没有能够特别改善残疾人在私营部门的就业机会。国家残疾人理事会认为，有关法律应当具体提到残疾求职者。</w:t>
      </w:r>
    </w:p>
    <w:p w:rsidR="00000000" w:rsidRDefault="00000000">
      <w:pPr>
        <w:rPr>
          <w:rFonts w:hint="eastAsia"/>
          <w:spacing w:val="8"/>
        </w:rPr>
      </w:pPr>
      <w:r>
        <w:rPr>
          <w:rFonts w:hint="eastAsia"/>
        </w:rPr>
        <w:tab/>
        <w:t xml:space="preserve">231.  </w:t>
      </w:r>
      <w:r>
        <w:rPr>
          <w:rFonts w:eastAsia="KaiTi_GB2312" w:hint="eastAsia"/>
          <w:snapToGrid/>
          <w:spacing w:val="0"/>
        </w:rPr>
        <w:t>地区差别</w:t>
      </w:r>
      <w:r>
        <w:rPr>
          <w:rFonts w:hint="eastAsia"/>
        </w:rPr>
        <w:t>。</w:t>
      </w:r>
      <w:r>
        <w:rPr>
          <w:rFonts w:hint="eastAsia"/>
          <w:spacing w:val="8"/>
        </w:rPr>
        <w:t>在过去几年中，各个地区的就业发展是不平衡的。在经济呈下降趋势的时期，芬兰南部地区的就业状况最为糟糕。同样，在过去两年中，芬兰南部的失业率甚至有所上升。世界性的经济衰退既影响到那些十分依赖出口以及信息技术部门发展的其他快速增长地区，也影响到芬兰的南部地区。与此相反，在芬兰的东部和北部，失业率继续迅速下降。在经济呈下降趋势的时期，各个地区在就业方面的差距已经缩小，因为通常是南部地区和中部地区得益于高速发展。根据劳工部的统计数字，与前一年相比，</w:t>
      </w:r>
      <w:r>
        <w:rPr>
          <w:rFonts w:hint="eastAsia"/>
          <w:spacing w:val="8"/>
        </w:rPr>
        <w:t>2004</w:t>
      </w:r>
      <w:r>
        <w:rPr>
          <w:rFonts w:hint="eastAsia"/>
          <w:spacing w:val="8"/>
        </w:rPr>
        <w:t>年芬兰南部地区和西部地区失业求职者的人数有所增加。</w:t>
      </w:r>
    </w:p>
    <w:p w:rsidR="00000000" w:rsidRDefault="00000000">
      <w:pPr>
        <w:spacing w:after="240"/>
        <w:rPr>
          <w:rFonts w:hint="eastAsia"/>
        </w:rPr>
      </w:pPr>
      <w:r>
        <w:rPr>
          <w:rFonts w:hint="eastAsia"/>
        </w:rPr>
        <w:tab/>
        <w:t xml:space="preserve">232.  </w:t>
      </w:r>
      <w:r>
        <w:rPr>
          <w:rFonts w:hint="eastAsia"/>
        </w:rPr>
        <w:t>在</w:t>
      </w:r>
      <w:r>
        <w:rPr>
          <w:rFonts w:hint="eastAsia"/>
        </w:rPr>
        <w:t>2004</w:t>
      </w:r>
      <w:r>
        <w:rPr>
          <w:rFonts w:hint="eastAsia"/>
        </w:rPr>
        <w:t>年，就业率最高的地区仍然是：芬兰南部</w:t>
      </w:r>
      <w:r>
        <w:rPr>
          <w:rFonts w:hint="eastAsia"/>
        </w:rPr>
        <w:t>(73.2%)</w:t>
      </w:r>
      <w:r>
        <w:rPr>
          <w:rFonts w:hint="eastAsia"/>
        </w:rPr>
        <w:t>、芬兰西部</w:t>
      </w:r>
      <w:r>
        <w:rPr>
          <w:rFonts w:hint="eastAsia"/>
        </w:rPr>
        <w:t>(68.9%)</w:t>
      </w:r>
      <w:r>
        <w:rPr>
          <w:rFonts w:hint="eastAsia"/>
        </w:rPr>
        <w:t>以及芬兰西南部</w:t>
      </w:r>
      <w:r>
        <w:rPr>
          <w:rFonts w:hint="eastAsia"/>
        </w:rPr>
        <w:t>(68.3%)</w:t>
      </w:r>
      <w:r>
        <w:rPr>
          <w:rFonts w:hint="eastAsia"/>
        </w:rPr>
        <w:t>，而就业率最低的是：东部地区</w:t>
      </w:r>
      <w:r>
        <w:rPr>
          <w:rFonts w:hint="eastAsia"/>
        </w:rPr>
        <w:t>(</w:t>
      </w:r>
      <w:r>
        <w:t>Kainuu</w:t>
      </w:r>
      <w:r>
        <w:rPr>
          <w:rFonts w:hint="eastAsia"/>
        </w:rPr>
        <w:t>为</w:t>
      </w:r>
      <w:r>
        <w:rPr>
          <w:rFonts w:hint="eastAsia"/>
        </w:rPr>
        <w:t>54.3%</w:t>
      </w:r>
      <w:r>
        <w:rPr>
          <w:rFonts w:hint="eastAsia"/>
        </w:rPr>
        <w:t>、</w:t>
      </w:r>
      <w:r>
        <w:t>North Carelia</w:t>
      </w:r>
      <w:r>
        <w:rPr>
          <w:rFonts w:hint="eastAsia"/>
        </w:rPr>
        <w:t>为</w:t>
      </w:r>
      <w:r>
        <w:rPr>
          <w:rFonts w:hint="eastAsia"/>
        </w:rPr>
        <w:t>57.4%)</w:t>
      </w:r>
      <w:r>
        <w:rPr>
          <w:rFonts w:hint="eastAsia"/>
        </w:rPr>
        <w:t>以及</w:t>
      </w:r>
      <w:r>
        <w:t xml:space="preserve">Lapland </w:t>
      </w:r>
      <w:r>
        <w:rPr>
          <w:rFonts w:hint="eastAsia"/>
        </w:rPr>
        <w:t>(60.2%)</w:t>
      </w:r>
      <w:r>
        <w:rPr>
          <w:rFonts w:hint="eastAsia"/>
        </w:rPr>
        <w:t>。同前一年相比，</w:t>
      </w:r>
      <w:r>
        <w:rPr>
          <w:rFonts w:hint="eastAsia"/>
        </w:rPr>
        <w:t>2004</w:t>
      </w:r>
      <w:r>
        <w:rPr>
          <w:rFonts w:hint="eastAsia"/>
        </w:rPr>
        <w:t>年就业率下降幅度最大的是：芬兰西南地区、中部地区以及</w:t>
      </w:r>
      <w:r>
        <w:t>Pori</w:t>
      </w:r>
      <w:r>
        <w:rPr>
          <w:rFonts w:hint="eastAsia"/>
        </w:rPr>
        <w:t>地区；而就业率上升幅度最大的地区是</w:t>
      </w:r>
      <w:r>
        <w:t xml:space="preserve">Lapland </w:t>
      </w:r>
      <w:r>
        <w:rPr>
          <w:rFonts w:hint="eastAsia"/>
        </w:rPr>
        <w:t>和</w:t>
      </w:r>
      <w:r>
        <w:t xml:space="preserve"> Tampere</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b</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政策和措施</w:t>
      </w:r>
    </w:p>
    <w:p w:rsidR="00000000" w:rsidRDefault="00000000">
      <w:pPr>
        <w:rPr>
          <w:rFonts w:hint="eastAsia"/>
        </w:rPr>
      </w:pPr>
      <w:r>
        <w:rPr>
          <w:rFonts w:hint="eastAsia"/>
        </w:rPr>
        <w:tab/>
        <w:t xml:space="preserve">233.  </w:t>
      </w:r>
      <w:r>
        <w:rPr>
          <w:rFonts w:hint="eastAsia"/>
        </w:rPr>
        <w:t>一项新的《公共就业服务法》</w:t>
      </w:r>
      <w:r>
        <w:rPr>
          <w:rFonts w:hint="eastAsia"/>
        </w:rPr>
        <w:t>(1295/2002)</w:t>
      </w:r>
      <w:r>
        <w:rPr>
          <w:rFonts w:hint="eastAsia"/>
        </w:rPr>
        <w:t>于</w:t>
      </w:r>
      <w:r>
        <w:rPr>
          <w:rFonts w:hint="eastAsia"/>
        </w:rPr>
        <w:t>2003</w:t>
      </w:r>
      <w:r>
        <w:rPr>
          <w:rFonts w:hint="eastAsia"/>
        </w:rPr>
        <w:t>年</w:t>
      </w:r>
      <w:r>
        <w:rPr>
          <w:rFonts w:hint="eastAsia"/>
        </w:rPr>
        <w:t>1</w:t>
      </w:r>
      <w:r>
        <w:rPr>
          <w:rFonts w:hint="eastAsia"/>
        </w:rPr>
        <w:t>月</w:t>
      </w:r>
      <w:r>
        <w:rPr>
          <w:rFonts w:hint="eastAsia"/>
        </w:rPr>
        <w:t>1</w:t>
      </w:r>
      <w:r>
        <w:rPr>
          <w:rFonts w:hint="eastAsia"/>
        </w:rPr>
        <w:t>日正式生效。这项法律涉及全面改革适用于地方当局所提供或者采购的服务的法律以及有关补助和福利的法律。这次改革主要是技术性的，其目的是要使有关法律的结构和措词更为明确。公共就业服务的主要目标是加强劳动市场的运作。根据《宪法》的宗旨以及在改革劳工政策方面所通过的原则，失业者的权利和义务已经纳入一项法律。《公共就业服务法》汇总了以前的《就业服务法》</w:t>
      </w:r>
      <w:r>
        <w:rPr>
          <w:rFonts w:hint="eastAsia"/>
        </w:rPr>
        <w:t>(1005/1993)</w:t>
      </w:r>
      <w:r>
        <w:rPr>
          <w:rFonts w:hint="eastAsia"/>
        </w:rPr>
        <w:t>、《就业法》</w:t>
      </w:r>
      <w:r>
        <w:rPr>
          <w:rFonts w:hint="eastAsia"/>
        </w:rPr>
        <w:t>(275/1987)</w:t>
      </w:r>
      <w:r>
        <w:rPr>
          <w:rFonts w:hint="eastAsia"/>
        </w:rPr>
        <w:t>以及《为成年人提供劳工政策培训法》</w:t>
      </w:r>
      <w:r>
        <w:rPr>
          <w:rFonts w:hint="eastAsia"/>
        </w:rPr>
        <w:t>(763/1990)</w:t>
      </w:r>
      <w:r>
        <w:rPr>
          <w:rFonts w:hint="eastAsia"/>
        </w:rPr>
        <w:t>。</w:t>
      </w:r>
    </w:p>
    <w:p w:rsidR="00000000" w:rsidRDefault="00000000">
      <w:pPr>
        <w:rPr>
          <w:rFonts w:hint="eastAsia"/>
        </w:rPr>
      </w:pPr>
      <w:r>
        <w:rPr>
          <w:rFonts w:hint="eastAsia"/>
        </w:rPr>
        <w:tab/>
        <w:t xml:space="preserve">234.  </w:t>
      </w:r>
      <w:r>
        <w:rPr>
          <w:rFonts w:hint="eastAsia"/>
        </w:rPr>
        <w:t>根据《公共就业服务法》，必须首先在公共服务的框架内向求职者提供工作或者培训。根据这项法律，就业服务包括：职业介绍机构的服务、职业指导、为成年人提供的劳工政策培训、提供有关培训和职业的信息以及职业康复。除了这些服务以外，还可提供有关满足地区性或者全国性需要的其他服务或者项目。</w:t>
      </w:r>
    </w:p>
    <w:p w:rsidR="00000000" w:rsidRDefault="00000000">
      <w:pPr>
        <w:rPr>
          <w:rFonts w:hint="eastAsia"/>
        </w:rPr>
      </w:pPr>
      <w:r>
        <w:rPr>
          <w:rFonts w:hint="eastAsia"/>
        </w:rPr>
        <w:tab/>
        <w:t xml:space="preserve">235.  </w:t>
      </w:r>
      <w:r>
        <w:rPr>
          <w:rFonts w:eastAsia="KaiTi_GB2312" w:hint="eastAsia"/>
          <w:spacing w:val="0"/>
        </w:rPr>
        <w:t>政府的政治纲领</w:t>
      </w:r>
      <w:r>
        <w:rPr>
          <w:rFonts w:hint="eastAsia"/>
        </w:rPr>
        <w:t>。目前政府经济政策最为重要的目标是在政府的任期结束之前至少增加</w:t>
      </w:r>
      <w:r>
        <w:rPr>
          <w:rFonts w:hint="eastAsia"/>
        </w:rPr>
        <w:t>100,000</w:t>
      </w:r>
      <w:r>
        <w:rPr>
          <w:rFonts w:hint="eastAsia"/>
        </w:rPr>
        <w:t>个岗位。其目的是要实现经济增长和增加就业机会，从而使得就业率在</w:t>
      </w:r>
      <w:r>
        <w:rPr>
          <w:rFonts w:hint="eastAsia"/>
        </w:rPr>
        <w:t>2001</w:t>
      </w:r>
      <w:r>
        <w:rPr>
          <w:rFonts w:hint="eastAsia"/>
        </w:rPr>
        <w:t>年达到</w:t>
      </w:r>
      <w:r>
        <w:rPr>
          <w:rFonts w:hint="eastAsia"/>
        </w:rPr>
        <w:t>75%</w:t>
      </w:r>
      <w:r>
        <w:rPr>
          <w:rFonts w:hint="eastAsia"/>
        </w:rPr>
        <w:t>。政府政治纲领的目标是在经济增长的推动下，确保建立在专门技能和技术革新基础上的成功模式，从而保证长期发展和就业。通过调拨更多的培训资源和用于研究和发展的国家经费，寻求基于专门技能的新的生产方式。为了促进积极的就业发展，还必须采取措施在无须培训的部门中创造更多的就业机会。另外一个支持就业的方法是政府的税收政策。</w:t>
      </w:r>
    </w:p>
    <w:p w:rsidR="00000000" w:rsidRDefault="00000000">
      <w:pPr>
        <w:rPr>
          <w:rFonts w:hint="eastAsia"/>
          <w:spacing w:val="4"/>
        </w:rPr>
      </w:pPr>
      <w:r>
        <w:rPr>
          <w:rFonts w:hint="eastAsia"/>
        </w:rPr>
        <w:tab/>
        <w:t xml:space="preserve">236.  </w:t>
      </w:r>
      <w:r>
        <w:rPr>
          <w:rFonts w:hint="eastAsia"/>
          <w:spacing w:val="4"/>
        </w:rPr>
        <w:t>在</w:t>
      </w:r>
      <w:r>
        <w:rPr>
          <w:rFonts w:hint="eastAsia"/>
          <w:spacing w:val="4"/>
        </w:rPr>
        <w:t>2003</w:t>
      </w:r>
      <w:r>
        <w:rPr>
          <w:rFonts w:hint="eastAsia"/>
          <w:spacing w:val="4"/>
        </w:rPr>
        <w:t>年，政府启动了四个跨部门的方案</w:t>
      </w:r>
      <w:r>
        <w:rPr>
          <w:rFonts w:hint="eastAsia"/>
          <w:spacing w:val="4"/>
        </w:rPr>
        <w:t>(</w:t>
      </w:r>
      <w:r>
        <w:rPr>
          <w:rFonts w:hint="eastAsia"/>
          <w:spacing w:val="4"/>
        </w:rPr>
        <w:t>就业、商业倡议、信息社会以及民间社会参与</w:t>
      </w:r>
      <w:r>
        <w:rPr>
          <w:rFonts w:hint="eastAsia"/>
          <w:spacing w:val="4"/>
        </w:rPr>
        <w:t>)</w:t>
      </w:r>
      <w:r>
        <w:rPr>
          <w:rFonts w:hint="eastAsia"/>
          <w:spacing w:val="4"/>
        </w:rPr>
        <w:t>，以便确保有效地和通过在各个行政部门所采取的整体措施实现目标。</w:t>
      </w:r>
    </w:p>
    <w:p w:rsidR="00000000" w:rsidRDefault="00000000">
      <w:pPr>
        <w:rPr>
          <w:rFonts w:hint="eastAsia"/>
        </w:rPr>
      </w:pPr>
      <w:r>
        <w:rPr>
          <w:rFonts w:hint="eastAsia"/>
        </w:rPr>
        <w:tab/>
        <w:t xml:space="preserve">237.  </w:t>
      </w:r>
      <w:r>
        <w:rPr>
          <w:rFonts w:hint="eastAsia"/>
        </w:rPr>
        <w:t>就业方案的重点是减少结构性失业以及加强现有的劳动力。除了减少结构性失业以外，就业方案的主要目标是：防止社会排斥、确保拥有合格的劳动力、为因为人口年龄结构的改变而引起的劳动力减少作好准备、延长工人的劳动年限、提高生产率以及改善劳动组织和激发劳动热情。</w:t>
      </w:r>
    </w:p>
    <w:p w:rsidR="00000000" w:rsidRDefault="00000000">
      <w:pPr>
        <w:widowControl w:val="0"/>
        <w:rPr>
          <w:rFonts w:hint="eastAsia"/>
        </w:rPr>
      </w:pPr>
      <w:r>
        <w:rPr>
          <w:rFonts w:hint="eastAsia"/>
        </w:rPr>
        <w:tab/>
        <w:t xml:space="preserve">238.  </w:t>
      </w:r>
      <w:r>
        <w:rPr>
          <w:rFonts w:eastAsia="KaiTi_GB2312" w:hint="eastAsia"/>
          <w:snapToGrid/>
          <w:spacing w:val="0"/>
        </w:rPr>
        <w:t>改革公共就业服务体制</w:t>
      </w:r>
      <w:r>
        <w:rPr>
          <w:rFonts w:hint="eastAsia"/>
        </w:rPr>
        <w:t>。正如上文所述，上述就业方案之目的是要减少结构性失业和确保现有劳动力。</w:t>
      </w:r>
      <w:r>
        <w:rPr>
          <w:rFonts w:hint="eastAsia"/>
        </w:rPr>
        <w:t>2004</w:t>
      </w:r>
      <w:r>
        <w:rPr>
          <w:rFonts w:hint="eastAsia"/>
        </w:rPr>
        <w:t>年已经开始实施对于公共就业服务的改革。这场改革涉及为就业十分困难的失业人士建立就业服务中心。因此，地方职业介绍机构将能够集中精力提供一般就业服务、帮助求职者在公开的劳动力市场上迅速介绍以及确保向私营公司提供劳动力。</w:t>
      </w:r>
    </w:p>
    <w:p w:rsidR="00000000" w:rsidRDefault="00000000">
      <w:pPr>
        <w:rPr>
          <w:rFonts w:hint="eastAsia"/>
        </w:rPr>
      </w:pPr>
      <w:r>
        <w:rPr>
          <w:rFonts w:hint="eastAsia"/>
        </w:rPr>
        <w:tab/>
        <w:t xml:space="preserve">239.  </w:t>
      </w:r>
      <w:r>
        <w:rPr>
          <w:rFonts w:hint="eastAsia"/>
        </w:rPr>
        <w:t>就业服务中心和联合服务点构成了地方政府所提供的整体服务网络，其中包括职业介绍机构、其他地方管理部门以及社会保险局。在</w:t>
      </w:r>
      <w:r>
        <w:rPr>
          <w:rFonts w:hint="eastAsia"/>
        </w:rPr>
        <w:t>2004</w:t>
      </w:r>
      <w:r>
        <w:rPr>
          <w:rFonts w:hint="eastAsia"/>
        </w:rPr>
        <w:t>年</w:t>
      </w:r>
      <w:r>
        <w:rPr>
          <w:rFonts w:hint="eastAsia"/>
        </w:rPr>
        <w:t>1</w:t>
      </w:r>
      <w:r>
        <w:rPr>
          <w:rFonts w:hint="eastAsia"/>
        </w:rPr>
        <w:t>月建立了第一批就业服务中心。到</w:t>
      </w:r>
      <w:r>
        <w:rPr>
          <w:rFonts w:hint="eastAsia"/>
        </w:rPr>
        <w:t>2005</w:t>
      </w:r>
      <w:r>
        <w:rPr>
          <w:rFonts w:hint="eastAsia"/>
        </w:rPr>
        <w:t>年，就业服务中心的数目将增加到</w:t>
      </w:r>
      <w:r>
        <w:rPr>
          <w:rFonts w:hint="eastAsia"/>
        </w:rPr>
        <w:t>23</w:t>
      </w:r>
      <w:r>
        <w:rPr>
          <w:rFonts w:hint="eastAsia"/>
        </w:rPr>
        <w:t>个，而联合服务点的数目也将增加到</w:t>
      </w:r>
      <w:r>
        <w:rPr>
          <w:rFonts w:hint="eastAsia"/>
        </w:rPr>
        <w:t>11</w:t>
      </w:r>
      <w:r>
        <w:rPr>
          <w:rFonts w:hint="eastAsia"/>
        </w:rPr>
        <w:t>个，其中有些是地区建立的，有些是几个城市联合建立的。它们的服务涉及</w:t>
      </w:r>
      <w:r>
        <w:rPr>
          <w:rFonts w:hint="eastAsia"/>
        </w:rPr>
        <w:t>57</w:t>
      </w:r>
      <w:r>
        <w:rPr>
          <w:rFonts w:hint="eastAsia"/>
        </w:rPr>
        <w:t>个职业介绍机构以及</w:t>
      </w:r>
      <w:r>
        <w:rPr>
          <w:rFonts w:hint="eastAsia"/>
        </w:rPr>
        <w:t>130</w:t>
      </w:r>
      <w:r>
        <w:rPr>
          <w:rFonts w:hint="eastAsia"/>
        </w:rPr>
        <w:t>个城市。目前正在计划在</w:t>
      </w:r>
      <w:r>
        <w:rPr>
          <w:rFonts w:hint="eastAsia"/>
        </w:rPr>
        <w:t>2006</w:t>
      </w:r>
      <w:r>
        <w:rPr>
          <w:rFonts w:hint="eastAsia"/>
        </w:rPr>
        <w:t>年将就业服务中心的数目增加到</w:t>
      </w:r>
      <w:r>
        <w:rPr>
          <w:rFonts w:hint="eastAsia"/>
        </w:rPr>
        <w:t>40</w:t>
      </w:r>
      <w:r>
        <w:rPr>
          <w:rFonts w:hint="eastAsia"/>
        </w:rPr>
        <w:t>个。</w:t>
      </w:r>
    </w:p>
    <w:p w:rsidR="00000000" w:rsidRDefault="00000000">
      <w:pPr>
        <w:rPr>
          <w:rFonts w:hint="eastAsia"/>
        </w:rPr>
      </w:pPr>
      <w:r>
        <w:rPr>
          <w:rFonts w:hint="eastAsia"/>
        </w:rPr>
        <w:tab/>
        <w:t xml:space="preserve">240.  </w:t>
      </w:r>
      <w:r>
        <w:rPr>
          <w:rFonts w:hint="eastAsia"/>
        </w:rPr>
        <w:t>有关服务是通过各个领域的专家网络提供的。除其他外，这些专家包括：护士、医生、康复心理学家、社会工作者、社会教员、财务顾问、戒酒辅导员、康复工作教员、教育和职业顾问、职业辅导员以及就业顾问。如果无法提供某项专业服务，就会建议顾客使用所谓的普通服务。在必要时也使用外部服务，例如，帮助顾客申请退休金。从顾客的角度来说，协调所提供的服务是特别重要的，而对参加服务的有关部门来说，重要的是它们能够发挥最大作用。</w:t>
      </w:r>
    </w:p>
    <w:p w:rsidR="00000000" w:rsidRDefault="00000000">
      <w:pPr>
        <w:rPr>
          <w:rFonts w:hint="eastAsia"/>
        </w:rPr>
      </w:pPr>
      <w:r>
        <w:rPr>
          <w:rFonts w:hint="eastAsia"/>
        </w:rPr>
        <w:tab/>
        <w:t xml:space="preserve">241.  </w:t>
      </w:r>
      <w:r>
        <w:rPr>
          <w:rFonts w:hint="eastAsia"/>
        </w:rPr>
        <w:t>发展职业介绍的服务体系是为了解决在劳动力供求方面的现有问题。在</w:t>
      </w:r>
      <w:r>
        <w:rPr>
          <w:rFonts w:hint="eastAsia"/>
        </w:rPr>
        <w:t>2004</w:t>
      </w:r>
      <w:r>
        <w:rPr>
          <w:rFonts w:hint="eastAsia"/>
        </w:rPr>
        <w:t>年已经开始对一些大的地区的</w:t>
      </w:r>
      <w:r>
        <w:rPr>
          <w:rFonts w:hint="eastAsia"/>
        </w:rPr>
        <w:t>16</w:t>
      </w:r>
      <w:r>
        <w:rPr>
          <w:rFonts w:hint="eastAsia"/>
        </w:rPr>
        <w:t>个职业介绍机构进行了体制方面的改革。改革的主要目标是要在公开的劳动市场迅速雇佣求职者，同时确保劳动力的供应，特别是要通过设立可供上网和可供求职者同雇主会面的就业研究中心来增加求职者本身的活动。另外一个目标是要尽可能防止长期失业。将在</w:t>
      </w:r>
      <w:r>
        <w:rPr>
          <w:rFonts w:hint="eastAsia"/>
        </w:rPr>
        <w:t>2006</w:t>
      </w:r>
      <w:r>
        <w:rPr>
          <w:rFonts w:hint="eastAsia"/>
        </w:rPr>
        <w:t>年年底在所有的职业介绍机构实施经过改革的体制。</w:t>
      </w:r>
    </w:p>
    <w:p w:rsidR="00000000" w:rsidRDefault="00000000">
      <w:pPr>
        <w:widowControl w:val="0"/>
        <w:rPr>
          <w:rFonts w:hint="eastAsia"/>
        </w:rPr>
      </w:pPr>
      <w:r>
        <w:rPr>
          <w:rFonts w:hint="eastAsia"/>
        </w:rPr>
        <w:tab/>
        <w:t xml:space="preserve">242.  </w:t>
      </w:r>
      <w:r>
        <w:rPr>
          <w:rFonts w:eastAsia="KaiTi_GB2312" w:hint="eastAsia"/>
          <w:snapToGrid/>
          <w:spacing w:val="0"/>
        </w:rPr>
        <w:t>劳动市场补助的改革</w:t>
      </w:r>
      <w:r>
        <w:rPr>
          <w:rFonts w:hint="eastAsia"/>
        </w:rPr>
        <w:t>。作为一项积极的措施，劳动市场补助的目的是要帮助人们进入劳动市场，以及帮助长期失业的人找到工作。然而，劳动市场补助在实际上被长期失业的人当作长期和稳定的收入。在</w:t>
      </w:r>
      <w:r>
        <w:rPr>
          <w:rFonts w:hint="eastAsia"/>
        </w:rPr>
        <w:t>2003</w:t>
      </w:r>
      <w:r>
        <w:rPr>
          <w:rFonts w:hint="eastAsia"/>
        </w:rPr>
        <w:t>年年底，有</w:t>
      </w:r>
      <w:r>
        <w:rPr>
          <w:rFonts w:hint="eastAsia"/>
        </w:rPr>
        <w:t>160,000</w:t>
      </w:r>
      <w:r>
        <w:rPr>
          <w:rFonts w:hint="eastAsia"/>
        </w:rPr>
        <w:t>多人领取劳动市场补助，其中</w:t>
      </w:r>
      <w:r>
        <w:rPr>
          <w:rFonts w:hint="eastAsia"/>
        </w:rPr>
        <w:t>45%</w:t>
      </w:r>
      <w:r>
        <w:rPr>
          <w:rFonts w:hint="eastAsia"/>
        </w:rPr>
        <w:t>是妇女，</w:t>
      </w:r>
      <w:r>
        <w:rPr>
          <w:rFonts w:hint="eastAsia"/>
        </w:rPr>
        <w:t>55%</w:t>
      </w:r>
      <w:r>
        <w:rPr>
          <w:rFonts w:hint="eastAsia"/>
        </w:rPr>
        <w:t>是男子。一个旨在研究如何调动劳动市场补助受益人积极性的工作小组在</w:t>
      </w:r>
      <w:r>
        <w:rPr>
          <w:rFonts w:hint="eastAsia"/>
        </w:rPr>
        <w:t>2005</w:t>
      </w:r>
      <w:r>
        <w:rPr>
          <w:rFonts w:hint="eastAsia"/>
        </w:rPr>
        <w:t>年</w:t>
      </w:r>
      <w:r>
        <w:rPr>
          <w:rFonts w:hint="eastAsia"/>
        </w:rPr>
        <w:t>1</w:t>
      </w:r>
      <w:r>
        <w:rPr>
          <w:rFonts w:hint="eastAsia"/>
        </w:rPr>
        <w:t>月完成了工作。将进一步加强劳动市场补助作为一项积极措施的作用，以便帮助失业人士寻找工作。此外，将研究各种筹资模式，以便支持地方当局同公共就业服务部门合作，有效处理有关失业问题。</w:t>
      </w:r>
    </w:p>
    <w:p w:rsidR="00000000" w:rsidRDefault="00000000">
      <w:pPr>
        <w:rPr>
          <w:rFonts w:hint="eastAsia"/>
        </w:rPr>
      </w:pPr>
      <w:r>
        <w:rPr>
          <w:rFonts w:hint="eastAsia"/>
        </w:rPr>
        <w:tab/>
        <w:t xml:space="preserve">243.  </w:t>
      </w:r>
      <w:r>
        <w:rPr>
          <w:rFonts w:eastAsia="KaiTi_GB2312" w:hint="eastAsia"/>
          <w:snapToGrid/>
          <w:spacing w:val="0"/>
        </w:rPr>
        <w:t>青年人</w:t>
      </w:r>
      <w:r>
        <w:rPr>
          <w:rFonts w:hint="eastAsia"/>
        </w:rPr>
        <w:t>。政府在减少青年人失业方面的目标是要保证所有已经完成全面学校教育的人都有进一步学习的机会，并且在</w:t>
      </w:r>
      <w:r>
        <w:rPr>
          <w:rFonts w:hint="eastAsia"/>
        </w:rPr>
        <w:t>25</w:t>
      </w:r>
      <w:r>
        <w:rPr>
          <w:rFonts w:hint="eastAsia"/>
        </w:rPr>
        <w:t>岁以下的青年人失业三个月之后，安排他们接受失业培训或者参加讲习班类型的培训。</w:t>
      </w:r>
    </w:p>
    <w:p w:rsidR="00000000" w:rsidRDefault="00000000">
      <w:pPr>
        <w:rPr>
          <w:rFonts w:hint="eastAsia"/>
        </w:rPr>
      </w:pPr>
      <w:r>
        <w:rPr>
          <w:rFonts w:hint="eastAsia"/>
        </w:rPr>
        <w:tab/>
        <w:t xml:space="preserve">244.  </w:t>
      </w:r>
      <w:r>
        <w:rPr>
          <w:rFonts w:hint="eastAsia"/>
          <w:spacing w:val="8"/>
        </w:rPr>
        <w:t>在</w:t>
      </w:r>
      <w:r>
        <w:rPr>
          <w:rFonts w:hint="eastAsia"/>
          <w:spacing w:val="8"/>
        </w:rPr>
        <w:t>2005</w:t>
      </w:r>
      <w:r>
        <w:rPr>
          <w:rFonts w:hint="eastAsia"/>
          <w:spacing w:val="8"/>
        </w:rPr>
        <w:t>年</w:t>
      </w:r>
      <w:r>
        <w:rPr>
          <w:rFonts w:hint="eastAsia"/>
          <w:spacing w:val="8"/>
        </w:rPr>
        <w:t>1</w:t>
      </w:r>
      <w:r>
        <w:rPr>
          <w:rFonts w:hint="eastAsia"/>
          <w:spacing w:val="8"/>
        </w:rPr>
        <w:t>月已经开始执行青年人社会保障办法。这种社会保障办法适用于《公共就业服务法》中所指的</w:t>
      </w:r>
      <w:r>
        <w:rPr>
          <w:rFonts w:hint="eastAsia"/>
          <w:spacing w:val="8"/>
        </w:rPr>
        <w:t>17</w:t>
      </w:r>
      <w:r>
        <w:rPr>
          <w:rFonts w:hint="eastAsia"/>
          <w:spacing w:val="8"/>
        </w:rPr>
        <w:t>岁至</w:t>
      </w:r>
      <w:r>
        <w:rPr>
          <w:rFonts w:hint="eastAsia"/>
          <w:spacing w:val="8"/>
        </w:rPr>
        <w:t>25</w:t>
      </w:r>
      <w:r>
        <w:rPr>
          <w:rFonts w:hint="eastAsia"/>
          <w:spacing w:val="8"/>
        </w:rPr>
        <w:t>岁的失业求职者。在失业求职者连续失业满三个月时，同该求职者拟定一份详细的求职计划。所谓社会保障是指，这份详细的求职计划承诺向年青人提供以下的一种公共就业服务：求职培训、初步或者职业培训、见习、实习、职业指导、创业补助或者支助工作。如果有关的青年人由于其工作能力或者活动能力有故障而无法从所提供的公共就业服务中获益，职业介绍机构应当努力同其他有关部门</w:t>
      </w:r>
      <w:r>
        <w:rPr>
          <w:rFonts w:hint="eastAsia"/>
          <w:spacing w:val="8"/>
        </w:rPr>
        <w:t>(</w:t>
      </w:r>
      <w:r>
        <w:rPr>
          <w:rFonts w:hint="eastAsia"/>
          <w:spacing w:val="8"/>
        </w:rPr>
        <w:t>例如，当地的社会福利和卫生部门</w:t>
      </w:r>
      <w:r>
        <w:rPr>
          <w:rFonts w:hint="eastAsia"/>
          <w:spacing w:val="8"/>
        </w:rPr>
        <w:t>)</w:t>
      </w:r>
      <w:r>
        <w:rPr>
          <w:rFonts w:hint="eastAsia"/>
          <w:spacing w:val="8"/>
        </w:rPr>
        <w:t>合作，努力确保有关的年青人获得这些服务，使他们能够日后获益。职业介绍机构必须监测青年人使用有关服务的进展情况、在求职计划中所商定的目标的实现情况以及计划措施的执行情况。青年人在上述的三个月中无须消极等待，而是必须从一开始就积极寻找工作。</w:t>
      </w:r>
    </w:p>
    <w:p w:rsidR="00000000" w:rsidRDefault="00000000">
      <w:pPr>
        <w:rPr>
          <w:rFonts w:hint="eastAsia"/>
        </w:rPr>
      </w:pPr>
      <w:r>
        <w:rPr>
          <w:rFonts w:hint="eastAsia"/>
        </w:rPr>
        <w:tab/>
        <w:t xml:space="preserve">245.  </w:t>
      </w:r>
      <w:r>
        <w:rPr>
          <w:rFonts w:eastAsia="KaiTi_GB2312" w:hint="eastAsia"/>
          <w:snapToGrid/>
          <w:spacing w:val="0"/>
        </w:rPr>
        <w:t>长期失业者以及工作能力有障碍的人</w:t>
      </w:r>
      <w:r>
        <w:rPr>
          <w:rFonts w:hint="eastAsia"/>
        </w:rPr>
        <w:t>。在劳动市场中的弱势群体包括：长期失业者、老年人、教育水平和职业技能过低的人以及工作能力有障碍的人。这些人往往长期失业，或者不断经历失业，短期就业以及领取失业补助的阶段。这些结构性失业的群体大约有</w:t>
      </w:r>
      <w:r>
        <w:rPr>
          <w:rFonts w:hint="eastAsia"/>
        </w:rPr>
        <w:t>170,000</w:t>
      </w:r>
      <w:r>
        <w:rPr>
          <w:rFonts w:hint="eastAsia"/>
        </w:rPr>
        <w:t>人；他们在公开的劳动市场上很难找到工作。</w:t>
      </w:r>
    </w:p>
    <w:p w:rsidR="00000000" w:rsidRDefault="00000000">
      <w:pPr>
        <w:spacing w:after="240"/>
        <w:rPr>
          <w:rFonts w:hint="eastAsia"/>
        </w:rPr>
      </w:pPr>
      <w:r>
        <w:rPr>
          <w:rFonts w:hint="eastAsia"/>
        </w:rPr>
        <w:tab/>
        <w:t xml:space="preserve">246.  </w:t>
      </w:r>
      <w:r>
        <w:rPr>
          <w:rFonts w:hint="eastAsia"/>
        </w:rPr>
        <w:t>在失业求职者中，有工作能力障碍的人所占的比例在</w:t>
      </w:r>
      <w:r>
        <w:rPr>
          <w:rFonts w:hint="eastAsia"/>
        </w:rPr>
        <w:t>1990</w:t>
      </w:r>
      <w:r>
        <w:rPr>
          <w:rFonts w:hint="eastAsia"/>
        </w:rPr>
        <w:t>年代末期大大增加，而在过去几年中，其人数基本保持不变。在芬兰居住的外国人的失业率要比整体失业率高出三倍。在外国人之中，来自非欧洲联盟成员国的人失业率最高。在芬兰居住时间最长的外国人在公共的劳动市场上找到工作的可能性最大。</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6</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1994</w:t>
      </w:r>
      <w:r>
        <w:rPr>
          <w:rFonts w:ascii="Time New Roman" w:eastAsia="SimHei" w:hAnsi="Time New Roman" w:hint="eastAsia"/>
          <w:sz w:val="22"/>
          <w:u w:val="none"/>
        </w:rPr>
        <w:t>年、</w:t>
      </w:r>
      <w:r>
        <w:rPr>
          <w:rFonts w:ascii="Time New Roman" w:eastAsia="SimHei" w:hAnsi="Time New Roman" w:hint="eastAsia"/>
          <w:b/>
          <w:sz w:val="22"/>
          <w:u w:val="none"/>
        </w:rPr>
        <w:t>1999</w:t>
      </w:r>
      <w:r>
        <w:rPr>
          <w:rFonts w:ascii="Time New Roman" w:eastAsia="SimHei" w:hAnsi="Time New Roman" w:hint="eastAsia"/>
          <w:sz w:val="22"/>
          <w:u w:val="none"/>
        </w:rPr>
        <w:t>年和</w:t>
      </w:r>
      <w:r>
        <w:rPr>
          <w:rFonts w:ascii="Time New Roman" w:eastAsia="SimHei" w:hAnsi="Time New Roman" w:hint="eastAsia"/>
          <w:b/>
          <w:sz w:val="22"/>
          <w:u w:val="none"/>
        </w:rPr>
        <w:t>2004</w:t>
      </w:r>
      <w:r>
        <w:rPr>
          <w:rFonts w:ascii="Time New Roman" w:eastAsia="SimHei" w:hAnsi="Time New Roman" w:hint="eastAsia"/>
          <w:sz w:val="22"/>
          <w:u w:val="none"/>
        </w:rPr>
        <w:t>年失业求职者的分类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4"/>
        <w:gridCol w:w="1344"/>
        <w:gridCol w:w="1344"/>
        <w:gridCol w:w="1344"/>
        <w:gridCol w:w="1344"/>
        <w:gridCol w:w="1183"/>
        <w:gridCol w:w="1507"/>
      </w:tblGrid>
      <w:tr w:rsidR="00000000">
        <w:tblPrEx>
          <w:tblCellMar>
            <w:top w:w="0" w:type="dxa"/>
            <w:bottom w:w="0" w:type="dxa"/>
          </w:tblCellMar>
        </w:tblPrEx>
        <w:tc>
          <w:tcPr>
            <w:tcW w:w="1344" w:type="dxa"/>
          </w:tcPr>
          <w:p w:rsidR="00000000" w:rsidRDefault="00000000">
            <w:pPr>
              <w:spacing w:before="240"/>
              <w:jc w:val="center"/>
              <w:rPr>
                <w:rFonts w:hint="eastAsia"/>
                <w:sz w:val="22"/>
              </w:rPr>
            </w:pPr>
            <w:r>
              <w:rPr>
                <w:rFonts w:hint="eastAsia"/>
                <w:sz w:val="22"/>
              </w:rPr>
              <w:t>总</w:t>
            </w:r>
            <w:r>
              <w:rPr>
                <w:rFonts w:hint="eastAsia"/>
                <w:sz w:val="22"/>
              </w:rPr>
              <w:t xml:space="preserve"> </w:t>
            </w:r>
            <w:r>
              <w:rPr>
                <w:rFonts w:hint="eastAsia"/>
                <w:sz w:val="22"/>
              </w:rPr>
              <w:t>数</w:t>
            </w:r>
          </w:p>
        </w:tc>
        <w:tc>
          <w:tcPr>
            <w:tcW w:w="1344" w:type="dxa"/>
          </w:tcPr>
          <w:p w:rsidR="00000000" w:rsidRDefault="00000000">
            <w:pPr>
              <w:spacing w:before="240"/>
              <w:jc w:val="center"/>
              <w:rPr>
                <w:rFonts w:hint="eastAsia"/>
                <w:sz w:val="22"/>
              </w:rPr>
            </w:pPr>
            <w:r>
              <w:rPr>
                <w:rFonts w:hint="eastAsia"/>
                <w:sz w:val="22"/>
              </w:rPr>
              <w:t>男</w:t>
            </w:r>
            <w:r>
              <w:rPr>
                <w:rFonts w:hint="eastAsia"/>
                <w:sz w:val="22"/>
              </w:rPr>
              <w:t xml:space="preserve"> </w:t>
            </w:r>
            <w:r>
              <w:rPr>
                <w:rFonts w:hint="eastAsia"/>
                <w:sz w:val="22"/>
              </w:rPr>
              <w:t>子</w:t>
            </w:r>
          </w:p>
        </w:tc>
        <w:tc>
          <w:tcPr>
            <w:tcW w:w="1344" w:type="dxa"/>
          </w:tcPr>
          <w:p w:rsidR="00000000" w:rsidRDefault="00000000">
            <w:pPr>
              <w:spacing w:before="240"/>
              <w:jc w:val="center"/>
              <w:rPr>
                <w:rFonts w:hint="eastAsia"/>
                <w:sz w:val="22"/>
              </w:rPr>
            </w:pPr>
            <w:r>
              <w:rPr>
                <w:rFonts w:hint="eastAsia"/>
                <w:sz w:val="22"/>
              </w:rPr>
              <w:t>妇</w:t>
            </w:r>
            <w:r>
              <w:rPr>
                <w:rFonts w:hint="eastAsia"/>
                <w:sz w:val="22"/>
              </w:rPr>
              <w:t xml:space="preserve"> </w:t>
            </w:r>
            <w:r>
              <w:rPr>
                <w:rFonts w:hint="eastAsia"/>
                <w:sz w:val="22"/>
              </w:rPr>
              <w:t>女</w:t>
            </w:r>
          </w:p>
        </w:tc>
        <w:tc>
          <w:tcPr>
            <w:tcW w:w="1344" w:type="dxa"/>
          </w:tcPr>
          <w:p w:rsidR="00000000" w:rsidRDefault="00000000">
            <w:pPr>
              <w:spacing w:before="240"/>
              <w:jc w:val="center"/>
              <w:rPr>
                <w:rFonts w:hint="eastAsia"/>
                <w:sz w:val="22"/>
              </w:rPr>
            </w:pPr>
            <w:r>
              <w:rPr>
                <w:rFonts w:hint="eastAsia"/>
                <w:sz w:val="22"/>
              </w:rPr>
              <w:t>青年人</w:t>
            </w:r>
            <w:r>
              <w:rPr>
                <w:rStyle w:val="EndnoteReference"/>
                <w:sz w:val="22"/>
              </w:rPr>
              <w:endnoteReference w:id="7"/>
            </w:r>
          </w:p>
        </w:tc>
        <w:tc>
          <w:tcPr>
            <w:tcW w:w="1344" w:type="dxa"/>
          </w:tcPr>
          <w:p w:rsidR="00000000" w:rsidRDefault="00000000">
            <w:pPr>
              <w:spacing w:before="40" w:after="20" w:line="240" w:lineRule="auto"/>
              <w:jc w:val="center"/>
              <w:rPr>
                <w:rFonts w:hint="eastAsia"/>
                <w:sz w:val="22"/>
              </w:rPr>
            </w:pPr>
            <w:r>
              <w:rPr>
                <w:rFonts w:hint="eastAsia"/>
                <w:sz w:val="22"/>
              </w:rPr>
              <w:t>50</w:t>
            </w:r>
            <w:r>
              <w:rPr>
                <w:rFonts w:hint="eastAsia"/>
                <w:sz w:val="22"/>
              </w:rPr>
              <w:t>岁</w:t>
            </w:r>
            <w:r>
              <w:rPr>
                <w:sz w:val="22"/>
              </w:rPr>
              <w:br/>
            </w:r>
            <w:r>
              <w:rPr>
                <w:rFonts w:hint="eastAsia"/>
                <w:sz w:val="22"/>
              </w:rPr>
              <w:t>以上的人</w:t>
            </w:r>
          </w:p>
        </w:tc>
        <w:tc>
          <w:tcPr>
            <w:tcW w:w="1183" w:type="dxa"/>
          </w:tcPr>
          <w:p w:rsidR="00000000" w:rsidRDefault="00000000">
            <w:pPr>
              <w:spacing w:before="40" w:after="20" w:line="240" w:lineRule="auto"/>
              <w:jc w:val="center"/>
              <w:rPr>
                <w:rFonts w:hint="eastAsia"/>
                <w:sz w:val="22"/>
              </w:rPr>
            </w:pPr>
            <w:r>
              <w:rPr>
                <w:rFonts w:hint="eastAsia"/>
                <w:sz w:val="22"/>
              </w:rPr>
              <w:t>长</w:t>
            </w:r>
            <w:r>
              <w:rPr>
                <w:rFonts w:hint="eastAsia"/>
                <w:sz w:val="22"/>
              </w:rPr>
              <w:t xml:space="preserve">  </w:t>
            </w:r>
            <w:r>
              <w:rPr>
                <w:rFonts w:hint="eastAsia"/>
                <w:sz w:val="22"/>
              </w:rPr>
              <w:t>期</w:t>
            </w:r>
            <w:r>
              <w:rPr>
                <w:sz w:val="22"/>
              </w:rPr>
              <w:br/>
            </w:r>
            <w:r>
              <w:rPr>
                <w:rFonts w:hint="eastAsia"/>
                <w:sz w:val="22"/>
              </w:rPr>
              <w:t>失业者</w:t>
            </w:r>
            <w:r>
              <w:rPr>
                <w:rStyle w:val="EndnoteReference"/>
                <w:sz w:val="22"/>
              </w:rPr>
              <w:endnoteReference w:id="8"/>
            </w:r>
          </w:p>
        </w:tc>
        <w:tc>
          <w:tcPr>
            <w:tcW w:w="1507" w:type="dxa"/>
          </w:tcPr>
          <w:p w:rsidR="00000000" w:rsidRDefault="00000000">
            <w:pPr>
              <w:spacing w:before="40" w:after="20" w:line="240" w:lineRule="auto"/>
              <w:jc w:val="center"/>
              <w:rPr>
                <w:rFonts w:hint="eastAsia"/>
                <w:sz w:val="22"/>
              </w:rPr>
            </w:pPr>
            <w:r>
              <w:rPr>
                <w:rFonts w:hint="eastAsia"/>
                <w:sz w:val="22"/>
              </w:rPr>
              <w:t>工作能力</w:t>
            </w:r>
            <w:r>
              <w:rPr>
                <w:sz w:val="22"/>
              </w:rPr>
              <w:br/>
            </w:r>
            <w:r>
              <w:rPr>
                <w:rFonts w:hint="eastAsia"/>
                <w:sz w:val="22"/>
              </w:rPr>
              <w:t>有障碍的人</w:t>
            </w:r>
            <w:r>
              <w:rPr>
                <w:rStyle w:val="EndnoteReference"/>
                <w:sz w:val="22"/>
              </w:rPr>
              <w:endnoteReference w:id="9"/>
            </w:r>
          </w:p>
        </w:tc>
      </w:tr>
      <w:tr w:rsidR="00000000">
        <w:tblPrEx>
          <w:tblCellMar>
            <w:top w:w="0" w:type="dxa"/>
            <w:bottom w:w="0" w:type="dxa"/>
          </w:tblCellMar>
        </w:tblPrEx>
        <w:tc>
          <w:tcPr>
            <w:tcW w:w="1344" w:type="dxa"/>
            <w:tcBorders>
              <w:bottom w:val="nil"/>
            </w:tcBorders>
          </w:tcPr>
          <w:p w:rsidR="00000000" w:rsidRDefault="00000000">
            <w:pPr>
              <w:spacing w:before="120"/>
              <w:jc w:val="center"/>
              <w:rPr>
                <w:sz w:val="22"/>
              </w:rPr>
            </w:pPr>
            <w:r>
              <w:rPr>
                <w:sz w:val="22"/>
              </w:rPr>
              <w:t>494 247</w:t>
            </w:r>
          </w:p>
        </w:tc>
        <w:tc>
          <w:tcPr>
            <w:tcW w:w="1344" w:type="dxa"/>
            <w:tcBorders>
              <w:bottom w:val="nil"/>
            </w:tcBorders>
          </w:tcPr>
          <w:p w:rsidR="00000000" w:rsidRDefault="00000000">
            <w:pPr>
              <w:spacing w:before="120"/>
              <w:jc w:val="center"/>
              <w:rPr>
                <w:sz w:val="22"/>
              </w:rPr>
            </w:pPr>
            <w:r>
              <w:rPr>
                <w:sz w:val="22"/>
              </w:rPr>
              <w:t>276 896</w:t>
            </w:r>
          </w:p>
        </w:tc>
        <w:tc>
          <w:tcPr>
            <w:tcW w:w="1344" w:type="dxa"/>
            <w:tcBorders>
              <w:bottom w:val="nil"/>
            </w:tcBorders>
          </w:tcPr>
          <w:p w:rsidR="00000000" w:rsidRDefault="00000000">
            <w:pPr>
              <w:spacing w:before="120"/>
              <w:jc w:val="center"/>
              <w:rPr>
                <w:sz w:val="22"/>
              </w:rPr>
            </w:pPr>
            <w:r>
              <w:rPr>
                <w:sz w:val="22"/>
              </w:rPr>
              <w:t>217 351</w:t>
            </w:r>
          </w:p>
        </w:tc>
        <w:tc>
          <w:tcPr>
            <w:tcW w:w="1344" w:type="dxa"/>
            <w:tcBorders>
              <w:bottom w:val="nil"/>
            </w:tcBorders>
          </w:tcPr>
          <w:p w:rsidR="00000000" w:rsidRDefault="00000000">
            <w:pPr>
              <w:spacing w:before="120"/>
              <w:jc w:val="center"/>
              <w:rPr>
                <w:sz w:val="22"/>
              </w:rPr>
            </w:pPr>
            <w:r>
              <w:rPr>
                <w:sz w:val="22"/>
              </w:rPr>
              <w:t>92 213</w:t>
            </w:r>
          </w:p>
        </w:tc>
        <w:tc>
          <w:tcPr>
            <w:tcW w:w="1344" w:type="dxa"/>
            <w:tcBorders>
              <w:bottom w:val="nil"/>
            </w:tcBorders>
          </w:tcPr>
          <w:p w:rsidR="00000000" w:rsidRDefault="00000000">
            <w:pPr>
              <w:spacing w:before="120"/>
              <w:ind w:right="227"/>
              <w:jc w:val="right"/>
              <w:rPr>
                <w:sz w:val="22"/>
              </w:rPr>
            </w:pPr>
            <w:r>
              <w:rPr>
                <w:sz w:val="22"/>
              </w:rPr>
              <w:t>86 400</w:t>
            </w:r>
          </w:p>
        </w:tc>
        <w:tc>
          <w:tcPr>
            <w:tcW w:w="1183" w:type="dxa"/>
            <w:tcBorders>
              <w:bottom w:val="nil"/>
            </w:tcBorders>
          </w:tcPr>
          <w:p w:rsidR="00000000" w:rsidRDefault="00000000">
            <w:pPr>
              <w:spacing w:before="120"/>
              <w:ind w:right="113"/>
              <w:jc w:val="right"/>
              <w:rPr>
                <w:sz w:val="22"/>
              </w:rPr>
            </w:pPr>
            <w:r>
              <w:rPr>
                <w:sz w:val="22"/>
              </w:rPr>
              <w:t>133 561</w:t>
            </w:r>
          </w:p>
        </w:tc>
        <w:tc>
          <w:tcPr>
            <w:tcW w:w="1507" w:type="dxa"/>
            <w:tcBorders>
              <w:bottom w:val="nil"/>
            </w:tcBorders>
          </w:tcPr>
          <w:p w:rsidR="00000000" w:rsidRDefault="00000000">
            <w:pPr>
              <w:spacing w:before="120"/>
              <w:jc w:val="center"/>
              <w:rPr>
                <w:sz w:val="22"/>
              </w:rPr>
            </w:pPr>
            <w:r>
              <w:rPr>
                <w:sz w:val="22"/>
              </w:rPr>
              <w:t>31 490</w:t>
            </w:r>
          </w:p>
        </w:tc>
      </w:tr>
      <w:tr w:rsidR="00000000">
        <w:tblPrEx>
          <w:tblCellMar>
            <w:top w:w="0" w:type="dxa"/>
            <w:bottom w:w="0" w:type="dxa"/>
          </w:tblCellMar>
        </w:tblPrEx>
        <w:tc>
          <w:tcPr>
            <w:tcW w:w="1344" w:type="dxa"/>
            <w:tcBorders>
              <w:top w:val="nil"/>
              <w:bottom w:val="nil"/>
            </w:tcBorders>
          </w:tcPr>
          <w:p w:rsidR="00000000" w:rsidRDefault="00000000">
            <w:pPr>
              <w:jc w:val="center"/>
              <w:rPr>
                <w:sz w:val="22"/>
              </w:rPr>
            </w:pPr>
            <w:r>
              <w:rPr>
                <w:sz w:val="22"/>
              </w:rPr>
              <w:t>348 140</w:t>
            </w:r>
          </w:p>
        </w:tc>
        <w:tc>
          <w:tcPr>
            <w:tcW w:w="1344" w:type="dxa"/>
            <w:tcBorders>
              <w:top w:val="nil"/>
              <w:bottom w:val="nil"/>
            </w:tcBorders>
          </w:tcPr>
          <w:p w:rsidR="00000000" w:rsidRDefault="00000000">
            <w:pPr>
              <w:jc w:val="center"/>
              <w:rPr>
                <w:sz w:val="22"/>
              </w:rPr>
            </w:pPr>
            <w:r>
              <w:rPr>
                <w:sz w:val="22"/>
              </w:rPr>
              <w:t>177 190</w:t>
            </w:r>
          </w:p>
        </w:tc>
        <w:tc>
          <w:tcPr>
            <w:tcW w:w="1344" w:type="dxa"/>
            <w:tcBorders>
              <w:top w:val="nil"/>
              <w:bottom w:val="nil"/>
            </w:tcBorders>
          </w:tcPr>
          <w:p w:rsidR="00000000" w:rsidRDefault="00000000">
            <w:pPr>
              <w:jc w:val="center"/>
              <w:rPr>
                <w:sz w:val="22"/>
              </w:rPr>
            </w:pPr>
            <w:r>
              <w:rPr>
                <w:sz w:val="22"/>
              </w:rPr>
              <w:t>170 950</w:t>
            </w:r>
          </w:p>
        </w:tc>
        <w:tc>
          <w:tcPr>
            <w:tcW w:w="1344" w:type="dxa"/>
            <w:tcBorders>
              <w:top w:val="nil"/>
              <w:bottom w:val="nil"/>
            </w:tcBorders>
          </w:tcPr>
          <w:p w:rsidR="00000000" w:rsidRDefault="00000000">
            <w:pPr>
              <w:jc w:val="center"/>
              <w:rPr>
                <w:sz w:val="22"/>
              </w:rPr>
            </w:pPr>
            <w:r>
              <w:rPr>
                <w:sz w:val="22"/>
              </w:rPr>
              <w:t>44 267</w:t>
            </w:r>
          </w:p>
        </w:tc>
        <w:tc>
          <w:tcPr>
            <w:tcW w:w="1344" w:type="dxa"/>
            <w:tcBorders>
              <w:top w:val="nil"/>
              <w:bottom w:val="nil"/>
            </w:tcBorders>
          </w:tcPr>
          <w:p w:rsidR="00000000" w:rsidRDefault="00000000">
            <w:pPr>
              <w:ind w:right="227"/>
              <w:jc w:val="right"/>
              <w:rPr>
                <w:sz w:val="22"/>
              </w:rPr>
            </w:pPr>
            <w:r>
              <w:rPr>
                <w:sz w:val="22"/>
              </w:rPr>
              <w:t>105 477</w:t>
            </w:r>
          </w:p>
        </w:tc>
        <w:tc>
          <w:tcPr>
            <w:tcW w:w="1183" w:type="dxa"/>
            <w:tcBorders>
              <w:top w:val="nil"/>
              <w:bottom w:val="nil"/>
            </w:tcBorders>
          </w:tcPr>
          <w:p w:rsidR="00000000" w:rsidRDefault="00000000">
            <w:pPr>
              <w:ind w:right="113"/>
              <w:jc w:val="right"/>
              <w:rPr>
                <w:sz w:val="22"/>
              </w:rPr>
            </w:pPr>
            <w:r>
              <w:rPr>
                <w:sz w:val="22"/>
              </w:rPr>
              <w:t>97 981</w:t>
            </w:r>
          </w:p>
        </w:tc>
        <w:tc>
          <w:tcPr>
            <w:tcW w:w="1507" w:type="dxa"/>
            <w:tcBorders>
              <w:top w:val="nil"/>
              <w:bottom w:val="nil"/>
            </w:tcBorders>
          </w:tcPr>
          <w:p w:rsidR="00000000" w:rsidRDefault="00000000">
            <w:pPr>
              <w:jc w:val="center"/>
              <w:rPr>
                <w:sz w:val="22"/>
              </w:rPr>
            </w:pPr>
            <w:r>
              <w:rPr>
                <w:sz w:val="22"/>
              </w:rPr>
              <w:t>38 819</w:t>
            </w:r>
          </w:p>
        </w:tc>
      </w:tr>
      <w:tr w:rsidR="00000000">
        <w:tblPrEx>
          <w:tblCellMar>
            <w:top w:w="0" w:type="dxa"/>
            <w:bottom w:w="0" w:type="dxa"/>
          </w:tblCellMar>
        </w:tblPrEx>
        <w:tc>
          <w:tcPr>
            <w:tcW w:w="1344" w:type="dxa"/>
            <w:tcBorders>
              <w:top w:val="nil"/>
            </w:tcBorders>
          </w:tcPr>
          <w:p w:rsidR="00000000" w:rsidRDefault="00000000">
            <w:pPr>
              <w:jc w:val="center"/>
              <w:rPr>
                <w:sz w:val="22"/>
              </w:rPr>
            </w:pPr>
            <w:r>
              <w:rPr>
                <w:sz w:val="22"/>
              </w:rPr>
              <w:t>288 402</w:t>
            </w:r>
          </w:p>
        </w:tc>
        <w:tc>
          <w:tcPr>
            <w:tcW w:w="1344" w:type="dxa"/>
            <w:tcBorders>
              <w:top w:val="nil"/>
            </w:tcBorders>
          </w:tcPr>
          <w:p w:rsidR="00000000" w:rsidRDefault="00000000">
            <w:pPr>
              <w:jc w:val="center"/>
              <w:rPr>
                <w:sz w:val="22"/>
              </w:rPr>
            </w:pPr>
            <w:r>
              <w:rPr>
                <w:sz w:val="22"/>
              </w:rPr>
              <w:t>152 179</w:t>
            </w:r>
          </w:p>
        </w:tc>
        <w:tc>
          <w:tcPr>
            <w:tcW w:w="1344" w:type="dxa"/>
            <w:tcBorders>
              <w:top w:val="nil"/>
            </w:tcBorders>
          </w:tcPr>
          <w:p w:rsidR="00000000" w:rsidRDefault="00000000">
            <w:pPr>
              <w:jc w:val="center"/>
              <w:rPr>
                <w:sz w:val="22"/>
              </w:rPr>
            </w:pPr>
            <w:r>
              <w:rPr>
                <w:sz w:val="22"/>
              </w:rPr>
              <w:t>136 223</w:t>
            </w:r>
          </w:p>
        </w:tc>
        <w:tc>
          <w:tcPr>
            <w:tcW w:w="1344" w:type="dxa"/>
            <w:tcBorders>
              <w:top w:val="nil"/>
            </w:tcBorders>
          </w:tcPr>
          <w:p w:rsidR="00000000" w:rsidRDefault="00000000">
            <w:pPr>
              <w:jc w:val="center"/>
              <w:rPr>
                <w:sz w:val="22"/>
              </w:rPr>
            </w:pPr>
            <w:r>
              <w:rPr>
                <w:sz w:val="22"/>
              </w:rPr>
              <w:t>34 933</w:t>
            </w:r>
          </w:p>
        </w:tc>
        <w:tc>
          <w:tcPr>
            <w:tcW w:w="1344" w:type="dxa"/>
            <w:tcBorders>
              <w:top w:val="nil"/>
            </w:tcBorders>
          </w:tcPr>
          <w:p w:rsidR="00000000" w:rsidRDefault="00000000">
            <w:pPr>
              <w:ind w:right="227"/>
              <w:jc w:val="right"/>
              <w:rPr>
                <w:sz w:val="22"/>
              </w:rPr>
            </w:pPr>
            <w:r>
              <w:rPr>
                <w:sz w:val="22"/>
              </w:rPr>
              <w:t>98 858</w:t>
            </w:r>
          </w:p>
        </w:tc>
        <w:tc>
          <w:tcPr>
            <w:tcW w:w="1183" w:type="dxa"/>
            <w:tcBorders>
              <w:top w:val="nil"/>
            </w:tcBorders>
          </w:tcPr>
          <w:p w:rsidR="00000000" w:rsidRDefault="00000000">
            <w:pPr>
              <w:ind w:right="113"/>
              <w:jc w:val="right"/>
              <w:rPr>
                <w:sz w:val="22"/>
              </w:rPr>
            </w:pPr>
            <w:r>
              <w:rPr>
                <w:sz w:val="22"/>
              </w:rPr>
              <w:t>73 040</w:t>
            </w:r>
          </w:p>
        </w:tc>
        <w:tc>
          <w:tcPr>
            <w:tcW w:w="1507" w:type="dxa"/>
            <w:tcBorders>
              <w:top w:val="nil"/>
            </w:tcBorders>
          </w:tcPr>
          <w:p w:rsidR="00000000" w:rsidRDefault="00000000">
            <w:pPr>
              <w:jc w:val="center"/>
              <w:rPr>
                <w:sz w:val="22"/>
              </w:rPr>
            </w:pPr>
            <w:r>
              <w:rPr>
                <w:sz w:val="22"/>
              </w:rPr>
              <w:t>38 418</w:t>
            </w:r>
          </w:p>
        </w:tc>
      </w:tr>
    </w:tbl>
    <w:p w:rsidR="00000000" w:rsidRDefault="00000000">
      <w:pPr>
        <w:pStyle w:val="a6"/>
        <w:spacing w:line="240" w:lineRule="auto"/>
        <w:rPr>
          <w:rFonts w:eastAsia="SimSun" w:hint="eastAsia"/>
        </w:rPr>
      </w:pPr>
    </w:p>
    <w:p w:rsidR="00000000" w:rsidRDefault="00000000">
      <w:pPr>
        <w:spacing w:after="320"/>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：劳工部统计数字。</w:t>
      </w:r>
    </w:p>
    <w:p w:rsidR="00000000" w:rsidRDefault="00000000">
      <w:pPr>
        <w:rPr>
          <w:rFonts w:hint="eastAsia"/>
        </w:rPr>
      </w:pPr>
      <w:r>
        <w:rPr>
          <w:rFonts w:hint="eastAsia"/>
        </w:rPr>
        <w:tab/>
        <w:t xml:space="preserve">247.  </w:t>
      </w:r>
      <w:r>
        <w:rPr>
          <w:rFonts w:hint="eastAsia"/>
        </w:rPr>
        <w:t>政府有关就业和退休金政策的整体目标是增加就业和提高平均退休年龄。因此，针对长期失业问题所采取的第一手措施之目的也在于增加就业以及提高工作能力和职业技能。</w:t>
      </w:r>
    </w:p>
    <w:p w:rsidR="00000000" w:rsidRDefault="00000000">
      <w:pPr>
        <w:rPr>
          <w:rFonts w:hint="eastAsia"/>
        </w:rPr>
      </w:pPr>
      <w:r>
        <w:rPr>
          <w:rFonts w:hint="eastAsia"/>
        </w:rPr>
        <w:tab/>
        <w:t xml:space="preserve">248.  </w:t>
      </w:r>
      <w:r>
        <w:rPr>
          <w:rFonts w:hint="eastAsia"/>
        </w:rPr>
        <w:t>从</w:t>
      </w:r>
      <w:r>
        <w:rPr>
          <w:rFonts w:hint="eastAsia"/>
        </w:rPr>
        <w:t>2003</w:t>
      </w:r>
      <w:r>
        <w:rPr>
          <w:rFonts w:hint="eastAsia"/>
        </w:rPr>
        <w:t>年</w:t>
      </w:r>
      <w:r>
        <w:rPr>
          <w:rFonts w:hint="eastAsia"/>
        </w:rPr>
        <w:t>1</w:t>
      </w:r>
      <w:r>
        <w:rPr>
          <w:rFonts w:hint="eastAsia"/>
        </w:rPr>
        <w:t>月</w:t>
      </w:r>
      <w:r>
        <w:rPr>
          <w:rFonts w:hint="eastAsia"/>
        </w:rPr>
        <w:t>1</w:t>
      </w:r>
      <w:r>
        <w:rPr>
          <w:rFonts w:hint="eastAsia"/>
        </w:rPr>
        <w:t>日起，公共就业服务也涉及为工作能力有障碍的人安排职业康复，其目的是要加强他们的职业规划和发展，以及帮助他们就业和保住工作岗位。在职业康复方面，向工作能力有障碍的人提供职业指导和职业规划服务、同就业和康复有关的咨询、为确保有关工作是否合适而进行体格检查、专家磋商、同康复有关的测试、在职业学校实习、在工作场所实习以及在提供各种专门服务的福利工厂里见习和实习。此外，为成年人提供的劳动市场培训</w:t>
      </w:r>
      <w:r>
        <w:rPr>
          <w:rFonts w:hint="eastAsia"/>
        </w:rPr>
        <w:t>(</w:t>
      </w:r>
      <w:r>
        <w:rPr>
          <w:rFonts w:hint="eastAsia"/>
        </w:rPr>
        <w:t>初步培训或者职业培训</w:t>
      </w:r>
      <w:r>
        <w:rPr>
          <w:rFonts w:hint="eastAsia"/>
        </w:rPr>
        <w:t>)</w:t>
      </w:r>
      <w:r>
        <w:rPr>
          <w:rFonts w:hint="eastAsia"/>
        </w:rPr>
        <w:t>也可能用于职业康复。也可通过向参与向安排工作的雇主发放补助的方式帮助工作能力有障碍的人就业和保住工作岗位。</w:t>
      </w:r>
    </w:p>
    <w:p w:rsidR="00000000" w:rsidRDefault="00000000">
      <w:pPr>
        <w:rPr>
          <w:rFonts w:hint="eastAsia"/>
        </w:rPr>
      </w:pPr>
      <w:r>
        <w:rPr>
          <w:rFonts w:hint="eastAsia"/>
        </w:rPr>
        <w:tab/>
        <w:t xml:space="preserve">249.  </w:t>
      </w:r>
      <w:r>
        <w:rPr>
          <w:rFonts w:hint="eastAsia"/>
        </w:rPr>
        <w:t>雇佣工作能力有障碍的雇主一次可以领取长达</w:t>
      </w:r>
      <w:r>
        <w:rPr>
          <w:rFonts w:hint="eastAsia"/>
        </w:rPr>
        <w:t>24</w:t>
      </w:r>
      <w:r>
        <w:rPr>
          <w:rFonts w:hint="eastAsia"/>
        </w:rPr>
        <w:t>个月的补助。如果招聘这些求职者在社会企业中工作，补助的发放期为三年，而且，如果有关工人的工作能力进一步下降的话，发放期还可延长三年。</w:t>
      </w:r>
    </w:p>
    <w:p w:rsidR="00000000" w:rsidRDefault="00000000">
      <w:pPr>
        <w:rPr>
          <w:rFonts w:hint="eastAsia"/>
        </w:rPr>
      </w:pPr>
      <w:r>
        <w:rPr>
          <w:rFonts w:hint="eastAsia"/>
        </w:rPr>
        <w:tab/>
        <w:t xml:space="preserve">250.  </w:t>
      </w:r>
      <w:r>
        <w:rPr>
          <w:rFonts w:hint="eastAsia"/>
        </w:rPr>
        <w:t>《康复工作法》</w:t>
      </w:r>
      <w:r>
        <w:rPr>
          <w:rFonts w:hint="eastAsia"/>
        </w:rPr>
        <w:t>(189/2001)</w:t>
      </w:r>
      <w:r>
        <w:rPr>
          <w:rFonts w:hint="eastAsia"/>
        </w:rPr>
        <w:t>于</w:t>
      </w:r>
      <w:r>
        <w:rPr>
          <w:rFonts w:hint="eastAsia"/>
        </w:rPr>
        <w:t>2001</w:t>
      </w:r>
      <w:r>
        <w:rPr>
          <w:rFonts w:hint="eastAsia"/>
        </w:rPr>
        <w:t>年</w:t>
      </w:r>
      <w:r>
        <w:rPr>
          <w:rFonts w:hint="eastAsia"/>
        </w:rPr>
        <w:t>9</w:t>
      </w:r>
      <w:r>
        <w:rPr>
          <w:rFonts w:hint="eastAsia"/>
        </w:rPr>
        <w:t>月</w:t>
      </w:r>
      <w:r>
        <w:rPr>
          <w:rFonts w:hint="eastAsia"/>
        </w:rPr>
        <w:t>1</w:t>
      </w:r>
      <w:r>
        <w:rPr>
          <w:rFonts w:hint="eastAsia"/>
        </w:rPr>
        <w:t>日正式生效。这项法律之目的是要帮助那些领取劳动市场补助或者生活津贴的长期失业者寻找工作和接受有助于就业的培训或者其他措施。通过加强职业介绍部门和社会福利部门之间的合作以及制定和实施有关措施来努力实现有关加强就业和防止社会排斥的目标。这项法律首次提出了由劳工管理部门、地方当局以及失业者本人共同拟定的一项启动计划。这项法律规定地方当局以及职业介绍机构有义务进行合作，以便拟定启动计划和提供适合有关求职者的服务。</w:t>
      </w:r>
    </w:p>
    <w:p w:rsidR="00000000" w:rsidRDefault="00000000">
      <w:pPr>
        <w:rPr>
          <w:rFonts w:hint="eastAsia"/>
        </w:rPr>
      </w:pPr>
      <w:r>
        <w:rPr>
          <w:rFonts w:hint="eastAsia"/>
        </w:rPr>
        <w:tab/>
        <w:t xml:space="preserve">251.  </w:t>
      </w:r>
      <w:r>
        <w:rPr>
          <w:rFonts w:hint="eastAsia"/>
        </w:rPr>
        <w:t>启动计划分析了失业者的生活状况，并且为改善其就业前景提出了措施。启动计划也可规定失业者必须参加康复工作。作为一项社会服务，安排康复工作是地方当局的责任。对于所有合乎标准的失业者来说，参加拟订启动计划是强制性的，但是参加康复工作只对</w:t>
      </w:r>
      <w:r>
        <w:rPr>
          <w:rFonts w:hint="eastAsia"/>
        </w:rPr>
        <w:t>25</w:t>
      </w:r>
      <w:r>
        <w:rPr>
          <w:rFonts w:hint="eastAsia"/>
        </w:rPr>
        <w:t>岁以下的失业者是强制性的。如果在拟订启动计划三个月之后仍然无法为失业者安排工作或者采取推动就业的劳动力市场措施，就必须为该失业者安排康复工作。康复工作是中止长期失业的最后措施。</w:t>
      </w:r>
    </w:p>
    <w:p w:rsidR="00000000" w:rsidRDefault="00000000">
      <w:pPr>
        <w:rPr>
          <w:rFonts w:hint="eastAsia"/>
        </w:rPr>
      </w:pPr>
      <w:r>
        <w:rPr>
          <w:rFonts w:hint="eastAsia"/>
        </w:rPr>
        <w:tab/>
        <w:t xml:space="preserve">252.  </w:t>
      </w:r>
      <w:r>
        <w:rPr>
          <w:rFonts w:hint="eastAsia"/>
        </w:rPr>
        <w:t>如果失业者在过去</w:t>
      </w:r>
      <w:r>
        <w:rPr>
          <w:rFonts w:hint="eastAsia"/>
        </w:rPr>
        <w:t>12</w:t>
      </w:r>
      <w:r>
        <w:rPr>
          <w:rFonts w:hint="eastAsia"/>
        </w:rPr>
        <w:t>个月中由于失业</w:t>
      </w:r>
      <w:r>
        <w:rPr>
          <w:rFonts w:hint="eastAsia"/>
        </w:rPr>
        <w:t>180</w:t>
      </w:r>
      <w:r>
        <w:rPr>
          <w:rFonts w:hint="eastAsia"/>
        </w:rPr>
        <w:t>天而领取了劳动力市场补助，如果失业者已经领取了</w:t>
      </w:r>
      <w:r>
        <w:rPr>
          <w:rFonts w:hint="eastAsia"/>
        </w:rPr>
        <w:t>500</w:t>
      </w:r>
      <w:r>
        <w:rPr>
          <w:rFonts w:hint="eastAsia"/>
        </w:rPr>
        <w:t>天的失业福利，或者如果在过去四个月中失业者的主要收入来源是失业生活津贴，就必须拟订启动计划。如果失业的年轻人在没有正当理由的情况下拒绝拟订启动计划和采取在计划中所商定的措施，则可能停发其劳动力市场补助两个月，其生活津贴可能被减少</w:t>
      </w:r>
      <w:r>
        <w:rPr>
          <w:rFonts w:hint="eastAsia"/>
        </w:rPr>
        <w:t>20%</w:t>
      </w:r>
      <w:r>
        <w:rPr>
          <w:rFonts w:hint="eastAsia"/>
        </w:rPr>
        <w:t>。坚持拒绝拟订启动计划可能会导致规定，必须在工作三个月后方可领取劳动力市场补助，同时生活津贴也将减少</w:t>
      </w:r>
      <w:r>
        <w:rPr>
          <w:rFonts w:hint="eastAsia"/>
        </w:rPr>
        <w:t>40%</w:t>
      </w:r>
      <w:r>
        <w:rPr>
          <w:rFonts w:hint="eastAsia"/>
        </w:rPr>
        <w:t>。</w:t>
      </w:r>
    </w:p>
    <w:p w:rsidR="00000000" w:rsidRDefault="00000000">
      <w:pPr>
        <w:rPr>
          <w:rFonts w:hint="eastAsia"/>
        </w:rPr>
      </w:pPr>
      <w:r>
        <w:rPr>
          <w:rFonts w:hint="eastAsia"/>
        </w:rPr>
        <w:tab/>
        <w:t xml:space="preserve">253.  </w:t>
      </w:r>
      <w:r>
        <w:rPr>
          <w:rFonts w:hint="eastAsia"/>
        </w:rPr>
        <w:t>《社会企业法》</w:t>
      </w:r>
      <w:r>
        <w:rPr>
          <w:rFonts w:hint="eastAsia"/>
        </w:rPr>
        <w:t>(1351/2003)</w:t>
      </w:r>
      <w:r>
        <w:rPr>
          <w:rFonts w:hint="eastAsia"/>
        </w:rPr>
        <w:t>于</w:t>
      </w:r>
      <w:r>
        <w:rPr>
          <w:rFonts w:hint="eastAsia"/>
        </w:rPr>
        <w:t>2004</w:t>
      </w:r>
      <w:r>
        <w:rPr>
          <w:rFonts w:hint="eastAsia"/>
        </w:rPr>
        <w:t>年</w:t>
      </w:r>
      <w:r>
        <w:rPr>
          <w:rFonts w:hint="eastAsia"/>
        </w:rPr>
        <w:t>1</w:t>
      </w:r>
      <w:r>
        <w:rPr>
          <w:rFonts w:hint="eastAsia"/>
        </w:rPr>
        <w:t>月正式生效。这项法律的目的是要帮助建立社会企业。这种企业与其他公司是不同的，因为至少其中</w:t>
      </w:r>
      <w:r>
        <w:rPr>
          <w:rFonts w:hint="eastAsia"/>
        </w:rPr>
        <w:t>30%</w:t>
      </w:r>
      <w:r>
        <w:rPr>
          <w:rFonts w:hint="eastAsia"/>
        </w:rPr>
        <w:t>的雇员是工作能力有障碍的人，或者是这些人以及长期失业者。拟订这项法律是为了要帮助这些人找到工作。社会企业可以获得雇佣支助或者综合支助，其条件比其他公司宽松，而且领取时间也长一些。这种财政支助的目的是要为有工作能力障碍的人或者长期失业者较小的投入作出补偿。</w:t>
      </w:r>
    </w:p>
    <w:p w:rsidR="00000000" w:rsidRDefault="00000000">
      <w:pPr>
        <w:rPr>
          <w:rFonts w:hint="eastAsia"/>
        </w:rPr>
      </w:pPr>
      <w:r>
        <w:rPr>
          <w:rFonts w:hint="eastAsia"/>
        </w:rPr>
        <w:tab/>
        <w:t>254.  1998</w:t>
      </w:r>
      <w:r>
        <w:rPr>
          <w:rFonts w:hint="eastAsia"/>
        </w:rPr>
        <w:t>年开始实施的综合支助在防止长期失业者在劳工市场中遭到排斥方面发挥了重要作用。综合支助包括雇佣支助和劳工市场补助。从</w:t>
      </w:r>
      <w:r>
        <w:rPr>
          <w:rFonts w:hint="eastAsia"/>
        </w:rPr>
        <w:t>2003</w:t>
      </w:r>
      <w:r>
        <w:rPr>
          <w:rFonts w:hint="eastAsia"/>
        </w:rPr>
        <w:t>年</w:t>
      </w:r>
      <w:r>
        <w:rPr>
          <w:rFonts w:hint="eastAsia"/>
        </w:rPr>
        <w:t>1</w:t>
      </w:r>
      <w:r>
        <w:rPr>
          <w:rFonts w:hint="eastAsia"/>
        </w:rPr>
        <w:t>月开始，对综合支助进行了为期三年的试验。在这次试验中，凡是雇佣已经至少领取</w:t>
      </w:r>
      <w:r>
        <w:rPr>
          <w:rFonts w:hint="eastAsia"/>
        </w:rPr>
        <w:t>200</w:t>
      </w:r>
      <w:r>
        <w:rPr>
          <w:rFonts w:hint="eastAsia"/>
        </w:rPr>
        <w:t>天劳动力市场补助的失业者的雇主可以获得综合支助。如果不领取综合支助，也可获得为期二年的全额劳动力市场补助，但是没有雇佣支助。在这次试验方面，于</w:t>
      </w:r>
      <w:r>
        <w:rPr>
          <w:rFonts w:hint="eastAsia"/>
        </w:rPr>
        <w:t>2005</w:t>
      </w:r>
      <w:r>
        <w:rPr>
          <w:rFonts w:hint="eastAsia"/>
        </w:rPr>
        <w:t>年</w:t>
      </w:r>
      <w:r>
        <w:rPr>
          <w:rFonts w:hint="eastAsia"/>
        </w:rPr>
        <w:t>1</w:t>
      </w:r>
      <w:r>
        <w:rPr>
          <w:rFonts w:hint="eastAsia"/>
        </w:rPr>
        <w:t>月实施了资助证制度。发放资助证是为了推动失业者本身寻找工作。与此同时，雇主也可被告知，可以利用财政支助来支付工资。资助证的有效期为三个月，但在必要时可以延长。</w:t>
      </w:r>
    </w:p>
    <w:p w:rsidR="00000000" w:rsidRDefault="00000000">
      <w:pPr>
        <w:rPr>
          <w:rFonts w:hint="eastAsia"/>
        </w:rPr>
      </w:pPr>
      <w:r>
        <w:rPr>
          <w:rFonts w:hint="eastAsia"/>
        </w:rPr>
        <w:tab/>
        <w:t xml:space="preserve">255.  </w:t>
      </w:r>
      <w:r>
        <w:rPr>
          <w:rFonts w:hint="eastAsia"/>
        </w:rPr>
        <w:t>增加劳工需求。在</w:t>
      </w:r>
      <w:r>
        <w:rPr>
          <w:rFonts w:hint="eastAsia"/>
        </w:rPr>
        <w:t>2003</w:t>
      </w:r>
      <w:r>
        <w:rPr>
          <w:rFonts w:hint="eastAsia"/>
        </w:rPr>
        <w:t>年</w:t>
      </w:r>
      <w:r>
        <w:rPr>
          <w:rFonts w:hint="eastAsia"/>
        </w:rPr>
        <w:t>10</w:t>
      </w:r>
      <w:r>
        <w:rPr>
          <w:rFonts w:hint="eastAsia"/>
        </w:rPr>
        <w:t>月，劳工部通过了</w:t>
      </w:r>
      <w:r>
        <w:rPr>
          <w:rFonts w:hint="eastAsia"/>
        </w:rPr>
        <w:t>2003</w:t>
      </w:r>
      <w:r>
        <w:rPr>
          <w:rFonts w:hint="eastAsia"/>
        </w:rPr>
        <w:t>年至</w:t>
      </w:r>
      <w:r>
        <w:rPr>
          <w:rFonts w:hint="eastAsia"/>
        </w:rPr>
        <w:t>2007</w:t>
      </w:r>
      <w:r>
        <w:rPr>
          <w:rFonts w:hint="eastAsia"/>
        </w:rPr>
        <w:t>年的《劳动力政策战略》，后来又延长到</w:t>
      </w:r>
      <w:r>
        <w:rPr>
          <w:rFonts w:hint="eastAsia"/>
        </w:rPr>
        <w:t>2010</w:t>
      </w:r>
      <w:r>
        <w:rPr>
          <w:rFonts w:hint="eastAsia"/>
        </w:rPr>
        <w:t>年。这项战略实施了政府的政治纲领、政府战略和有关的跨部门政策以及欧盟的《欧洲就业战略》中所规定的原则。《劳动力政策战略》的目标年是</w:t>
      </w:r>
      <w:r>
        <w:rPr>
          <w:rFonts w:hint="eastAsia"/>
        </w:rPr>
        <w:t>2007</w:t>
      </w:r>
      <w:r>
        <w:rPr>
          <w:rFonts w:hint="eastAsia"/>
        </w:rPr>
        <w:t>年和</w:t>
      </w:r>
      <w:r>
        <w:rPr>
          <w:rFonts w:hint="eastAsia"/>
        </w:rPr>
        <w:t>2010</w:t>
      </w:r>
      <w:r>
        <w:rPr>
          <w:rFonts w:hint="eastAsia"/>
        </w:rPr>
        <w:t>年，因为随着大量职工的退休，劳动力市场的情况将发生变化。《战略》列出了五项战略指导方针：</w:t>
      </w:r>
      <w:r>
        <w:rPr>
          <w:rFonts w:hint="eastAsia"/>
        </w:rPr>
        <w:t xml:space="preserve">(1) </w:t>
      </w:r>
      <w:r>
        <w:rPr>
          <w:rFonts w:hint="eastAsia"/>
        </w:rPr>
        <w:t>减少结构性失业和防止社会排斥；</w:t>
      </w:r>
      <w:r>
        <w:rPr>
          <w:rFonts w:hint="eastAsia"/>
        </w:rPr>
        <w:t xml:space="preserve">(2) </w:t>
      </w:r>
      <w:r>
        <w:rPr>
          <w:rFonts w:hint="eastAsia"/>
        </w:rPr>
        <w:t>确保技术工人的供给；</w:t>
      </w:r>
      <w:r>
        <w:rPr>
          <w:rFonts w:hint="eastAsia"/>
        </w:rPr>
        <w:t xml:space="preserve">(3) </w:t>
      </w:r>
      <w:r>
        <w:rPr>
          <w:rFonts w:hint="eastAsia"/>
        </w:rPr>
        <w:t>以保证可持续质量的方式提高劳动生产率；</w:t>
      </w:r>
      <w:r>
        <w:rPr>
          <w:rFonts w:hint="eastAsia"/>
        </w:rPr>
        <w:t xml:space="preserve">(4) </w:t>
      </w:r>
      <w:r>
        <w:rPr>
          <w:rFonts w:hint="eastAsia"/>
        </w:rPr>
        <w:t>为积极的劳工移民政策规定先决条件；以及</w:t>
      </w:r>
      <w:r>
        <w:rPr>
          <w:rFonts w:hint="eastAsia"/>
        </w:rPr>
        <w:t xml:space="preserve">(5) </w:t>
      </w:r>
      <w:r>
        <w:rPr>
          <w:rFonts w:hint="eastAsia"/>
        </w:rPr>
        <w:t>发展企业家精神和自营职业。</w:t>
      </w:r>
    </w:p>
    <w:p w:rsidR="00000000" w:rsidRDefault="00000000">
      <w:pPr>
        <w:rPr>
          <w:rFonts w:hint="eastAsia"/>
        </w:rPr>
      </w:pPr>
      <w:r>
        <w:rPr>
          <w:rFonts w:hint="eastAsia"/>
        </w:rPr>
        <w:tab/>
        <w:t xml:space="preserve">256.  </w:t>
      </w:r>
      <w:r>
        <w:rPr>
          <w:rFonts w:hint="eastAsia"/>
        </w:rPr>
        <w:t>创业补助金。劳工管理部门也可为进入劳动力市场的工人提供创业补助金。这种补助金不是发给雇主的，而是一种确保新工人基本生活的资助形式。从</w:t>
      </w:r>
      <w:r>
        <w:rPr>
          <w:rFonts w:hint="eastAsia"/>
        </w:rPr>
        <w:t>1984</w:t>
      </w:r>
      <w:r>
        <w:rPr>
          <w:rFonts w:hint="eastAsia"/>
        </w:rPr>
        <w:t>年开始，就已经向那些准备开始商业活动的失业者发放创业补助金，以便在公司尚未赚钱而有关人员又不再有权领取失业补助的时候确保失业者的基本生活。创业补助金最长只能发放</w:t>
      </w:r>
      <w:r>
        <w:rPr>
          <w:rFonts w:hint="eastAsia"/>
        </w:rPr>
        <w:t>10</w:t>
      </w:r>
      <w:r>
        <w:rPr>
          <w:rFonts w:hint="eastAsia"/>
        </w:rPr>
        <w:t>个月。发放创业补助金的条件包括：评估有关公司的预期生产率以及申请人在开展商业活动方面的准备程度。在审议申请时，必须评估补助金对于竞争的影响。</w:t>
      </w:r>
    </w:p>
    <w:p w:rsidR="00000000" w:rsidRDefault="00000000">
      <w:pPr>
        <w:rPr>
          <w:rFonts w:hint="eastAsia"/>
        </w:rPr>
      </w:pPr>
      <w:r>
        <w:rPr>
          <w:rFonts w:hint="eastAsia"/>
        </w:rPr>
        <w:tab/>
        <w:t xml:space="preserve">257.  </w:t>
      </w:r>
      <w:r>
        <w:rPr>
          <w:rFonts w:hint="eastAsia"/>
        </w:rPr>
        <w:t>在</w:t>
      </w:r>
      <w:r>
        <w:rPr>
          <w:rFonts w:hint="eastAsia"/>
        </w:rPr>
        <w:t>2005</w:t>
      </w:r>
      <w:r>
        <w:rPr>
          <w:rFonts w:hint="eastAsia"/>
        </w:rPr>
        <w:t>年</w:t>
      </w:r>
      <w:r>
        <w:rPr>
          <w:rFonts w:hint="eastAsia"/>
        </w:rPr>
        <w:t>1</w:t>
      </w:r>
      <w:r>
        <w:rPr>
          <w:rFonts w:hint="eastAsia"/>
        </w:rPr>
        <w:t>月，开始实施对那些希望离开支薪工作或者在劳工市场以外的其他活动而开创商业活动的人发放创业补助金的为期两年的试验。这种试验也使得那些已经完成学业的人有可能获得开创商业活动的资助。试验的一个目标是要增加开创商业活动的人数。</w:t>
      </w:r>
    </w:p>
    <w:p w:rsidR="00000000" w:rsidRDefault="00000000">
      <w:pPr>
        <w:rPr>
          <w:rFonts w:hint="eastAsia"/>
        </w:rPr>
      </w:pPr>
      <w:r>
        <w:rPr>
          <w:rFonts w:hint="eastAsia"/>
        </w:rPr>
        <w:tab/>
        <w:t xml:space="preserve">258.  </w:t>
      </w:r>
      <w:r>
        <w:rPr>
          <w:rFonts w:hint="eastAsia"/>
        </w:rPr>
        <w:t>支持老年职工推迟退休。从</w:t>
      </w:r>
      <w:r>
        <w:rPr>
          <w:rFonts w:hint="eastAsia"/>
        </w:rPr>
        <w:t>2005</w:t>
      </w:r>
      <w:r>
        <w:rPr>
          <w:rFonts w:hint="eastAsia"/>
        </w:rPr>
        <w:t>年</w:t>
      </w:r>
      <w:r>
        <w:rPr>
          <w:rFonts w:hint="eastAsia"/>
        </w:rPr>
        <w:t>1</w:t>
      </w:r>
      <w:r>
        <w:rPr>
          <w:rFonts w:hint="eastAsia"/>
        </w:rPr>
        <w:t>月开始改革以就业为基础的退休金制度。这次改革鼓励工人推迟退休，并且要改善退休金的财务状况。改革最重要的原因在于必须应付人口老化和年龄结构的改变对于国民经济以及退休金制度提出的挑战。改革内容包括：积累</w:t>
      </w:r>
      <w:r>
        <w:rPr>
          <w:rFonts w:hint="eastAsia"/>
        </w:rPr>
        <w:t>18</w:t>
      </w:r>
      <w:r>
        <w:rPr>
          <w:rFonts w:hint="eastAsia"/>
        </w:rPr>
        <w:t>岁至</w:t>
      </w:r>
      <w:r>
        <w:rPr>
          <w:rFonts w:hint="eastAsia"/>
        </w:rPr>
        <w:t>68</w:t>
      </w:r>
      <w:r>
        <w:rPr>
          <w:rFonts w:hint="eastAsia"/>
        </w:rPr>
        <w:t>岁职工的退休金、随着职工的年龄增加而逐步提高积累退休金的比例以及灵活支付</w:t>
      </w:r>
      <w:r>
        <w:rPr>
          <w:rFonts w:hint="eastAsia"/>
        </w:rPr>
        <w:t>63</w:t>
      </w:r>
      <w:r>
        <w:rPr>
          <w:rFonts w:hint="eastAsia"/>
        </w:rPr>
        <w:t>岁至</w:t>
      </w:r>
      <w:r>
        <w:rPr>
          <w:rFonts w:hint="eastAsia"/>
        </w:rPr>
        <w:t>68</w:t>
      </w:r>
      <w:r>
        <w:rPr>
          <w:rFonts w:hint="eastAsia"/>
        </w:rPr>
        <w:t>岁职工的退休金。</w:t>
      </w:r>
    </w:p>
    <w:p w:rsidR="00000000" w:rsidRDefault="00000000">
      <w:pPr>
        <w:rPr>
          <w:rFonts w:hint="eastAsia"/>
        </w:rPr>
      </w:pPr>
      <w:r>
        <w:rPr>
          <w:rFonts w:hint="eastAsia"/>
        </w:rPr>
        <w:tab/>
        <w:t xml:space="preserve">259.  </w:t>
      </w:r>
      <w:r>
        <w:rPr>
          <w:rFonts w:hint="eastAsia"/>
        </w:rPr>
        <w:t>从</w:t>
      </w:r>
      <w:r>
        <w:rPr>
          <w:rFonts w:hint="eastAsia"/>
        </w:rPr>
        <w:t>2000</w:t>
      </w:r>
      <w:r>
        <w:rPr>
          <w:rFonts w:hint="eastAsia"/>
        </w:rPr>
        <w:t>年至</w:t>
      </w:r>
      <w:r>
        <w:rPr>
          <w:rFonts w:hint="eastAsia"/>
        </w:rPr>
        <w:t>2003</w:t>
      </w:r>
      <w:r>
        <w:rPr>
          <w:rFonts w:hint="eastAsia"/>
        </w:rPr>
        <w:t>年，在政府的政治纲领框架内实施了劳动福利方案。实施这个方案的目的是要加强工作能力和保持劳动福利，以便推动实现政府政治纲领中所规定的有关推迟</w:t>
      </w:r>
      <w:r>
        <w:rPr>
          <w:rFonts w:hint="eastAsia"/>
        </w:rPr>
        <w:t>2-3</w:t>
      </w:r>
      <w:r>
        <w:rPr>
          <w:rFonts w:hint="eastAsia"/>
        </w:rPr>
        <w:t>年退休的目标。</w:t>
      </w:r>
    </w:p>
    <w:p w:rsidR="00000000" w:rsidRDefault="00000000">
      <w:pPr>
        <w:rPr>
          <w:rFonts w:hint="eastAsia"/>
        </w:rPr>
      </w:pPr>
      <w:r>
        <w:rPr>
          <w:rFonts w:hint="eastAsia"/>
        </w:rPr>
        <w:tab/>
        <w:t xml:space="preserve">260.  </w:t>
      </w:r>
      <w:r>
        <w:rPr>
          <w:rFonts w:hint="eastAsia"/>
        </w:rPr>
        <w:t>《替工假法》</w:t>
      </w:r>
      <w:r>
        <w:rPr>
          <w:rFonts w:hint="eastAsia"/>
        </w:rPr>
        <w:t>(1305/2002)</w:t>
      </w:r>
      <w:r>
        <w:rPr>
          <w:rFonts w:hint="eastAsia"/>
        </w:rPr>
        <w:t>于</w:t>
      </w:r>
      <w:r>
        <w:rPr>
          <w:rFonts w:hint="eastAsia"/>
        </w:rPr>
        <w:t>2003</w:t>
      </w:r>
      <w:r>
        <w:rPr>
          <w:rFonts w:hint="eastAsia"/>
        </w:rPr>
        <w:t>年</w:t>
      </w:r>
      <w:r>
        <w:rPr>
          <w:rFonts w:hint="eastAsia"/>
        </w:rPr>
        <w:t>1</w:t>
      </w:r>
      <w:r>
        <w:rPr>
          <w:rFonts w:hint="eastAsia"/>
        </w:rPr>
        <w:t>月正式生效，其有效期至</w:t>
      </w:r>
      <w:r>
        <w:rPr>
          <w:rFonts w:hint="eastAsia"/>
        </w:rPr>
        <w:t>2007</w:t>
      </w:r>
      <w:r>
        <w:rPr>
          <w:rFonts w:hint="eastAsia"/>
        </w:rPr>
        <w:t>年年底。实行替工假制度的一个目的是要加强职工的福利。凡是有权享受替工假的职工可因教育或者培训、照料子女或者其他家庭成员、业余爱好或者休息而随时休假。对于失业者来说，顶替休假职工为他们提供了一个保持和发展其工作技能以及增加日后找到工作可能性的机会。对于雇主来说，这种制度也为招聘工人增加了一个新的渠道；同时也增加了工作场所的灵活性和新的知识。</w:t>
      </w:r>
    </w:p>
    <w:p w:rsidR="00000000" w:rsidRDefault="00000000">
      <w:pPr>
        <w:spacing w:after="320"/>
        <w:rPr>
          <w:rFonts w:hint="eastAsia"/>
        </w:rPr>
      </w:pPr>
      <w:r>
        <w:rPr>
          <w:rFonts w:hint="eastAsia"/>
        </w:rPr>
        <w:tab/>
        <w:t xml:space="preserve">261.  </w:t>
      </w:r>
      <w:r>
        <w:rPr>
          <w:rFonts w:hint="eastAsia"/>
        </w:rPr>
        <w:t>根据替工假制度的规定，如果雇员的工作时数超过了所在部门全日制工人工作时数的</w:t>
      </w:r>
      <w:r>
        <w:rPr>
          <w:rFonts w:hint="eastAsia"/>
        </w:rPr>
        <w:t>75%</w:t>
      </w:r>
      <w:r>
        <w:rPr>
          <w:rFonts w:hint="eastAsia"/>
        </w:rPr>
        <w:t>，雇员依据其同雇主签订的替工协议有权提出休假，而无需执行雇佣合同中所涉的工作义务。替工假期至少为</w:t>
      </w:r>
      <w:r>
        <w:rPr>
          <w:rFonts w:hint="eastAsia"/>
        </w:rPr>
        <w:t>90</w:t>
      </w:r>
      <w:r>
        <w:rPr>
          <w:rFonts w:hint="eastAsia"/>
        </w:rPr>
        <w:t>天，而且不得中断，但是不能超过</w:t>
      </w:r>
      <w:r>
        <w:rPr>
          <w:rFonts w:hint="eastAsia"/>
        </w:rPr>
        <w:t>359</w:t>
      </w:r>
      <w:r>
        <w:rPr>
          <w:rFonts w:hint="eastAsia"/>
        </w:rPr>
        <w:t>天。雇主在相应时期内雇佣在职业介绍所登记的失业求职者。必须首先雇佣青年失业者、长期失业者或者最近获得大学学位或者完成职业教育的人。休完替工假的职工有权返回原来工作岗位。</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hint="eastAsia"/>
          <w:u w:val="none"/>
        </w:rPr>
        <w:tab/>
        <w:t>(</w:t>
      </w:r>
      <w:r>
        <w:rPr>
          <w:rFonts w:ascii="Time New Roman" w:eastAsia="SimHei" w:hAnsi="Time New Roman"/>
          <w:b/>
          <w:u w:val="none"/>
        </w:rPr>
        <w:t>c</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生产率</w:t>
      </w:r>
    </w:p>
    <w:p w:rsidR="00000000" w:rsidRDefault="00000000">
      <w:pPr>
        <w:rPr>
          <w:rFonts w:hint="eastAsia"/>
        </w:rPr>
      </w:pPr>
      <w:r>
        <w:rPr>
          <w:rFonts w:hint="eastAsia"/>
        </w:rPr>
        <w:tab/>
        <w:t>262.  2004</w:t>
      </w:r>
      <w:r>
        <w:rPr>
          <w:rFonts w:hint="eastAsia"/>
        </w:rPr>
        <w:t>年</w:t>
      </w:r>
      <w:r>
        <w:rPr>
          <w:rFonts w:hint="eastAsia"/>
        </w:rPr>
        <w:t>1</w:t>
      </w:r>
      <w:r>
        <w:rPr>
          <w:rFonts w:hint="eastAsia"/>
        </w:rPr>
        <w:t>月，劳工部开始实施一项旨在提高劳动质量和效率的方案</w:t>
      </w:r>
      <w:r>
        <w:rPr>
          <w:rFonts w:hint="eastAsia"/>
        </w:rPr>
        <w:t>(TYKES, 2004</w:t>
      </w:r>
      <w:r>
        <w:rPr>
          <w:rFonts w:hint="eastAsia"/>
        </w:rPr>
        <w:t>年至</w:t>
      </w:r>
      <w:r>
        <w:rPr>
          <w:rFonts w:hint="eastAsia"/>
        </w:rPr>
        <w:t>2009</w:t>
      </w:r>
      <w:r>
        <w:rPr>
          <w:rFonts w:hint="eastAsia"/>
        </w:rPr>
        <w:t>年</w:t>
      </w:r>
      <w:r>
        <w:rPr>
          <w:rFonts w:hint="eastAsia"/>
        </w:rPr>
        <w:t>)</w:t>
      </w:r>
      <w:r>
        <w:rPr>
          <w:rFonts w:hint="eastAsia"/>
        </w:rPr>
        <w:t>，从而综合和协调了以前的一些方案。这项方案之目的是要通过帮助工人提高其工作技能和改善其工作、劳动福利以及在工作场所的共同协商和相互信任，来支持提高公司和公共实体的生产率。</w:t>
      </w:r>
    </w:p>
    <w:p w:rsidR="00000000" w:rsidRDefault="00000000">
      <w:pPr>
        <w:rPr>
          <w:rFonts w:hint="eastAsia"/>
        </w:rPr>
      </w:pPr>
      <w:r>
        <w:rPr>
          <w:rFonts w:hint="eastAsia"/>
        </w:rPr>
        <w:tab/>
        <w:t>263.  TYKES</w:t>
      </w:r>
      <w:r>
        <w:rPr>
          <w:rFonts w:hint="eastAsia"/>
        </w:rPr>
        <w:t>方案支持公司和公共实体主动提出的各种发展项目，试验组织和管理方面的各种作法，制定工作方法，实施研究项目的成果以及加强有关劳动的研究和发展。</w:t>
      </w:r>
    </w:p>
    <w:p w:rsidR="00000000" w:rsidRDefault="00000000">
      <w:pPr>
        <w:rPr>
          <w:rFonts w:hint="eastAsia"/>
        </w:rPr>
      </w:pPr>
      <w:r>
        <w:rPr>
          <w:rFonts w:hint="eastAsia"/>
        </w:rPr>
        <w:tab/>
        <w:t xml:space="preserve">264.  </w:t>
      </w:r>
      <w:r>
        <w:rPr>
          <w:rFonts w:hint="eastAsia"/>
        </w:rPr>
        <w:t>社会事务和卫生部正在实施一项旨在加强劳动吸引力的方案</w:t>
      </w:r>
      <w:r>
        <w:rPr>
          <w:rFonts w:hint="eastAsia"/>
        </w:rPr>
        <w:t>(VETO, 2003</w:t>
      </w:r>
      <w:r>
        <w:rPr>
          <w:rFonts w:hint="eastAsia"/>
        </w:rPr>
        <w:t>年至</w:t>
      </w:r>
      <w:r>
        <w:rPr>
          <w:rFonts w:hint="eastAsia"/>
        </w:rPr>
        <w:t>2007</w:t>
      </w:r>
      <w:r>
        <w:rPr>
          <w:rFonts w:hint="eastAsia"/>
        </w:rPr>
        <w:t>年</w:t>
      </w:r>
      <w:r>
        <w:rPr>
          <w:rFonts w:hint="eastAsia"/>
        </w:rPr>
        <w:t>)</w:t>
      </w:r>
      <w:r>
        <w:rPr>
          <w:rFonts w:hint="eastAsia"/>
        </w:rPr>
        <w:t>；教育部也在实施一项旨在加强成年人教育水平的方案</w:t>
      </w:r>
      <w:r>
        <w:rPr>
          <w:rFonts w:hint="eastAsia"/>
        </w:rPr>
        <w:t>(NOSTE, 2003</w:t>
      </w:r>
      <w:r>
        <w:rPr>
          <w:rFonts w:hint="eastAsia"/>
        </w:rPr>
        <w:t>年至</w:t>
      </w:r>
      <w:r>
        <w:rPr>
          <w:rFonts w:hint="eastAsia"/>
        </w:rPr>
        <w:t>2007</w:t>
      </w:r>
      <w:r>
        <w:rPr>
          <w:rFonts w:hint="eastAsia"/>
        </w:rPr>
        <w:t>年</w:t>
      </w:r>
      <w:r>
        <w:rPr>
          <w:rFonts w:hint="eastAsia"/>
        </w:rPr>
        <w:t>)</w:t>
      </w:r>
      <w:r>
        <w:rPr>
          <w:rFonts w:hint="eastAsia"/>
        </w:rPr>
        <w:t>。</w:t>
      </w:r>
      <w:r>
        <w:rPr>
          <w:rFonts w:hint="eastAsia"/>
        </w:rPr>
        <w:t>VETO</w:t>
      </w:r>
      <w:r>
        <w:rPr>
          <w:rFonts w:hint="eastAsia"/>
        </w:rPr>
        <w:t>方案是《国家年龄方案》以及上述劳动福利方案的继续，其目的是要加强劳动的吸引力和工作年龄人口的工作能力，与此同时执行有关社会福利和卫生政策的战略。</w:t>
      </w:r>
    </w:p>
    <w:p w:rsidR="00000000" w:rsidRDefault="00000000">
      <w:pPr>
        <w:rPr>
          <w:rFonts w:hint="eastAsia"/>
        </w:rPr>
      </w:pPr>
      <w:r>
        <w:rPr>
          <w:rFonts w:hint="eastAsia"/>
        </w:rPr>
        <w:tab/>
        <w:t>265.  VETO</w:t>
      </w:r>
      <w:r>
        <w:rPr>
          <w:rFonts w:hint="eastAsia"/>
        </w:rPr>
        <w:t>方案致力于确保公民充分投入工作，为延长工作寿命而作出贡献，更好地协调工作和家庭生活，加强男女平等以及增加劳动的吸引力。这项方案由四部分组成，分别侧重于：劳动质量和安全、有效的职工健康保护和康复服务、工作的多样化和平等以及鼓励稳定收入和安心工作。这项方案是同其他部委、工会、私人企业协会、研究所、保险公司和养老金机构以及各种提供康复服务的组织合作执行的。为执行这项方案成立了一个指导小组，以便监测和协调其执行，编辑有关从参加各方所收到的有关根据方案所采取措施及其进展情况的信息，全面了解资源的使用和所需知识的情况以及确保各方的有效合作。</w:t>
      </w:r>
    </w:p>
    <w:p w:rsidR="00000000" w:rsidRDefault="00000000">
      <w:pPr>
        <w:spacing w:after="320"/>
        <w:rPr>
          <w:rFonts w:hint="eastAsia"/>
        </w:rPr>
      </w:pPr>
      <w:r>
        <w:rPr>
          <w:rFonts w:hint="eastAsia"/>
        </w:rPr>
        <w:tab/>
        <w:t xml:space="preserve">266.  </w:t>
      </w:r>
      <w:r>
        <w:rPr>
          <w:rFonts w:hint="eastAsia"/>
        </w:rPr>
        <w:t>本报告附有社会事务和卫生部</w:t>
      </w:r>
      <w:r>
        <w:rPr>
          <w:rFonts w:hint="eastAsia"/>
        </w:rPr>
        <w:t>2003</w:t>
      </w:r>
      <w:r>
        <w:rPr>
          <w:rFonts w:hint="eastAsia"/>
        </w:rPr>
        <w:t>年至</w:t>
      </w:r>
      <w:r>
        <w:rPr>
          <w:rFonts w:hint="eastAsia"/>
        </w:rPr>
        <w:t>2007</w:t>
      </w:r>
      <w:r>
        <w:rPr>
          <w:rFonts w:hint="eastAsia"/>
        </w:rPr>
        <w:t>年的</w:t>
      </w:r>
      <w:r>
        <w:rPr>
          <w:rFonts w:hint="eastAsia"/>
        </w:rPr>
        <w:t>VETO</w:t>
      </w:r>
      <w:r>
        <w:rPr>
          <w:rFonts w:hint="eastAsia"/>
        </w:rPr>
        <w:t>方案</w:t>
      </w:r>
      <w:r>
        <w:rPr>
          <w:rFonts w:hint="eastAsia"/>
        </w:rPr>
        <w:t>(</w:t>
      </w:r>
      <w:r>
        <w:rPr>
          <w:rFonts w:hint="eastAsia"/>
        </w:rPr>
        <w:t>附件</w:t>
      </w:r>
      <w:r>
        <w:rPr>
          <w:rFonts w:hint="eastAsia"/>
        </w:rPr>
        <w:t>32)</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hint="eastAsia"/>
          <w:u w:val="none"/>
        </w:rPr>
        <w:tab/>
        <w:t>(</w:t>
      </w:r>
      <w:r>
        <w:rPr>
          <w:rFonts w:ascii="Time New Roman" w:eastAsia="SimHei" w:hAnsi="Time New Roman"/>
          <w:b/>
          <w:u w:val="none"/>
        </w:rPr>
        <w:t>d</w:t>
      </w:r>
      <w:r>
        <w:rPr>
          <w:rFonts w:ascii="Time New Roman" w:eastAsia="SimHei" w:hAnsi="Time New Roman"/>
          <w:u w:val="none"/>
        </w:rPr>
        <w:t xml:space="preserve">) </w:t>
      </w:r>
      <w:r>
        <w:rPr>
          <w:rFonts w:ascii="Time New Roman" w:eastAsia="SimHei" w:hAnsi="Time New Roman" w:hint="eastAsia"/>
          <w:u w:val="none"/>
        </w:rPr>
        <w:t>选择就业的自由</w:t>
      </w:r>
    </w:p>
    <w:p w:rsidR="00000000" w:rsidRDefault="00000000">
      <w:r>
        <w:rPr>
          <w:rFonts w:hint="eastAsia"/>
        </w:rPr>
        <w:tab/>
        <w:t xml:space="preserve">267.  </w:t>
      </w:r>
      <w:r>
        <w:rPr>
          <w:rFonts w:hint="eastAsia"/>
        </w:rPr>
        <w:t>一项新的《外国人法》</w:t>
      </w:r>
      <w:r>
        <w:rPr>
          <w:rFonts w:hint="eastAsia"/>
        </w:rPr>
        <w:t>(301/2004)</w:t>
      </w:r>
      <w:r>
        <w:rPr>
          <w:rFonts w:hint="eastAsia"/>
        </w:rPr>
        <w:t>于</w:t>
      </w:r>
      <w:r>
        <w:rPr>
          <w:rFonts w:hint="eastAsia"/>
        </w:rPr>
        <w:t>2004</w:t>
      </w:r>
      <w:r>
        <w:rPr>
          <w:rFonts w:hint="eastAsia"/>
        </w:rPr>
        <w:t>年</w:t>
      </w:r>
      <w:r>
        <w:rPr>
          <w:rFonts w:hint="eastAsia"/>
        </w:rPr>
        <w:t>5</w:t>
      </w:r>
      <w:r>
        <w:rPr>
          <w:rFonts w:hint="eastAsia"/>
        </w:rPr>
        <w:t>月</w:t>
      </w:r>
      <w:r>
        <w:rPr>
          <w:rFonts w:hint="eastAsia"/>
        </w:rPr>
        <w:t>1</w:t>
      </w:r>
      <w:r>
        <w:rPr>
          <w:rFonts w:hint="eastAsia"/>
        </w:rPr>
        <w:t>日正式生效，其中载有关于雇佣欧洲联盟和欧洲经济地区以外国家国民的规定。在大多数情况下，非欧洲经济地区国家的国民必须申请工人居留证。实行工人居留证制度之目的是要以一种协调、迅速和灵活的方式提供劳动力，同时考虑雇主和外国工人的法定权利以及已经在劳工市场中的工人的就业前景。新的《外国人法》规定，以单一的工人居留证制度取代以前的工作证和居留证两证制度。一旦职业介绍机构宣布劳工市场上有职位空缺，移民局就向有关工人发出居留证，如果地区警署在公共秩序和安全方面没有发现有任何理由要阻止居留证的签发，可延长居留证的有效期。</w:t>
      </w:r>
    </w:p>
    <w:p w:rsidR="00000000" w:rsidRDefault="00000000">
      <w:pPr>
        <w:rPr>
          <w:rFonts w:hint="eastAsia"/>
        </w:rPr>
      </w:pPr>
      <w:r>
        <w:rPr>
          <w:rFonts w:hint="eastAsia"/>
        </w:rPr>
        <w:tab/>
        <w:t xml:space="preserve">268.  </w:t>
      </w:r>
      <w:r>
        <w:rPr>
          <w:rFonts w:hint="eastAsia"/>
        </w:rPr>
        <w:t>外国人可在未经职业介绍部门评估的情况下工作的权利特别扩大到了那些已经在芬兰居住的外国人，例如外国工人以及在特别领域</w:t>
      </w:r>
      <w:r>
        <w:rPr>
          <w:rFonts w:hint="eastAsia"/>
        </w:rPr>
        <w:t>(</w:t>
      </w:r>
      <w:r>
        <w:rPr>
          <w:rFonts w:hint="eastAsia"/>
        </w:rPr>
        <w:t>例如，科学、艺术和文化</w:t>
      </w:r>
      <w:r>
        <w:rPr>
          <w:rFonts w:hint="eastAsia"/>
        </w:rPr>
        <w:t>)</w:t>
      </w:r>
      <w:r>
        <w:rPr>
          <w:rFonts w:hint="eastAsia"/>
        </w:rPr>
        <w:t>中的专业人员的家属。此外，外国人工作的权利也已扩大到了那些没有道理就劳工市场工人的状况进行逐个个案评估的工作类型，例如采摘水果、蔬菜和某些植物以及养殖毛皮动物。</w:t>
      </w:r>
    </w:p>
    <w:p w:rsidR="00000000" w:rsidRDefault="00000000">
      <w:pPr>
        <w:rPr>
          <w:rFonts w:hint="eastAsia"/>
        </w:rPr>
      </w:pPr>
      <w:r>
        <w:rPr>
          <w:rFonts w:hint="eastAsia"/>
        </w:rPr>
        <w:tab/>
        <w:t xml:space="preserve">269.  </w:t>
      </w:r>
      <w:r>
        <w:rPr>
          <w:rFonts w:hint="eastAsia"/>
        </w:rPr>
        <w:t>在欧洲联盟于</w:t>
      </w:r>
      <w:r>
        <w:rPr>
          <w:rFonts w:hint="eastAsia"/>
        </w:rPr>
        <w:t>2004</w:t>
      </w:r>
      <w:r>
        <w:rPr>
          <w:rFonts w:hint="eastAsia"/>
        </w:rPr>
        <w:t>年</w:t>
      </w:r>
      <w:r>
        <w:rPr>
          <w:rFonts w:hint="eastAsia"/>
        </w:rPr>
        <w:t>5</w:t>
      </w:r>
      <w:r>
        <w:rPr>
          <w:rFonts w:hint="eastAsia"/>
        </w:rPr>
        <w:t>月</w:t>
      </w:r>
      <w:r>
        <w:rPr>
          <w:rFonts w:hint="eastAsia"/>
        </w:rPr>
        <w:t>1</w:t>
      </w:r>
      <w:r>
        <w:rPr>
          <w:rFonts w:hint="eastAsia"/>
        </w:rPr>
        <w:t>日扩大之时，一项为期二年的《过渡时期法》</w:t>
      </w:r>
      <w:r>
        <w:rPr>
          <w:rFonts w:hint="eastAsia"/>
        </w:rPr>
        <w:t>(309/2004)</w:t>
      </w:r>
      <w:r>
        <w:rPr>
          <w:rFonts w:hint="eastAsia"/>
        </w:rPr>
        <w:t>在芬兰正式生效。这项法律的目的是要对新的欧盟成员国的国民进入芬兰劳工市场进行限制。《过渡时期法》同经过修订的有关外国国民的其他法律规定同时实施。</w:t>
      </w:r>
    </w:p>
    <w:p w:rsidR="00000000" w:rsidRDefault="00000000">
      <w:pPr>
        <w:rPr>
          <w:rFonts w:hint="eastAsia"/>
        </w:rPr>
      </w:pPr>
      <w:r>
        <w:rPr>
          <w:rFonts w:hint="eastAsia"/>
        </w:rPr>
        <w:tab/>
        <w:t xml:space="preserve">270.  </w:t>
      </w:r>
      <w:r>
        <w:rPr>
          <w:rFonts w:hint="eastAsia"/>
        </w:rPr>
        <w:t>为期二年的过渡时期适用于已经在</w:t>
      </w:r>
      <w:r>
        <w:rPr>
          <w:rFonts w:hint="eastAsia"/>
        </w:rPr>
        <w:t>2004</w:t>
      </w:r>
      <w:r>
        <w:rPr>
          <w:rFonts w:hint="eastAsia"/>
        </w:rPr>
        <w:t>年</w:t>
      </w:r>
      <w:r>
        <w:rPr>
          <w:rFonts w:hint="eastAsia"/>
        </w:rPr>
        <w:t>5</w:t>
      </w:r>
      <w:r>
        <w:rPr>
          <w:rFonts w:hint="eastAsia"/>
        </w:rPr>
        <w:t>月</w:t>
      </w:r>
      <w:r>
        <w:rPr>
          <w:rFonts w:hint="eastAsia"/>
        </w:rPr>
        <w:t>1</w:t>
      </w:r>
      <w:r>
        <w:rPr>
          <w:rFonts w:hint="eastAsia"/>
        </w:rPr>
        <w:t>日加入欧洲联盟的八个新的成员国：捷克共和国、爱沙尼亚、拉脱维亚、立陶宛、匈牙利、波兰、斯洛文尼亚以及斯洛伐克。在过渡时期，来自这些国家的国民必须申请工人居留证方可在芬兰工作。</w:t>
      </w:r>
    </w:p>
    <w:p w:rsidR="00000000" w:rsidRDefault="00000000">
      <w:pPr>
        <w:spacing w:after="320"/>
        <w:rPr>
          <w:rFonts w:hint="eastAsia"/>
        </w:rPr>
      </w:pPr>
      <w:r>
        <w:rPr>
          <w:rFonts w:hint="eastAsia"/>
        </w:rPr>
        <w:tab/>
        <w:t xml:space="preserve">271.  </w:t>
      </w:r>
      <w:r>
        <w:rPr>
          <w:rFonts w:hint="eastAsia"/>
        </w:rPr>
        <w:t>职业介绍机构在处理上述国家国民居留证申请方面的作用在</w:t>
      </w:r>
      <w:r>
        <w:rPr>
          <w:rFonts w:hint="eastAsia"/>
        </w:rPr>
        <w:t>2004</w:t>
      </w:r>
      <w:r>
        <w:rPr>
          <w:rFonts w:hint="eastAsia"/>
        </w:rPr>
        <w:t>年</w:t>
      </w:r>
      <w:r>
        <w:rPr>
          <w:rFonts w:hint="eastAsia"/>
        </w:rPr>
        <w:t>5</w:t>
      </w:r>
      <w:r>
        <w:rPr>
          <w:rFonts w:hint="eastAsia"/>
        </w:rPr>
        <w:t>月</w:t>
      </w:r>
      <w:r>
        <w:rPr>
          <w:rFonts w:hint="eastAsia"/>
        </w:rPr>
        <w:t>1</w:t>
      </w:r>
      <w:r>
        <w:rPr>
          <w:rFonts w:hint="eastAsia"/>
        </w:rPr>
        <w:t>日以后就明显减弱。除其他外，这是因为在《外国人法》中所规定的外国国民在没有工作居留证的情况下有权工作的条件也适用于《过渡时期法》。《过渡时期法》也不适用于那些已在芬兰居留至少</w:t>
      </w:r>
      <w:r>
        <w:rPr>
          <w:rFonts w:hint="eastAsia"/>
        </w:rPr>
        <w:t>12</w:t>
      </w:r>
      <w:r>
        <w:rPr>
          <w:rFonts w:hint="eastAsia"/>
        </w:rPr>
        <w:t>个月或者有权由于工作以外的原因在芬兰居留的新的成员国的国民</w:t>
      </w:r>
      <w:r>
        <w:rPr>
          <w:rFonts w:hint="eastAsia"/>
        </w:rPr>
        <w:t>(</w:t>
      </w:r>
      <w:r>
        <w:rPr>
          <w:rFonts w:hint="eastAsia"/>
        </w:rPr>
        <w:t>例如，欧盟公民的家属</w:t>
      </w:r>
      <w:r>
        <w:rPr>
          <w:rFonts w:hint="eastAsia"/>
        </w:rPr>
        <w:t>)</w:t>
      </w:r>
      <w:r>
        <w:rPr>
          <w:rFonts w:hint="eastAsia"/>
        </w:rPr>
        <w:t>。实际上，</w:t>
      </w:r>
      <w:r>
        <w:rPr>
          <w:rFonts w:hint="eastAsia"/>
        </w:rPr>
        <w:t xml:space="preserve"> </w:t>
      </w:r>
      <w:r>
        <w:rPr>
          <w:rFonts w:hint="eastAsia"/>
        </w:rPr>
        <w:t>《过渡时期法》所规定的最为重要的例外情况来自《加入公约》的一项规定，根据这项规定，芬兰的国家过渡措施不适用于享受免费服务的工人。</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e</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技术和职业培训方案</w:t>
      </w:r>
    </w:p>
    <w:p w:rsidR="00000000" w:rsidRDefault="00000000">
      <w:pPr>
        <w:rPr>
          <w:rFonts w:hint="eastAsia"/>
        </w:rPr>
      </w:pPr>
      <w:r>
        <w:rPr>
          <w:rFonts w:hint="eastAsia"/>
        </w:rPr>
        <w:tab/>
        <w:t xml:space="preserve">272.  </w:t>
      </w:r>
      <w:r>
        <w:rPr>
          <w:rFonts w:hint="eastAsia"/>
        </w:rPr>
        <w:t>根据《公共就业服务法》</w:t>
      </w:r>
      <w:r>
        <w:rPr>
          <w:rFonts w:hint="eastAsia"/>
        </w:rPr>
        <w:t>(1295/2002)</w:t>
      </w:r>
      <w:r>
        <w:rPr>
          <w:rFonts w:hint="eastAsia"/>
        </w:rPr>
        <w:t>和《公共就业服务法令》</w:t>
      </w:r>
      <w:r>
        <w:rPr>
          <w:rFonts w:hint="eastAsia"/>
        </w:rPr>
        <w:t>(1344/ 2002)</w:t>
      </w:r>
      <w:r>
        <w:rPr>
          <w:rFonts w:hint="eastAsia"/>
        </w:rPr>
        <w:t>的有关规定，为成年人安排了劳工市场培训。这种培训的目标是要提高成年人的职业技能，帮助他们找到工作或者保持其工作岗位，以及加强熟练工人的供给。劳工市场培训的首选对象是失业的或者遭到解雇威胁的成年人。他们主要是接受由进修中心、其他职业教育机构、大专院校或者由劳工管理部门委任的其他教育服务机构所提供的职业培训。</w:t>
      </w:r>
    </w:p>
    <w:p w:rsidR="00000000" w:rsidRDefault="00000000">
      <w:pPr>
        <w:rPr>
          <w:rFonts w:hint="eastAsia"/>
        </w:rPr>
      </w:pPr>
      <w:r>
        <w:rPr>
          <w:rFonts w:hint="eastAsia"/>
        </w:rPr>
        <w:tab/>
        <w:t xml:space="preserve">273.  </w:t>
      </w:r>
      <w:r>
        <w:rPr>
          <w:rFonts w:hint="eastAsia"/>
        </w:rPr>
        <w:t>为了减少长期失业和社会排斥，也为长期失业者、有工作能力障碍的人以及老年人安排了劳工市场培训。在过去几年中，参加这种培训的外国人的比例逐年上升。在</w:t>
      </w:r>
      <w:r>
        <w:rPr>
          <w:rFonts w:hint="eastAsia"/>
        </w:rPr>
        <w:t>1999</w:t>
      </w:r>
      <w:r>
        <w:rPr>
          <w:rFonts w:hint="eastAsia"/>
        </w:rPr>
        <w:t>年，外国人参加劳工市场培训的比例为</w:t>
      </w:r>
      <w:r>
        <w:rPr>
          <w:rFonts w:hint="eastAsia"/>
        </w:rPr>
        <w:t>9.5%</w:t>
      </w:r>
      <w:r>
        <w:rPr>
          <w:rFonts w:hint="eastAsia"/>
        </w:rPr>
        <w:t>，到</w:t>
      </w:r>
      <w:r>
        <w:rPr>
          <w:rFonts w:hint="eastAsia"/>
        </w:rPr>
        <w:t>2003</w:t>
      </w:r>
      <w:r>
        <w:rPr>
          <w:rFonts w:hint="eastAsia"/>
        </w:rPr>
        <w:t>年这一比例已经上升为</w:t>
      </w:r>
      <w:r>
        <w:rPr>
          <w:rFonts w:hint="eastAsia"/>
        </w:rPr>
        <w:t>16.6%</w:t>
      </w:r>
      <w:r>
        <w:rPr>
          <w:rFonts w:hint="eastAsia"/>
        </w:rPr>
        <w:t>。</w:t>
      </w:r>
    </w:p>
    <w:p w:rsidR="00000000" w:rsidRDefault="00000000">
      <w:pPr>
        <w:rPr>
          <w:rFonts w:hint="eastAsia"/>
        </w:rPr>
      </w:pPr>
      <w:r>
        <w:rPr>
          <w:rFonts w:hint="eastAsia"/>
        </w:rPr>
        <w:tab/>
        <w:t xml:space="preserve">274.  </w:t>
      </w:r>
      <w:r>
        <w:rPr>
          <w:rFonts w:hint="eastAsia"/>
        </w:rPr>
        <w:t>在</w:t>
      </w:r>
      <w:r>
        <w:rPr>
          <w:rFonts w:hint="eastAsia"/>
        </w:rPr>
        <w:t>2004</w:t>
      </w:r>
      <w:r>
        <w:rPr>
          <w:rFonts w:hint="eastAsia"/>
        </w:rPr>
        <w:t>年，职业培训的比例为</w:t>
      </w:r>
      <w:r>
        <w:rPr>
          <w:rFonts w:hint="eastAsia"/>
        </w:rPr>
        <w:t>70%</w:t>
      </w:r>
      <w:r>
        <w:rPr>
          <w:rFonts w:hint="eastAsia"/>
        </w:rPr>
        <w:t>，而非职业培训</w:t>
      </w:r>
      <w:r>
        <w:rPr>
          <w:rFonts w:hint="eastAsia"/>
        </w:rPr>
        <w:t>(</w:t>
      </w:r>
      <w:r>
        <w:rPr>
          <w:rFonts w:hint="eastAsia"/>
        </w:rPr>
        <w:t>即初步培训</w:t>
      </w:r>
      <w:r>
        <w:rPr>
          <w:rFonts w:hint="eastAsia"/>
        </w:rPr>
        <w:t>)</w:t>
      </w:r>
      <w:r>
        <w:rPr>
          <w:rFonts w:hint="eastAsia"/>
        </w:rPr>
        <w:t>占</w:t>
      </w:r>
      <w:r>
        <w:rPr>
          <w:rFonts w:hint="eastAsia"/>
        </w:rPr>
        <w:t>30%</w:t>
      </w:r>
      <w:r>
        <w:rPr>
          <w:rFonts w:hint="eastAsia"/>
        </w:rPr>
        <w:t>。在本报告所涉的几年中，基本职业培训所涉的领域已经有所变化。为青年人和成年人提供的这种培训涉及各个部门：秘书和人文科学、教育、文化、社会科学、经济学和商业管理、自然科学、技术和运输、自然资源和环境、社会福利与健康和运动以及旅行和饮食。</w:t>
      </w:r>
    </w:p>
    <w:p w:rsidR="00000000" w:rsidRDefault="00000000">
      <w:pPr>
        <w:spacing w:after="320"/>
        <w:rPr>
          <w:rFonts w:hint="eastAsia"/>
        </w:rPr>
      </w:pPr>
      <w:r>
        <w:rPr>
          <w:rFonts w:hint="eastAsia"/>
        </w:rPr>
        <w:tab/>
        <w:t xml:space="preserve">275.  </w:t>
      </w:r>
      <w:r>
        <w:rPr>
          <w:rFonts w:hint="eastAsia"/>
        </w:rPr>
        <w:t>在</w:t>
      </w:r>
      <w:r>
        <w:rPr>
          <w:rFonts w:hint="eastAsia"/>
        </w:rPr>
        <w:t>1999</w:t>
      </w:r>
      <w:r>
        <w:rPr>
          <w:rFonts w:hint="eastAsia"/>
        </w:rPr>
        <w:t>年，共有</w:t>
      </w:r>
      <w:r>
        <w:rPr>
          <w:rFonts w:hint="eastAsia"/>
        </w:rPr>
        <w:t>138,765</w:t>
      </w:r>
      <w:r>
        <w:rPr>
          <w:rFonts w:hint="eastAsia"/>
        </w:rPr>
        <w:t>名学生在职业院校、理工学校以及大专院校接受基本职业培训，</w:t>
      </w:r>
      <w:r>
        <w:rPr>
          <w:rFonts w:hint="eastAsia"/>
        </w:rPr>
        <w:t>2000</w:t>
      </w:r>
      <w:r>
        <w:rPr>
          <w:rFonts w:hint="eastAsia"/>
        </w:rPr>
        <w:t>年的数字为</w:t>
      </w:r>
      <w:r>
        <w:rPr>
          <w:rFonts w:hint="eastAsia"/>
        </w:rPr>
        <w:t>136,684, 2001</w:t>
      </w:r>
      <w:r>
        <w:rPr>
          <w:rFonts w:hint="eastAsia"/>
        </w:rPr>
        <w:t>年为</w:t>
      </w:r>
      <w:r>
        <w:rPr>
          <w:rFonts w:hint="eastAsia"/>
        </w:rPr>
        <w:t>137,631, 2002</w:t>
      </w:r>
      <w:r>
        <w:rPr>
          <w:rFonts w:hint="eastAsia"/>
        </w:rPr>
        <w:t>年为</w:t>
      </w:r>
      <w:r>
        <w:rPr>
          <w:rFonts w:hint="eastAsia"/>
        </w:rPr>
        <w:t xml:space="preserve">142,690, </w:t>
      </w:r>
      <w:r>
        <w:rPr>
          <w:rFonts w:hint="eastAsia"/>
        </w:rPr>
        <w:t>而</w:t>
      </w:r>
      <w:r>
        <w:rPr>
          <w:rFonts w:hint="eastAsia"/>
        </w:rPr>
        <w:t>2003</w:t>
      </w:r>
      <w:r>
        <w:rPr>
          <w:rFonts w:hint="eastAsia"/>
        </w:rPr>
        <w:t>年的数字为</w:t>
      </w:r>
      <w:r>
        <w:rPr>
          <w:rFonts w:hint="eastAsia"/>
        </w:rPr>
        <w:t>146.147</w:t>
      </w:r>
      <w:r>
        <w:rPr>
          <w:rFonts w:hint="eastAsia"/>
        </w:rPr>
        <w:t>。</w:t>
      </w:r>
    </w:p>
    <w:p w:rsidR="00000000" w:rsidRDefault="00000000">
      <w:pPr>
        <w:pStyle w:val="Heading3"/>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7</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1999</w:t>
      </w:r>
      <w:r>
        <w:rPr>
          <w:rFonts w:ascii="Time New Roman" w:eastAsia="SimHei" w:hAnsi="Time New Roman" w:hint="eastAsia"/>
          <w:sz w:val="22"/>
          <w:u w:val="none"/>
        </w:rPr>
        <w:t>年至</w:t>
      </w:r>
      <w:r>
        <w:rPr>
          <w:rFonts w:ascii="Time New Roman" w:eastAsia="SimHei" w:hAnsi="Time New Roman" w:hint="eastAsia"/>
          <w:b/>
          <w:sz w:val="22"/>
          <w:u w:val="none"/>
        </w:rPr>
        <w:t>2002</w:t>
      </w:r>
      <w:r>
        <w:rPr>
          <w:rFonts w:ascii="Time New Roman" w:eastAsia="SimHei" w:hAnsi="Time New Roman" w:hint="eastAsia"/>
          <w:sz w:val="22"/>
          <w:u w:val="none"/>
        </w:rPr>
        <w:t>年劳工市场培训学员人数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22"/>
        <w:gridCol w:w="1820"/>
        <w:gridCol w:w="1741"/>
        <w:gridCol w:w="1773"/>
        <w:gridCol w:w="1654"/>
      </w:tblGrid>
      <w:tr w:rsidR="00000000">
        <w:tblPrEx>
          <w:tblCellMar>
            <w:top w:w="0" w:type="dxa"/>
            <w:bottom w:w="0" w:type="dxa"/>
          </w:tblCellMar>
        </w:tblPrEx>
        <w:tc>
          <w:tcPr>
            <w:tcW w:w="1287" w:type="pct"/>
          </w:tcPr>
          <w:p w:rsidR="00000000" w:rsidRDefault="00000000">
            <w:pPr>
              <w:pStyle w:val="a2"/>
              <w:spacing w:before="40" w:after="40"/>
              <w:jc w:val="center"/>
              <w:rPr>
                <w:rFonts w:ascii="Time New Roman" w:eastAsia="SimHei" w:hAnsi="Time New Roman" w:hint="eastAsia"/>
                <w:bCs/>
              </w:rPr>
            </w:pPr>
          </w:p>
        </w:tc>
        <w:tc>
          <w:tcPr>
            <w:tcW w:w="967" w:type="pct"/>
          </w:tcPr>
          <w:p w:rsidR="00000000" w:rsidRDefault="00000000">
            <w:pPr>
              <w:pStyle w:val="a2"/>
              <w:spacing w:before="40" w:after="40"/>
              <w:jc w:val="center"/>
              <w:rPr>
                <w:rFonts w:ascii="Time New Roman" w:eastAsia="SimHei" w:hAnsi="Time New Roman" w:hint="eastAsia"/>
                <w:bCs/>
              </w:rPr>
            </w:pPr>
            <w:r>
              <w:rPr>
                <w:rFonts w:ascii="Time New Roman" w:eastAsia="SimHei" w:hAnsi="Time New Roman" w:hint="eastAsia"/>
                <w:bCs/>
              </w:rPr>
              <w:t>1999</w:t>
            </w:r>
          </w:p>
        </w:tc>
        <w:tc>
          <w:tcPr>
            <w:tcW w:w="925" w:type="pct"/>
          </w:tcPr>
          <w:p w:rsidR="00000000" w:rsidRDefault="00000000">
            <w:pPr>
              <w:pStyle w:val="a2"/>
              <w:spacing w:before="40" w:after="40"/>
              <w:jc w:val="center"/>
              <w:rPr>
                <w:rFonts w:ascii="Time New Roman" w:eastAsia="SimHei" w:hAnsi="Time New Roman" w:hint="eastAsia"/>
                <w:bCs/>
              </w:rPr>
            </w:pPr>
            <w:r>
              <w:rPr>
                <w:rFonts w:ascii="Time New Roman" w:eastAsia="SimHei" w:hAnsi="Time New Roman" w:hint="eastAsia"/>
                <w:bCs/>
              </w:rPr>
              <w:t>2000</w:t>
            </w:r>
          </w:p>
        </w:tc>
        <w:tc>
          <w:tcPr>
            <w:tcW w:w="942" w:type="pct"/>
          </w:tcPr>
          <w:p w:rsidR="00000000" w:rsidRDefault="00000000">
            <w:pPr>
              <w:pStyle w:val="a2"/>
              <w:spacing w:before="40" w:after="40"/>
              <w:jc w:val="center"/>
              <w:rPr>
                <w:rFonts w:ascii="Time New Roman" w:eastAsia="SimHei" w:hAnsi="Time New Roman" w:hint="eastAsia"/>
                <w:bCs/>
              </w:rPr>
            </w:pPr>
            <w:r>
              <w:rPr>
                <w:rFonts w:ascii="Time New Roman" w:eastAsia="SimHei" w:hAnsi="Time New Roman" w:hint="eastAsia"/>
                <w:bCs/>
              </w:rPr>
              <w:t>2001</w:t>
            </w:r>
          </w:p>
        </w:tc>
        <w:tc>
          <w:tcPr>
            <w:tcW w:w="879" w:type="pct"/>
          </w:tcPr>
          <w:p w:rsidR="00000000" w:rsidRDefault="00000000">
            <w:pPr>
              <w:pStyle w:val="a2"/>
              <w:spacing w:before="40" w:after="40"/>
              <w:jc w:val="center"/>
              <w:rPr>
                <w:rFonts w:ascii="Time New Roman" w:eastAsia="SimHei" w:hAnsi="Time New Roman" w:hint="eastAsia"/>
                <w:bCs/>
              </w:rPr>
            </w:pPr>
            <w:r>
              <w:rPr>
                <w:rFonts w:ascii="Time New Roman" w:eastAsia="SimHei" w:hAnsi="Time New Roman" w:hint="eastAsia"/>
                <w:bCs/>
              </w:rPr>
              <w:t>2002</w:t>
            </w:r>
          </w:p>
        </w:tc>
      </w:tr>
      <w:tr w:rsidR="00000000">
        <w:tblPrEx>
          <w:tblCellMar>
            <w:top w:w="0" w:type="dxa"/>
            <w:bottom w:w="0" w:type="dxa"/>
          </w:tblCellMar>
        </w:tblPrEx>
        <w:tc>
          <w:tcPr>
            <w:tcW w:w="1287" w:type="pct"/>
            <w:tcBorders>
              <w:bottom w:val="nil"/>
            </w:tcBorders>
          </w:tcPr>
          <w:p w:rsidR="00000000" w:rsidRDefault="00000000">
            <w:pPr>
              <w:pStyle w:val="a2"/>
              <w:spacing w:before="60"/>
              <w:ind w:left="113"/>
              <w:rPr>
                <w:rFonts w:hint="eastAsia"/>
              </w:rPr>
            </w:pPr>
            <w:r>
              <w:rPr>
                <w:rFonts w:hint="eastAsia"/>
              </w:rPr>
              <w:t>申请</w:t>
            </w:r>
          </w:p>
        </w:tc>
        <w:tc>
          <w:tcPr>
            <w:tcW w:w="967" w:type="pct"/>
            <w:tcBorders>
              <w:bottom w:val="nil"/>
            </w:tcBorders>
          </w:tcPr>
          <w:p w:rsidR="00000000" w:rsidRDefault="00000000">
            <w:pPr>
              <w:pStyle w:val="a2"/>
              <w:spacing w:before="60"/>
              <w:ind w:right="544"/>
              <w:jc w:val="right"/>
              <w:rPr>
                <w:rFonts w:hint="eastAsia"/>
              </w:rPr>
            </w:pPr>
            <w:r>
              <w:rPr>
                <w:rFonts w:hint="eastAsia"/>
              </w:rPr>
              <w:t>229 585</w:t>
            </w:r>
          </w:p>
        </w:tc>
        <w:tc>
          <w:tcPr>
            <w:tcW w:w="925" w:type="pct"/>
            <w:tcBorders>
              <w:bottom w:val="nil"/>
            </w:tcBorders>
          </w:tcPr>
          <w:p w:rsidR="00000000" w:rsidRDefault="00000000">
            <w:pPr>
              <w:pStyle w:val="a2"/>
              <w:spacing w:before="60"/>
              <w:ind w:right="536"/>
              <w:jc w:val="right"/>
              <w:rPr>
                <w:rFonts w:hint="eastAsia"/>
              </w:rPr>
            </w:pPr>
            <w:r>
              <w:rPr>
                <w:rFonts w:hint="eastAsia"/>
              </w:rPr>
              <w:t>201 705</w:t>
            </w:r>
          </w:p>
        </w:tc>
        <w:tc>
          <w:tcPr>
            <w:tcW w:w="942" w:type="pct"/>
            <w:tcBorders>
              <w:bottom w:val="nil"/>
            </w:tcBorders>
          </w:tcPr>
          <w:p w:rsidR="00000000" w:rsidRDefault="00000000">
            <w:pPr>
              <w:pStyle w:val="a2"/>
              <w:spacing w:before="60"/>
              <w:ind w:right="528"/>
              <w:jc w:val="right"/>
              <w:rPr>
                <w:rFonts w:hint="eastAsia"/>
              </w:rPr>
            </w:pPr>
            <w:r>
              <w:rPr>
                <w:rFonts w:hint="eastAsia"/>
              </w:rPr>
              <w:t>170 086</w:t>
            </w:r>
          </w:p>
        </w:tc>
        <w:tc>
          <w:tcPr>
            <w:tcW w:w="879" w:type="pct"/>
            <w:tcBorders>
              <w:bottom w:val="nil"/>
            </w:tcBorders>
          </w:tcPr>
          <w:p w:rsidR="00000000" w:rsidRDefault="00000000">
            <w:pPr>
              <w:pStyle w:val="a2"/>
              <w:spacing w:before="60"/>
              <w:ind w:right="497"/>
              <w:jc w:val="right"/>
              <w:rPr>
                <w:rFonts w:hint="eastAsia"/>
              </w:rPr>
            </w:pPr>
            <w:r>
              <w:rPr>
                <w:rFonts w:hint="eastAsia"/>
              </w:rPr>
              <w:t>167 854</w:t>
            </w:r>
          </w:p>
        </w:tc>
      </w:tr>
      <w:tr w:rsidR="00000000">
        <w:tblPrEx>
          <w:tblCellMar>
            <w:top w:w="0" w:type="dxa"/>
            <w:bottom w:w="0" w:type="dxa"/>
          </w:tblCellMar>
        </w:tblPrEx>
        <w:tc>
          <w:tcPr>
            <w:tcW w:w="1287" w:type="pct"/>
            <w:tcBorders>
              <w:top w:val="nil"/>
              <w:bottom w:val="nil"/>
            </w:tcBorders>
          </w:tcPr>
          <w:p w:rsidR="00000000" w:rsidRDefault="00000000">
            <w:pPr>
              <w:pStyle w:val="a2"/>
              <w:ind w:left="113"/>
              <w:rPr>
                <w:rFonts w:hint="eastAsia"/>
              </w:rPr>
            </w:pPr>
            <w:r>
              <w:rPr>
                <w:rFonts w:hint="eastAsia"/>
              </w:rPr>
              <w:t>申请人</w:t>
            </w:r>
          </w:p>
        </w:tc>
        <w:tc>
          <w:tcPr>
            <w:tcW w:w="967" w:type="pct"/>
            <w:tcBorders>
              <w:top w:val="nil"/>
              <w:bottom w:val="nil"/>
            </w:tcBorders>
          </w:tcPr>
          <w:p w:rsidR="00000000" w:rsidRDefault="00000000">
            <w:pPr>
              <w:pStyle w:val="a2"/>
              <w:ind w:right="544"/>
              <w:jc w:val="right"/>
              <w:rPr>
                <w:rFonts w:hint="eastAsia"/>
              </w:rPr>
            </w:pPr>
            <w:r>
              <w:rPr>
                <w:rFonts w:hint="eastAsia"/>
              </w:rPr>
              <w:t>160 988</w:t>
            </w:r>
          </w:p>
        </w:tc>
        <w:tc>
          <w:tcPr>
            <w:tcW w:w="925" w:type="pct"/>
            <w:tcBorders>
              <w:top w:val="nil"/>
              <w:bottom w:val="nil"/>
            </w:tcBorders>
          </w:tcPr>
          <w:p w:rsidR="00000000" w:rsidRDefault="00000000">
            <w:pPr>
              <w:pStyle w:val="a2"/>
              <w:ind w:right="536"/>
              <w:jc w:val="right"/>
              <w:rPr>
                <w:rFonts w:hint="eastAsia"/>
              </w:rPr>
            </w:pPr>
            <w:r>
              <w:rPr>
                <w:rFonts w:hint="eastAsia"/>
              </w:rPr>
              <w:t>138 581</w:t>
            </w:r>
          </w:p>
        </w:tc>
        <w:tc>
          <w:tcPr>
            <w:tcW w:w="942" w:type="pct"/>
            <w:tcBorders>
              <w:top w:val="nil"/>
              <w:bottom w:val="nil"/>
            </w:tcBorders>
          </w:tcPr>
          <w:p w:rsidR="00000000" w:rsidRDefault="00000000">
            <w:pPr>
              <w:pStyle w:val="a2"/>
              <w:ind w:right="528"/>
              <w:jc w:val="right"/>
              <w:rPr>
                <w:rFonts w:hint="eastAsia"/>
              </w:rPr>
            </w:pPr>
            <w:r>
              <w:rPr>
                <w:rFonts w:hint="eastAsia"/>
              </w:rPr>
              <w:t>118 198</w:t>
            </w:r>
          </w:p>
        </w:tc>
        <w:tc>
          <w:tcPr>
            <w:tcW w:w="879" w:type="pct"/>
            <w:tcBorders>
              <w:top w:val="nil"/>
              <w:bottom w:val="nil"/>
            </w:tcBorders>
          </w:tcPr>
          <w:p w:rsidR="00000000" w:rsidRDefault="00000000">
            <w:pPr>
              <w:pStyle w:val="a2"/>
              <w:ind w:right="497"/>
              <w:jc w:val="right"/>
              <w:rPr>
                <w:rFonts w:hint="eastAsia"/>
              </w:rPr>
            </w:pPr>
            <w:r>
              <w:rPr>
                <w:rFonts w:hint="eastAsia"/>
              </w:rPr>
              <w:t>114 648</w:t>
            </w:r>
          </w:p>
        </w:tc>
      </w:tr>
      <w:tr w:rsidR="00000000">
        <w:tblPrEx>
          <w:tblCellMar>
            <w:top w:w="0" w:type="dxa"/>
            <w:bottom w:w="0" w:type="dxa"/>
          </w:tblCellMar>
        </w:tblPrEx>
        <w:tc>
          <w:tcPr>
            <w:tcW w:w="1287" w:type="pct"/>
            <w:tcBorders>
              <w:top w:val="nil"/>
              <w:bottom w:val="nil"/>
            </w:tcBorders>
          </w:tcPr>
          <w:p w:rsidR="00000000" w:rsidRDefault="00000000">
            <w:pPr>
              <w:pStyle w:val="a2"/>
              <w:ind w:left="113"/>
              <w:rPr>
                <w:rFonts w:hint="eastAsia"/>
              </w:rPr>
            </w:pPr>
            <w:r>
              <w:rPr>
                <w:rFonts w:hint="eastAsia"/>
              </w:rPr>
              <w:t>新学生</w:t>
            </w:r>
          </w:p>
        </w:tc>
        <w:tc>
          <w:tcPr>
            <w:tcW w:w="967" w:type="pct"/>
            <w:tcBorders>
              <w:top w:val="nil"/>
              <w:bottom w:val="nil"/>
            </w:tcBorders>
          </w:tcPr>
          <w:p w:rsidR="00000000" w:rsidRDefault="00000000">
            <w:pPr>
              <w:pStyle w:val="a2"/>
              <w:ind w:right="544"/>
              <w:jc w:val="right"/>
              <w:rPr>
                <w:rFonts w:hint="eastAsia"/>
              </w:rPr>
            </w:pPr>
            <w:r>
              <w:rPr>
                <w:rFonts w:hint="eastAsia"/>
              </w:rPr>
              <w:t>119 208</w:t>
            </w:r>
          </w:p>
        </w:tc>
        <w:tc>
          <w:tcPr>
            <w:tcW w:w="925" w:type="pct"/>
            <w:tcBorders>
              <w:top w:val="nil"/>
              <w:bottom w:val="nil"/>
            </w:tcBorders>
          </w:tcPr>
          <w:p w:rsidR="00000000" w:rsidRDefault="00000000">
            <w:pPr>
              <w:pStyle w:val="a2"/>
              <w:ind w:right="536"/>
              <w:jc w:val="right"/>
              <w:rPr>
                <w:rFonts w:hint="eastAsia"/>
              </w:rPr>
            </w:pPr>
            <w:r>
              <w:rPr>
                <w:rFonts w:hint="eastAsia"/>
              </w:rPr>
              <w:t>89 059</w:t>
            </w:r>
          </w:p>
        </w:tc>
        <w:tc>
          <w:tcPr>
            <w:tcW w:w="942" w:type="pct"/>
            <w:tcBorders>
              <w:top w:val="nil"/>
              <w:bottom w:val="nil"/>
            </w:tcBorders>
          </w:tcPr>
          <w:p w:rsidR="00000000" w:rsidRDefault="00000000">
            <w:pPr>
              <w:pStyle w:val="a2"/>
              <w:ind w:right="528"/>
              <w:jc w:val="right"/>
              <w:rPr>
                <w:rFonts w:hint="eastAsia"/>
              </w:rPr>
            </w:pPr>
            <w:r>
              <w:rPr>
                <w:rFonts w:hint="eastAsia"/>
              </w:rPr>
              <w:t>76 947</w:t>
            </w:r>
          </w:p>
        </w:tc>
        <w:tc>
          <w:tcPr>
            <w:tcW w:w="879" w:type="pct"/>
            <w:tcBorders>
              <w:top w:val="nil"/>
              <w:bottom w:val="nil"/>
            </w:tcBorders>
          </w:tcPr>
          <w:p w:rsidR="00000000" w:rsidRDefault="00000000">
            <w:pPr>
              <w:pStyle w:val="a2"/>
              <w:ind w:right="497"/>
              <w:jc w:val="right"/>
              <w:rPr>
                <w:rFonts w:hint="eastAsia"/>
              </w:rPr>
            </w:pPr>
            <w:r>
              <w:rPr>
                <w:rFonts w:hint="eastAsia"/>
              </w:rPr>
              <w:t>79 376</w:t>
            </w:r>
          </w:p>
        </w:tc>
      </w:tr>
      <w:tr w:rsidR="00000000">
        <w:tblPrEx>
          <w:tblCellMar>
            <w:top w:w="0" w:type="dxa"/>
            <w:bottom w:w="0" w:type="dxa"/>
          </w:tblCellMar>
        </w:tblPrEx>
        <w:tc>
          <w:tcPr>
            <w:tcW w:w="1287" w:type="pct"/>
            <w:tcBorders>
              <w:top w:val="nil"/>
              <w:bottom w:val="nil"/>
            </w:tcBorders>
          </w:tcPr>
          <w:p w:rsidR="00000000" w:rsidRDefault="00000000">
            <w:pPr>
              <w:pStyle w:val="a2"/>
              <w:ind w:left="113"/>
              <w:rPr>
                <w:rFonts w:hint="eastAsia"/>
              </w:rPr>
            </w:pPr>
            <w:r>
              <w:rPr>
                <w:rFonts w:hint="eastAsia"/>
              </w:rPr>
              <w:t>已经完成培训的学员</w:t>
            </w:r>
          </w:p>
        </w:tc>
        <w:tc>
          <w:tcPr>
            <w:tcW w:w="967" w:type="pct"/>
            <w:tcBorders>
              <w:top w:val="nil"/>
              <w:bottom w:val="nil"/>
            </w:tcBorders>
          </w:tcPr>
          <w:p w:rsidR="00000000" w:rsidRDefault="00000000">
            <w:pPr>
              <w:pStyle w:val="a2"/>
              <w:ind w:right="544"/>
              <w:jc w:val="right"/>
              <w:rPr>
                <w:rFonts w:hint="eastAsia"/>
              </w:rPr>
            </w:pPr>
            <w:r>
              <w:rPr>
                <w:rFonts w:hint="eastAsia"/>
              </w:rPr>
              <w:t>93 872</w:t>
            </w:r>
          </w:p>
        </w:tc>
        <w:tc>
          <w:tcPr>
            <w:tcW w:w="925" w:type="pct"/>
            <w:tcBorders>
              <w:top w:val="nil"/>
              <w:bottom w:val="nil"/>
            </w:tcBorders>
          </w:tcPr>
          <w:p w:rsidR="00000000" w:rsidRDefault="00000000">
            <w:pPr>
              <w:pStyle w:val="a2"/>
              <w:ind w:right="536"/>
              <w:jc w:val="right"/>
              <w:rPr>
                <w:rFonts w:hint="eastAsia"/>
              </w:rPr>
            </w:pPr>
            <w:r>
              <w:rPr>
                <w:rFonts w:hint="eastAsia"/>
              </w:rPr>
              <w:t>78 486</w:t>
            </w:r>
          </w:p>
        </w:tc>
        <w:tc>
          <w:tcPr>
            <w:tcW w:w="942" w:type="pct"/>
            <w:tcBorders>
              <w:top w:val="nil"/>
              <w:bottom w:val="nil"/>
            </w:tcBorders>
          </w:tcPr>
          <w:p w:rsidR="00000000" w:rsidRDefault="00000000">
            <w:pPr>
              <w:pStyle w:val="a2"/>
              <w:ind w:right="528"/>
              <w:jc w:val="right"/>
              <w:rPr>
                <w:rFonts w:hint="eastAsia"/>
              </w:rPr>
            </w:pPr>
            <w:r>
              <w:rPr>
                <w:rFonts w:hint="eastAsia"/>
              </w:rPr>
              <w:t>64 852</w:t>
            </w:r>
          </w:p>
        </w:tc>
        <w:tc>
          <w:tcPr>
            <w:tcW w:w="879" w:type="pct"/>
            <w:tcBorders>
              <w:top w:val="nil"/>
              <w:bottom w:val="nil"/>
            </w:tcBorders>
          </w:tcPr>
          <w:p w:rsidR="00000000" w:rsidRDefault="00000000">
            <w:pPr>
              <w:pStyle w:val="a2"/>
              <w:ind w:right="497"/>
              <w:jc w:val="right"/>
              <w:rPr>
                <w:rFonts w:hint="eastAsia"/>
              </w:rPr>
            </w:pPr>
            <w:r>
              <w:rPr>
                <w:rFonts w:hint="eastAsia"/>
              </w:rPr>
              <w:t>58 247</w:t>
            </w:r>
          </w:p>
        </w:tc>
      </w:tr>
      <w:tr w:rsidR="00000000">
        <w:tblPrEx>
          <w:tblCellMar>
            <w:top w:w="0" w:type="dxa"/>
            <w:bottom w:w="0" w:type="dxa"/>
          </w:tblCellMar>
        </w:tblPrEx>
        <w:tc>
          <w:tcPr>
            <w:tcW w:w="1287" w:type="pct"/>
            <w:tcBorders>
              <w:top w:val="nil"/>
            </w:tcBorders>
          </w:tcPr>
          <w:p w:rsidR="00000000" w:rsidRDefault="00000000">
            <w:pPr>
              <w:pStyle w:val="a2"/>
              <w:spacing w:after="60"/>
              <w:ind w:left="113"/>
              <w:rPr>
                <w:rFonts w:hint="eastAsia"/>
              </w:rPr>
            </w:pPr>
            <w:r>
              <w:rPr>
                <w:rFonts w:hint="eastAsia"/>
              </w:rPr>
              <w:t>学员平均人数</w:t>
            </w:r>
          </w:p>
        </w:tc>
        <w:tc>
          <w:tcPr>
            <w:tcW w:w="967" w:type="pct"/>
            <w:tcBorders>
              <w:top w:val="nil"/>
            </w:tcBorders>
          </w:tcPr>
          <w:p w:rsidR="00000000" w:rsidRDefault="00000000">
            <w:pPr>
              <w:pStyle w:val="a2"/>
              <w:ind w:right="544"/>
              <w:jc w:val="right"/>
              <w:rPr>
                <w:rFonts w:hint="eastAsia"/>
              </w:rPr>
            </w:pPr>
            <w:r>
              <w:rPr>
                <w:rFonts w:hint="eastAsia"/>
              </w:rPr>
              <w:t>38 100</w:t>
            </w:r>
          </w:p>
        </w:tc>
        <w:tc>
          <w:tcPr>
            <w:tcW w:w="925" w:type="pct"/>
            <w:tcBorders>
              <w:top w:val="nil"/>
            </w:tcBorders>
          </w:tcPr>
          <w:p w:rsidR="00000000" w:rsidRDefault="00000000">
            <w:pPr>
              <w:pStyle w:val="a2"/>
              <w:ind w:right="536"/>
              <w:jc w:val="right"/>
              <w:rPr>
                <w:rFonts w:hint="eastAsia"/>
              </w:rPr>
            </w:pPr>
            <w:r>
              <w:rPr>
                <w:rFonts w:hint="eastAsia"/>
              </w:rPr>
              <w:t>30 900</w:t>
            </w:r>
          </w:p>
        </w:tc>
        <w:tc>
          <w:tcPr>
            <w:tcW w:w="942" w:type="pct"/>
            <w:tcBorders>
              <w:top w:val="nil"/>
            </w:tcBorders>
          </w:tcPr>
          <w:p w:rsidR="00000000" w:rsidRDefault="00000000">
            <w:pPr>
              <w:pStyle w:val="a2"/>
              <w:ind w:right="528"/>
              <w:jc w:val="right"/>
              <w:rPr>
                <w:rFonts w:hint="eastAsia"/>
              </w:rPr>
            </w:pPr>
            <w:r>
              <w:rPr>
                <w:rFonts w:hint="eastAsia"/>
              </w:rPr>
              <w:t>26 100</w:t>
            </w:r>
          </w:p>
        </w:tc>
        <w:tc>
          <w:tcPr>
            <w:tcW w:w="879" w:type="pct"/>
            <w:tcBorders>
              <w:top w:val="nil"/>
            </w:tcBorders>
          </w:tcPr>
          <w:p w:rsidR="00000000" w:rsidRDefault="00000000">
            <w:pPr>
              <w:pStyle w:val="a2"/>
              <w:ind w:right="497"/>
              <w:jc w:val="right"/>
              <w:rPr>
                <w:rFonts w:hint="eastAsia"/>
              </w:rPr>
            </w:pPr>
            <w:r>
              <w:rPr>
                <w:rFonts w:hint="eastAsia"/>
              </w:rPr>
              <w:t>26 300</w:t>
            </w:r>
          </w:p>
        </w:tc>
      </w:tr>
    </w:tbl>
    <w:p w:rsidR="00000000" w:rsidRDefault="00000000">
      <w:pPr>
        <w:rPr>
          <w:rFonts w:hint="eastAsia"/>
        </w:rPr>
      </w:pPr>
    </w:p>
    <w:p w:rsidR="00000000" w:rsidRDefault="00000000">
      <w:pPr>
        <w:pStyle w:val="Heading3"/>
        <w:spacing w:after="180"/>
        <w:rPr>
          <w:rFonts w:ascii="Time New Roman" w:eastAsia="SimHei" w:hAnsi="Time New Roman" w:hint="eastAsia"/>
          <w:spacing w:val="0"/>
          <w:sz w:val="22"/>
          <w:u w:val="none"/>
        </w:rPr>
      </w:pPr>
      <w:r>
        <w:rPr>
          <w:u w:val="none"/>
        </w:rPr>
        <w:br w:type="page"/>
      </w: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8</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pacing w:val="0"/>
          <w:sz w:val="22"/>
          <w:u w:val="none"/>
        </w:rPr>
        <w:t>2002</w:t>
      </w:r>
      <w:r>
        <w:rPr>
          <w:rFonts w:ascii="Time New Roman" w:eastAsia="SimHei" w:hAnsi="Time New Roman" w:hint="eastAsia"/>
          <w:spacing w:val="0"/>
          <w:sz w:val="22"/>
          <w:u w:val="none"/>
        </w:rPr>
        <w:t>年和</w:t>
      </w:r>
      <w:r>
        <w:rPr>
          <w:rFonts w:ascii="Time New Roman" w:eastAsia="SimHei" w:hAnsi="Time New Roman" w:hint="eastAsia"/>
          <w:b/>
          <w:spacing w:val="0"/>
          <w:sz w:val="22"/>
          <w:u w:val="none"/>
        </w:rPr>
        <w:t>2003</w:t>
      </w:r>
      <w:r>
        <w:rPr>
          <w:rFonts w:ascii="Time New Roman" w:eastAsia="SimHei" w:hAnsi="Time New Roman" w:hint="eastAsia"/>
          <w:spacing w:val="0"/>
          <w:sz w:val="22"/>
          <w:u w:val="none"/>
        </w:rPr>
        <w:t>年参加由国家资助的劳工市场培训班的学员分类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38"/>
        <w:gridCol w:w="1891"/>
        <w:gridCol w:w="1660"/>
        <w:gridCol w:w="2068"/>
        <w:gridCol w:w="1453"/>
      </w:tblGrid>
      <w:tr w:rsidR="00000000">
        <w:tblPrEx>
          <w:tblCellMar>
            <w:top w:w="0" w:type="dxa"/>
            <w:bottom w:w="0" w:type="dxa"/>
          </w:tblCellMar>
        </w:tblPrEx>
        <w:tc>
          <w:tcPr>
            <w:tcW w:w="1242" w:type="pct"/>
          </w:tcPr>
          <w:p w:rsidR="00000000" w:rsidRDefault="00000000">
            <w:pPr>
              <w:pStyle w:val="a2"/>
              <w:spacing w:before="40" w:after="40"/>
              <w:jc w:val="center"/>
              <w:rPr>
                <w:rFonts w:hint="eastAsia"/>
                <w:snapToGrid/>
              </w:rPr>
            </w:pPr>
            <w:r>
              <w:rPr>
                <w:rFonts w:hint="eastAsia"/>
                <w:snapToGrid/>
              </w:rPr>
              <w:t>新</w:t>
            </w:r>
            <w:r>
              <w:rPr>
                <w:rFonts w:hint="eastAsia"/>
                <w:snapToGrid/>
              </w:rPr>
              <w:t xml:space="preserve"> </w:t>
            </w:r>
            <w:r>
              <w:rPr>
                <w:rFonts w:hint="eastAsia"/>
                <w:snapToGrid/>
              </w:rPr>
              <w:t>学</w:t>
            </w:r>
            <w:r>
              <w:rPr>
                <w:rFonts w:hint="eastAsia"/>
                <w:snapToGrid/>
              </w:rPr>
              <w:t xml:space="preserve"> </w:t>
            </w:r>
            <w:r>
              <w:rPr>
                <w:rFonts w:hint="eastAsia"/>
                <w:snapToGrid/>
              </w:rPr>
              <w:t>生</w:t>
            </w:r>
          </w:p>
        </w:tc>
        <w:tc>
          <w:tcPr>
            <w:tcW w:w="1005" w:type="pct"/>
          </w:tcPr>
          <w:p w:rsidR="00000000" w:rsidRDefault="00000000">
            <w:pPr>
              <w:pStyle w:val="a2"/>
              <w:spacing w:before="40" w:after="40"/>
              <w:jc w:val="center"/>
              <w:rPr>
                <w:rFonts w:hint="eastAsia"/>
                <w:snapToGrid/>
              </w:rPr>
            </w:pPr>
            <w:r>
              <w:rPr>
                <w:rFonts w:hint="eastAsia"/>
                <w:snapToGrid/>
              </w:rPr>
              <w:t>2002</w:t>
            </w:r>
            <w:r>
              <w:rPr>
                <w:rFonts w:hint="eastAsia"/>
                <w:snapToGrid/>
              </w:rPr>
              <w:t>年学员人数</w:t>
            </w:r>
          </w:p>
        </w:tc>
        <w:tc>
          <w:tcPr>
            <w:tcW w:w="882" w:type="pct"/>
          </w:tcPr>
          <w:p w:rsidR="00000000" w:rsidRDefault="00000000">
            <w:pPr>
              <w:pStyle w:val="a2"/>
              <w:spacing w:before="40" w:after="40"/>
              <w:jc w:val="center"/>
              <w:rPr>
                <w:rFonts w:hint="eastAsia"/>
                <w:snapToGrid/>
              </w:rPr>
            </w:pPr>
            <w:r>
              <w:rPr>
                <w:rFonts w:hint="eastAsia"/>
                <w:snapToGrid/>
              </w:rPr>
              <w:t>百分比</w:t>
            </w:r>
          </w:p>
        </w:tc>
        <w:tc>
          <w:tcPr>
            <w:tcW w:w="1099" w:type="pct"/>
          </w:tcPr>
          <w:p w:rsidR="00000000" w:rsidRDefault="00000000">
            <w:pPr>
              <w:pStyle w:val="a2"/>
              <w:spacing w:before="40" w:after="40"/>
              <w:jc w:val="center"/>
              <w:rPr>
                <w:rFonts w:hint="eastAsia"/>
                <w:snapToGrid/>
              </w:rPr>
            </w:pPr>
            <w:r>
              <w:rPr>
                <w:rFonts w:hint="eastAsia"/>
                <w:snapToGrid/>
              </w:rPr>
              <w:t>2003</w:t>
            </w:r>
            <w:r>
              <w:rPr>
                <w:rFonts w:hint="eastAsia"/>
                <w:snapToGrid/>
              </w:rPr>
              <w:t>年学员人数</w:t>
            </w:r>
          </w:p>
        </w:tc>
        <w:tc>
          <w:tcPr>
            <w:tcW w:w="772" w:type="pct"/>
          </w:tcPr>
          <w:p w:rsidR="00000000" w:rsidRDefault="00000000">
            <w:pPr>
              <w:pStyle w:val="a2"/>
              <w:spacing w:before="40" w:after="40"/>
              <w:jc w:val="center"/>
              <w:rPr>
                <w:rFonts w:hint="eastAsia"/>
                <w:snapToGrid/>
              </w:rPr>
            </w:pPr>
            <w:r>
              <w:rPr>
                <w:rFonts w:hint="eastAsia"/>
                <w:snapToGrid/>
              </w:rPr>
              <w:t>%</w:t>
            </w:r>
          </w:p>
        </w:tc>
      </w:tr>
      <w:tr w:rsidR="00000000">
        <w:tblPrEx>
          <w:tblCellMar>
            <w:top w:w="0" w:type="dxa"/>
            <w:bottom w:w="0" w:type="dxa"/>
          </w:tblCellMar>
        </w:tblPrEx>
        <w:tc>
          <w:tcPr>
            <w:tcW w:w="1242" w:type="pct"/>
            <w:tcBorders>
              <w:bottom w:val="nil"/>
            </w:tcBorders>
          </w:tcPr>
          <w:p w:rsidR="00000000" w:rsidRDefault="00000000">
            <w:pPr>
              <w:pStyle w:val="a2"/>
              <w:spacing w:before="40"/>
              <w:ind w:left="57" w:right="57"/>
              <w:rPr>
                <w:rFonts w:hint="eastAsia"/>
                <w:snapToGrid/>
              </w:rPr>
            </w:pPr>
            <w:r>
              <w:rPr>
                <w:rFonts w:hint="eastAsia"/>
                <w:snapToGrid/>
              </w:rPr>
              <w:t>失业者</w:t>
            </w:r>
          </w:p>
        </w:tc>
        <w:tc>
          <w:tcPr>
            <w:tcW w:w="1005" w:type="pct"/>
            <w:tcBorders>
              <w:bottom w:val="nil"/>
            </w:tcBorders>
          </w:tcPr>
          <w:p w:rsidR="00000000" w:rsidRDefault="00000000">
            <w:pPr>
              <w:pStyle w:val="a2"/>
              <w:spacing w:before="40"/>
              <w:ind w:right="679"/>
              <w:jc w:val="right"/>
              <w:rPr>
                <w:snapToGrid/>
              </w:rPr>
            </w:pPr>
            <w:r>
              <w:rPr>
                <w:snapToGrid/>
              </w:rPr>
              <w:t>52 542</w:t>
            </w:r>
          </w:p>
        </w:tc>
        <w:tc>
          <w:tcPr>
            <w:tcW w:w="882" w:type="pct"/>
            <w:tcBorders>
              <w:bottom w:val="nil"/>
            </w:tcBorders>
          </w:tcPr>
          <w:p w:rsidR="00000000" w:rsidRDefault="00000000">
            <w:pPr>
              <w:pStyle w:val="a2"/>
              <w:spacing w:before="40"/>
              <w:ind w:right="671"/>
              <w:jc w:val="right"/>
              <w:rPr>
                <w:snapToGrid/>
              </w:rPr>
            </w:pPr>
            <w:r>
              <w:rPr>
                <w:snapToGrid/>
              </w:rPr>
              <w:t>81.6</w:t>
            </w:r>
          </w:p>
        </w:tc>
        <w:tc>
          <w:tcPr>
            <w:tcW w:w="1099" w:type="pct"/>
            <w:tcBorders>
              <w:bottom w:val="nil"/>
            </w:tcBorders>
          </w:tcPr>
          <w:p w:rsidR="00000000" w:rsidRDefault="00000000">
            <w:pPr>
              <w:pStyle w:val="a2"/>
              <w:spacing w:before="40"/>
              <w:ind w:right="663"/>
              <w:jc w:val="right"/>
              <w:rPr>
                <w:snapToGrid/>
              </w:rPr>
            </w:pPr>
            <w:r>
              <w:rPr>
                <w:snapToGrid/>
              </w:rPr>
              <w:t>50 321</w:t>
            </w:r>
          </w:p>
        </w:tc>
        <w:tc>
          <w:tcPr>
            <w:tcW w:w="772" w:type="pct"/>
            <w:tcBorders>
              <w:bottom w:val="nil"/>
            </w:tcBorders>
          </w:tcPr>
          <w:p w:rsidR="00000000" w:rsidRDefault="00000000">
            <w:pPr>
              <w:pStyle w:val="a2"/>
              <w:spacing w:before="40"/>
              <w:ind w:right="512"/>
              <w:jc w:val="right"/>
              <w:rPr>
                <w:snapToGrid/>
              </w:rPr>
            </w:pPr>
            <w:r>
              <w:rPr>
                <w:snapToGrid/>
              </w:rPr>
              <w:t>78.5</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被临时解雇者</w:t>
            </w:r>
          </w:p>
        </w:tc>
        <w:tc>
          <w:tcPr>
            <w:tcW w:w="1005" w:type="pct"/>
            <w:tcBorders>
              <w:top w:val="nil"/>
              <w:bottom w:val="nil"/>
            </w:tcBorders>
          </w:tcPr>
          <w:p w:rsidR="00000000" w:rsidRDefault="00000000">
            <w:pPr>
              <w:pStyle w:val="a2"/>
              <w:ind w:right="679"/>
              <w:jc w:val="right"/>
              <w:rPr>
                <w:snapToGrid/>
              </w:rPr>
            </w:pPr>
            <w:r>
              <w:rPr>
                <w:snapToGrid/>
              </w:rPr>
              <w:t>1 528</w:t>
            </w:r>
          </w:p>
        </w:tc>
        <w:tc>
          <w:tcPr>
            <w:tcW w:w="882" w:type="pct"/>
            <w:tcBorders>
              <w:top w:val="nil"/>
              <w:bottom w:val="nil"/>
            </w:tcBorders>
          </w:tcPr>
          <w:p w:rsidR="00000000" w:rsidRDefault="00000000">
            <w:pPr>
              <w:pStyle w:val="a2"/>
              <w:ind w:right="671"/>
              <w:jc w:val="right"/>
              <w:rPr>
                <w:snapToGrid/>
              </w:rPr>
            </w:pPr>
            <w:r>
              <w:rPr>
                <w:snapToGrid/>
              </w:rPr>
              <w:t>2.4</w:t>
            </w:r>
          </w:p>
        </w:tc>
        <w:tc>
          <w:tcPr>
            <w:tcW w:w="1099" w:type="pct"/>
            <w:tcBorders>
              <w:top w:val="nil"/>
              <w:bottom w:val="nil"/>
            </w:tcBorders>
          </w:tcPr>
          <w:p w:rsidR="00000000" w:rsidRDefault="00000000">
            <w:pPr>
              <w:pStyle w:val="a2"/>
              <w:ind w:right="663"/>
              <w:jc w:val="right"/>
              <w:rPr>
                <w:snapToGrid/>
              </w:rPr>
            </w:pPr>
            <w:r>
              <w:rPr>
                <w:snapToGrid/>
              </w:rPr>
              <w:t>1 786</w:t>
            </w:r>
          </w:p>
        </w:tc>
        <w:tc>
          <w:tcPr>
            <w:tcW w:w="772" w:type="pct"/>
            <w:tcBorders>
              <w:top w:val="nil"/>
              <w:bottom w:val="nil"/>
            </w:tcBorders>
          </w:tcPr>
          <w:p w:rsidR="00000000" w:rsidRDefault="00000000">
            <w:pPr>
              <w:pStyle w:val="a2"/>
              <w:ind w:right="512"/>
              <w:jc w:val="right"/>
              <w:rPr>
                <w:snapToGrid/>
              </w:rPr>
            </w:pPr>
            <w:r>
              <w:rPr>
                <w:snapToGrid/>
              </w:rPr>
              <w:t>2.8</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遭到解雇威胁的人</w:t>
            </w:r>
          </w:p>
        </w:tc>
        <w:tc>
          <w:tcPr>
            <w:tcW w:w="1005" w:type="pct"/>
            <w:tcBorders>
              <w:top w:val="nil"/>
              <w:bottom w:val="nil"/>
            </w:tcBorders>
          </w:tcPr>
          <w:p w:rsidR="00000000" w:rsidRDefault="00000000">
            <w:pPr>
              <w:pStyle w:val="a2"/>
              <w:ind w:right="679"/>
              <w:jc w:val="right"/>
              <w:rPr>
                <w:snapToGrid/>
              </w:rPr>
            </w:pPr>
            <w:r>
              <w:rPr>
                <w:snapToGrid/>
              </w:rPr>
              <w:t>2 819</w:t>
            </w:r>
          </w:p>
        </w:tc>
        <w:tc>
          <w:tcPr>
            <w:tcW w:w="882" w:type="pct"/>
            <w:tcBorders>
              <w:top w:val="nil"/>
              <w:bottom w:val="nil"/>
            </w:tcBorders>
          </w:tcPr>
          <w:p w:rsidR="00000000" w:rsidRDefault="00000000">
            <w:pPr>
              <w:pStyle w:val="a2"/>
              <w:ind w:right="671"/>
              <w:jc w:val="right"/>
              <w:rPr>
                <w:snapToGrid/>
              </w:rPr>
            </w:pPr>
            <w:r>
              <w:rPr>
                <w:snapToGrid/>
              </w:rPr>
              <w:t>4.4</w:t>
            </w:r>
          </w:p>
        </w:tc>
        <w:tc>
          <w:tcPr>
            <w:tcW w:w="1099" w:type="pct"/>
            <w:tcBorders>
              <w:top w:val="nil"/>
              <w:bottom w:val="nil"/>
            </w:tcBorders>
          </w:tcPr>
          <w:p w:rsidR="00000000" w:rsidRDefault="00000000">
            <w:pPr>
              <w:pStyle w:val="a2"/>
              <w:ind w:right="663"/>
              <w:jc w:val="right"/>
              <w:rPr>
                <w:snapToGrid/>
              </w:rPr>
            </w:pPr>
            <w:r>
              <w:rPr>
                <w:snapToGrid/>
              </w:rPr>
              <w:t>3 135</w:t>
            </w:r>
          </w:p>
        </w:tc>
        <w:tc>
          <w:tcPr>
            <w:tcW w:w="772" w:type="pct"/>
            <w:tcBorders>
              <w:top w:val="nil"/>
              <w:bottom w:val="nil"/>
            </w:tcBorders>
          </w:tcPr>
          <w:p w:rsidR="00000000" w:rsidRDefault="00000000">
            <w:pPr>
              <w:pStyle w:val="a2"/>
              <w:ind w:right="512"/>
              <w:jc w:val="right"/>
              <w:rPr>
                <w:snapToGrid/>
              </w:rPr>
            </w:pPr>
            <w:r>
              <w:rPr>
                <w:snapToGrid/>
              </w:rPr>
              <w:t>4.9</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就业者</w:t>
            </w:r>
          </w:p>
        </w:tc>
        <w:tc>
          <w:tcPr>
            <w:tcW w:w="1005" w:type="pct"/>
            <w:tcBorders>
              <w:top w:val="nil"/>
              <w:bottom w:val="nil"/>
            </w:tcBorders>
          </w:tcPr>
          <w:p w:rsidR="00000000" w:rsidRDefault="00000000">
            <w:pPr>
              <w:pStyle w:val="a2"/>
              <w:ind w:right="679"/>
              <w:jc w:val="right"/>
              <w:rPr>
                <w:snapToGrid/>
              </w:rPr>
            </w:pPr>
            <w:r>
              <w:rPr>
                <w:snapToGrid/>
              </w:rPr>
              <w:t>1 738</w:t>
            </w:r>
          </w:p>
        </w:tc>
        <w:tc>
          <w:tcPr>
            <w:tcW w:w="882" w:type="pct"/>
            <w:tcBorders>
              <w:top w:val="nil"/>
              <w:bottom w:val="nil"/>
            </w:tcBorders>
          </w:tcPr>
          <w:p w:rsidR="00000000" w:rsidRDefault="00000000">
            <w:pPr>
              <w:pStyle w:val="a2"/>
              <w:ind w:right="671"/>
              <w:jc w:val="right"/>
              <w:rPr>
                <w:snapToGrid/>
              </w:rPr>
            </w:pPr>
            <w:r>
              <w:rPr>
                <w:snapToGrid/>
              </w:rPr>
              <w:t>2.7</w:t>
            </w:r>
          </w:p>
        </w:tc>
        <w:tc>
          <w:tcPr>
            <w:tcW w:w="1099" w:type="pct"/>
            <w:tcBorders>
              <w:top w:val="nil"/>
              <w:bottom w:val="nil"/>
            </w:tcBorders>
          </w:tcPr>
          <w:p w:rsidR="00000000" w:rsidRDefault="00000000">
            <w:pPr>
              <w:pStyle w:val="a2"/>
              <w:ind w:right="663"/>
              <w:jc w:val="right"/>
              <w:rPr>
                <w:snapToGrid/>
              </w:rPr>
            </w:pPr>
            <w:r>
              <w:rPr>
                <w:snapToGrid/>
              </w:rPr>
              <w:t>1 682</w:t>
            </w:r>
          </w:p>
        </w:tc>
        <w:tc>
          <w:tcPr>
            <w:tcW w:w="772" w:type="pct"/>
            <w:tcBorders>
              <w:top w:val="nil"/>
              <w:bottom w:val="nil"/>
            </w:tcBorders>
          </w:tcPr>
          <w:p w:rsidR="00000000" w:rsidRDefault="00000000">
            <w:pPr>
              <w:pStyle w:val="a2"/>
              <w:ind w:right="512"/>
              <w:jc w:val="right"/>
              <w:rPr>
                <w:snapToGrid/>
              </w:rPr>
            </w:pPr>
            <w:r>
              <w:rPr>
                <w:snapToGrid/>
              </w:rPr>
              <w:t>2.6</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没有参加工作的人</w:t>
            </w:r>
          </w:p>
        </w:tc>
        <w:tc>
          <w:tcPr>
            <w:tcW w:w="1005" w:type="pct"/>
            <w:tcBorders>
              <w:top w:val="nil"/>
              <w:bottom w:val="nil"/>
            </w:tcBorders>
          </w:tcPr>
          <w:p w:rsidR="00000000" w:rsidRDefault="00000000">
            <w:pPr>
              <w:pStyle w:val="a2"/>
              <w:ind w:right="679"/>
              <w:jc w:val="right"/>
              <w:rPr>
                <w:snapToGrid/>
              </w:rPr>
            </w:pPr>
            <w:r>
              <w:rPr>
                <w:snapToGrid/>
              </w:rPr>
              <w:t>4 429</w:t>
            </w:r>
          </w:p>
        </w:tc>
        <w:tc>
          <w:tcPr>
            <w:tcW w:w="882" w:type="pct"/>
            <w:tcBorders>
              <w:top w:val="nil"/>
              <w:bottom w:val="nil"/>
            </w:tcBorders>
          </w:tcPr>
          <w:p w:rsidR="00000000" w:rsidRDefault="00000000">
            <w:pPr>
              <w:pStyle w:val="a2"/>
              <w:ind w:right="671"/>
              <w:jc w:val="right"/>
              <w:rPr>
                <w:snapToGrid/>
              </w:rPr>
            </w:pPr>
            <w:r>
              <w:rPr>
                <w:snapToGrid/>
              </w:rPr>
              <w:t>6.9</w:t>
            </w:r>
          </w:p>
        </w:tc>
        <w:tc>
          <w:tcPr>
            <w:tcW w:w="1099" w:type="pct"/>
            <w:tcBorders>
              <w:top w:val="nil"/>
              <w:bottom w:val="nil"/>
            </w:tcBorders>
          </w:tcPr>
          <w:p w:rsidR="00000000" w:rsidRDefault="00000000">
            <w:pPr>
              <w:pStyle w:val="a2"/>
              <w:ind w:right="663"/>
              <w:jc w:val="right"/>
              <w:rPr>
                <w:snapToGrid/>
              </w:rPr>
            </w:pPr>
            <w:r>
              <w:rPr>
                <w:snapToGrid/>
              </w:rPr>
              <w:t>4 720</w:t>
            </w:r>
          </w:p>
        </w:tc>
        <w:tc>
          <w:tcPr>
            <w:tcW w:w="772" w:type="pct"/>
            <w:tcBorders>
              <w:top w:val="nil"/>
              <w:bottom w:val="nil"/>
            </w:tcBorders>
          </w:tcPr>
          <w:p w:rsidR="00000000" w:rsidRDefault="00000000">
            <w:pPr>
              <w:pStyle w:val="a2"/>
              <w:ind w:right="512"/>
              <w:jc w:val="right"/>
              <w:rPr>
                <w:snapToGrid/>
              </w:rPr>
            </w:pPr>
            <w:r>
              <w:rPr>
                <w:snapToGrid/>
              </w:rPr>
              <w:t>7.4</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地位不明的人</w:t>
            </w:r>
          </w:p>
        </w:tc>
        <w:tc>
          <w:tcPr>
            <w:tcW w:w="1005" w:type="pct"/>
            <w:tcBorders>
              <w:top w:val="nil"/>
              <w:bottom w:val="nil"/>
            </w:tcBorders>
          </w:tcPr>
          <w:p w:rsidR="00000000" w:rsidRDefault="00000000">
            <w:pPr>
              <w:pStyle w:val="a2"/>
              <w:ind w:right="679"/>
              <w:jc w:val="right"/>
              <w:rPr>
                <w:snapToGrid/>
              </w:rPr>
            </w:pPr>
            <w:r>
              <w:rPr>
                <w:snapToGrid/>
              </w:rPr>
              <w:t>1 371</w:t>
            </w:r>
          </w:p>
        </w:tc>
        <w:tc>
          <w:tcPr>
            <w:tcW w:w="882" w:type="pct"/>
            <w:tcBorders>
              <w:top w:val="nil"/>
              <w:bottom w:val="nil"/>
            </w:tcBorders>
          </w:tcPr>
          <w:p w:rsidR="00000000" w:rsidRDefault="00000000">
            <w:pPr>
              <w:pStyle w:val="a2"/>
              <w:ind w:right="671"/>
              <w:jc w:val="right"/>
              <w:rPr>
                <w:snapToGrid/>
              </w:rPr>
            </w:pPr>
            <w:r>
              <w:rPr>
                <w:snapToGrid/>
              </w:rPr>
              <w:t>2.1</w:t>
            </w:r>
          </w:p>
        </w:tc>
        <w:tc>
          <w:tcPr>
            <w:tcW w:w="1099" w:type="pct"/>
            <w:tcBorders>
              <w:top w:val="nil"/>
              <w:bottom w:val="nil"/>
            </w:tcBorders>
          </w:tcPr>
          <w:p w:rsidR="00000000" w:rsidRDefault="00000000">
            <w:pPr>
              <w:pStyle w:val="a2"/>
              <w:ind w:right="663"/>
              <w:jc w:val="right"/>
              <w:rPr>
                <w:snapToGrid/>
              </w:rPr>
            </w:pPr>
            <w:r>
              <w:rPr>
                <w:snapToGrid/>
              </w:rPr>
              <w:t>2 422</w:t>
            </w:r>
          </w:p>
        </w:tc>
        <w:tc>
          <w:tcPr>
            <w:tcW w:w="772" w:type="pct"/>
            <w:tcBorders>
              <w:top w:val="nil"/>
              <w:bottom w:val="nil"/>
            </w:tcBorders>
          </w:tcPr>
          <w:p w:rsidR="00000000" w:rsidRDefault="00000000">
            <w:pPr>
              <w:pStyle w:val="a2"/>
              <w:ind w:right="512"/>
              <w:jc w:val="right"/>
              <w:rPr>
                <w:snapToGrid/>
              </w:rPr>
            </w:pPr>
            <w:r>
              <w:rPr>
                <w:snapToGrid/>
              </w:rPr>
              <w:t>3.8</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参加培训的学员总数</w:t>
            </w:r>
          </w:p>
        </w:tc>
        <w:tc>
          <w:tcPr>
            <w:tcW w:w="1005" w:type="pct"/>
            <w:tcBorders>
              <w:top w:val="nil"/>
              <w:bottom w:val="nil"/>
            </w:tcBorders>
          </w:tcPr>
          <w:p w:rsidR="00000000" w:rsidRDefault="00000000">
            <w:pPr>
              <w:pStyle w:val="a2"/>
              <w:ind w:right="679"/>
              <w:jc w:val="right"/>
              <w:rPr>
                <w:snapToGrid/>
              </w:rPr>
            </w:pPr>
            <w:r>
              <w:rPr>
                <w:snapToGrid/>
              </w:rPr>
              <w:t>64 427</w:t>
            </w:r>
          </w:p>
        </w:tc>
        <w:tc>
          <w:tcPr>
            <w:tcW w:w="882" w:type="pct"/>
            <w:tcBorders>
              <w:top w:val="nil"/>
              <w:bottom w:val="nil"/>
            </w:tcBorders>
          </w:tcPr>
          <w:p w:rsidR="00000000" w:rsidRDefault="00000000">
            <w:pPr>
              <w:pStyle w:val="a2"/>
              <w:ind w:right="671"/>
              <w:jc w:val="right"/>
              <w:rPr>
                <w:snapToGrid/>
              </w:rPr>
            </w:pPr>
            <w:r>
              <w:rPr>
                <w:snapToGrid/>
              </w:rPr>
              <w:t>100.0</w:t>
            </w:r>
          </w:p>
        </w:tc>
        <w:tc>
          <w:tcPr>
            <w:tcW w:w="1099" w:type="pct"/>
            <w:tcBorders>
              <w:top w:val="nil"/>
              <w:bottom w:val="nil"/>
            </w:tcBorders>
          </w:tcPr>
          <w:p w:rsidR="00000000" w:rsidRDefault="00000000">
            <w:pPr>
              <w:pStyle w:val="a2"/>
              <w:ind w:right="663"/>
              <w:jc w:val="right"/>
              <w:rPr>
                <w:snapToGrid/>
              </w:rPr>
            </w:pPr>
            <w:r>
              <w:rPr>
                <w:snapToGrid/>
              </w:rPr>
              <w:t>64 066</w:t>
            </w:r>
          </w:p>
        </w:tc>
        <w:tc>
          <w:tcPr>
            <w:tcW w:w="772" w:type="pct"/>
            <w:tcBorders>
              <w:top w:val="nil"/>
              <w:bottom w:val="nil"/>
            </w:tcBorders>
          </w:tcPr>
          <w:p w:rsidR="00000000" w:rsidRDefault="00000000">
            <w:pPr>
              <w:pStyle w:val="a2"/>
              <w:ind w:right="512"/>
              <w:jc w:val="right"/>
              <w:rPr>
                <w:snapToGrid/>
              </w:rPr>
            </w:pPr>
            <w:r>
              <w:rPr>
                <w:snapToGrid/>
              </w:rPr>
              <w:t>100.0</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妇女</w:t>
            </w:r>
          </w:p>
        </w:tc>
        <w:tc>
          <w:tcPr>
            <w:tcW w:w="1005" w:type="pct"/>
            <w:tcBorders>
              <w:top w:val="nil"/>
              <w:bottom w:val="nil"/>
            </w:tcBorders>
          </w:tcPr>
          <w:p w:rsidR="00000000" w:rsidRDefault="00000000">
            <w:pPr>
              <w:pStyle w:val="a2"/>
              <w:ind w:right="679"/>
              <w:jc w:val="right"/>
              <w:rPr>
                <w:snapToGrid/>
              </w:rPr>
            </w:pPr>
            <w:r>
              <w:rPr>
                <w:snapToGrid/>
              </w:rPr>
              <w:t>33 684</w:t>
            </w:r>
          </w:p>
        </w:tc>
        <w:tc>
          <w:tcPr>
            <w:tcW w:w="882" w:type="pct"/>
            <w:tcBorders>
              <w:top w:val="nil"/>
              <w:bottom w:val="nil"/>
            </w:tcBorders>
          </w:tcPr>
          <w:p w:rsidR="00000000" w:rsidRDefault="00000000">
            <w:pPr>
              <w:pStyle w:val="a2"/>
              <w:ind w:right="671"/>
              <w:jc w:val="right"/>
              <w:rPr>
                <w:snapToGrid/>
              </w:rPr>
            </w:pPr>
            <w:r>
              <w:rPr>
                <w:snapToGrid/>
              </w:rPr>
              <w:t>52.3</w:t>
            </w:r>
          </w:p>
        </w:tc>
        <w:tc>
          <w:tcPr>
            <w:tcW w:w="1099" w:type="pct"/>
            <w:tcBorders>
              <w:top w:val="nil"/>
              <w:bottom w:val="nil"/>
            </w:tcBorders>
          </w:tcPr>
          <w:p w:rsidR="00000000" w:rsidRDefault="00000000">
            <w:pPr>
              <w:pStyle w:val="a2"/>
              <w:ind w:right="663"/>
              <w:jc w:val="right"/>
              <w:rPr>
                <w:snapToGrid/>
              </w:rPr>
            </w:pPr>
            <w:r>
              <w:rPr>
                <w:snapToGrid/>
              </w:rPr>
              <w:t>33 162</w:t>
            </w:r>
          </w:p>
        </w:tc>
        <w:tc>
          <w:tcPr>
            <w:tcW w:w="772" w:type="pct"/>
            <w:tcBorders>
              <w:top w:val="nil"/>
              <w:bottom w:val="nil"/>
            </w:tcBorders>
          </w:tcPr>
          <w:p w:rsidR="00000000" w:rsidRDefault="00000000">
            <w:pPr>
              <w:pStyle w:val="a2"/>
              <w:ind w:right="512"/>
              <w:jc w:val="right"/>
              <w:rPr>
                <w:snapToGrid/>
              </w:rPr>
            </w:pPr>
            <w:r>
              <w:rPr>
                <w:snapToGrid/>
              </w:rPr>
              <w:t>51.8</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长期失业者</w:t>
            </w:r>
          </w:p>
        </w:tc>
        <w:tc>
          <w:tcPr>
            <w:tcW w:w="1005" w:type="pct"/>
            <w:tcBorders>
              <w:top w:val="nil"/>
              <w:bottom w:val="nil"/>
            </w:tcBorders>
          </w:tcPr>
          <w:p w:rsidR="00000000" w:rsidRDefault="00000000">
            <w:pPr>
              <w:pStyle w:val="a2"/>
              <w:ind w:right="679"/>
              <w:jc w:val="right"/>
              <w:rPr>
                <w:snapToGrid/>
              </w:rPr>
            </w:pPr>
            <w:r>
              <w:rPr>
                <w:snapToGrid/>
              </w:rPr>
              <w:t>7 701</w:t>
            </w:r>
          </w:p>
        </w:tc>
        <w:tc>
          <w:tcPr>
            <w:tcW w:w="882" w:type="pct"/>
            <w:tcBorders>
              <w:top w:val="nil"/>
              <w:bottom w:val="nil"/>
            </w:tcBorders>
          </w:tcPr>
          <w:p w:rsidR="00000000" w:rsidRDefault="00000000">
            <w:pPr>
              <w:pStyle w:val="a2"/>
              <w:ind w:right="671"/>
              <w:jc w:val="right"/>
              <w:rPr>
                <w:snapToGrid/>
              </w:rPr>
            </w:pPr>
            <w:r>
              <w:rPr>
                <w:snapToGrid/>
              </w:rPr>
              <w:t>12.0</w:t>
            </w:r>
          </w:p>
        </w:tc>
        <w:tc>
          <w:tcPr>
            <w:tcW w:w="1099" w:type="pct"/>
            <w:tcBorders>
              <w:top w:val="nil"/>
              <w:bottom w:val="nil"/>
            </w:tcBorders>
          </w:tcPr>
          <w:p w:rsidR="00000000" w:rsidRDefault="00000000">
            <w:pPr>
              <w:pStyle w:val="a2"/>
              <w:ind w:right="663"/>
              <w:jc w:val="right"/>
              <w:rPr>
                <w:snapToGrid/>
              </w:rPr>
            </w:pPr>
            <w:r>
              <w:rPr>
                <w:snapToGrid/>
              </w:rPr>
              <w:t>6 835</w:t>
            </w:r>
          </w:p>
        </w:tc>
        <w:tc>
          <w:tcPr>
            <w:tcW w:w="772" w:type="pct"/>
            <w:tcBorders>
              <w:top w:val="nil"/>
              <w:bottom w:val="nil"/>
            </w:tcBorders>
          </w:tcPr>
          <w:p w:rsidR="00000000" w:rsidRDefault="00000000">
            <w:pPr>
              <w:pStyle w:val="a2"/>
              <w:ind w:right="512"/>
              <w:jc w:val="right"/>
              <w:rPr>
                <w:snapToGrid/>
              </w:rPr>
            </w:pPr>
            <w:r>
              <w:rPr>
                <w:snapToGrid/>
              </w:rPr>
              <w:t>10.7</w:t>
            </w:r>
          </w:p>
        </w:tc>
      </w:tr>
      <w:tr w:rsidR="00000000">
        <w:tblPrEx>
          <w:tblCellMar>
            <w:top w:w="0" w:type="dxa"/>
            <w:bottom w:w="0" w:type="dxa"/>
          </w:tblCellMar>
        </w:tblPrEx>
        <w:tc>
          <w:tcPr>
            <w:tcW w:w="1242" w:type="pct"/>
            <w:tcBorders>
              <w:top w:val="nil"/>
              <w:bottom w:val="nil"/>
            </w:tcBorders>
          </w:tcPr>
          <w:p w:rsidR="00000000" w:rsidRDefault="00000000">
            <w:pPr>
              <w:pStyle w:val="a2"/>
              <w:ind w:left="57" w:right="57"/>
              <w:rPr>
                <w:rFonts w:hint="eastAsia"/>
                <w:snapToGrid/>
              </w:rPr>
            </w:pPr>
            <w:r>
              <w:rPr>
                <w:rFonts w:hint="eastAsia"/>
                <w:snapToGrid/>
              </w:rPr>
              <w:t>有工作能力障碍的人</w:t>
            </w:r>
          </w:p>
        </w:tc>
        <w:tc>
          <w:tcPr>
            <w:tcW w:w="1005" w:type="pct"/>
            <w:tcBorders>
              <w:top w:val="nil"/>
              <w:bottom w:val="nil"/>
            </w:tcBorders>
          </w:tcPr>
          <w:p w:rsidR="00000000" w:rsidRDefault="00000000">
            <w:pPr>
              <w:pStyle w:val="a2"/>
              <w:ind w:right="679"/>
              <w:jc w:val="right"/>
              <w:rPr>
                <w:snapToGrid/>
              </w:rPr>
            </w:pPr>
            <w:r>
              <w:rPr>
                <w:snapToGrid/>
              </w:rPr>
              <w:t>6 055</w:t>
            </w:r>
          </w:p>
        </w:tc>
        <w:tc>
          <w:tcPr>
            <w:tcW w:w="882" w:type="pct"/>
            <w:tcBorders>
              <w:top w:val="nil"/>
              <w:bottom w:val="nil"/>
            </w:tcBorders>
          </w:tcPr>
          <w:p w:rsidR="00000000" w:rsidRDefault="00000000">
            <w:pPr>
              <w:pStyle w:val="a2"/>
              <w:ind w:right="671"/>
              <w:jc w:val="right"/>
              <w:rPr>
                <w:snapToGrid/>
              </w:rPr>
            </w:pPr>
            <w:r>
              <w:rPr>
                <w:snapToGrid/>
              </w:rPr>
              <w:t>9.4</w:t>
            </w:r>
          </w:p>
        </w:tc>
        <w:tc>
          <w:tcPr>
            <w:tcW w:w="1099" w:type="pct"/>
            <w:tcBorders>
              <w:top w:val="nil"/>
              <w:bottom w:val="nil"/>
            </w:tcBorders>
          </w:tcPr>
          <w:p w:rsidR="00000000" w:rsidRDefault="00000000">
            <w:pPr>
              <w:pStyle w:val="a2"/>
              <w:ind w:right="663"/>
              <w:jc w:val="right"/>
              <w:rPr>
                <w:snapToGrid/>
              </w:rPr>
            </w:pPr>
            <w:r>
              <w:rPr>
                <w:snapToGrid/>
              </w:rPr>
              <w:t>5 721</w:t>
            </w:r>
          </w:p>
        </w:tc>
        <w:tc>
          <w:tcPr>
            <w:tcW w:w="772" w:type="pct"/>
            <w:tcBorders>
              <w:top w:val="nil"/>
              <w:bottom w:val="nil"/>
            </w:tcBorders>
          </w:tcPr>
          <w:p w:rsidR="00000000" w:rsidRDefault="00000000">
            <w:pPr>
              <w:pStyle w:val="a2"/>
              <w:ind w:right="512"/>
              <w:jc w:val="right"/>
              <w:rPr>
                <w:snapToGrid/>
              </w:rPr>
            </w:pPr>
            <w:r>
              <w:rPr>
                <w:snapToGrid/>
              </w:rPr>
              <w:t>8.9</w:t>
            </w:r>
          </w:p>
        </w:tc>
      </w:tr>
      <w:tr w:rsidR="00000000">
        <w:tblPrEx>
          <w:tblCellMar>
            <w:top w:w="0" w:type="dxa"/>
            <w:bottom w:w="0" w:type="dxa"/>
          </w:tblCellMar>
        </w:tblPrEx>
        <w:tc>
          <w:tcPr>
            <w:tcW w:w="1242" w:type="pct"/>
            <w:tcBorders>
              <w:top w:val="nil"/>
              <w:bottom w:val="nil"/>
            </w:tcBorders>
          </w:tcPr>
          <w:p w:rsidR="00000000" w:rsidRDefault="00000000">
            <w:pPr>
              <w:pStyle w:val="a2"/>
              <w:spacing w:after="40"/>
              <w:ind w:left="57" w:right="57"/>
              <w:rPr>
                <w:rFonts w:hint="eastAsia"/>
                <w:snapToGrid/>
              </w:rPr>
            </w:pPr>
            <w:r>
              <w:rPr>
                <w:rFonts w:hint="eastAsia"/>
                <w:snapToGrid/>
              </w:rPr>
              <w:t>50</w:t>
            </w:r>
            <w:r>
              <w:rPr>
                <w:rFonts w:hint="eastAsia"/>
                <w:snapToGrid/>
              </w:rPr>
              <w:t>岁以上的人</w:t>
            </w:r>
          </w:p>
        </w:tc>
        <w:tc>
          <w:tcPr>
            <w:tcW w:w="1005" w:type="pct"/>
            <w:tcBorders>
              <w:top w:val="nil"/>
              <w:bottom w:val="nil"/>
            </w:tcBorders>
          </w:tcPr>
          <w:p w:rsidR="00000000" w:rsidRDefault="00000000">
            <w:pPr>
              <w:pStyle w:val="a2"/>
              <w:ind w:right="679"/>
              <w:jc w:val="right"/>
              <w:rPr>
                <w:snapToGrid/>
              </w:rPr>
            </w:pPr>
            <w:r>
              <w:rPr>
                <w:snapToGrid/>
              </w:rPr>
              <w:t>8 817</w:t>
            </w:r>
          </w:p>
        </w:tc>
        <w:tc>
          <w:tcPr>
            <w:tcW w:w="882" w:type="pct"/>
            <w:tcBorders>
              <w:top w:val="nil"/>
              <w:bottom w:val="nil"/>
            </w:tcBorders>
          </w:tcPr>
          <w:p w:rsidR="00000000" w:rsidRDefault="00000000">
            <w:pPr>
              <w:pStyle w:val="a2"/>
              <w:ind w:right="671"/>
              <w:jc w:val="right"/>
              <w:rPr>
                <w:snapToGrid/>
              </w:rPr>
            </w:pPr>
            <w:r>
              <w:rPr>
                <w:snapToGrid/>
              </w:rPr>
              <w:t>13.7</w:t>
            </w:r>
          </w:p>
        </w:tc>
        <w:tc>
          <w:tcPr>
            <w:tcW w:w="1099" w:type="pct"/>
            <w:tcBorders>
              <w:top w:val="nil"/>
              <w:bottom w:val="nil"/>
            </w:tcBorders>
          </w:tcPr>
          <w:p w:rsidR="00000000" w:rsidRDefault="00000000">
            <w:pPr>
              <w:pStyle w:val="a2"/>
              <w:ind w:right="663"/>
              <w:jc w:val="right"/>
              <w:rPr>
                <w:snapToGrid/>
              </w:rPr>
            </w:pPr>
            <w:r>
              <w:rPr>
                <w:snapToGrid/>
              </w:rPr>
              <w:t>8 889</w:t>
            </w:r>
          </w:p>
        </w:tc>
        <w:tc>
          <w:tcPr>
            <w:tcW w:w="772" w:type="pct"/>
            <w:tcBorders>
              <w:top w:val="nil"/>
              <w:bottom w:val="nil"/>
            </w:tcBorders>
          </w:tcPr>
          <w:p w:rsidR="00000000" w:rsidRDefault="00000000">
            <w:pPr>
              <w:pStyle w:val="a2"/>
              <w:ind w:right="512"/>
              <w:jc w:val="right"/>
              <w:rPr>
                <w:snapToGrid/>
              </w:rPr>
            </w:pPr>
            <w:r>
              <w:rPr>
                <w:snapToGrid/>
              </w:rPr>
              <w:t>13.9</w:t>
            </w:r>
          </w:p>
        </w:tc>
      </w:tr>
      <w:tr w:rsidR="00000000">
        <w:tblPrEx>
          <w:tblCellMar>
            <w:top w:w="0" w:type="dxa"/>
            <w:bottom w:w="0" w:type="dxa"/>
          </w:tblCellMar>
        </w:tblPrEx>
        <w:tc>
          <w:tcPr>
            <w:tcW w:w="1242" w:type="pct"/>
            <w:tcBorders>
              <w:top w:val="nil"/>
            </w:tcBorders>
          </w:tcPr>
          <w:p w:rsidR="00000000" w:rsidRDefault="00000000">
            <w:pPr>
              <w:pStyle w:val="a2"/>
              <w:spacing w:after="60" w:line="240" w:lineRule="exact"/>
              <w:ind w:left="57" w:right="57"/>
              <w:rPr>
                <w:rFonts w:hint="eastAsia"/>
                <w:snapToGrid/>
              </w:rPr>
            </w:pPr>
            <w:r>
              <w:rPr>
                <w:rFonts w:hint="eastAsia"/>
                <w:snapToGrid/>
              </w:rPr>
              <w:t>外国人</w:t>
            </w:r>
            <w:r>
              <w:rPr>
                <w:rFonts w:hint="eastAsia"/>
                <w:snapToGrid/>
              </w:rPr>
              <w:t>(</w:t>
            </w:r>
            <w:r>
              <w:rPr>
                <w:rFonts w:hint="eastAsia"/>
                <w:snapToGrid/>
              </w:rPr>
              <w:t>包括接受欧洲社会基金会资助的人</w:t>
            </w:r>
            <w:r>
              <w:rPr>
                <w:rFonts w:hint="eastAsia"/>
                <w:snapToGrid/>
              </w:rPr>
              <w:t>)</w:t>
            </w:r>
          </w:p>
        </w:tc>
        <w:tc>
          <w:tcPr>
            <w:tcW w:w="1005" w:type="pct"/>
            <w:tcBorders>
              <w:top w:val="nil"/>
            </w:tcBorders>
          </w:tcPr>
          <w:p w:rsidR="00000000" w:rsidRDefault="00000000">
            <w:pPr>
              <w:pStyle w:val="a2"/>
              <w:spacing w:after="60" w:line="240" w:lineRule="exact"/>
              <w:ind w:right="679"/>
              <w:jc w:val="right"/>
              <w:rPr>
                <w:snapToGrid/>
              </w:rPr>
            </w:pPr>
            <w:r>
              <w:rPr>
                <w:snapToGrid/>
              </w:rPr>
              <w:t>11 814</w:t>
            </w:r>
          </w:p>
        </w:tc>
        <w:tc>
          <w:tcPr>
            <w:tcW w:w="882" w:type="pct"/>
            <w:tcBorders>
              <w:top w:val="nil"/>
            </w:tcBorders>
          </w:tcPr>
          <w:p w:rsidR="00000000" w:rsidRDefault="00000000">
            <w:pPr>
              <w:pStyle w:val="a2"/>
              <w:ind w:right="671"/>
              <w:jc w:val="right"/>
              <w:rPr>
                <w:snapToGrid/>
              </w:rPr>
            </w:pPr>
            <w:r>
              <w:rPr>
                <w:snapToGrid/>
              </w:rPr>
              <w:t>15.5</w:t>
            </w:r>
          </w:p>
        </w:tc>
        <w:tc>
          <w:tcPr>
            <w:tcW w:w="1099" w:type="pct"/>
            <w:tcBorders>
              <w:top w:val="nil"/>
            </w:tcBorders>
          </w:tcPr>
          <w:p w:rsidR="00000000" w:rsidRDefault="00000000">
            <w:pPr>
              <w:pStyle w:val="a2"/>
              <w:ind w:right="663"/>
              <w:jc w:val="right"/>
              <w:rPr>
                <w:snapToGrid/>
              </w:rPr>
            </w:pPr>
            <w:r>
              <w:rPr>
                <w:snapToGrid/>
              </w:rPr>
              <w:t>12 380</w:t>
            </w:r>
          </w:p>
        </w:tc>
        <w:tc>
          <w:tcPr>
            <w:tcW w:w="772" w:type="pct"/>
            <w:tcBorders>
              <w:top w:val="nil"/>
            </w:tcBorders>
          </w:tcPr>
          <w:p w:rsidR="00000000" w:rsidRDefault="00000000">
            <w:pPr>
              <w:pStyle w:val="a2"/>
              <w:ind w:right="512"/>
              <w:jc w:val="right"/>
              <w:rPr>
                <w:snapToGrid/>
              </w:rPr>
            </w:pPr>
            <w:r>
              <w:rPr>
                <w:snapToGrid/>
              </w:rPr>
              <w:t>16.6</w:t>
            </w:r>
          </w:p>
        </w:tc>
      </w:tr>
    </w:tbl>
    <w:p w:rsidR="00000000" w:rsidRDefault="00000000">
      <w:pPr>
        <w:pStyle w:val="a6"/>
        <w:spacing w:after="120"/>
        <w:rPr>
          <w:rFonts w:eastAsia="SimSun" w:hint="eastAsia"/>
        </w:rPr>
      </w:pPr>
    </w:p>
    <w:p w:rsidR="00000000" w:rsidRDefault="00000000">
      <w:pPr>
        <w:rPr>
          <w:rFonts w:hint="eastAsia"/>
        </w:rPr>
      </w:pPr>
      <w:r>
        <w:rPr>
          <w:rFonts w:hint="eastAsia"/>
        </w:rPr>
        <w:tab/>
        <w:t xml:space="preserve">276.  </w:t>
      </w:r>
      <w:r>
        <w:rPr>
          <w:rFonts w:hint="eastAsia"/>
        </w:rPr>
        <w:t>还可能为已经在职的人提供劳工市场培训，但是必须要有基于劳工政策的正当理由。例如，曾经为旨在确保老年人保持工作岗位的项目提供了这种培训。在加强轮换项目的框架内对私营公司的人员进行了培训。还有一项制度规定，雇员可以脱产参加培训，而临时招聘失业者来顶替这些学员的工作。人员培训也被用作临时解雇的替换办法，或者在工作场所实行新的技术时进行培训。</w:t>
      </w:r>
    </w:p>
    <w:p w:rsidR="00000000" w:rsidRDefault="00000000">
      <w:pPr>
        <w:rPr>
          <w:rFonts w:hint="eastAsia"/>
        </w:rPr>
      </w:pPr>
      <w:r>
        <w:rPr>
          <w:rFonts w:hint="eastAsia"/>
        </w:rPr>
        <w:tab/>
        <w:t xml:space="preserve">277.  </w:t>
      </w:r>
      <w:r>
        <w:rPr>
          <w:rFonts w:hint="eastAsia"/>
        </w:rPr>
        <w:t>其目的是要使得培训计划尽可能具体，以满足职工的需要，而这些计划几乎总是包括一个或者多个培训期。计划是根据学员的需要执行的。在考虑到学员以前的教育和技能的情况下，为他们制订了个人的学习和培训计划。在必要时，培训计划可以为学习有困难的学员补课。在适当的情况下，通常会对职业培训计划作出安排，使得参加培训的学员获得学分，正式得到学位。在过去几年中，这种培训也有所增长。在</w:t>
      </w:r>
      <w:r>
        <w:rPr>
          <w:rFonts w:hint="eastAsia"/>
        </w:rPr>
        <w:t>2003</w:t>
      </w:r>
      <w:r>
        <w:rPr>
          <w:rFonts w:hint="eastAsia"/>
        </w:rPr>
        <w:t>年，已经有</w:t>
      </w:r>
      <w:r>
        <w:rPr>
          <w:rFonts w:hint="eastAsia"/>
        </w:rPr>
        <w:t>4,200</w:t>
      </w:r>
      <w:r>
        <w:rPr>
          <w:rFonts w:hint="eastAsia"/>
        </w:rPr>
        <w:t>人获得学位，而在</w:t>
      </w:r>
      <w:r>
        <w:rPr>
          <w:rFonts w:hint="eastAsia"/>
        </w:rPr>
        <w:t>2001</w:t>
      </w:r>
      <w:r>
        <w:rPr>
          <w:rFonts w:hint="eastAsia"/>
        </w:rPr>
        <w:t>年的相关数字为</w:t>
      </w:r>
      <w:r>
        <w:rPr>
          <w:rFonts w:hint="eastAsia"/>
        </w:rPr>
        <w:t>2,900</w:t>
      </w:r>
      <w:r>
        <w:rPr>
          <w:rFonts w:hint="eastAsia"/>
        </w:rPr>
        <w:t>人。除此以外，还有大量的其他学位课程和学位计划，但是在这一方面没有统计数据。</w:t>
      </w:r>
    </w:p>
    <w:p w:rsidR="00000000" w:rsidRDefault="00000000">
      <w:pPr>
        <w:rPr>
          <w:rFonts w:hint="eastAsia"/>
        </w:rPr>
      </w:pPr>
      <w:r>
        <w:rPr>
          <w:rFonts w:hint="eastAsia"/>
        </w:rPr>
        <w:tab/>
        <w:t xml:space="preserve">278.  </w:t>
      </w:r>
      <w:r>
        <w:rPr>
          <w:rFonts w:hint="eastAsia"/>
        </w:rPr>
        <w:t>为了寻找减少职业隔离的方法，成立了一个工作小组。工作小组在</w:t>
      </w:r>
      <w:r>
        <w:rPr>
          <w:rFonts w:hint="eastAsia"/>
        </w:rPr>
        <w:t>2004</w:t>
      </w:r>
      <w:r>
        <w:rPr>
          <w:rFonts w:hint="eastAsia"/>
        </w:rPr>
        <w:t>年年初提出了报告。工作组由教育部、劳工部、教育机构、大专院校以及工会的代表组成。工作组的报告就教育和培训的内容、教员培训、职工的职业指导和发展等问题提出了一些措施。</w:t>
      </w:r>
    </w:p>
    <w:p w:rsidR="00000000" w:rsidRDefault="00000000">
      <w:pPr>
        <w:rPr>
          <w:rFonts w:hint="eastAsia"/>
        </w:rPr>
      </w:pPr>
      <w:r>
        <w:rPr>
          <w:rFonts w:hint="eastAsia"/>
        </w:rPr>
        <w:tab/>
        <w:t xml:space="preserve">279.  </w:t>
      </w:r>
      <w:r>
        <w:rPr>
          <w:rFonts w:hint="eastAsia"/>
        </w:rPr>
        <w:t>在欧洲社会基金会的资助下，劳工管理部门参加了一些合作项目。这些项目侧重于对性别问题有敏感认识的咨询，致力于提供教育和就业服务，以满足妇女的特别需要。劳工部在</w:t>
      </w:r>
      <w:r>
        <w:rPr>
          <w:rFonts w:hint="eastAsia"/>
        </w:rPr>
        <w:t>2002</w:t>
      </w:r>
      <w:r>
        <w:rPr>
          <w:rFonts w:hint="eastAsia"/>
        </w:rPr>
        <w:t>年出版了“支持非性别选择手册”。向所有职业介绍机构散发了这本手册，在职工培训课上也曾经加以使用。劳工部还编写了其他一些用于职业指导的培训材料</w:t>
      </w:r>
      <w:r>
        <w:rPr>
          <w:rFonts w:hint="eastAsia"/>
        </w:rPr>
        <w:t>(</w:t>
      </w:r>
      <w:r>
        <w:rPr>
          <w:rFonts w:hint="eastAsia"/>
        </w:rPr>
        <w:t>例如，有关对性别问题有敏感认识的咨询指导方针</w:t>
      </w:r>
      <w:r>
        <w:rPr>
          <w:rFonts w:hint="eastAsia"/>
        </w:rPr>
        <w:t>)</w:t>
      </w:r>
      <w:r>
        <w:rPr>
          <w:rFonts w:hint="eastAsia"/>
        </w:rPr>
        <w:t>。</w:t>
      </w:r>
    </w:p>
    <w:p w:rsidR="00000000" w:rsidRDefault="00000000">
      <w:pPr>
        <w:spacing w:after="320"/>
        <w:rPr>
          <w:rFonts w:hint="eastAsia"/>
        </w:rPr>
      </w:pPr>
      <w:r>
        <w:rPr>
          <w:rFonts w:hint="eastAsia"/>
        </w:rPr>
        <w:tab/>
        <w:t xml:space="preserve">280.  </w:t>
      </w:r>
      <w:r>
        <w:rPr>
          <w:rFonts w:hint="eastAsia"/>
        </w:rPr>
        <w:t>在于</w:t>
      </w:r>
      <w:r>
        <w:rPr>
          <w:rFonts w:hint="eastAsia"/>
        </w:rPr>
        <w:t>2000</w:t>
      </w:r>
      <w:r>
        <w:rPr>
          <w:rFonts w:hint="eastAsia"/>
        </w:rPr>
        <w:t>年、</w:t>
      </w:r>
      <w:r>
        <w:rPr>
          <w:rFonts w:hint="eastAsia"/>
        </w:rPr>
        <w:t>2002</w:t>
      </w:r>
      <w:r>
        <w:rPr>
          <w:rFonts w:hint="eastAsia"/>
        </w:rPr>
        <w:t>年和</w:t>
      </w:r>
      <w:r>
        <w:rPr>
          <w:rFonts w:hint="eastAsia"/>
        </w:rPr>
        <w:t>2003</w:t>
      </w:r>
      <w:r>
        <w:rPr>
          <w:rFonts w:hint="eastAsia"/>
        </w:rPr>
        <w:t>年提交的有关劳工组织第</w:t>
      </w:r>
      <w:r>
        <w:rPr>
          <w:rFonts w:hint="eastAsia"/>
        </w:rPr>
        <w:t>122</w:t>
      </w:r>
      <w:r>
        <w:rPr>
          <w:rFonts w:hint="eastAsia"/>
        </w:rPr>
        <w:t>号公约执行情况的定期报告中也已经说明了职业培训</w:t>
      </w:r>
      <w:r>
        <w:rPr>
          <w:rFonts w:hint="eastAsia"/>
        </w:rPr>
        <w:t>(</w:t>
      </w:r>
      <w:r>
        <w:rPr>
          <w:rFonts w:hint="eastAsia"/>
        </w:rPr>
        <w:t>附件四至附件六</w:t>
      </w:r>
      <w:r>
        <w:rPr>
          <w:rFonts w:hint="eastAsia"/>
        </w:rPr>
        <w:t>)</w:t>
      </w:r>
      <w:r>
        <w:rPr>
          <w:rFonts w:hint="eastAsia"/>
        </w:rPr>
        <w:t>。</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f</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实现全面就业的困难</w:t>
      </w:r>
    </w:p>
    <w:p w:rsidR="00000000" w:rsidRDefault="00000000">
      <w:pPr>
        <w:rPr>
          <w:rFonts w:hint="eastAsia"/>
        </w:rPr>
      </w:pPr>
      <w:r>
        <w:rPr>
          <w:rFonts w:hint="eastAsia"/>
        </w:rPr>
        <w:tab/>
        <w:t xml:space="preserve">281.  </w:t>
      </w:r>
      <w:r>
        <w:rPr>
          <w:rFonts w:hint="eastAsia"/>
        </w:rPr>
        <w:t>就经济政策而言，现政府政治纲领中最重要的目标是在</w:t>
      </w:r>
      <w:r>
        <w:rPr>
          <w:rFonts w:hint="eastAsia"/>
        </w:rPr>
        <w:t>2003</w:t>
      </w:r>
      <w:r>
        <w:rPr>
          <w:rFonts w:hint="eastAsia"/>
        </w:rPr>
        <w:t>年至</w:t>
      </w:r>
      <w:r>
        <w:rPr>
          <w:rFonts w:hint="eastAsia"/>
        </w:rPr>
        <w:t>2007</w:t>
      </w:r>
      <w:r>
        <w:rPr>
          <w:rFonts w:hint="eastAsia"/>
        </w:rPr>
        <w:t>年期间增加就业人数</w:t>
      </w:r>
      <w:r>
        <w:rPr>
          <w:rFonts w:hint="eastAsia"/>
        </w:rPr>
        <w:t>100,000</w:t>
      </w:r>
      <w:r>
        <w:rPr>
          <w:rFonts w:hint="eastAsia"/>
        </w:rPr>
        <w:t>人。政府方案进一步指出，到政府下一个任期结束时</w:t>
      </w:r>
      <w:r>
        <w:rPr>
          <w:rFonts w:hint="eastAsia"/>
        </w:rPr>
        <w:t>(2011</w:t>
      </w:r>
      <w:r>
        <w:rPr>
          <w:rFonts w:hint="eastAsia"/>
        </w:rPr>
        <w:t>年</w:t>
      </w:r>
      <w:r>
        <w:rPr>
          <w:rFonts w:hint="eastAsia"/>
        </w:rPr>
        <w:t>)</w:t>
      </w:r>
      <w:r>
        <w:rPr>
          <w:rFonts w:hint="eastAsia"/>
        </w:rPr>
        <w:t>，可将</w:t>
      </w:r>
      <w:r>
        <w:rPr>
          <w:rFonts w:hint="eastAsia"/>
        </w:rPr>
        <w:t>75%</w:t>
      </w:r>
      <w:r>
        <w:rPr>
          <w:rFonts w:hint="eastAsia"/>
        </w:rPr>
        <w:t>的就业率定为一个目标。欧盟为</w:t>
      </w:r>
      <w:r>
        <w:rPr>
          <w:rFonts w:hint="eastAsia"/>
        </w:rPr>
        <w:t>2010</w:t>
      </w:r>
      <w:r>
        <w:rPr>
          <w:rFonts w:hint="eastAsia"/>
        </w:rPr>
        <w:t>年定的目标为</w:t>
      </w:r>
      <w:r>
        <w:rPr>
          <w:rFonts w:hint="eastAsia"/>
        </w:rPr>
        <w:t>70%</w:t>
      </w:r>
      <w:r>
        <w:rPr>
          <w:rFonts w:hint="eastAsia"/>
        </w:rPr>
        <w:t>。因此，在芬兰的劳工政策战略中，为</w:t>
      </w:r>
      <w:r>
        <w:rPr>
          <w:rFonts w:hint="eastAsia"/>
        </w:rPr>
        <w:t>2007</w:t>
      </w:r>
      <w:r>
        <w:rPr>
          <w:rFonts w:hint="eastAsia"/>
        </w:rPr>
        <w:t>年订立的目标为：就业率是</w:t>
      </w:r>
      <w:r>
        <w:rPr>
          <w:rFonts w:hint="eastAsia"/>
        </w:rPr>
        <w:t>69%</w:t>
      </w:r>
      <w:r>
        <w:rPr>
          <w:rFonts w:hint="eastAsia"/>
        </w:rPr>
        <w:t>至</w:t>
      </w:r>
      <w:r>
        <w:rPr>
          <w:rFonts w:hint="eastAsia"/>
        </w:rPr>
        <w:t>71%</w:t>
      </w:r>
      <w:r>
        <w:rPr>
          <w:rFonts w:hint="eastAsia"/>
        </w:rPr>
        <w:t>、失业率是</w:t>
      </w:r>
      <w:r>
        <w:rPr>
          <w:rFonts w:hint="eastAsia"/>
        </w:rPr>
        <w:t>6%</w:t>
      </w:r>
      <w:r>
        <w:rPr>
          <w:rFonts w:hint="eastAsia"/>
        </w:rPr>
        <w:t>至</w:t>
      </w:r>
      <w:r>
        <w:rPr>
          <w:rFonts w:hint="eastAsia"/>
        </w:rPr>
        <w:t>7%</w:t>
      </w:r>
      <w:r>
        <w:rPr>
          <w:rFonts w:hint="eastAsia"/>
        </w:rPr>
        <w:t>；为</w:t>
      </w:r>
      <w:r>
        <w:rPr>
          <w:rFonts w:hint="eastAsia"/>
        </w:rPr>
        <w:t>2010</w:t>
      </w:r>
      <w:r>
        <w:rPr>
          <w:rFonts w:hint="eastAsia"/>
        </w:rPr>
        <w:t>年订立的目标为：就业率是</w:t>
      </w:r>
      <w:r>
        <w:rPr>
          <w:rFonts w:hint="eastAsia"/>
        </w:rPr>
        <w:t>71%</w:t>
      </w:r>
      <w:r>
        <w:rPr>
          <w:rFonts w:hint="eastAsia"/>
        </w:rPr>
        <w:t>至</w:t>
      </w:r>
      <w:r>
        <w:rPr>
          <w:rFonts w:hint="eastAsia"/>
        </w:rPr>
        <w:t>75%</w:t>
      </w:r>
      <w:r>
        <w:rPr>
          <w:rFonts w:hint="eastAsia"/>
        </w:rPr>
        <w:t>、失业率为</w:t>
      </w:r>
      <w:r>
        <w:rPr>
          <w:rFonts w:hint="eastAsia"/>
        </w:rPr>
        <w:t>3%</w:t>
      </w:r>
      <w:r>
        <w:rPr>
          <w:rFonts w:hint="eastAsia"/>
        </w:rPr>
        <w:t>至</w:t>
      </w:r>
      <w:r>
        <w:rPr>
          <w:rFonts w:hint="eastAsia"/>
        </w:rPr>
        <w:t>5%</w:t>
      </w:r>
      <w:r>
        <w:rPr>
          <w:rFonts w:hint="eastAsia"/>
        </w:rPr>
        <w:t>。如果能够达到这些目标的话，那就意味着在下一个十年结束时能够实现全面就业。</w:t>
      </w:r>
    </w:p>
    <w:p w:rsidR="00000000" w:rsidRDefault="00000000">
      <w:pPr>
        <w:rPr>
          <w:rFonts w:hint="eastAsia"/>
        </w:rPr>
      </w:pPr>
      <w:r>
        <w:rPr>
          <w:rFonts w:hint="eastAsia"/>
        </w:rPr>
        <w:tab/>
        <w:t xml:space="preserve">282.  </w:t>
      </w:r>
      <w:r>
        <w:rPr>
          <w:rFonts w:hint="eastAsia"/>
        </w:rPr>
        <w:t>在现政府第一年的活动中，就业人数实际减少</w:t>
      </w:r>
      <w:r>
        <w:rPr>
          <w:rFonts w:hint="eastAsia"/>
        </w:rPr>
        <w:t>14,000</w:t>
      </w:r>
      <w:r>
        <w:rPr>
          <w:rFonts w:hint="eastAsia"/>
        </w:rPr>
        <w:t>人。其部分原因在于欧盟内部的经济增长缓慢，而且芬兰的出口要比预期的还差。然而，还有结构上的因素，例如，经济全球化部分地影响了就业状况的改善。此外，从</w:t>
      </w:r>
      <w:r>
        <w:rPr>
          <w:rFonts w:hint="eastAsia"/>
        </w:rPr>
        <w:t>2002</w:t>
      </w:r>
      <w:r>
        <w:rPr>
          <w:rFonts w:hint="eastAsia"/>
        </w:rPr>
        <w:t>年年底至今大约</w:t>
      </w:r>
      <w:r>
        <w:rPr>
          <w:rFonts w:hint="eastAsia"/>
        </w:rPr>
        <w:t>18</w:t>
      </w:r>
      <w:r>
        <w:rPr>
          <w:rFonts w:hint="eastAsia"/>
        </w:rPr>
        <w:t>个月的时间内，工业的工作岗位持续减少。这是一个令人担忧的因素。</w:t>
      </w:r>
    </w:p>
    <w:p w:rsidR="00000000" w:rsidRDefault="00000000">
      <w:pPr>
        <w:rPr>
          <w:rFonts w:hint="eastAsia"/>
        </w:rPr>
      </w:pPr>
      <w:r>
        <w:rPr>
          <w:rFonts w:hint="eastAsia"/>
        </w:rPr>
        <w:tab/>
        <w:t xml:space="preserve">283.  </w:t>
      </w:r>
      <w:r>
        <w:rPr>
          <w:rFonts w:hint="eastAsia"/>
        </w:rPr>
        <w:t>在不久的将来，工人老化也将为就业情况的改善带来新的挑战。这种情况的影响将在本十年结束时表现得最为明显，因为根据芬兰统计局的估计，到时处于最佳工作年龄</w:t>
      </w:r>
      <w:r>
        <w:rPr>
          <w:rFonts w:hint="eastAsia"/>
        </w:rPr>
        <w:t>(25</w:t>
      </w:r>
      <w:r>
        <w:rPr>
          <w:rFonts w:hint="eastAsia"/>
        </w:rPr>
        <w:t>岁至</w:t>
      </w:r>
      <w:r>
        <w:rPr>
          <w:rFonts w:hint="eastAsia"/>
        </w:rPr>
        <w:t>54</w:t>
      </w:r>
      <w:r>
        <w:rPr>
          <w:rFonts w:hint="eastAsia"/>
        </w:rPr>
        <w:t>岁</w:t>
      </w:r>
      <w:r>
        <w:rPr>
          <w:rFonts w:hint="eastAsia"/>
        </w:rPr>
        <w:t>)</w:t>
      </w:r>
      <w:r>
        <w:rPr>
          <w:rFonts w:hint="eastAsia"/>
        </w:rPr>
        <w:t>的人数要比现在大约减少</w:t>
      </w:r>
      <w:r>
        <w:rPr>
          <w:rFonts w:hint="eastAsia"/>
        </w:rPr>
        <w:t>80,000</w:t>
      </w:r>
      <w:r>
        <w:rPr>
          <w:rFonts w:hint="eastAsia"/>
        </w:rPr>
        <w:t>人，而老年工人的人数将增加大约</w:t>
      </w:r>
      <w:r>
        <w:rPr>
          <w:rFonts w:hint="eastAsia"/>
        </w:rPr>
        <w:t>100,000</w:t>
      </w:r>
      <w:r>
        <w:rPr>
          <w:rFonts w:hint="eastAsia"/>
        </w:rPr>
        <w:t>人。到</w:t>
      </w:r>
      <w:r>
        <w:rPr>
          <w:rFonts w:hint="eastAsia"/>
        </w:rPr>
        <w:t>2010</w:t>
      </w:r>
      <w:r>
        <w:rPr>
          <w:rFonts w:hint="eastAsia"/>
        </w:rPr>
        <w:t>年，在全体人口中接近</w:t>
      </w:r>
      <w:r>
        <w:rPr>
          <w:rFonts w:hint="eastAsia"/>
        </w:rPr>
        <w:t>800,000</w:t>
      </w:r>
      <w:r>
        <w:rPr>
          <w:rFonts w:hint="eastAsia"/>
        </w:rPr>
        <w:t>人在</w:t>
      </w:r>
      <w:r>
        <w:rPr>
          <w:rFonts w:hint="eastAsia"/>
        </w:rPr>
        <w:t>55</w:t>
      </w:r>
      <w:r>
        <w:rPr>
          <w:rFonts w:hint="eastAsia"/>
        </w:rPr>
        <w:t>岁到</w:t>
      </w:r>
      <w:r>
        <w:rPr>
          <w:rFonts w:hint="eastAsia"/>
        </w:rPr>
        <w:t>64</w:t>
      </w:r>
      <w:r>
        <w:rPr>
          <w:rFonts w:hint="eastAsia"/>
        </w:rPr>
        <w:t>岁之间。</w:t>
      </w:r>
    </w:p>
    <w:p w:rsidR="00000000" w:rsidRDefault="00000000">
      <w:pPr>
        <w:spacing w:after="320"/>
        <w:rPr>
          <w:rFonts w:hint="eastAsia"/>
        </w:rPr>
      </w:pPr>
      <w:r>
        <w:rPr>
          <w:rFonts w:hint="eastAsia"/>
        </w:rPr>
        <w:tab/>
        <w:t xml:space="preserve">284.  </w:t>
      </w:r>
      <w:r>
        <w:rPr>
          <w:rFonts w:hint="eastAsia"/>
        </w:rPr>
        <w:t>要在这十年结束时实现就业率达到</w:t>
      </w:r>
      <w:r>
        <w:rPr>
          <w:rFonts w:hint="eastAsia"/>
        </w:rPr>
        <w:t>75%</w:t>
      </w:r>
      <w:r>
        <w:rPr>
          <w:rFonts w:hint="eastAsia"/>
        </w:rPr>
        <w:t>的目标，就必须要在劳动力的需求和供给方面进行重大改革。所有年龄组的就业率必须增加，但是就老年人的问题采取措施是特别重要的。由于人口的老化，为了确保较高的就业率，人们必须把生命中的更多时间用于工作。实际上，这就意味着要提高退休年龄，但是同样重要的是：年轻人必须比以前更早地完成学业和进入劳动力市场。</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3</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a</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禁止歧视</w:t>
      </w:r>
    </w:p>
    <w:p w:rsidR="00000000" w:rsidRDefault="00000000">
      <w:pPr>
        <w:rPr>
          <w:rFonts w:hint="eastAsia"/>
        </w:rPr>
      </w:pPr>
      <w:r>
        <w:rPr>
          <w:rFonts w:hint="eastAsia"/>
        </w:rPr>
        <w:tab/>
        <w:t xml:space="preserve">285.  </w:t>
      </w:r>
      <w:r>
        <w:rPr>
          <w:rFonts w:hint="eastAsia"/>
        </w:rPr>
        <w:t>关于禁止工作歧视的法律，政府提到了在有关委员会关注问题</w:t>
      </w:r>
      <w:r>
        <w:rPr>
          <w:rFonts w:hint="eastAsia"/>
        </w:rPr>
        <w:t>D14</w:t>
      </w:r>
      <w:r>
        <w:rPr>
          <w:rFonts w:hint="eastAsia"/>
        </w:rPr>
        <w:t>的答复中所提供的信息，也提到了在</w:t>
      </w:r>
      <w:r>
        <w:rPr>
          <w:rFonts w:hint="eastAsia"/>
        </w:rPr>
        <w:t>1999</w:t>
      </w:r>
      <w:r>
        <w:rPr>
          <w:rFonts w:hint="eastAsia"/>
        </w:rPr>
        <w:t>年、</w:t>
      </w:r>
      <w:r>
        <w:rPr>
          <w:rFonts w:hint="eastAsia"/>
        </w:rPr>
        <w:t>2001</w:t>
      </w:r>
      <w:r>
        <w:rPr>
          <w:rFonts w:hint="eastAsia"/>
        </w:rPr>
        <w:t>年和</w:t>
      </w:r>
      <w:r>
        <w:rPr>
          <w:rFonts w:hint="eastAsia"/>
        </w:rPr>
        <w:t>2003</w:t>
      </w:r>
      <w:r>
        <w:rPr>
          <w:rFonts w:hint="eastAsia"/>
        </w:rPr>
        <w:t>年所提交的有关劳工组织第</w:t>
      </w:r>
      <w:r>
        <w:rPr>
          <w:rFonts w:hint="eastAsia"/>
        </w:rPr>
        <w:t>111</w:t>
      </w:r>
      <w:r>
        <w:rPr>
          <w:rFonts w:hint="eastAsia"/>
        </w:rPr>
        <w:t>号公约执行情况的定期报告</w:t>
      </w:r>
      <w:r>
        <w:rPr>
          <w:rFonts w:hint="eastAsia"/>
        </w:rPr>
        <w:t>(</w:t>
      </w:r>
      <w:r>
        <w:rPr>
          <w:rFonts w:hint="eastAsia"/>
        </w:rPr>
        <w:t>附件一至附件三</w:t>
      </w:r>
      <w:r>
        <w:rPr>
          <w:rFonts w:hint="eastAsia"/>
        </w:rPr>
        <w:t>)</w:t>
      </w:r>
      <w:r>
        <w:rPr>
          <w:rFonts w:hint="eastAsia"/>
        </w:rPr>
        <w:t>。</w:t>
      </w:r>
    </w:p>
    <w:p w:rsidR="00000000" w:rsidRDefault="00000000">
      <w:pPr>
        <w:rPr>
          <w:rFonts w:hint="eastAsia"/>
        </w:rPr>
      </w:pPr>
      <w:r>
        <w:rPr>
          <w:rFonts w:hint="eastAsia"/>
        </w:rPr>
        <w:tab/>
        <w:t xml:space="preserve">286.  </w:t>
      </w:r>
      <w:r>
        <w:rPr>
          <w:rFonts w:hint="eastAsia"/>
        </w:rPr>
        <w:t>在本报告所涉期间，通过法律禁止基于种族和民族的歧视以及对于这些禁令执行情况的监测变成更为有效。尽管如此，同一般的芬兰工人相比，在芬兰工作的外国国民的地位仍然相差很远。至少就最近抵达的外国工人而言，这是因为他们的语言不过关，就更加难以理解同就业有关的权利和责任。外国工人往往不太理解芬兰劳动力市场的做法以及目前广泛的集体协议制度。除此以外，外国工人也不一定明白自己有权根据集体协议增加工资。</w:t>
      </w:r>
    </w:p>
    <w:p w:rsidR="00000000" w:rsidRDefault="00000000">
      <w:pPr>
        <w:rPr>
          <w:rFonts w:hint="eastAsia"/>
        </w:rPr>
      </w:pPr>
      <w:r>
        <w:rPr>
          <w:rFonts w:hint="eastAsia"/>
        </w:rPr>
        <w:tab/>
        <w:t>287.  STTK</w:t>
      </w:r>
      <w:r>
        <w:rPr>
          <w:rFonts w:hint="eastAsia"/>
        </w:rPr>
        <w:t>认为，最为重要的是，劳工保护部门加强控制工作时间和劳动保护，特别是在那些越来越多使用外国劳工</w:t>
      </w:r>
      <w:r>
        <w:rPr>
          <w:rFonts w:hint="eastAsia"/>
        </w:rPr>
        <w:t>(</w:t>
      </w:r>
      <w:r>
        <w:rPr>
          <w:rFonts w:hint="eastAsia"/>
        </w:rPr>
        <w:t>例如，来自东欧的工人</w:t>
      </w:r>
      <w:r>
        <w:rPr>
          <w:rFonts w:hint="eastAsia"/>
        </w:rPr>
        <w:t>)</w:t>
      </w:r>
      <w:r>
        <w:rPr>
          <w:rFonts w:hint="eastAsia"/>
        </w:rPr>
        <w:t>的部门</w:t>
      </w:r>
      <w:r>
        <w:rPr>
          <w:rFonts w:hint="eastAsia"/>
        </w:rPr>
        <w:t>(</w:t>
      </w:r>
      <w:r>
        <w:rPr>
          <w:rFonts w:hint="eastAsia"/>
        </w:rPr>
        <w:t>例如，在医疗部门的护士</w:t>
      </w:r>
      <w:r>
        <w:rPr>
          <w:rFonts w:hint="eastAsia"/>
        </w:rPr>
        <w:t>)</w:t>
      </w:r>
      <w:r>
        <w:rPr>
          <w:rFonts w:hint="eastAsia"/>
        </w:rPr>
        <w:t>。</w:t>
      </w:r>
    </w:p>
    <w:p w:rsidR="00000000" w:rsidRDefault="00000000">
      <w:pPr>
        <w:rPr>
          <w:rFonts w:hint="eastAsia"/>
        </w:rPr>
      </w:pPr>
      <w:r>
        <w:rPr>
          <w:rFonts w:hint="eastAsia"/>
        </w:rPr>
        <w:tab/>
        <w:t xml:space="preserve">288.  </w:t>
      </w:r>
      <w:r>
        <w:rPr>
          <w:rFonts w:hint="eastAsia"/>
        </w:rPr>
        <w:t>工会首先保护其芬兰成员和外国成员的权利。这就意味着监测有关劳动条件规定的执行情况，特别是在报酬方面。工会还监测有关班次的公平分配以及关于平等对待工人的其他法律规定的执行情况，并且在没有正当理由中断雇佣关系的情况下为工会会员出面干预。</w:t>
      </w:r>
    </w:p>
    <w:p w:rsidR="00000000" w:rsidRDefault="00000000">
      <w:pPr>
        <w:rPr>
          <w:rFonts w:hint="eastAsia"/>
        </w:rPr>
      </w:pPr>
      <w:r>
        <w:rPr>
          <w:rFonts w:hint="eastAsia"/>
        </w:rPr>
        <w:tab/>
        <w:t xml:space="preserve">289.  </w:t>
      </w:r>
      <w:r>
        <w:rPr>
          <w:rFonts w:hint="eastAsia"/>
        </w:rPr>
        <w:t>少数人事务监测员认为，工作上的不平等现象在很大程度上涉及在招聘工人方面的歧视。他曾经收到一些有关歧视性空缺通知的报告。在</w:t>
      </w:r>
      <w:r>
        <w:rPr>
          <w:rFonts w:hint="eastAsia"/>
        </w:rPr>
        <w:t>2003</w:t>
      </w:r>
      <w:r>
        <w:rPr>
          <w:rFonts w:hint="eastAsia"/>
        </w:rPr>
        <w:t>年，少数人事务监察员曾经要求劳工部建议职业介绍部门，从劳工部的网页上撤下规定了明显无理要求的空缺通知。</w:t>
      </w:r>
    </w:p>
    <w:p w:rsidR="00000000" w:rsidRDefault="00000000">
      <w:pPr>
        <w:rPr>
          <w:rFonts w:hint="eastAsia"/>
        </w:rPr>
      </w:pPr>
      <w:r>
        <w:rPr>
          <w:rFonts w:hint="eastAsia"/>
        </w:rPr>
        <w:tab/>
        <w:t xml:space="preserve">290.  </w:t>
      </w:r>
      <w:r>
        <w:rPr>
          <w:rFonts w:hint="eastAsia"/>
        </w:rPr>
        <w:t>年龄歧视。委员会对芬兰《宪法》禁止年龄歧视表示满意。</w:t>
      </w:r>
    </w:p>
    <w:p w:rsidR="00000000" w:rsidRDefault="00000000">
      <w:pPr>
        <w:widowControl w:val="0"/>
        <w:rPr>
          <w:rFonts w:hint="eastAsia"/>
        </w:rPr>
      </w:pPr>
      <w:r>
        <w:rPr>
          <w:rFonts w:hint="eastAsia"/>
        </w:rPr>
        <w:tab/>
        <w:t xml:space="preserve">291.  </w:t>
      </w:r>
      <w:r>
        <w:rPr>
          <w:rFonts w:hint="eastAsia"/>
        </w:rPr>
        <w:t>禁止年龄歧视也已纳入其他法律。根据《雇佣合同法》第二章第二节第一分节、《地方政府公务员法》第十二节第一分节以及《国家公务员法》第十一节的规定，雇主不得在没有可以接受理由的情况下以年龄等因素为由区别对待其雇员。《禁止歧视法》第六节也载有关于禁止歧视的规定。</w:t>
      </w:r>
    </w:p>
    <w:p w:rsidR="00000000" w:rsidRDefault="00000000">
      <w:pPr>
        <w:rPr>
          <w:rFonts w:hint="eastAsia"/>
        </w:rPr>
      </w:pPr>
      <w:r>
        <w:rPr>
          <w:rFonts w:hint="eastAsia"/>
        </w:rPr>
        <w:tab/>
        <w:t xml:space="preserve">292.  </w:t>
      </w:r>
      <w:r>
        <w:rPr>
          <w:rFonts w:hint="eastAsia"/>
        </w:rPr>
        <w:t>尽管有法律的大力保护，还是有人不愿意雇佣老年人。这可能是因为人们普遍认为，老年人的职业技能落后；由于老年人学习新事物的能力较差，雇主提供的培训无法充分发挥作用。人们还普遍认为，老年职工不会象其年轻同事那样灵活执行其雇主的任务。</w:t>
      </w:r>
    </w:p>
    <w:p w:rsidR="00000000" w:rsidRDefault="00000000">
      <w:pPr>
        <w:rPr>
          <w:rFonts w:hint="eastAsia"/>
        </w:rPr>
      </w:pPr>
      <w:r>
        <w:rPr>
          <w:rFonts w:hint="eastAsia"/>
        </w:rPr>
        <w:tab/>
        <w:t xml:space="preserve">293.  </w:t>
      </w:r>
      <w:r>
        <w:rPr>
          <w:rFonts w:hint="eastAsia"/>
        </w:rPr>
        <w:t>特别是在过去几年中，另外一个争论点是</w:t>
      </w:r>
      <w:r>
        <w:rPr>
          <w:rFonts w:hint="eastAsia"/>
        </w:rPr>
        <w:t>30</w:t>
      </w:r>
      <w:r>
        <w:rPr>
          <w:rFonts w:hint="eastAsia"/>
        </w:rPr>
        <w:t>岁以下的年轻妇女；这些妇女通常充当临时工。公认的事实是，同相同年龄的男子相比，拥有长期雇用合同的妇女的比例较小；其主要原因在于性别。从雇主的角度来看，就财务和组织方面的影响而言，</w:t>
      </w:r>
      <w:r>
        <w:rPr>
          <w:rFonts w:hint="eastAsia"/>
        </w:rPr>
        <w:t>105</w:t>
      </w:r>
      <w:r>
        <w:rPr>
          <w:rFonts w:hint="eastAsia"/>
        </w:rPr>
        <w:t>个工作日的产假要比</w:t>
      </w:r>
      <w:r>
        <w:rPr>
          <w:rFonts w:hint="eastAsia"/>
        </w:rPr>
        <w:t>30</w:t>
      </w:r>
      <w:r>
        <w:rPr>
          <w:rFonts w:hint="eastAsia"/>
        </w:rPr>
        <w:t>个工作日的陪产假的负担沉重得多。</w:t>
      </w:r>
    </w:p>
    <w:p w:rsidR="00000000" w:rsidRDefault="00000000">
      <w:pPr>
        <w:rPr>
          <w:rFonts w:hint="eastAsia"/>
        </w:rPr>
      </w:pPr>
      <w:r>
        <w:rPr>
          <w:rFonts w:hint="eastAsia"/>
        </w:rPr>
        <w:tab/>
        <w:t xml:space="preserve">294.  </w:t>
      </w:r>
      <w:r>
        <w:rPr>
          <w:rFonts w:hint="eastAsia"/>
        </w:rPr>
        <w:t>男女平等。由于计划对《平等法》进行修订，同工同酬的原则将得以加强。男女工资基准将成为平等计划的一部分。将通过家庭政策以及家庭和工作的更好协调作出努力，以便确保不会因为财务或者工作方面的原因而推迟家庭计划。在休完事假以后以灵活的方式返回工作岗位对于妇女是特别重要的。</w:t>
      </w:r>
    </w:p>
    <w:p w:rsidR="00000000" w:rsidRDefault="00000000">
      <w:pPr>
        <w:rPr>
          <w:rFonts w:hint="eastAsia"/>
        </w:rPr>
      </w:pPr>
      <w:r>
        <w:rPr>
          <w:rFonts w:hint="eastAsia"/>
        </w:rPr>
        <w:tab/>
        <w:t xml:space="preserve">295.  </w:t>
      </w:r>
      <w:r>
        <w:rPr>
          <w:rFonts w:hint="eastAsia"/>
        </w:rPr>
        <w:t>全国妇女理事会指出，严重削弱妇女在工作方面地位的一个因素是事假对于雇主造成的开支，因为</w:t>
      </w:r>
      <w:r>
        <w:rPr>
          <w:rFonts w:hint="eastAsia"/>
        </w:rPr>
        <w:t>95%</w:t>
      </w:r>
      <w:r>
        <w:rPr>
          <w:rFonts w:hint="eastAsia"/>
        </w:rPr>
        <w:t>以上的事假是妇女申请的。这种情况往往使得妇女无法获得长期工作，从而影响其职务的晋升。</w:t>
      </w:r>
      <w:r>
        <w:rPr>
          <w:rFonts w:hint="eastAsia"/>
        </w:rPr>
        <w:t>2005</w:t>
      </w:r>
      <w:r>
        <w:rPr>
          <w:rFonts w:hint="eastAsia"/>
        </w:rPr>
        <w:t>年</w:t>
      </w:r>
      <w:r>
        <w:rPr>
          <w:rFonts w:hint="eastAsia"/>
        </w:rPr>
        <w:t>3</w:t>
      </w:r>
      <w:r>
        <w:rPr>
          <w:rFonts w:hint="eastAsia"/>
        </w:rPr>
        <w:t>月</w:t>
      </w:r>
      <w:r>
        <w:rPr>
          <w:rFonts w:hint="eastAsia"/>
        </w:rPr>
        <w:t>1</w:t>
      </w:r>
      <w:r>
        <w:rPr>
          <w:rFonts w:hint="eastAsia"/>
        </w:rPr>
        <w:t>日，劳工部成立了一个工作组以审议有关协调工作和家庭的法律规定。这个工作组致力于在</w:t>
      </w:r>
      <w:r>
        <w:rPr>
          <w:rFonts w:hint="eastAsia"/>
        </w:rPr>
        <w:t>2005</w:t>
      </w:r>
      <w:r>
        <w:rPr>
          <w:rFonts w:hint="eastAsia"/>
        </w:rPr>
        <w:t>年</w:t>
      </w:r>
      <w:r>
        <w:rPr>
          <w:rFonts w:hint="eastAsia"/>
        </w:rPr>
        <w:t>10</w:t>
      </w:r>
      <w:r>
        <w:rPr>
          <w:rFonts w:hint="eastAsia"/>
        </w:rPr>
        <w:t>月</w:t>
      </w:r>
      <w:r>
        <w:rPr>
          <w:rFonts w:hint="eastAsia"/>
        </w:rPr>
        <w:t>31</w:t>
      </w:r>
      <w:r>
        <w:rPr>
          <w:rFonts w:hint="eastAsia"/>
        </w:rPr>
        <w:t>日之前就法律修订问题提出一项建议，目的是要使得父亲和母亲都能更好地行使其有关享受事假的权利，同时让男子和妇女更加平均地分配事假。</w:t>
      </w:r>
    </w:p>
    <w:p w:rsidR="00000000" w:rsidRDefault="00000000">
      <w:pPr>
        <w:rPr>
          <w:rFonts w:hint="eastAsia"/>
        </w:rPr>
      </w:pPr>
      <w:r>
        <w:rPr>
          <w:rFonts w:hint="eastAsia"/>
        </w:rPr>
        <w:tab/>
        <w:t xml:space="preserve">296.  </w:t>
      </w:r>
      <w:r>
        <w:rPr>
          <w:rFonts w:hint="eastAsia"/>
        </w:rPr>
        <w:t>社会事务和卫生部所启动的一个项目致力于通过影响工作地点和社会对于家庭和儿童的态度来支持协调工作和家庭。所谓的</w:t>
      </w:r>
      <w:r>
        <w:rPr>
          <w:rFonts w:hint="eastAsia"/>
        </w:rPr>
        <w:t>VETO</w:t>
      </w:r>
      <w:r>
        <w:rPr>
          <w:rFonts w:hint="eastAsia"/>
        </w:rPr>
        <w:t>方案分析了事假同劳动力市场中的地位之间的联系。</w:t>
      </w:r>
    </w:p>
    <w:p w:rsidR="00000000" w:rsidRDefault="00000000">
      <w:pPr>
        <w:rPr>
          <w:rFonts w:hint="eastAsia"/>
        </w:rPr>
      </w:pPr>
      <w:r>
        <w:rPr>
          <w:rFonts w:hint="eastAsia"/>
        </w:rPr>
        <w:tab/>
        <w:t xml:space="preserve">297.  </w:t>
      </w:r>
      <w:r>
        <w:rPr>
          <w:rFonts w:hint="eastAsia"/>
        </w:rPr>
        <w:t>通过发展公共托儿所和家庭咨询诊所来支持移民家庭的融合。</w:t>
      </w:r>
    </w:p>
    <w:p w:rsidR="00000000" w:rsidRDefault="00000000">
      <w:pPr>
        <w:rPr>
          <w:rFonts w:hint="eastAsia"/>
        </w:rPr>
      </w:pPr>
      <w:r>
        <w:rPr>
          <w:rFonts w:hint="eastAsia"/>
        </w:rPr>
        <w:tab/>
        <w:t xml:space="preserve">298.  </w:t>
      </w:r>
      <w:r>
        <w:rPr>
          <w:rFonts w:hint="eastAsia"/>
        </w:rPr>
        <w:t>在女工占多数的部门事假开支的负担更为沉重，因此可能会削弱妇女在劳动力市场中的地位。这是因为男子和妇女被安排在不同的工作部门，对于事假的使用是不平均的，因为大多数事假是妇使用的。事假对于雇主造成的开支已经经过调整，因此支付产假期间全额工资的雇主有权领取相当于病假补贴金额的补偿。雇主可以就每年雇员享受事假而引起的开支申请补偿。从</w:t>
      </w:r>
      <w:r>
        <w:rPr>
          <w:rFonts w:hint="eastAsia"/>
        </w:rPr>
        <w:t>2003</w:t>
      </w:r>
      <w:r>
        <w:rPr>
          <w:rFonts w:hint="eastAsia"/>
        </w:rPr>
        <w:t>年</w:t>
      </w:r>
      <w:r>
        <w:rPr>
          <w:rFonts w:hint="eastAsia"/>
        </w:rPr>
        <w:t>1</w:t>
      </w:r>
      <w:r>
        <w:rPr>
          <w:rFonts w:hint="eastAsia"/>
        </w:rPr>
        <w:t>月开始就已经简化了这种申请补偿的程序，从那时以来，越来越多的雇主申请了补偿。一个工作组在</w:t>
      </w:r>
      <w:r>
        <w:rPr>
          <w:rFonts w:hint="eastAsia"/>
        </w:rPr>
        <w:t>2004</w:t>
      </w:r>
      <w:r>
        <w:rPr>
          <w:rFonts w:hint="eastAsia"/>
        </w:rPr>
        <w:t>年春天审议了调整事假开支的一些替换办法。已经作出了一项决定，从</w:t>
      </w:r>
      <w:r>
        <w:rPr>
          <w:rFonts w:hint="eastAsia"/>
        </w:rPr>
        <w:t>2005</w:t>
      </w:r>
      <w:r>
        <w:rPr>
          <w:rFonts w:hint="eastAsia"/>
        </w:rPr>
        <w:t>年</w:t>
      </w:r>
      <w:r>
        <w:rPr>
          <w:rFonts w:hint="eastAsia"/>
        </w:rPr>
        <w:t>1</w:t>
      </w:r>
      <w:r>
        <w:rPr>
          <w:rFonts w:hint="eastAsia"/>
        </w:rPr>
        <w:t>月开始，大大提高为每年假期的开支而支付的补偿金额。然而，社会事务和卫生部还在继续开展有关调整的工作。</w:t>
      </w:r>
    </w:p>
    <w:p w:rsidR="00000000" w:rsidRDefault="00000000">
      <w:pPr>
        <w:rPr>
          <w:rFonts w:hint="eastAsia"/>
        </w:rPr>
      </w:pPr>
      <w:r>
        <w:rPr>
          <w:rFonts w:hint="eastAsia"/>
        </w:rPr>
        <w:tab/>
        <w:t xml:space="preserve">299.  </w:t>
      </w:r>
      <w:r>
        <w:rPr>
          <w:rFonts w:hint="eastAsia"/>
        </w:rPr>
        <w:t>育儿假和育儿津贴的制度的适用范围已经扩大到了其子女为综合学校一年级或者二年级学生的家长。由于学生在早上和下午的活动量增加，这就使得儿童在没有成人陪同的情况下独自活动的时间减少，从而就更加容易协调工作或者学习以及家庭生活。</w:t>
      </w:r>
    </w:p>
    <w:p w:rsidR="00000000" w:rsidRDefault="00000000">
      <w:pPr>
        <w:spacing w:after="320"/>
        <w:rPr>
          <w:rFonts w:hint="eastAsia"/>
        </w:rPr>
      </w:pPr>
      <w:r>
        <w:rPr>
          <w:rFonts w:hint="eastAsia"/>
        </w:rPr>
        <w:tab/>
        <w:t xml:space="preserve">300.  </w:t>
      </w:r>
      <w:r>
        <w:rPr>
          <w:rFonts w:hint="eastAsia"/>
        </w:rPr>
        <w:t>平等气压计。在</w:t>
      </w:r>
      <w:r>
        <w:rPr>
          <w:rFonts w:hint="eastAsia"/>
        </w:rPr>
        <w:t>1998</w:t>
      </w:r>
      <w:r>
        <w:rPr>
          <w:rFonts w:hint="eastAsia"/>
        </w:rPr>
        <w:t>年、</w:t>
      </w:r>
      <w:r>
        <w:rPr>
          <w:rFonts w:hint="eastAsia"/>
        </w:rPr>
        <w:t>2001</w:t>
      </w:r>
      <w:r>
        <w:rPr>
          <w:rFonts w:hint="eastAsia"/>
        </w:rPr>
        <w:t>年以及</w:t>
      </w:r>
      <w:r>
        <w:rPr>
          <w:rFonts w:hint="eastAsia"/>
        </w:rPr>
        <w:t>2004</w:t>
      </w:r>
      <w:r>
        <w:rPr>
          <w:rFonts w:hint="eastAsia"/>
        </w:rPr>
        <w:t>年，在芬兰出版了平等气压计，根据男子和妇女的态度和遭遇以及在不同时期不同部门对这种情况的接受程度评估了男女之间的工作和权利的分配情况。</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 xml:space="preserve"> 3</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b</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为特殊群体</w:t>
      </w:r>
      <w:r>
        <w:rPr>
          <w:rFonts w:ascii="Time New Roman" w:eastAsia="SimHei" w:hAnsi="Time New Roman" w:hint="eastAsia"/>
          <w:u w:val="none"/>
        </w:rPr>
        <w:t>(</w:t>
      </w:r>
      <w:r>
        <w:rPr>
          <w:rFonts w:ascii="Time New Roman" w:eastAsia="SimHei" w:hAnsi="Time New Roman" w:hint="eastAsia"/>
          <w:u w:val="none"/>
        </w:rPr>
        <w:t>例如，移民、罗姆人以及萨米人</w:t>
      </w:r>
      <w:r>
        <w:rPr>
          <w:rFonts w:ascii="Time New Roman" w:eastAsia="SimHei" w:hAnsi="Time New Roman" w:hint="eastAsia"/>
          <w:u w:val="none"/>
        </w:rPr>
        <w:t>)</w:t>
      </w:r>
      <w:r>
        <w:rPr>
          <w:rFonts w:ascii="Time New Roman" w:eastAsia="SimHei" w:hAnsi="Time New Roman"/>
          <w:u w:val="none"/>
        </w:rPr>
        <w:br/>
      </w:r>
      <w:r>
        <w:rPr>
          <w:rFonts w:ascii="Time New Roman" w:eastAsia="SimHei" w:hAnsi="Time New Roman" w:hint="eastAsia"/>
          <w:u w:val="none"/>
        </w:rPr>
        <w:t>提供的职业指导和培训</w:t>
      </w:r>
    </w:p>
    <w:p w:rsidR="00000000" w:rsidRDefault="00000000">
      <w:pPr>
        <w:rPr>
          <w:rFonts w:hint="eastAsia"/>
        </w:rPr>
      </w:pPr>
      <w:r>
        <w:rPr>
          <w:rFonts w:hint="eastAsia"/>
        </w:rPr>
        <w:tab/>
        <w:t xml:space="preserve">301.  </w:t>
      </w:r>
      <w:r>
        <w:rPr>
          <w:rFonts w:hint="eastAsia"/>
        </w:rPr>
        <w:t>在有关委员会建议</w:t>
      </w:r>
      <w:r>
        <w:rPr>
          <w:rFonts w:hint="eastAsia"/>
        </w:rPr>
        <w:t>E.26</w:t>
      </w:r>
      <w:r>
        <w:rPr>
          <w:rFonts w:hint="eastAsia"/>
        </w:rPr>
        <w:t>的答复中已经说明了专门为罗姆人提供的培训。</w:t>
      </w:r>
    </w:p>
    <w:p w:rsidR="00000000" w:rsidRDefault="00000000">
      <w:pPr>
        <w:rPr>
          <w:rFonts w:hint="eastAsia"/>
        </w:rPr>
      </w:pPr>
      <w:r>
        <w:rPr>
          <w:rFonts w:hint="eastAsia"/>
        </w:rPr>
        <w:tab/>
        <w:t xml:space="preserve">302.  </w:t>
      </w:r>
      <w:r>
        <w:rPr>
          <w:rFonts w:hint="eastAsia"/>
        </w:rPr>
        <w:t>移民。在</w:t>
      </w:r>
      <w:r>
        <w:rPr>
          <w:rFonts w:hint="eastAsia"/>
        </w:rPr>
        <w:t>2004</w:t>
      </w:r>
      <w:r>
        <w:rPr>
          <w:rFonts w:hint="eastAsia"/>
        </w:rPr>
        <w:t>年，共有</w:t>
      </w:r>
      <w:r>
        <w:rPr>
          <w:rFonts w:hint="eastAsia"/>
        </w:rPr>
        <w:t>19,800</w:t>
      </w:r>
      <w:r>
        <w:rPr>
          <w:rFonts w:hint="eastAsia"/>
        </w:rPr>
        <w:t>名移民来到芬兰，其中</w:t>
      </w:r>
      <w:r>
        <w:rPr>
          <w:rFonts w:hint="eastAsia"/>
        </w:rPr>
        <w:t>6,900</w:t>
      </w:r>
      <w:r>
        <w:rPr>
          <w:rFonts w:hint="eastAsia"/>
        </w:rPr>
        <w:t>人是欧盟其他成员国的国民，</w:t>
      </w:r>
      <w:r>
        <w:rPr>
          <w:rFonts w:hint="eastAsia"/>
        </w:rPr>
        <w:t>12,900</w:t>
      </w:r>
      <w:r>
        <w:rPr>
          <w:rFonts w:hint="eastAsia"/>
        </w:rPr>
        <w:t>人来自非欧盟国家。来自其他北欧国家的人数为</w:t>
      </w:r>
      <w:r>
        <w:rPr>
          <w:rFonts w:hint="eastAsia"/>
        </w:rPr>
        <w:t>4,600</w:t>
      </w:r>
      <w:r>
        <w:rPr>
          <w:rFonts w:hint="eastAsia"/>
        </w:rPr>
        <w:t>。芬兰移居国外的人数为</w:t>
      </w:r>
      <w:r>
        <w:rPr>
          <w:rFonts w:hint="eastAsia"/>
        </w:rPr>
        <w:t>13,500</w:t>
      </w:r>
      <w:r>
        <w:rPr>
          <w:rFonts w:hint="eastAsia"/>
        </w:rPr>
        <w:t>。这样，这一年的净移民为</w:t>
      </w:r>
      <w:r>
        <w:rPr>
          <w:rFonts w:hint="eastAsia"/>
        </w:rPr>
        <w:t>6,300</w:t>
      </w:r>
      <w:r>
        <w:rPr>
          <w:rFonts w:hint="eastAsia"/>
        </w:rPr>
        <w:t>人。到</w:t>
      </w:r>
      <w:r>
        <w:rPr>
          <w:rFonts w:hint="eastAsia"/>
        </w:rPr>
        <w:t>2004</w:t>
      </w:r>
      <w:r>
        <w:rPr>
          <w:rFonts w:hint="eastAsia"/>
        </w:rPr>
        <w:t>年年底，共有</w:t>
      </w:r>
      <w:r>
        <w:rPr>
          <w:rFonts w:hint="eastAsia"/>
        </w:rPr>
        <w:t>108,300</w:t>
      </w:r>
      <w:r>
        <w:rPr>
          <w:rFonts w:hint="eastAsia"/>
        </w:rPr>
        <w:t>外国国民在芬兰永久居留。大约占全国人口</w:t>
      </w:r>
      <w:r>
        <w:rPr>
          <w:rFonts w:hint="eastAsia"/>
        </w:rPr>
        <w:t>2%</w:t>
      </w:r>
      <w:r>
        <w:rPr>
          <w:rFonts w:hint="eastAsia"/>
        </w:rPr>
        <w:t>。其中大约</w:t>
      </w:r>
      <w:r>
        <w:rPr>
          <w:rFonts w:hint="eastAsia"/>
        </w:rPr>
        <w:t>47%(50,100)</w:t>
      </w:r>
      <w:r>
        <w:rPr>
          <w:rFonts w:hint="eastAsia"/>
        </w:rPr>
        <w:t>已经进入劳动力市场</w:t>
      </w:r>
      <w:r>
        <w:rPr>
          <w:rFonts w:hint="eastAsia"/>
        </w:rPr>
        <w:t>)</w:t>
      </w:r>
      <w:r>
        <w:rPr>
          <w:rFonts w:hint="eastAsia"/>
        </w:rPr>
        <w:t>。</w:t>
      </w:r>
    </w:p>
    <w:p w:rsidR="00000000" w:rsidRDefault="00000000">
      <w:pPr>
        <w:rPr>
          <w:rFonts w:hint="eastAsia"/>
        </w:rPr>
      </w:pPr>
      <w:r>
        <w:rPr>
          <w:rFonts w:hint="eastAsia"/>
        </w:rPr>
        <w:tab/>
        <w:t xml:space="preserve">303.  </w:t>
      </w:r>
      <w:r>
        <w:rPr>
          <w:rFonts w:hint="eastAsia"/>
        </w:rPr>
        <w:t>在</w:t>
      </w:r>
      <w:r>
        <w:rPr>
          <w:rFonts w:hint="eastAsia"/>
        </w:rPr>
        <w:t>2004</w:t>
      </w:r>
      <w:r>
        <w:rPr>
          <w:rFonts w:hint="eastAsia"/>
        </w:rPr>
        <w:t>年，总共有</w:t>
      </w:r>
      <w:r>
        <w:rPr>
          <w:rFonts w:hint="eastAsia"/>
        </w:rPr>
        <w:t>37,600</w:t>
      </w:r>
      <w:r>
        <w:rPr>
          <w:rFonts w:hint="eastAsia"/>
        </w:rPr>
        <w:t>名外国求职者在职业介绍机构登记，其中</w:t>
      </w:r>
      <w:r>
        <w:rPr>
          <w:rFonts w:hint="eastAsia"/>
        </w:rPr>
        <w:t>16,800</w:t>
      </w:r>
      <w:r>
        <w:rPr>
          <w:rFonts w:hint="eastAsia"/>
        </w:rPr>
        <w:t>人是男子，</w:t>
      </w:r>
      <w:r>
        <w:rPr>
          <w:rFonts w:hint="eastAsia"/>
        </w:rPr>
        <w:t>20,800</w:t>
      </w:r>
      <w:r>
        <w:rPr>
          <w:rFonts w:hint="eastAsia"/>
        </w:rPr>
        <w:t>人是妇女。这些人的平均失业时间为</w:t>
      </w:r>
      <w:r>
        <w:rPr>
          <w:rFonts w:hint="eastAsia"/>
        </w:rPr>
        <w:t>15</w:t>
      </w:r>
      <w:r>
        <w:rPr>
          <w:rFonts w:hint="eastAsia"/>
        </w:rPr>
        <w:t>周，男子为</w:t>
      </w:r>
      <w:r>
        <w:rPr>
          <w:rFonts w:hint="eastAsia"/>
        </w:rPr>
        <w:t>17</w:t>
      </w:r>
      <w:r>
        <w:rPr>
          <w:rFonts w:hint="eastAsia"/>
        </w:rPr>
        <w:t>周，妇女为</w:t>
      </w:r>
      <w:r>
        <w:rPr>
          <w:rFonts w:hint="eastAsia"/>
        </w:rPr>
        <w:t>14</w:t>
      </w:r>
      <w:r>
        <w:rPr>
          <w:rFonts w:hint="eastAsia"/>
        </w:rPr>
        <w:t>周。</w:t>
      </w:r>
    </w:p>
    <w:p w:rsidR="00000000" w:rsidRDefault="00000000">
      <w:pPr>
        <w:spacing w:after="240"/>
        <w:rPr>
          <w:rFonts w:hint="eastAsia"/>
        </w:rPr>
      </w:pPr>
      <w:r>
        <w:rPr>
          <w:rFonts w:hint="eastAsia"/>
        </w:rPr>
        <w:tab/>
        <w:t xml:space="preserve">304.  </w:t>
      </w:r>
      <w:r>
        <w:rPr>
          <w:rFonts w:hint="eastAsia"/>
        </w:rPr>
        <w:t>已经找到工作或者已经参加培训的外国人数如下：</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9</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已经就业或者已经参加培训的外国人</w:t>
      </w:r>
    </w:p>
    <w:tbl>
      <w:tblPr>
        <w:tblW w:w="0" w:type="auto"/>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78"/>
        <w:gridCol w:w="2695"/>
      </w:tblGrid>
      <w:tr w:rsidR="00000000">
        <w:tblPrEx>
          <w:tblCellMar>
            <w:top w:w="0" w:type="dxa"/>
            <w:bottom w:w="0" w:type="dxa"/>
          </w:tblCellMar>
        </w:tblPrEx>
        <w:tc>
          <w:tcPr>
            <w:tcW w:w="4578" w:type="dxa"/>
            <w:tcBorders>
              <w:bottom w:val="nil"/>
            </w:tcBorders>
          </w:tcPr>
          <w:p w:rsidR="00000000" w:rsidRDefault="00000000">
            <w:pPr>
              <w:pStyle w:val="a2"/>
              <w:spacing w:before="40"/>
              <w:ind w:left="170"/>
              <w:rPr>
                <w:rFonts w:hint="eastAsia"/>
              </w:rPr>
            </w:pPr>
            <w:r>
              <w:rPr>
                <w:rFonts w:hint="eastAsia"/>
              </w:rPr>
              <w:t>在公开的劳动力市场就业者</w:t>
            </w:r>
          </w:p>
        </w:tc>
        <w:tc>
          <w:tcPr>
            <w:tcW w:w="2695" w:type="dxa"/>
            <w:tcBorders>
              <w:bottom w:val="nil"/>
            </w:tcBorders>
          </w:tcPr>
          <w:p w:rsidR="00000000" w:rsidRDefault="00000000">
            <w:pPr>
              <w:pStyle w:val="a2"/>
              <w:spacing w:before="40"/>
              <w:ind w:right="964"/>
              <w:jc w:val="right"/>
              <w:rPr>
                <w:rFonts w:hint="eastAsia"/>
              </w:rPr>
            </w:pPr>
            <w:r>
              <w:rPr>
                <w:rFonts w:hint="eastAsia"/>
              </w:rPr>
              <w:t>12 700</w:t>
            </w:r>
          </w:p>
        </w:tc>
      </w:tr>
      <w:tr w:rsidR="00000000">
        <w:tblPrEx>
          <w:tblCellMar>
            <w:top w:w="0" w:type="dxa"/>
            <w:bottom w:w="0" w:type="dxa"/>
          </w:tblCellMar>
        </w:tblPrEx>
        <w:tc>
          <w:tcPr>
            <w:tcW w:w="4578" w:type="dxa"/>
            <w:tcBorders>
              <w:top w:val="nil"/>
              <w:bottom w:val="nil"/>
            </w:tcBorders>
          </w:tcPr>
          <w:p w:rsidR="00000000" w:rsidRDefault="00000000">
            <w:pPr>
              <w:pStyle w:val="a2"/>
              <w:ind w:left="170"/>
              <w:rPr>
                <w:rFonts w:hint="eastAsia"/>
              </w:rPr>
            </w:pPr>
            <w:r>
              <w:rPr>
                <w:rFonts w:hint="eastAsia"/>
              </w:rPr>
              <w:t>在资助措施帮助下就业者</w:t>
            </w:r>
          </w:p>
        </w:tc>
        <w:tc>
          <w:tcPr>
            <w:tcW w:w="2695" w:type="dxa"/>
            <w:tcBorders>
              <w:top w:val="nil"/>
              <w:bottom w:val="nil"/>
            </w:tcBorders>
          </w:tcPr>
          <w:p w:rsidR="00000000" w:rsidRDefault="00000000">
            <w:pPr>
              <w:pStyle w:val="a2"/>
              <w:ind w:right="964"/>
              <w:jc w:val="right"/>
              <w:rPr>
                <w:rFonts w:hint="eastAsia"/>
              </w:rPr>
            </w:pPr>
            <w:r>
              <w:rPr>
                <w:rFonts w:hint="eastAsia"/>
              </w:rPr>
              <w:t>10 900</w:t>
            </w:r>
          </w:p>
        </w:tc>
      </w:tr>
      <w:tr w:rsidR="00000000">
        <w:tblPrEx>
          <w:tblCellMar>
            <w:top w:w="0" w:type="dxa"/>
            <w:bottom w:w="0" w:type="dxa"/>
          </w:tblCellMar>
        </w:tblPrEx>
        <w:tc>
          <w:tcPr>
            <w:tcW w:w="4578" w:type="dxa"/>
            <w:tcBorders>
              <w:top w:val="nil"/>
              <w:bottom w:val="nil"/>
            </w:tcBorders>
          </w:tcPr>
          <w:p w:rsidR="00000000" w:rsidRDefault="00000000">
            <w:pPr>
              <w:pStyle w:val="a2"/>
              <w:ind w:left="170"/>
              <w:rPr>
                <w:rFonts w:hint="eastAsia"/>
              </w:rPr>
            </w:pPr>
            <w:r>
              <w:rPr>
                <w:rFonts w:hint="eastAsia"/>
              </w:rPr>
              <w:t>已经参加劳动力市场培训者</w:t>
            </w:r>
          </w:p>
        </w:tc>
        <w:tc>
          <w:tcPr>
            <w:tcW w:w="2695" w:type="dxa"/>
            <w:tcBorders>
              <w:top w:val="nil"/>
              <w:bottom w:val="nil"/>
            </w:tcBorders>
          </w:tcPr>
          <w:p w:rsidR="00000000" w:rsidRDefault="00000000">
            <w:pPr>
              <w:pStyle w:val="a2"/>
              <w:ind w:right="964"/>
              <w:jc w:val="right"/>
              <w:rPr>
                <w:rFonts w:hint="eastAsia"/>
              </w:rPr>
            </w:pPr>
            <w:r>
              <w:rPr>
                <w:rFonts w:hint="eastAsia"/>
              </w:rPr>
              <w:t>14 000</w:t>
            </w:r>
          </w:p>
        </w:tc>
      </w:tr>
      <w:tr w:rsidR="00000000">
        <w:tblPrEx>
          <w:tblCellMar>
            <w:top w:w="0" w:type="dxa"/>
            <w:bottom w:w="0" w:type="dxa"/>
          </w:tblCellMar>
        </w:tblPrEx>
        <w:tc>
          <w:tcPr>
            <w:tcW w:w="4578" w:type="dxa"/>
            <w:tcBorders>
              <w:top w:val="nil"/>
            </w:tcBorders>
          </w:tcPr>
          <w:p w:rsidR="00000000" w:rsidRDefault="00000000">
            <w:pPr>
              <w:pStyle w:val="a2"/>
              <w:spacing w:after="40"/>
              <w:ind w:left="170"/>
              <w:rPr>
                <w:rFonts w:hint="eastAsia"/>
              </w:rPr>
            </w:pPr>
            <w:r>
              <w:rPr>
                <w:rFonts w:hint="eastAsia"/>
              </w:rPr>
              <w:t>已经参加其他类型培训者</w:t>
            </w:r>
          </w:p>
        </w:tc>
        <w:tc>
          <w:tcPr>
            <w:tcW w:w="2695" w:type="dxa"/>
            <w:tcBorders>
              <w:top w:val="nil"/>
            </w:tcBorders>
          </w:tcPr>
          <w:p w:rsidR="00000000" w:rsidRDefault="00000000">
            <w:pPr>
              <w:pStyle w:val="a2"/>
              <w:spacing w:after="40"/>
              <w:ind w:right="964"/>
              <w:jc w:val="right"/>
              <w:rPr>
                <w:rFonts w:hint="eastAsia"/>
              </w:rPr>
            </w:pPr>
            <w:r>
              <w:rPr>
                <w:rFonts w:hint="eastAsia"/>
              </w:rPr>
              <w:t>2 200</w:t>
            </w:r>
          </w:p>
        </w:tc>
      </w:tr>
    </w:tbl>
    <w:p w:rsidR="00000000" w:rsidRDefault="00000000">
      <w:pPr>
        <w:rPr>
          <w:rFonts w:hint="eastAsia"/>
        </w:rPr>
      </w:pPr>
    </w:p>
    <w:p w:rsidR="00000000" w:rsidRDefault="00000000">
      <w:pPr>
        <w:rPr>
          <w:rFonts w:hint="eastAsia"/>
        </w:rPr>
      </w:pPr>
      <w:r>
        <w:rPr>
          <w:rFonts w:hint="eastAsia"/>
        </w:rPr>
        <w:tab/>
        <w:t xml:space="preserve">305.  </w:t>
      </w:r>
      <w:r>
        <w:rPr>
          <w:rFonts w:hint="eastAsia"/>
        </w:rPr>
        <w:t>每个月的月尾的外国求职者的平均人数为</w:t>
      </w:r>
      <w:r>
        <w:rPr>
          <w:rFonts w:hint="eastAsia"/>
        </w:rPr>
        <w:t>27,500,</w:t>
      </w:r>
      <w:r>
        <w:rPr>
          <w:rFonts w:hint="eastAsia"/>
        </w:rPr>
        <w:t>其中</w:t>
      </w:r>
      <w:r>
        <w:rPr>
          <w:rFonts w:hint="eastAsia"/>
        </w:rPr>
        <w:t>14,400</w:t>
      </w:r>
      <w:r>
        <w:rPr>
          <w:rFonts w:hint="eastAsia"/>
        </w:rPr>
        <w:t>人是失业者。从国籍上来分，最大的求职者群体来自俄罗斯和爱沙尼亚，他们大约共占所有外国求职者的</w:t>
      </w:r>
      <w:r>
        <w:rPr>
          <w:rFonts w:hint="eastAsia"/>
        </w:rPr>
        <w:t>43%</w:t>
      </w:r>
      <w:r>
        <w:rPr>
          <w:rFonts w:hint="eastAsia"/>
        </w:rPr>
        <w:t>；以下就是伊拉克、伊朗和索马里的国民以及来自前南斯拉夫共和国、土耳其、越南和瑞典的移民。</w:t>
      </w:r>
    </w:p>
    <w:p w:rsidR="00000000" w:rsidRDefault="00000000">
      <w:pPr>
        <w:rPr>
          <w:rFonts w:hint="eastAsia"/>
        </w:rPr>
      </w:pPr>
      <w:r>
        <w:rPr>
          <w:rFonts w:hint="eastAsia"/>
        </w:rPr>
        <w:tab/>
        <w:t xml:space="preserve">306.  </w:t>
      </w:r>
      <w:r>
        <w:rPr>
          <w:rFonts w:hint="eastAsia"/>
        </w:rPr>
        <w:t>据估计，到</w:t>
      </w:r>
      <w:r>
        <w:rPr>
          <w:rFonts w:hint="eastAsia"/>
        </w:rPr>
        <w:t>2004</w:t>
      </w:r>
      <w:r>
        <w:rPr>
          <w:rFonts w:hint="eastAsia"/>
        </w:rPr>
        <w:t>年年底，移民的失业率大约为</w:t>
      </w:r>
      <w:r>
        <w:rPr>
          <w:rFonts w:hint="eastAsia"/>
        </w:rPr>
        <w:t>28%</w:t>
      </w:r>
      <w:r>
        <w:rPr>
          <w:rFonts w:hint="eastAsia"/>
        </w:rPr>
        <w:t>。在芬兰南部，移民主要是在服务、建筑、运输以及医疗卫生等部门就业。</w:t>
      </w:r>
    </w:p>
    <w:p w:rsidR="00000000" w:rsidRDefault="00000000">
      <w:pPr>
        <w:rPr>
          <w:rFonts w:hint="eastAsia"/>
        </w:rPr>
      </w:pPr>
      <w:r>
        <w:rPr>
          <w:rFonts w:hint="eastAsia"/>
        </w:rPr>
        <w:tab/>
        <w:t xml:space="preserve">307.  </w:t>
      </w:r>
      <w:r>
        <w:rPr>
          <w:rFonts w:hint="eastAsia"/>
        </w:rPr>
        <w:t>在</w:t>
      </w:r>
      <w:r>
        <w:rPr>
          <w:rFonts w:hint="eastAsia"/>
        </w:rPr>
        <w:t>2004</w:t>
      </w:r>
      <w:r>
        <w:rPr>
          <w:rFonts w:hint="eastAsia"/>
        </w:rPr>
        <w:t>年，共有</w:t>
      </w:r>
      <w:r>
        <w:rPr>
          <w:rFonts w:hint="eastAsia"/>
        </w:rPr>
        <w:t>10,354</w:t>
      </w:r>
      <w:r>
        <w:rPr>
          <w:rFonts w:hint="eastAsia"/>
        </w:rPr>
        <w:t>名移民参加了劳动力市场的培训。在初级培训方面，在</w:t>
      </w:r>
      <w:r>
        <w:rPr>
          <w:rFonts w:hint="eastAsia"/>
        </w:rPr>
        <w:t>2002</w:t>
      </w:r>
      <w:r>
        <w:rPr>
          <w:rFonts w:hint="eastAsia"/>
        </w:rPr>
        <w:t>年和</w:t>
      </w:r>
      <w:r>
        <w:rPr>
          <w:rFonts w:hint="eastAsia"/>
        </w:rPr>
        <w:t>2003</w:t>
      </w:r>
      <w:r>
        <w:rPr>
          <w:rFonts w:hint="eastAsia"/>
        </w:rPr>
        <w:t>年，专门为移民提供的培训比例大约为三分之一。从</w:t>
      </w:r>
      <w:r>
        <w:rPr>
          <w:rFonts w:hint="eastAsia"/>
        </w:rPr>
        <w:t>2000</w:t>
      </w:r>
      <w:r>
        <w:rPr>
          <w:rFonts w:hint="eastAsia"/>
        </w:rPr>
        <w:t>年以来，移民的比例逐年增加。根据国家教育委员会的一项建议，劳工管理部门向有权制定融合计划的移民以及处于相似地位的失业求职者提供了大约相当于</w:t>
      </w:r>
      <w:r>
        <w:rPr>
          <w:rFonts w:hint="eastAsia"/>
        </w:rPr>
        <w:t>40</w:t>
      </w:r>
      <w:r>
        <w:rPr>
          <w:rFonts w:hint="eastAsia"/>
        </w:rPr>
        <w:t>个学分的移民培训。一旦移民通过这种培训，即可参加芬兰语的中级水平考试。在</w:t>
      </w:r>
      <w:r>
        <w:rPr>
          <w:rFonts w:hint="eastAsia"/>
        </w:rPr>
        <w:t>2004</w:t>
      </w:r>
      <w:r>
        <w:rPr>
          <w:rFonts w:hint="eastAsia"/>
        </w:rPr>
        <w:t>年，共有</w:t>
      </w:r>
      <w:r>
        <w:rPr>
          <w:rFonts w:hint="eastAsia"/>
        </w:rPr>
        <w:t>740</w:t>
      </w:r>
      <w:r>
        <w:rPr>
          <w:rFonts w:hint="eastAsia"/>
        </w:rPr>
        <w:t>个移民参加了考试，其中</w:t>
      </w:r>
      <w:r>
        <w:rPr>
          <w:rFonts w:hint="eastAsia"/>
        </w:rPr>
        <w:t>84%</w:t>
      </w:r>
      <w:r>
        <w:rPr>
          <w:rFonts w:hint="eastAsia"/>
        </w:rPr>
        <w:t>的人达到了中级水平。</w:t>
      </w:r>
    </w:p>
    <w:p w:rsidR="00000000" w:rsidRDefault="00000000">
      <w:pPr>
        <w:spacing w:after="320"/>
        <w:rPr>
          <w:rFonts w:hint="eastAsia"/>
        </w:rPr>
      </w:pPr>
      <w:r>
        <w:rPr>
          <w:rFonts w:hint="eastAsia"/>
        </w:rPr>
        <w:tab/>
        <w:t xml:space="preserve">308.  </w:t>
      </w:r>
      <w:r>
        <w:rPr>
          <w:rFonts w:hint="eastAsia"/>
        </w:rPr>
        <w:t>纳入融合计划的启动措施对于那些参加进入公开劳动力市场计划的移民有明显的帮助。</w:t>
      </w:r>
    </w:p>
    <w:p w:rsidR="00000000" w:rsidRDefault="00000000">
      <w:pPr>
        <w:pStyle w:val="Heading3"/>
        <w:spacing w:after="40"/>
        <w:rPr>
          <w:rFonts w:ascii="Time New Roman" w:eastAsia="SimHei" w:hAnsi="Time New Roman"/>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10</w:t>
      </w:r>
      <w:r>
        <w:rPr>
          <w:rFonts w:ascii="Time New Roman" w:eastAsia="SimHei" w:hAnsi="Time New Roman" w:hint="eastAsia"/>
          <w:sz w:val="22"/>
          <w:u w:val="none"/>
        </w:rPr>
        <w:t>.</w:t>
      </w:r>
    </w:p>
    <w:p w:rsidR="00000000" w:rsidRDefault="00000000">
      <w:pPr>
        <w:pStyle w:val="Heading3"/>
        <w:spacing w:after="180" w:line="288" w:lineRule="auto"/>
        <w:rPr>
          <w:rFonts w:ascii="Time New Roman" w:eastAsia="SimHei" w:hAnsi="Time New Roman" w:hint="eastAsia"/>
          <w:sz w:val="22"/>
          <w:u w:val="none"/>
        </w:rPr>
      </w:pPr>
      <w:r>
        <w:rPr>
          <w:rFonts w:ascii="Time New Roman" w:eastAsia="SimHei" w:hAnsi="Time New Roman" w:hint="eastAsia"/>
          <w:sz w:val="22"/>
          <w:u w:val="none"/>
        </w:rPr>
        <w:t>在</w:t>
      </w:r>
      <w:r>
        <w:rPr>
          <w:rFonts w:ascii="Time New Roman" w:eastAsia="SimHei" w:hAnsi="Time New Roman" w:hint="eastAsia"/>
          <w:b/>
          <w:sz w:val="22"/>
          <w:u w:val="none"/>
        </w:rPr>
        <w:t>2000</w:t>
      </w:r>
      <w:r>
        <w:rPr>
          <w:rFonts w:ascii="Time New Roman" w:eastAsia="SimHei" w:hAnsi="Time New Roman" w:hint="eastAsia"/>
          <w:sz w:val="22"/>
          <w:u w:val="none"/>
        </w:rPr>
        <w:t>年至</w:t>
      </w:r>
      <w:r>
        <w:rPr>
          <w:rFonts w:ascii="Time New Roman" w:eastAsia="SimHei" w:hAnsi="Time New Roman" w:hint="eastAsia"/>
          <w:b/>
          <w:sz w:val="22"/>
          <w:u w:val="none"/>
        </w:rPr>
        <w:t>2004</w:t>
      </w:r>
      <w:r>
        <w:rPr>
          <w:rFonts w:ascii="Time New Roman" w:eastAsia="SimHei" w:hAnsi="Time New Roman" w:hint="eastAsia"/>
          <w:sz w:val="22"/>
          <w:u w:val="none"/>
        </w:rPr>
        <w:t>年期间有权领取融合津贴的移民及其进入</w:t>
      </w:r>
      <w:r>
        <w:rPr>
          <w:rFonts w:ascii="Time New Roman" w:eastAsia="SimHei" w:hAnsi="Time New Roman"/>
          <w:sz w:val="22"/>
          <w:u w:val="none"/>
        </w:rPr>
        <w:br/>
      </w:r>
      <w:r>
        <w:rPr>
          <w:rFonts w:ascii="Time New Roman" w:eastAsia="SimHei" w:hAnsi="Time New Roman" w:hint="eastAsia"/>
          <w:sz w:val="22"/>
          <w:u w:val="none"/>
        </w:rPr>
        <w:t>劳动力市场的措施和在公开的劳动力市场就业情况</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6"/>
        <w:gridCol w:w="1302"/>
        <w:gridCol w:w="1190"/>
        <w:gridCol w:w="1231"/>
        <w:gridCol w:w="1302"/>
        <w:gridCol w:w="1212"/>
      </w:tblGrid>
      <w:tr w:rsidR="00000000">
        <w:tblPrEx>
          <w:tblCellMar>
            <w:top w:w="0" w:type="dxa"/>
            <w:bottom w:w="0" w:type="dxa"/>
          </w:tblCellMar>
        </w:tblPrEx>
        <w:tc>
          <w:tcPr>
            <w:tcW w:w="3136" w:type="dxa"/>
          </w:tcPr>
          <w:p w:rsidR="00000000" w:rsidRDefault="00000000">
            <w:pPr>
              <w:pStyle w:val="a2"/>
              <w:spacing w:before="40" w:after="40"/>
              <w:jc w:val="center"/>
              <w:rPr>
                <w:rFonts w:hint="eastAsia"/>
                <w:snapToGrid/>
              </w:rPr>
            </w:pPr>
            <w:r>
              <w:rPr>
                <w:rFonts w:hint="eastAsia"/>
                <w:snapToGrid/>
              </w:rPr>
              <w:t>年</w:t>
            </w:r>
            <w:r>
              <w:rPr>
                <w:rFonts w:hint="eastAsia"/>
                <w:snapToGrid/>
              </w:rPr>
              <w:t xml:space="preserve">  </w:t>
            </w:r>
            <w:r>
              <w:rPr>
                <w:rFonts w:hint="eastAsia"/>
                <w:snapToGrid/>
              </w:rPr>
              <w:t>份</w:t>
            </w:r>
          </w:p>
        </w:tc>
        <w:tc>
          <w:tcPr>
            <w:tcW w:w="1302" w:type="dxa"/>
          </w:tcPr>
          <w:p w:rsidR="00000000" w:rsidRDefault="00000000">
            <w:pPr>
              <w:pStyle w:val="a2"/>
              <w:spacing w:before="40" w:after="40"/>
              <w:jc w:val="center"/>
              <w:rPr>
                <w:rFonts w:hint="eastAsia"/>
                <w:snapToGrid/>
              </w:rPr>
            </w:pPr>
            <w:r>
              <w:rPr>
                <w:rFonts w:hint="eastAsia"/>
                <w:snapToGrid/>
              </w:rPr>
              <w:t>2000</w:t>
            </w:r>
          </w:p>
        </w:tc>
        <w:tc>
          <w:tcPr>
            <w:tcW w:w="1190" w:type="dxa"/>
          </w:tcPr>
          <w:p w:rsidR="00000000" w:rsidRDefault="00000000">
            <w:pPr>
              <w:pStyle w:val="a2"/>
              <w:spacing w:before="40" w:after="40"/>
              <w:jc w:val="center"/>
              <w:rPr>
                <w:rFonts w:hint="eastAsia"/>
                <w:snapToGrid/>
              </w:rPr>
            </w:pPr>
            <w:r>
              <w:rPr>
                <w:rFonts w:hint="eastAsia"/>
                <w:snapToGrid/>
              </w:rPr>
              <w:t>2001</w:t>
            </w:r>
          </w:p>
        </w:tc>
        <w:tc>
          <w:tcPr>
            <w:tcW w:w="1231" w:type="dxa"/>
          </w:tcPr>
          <w:p w:rsidR="00000000" w:rsidRDefault="00000000">
            <w:pPr>
              <w:pStyle w:val="a2"/>
              <w:spacing w:before="40" w:after="40"/>
              <w:jc w:val="center"/>
              <w:rPr>
                <w:rFonts w:hint="eastAsia"/>
                <w:snapToGrid/>
              </w:rPr>
            </w:pPr>
            <w:r>
              <w:rPr>
                <w:rFonts w:hint="eastAsia"/>
                <w:snapToGrid/>
              </w:rPr>
              <w:t>2002</w:t>
            </w:r>
          </w:p>
        </w:tc>
        <w:tc>
          <w:tcPr>
            <w:tcW w:w="1302" w:type="dxa"/>
          </w:tcPr>
          <w:p w:rsidR="00000000" w:rsidRDefault="00000000">
            <w:pPr>
              <w:pStyle w:val="a2"/>
              <w:spacing w:before="40" w:after="40"/>
              <w:jc w:val="center"/>
              <w:rPr>
                <w:rFonts w:hint="eastAsia"/>
                <w:snapToGrid/>
              </w:rPr>
            </w:pPr>
            <w:r>
              <w:rPr>
                <w:rFonts w:hint="eastAsia"/>
                <w:snapToGrid/>
              </w:rPr>
              <w:t>2003</w:t>
            </w:r>
          </w:p>
        </w:tc>
        <w:tc>
          <w:tcPr>
            <w:tcW w:w="1212" w:type="dxa"/>
          </w:tcPr>
          <w:p w:rsidR="00000000" w:rsidRDefault="00000000">
            <w:pPr>
              <w:pStyle w:val="a2"/>
              <w:spacing w:before="40" w:after="40"/>
              <w:jc w:val="center"/>
              <w:rPr>
                <w:rFonts w:hint="eastAsia"/>
                <w:snapToGrid/>
              </w:rPr>
            </w:pPr>
            <w:r>
              <w:rPr>
                <w:rFonts w:hint="eastAsia"/>
                <w:snapToGrid/>
              </w:rPr>
              <w:t>2004</w:t>
            </w:r>
          </w:p>
        </w:tc>
      </w:tr>
      <w:tr w:rsidR="00000000">
        <w:tblPrEx>
          <w:tblCellMar>
            <w:top w:w="0" w:type="dxa"/>
            <w:bottom w:w="0" w:type="dxa"/>
          </w:tblCellMar>
        </w:tblPrEx>
        <w:tc>
          <w:tcPr>
            <w:tcW w:w="3136" w:type="dxa"/>
            <w:tcBorders>
              <w:bottom w:val="nil"/>
            </w:tcBorders>
          </w:tcPr>
          <w:p w:rsidR="00000000" w:rsidRDefault="00000000">
            <w:pPr>
              <w:pStyle w:val="a2"/>
              <w:spacing w:before="60"/>
              <w:ind w:left="57" w:right="57"/>
              <w:rPr>
                <w:rFonts w:hint="eastAsia"/>
              </w:rPr>
            </w:pPr>
            <w:r>
              <w:rPr>
                <w:rFonts w:hint="eastAsia"/>
              </w:rPr>
              <w:t>融合津贴</w:t>
            </w:r>
          </w:p>
        </w:tc>
        <w:tc>
          <w:tcPr>
            <w:tcW w:w="1302" w:type="dxa"/>
            <w:tcBorders>
              <w:bottom w:val="nil"/>
            </w:tcBorders>
          </w:tcPr>
          <w:p w:rsidR="00000000" w:rsidRDefault="00000000">
            <w:pPr>
              <w:pStyle w:val="a2"/>
              <w:tabs>
                <w:tab w:val="right" w:pos="1727"/>
                <w:tab w:val="decimal" w:pos="1832"/>
              </w:tabs>
              <w:spacing w:before="60"/>
              <w:ind w:right="357"/>
              <w:jc w:val="right"/>
              <w:rPr>
                <w:rFonts w:ascii="TimesNewRoman" w:hAnsi="TimesNewRoman"/>
              </w:rPr>
            </w:pPr>
            <w:r>
              <w:rPr>
                <w:rFonts w:ascii="TimesNewRoman" w:hAnsi="TimesNewRoman"/>
              </w:rPr>
              <w:t>7 799</w:t>
            </w:r>
          </w:p>
        </w:tc>
        <w:tc>
          <w:tcPr>
            <w:tcW w:w="1190" w:type="dxa"/>
            <w:tcBorders>
              <w:bottom w:val="nil"/>
            </w:tcBorders>
          </w:tcPr>
          <w:p w:rsidR="00000000" w:rsidRDefault="00000000">
            <w:pPr>
              <w:pStyle w:val="a2"/>
              <w:tabs>
                <w:tab w:val="decimal" w:pos="677"/>
                <w:tab w:val="right" w:pos="1897"/>
              </w:tabs>
              <w:spacing w:before="60"/>
              <w:ind w:right="284"/>
              <w:jc w:val="right"/>
              <w:rPr>
                <w:rFonts w:ascii="TimesNewRoman" w:hAnsi="TimesNewRoman"/>
              </w:rPr>
            </w:pPr>
            <w:r>
              <w:rPr>
                <w:rFonts w:ascii="TimesNewRoman" w:hAnsi="TimesNewRoman"/>
              </w:rPr>
              <w:t>8 601</w:t>
            </w:r>
          </w:p>
        </w:tc>
        <w:tc>
          <w:tcPr>
            <w:tcW w:w="1231" w:type="dxa"/>
            <w:tcBorders>
              <w:bottom w:val="nil"/>
            </w:tcBorders>
          </w:tcPr>
          <w:p w:rsidR="00000000" w:rsidRDefault="00000000">
            <w:pPr>
              <w:pStyle w:val="a2"/>
              <w:tabs>
                <w:tab w:val="decimal" w:pos="815"/>
              </w:tabs>
              <w:spacing w:before="60"/>
              <w:ind w:right="332"/>
              <w:rPr>
                <w:rFonts w:ascii="TimesNewRoman" w:hAnsi="TimesNewRoman"/>
              </w:rPr>
            </w:pPr>
            <w:r>
              <w:rPr>
                <w:rFonts w:ascii="TimesNewRoman" w:hAnsi="TimesNewRoman"/>
              </w:rPr>
              <w:t>9 096</w:t>
            </w:r>
          </w:p>
        </w:tc>
        <w:tc>
          <w:tcPr>
            <w:tcW w:w="1302" w:type="dxa"/>
            <w:tcBorders>
              <w:bottom w:val="nil"/>
            </w:tcBorders>
          </w:tcPr>
          <w:p w:rsidR="00000000" w:rsidRDefault="00000000">
            <w:pPr>
              <w:pStyle w:val="a2"/>
              <w:spacing w:before="60"/>
              <w:ind w:right="340"/>
              <w:jc w:val="right"/>
              <w:rPr>
                <w:rFonts w:ascii="TimesNewRoman" w:hAnsi="TimesNewRoman"/>
              </w:rPr>
            </w:pPr>
            <w:r>
              <w:rPr>
                <w:rFonts w:ascii="TimesNewRoman" w:hAnsi="TimesNewRoman"/>
              </w:rPr>
              <w:t>10 000</w:t>
            </w:r>
          </w:p>
        </w:tc>
        <w:tc>
          <w:tcPr>
            <w:tcW w:w="1212" w:type="dxa"/>
            <w:tcBorders>
              <w:bottom w:val="nil"/>
            </w:tcBorders>
          </w:tcPr>
          <w:p w:rsidR="00000000" w:rsidRDefault="00000000">
            <w:pPr>
              <w:pStyle w:val="a2"/>
              <w:tabs>
                <w:tab w:val="decimal" w:pos="815"/>
              </w:tabs>
              <w:spacing w:before="60"/>
              <w:ind w:right="227"/>
              <w:rPr>
                <w:rFonts w:hint="eastAsia"/>
              </w:rPr>
            </w:pPr>
            <w:r>
              <w:rPr>
                <w:rFonts w:hint="eastAsia"/>
              </w:rPr>
              <w:t>10 445</w:t>
            </w:r>
          </w:p>
        </w:tc>
      </w:tr>
      <w:tr w:rsidR="00000000">
        <w:tblPrEx>
          <w:tblCellMar>
            <w:top w:w="0" w:type="dxa"/>
            <w:bottom w:w="0" w:type="dxa"/>
          </w:tblCellMar>
        </w:tblPrEx>
        <w:tc>
          <w:tcPr>
            <w:tcW w:w="3136" w:type="dxa"/>
            <w:tcBorders>
              <w:top w:val="nil"/>
              <w:bottom w:val="nil"/>
            </w:tcBorders>
          </w:tcPr>
          <w:p w:rsidR="00000000" w:rsidRDefault="00000000">
            <w:pPr>
              <w:pStyle w:val="a2"/>
              <w:ind w:left="57" w:right="57"/>
              <w:rPr>
                <w:rFonts w:hint="eastAsia"/>
              </w:rPr>
            </w:pPr>
            <w:r>
              <w:rPr>
                <w:rFonts w:hint="eastAsia"/>
              </w:rPr>
              <w:t>初步融合计划</w:t>
            </w:r>
          </w:p>
        </w:tc>
        <w:tc>
          <w:tcPr>
            <w:tcW w:w="1302" w:type="dxa"/>
            <w:tcBorders>
              <w:top w:val="nil"/>
              <w:bottom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3 748</w:t>
            </w:r>
          </w:p>
        </w:tc>
        <w:tc>
          <w:tcPr>
            <w:tcW w:w="1190" w:type="dxa"/>
            <w:tcBorders>
              <w:top w:val="nil"/>
              <w:bottom w:val="nil"/>
            </w:tcBorders>
          </w:tcPr>
          <w:p w:rsidR="00000000" w:rsidRDefault="00000000">
            <w:pPr>
              <w:pStyle w:val="a2"/>
              <w:tabs>
                <w:tab w:val="decimal" w:pos="677"/>
                <w:tab w:val="right" w:pos="1897"/>
              </w:tabs>
              <w:ind w:right="284"/>
              <w:jc w:val="right"/>
              <w:rPr>
                <w:rFonts w:ascii="TimesNewRoman" w:hAnsi="TimesNewRoman"/>
              </w:rPr>
            </w:pPr>
            <w:r>
              <w:rPr>
                <w:rFonts w:ascii="TimesNewRoman" w:hAnsi="TimesNewRoman"/>
              </w:rPr>
              <w:t>5 871</w:t>
            </w:r>
          </w:p>
        </w:tc>
        <w:tc>
          <w:tcPr>
            <w:tcW w:w="1231" w:type="dxa"/>
            <w:tcBorders>
              <w:top w:val="nil"/>
              <w:bottom w:val="nil"/>
            </w:tcBorders>
          </w:tcPr>
          <w:p w:rsidR="00000000" w:rsidRDefault="00000000">
            <w:pPr>
              <w:pStyle w:val="a2"/>
              <w:tabs>
                <w:tab w:val="decimal" w:pos="815"/>
              </w:tabs>
              <w:ind w:right="332"/>
              <w:rPr>
                <w:rFonts w:ascii="TimesNewRoman" w:hAnsi="TimesNewRoman"/>
              </w:rPr>
            </w:pPr>
            <w:r>
              <w:rPr>
                <w:rFonts w:ascii="TimesNewRoman" w:hAnsi="TimesNewRoman"/>
              </w:rPr>
              <w:t>3 807</w:t>
            </w:r>
          </w:p>
        </w:tc>
        <w:tc>
          <w:tcPr>
            <w:tcW w:w="1302" w:type="dxa"/>
            <w:tcBorders>
              <w:top w:val="nil"/>
              <w:bottom w:val="nil"/>
            </w:tcBorders>
          </w:tcPr>
          <w:p w:rsidR="00000000" w:rsidRDefault="00000000">
            <w:pPr>
              <w:pStyle w:val="a2"/>
              <w:ind w:right="340"/>
              <w:jc w:val="right"/>
              <w:rPr>
                <w:rFonts w:ascii="TimesNewRoman" w:hAnsi="TimesNewRoman"/>
              </w:rPr>
            </w:pPr>
            <w:r>
              <w:rPr>
                <w:rFonts w:ascii="TimesNewRoman" w:hAnsi="TimesNewRoman"/>
              </w:rPr>
              <w:t>3 058</w:t>
            </w:r>
          </w:p>
        </w:tc>
        <w:tc>
          <w:tcPr>
            <w:tcW w:w="1212" w:type="dxa"/>
            <w:tcBorders>
              <w:top w:val="nil"/>
              <w:bottom w:val="nil"/>
            </w:tcBorders>
          </w:tcPr>
          <w:p w:rsidR="00000000" w:rsidRDefault="00000000">
            <w:pPr>
              <w:pStyle w:val="a2"/>
              <w:tabs>
                <w:tab w:val="decimal" w:pos="815"/>
              </w:tabs>
              <w:ind w:right="227"/>
              <w:rPr>
                <w:rFonts w:hint="eastAsia"/>
              </w:rPr>
            </w:pPr>
            <w:r>
              <w:rPr>
                <w:rFonts w:hint="eastAsia"/>
              </w:rPr>
              <w:t>3 048</w:t>
            </w:r>
          </w:p>
        </w:tc>
      </w:tr>
      <w:tr w:rsidR="00000000">
        <w:tblPrEx>
          <w:tblCellMar>
            <w:top w:w="0" w:type="dxa"/>
            <w:bottom w:w="0" w:type="dxa"/>
          </w:tblCellMar>
        </w:tblPrEx>
        <w:tc>
          <w:tcPr>
            <w:tcW w:w="3136" w:type="dxa"/>
            <w:tcBorders>
              <w:top w:val="nil"/>
              <w:bottom w:val="nil"/>
            </w:tcBorders>
          </w:tcPr>
          <w:p w:rsidR="00000000" w:rsidRDefault="00000000">
            <w:pPr>
              <w:pStyle w:val="a2"/>
              <w:spacing w:before="60" w:after="60" w:line="240" w:lineRule="exact"/>
              <w:ind w:left="57" w:right="57"/>
              <w:rPr>
                <w:rFonts w:hint="eastAsia"/>
              </w:rPr>
            </w:pPr>
            <w:r>
              <w:rPr>
                <w:rFonts w:hint="eastAsia"/>
              </w:rPr>
              <w:t>劳动力市场措施</w:t>
            </w:r>
            <w:r>
              <w:rPr>
                <w:rFonts w:hint="eastAsia"/>
              </w:rPr>
              <w:t>(</w:t>
            </w:r>
            <w:r>
              <w:rPr>
                <w:rFonts w:hint="eastAsia"/>
              </w:rPr>
              <w:t>总计</w:t>
            </w:r>
            <w:r>
              <w:rPr>
                <w:rFonts w:hint="eastAsia"/>
              </w:rPr>
              <w:t>)</w:t>
            </w:r>
            <w:r>
              <w:rPr>
                <w:rFonts w:hint="eastAsia"/>
              </w:rPr>
              <w:t>，其中包括：</w:t>
            </w:r>
          </w:p>
        </w:tc>
        <w:tc>
          <w:tcPr>
            <w:tcW w:w="1302" w:type="dxa"/>
            <w:tcBorders>
              <w:top w:val="nil"/>
              <w:bottom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5 896</w:t>
            </w:r>
          </w:p>
        </w:tc>
        <w:tc>
          <w:tcPr>
            <w:tcW w:w="1190" w:type="dxa"/>
            <w:tcBorders>
              <w:top w:val="nil"/>
              <w:bottom w:val="nil"/>
            </w:tcBorders>
          </w:tcPr>
          <w:p w:rsidR="00000000" w:rsidRDefault="00000000">
            <w:pPr>
              <w:pStyle w:val="a2"/>
              <w:tabs>
                <w:tab w:val="decimal" w:pos="677"/>
                <w:tab w:val="right" w:pos="1897"/>
              </w:tabs>
              <w:ind w:right="284"/>
              <w:jc w:val="right"/>
              <w:rPr>
                <w:rFonts w:ascii="TimesNewRoman" w:hAnsi="TimesNewRoman"/>
              </w:rPr>
            </w:pPr>
            <w:r>
              <w:rPr>
                <w:rFonts w:ascii="TimesNewRoman" w:hAnsi="TimesNewRoman"/>
              </w:rPr>
              <w:t>6 463</w:t>
            </w:r>
          </w:p>
        </w:tc>
        <w:tc>
          <w:tcPr>
            <w:tcW w:w="1231" w:type="dxa"/>
            <w:tcBorders>
              <w:top w:val="nil"/>
              <w:bottom w:val="nil"/>
            </w:tcBorders>
          </w:tcPr>
          <w:p w:rsidR="00000000" w:rsidRDefault="00000000">
            <w:pPr>
              <w:pStyle w:val="a2"/>
              <w:tabs>
                <w:tab w:val="decimal" w:pos="815"/>
              </w:tabs>
              <w:ind w:right="332"/>
              <w:rPr>
                <w:rFonts w:ascii="TimesNewRoman" w:hAnsi="TimesNewRoman"/>
              </w:rPr>
            </w:pPr>
            <w:r>
              <w:rPr>
                <w:rFonts w:ascii="TimesNewRoman" w:hAnsi="TimesNewRoman"/>
              </w:rPr>
              <w:t>7 152</w:t>
            </w:r>
          </w:p>
        </w:tc>
        <w:tc>
          <w:tcPr>
            <w:tcW w:w="1302" w:type="dxa"/>
            <w:tcBorders>
              <w:top w:val="nil"/>
              <w:bottom w:val="nil"/>
            </w:tcBorders>
          </w:tcPr>
          <w:p w:rsidR="00000000" w:rsidRDefault="00000000">
            <w:pPr>
              <w:pStyle w:val="a2"/>
              <w:ind w:right="340"/>
              <w:jc w:val="right"/>
              <w:rPr>
                <w:rFonts w:ascii="TimesNewRoman" w:hAnsi="TimesNewRoman"/>
              </w:rPr>
            </w:pPr>
            <w:r>
              <w:rPr>
                <w:rFonts w:ascii="TimesNewRoman" w:hAnsi="TimesNewRoman"/>
              </w:rPr>
              <w:t>8 248</w:t>
            </w:r>
          </w:p>
        </w:tc>
        <w:tc>
          <w:tcPr>
            <w:tcW w:w="1212" w:type="dxa"/>
            <w:tcBorders>
              <w:top w:val="nil"/>
              <w:bottom w:val="nil"/>
            </w:tcBorders>
          </w:tcPr>
          <w:p w:rsidR="00000000" w:rsidRDefault="00000000">
            <w:pPr>
              <w:pStyle w:val="a2"/>
              <w:tabs>
                <w:tab w:val="decimal" w:pos="815"/>
              </w:tabs>
              <w:ind w:right="227"/>
              <w:rPr>
                <w:rFonts w:hint="eastAsia"/>
              </w:rPr>
            </w:pPr>
            <w:r>
              <w:rPr>
                <w:rFonts w:hint="eastAsia"/>
              </w:rPr>
              <w:t>8 727</w:t>
            </w:r>
          </w:p>
        </w:tc>
      </w:tr>
      <w:tr w:rsidR="00000000">
        <w:tblPrEx>
          <w:tblCellMar>
            <w:top w:w="0" w:type="dxa"/>
            <w:bottom w:w="0" w:type="dxa"/>
          </w:tblCellMar>
        </w:tblPrEx>
        <w:tc>
          <w:tcPr>
            <w:tcW w:w="3136" w:type="dxa"/>
            <w:tcBorders>
              <w:top w:val="nil"/>
              <w:bottom w:val="nil"/>
            </w:tcBorders>
          </w:tcPr>
          <w:p w:rsidR="00000000" w:rsidRDefault="00000000">
            <w:pPr>
              <w:pStyle w:val="a2"/>
              <w:ind w:left="57" w:right="57"/>
              <w:rPr>
                <w:rFonts w:hint="eastAsia"/>
              </w:rPr>
            </w:pPr>
            <w:r>
              <w:rPr>
                <w:rFonts w:hint="eastAsia"/>
              </w:rPr>
              <w:t xml:space="preserve">  </w:t>
            </w:r>
            <w:r>
              <w:rPr>
                <w:rFonts w:hint="eastAsia"/>
              </w:rPr>
              <w:t>劳动力市场培训</w:t>
            </w:r>
          </w:p>
        </w:tc>
        <w:tc>
          <w:tcPr>
            <w:tcW w:w="1302" w:type="dxa"/>
            <w:tcBorders>
              <w:top w:val="nil"/>
              <w:bottom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5 413</w:t>
            </w:r>
          </w:p>
        </w:tc>
        <w:tc>
          <w:tcPr>
            <w:tcW w:w="1190" w:type="dxa"/>
            <w:tcBorders>
              <w:top w:val="nil"/>
              <w:bottom w:val="nil"/>
            </w:tcBorders>
          </w:tcPr>
          <w:p w:rsidR="00000000" w:rsidRDefault="00000000">
            <w:pPr>
              <w:pStyle w:val="a2"/>
              <w:tabs>
                <w:tab w:val="decimal" w:pos="677"/>
                <w:tab w:val="right" w:pos="1897"/>
              </w:tabs>
              <w:ind w:right="284"/>
              <w:jc w:val="right"/>
              <w:rPr>
                <w:rFonts w:ascii="TimesNewRoman" w:hAnsi="TimesNewRoman"/>
              </w:rPr>
            </w:pPr>
            <w:r>
              <w:rPr>
                <w:rFonts w:ascii="TimesNewRoman" w:hAnsi="TimesNewRoman"/>
              </w:rPr>
              <w:t>5 871</w:t>
            </w:r>
          </w:p>
        </w:tc>
        <w:tc>
          <w:tcPr>
            <w:tcW w:w="1231" w:type="dxa"/>
            <w:tcBorders>
              <w:top w:val="nil"/>
              <w:bottom w:val="nil"/>
            </w:tcBorders>
          </w:tcPr>
          <w:p w:rsidR="00000000" w:rsidRDefault="00000000">
            <w:pPr>
              <w:pStyle w:val="a2"/>
              <w:tabs>
                <w:tab w:val="decimal" w:pos="815"/>
              </w:tabs>
              <w:ind w:right="332"/>
              <w:rPr>
                <w:rFonts w:ascii="TimesNewRoman" w:hAnsi="TimesNewRoman"/>
              </w:rPr>
            </w:pPr>
            <w:r>
              <w:rPr>
                <w:rFonts w:ascii="TimesNewRoman" w:hAnsi="TimesNewRoman"/>
              </w:rPr>
              <w:t>6 610</w:t>
            </w:r>
          </w:p>
        </w:tc>
        <w:tc>
          <w:tcPr>
            <w:tcW w:w="1302" w:type="dxa"/>
            <w:tcBorders>
              <w:top w:val="nil"/>
              <w:bottom w:val="nil"/>
            </w:tcBorders>
          </w:tcPr>
          <w:p w:rsidR="00000000" w:rsidRDefault="00000000">
            <w:pPr>
              <w:pStyle w:val="a2"/>
              <w:ind w:right="340"/>
              <w:jc w:val="right"/>
              <w:rPr>
                <w:rFonts w:ascii="TimesNewRoman" w:hAnsi="TimesNewRoman"/>
              </w:rPr>
            </w:pPr>
            <w:r>
              <w:rPr>
                <w:rFonts w:ascii="TimesNewRoman" w:hAnsi="TimesNewRoman"/>
              </w:rPr>
              <w:t>6 589</w:t>
            </w:r>
          </w:p>
        </w:tc>
        <w:tc>
          <w:tcPr>
            <w:tcW w:w="1212" w:type="dxa"/>
            <w:tcBorders>
              <w:top w:val="nil"/>
              <w:bottom w:val="nil"/>
            </w:tcBorders>
          </w:tcPr>
          <w:p w:rsidR="00000000" w:rsidRDefault="00000000">
            <w:pPr>
              <w:pStyle w:val="a2"/>
              <w:tabs>
                <w:tab w:val="decimal" w:pos="815"/>
              </w:tabs>
              <w:ind w:right="227"/>
              <w:rPr>
                <w:rFonts w:hint="eastAsia"/>
              </w:rPr>
            </w:pPr>
            <w:r>
              <w:rPr>
                <w:rFonts w:hint="eastAsia"/>
              </w:rPr>
              <w:t>7 978</w:t>
            </w:r>
          </w:p>
        </w:tc>
      </w:tr>
      <w:tr w:rsidR="00000000">
        <w:tblPrEx>
          <w:tblCellMar>
            <w:top w:w="0" w:type="dxa"/>
            <w:bottom w:w="0" w:type="dxa"/>
          </w:tblCellMar>
        </w:tblPrEx>
        <w:tc>
          <w:tcPr>
            <w:tcW w:w="3136" w:type="dxa"/>
            <w:tcBorders>
              <w:top w:val="nil"/>
              <w:bottom w:val="nil"/>
            </w:tcBorders>
          </w:tcPr>
          <w:p w:rsidR="00000000" w:rsidRDefault="00000000">
            <w:pPr>
              <w:pStyle w:val="a2"/>
              <w:ind w:left="57" w:right="57"/>
              <w:rPr>
                <w:rFonts w:hint="eastAsia"/>
              </w:rPr>
            </w:pPr>
            <w:r>
              <w:rPr>
                <w:rFonts w:hint="eastAsia"/>
              </w:rPr>
              <w:t xml:space="preserve">  </w:t>
            </w:r>
            <w:r>
              <w:rPr>
                <w:rFonts w:hint="eastAsia"/>
              </w:rPr>
              <w:t>其他类似培训</w:t>
            </w:r>
          </w:p>
        </w:tc>
        <w:tc>
          <w:tcPr>
            <w:tcW w:w="1302" w:type="dxa"/>
            <w:tcBorders>
              <w:top w:val="nil"/>
              <w:bottom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813</w:t>
            </w:r>
          </w:p>
        </w:tc>
        <w:tc>
          <w:tcPr>
            <w:tcW w:w="1190" w:type="dxa"/>
            <w:tcBorders>
              <w:top w:val="nil"/>
              <w:bottom w:val="nil"/>
            </w:tcBorders>
          </w:tcPr>
          <w:p w:rsidR="00000000" w:rsidRDefault="00000000">
            <w:pPr>
              <w:pStyle w:val="a2"/>
              <w:tabs>
                <w:tab w:val="decimal" w:pos="677"/>
                <w:tab w:val="right" w:pos="1897"/>
              </w:tabs>
              <w:ind w:right="284"/>
              <w:jc w:val="right"/>
              <w:rPr>
                <w:rFonts w:ascii="TimesNewRoman" w:hAnsi="TimesNewRoman"/>
              </w:rPr>
            </w:pPr>
            <w:r>
              <w:rPr>
                <w:rFonts w:ascii="TimesNewRoman" w:hAnsi="TimesNewRoman"/>
              </w:rPr>
              <w:t>1 344</w:t>
            </w:r>
          </w:p>
        </w:tc>
        <w:tc>
          <w:tcPr>
            <w:tcW w:w="1231" w:type="dxa"/>
            <w:tcBorders>
              <w:top w:val="nil"/>
              <w:bottom w:val="nil"/>
            </w:tcBorders>
          </w:tcPr>
          <w:p w:rsidR="00000000" w:rsidRDefault="00000000">
            <w:pPr>
              <w:pStyle w:val="a2"/>
              <w:tabs>
                <w:tab w:val="decimal" w:pos="815"/>
              </w:tabs>
              <w:ind w:right="332"/>
              <w:rPr>
                <w:rFonts w:ascii="TimesNewRoman" w:hAnsi="TimesNewRoman"/>
              </w:rPr>
            </w:pPr>
            <w:r>
              <w:rPr>
                <w:rFonts w:ascii="TimesNewRoman" w:hAnsi="TimesNewRoman"/>
              </w:rPr>
              <w:t>1 526</w:t>
            </w:r>
          </w:p>
        </w:tc>
        <w:tc>
          <w:tcPr>
            <w:tcW w:w="1302" w:type="dxa"/>
            <w:tcBorders>
              <w:top w:val="nil"/>
              <w:bottom w:val="nil"/>
            </w:tcBorders>
          </w:tcPr>
          <w:p w:rsidR="00000000" w:rsidRDefault="00000000">
            <w:pPr>
              <w:pStyle w:val="a2"/>
              <w:ind w:right="340"/>
              <w:jc w:val="right"/>
              <w:rPr>
                <w:rFonts w:ascii="TimesNewRoman" w:hAnsi="TimesNewRoman"/>
              </w:rPr>
            </w:pPr>
            <w:r>
              <w:rPr>
                <w:rFonts w:ascii="TimesNewRoman" w:hAnsi="TimesNewRoman"/>
              </w:rPr>
              <w:t>2 522</w:t>
            </w:r>
          </w:p>
        </w:tc>
        <w:tc>
          <w:tcPr>
            <w:tcW w:w="1212" w:type="dxa"/>
            <w:tcBorders>
              <w:top w:val="nil"/>
              <w:bottom w:val="nil"/>
            </w:tcBorders>
          </w:tcPr>
          <w:p w:rsidR="00000000" w:rsidRDefault="00000000">
            <w:pPr>
              <w:pStyle w:val="a2"/>
              <w:tabs>
                <w:tab w:val="decimal" w:pos="815"/>
              </w:tabs>
              <w:ind w:right="227"/>
              <w:rPr>
                <w:rFonts w:hint="eastAsia"/>
              </w:rPr>
            </w:pPr>
            <w:r>
              <w:rPr>
                <w:rFonts w:hint="eastAsia"/>
              </w:rPr>
              <w:t>3 571</w:t>
            </w:r>
          </w:p>
        </w:tc>
      </w:tr>
      <w:tr w:rsidR="00000000">
        <w:tblPrEx>
          <w:tblCellMar>
            <w:top w:w="0" w:type="dxa"/>
            <w:bottom w:w="0" w:type="dxa"/>
          </w:tblCellMar>
        </w:tblPrEx>
        <w:tc>
          <w:tcPr>
            <w:tcW w:w="3136" w:type="dxa"/>
            <w:tcBorders>
              <w:top w:val="nil"/>
              <w:bottom w:val="nil"/>
            </w:tcBorders>
          </w:tcPr>
          <w:p w:rsidR="00000000" w:rsidRDefault="00000000">
            <w:pPr>
              <w:pStyle w:val="a2"/>
              <w:spacing w:before="60" w:after="60" w:line="240" w:lineRule="exact"/>
              <w:ind w:left="57" w:right="57"/>
              <w:rPr>
                <w:rFonts w:hint="eastAsia"/>
              </w:rPr>
            </w:pPr>
            <w:r>
              <w:rPr>
                <w:rFonts w:hint="eastAsia"/>
              </w:rPr>
              <w:t xml:space="preserve">  </w:t>
            </w:r>
            <w:r>
              <w:rPr>
                <w:rFonts w:hint="eastAsia"/>
              </w:rPr>
              <w:t>就业服务措施</w:t>
            </w:r>
            <w:r>
              <w:rPr>
                <w:rFonts w:hint="eastAsia"/>
              </w:rPr>
              <w:t>(</w:t>
            </w:r>
            <w:r>
              <w:rPr>
                <w:rFonts w:hint="eastAsia"/>
              </w:rPr>
              <w:t>培训、康复</w:t>
            </w:r>
            <w:r>
              <w:br/>
            </w:r>
            <w:r>
              <w:rPr>
                <w:rFonts w:hint="eastAsia"/>
              </w:rPr>
              <w:t xml:space="preserve">  </w:t>
            </w:r>
            <w:r>
              <w:rPr>
                <w:rFonts w:hint="eastAsia"/>
              </w:rPr>
              <w:t>和实习</w:t>
            </w:r>
            <w:r>
              <w:rPr>
                <w:rFonts w:hint="eastAsia"/>
              </w:rPr>
              <w:t>)</w:t>
            </w:r>
          </w:p>
        </w:tc>
        <w:tc>
          <w:tcPr>
            <w:tcW w:w="1302" w:type="dxa"/>
            <w:tcBorders>
              <w:top w:val="nil"/>
              <w:bottom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628</w:t>
            </w:r>
          </w:p>
        </w:tc>
        <w:tc>
          <w:tcPr>
            <w:tcW w:w="1190" w:type="dxa"/>
            <w:tcBorders>
              <w:top w:val="nil"/>
              <w:bottom w:val="nil"/>
            </w:tcBorders>
          </w:tcPr>
          <w:p w:rsidR="00000000" w:rsidRDefault="00000000">
            <w:pPr>
              <w:pStyle w:val="a2"/>
              <w:tabs>
                <w:tab w:val="right" w:pos="1897"/>
              </w:tabs>
              <w:ind w:right="284"/>
              <w:jc w:val="right"/>
              <w:rPr>
                <w:rFonts w:ascii="TimesNewRoman" w:hAnsi="TimesNewRoman"/>
              </w:rPr>
            </w:pPr>
            <w:r>
              <w:rPr>
                <w:rFonts w:ascii="TimesNewRoman" w:hAnsi="TimesNewRoman"/>
              </w:rPr>
              <w:t>671</w:t>
            </w:r>
          </w:p>
        </w:tc>
        <w:tc>
          <w:tcPr>
            <w:tcW w:w="1231" w:type="dxa"/>
            <w:tcBorders>
              <w:top w:val="nil"/>
              <w:bottom w:val="nil"/>
            </w:tcBorders>
          </w:tcPr>
          <w:p w:rsidR="00000000" w:rsidRDefault="00000000">
            <w:pPr>
              <w:pStyle w:val="a2"/>
              <w:tabs>
                <w:tab w:val="decimal" w:pos="815"/>
                <w:tab w:val="right" w:pos="1655"/>
              </w:tabs>
              <w:ind w:right="332"/>
              <w:jc w:val="right"/>
              <w:rPr>
                <w:rFonts w:ascii="TimesNewRoman" w:hAnsi="TimesNewRoman"/>
              </w:rPr>
            </w:pPr>
            <w:r>
              <w:rPr>
                <w:rFonts w:ascii="TimesNewRoman" w:hAnsi="TimesNewRoman"/>
              </w:rPr>
              <w:t>712</w:t>
            </w:r>
          </w:p>
        </w:tc>
        <w:tc>
          <w:tcPr>
            <w:tcW w:w="1302" w:type="dxa"/>
            <w:tcBorders>
              <w:top w:val="nil"/>
              <w:bottom w:val="nil"/>
            </w:tcBorders>
          </w:tcPr>
          <w:p w:rsidR="00000000" w:rsidRDefault="00000000">
            <w:pPr>
              <w:pStyle w:val="a2"/>
              <w:tabs>
                <w:tab w:val="decimal" w:pos="1082"/>
              </w:tabs>
              <w:ind w:right="340"/>
              <w:rPr>
                <w:rFonts w:ascii="TimesNewRoman" w:hAnsi="TimesNewRoman"/>
              </w:rPr>
            </w:pPr>
            <w:r>
              <w:rPr>
                <w:rFonts w:ascii="TimesNewRoman" w:hAnsi="TimesNewRoman"/>
              </w:rPr>
              <w:t>617</w:t>
            </w:r>
          </w:p>
        </w:tc>
        <w:tc>
          <w:tcPr>
            <w:tcW w:w="1212" w:type="dxa"/>
            <w:tcBorders>
              <w:top w:val="nil"/>
              <w:bottom w:val="nil"/>
            </w:tcBorders>
          </w:tcPr>
          <w:p w:rsidR="00000000" w:rsidRDefault="00000000">
            <w:pPr>
              <w:pStyle w:val="a2"/>
              <w:tabs>
                <w:tab w:val="decimal" w:pos="815"/>
                <w:tab w:val="decimal" w:pos="1017"/>
              </w:tabs>
              <w:ind w:right="227"/>
              <w:jc w:val="right"/>
              <w:rPr>
                <w:rFonts w:hint="eastAsia"/>
              </w:rPr>
            </w:pPr>
            <w:r>
              <w:rPr>
                <w:rFonts w:hint="eastAsia"/>
              </w:rPr>
              <w:t>416</w:t>
            </w:r>
          </w:p>
        </w:tc>
      </w:tr>
      <w:tr w:rsidR="00000000">
        <w:tblPrEx>
          <w:tblCellMar>
            <w:top w:w="0" w:type="dxa"/>
            <w:bottom w:w="0" w:type="dxa"/>
          </w:tblCellMar>
        </w:tblPrEx>
        <w:tc>
          <w:tcPr>
            <w:tcW w:w="3136" w:type="dxa"/>
            <w:tcBorders>
              <w:top w:val="nil"/>
              <w:bottom w:val="nil"/>
            </w:tcBorders>
          </w:tcPr>
          <w:p w:rsidR="00000000" w:rsidRDefault="00000000">
            <w:pPr>
              <w:pStyle w:val="a2"/>
              <w:ind w:left="57" w:right="57"/>
              <w:rPr>
                <w:rFonts w:hint="eastAsia"/>
              </w:rPr>
            </w:pPr>
            <w:r>
              <w:rPr>
                <w:rFonts w:hint="eastAsia"/>
              </w:rPr>
              <w:t xml:space="preserve">  </w:t>
            </w:r>
            <w:r>
              <w:rPr>
                <w:rFonts w:hint="eastAsia"/>
              </w:rPr>
              <w:t>实习或者初步培训</w:t>
            </w:r>
          </w:p>
        </w:tc>
        <w:tc>
          <w:tcPr>
            <w:tcW w:w="1302" w:type="dxa"/>
            <w:tcBorders>
              <w:top w:val="nil"/>
              <w:bottom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1 038</w:t>
            </w:r>
          </w:p>
        </w:tc>
        <w:tc>
          <w:tcPr>
            <w:tcW w:w="1190" w:type="dxa"/>
            <w:tcBorders>
              <w:top w:val="nil"/>
              <w:bottom w:val="nil"/>
            </w:tcBorders>
          </w:tcPr>
          <w:p w:rsidR="00000000" w:rsidRDefault="00000000">
            <w:pPr>
              <w:pStyle w:val="a2"/>
              <w:tabs>
                <w:tab w:val="decimal" w:pos="677"/>
                <w:tab w:val="right" w:pos="1897"/>
              </w:tabs>
              <w:ind w:right="284"/>
              <w:jc w:val="right"/>
              <w:rPr>
                <w:rFonts w:ascii="TimesNewRoman" w:hAnsi="TimesNewRoman"/>
              </w:rPr>
            </w:pPr>
            <w:r>
              <w:rPr>
                <w:rFonts w:ascii="TimesNewRoman" w:hAnsi="TimesNewRoman"/>
              </w:rPr>
              <w:t>1 185</w:t>
            </w:r>
          </w:p>
        </w:tc>
        <w:tc>
          <w:tcPr>
            <w:tcW w:w="1231" w:type="dxa"/>
            <w:tcBorders>
              <w:top w:val="nil"/>
              <w:bottom w:val="nil"/>
            </w:tcBorders>
          </w:tcPr>
          <w:p w:rsidR="00000000" w:rsidRDefault="00000000">
            <w:pPr>
              <w:pStyle w:val="a2"/>
              <w:tabs>
                <w:tab w:val="decimal" w:pos="815"/>
              </w:tabs>
              <w:ind w:right="332"/>
              <w:rPr>
                <w:rFonts w:ascii="TimesNewRoman" w:hAnsi="TimesNewRoman"/>
              </w:rPr>
            </w:pPr>
            <w:r>
              <w:rPr>
                <w:rFonts w:ascii="TimesNewRoman" w:hAnsi="TimesNewRoman"/>
              </w:rPr>
              <w:t>1 478</w:t>
            </w:r>
          </w:p>
        </w:tc>
        <w:tc>
          <w:tcPr>
            <w:tcW w:w="1302" w:type="dxa"/>
            <w:tcBorders>
              <w:top w:val="nil"/>
              <w:bottom w:val="nil"/>
            </w:tcBorders>
          </w:tcPr>
          <w:p w:rsidR="00000000" w:rsidRDefault="00000000">
            <w:pPr>
              <w:pStyle w:val="a2"/>
              <w:ind w:right="340"/>
              <w:jc w:val="right"/>
              <w:rPr>
                <w:rFonts w:ascii="TimesNewRoman" w:hAnsi="TimesNewRoman"/>
              </w:rPr>
            </w:pPr>
            <w:r>
              <w:rPr>
                <w:rFonts w:ascii="TimesNewRoman" w:hAnsi="TimesNewRoman"/>
              </w:rPr>
              <w:t>1 743</w:t>
            </w:r>
          </w:p>
        </w:tc>
        <w:tc>
          <w:tcPr>
            <w:tcW w:w="1212" w:type="dxa"/>
            <w:tcBorders>
              <w:top w:val="nil"/>
              <w:bottom w:val="nil"/>
            </w:tcBorders>
          </w:tcPr>
          <w:p w:rsidR="00000000" w:rsidRDefault="00000000">
            <w:pPr>
              <w:pStyle w:val="a2"/>
              <w:tabs>
                <w:tab w:val="decimal" w:pos="815"/>
              </w:tabs>
              <w:ind w:right="227"/>
              <w:rPr>
                <w:rFonts w:hint="eastAsia"/>
              </w:rPr>
            </w:pPr>
            <w:r>
              <w:rPr>
                <w:rFonts w:hint="eastAsia"/>
              </w:rPr>
              <w:t>2 166</w:t>
            </w:r>
          </w:p>
        </w:tc>
      </w:tr>
      <w:tr w:rsidR="00000000">
        <w:tblPrEx>
          <w:tblCellMar>
            <w:top w:w="0" w:type="dxa"/>
            <w:bottom w:w="0" w:type="dxa"/>
          </w:tblCellMar>
        </w:tblPrEx>
        <w:tc>
          <w:tcPr>
            <w:tcW w:w="3136" w:type="dxa"/>
            <w:tcBorders>
              <w:top w:val="nil"/>
              <w:bottom w:val="nil"/>
            </w:tcBorders>
          </w:tcPr>
          <w:p w:rsidR="00000000" w:rsidRDefault="00000000">
            <w:pPr>
              <w:pStyle w:val="a2"/>
              <w:ind w:left="57" w:right="57"/>
              <w:rPr>
                <w:rFonts w:hint="eastAsia"/>
              </w:rPr>
            </w:pPr>
            <w:r>
              <w:rPr>
                <w:rFonts w:hint="eastAsia"/>
              </w:rPr>
              <w:t xml:space="preserve">  </w:t>
            </w:r>
            <w:r>
              <w:rPr>
                <w:rFonts w:hint="eastAsia"/>
              </w:rPr>
              <w:t>职业指导或者康复</w:t>
            </w:r>
          </w:p>
        </w:tc>
        <w:tc>
          <w:tcPr>
            <w:tcW w:w="1302" w:type="dxa"/>
            <w:tcBorders>
              <w:top w:val="nil"/>
              <w:bottom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63</w:t>
            </w:r>
          </w:p>
        </w:tc>
        <w:tc>
          <w:tcPr>
            <w:tcW w:w="1190" w:type="dxa"/>
            <w:tcBorders>
              <w:top w:val="nil"/>
              <w:bottom w:val="nil"/>
            </w:tcBorders>
          </w:tcPr>
          <w:p w:rsidR="00000000" w:rsidRDefault="00000000">
            <w:pPr>
              <w:pStyle w:val="a2"/>
              <w:tabs>
                <w:tab w:val="decimal" w:pos="677"/>
                <w:tab w:val="right" w:pos="1897"/>
              </w:tabs>
              <w:ind w:right="284"/>
              <w:jc w:val="right"/>
              <w:rPr>
                <w:rFonts w:ascii="TimesNewRoman" w:hAnsi="TimesNewRoman"/>
              </w:rPr>
            </w:pPr>
            <w:r>
              <w:rPr>
                <w:rFonts w:ascii="TimesNewRoman" w:hAnsi="TimesNewRoman"/>
              </w:rPr>
              <w:t>73</w:t>
            </w:r>
          </w:p>
        </w:tc>
        <w:tc>
          <w:tcPr>
            <w:tcW w:w="1231" w:type="dxa"/>
            <w:tcBorders>
              <w:top w:val="nil"/>
              <w:bottom w:val="nil"/>
            </w:tcBorders>
          </w:tcPr>
          <w:p w:rsidR="00000000" w:rsidRDefault="00000000">
            <w:pPr>
              <w:pStyle w:val="a2"/>
              <w:tabs>
                <w:tab w:val="decimal" w:pos="815"/>
              </w:tabs>
              <w:ind w:right="332"/>
              <w:rPr>
                <w:rFonts w:ascii="TimesNewRoman" w:hAnsi="TimesNewRoman"/>
              </w:rPr>
            </w:pPr>
            <w:r>
              <w:rPr>
                <w:rFonts w:ascii="TimesNewRoman" w:hAnsi="TimesNewRoman"/>
              </w:rPr>
              <w:t>78</w:t>
            </w:r>
          </w:p>
        </w:tc>
        <w:tc>
          <w:tcPr>
            <w:tcW w:w="1302" w:type="dxa"/>
            <w:tcBorders>
              <w:top w:val="nil"/>
              <w:bottom w:val="nil"/>
            </w:tcBorders>
          </w:tcPr>
          <w:p w:rsidR="00000000" w:rsidRDefault="00000000">
            <w:pPr>
              <w:pStyle w:val="a2"/>
              <w:ind w:right="340"/>
              <w:jc w:val="right"/>
              <w:rPr>
                <w:rFonts w:ascii="TimesNewRoman" w:hAnsi="TimesNewRoman"/>
              </w:rPr>
            </w:pPr>
            <w:r>
              <w:rPr>
                <w:rFonts w:ascii="TimesNewRoman" w:hAnsi="TimesNewRoman"/>
              </w:rPr>
              <w:t>54</w:t>
            </w:r>
          </w:p>
        </w:tc>
        <w:tc>
          <w:tcPr>
            <w:tcW w:w="1212" w:type="dxa"/>
            <w:tcBorders>
              <w:top w:val="nil"/>
              <w:bottom w:val="nil"/>
            </w:tcBorders>
          </w:tcPr>
          <w:p w:rsidR="00000000" w:rsidRDefault="00000000">
            <w:pPr>
              <w:pStyle w:val="a2"/>
              <w:ind w:right="227"/>
              <w:jc w:val="right"/>
              <w:rPr>
                <w:rFonts w:hint="eastAsia"/>
              </w:rPr>
            </w:pPr>
            <w:r>
              <w:rPr>
                <w:rFonts w:hint="eastAsia"/>
              </w:rPr>
              <w:t>42</w:t>
            </w:r>
          </w:p>
        </w:tc>
      </w:tr>
      <w:tr w:rsidR="00000000">
        <w:tblPrEx>
          <w:tblCellMar>
            <w:top w:w="0" w:type="dxa"/>
            <w:bottom w:w="0" w:type="dxa"/>
          </w:tblCellMar>
        </w:tblPrEx>
        <w:tc>
          <w:tcPr>
            <w:tcW w:w="3136" w:type="dxa"/>
            <w:tcBorders>
              <w:top w:val="nil"/>
            </w:tcBorders>
          </w:tcPr>
          <w:p w:rsidR="00000000" w:rsidRDefault="00000000">
            <w:pPr>
              <w:pStyle w:val="a2"/>
              <w:spacing w:after="60"/>
              <w:ind w:left="57" w:right="57"/>
              <w:rPr>
                <w:rFonts w:hint="eastAsia"/>
              </w:rPr>
            </w:pPr>
            <w:r>
              <w:rPr>
                <w:rFonts w:hint="eastAsia"/>
              </w:rPr>
              <w:t>在公开的劳动力市场就业</w:t>
            </w:r>
          </w:p>
        </w:tc>
        <w:tc>
          <w:tcPr>
            <w:tcW w:w="1302" w:type="dxa"/>
            <w:tcBorders>
              <w:top w:val="nil"/>
            </w:tcBorders>
          </w:tcPr>
          <w:p w:rsidR="00000000" w:rsidRDefault="00000000">
            <w:pPr>
              <w:pStyle w:val="a2"/>
              <w:tabs>
                <w:tab w:val="right" w:pos="1727"/>
                <w:tab w:val="decimal" w:pos="1832"/>
              </w:tabs>
              <w:ind w:right="357"/>
              <w:jc w:val="right"/>
              <w:rPr>
                <w:rFonts w:ascii="TimesNewRoman" w:hAnsi="TimesNewRoman"/>
              </w:rPr>
            </w:pPr>
            <w:r>
              <w:rPr>
                <w:rFonts w:ascii="TimesNewRoman" w:hAnsi="TimesNewRoman"/>
              </w:rPr>
              <w:t>3 077</w:t>
            </w:r>
          </w:p>
        </w:tc>
        <w:tc>
          <w:tcPr>
            <w:tcW w:w="1190" w:type="dxa"/>
            <w:tcBorders>
              <w:top w:val="nil"/>
            </w:tcBorders>
          </w:tcPr>
          <w:p w:rsidR="00000000" w:rsidRDefault="00000000">
            <w:pPr>
              <w:pStyle w:val="a2"/>
              <w:tabs>
                <w:tab w:val="decimal" w:pos="677"/>
                <w:tab w:val="right" w:pos="1897"/>
              </w:tabs>
              <w:ind w:right="284"/>
              <w:jc w:val="right"/>
              <w:rPr>
                <w:rFonts w:ascii="TimesNewRoman" w:hAnsi="TimesNewRoman"/>
              </w:rPr>
            </w:pPr>
            <w:r>
              <w:rPr>
                <w:rFonts w:ascii="TimesNewRoman" w:hAnsi="TimesNewRoman"/>
              </w:rPr>
              <w:t>3 311</w:t>
            </w:r>
          </w:p>
        </w:tc>
        <w:tc>
          <w:tcPr>
            <w:tcW w:w="1231" w:type="dxa"/>
            <w:tcBorders>
              <w:top w:val="nil"/>
            </w:tcBorders>
          </w:tcPr>
          <w:p w:rsidR="00000000" w:rsidRDefault="00000000">
            <w:pPr>
              <w:pStyle w:val="a2"/>
              <w:tabs>
                <w:tab w:val="decimal" w:pos="815"/>
              </w:tabs>
              <w:ind w:right="332"/>
              <w:rPr>
                <w:rFonts w:ascii="TimesNewRoman" w:hAnsi="TimesNewRoman"/>
              </w:rPr>
            </w:pPr>
            <w:r>
              <w:rPr>
                <w:rFonts w:ascii="TimesNewRoman" w:hAnsi="TimesNewRoman"/>
              </w:rPr>
              <w:t>4 046</w:t>
            </w:r>
          </w:p>
        </w:tc>
        <w:tc>
          <w:tcPr>
            <w:tcW w:w="1302" w:type="dxa"/>
            <w:tcBorders>
              <w:top w:val="nil"/>
            </w:tcBorders>
          </w:tcPr>
          <w:p w:rsidR="00000000" w:rsidRDefault="00000000">
            <w:pPr>
              <w:pStyle w:val="a2"/>
              <w:ind w:right="340"/>
              <w:jc w:val="right"/>
              <w:rPr>
                <w:rFonts w:ascii="TimesNewRoman" w:hAnsi="TimesNewRoman"/>
              </w:rPr>
            </w:pPr>
            <w:r>
              <w:rPr>
                <w:rFonts w:ascii="TimesNewRoman" w:hAnsi="TimesNewRoman"/>
              </w:rPr>
              <w:t>5 033</w:t>
            </w:r>
          </w:p>
        </w:tc>
        <w:tc>
          <w:tcPr>
            <w:tcW w:w="1212" w:type="dxa"/>
            <w:tcBorders>
              <w:top w:val="nil"/>
            </w:tcBorders>
          </w:tcPr>
          <w:p w:rsidR="00000000" w:rsidRDefault="00000000">
            <w:pPr>
              <w:pStyle w:val="a2"/>
              <w:tabs>
                <w:tab w:val="decimal" w:pos="815"/>
              </w:tabs>
              <w:ind w:right="227"/>
              <w:rPr>
                <w:rFonts w:hint="eastAsia"/>
              </w:rPr>
            </w:pPr>
            <w:r>
              <w:rPr>
                <w:rFonts w:hint="eastAsia"/>
              </w:rPr>
              <w:t>5 504</w:t>
            </w:r>
          </w:p>
        </w:tc>
      </w:tr>
    </w:tbl>
    <w:p w:rsidR="00000000" w:rsidRDefault="00000000">
      <w:pPr>
        <w:rPr>
          <w:rFonts w:hint="eastAsia"/>
        </w:rPr>
      </w:pPr>
    </w:p>
    <w:p w:rsidR="00000000" w:rsidRDefault="00000000">
      <w:pPr>
        <w:rPr>
          <w:rFonts w:hint="eastAsia"/>
        </w:rPr>
      </w:pPr>
    </w:p>
    <w:p w:rsidR="00000000" w:rsidRDefault="00000000">
      <w:pPr>
        <w:rPr>
          <w:rFonts w:hint="eastAsia"/>
        </w:rPr>
      </w:pPr>
      <w:r>
        <w:rPr>
          <w:rFonts w:hint="eastAsia"/>
        </w:rPr>
        <w:tab/>
        <w:t xml:space="preserve">309.  </w:t>
      </w:r>
      <w:r>
        <w:rPr>
          <w:rFonts w:hint="eastAsia"/>
        </w:rPr>
        <w:t>由欧洲社会基金会资助的各种项目通过不同类型的培训帮助移民在公开的劳动力市场上寻找工作。例如，</w:t>
      </w:r>
      <w:r>
        <w:t>SPECIMA</w:t>
      </w:r>
      <w:r>
        <w:rPr>
          <w:rFonts w:hint="eastAsia"/>
        </w:rPr>
        <w:t>项目为接受过高等教育的移民提供了补充培训，使他们能够胜任符合其教育水平的工作。与此同时，还满足了某些地区的需要，因为这些地区的某些部门缺乏合格的雇员。还为文化教员和翻译安排了培训。除此以外，由专人带领一起工作的内部培训形式也有所增加。由各种项目提供的全面培训均设有语言班和电脑班。</w:t>
      </w:r>
    </w:p>
    <w:p w:rsidR="00000000" w:rsidRDefault="00000000">
      <w:pPr>
        <w:rPr>
          <w:rFonts w:hint="eastAsia"/>
        </w:rPr>
      </w:pPr>
      <w:r>
        <w:rPr>
          <w:rFonts w:hint="eastAsia"/>
        </w:rPr>
        <w:tab/>
        <w:t xml:space="preserve">310.  </w:t>
      </w:r>
      <w:r>
        <w:rPr>
          <w:rFonts w:hint="eastAsia"/>
        </w:rPr>
        <w:t>芬兰于</w:t>
      </w:r>
      <w:r>
        <w:rPr>
          <w:rFonts w:hint="eastAsia"/>
        </w:rPr>
        <w:t>2001</w:t>
      </w:r>
      <w:r>
        <w:rPr>
          <w:rFonts w:hint="eastAsia"/>
        </w:rPr>
        <w:t>年实施了由欧洲社会基金会资助的</w:t>
      </w:r>
      <w:r>
        <w:t>EQUAL</w:t>
      </w:r>
      <w:r>
        <w:rPr>
          <w:rFonts w:hint="eastAsia"/>
        </w:rPr>
        <w:t>社区行动。由社区行动第一期提供经费的五个项目侧重于防止种族主义和仇外心理。这些项目致力于：授权于移民、帮助移民就业、制定招聘办法、发展工作场所的文化多样性以及制定对于文化问题敏感的教学方法。这些项目的涉及面各有所不同，有些是双方合作，有些是各方伙伴组成网络。除了移民之外，这些项目的优先目标群体和受益人还包括：教员、工作场所、社区伙伴、公司以及政府机构。这些项目的成功之处在于发动了移民和其他人员参加了项目，并且同移民组织进行合作。</w:t>
      </w:r>
    </w:p>
    <w:p w:rsidR="00000000" w:rsidRDefault="00000000">
      <w:pPr>
        <w:rPr>
          <w:rFonts w:hint="eastAsia"/>
        </w:rPr>
      </w:pPr>
      <w:r>
        <w:rPr>
          <w:rFonts w:hint="eastAsia"/>
        </w:rPr>
        <w:tab/>
        <w:t xml:space="preserve">311.  </w:t>
      </w:r>
      <w:r>
        <w:rPr>
          <w:rFonts w:hint="eastAsia"/>
        </w:rPr>
        <w:t>纳入</w:t>
      </w:r>
      <w:r>
        <w:t>EQUAL</w:t>
      </w:r>
      <w:r>
        <w:rPr>
          <w:rFonts w:hint="eastAsia"/>
        </w:rPr>
        <w:t>社区行动第一期的所有移民项目都是名为“一个声音”的主题项目的一部分。而“一个声音”项目又是在有关将文化多样性作为工作场所资源的</w:t>
      </w:r>
      <w:r>
        <w:rPr>
          <w:rFonts w:hint="eastAsia"/>
        </w:rPr>
        <w:t>ETMO</w:t>
      </w:r>
      <w:r>
        <w:rPr>
          <w:rFonts w:hint="eastAsia"/>
        </w:rPr>
        <w:t>项目内执行的。除了上述五个</w:t>
      </w:r>
      <w:r>
        <w:t>EQUAL</w:t>
      </w:r>
      <w:r>
        <w:rPr>
          <w:rFonts w:hint="eastAsia"/>
        </w:rPr>
        <w:t>项目之外，主题合作还包括：侧重于寻求庇护者的项目</w:t>
      </w:r>
      <w:r>
        <w:rPr>
          <w:rFonts w:hint="eastAsia"/>
        </w:rPr>
        <w:t>(</w:t>
      </w:r>
      <w:r>
        <w:rPr>
          <w:rFonts w:hint="eastAsia"/>
        </w:rPr>
        <w:t>显示平等</w:t>
      </w:r>
      <w:r>
        <w:rPr>
          <w:rFonts w:hint="eastAsia"/>
        </w:rPr>
        <w:t>)</w:t>
      </w:r>
      <w:r>
        <w:rPr>
          <w:rFonts w:hint="eastAsia"/>
        </w:rPr>
        <w:t>、有关推动就业措施的项目</w:t>
      </w:r>
      <w:r>
        <w:rPr>
          <w:rFonts w:hint="eastAsia"/>
        </w:rPr>
        <w:t>(</w:t>
      </w:r>
      <w:r>
        <w:t>ABOAVITA)</w:t>
      </w:r>
      <w:r>
        <w:rPr>
          <w:rFonts w:hint="eastAsia"/>
        </w:rPr>
        <w:t>以及在《莱昂纳德·达·芬奇方案》的框架内执行的旨在帮助移民学习语言和融入社会的方案</w:t>
      </w:r>
      <w:r>
        <w:rPr>
          <w:rFonts w:hint="eastAsia"/>
        </w:rPr>
        <w:t>(AITO)</w:t>
      </w:r>
      <w:r>
        <w:rPr>
          <w:rFonts w:hint="eastAsia"/>
        </w:rPr>
        <w:t>。主题合作项目致力于传播在各种项目的框架内制定的良好做法和一般性工作方法，同时还特别注意平等问题。</w:t>
      </w:r>
    </w:p>
    <w:p w:rsidR="00000000" w:rsidRDefault="00000000">
      <w:pPr>
        <w:rPr>
          <w:rFonts w:hint="eastAsia"/>
        </w:rPr>
      </w:pPr>
      <w:r>
        <w:rPr>
          <w:rFonts w:hint="eastAsia"/>
        </w:rPr>
        <w:tab/>
        <w:t xml:space="preserve">312.  </w:t>
      </w:r>
      <w:r>
        <w:rPr>
          <w:rFonts w:hint="eastAsia"/>
        </w:rPr>
        <w:t>从</w:t>
      </w:r>
      <w:r>
        <w:rPr>
          <w:rFonts w:hint="eastAsia"/>
        </w:rPr>
        <w:t>2004</w:t>
      </w:r>
      <w:r>
        <w:rPr>
          <w:rFonts w:hint="eastAsia"/>
        </w:rPr>
        <w:t>年</w:t>
      </w:r>
      <w:r>
        <w:rPr>
          <w:rFonts w:hint="eastAsia"/>
        </w:rPr>
        <w:t>11</w:t>
      </w:r>
      <w:r>
        <w:rPr>
          <w:rFonts w:hint="eastAsia"/>
        </w:rPr>
        <w:t>月开始制定其经费由</w:t>
      </w:r>
      <w:r>
        <w:t>EQUAL</w:t>
      </w:r>
      <w:r>
        <w:rPr>
          <w:rFonts w:hint="eastAsia"/>
        </w:rPr>
        <w:t>行动第二期提供的各种项目。这些项目的执行从</w:t>
      </w:r>
      <w:r>
        <w:rPr>
          <w:rFonts w:hint="eastAsia"/>
        </w:rPr>
        <w:t>2005</w:t>
      </w:r>
      <w:r>
        <w:rPr>
          <w:rFonts w:hint="eastAsia"/>
        </w:rPr>
        <w:t>年</w:t>
      </w:r>
      <w:r>
        <w:rPr>
          <w:rFonts w:hint="eastAsia"/>
        </w:rPr>
        <w:t>5</w:t>
      </w:r>
      <w:r>
        <w:rPr>
          <w:rFonts w:hint="eastAsia"/>
        </w:rPr>
        <w:t>月开始，到</w:t>
      </w:r>
      <w:r>
        <w:rPr>
          <w:rFonts w:hint="eastAsia"/>
        </w:rPr>
        <w:t>2007</w:t>
      </w:r>
      <w:r>
        <w:rPr>
          <w:rFonts w:hint="eastAsia"/>
        </w:rPr>
        <w:t>年为止。为有关防止种族主义和仇外心理的八个项目提供了经费，其中六个项目侧重于移民问题。在这些项目的框架内所采取的措施强调：加强文化多样性、改变态度、提供公共信息、教育与培训以及加强目标群体的文化和就业。移民项目包括了旨在发展工作场所的文化多样性和降低雇主雇佣移民工人最低标准的各种措施。在大多数移民项目中都特别强调了有关增强一般性生活能力和防止社会排斥的各种措施。一个名为“</w:t>
      </w:r>
      <w:r>
        <w:t>Promenio</w:t>
      </w:r>
      <w:r>
        <w:rPr>
          <w:rFonts w:hint="eastAsia"/>
        </w:rPr>
        <w:t>”的项目试图为移民提供培训，使他们以后能够在工作场所帮助其他移民。一个项目考虑到了所有家庭成员，另外一个项目则侧重于移民妇女。由第二阶段资助的项目的优先事项之一是培训。</w:t>
      </w:r>
      <w:r>
        <w:t>MANU</w:t>
      </w:r>
      <w:r>
        <w:rPr>
          <w:rFonts w:hint="eastAsia"/>
        </w:rPr>
        <w:t>项目侧重于通过初步培训改进移民的职业培训、学徒培训以及实际操作考试。另外一个有关目标是要在大众媒体的帮助下影响公众的态度</w:t>
      </w:r>
      <w:r>
        <w:rPr>
          <w:rFonts w:hint="eastAsia"/>
        </w:rPr>
        <w:t>(</w:t>
      </w:r>
      <w:r>
        <w:t>Mundo</w:t>
      </w:r>
      <w:r>
        <w:rPr>
          <w:rFonts w:hint="eastAsia"/>
        </w:rPr>
        <w:t>、</w:t>
      </w:r>
      <w:r>
        <w:t>Monita)</w:t>
      </w:r>
      <w:r>
        <w:rPr>
          <w:rFonts w:hint="eastAsia"/>
        </w:rPr>
        <w:t>。</w:t>
      </w:r>
    </w:p>
    <w:p w:rsidR="00000000" w:rsidRDefault="00000000">
      <w:pPr>
        <w:rPr>
          <w:rFonts w:hint="eastAsia"/>
        </w:rPr>
      </w:pPr>
      <w:r>
        <w:rPr>
          <w:rFonts w:hint="eastAsia"/>
        </w:rPr>
        <w:tab/>
        <w:t xml:space="preserve">313.  </w:t>
      </w:r>
      <w:r>
        <w:rPr>
          <w:rFonts w:hint="eastAsia"/>
        </w:rPr>
        <w:t>应当审议在</w:t>
      </w:r>
      <w:r>
        <w:rPr>
          <w:rFonts w:hint="eastAsia"/>
        </w:rPr>
        <w:t>2001</w:t>
      </w:r>
      <w:r>
        <w:rPr>
          <w:rFonts w:hint="eastAsia"/>
        </w:rPr>
        <w:t>年通过的政府的《反对种族歧视和种族主义行动纲领》，同时应当为执行这项纲领而设立一种可靠的监测体制。在招聘工人方面提倡容忍应当成为政府移民政策的令人信服的一部分，其中包括全面和具体的措施。移民的失业率仍然要比芬兰人高得多。少数群体的成员在工作场所往往面临雇主和其他工人的种族主义态度和偏见。</w:t>
      </w:r>
    </w:p>
    <w:p w:rsidR="00000000" w:rsidRDefault="00000000">
      <w:pPr>
        <w:rPr>
          <w:rFonts w:hint="eastAsia"/>
        </w:rPr>
      </w:pPr>
      <w:r>
        <w:rPr>
          <w:rFonts w:hint="eastAsia"/>
        </w:rPr>
        <w:tab/>
        <w:t xml:space="preserve">314.  </w:t>
      </w:r>
      <w:r>
        <w:rPr>
          <w:rFonts w:hint="eastAsia"/>
        </w:rPr>
        <w:t>少数人事务监察员指出，近年来的一些研究表明，外国人和少数民族成员在芬兰寻找工作仍然非常困难。他认为应当对罗姆人在社会中的地位进行全面评估。罗姆人在社会的各个部门都遇到困难和遭到歧视。应当通过一项全面的方案来解决这些问题。</w:t>
      </w:r>
    </w:p>
    <w:p w:rsidR="00000000" w:rsidRDefault="00000000">
      <w:pPr>
        <w:spacing w:after="320"/>
        <w:rPr>
          <w:rFonts w:hint="eastAsia"/>
        </w:rPr>
      </w:pPr>
      <w:r>
        <w:rPr>
          <w:rFonts w:hint="eastAsia"/>
        </w:rPr>
        <w:tab/>
        <w:t>315.  2005</w:t>
      </w:r>
      <w:r>
        <w:rPr>
          <w:rFonts w:hint="eastAsia"/>
        </w:rPr>
        <w:t>年</w:t>
      </w:r>
      <w:r>
        <w:rPr>
          <w:rFonts w:hint="eastAsia"/>
        </w:rPr>
        <w:t>2</w:t>
      </w:r>
      <w:r>
        <w:rPr>
          <w:rFonts w:hint="eastAsia"/>
        </w:rPr>
        <w:t>月，少数人事务监察员就旨在帮助移民就业的自愿语言培训以及其他的服务和措施的效果向劳工部和社会事务和卫生部发出了一项倡议</w:t>
      </w:r>
      <w:r>
        <w:rPr>
          <w:rFonts w:hint="eastAsia"/>
        </w:rPr>
        <w:t>(35/65/2005TM)</w:t>
      </w:r>
      <w:r>
        <w:rPr>
          <w:rFonts w:hint="eastAsia"/>
        </w:rPr>
        <w:t>。这项倡议提请注意移民在掌握芬兰语或者瑞典语方面的困难和障碍，同时也提请注意阻碍残疾移民参加就业初步培训的因素。例如，为残疾移民提供的培训通常被认为是劳动力市场培训，但是即使初步培训主要侧重于提供有关求职的各种信息，侧重于填写求职申请书以及准备求职面试，失业者在接受初步培训时还是不能进入劳动力市场。然而，残疾移民在求职时特别需要大力支持和咨询。</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3</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c</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不应将区别、排斥或者特惠视为歧视的情况</w:t>
      </w:r>
    </w:p>
    <w:p w:rsidR="00000000" w:rsidRDefault="00000000">
      <w:pPr>
        <w:rPr>
          <w:rFonts w:hint="eastAsia"/>
        </w:rPr>
      </w:pPr>
      <w:r>
        <w:rPr>
          <w:rFonts w:hint="eastAsia"/>
        </w:rPr>
        <w:tab/>
        <w:t xml:space="preserve">316.  </w:t>
      </w:r>
      <w:r>
        <w:rPr>
          <w:rFonts w:hint="eastAsia"/>
        </w:rPr>
        <w:t>根据《雇佣合同法》</w:t>
      </w:r>
      <w:r>
        <w:rPr>
          <w:rFonts w:hint="eastAsia"/>
        </w:rPr>
        <w:t>(55/2001)</w:t>
      </w:r>
      <w:r>
        <w:rPr>
          <w:rFonts w:hint="eastAsia"/>
        </w:rPr>
        <w:t>第二章第</w:t>
      </w:r>
      <w:r>
        <w:rPr>
          <w:rFonts w:hint="eastAsia"/>
        </w:rPr>
        <w:t>2</w:t>
      </w:r>
      <w:r>
        <w:rPr>
          <w:rFonts w:hint="eastAsia"/>
        </w:rPr>
        <w:t>节的规定，雇主必须同等对待雇员。在授予以雇佣为基础的福利时以及在规定雇员的义务时，必须考虑这项要求。只有在雇员的义务和地位方面产生了可以接受的理由时，才能废除有关同等待遇的要求。有关同等待遇和禁止歧视的规定适用于雇员的招聘、实际雇佣以及雇佣关系的宗旨。根据《雇佣合同法》，如果没有适当和正当的理由，不能仅仅因为雇佣合同的期限或者工作时间的长短而使得短期雇佣和临时雇佣的工作条件差于其他类型的雇佣。这项法律的第</w:t>
      </w:r>
      <w:r>
        <w:rPr>
          <w:rFonts w:hint="eastAsia"/>
        </w:rPr>
        <w:t>2</w:t>
      </w:r>
      <w:r>
        <w:rPr>
          <w:rFonts w:hint="eastAsia"/>
        </w:rPr>
        <w:t>节还规定，在涉及歧视的案件中，歧视的定义、处分的禁止以及举证责任由《禁止歧视法》</w:t>
      </w:r>
      <w:r>
        <w:rPr>
          <w:rFonts w:hint="eastAsia"/>
        </w:rPr>
        <w:t>(21/2004)</w:t>
      </w:r>
      <w:r>
        <w:rPr>
          <w:rFonts w:hint="eastAsia"/>
        </w:rPr>
        <w:t>规定。</w:t>
      </w:r>
    </w:p>
    <w:p w:rsidR="00000000" w:rsidRDefault="00000000">
      <w:pPr>
        <w:rPr>
          <w:rFonts w:hint="eastAsia"/>
        </w:rPr>
      </w:pPr>
      <w:r>
        <w:rPr>
          <w:rFonts w:hint="eastAsia"/>
        </w:rPr>
        <w:tab/>
        <w:t xml:space="preserve">317.  </w:t>
      </w:r>
      <w:r>
        <w:rPr>
          <w:rFonts w:hint="eastAsia"/>
        </w:rPr>
        <w:t>根据《禁止歧视法》第</w:t>
      </w:r>
      <w:r>
        <w:rPr>
          <w:rFonts w:hint="eastAsia"/>
        </w:rPr>
        <w:t>7</w:t>
      </w:r>
      <w:r>
        <w:rPr>
          <w:rFonts w:hint="eastAsia"/>
        </w:rPr>
        <w:t>节的规定，以下行为不得视为歧视：</w:t>
      </w:r>
    </w:p>
    <w:p w:rsidR="00000000" w:rsidRDefault="00000000">
      <w:pPr>
        <w:numPr>
          <w:ilvl w:val="0"/>
          <w:numId w:val="86"/>
        </w:numPr>
        <w:rPr>
          <w:rFonts w:hint="eastAsia"/>
        </w:rPr>
      </w:pPr>
      <w:r>
        <w:rPr>
          <w:rFonts w:hint="eastAsia"/>
        </w:rPr>
        <w:t>基于平等计划而且目的在于实施本项法律的程序；</w:t>
      </w:r>
    </w:p>
    <w:p w:rsidR="00000000" w:rsidRDefault="00000000">
      <w:pPr>
        <w:numPr>
          <w:ilvl w:val="0"/>
          <w:numId w:val="86"/>
        </w:numPr>
        <w:rPr>
          <w:rFonts w:hint="eastAsia"/>
        </w:rPr>
      </w:pPr>
      <w:r>
        <w:rPr>
          <w:rFonts w:hint="eastAsia"/>
        </w:rPr>
        <w:t>由于第</w:t>
      </w:r>
      <w:r>
        <w:rPr>
          <w:rFonts w:hint="eastAsia"/>
        </w:rPr>
        <w:t>6(1)</w:t>
      </w:r>
      <w:r>
        <w:rPr>
          <w:rFonts w:hint="eastAsia"/>
        </w:rPr>
        <w:t>节所指的歧视行为，根据一种真正的限制性的意见，就某类职业活动以及这类活动的开展而规定的区别待遇；</w:t>
      </w:r>
    </w:p>
    <w:p w:rsidR="00000000" w:rsidRDefault="00000000">
      <w:pPr>
        <w:numPr>
          <w:ilvl w:val="0"/>
          <w:numId w:val="86"/>
        </w:numPr>
        <w:rPr>
          <w:rFonts w:hint="eastAsia"/>
        </w:rPr>
      </w:pPr>
      <w:r>
        <w:rPr>
          <w:rFonts w:hint="eastAsia"/>
        </w:rPr>
        <w:t>在就业政策、劳动力市场或者职业培训或者其他一些类似的正当目标方面建立在客观和适当标准基础上的出于正当目的而针对年龄规定的不同待遇或者在社会福利制度内就退休或者残疾福利的资格而规定的有关年龄限制的不同待遇。</w:t>
      </w:r>
    </w:p>
    <w:p w:rsidR="00000000" w:rsidRDefault="00000000">
      <w:pPr>
        <w:spacing w:after="320"/>
        <w:rPr>
          <w:rFonts w:hint="eastAsia"/>
        </w:rPr>
      </w:pPr>
      <w:r>
        <w:rPr>
          <w:rFonts w:hint="eastAsia"/>
        </w:rPr>
        <w:tab/>
        <w:t xml:space="preserve">318.  </w:t>
      </w:r>
      <w:r>
        <w:rPr>
          <w:rFonts w:hint="eastAsia"/>
        </w:rPr>
        <w:t>《禁止歧视法》并没有禁止采取旨在实现真正平等的具体措施，以便防止或者减少第</w:t>
      </w:r>
      <w:r>
        <w:rPr>
          <w:rFonts w:hint="eastAsia"/>
        </w:rPr>
        <w:t>6(1)</w:t>
      </w:r>
      <w:r>
        <w:rPr>
          <w:rFonts w:hint="eastAsia"/>
        </w:rPr>
        <w:t>节所指的歧视行为所造成的不利情况</w:t>
      </w:r>
      <w:r>
        <w:rPr>
          <w:rFonts w:hint="eastAsia"/>
        </w:rPr>
        <w:t>(</w:t>
      </w:r>
      <w:r>
        <w:rPr>
          <w:rFonts w:hint="eastAsia"/>
        </w:rPr>
        <w:t>积极行动</w:t>
      </w:r>
      <w:r>
        <w:rPr>
          <w:rFonts w:hint="eastAsia"/>
        </w:rPr>
        <w:t>)</w:t>
      </w:r>
      <w:r>
        <w:rPr>
          <w:rFonts w:hint="eastAsia"/>
        </w:rPr>
        <w:t>。积极行动必须同其目标相一致。</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 xml:space="preserve">.  </w:t>
      </w:r>
      <w:r>
        <w:rPr>
          <w:rFonts w:ascii="Time New Roman" w:eastAsia="SimHei" w:hAnsi="Time New Roman" w:hint="eastAsia"/>
          <w:u w:val="none"/>
        </w:rPr>
        <w:t>占有一个以上全职工作的劳动人口</w:t>
      </w:r>
    </w:p>
    <w:p w:rsidR="00000000" w:rsidRDefault="00000000">
      <w:pPr>
        <w:rPr>
          <w:rFonts w:hint="eastAsia"/>
        </w:rPr>
      </w:pPr>
      <w:r>
        <w:rPr>
          <w:rFonts w:hint="eastAsia"/>
        </w:rPr>
        <w:tab/>
        <w:t xml:space="preserve">319.  </w:t>
      </w:r>
      <w:r>
        <w:rPr>
          <w:rFonts w:hint="eastAsia"/>
        </w:rPr>
        <w:t>根据芬兰统计局所开展的劳工调查，</w:t>
      </w:r>
      <w:r>
        <w:rPr>
          <w:rFonts w:hint="eastAsia"/>
        </w:rPr>
        <w:t>2004</w:t>
      </w:r>
      <w:r>
        <w:rPr>
          <w:rFonts w:hint="eastAsia"/>
        </w:rPr>
        <w:t>年大约有</w:t>
      </w:r>
      <w:r>
        <w:rPr>
          <w:rFonts w:hint="eastAsia"/>
        </w:rPr>
        <w:t>3,395,300</w:t>
      </w:r>
      <w:r>
        <w:rPr>
          <w:rFonts w:hint="eastAsia"/>
        </w:rPr>
        <w:t>人处在工作年龄</w:t>
      </w:r>
      <w:r>
        <w:rPr>
          <w:rFonts w:hint="eastAsia"/>
        </w:rPr>
        <w:t>(19</w:t>
      </w:r>
      <w:r>
        <w:rPr>
          <w:rFonts w:hint="eastAsia"/>
        </w:rPr>
        <w:t>岁至</w:t>
      </w:r>
      <w:r>
        <w:rPr>
          <w:rFonts w:hint="eastAsia"/>
        </w:rPr>
        <w:t>74</w:t>
      </w:r>
      <w:r>
        <w:rPr>
          <w:rFonts w:hint="eastAsia"/>
        </w:rPr>
        <w:t>岁</w:t>
      </w:r>
      <w:r>
        <w:rPr>
          <w:rFonts w:hint="eastAsia"/>
        </w:rPr>
        <w:t>)</w:t>
      </w:r>
      <w:r>
        <w:rPr>
          <w:rFonts w:hint="eastAsia"/>
        </w:rPr>
        <w:t>。其中，</w:t>
      </w:r>
      <w:r>
        <w:rPr>
          <w:rFonts w:hint="eastAsia"/>
        </w:rPr>
        <w:t>2,593,500</w:t>
      </w:r>
      <w:r>
        <w:rPr>
          <w:rFonts w:hint="eastAsia"/>
        </w:rPr>
        <w:t>人已经进入劳动力市场，但是就业人数要少一些：</w:t>
      </w:r>
      <w:r>
        <w:rPr>
          <w:rFonts w:hint="eastAsia"/>
        </w:rPr>
        <w:t>2,364,700</w:t>
      </w:r>
      <w:r>
        <w:rPr>
          <w:rFonts w:hint="eastAsia"/>
        </w:rPr>
        <w:t>人。因此，</w:t>
      </w:r>
      <w:r>
        <w:rPr>
          <w:rFonts w:hint="eastAsia"/>
        </w:rPr>
        <w:t>2004</w:t>
      </w:r>
      <w:r>
        <w:rPr>
          <w:rFonts w:hint="eastAsia"/>
        </w:rPr>
        <w:t>年大约有</w:t>
      </w:r>
      <w:r>
        <w:rPr>
          <w:rFonts w:hint="eastAsia"/>
        </w:rPr>
        <w:t>228,800</w:t>
      </w:r>
      <w:r>
        <w:rPr>
          <w:rFonts w:hint="eastAsia"/>
        </w:rPr>
        <w:t>失业者。在劳动力市场以外的人数为</w:t>
      </w:r>
      <w:r>
        <w:rPr>
          <w:rFonts w:hint="eastAsia"/>
        </w:rPr>
        <w:t>1,341,800</w:t>
      </w:r>
      <w:r>
        <w:rPr>
          <w:rFonts w:hint="eastAsia"/>
        </w:rPr>
        <w:t>人。</w:t>
      </w:r>
    </w:p>
    <w:p w:rsidR="00000000" w:rsidRDefault="00000000">
      <w:pPr>
        <w:rPr>
          <w:rFonts w:hint="eastAsia"/>
        </w:rPr>
      </w:pPr>
      <w:r>
        <w:rPr>
          <w:rFonts w:hint="eastAsia"/>
        </w:rPr>
        <w:tab/>
        <w:t xml:space="preserve">320.  </w:t>
      </w:r>
      <w:r>
        <w:rPr>
          <w:rFonts w:hint="eastAsia"/>
        </w:rPr>
        <w:t>根据这项劳工调查，</w:t>
      </w:r>
      <w:r>
        <w:rPr>
          <w:rFonts w:hint="eastAsia"/>
        </w:rPr>
        <w:t>2004</w:t>
      </w:r>
      <w:r>
        <w:rPr>
          <w:rFonts w:hint="eastAsia"/>
        </w:rPr>
        <w:t>年由</w:t>
      </w:r>
      <w:r>
        <w:rPr>
          <w:rFonts w:hint="eastAsia"/>
        </w:rPr>
        <w:t>75,400</w:t>
      </w:r>
      <w:r>
        <w:rPr>
          <w:rFonts w:hint="eastAsia"/>
        </w:rPr>
        <w:t>人占有一个以上工作岗位。这个数字包括了所有在劳工调查所涉的那个星期除了其作为私人企业家或者支薪雇员的正常工作</w:t>
      </w:r>
      <w:r>
        <w:rPr>
          <w:rFonts w:hint="eastAsia"/>
        </w:rPr>
        <w:t>(</w:t>
      </w:r>
      <w:r>
        <w:rPr>
          <w:rFonts w:hint="eastAsia"/>
        </w:rPr>
        <w:t>无论是否全日制工作</w:t>
      </w:r>
      <w:r>
        <w:rPr>
          <w:rFonts w:hint="eastAsia"/>
        </w:rPr>
        <w:t>)</w:t>
      </w:r>
      <w:r>
        <w:rPr>
          <w:rFonts w:hint="eastAsia"/>
        </w:rPr>
        <w:t>以外，还承担其他工作的就业人口。因此，在</w:t>
      </w:r>
      <w:r>
        <w:rPr>
          <w:rFonts w:hint="eastAsia"/>
        </w:rPr>
        <w:t>2004</w:t>
      </w:r>
      <w:r>
        <w:rPr>
          <w:rFonts w:hint="eastAsia"/>
        </w:rPr>
        <w:t>年有</w:t>
      </w:r>
      <w:r>
        <w:rPr>
          <w:rFonts w:hint="eastAsia"/>
        </w:rPr>
        <w:t>3.2%</w:t>
      </w:r>
      <w:r>
        <w:rPr>
          <w:rFonts w:hint="eastAsia"/>
        </w:rPr>
        <w:t>的就业人口业余兼职。从</w:t>
      </w:r>
      <w:r>
        <w:rPr>
          <w:rFonts w:hint="eastAsia"/>
        </w:rPr>
        <w:t>1990</w:t>
      </w:r>
      <w:r>
        <w:rPr>
          <w:rFonts w:hint="eastAsia"/>
        </w:rPr>
        <w:t>年代末期以来，这个比例基本保持不变。在</w:t>
      </w:r>
      <w:r>
        <w:rPr>
          <w:rFonts w:hint="eastAsia"/>
        </w:rPr>
        <w:t>1994</w:t>
      </w:r>
      <w:r>
        <w:rPr>
          <w:rFonts w:hint="eastAsia"/>
        </w:rPr>
        <w:t>年，由于经济衰退，失业人数达到了最高点，当时有</w:t>
      </w:r>
      <w:r>
        <w:rPr>
          <w:rFonts w:hint="eastAsia"/>
        </w:rPr>
        <w:t>96,000</w:t>
      </w:r>
      <w:r>
        <w:rPr>
          <w:rFonts w:hint="eastAsia"/>
        </w:rPr>
        <w:t>人业余兼职，明显要高于</w:t>
      </w:r>
      <w:r>
        <w:rPr>
          <w:rFonts w:hint="eastAsia"/>
        </w:rPr>
        <w:t>2004</w:t>
      </w:r>
      <w:r>
        <w:rPr>
          <w:rFonts w:hint="eastAsia"/>
        </w:rPr>
        <w:t>年的数字</w:t>
      </w:r>
      <w:r>
        <w:rPr>
          <w:rFonts w:hint="eastAsia"/>
        </w:rPr>
        <w:t>(</w:t>
      </w:r>
      <w:r>
        <w:rPr>
          <w:rFonts w:hint="eastAsia"/>
        </w:rPr>
        <w:t>占所有就业人口的</w:t>
      </w:r>
      <w:r>
        <w:rPr>
          <w:rFonts w:hint="eastAsia"/>
        </w:rPr>
        <w:t>5%)</w:t>
      </w:r>
      <w:r>
        <w:rPr>
          <w:rFonts w:hint="eastAsia"/>
        </w:rPr>
        <w:t>。</w:t>
      </w:r>
    </w:p>
    <w:p w:rsidR="00000000" w:rsidRDefault="00000000">
      <w:pPr>
        <w:rPr>
          <w:rFonts w:hint="eastAsia"/>
        </w:rPr>
      </w:pPr>
      <w:r>
        <w:rPr>
          <w:rFonts w:hint="eastAsia"/>
        </w:rPr>
        <w:tab/>
        <w:t xml:space="preserve">321.  </w:t>
      </w:r>
      <w:r>
        <w:rPr>
          <w:rFonts w:hint="eastAsia"/>
        </w:rPr>
        <w:t>根据这项劳工调查，在</w:t>
      </w:r>
      <w:r>
        <w:rPr>
          <w:rFonts w:hint="eastAsia"/>
        </w:rPr>
        <w:t>2004</w:t>
      </w:r>
      <w:r>
        <w:rPr>
          <w:rFonts w:hint="eastAsia"/>
        </w:rPr>
        <w:t>年的兼职人员中，有</w:t>
      </w:r>
      <w:r>
        <w:rPr>
          <w:rFonts w:hint="eastAsia"/>
        </w:rPr>
        <w:t>73,000</w:t>
      </w:r>
      <w:r>
        <w:rPr>
          <w:rFonts w:hint="eastAsia"/>
        </w:rPr>
        <w:t>人兼的是全日制工作</w:t>
      </w:r>
      <w:r>
        <w:rPr>
          <w:rFonts w:hint="eastAsia"/>
        </w:rPr>
        <w:t>(</w:t>
      </w:r>
      <w:r>
        <w:rPr>
          <w:rFonts w:hint="eastAsia"/>
        </w:rPr>
        <w:t>至少每周工作</w:t>
      </w:r>
      <w:r>
        <w:rPr>
          <w:rFonts w:hint="eastAsia"/>
        </w:rPr>
        <w:t>30</w:t>
      </w:r>
      <w:r>
        <w:rPr>
          <w:rFonts w:hint="eastAsia"/>
        </w:rPr>
        <w:t>小时</w:t>
      </w:r>
      <w:r>
        <w:rPr>
          <w:rFonts w:hint="eastAsia"/>
        </w:rPr>
        <w:t>)</w:t>
      </w:r>
      <w:r>
        <w:rPr>
          <w:rFonts w:hint="eastAsia"/>
        </w:rPr>
        <w:t>，约占总数的</w:t>
      </w:r>
      <w:r>
        <w:rPr>
          <w:rFonts w:hint="eastAsia"/>
        </w:rPr>
        <w:t>10%</w:t>
      </w:r>
      <w:r>
        <w:rPr>
          <w:rFonts w:hint="eastAsia"/>
        </w:rPr>
        <w:t>。</w:t>
      </w:r>
      <w:r>
        <w:rPr>
          <w:rFonts w:hint="eastAsia"/>
        </w:rPr>
        <w:t>2004</w:t>
      </w:r>
      <w:r>
        <w:rPr>
          <w:rFonts w:hint="eastAsia"/>
        </w:rPr>
        <w:t>年兼职人员占就业人口的</w:t>
      </w:r>
      <w:r>
        <w:rPr>
          <w:rFonts w:hint="eastAsia"/>
        </w:rPr>
        <w:t>0.3%</w:t>
      </w:r>
      <w:r>
        <w:rPr>
          <w:rFonts w:hint="eastAsia"/>
        </w:rPr>
        <w:t>，而在劳动人口中只占</w:t>
      </w:r>
      <w:r>
        <w:rPr>
          <w:rFonts w:hint="eastAsia"/>
        </w:rPr>
        <w:t>0.19%</w:t>
      </w:r>
      <w:r>
        <w:rPr>
          <w:rFonts w:hint="eastAsia"/>
        </w:rPr>
        <w:t>。</w:t>
      </w:r>
    </w:p>
    <w:p w:rsidR="00000000" w:rsidRDefault="00000000">
      <w:pPr>
        <w:spacing w:after="320"/>
        <w:rPr>
          <w:rFonts w:hint="eastAsia"/>
        </w:rPr>
      </w:pPr>
      <w:r>
        <w:rPr>
          <w:rFonts w:hint="eastAsia"/>
        </w:rPr>
        <w:tab/>
        <w:t xml:space="preserve">322.  </w:t>
      </w:r>
      <w:r>
        <w:rPr>
          <w:rFonts w:hint="eastAsia"/>
        </w:rPr>
        <w:t>根据这种情况，可以得出结论：除了本身的正常工作以外，还兼任一份全职工作的情况是很少的。</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 xml:space="preserve">.  </w:t>
      </w:r>
      <w:r>
        <w:rPr>
          <w:rFonts w:ascii="Time New Roman" w:eastAsia="SimHei" w:hAnsi="Time New Roman" w:hint="eastAsia"/>
          <w:u w:val="none"/>
        </w:rPr>
        <w:t>在国家立法方面的其他变化</w:t>
      </w:r>
    </w:p>
    <w:p w:rsidR="00000000" w:rsidRDefault="00000000">
      <w:pPr>
        <w:spacing w:after="320"/>
        <w:rPr>
          <w:rFonts w:hint="eastAsia"/>
        </w:rPr>
      </w:pPr>
      <w:r>
        <w:rPr>
          <w:rFonts w:hint="eastAsia"/>
        </w:rPr>
        <w:tab/>
        <w:t xml:space="preserve">323.  </w:t>
      </w:r>
      <w:r>
        <w:rPr>
          <w:rFonts w:hint="eastAsia"/>
        </w:rPr>
        <w:t>于</w:t>
      </w:r>
      <w:r>
        <w:rPr>
          <w:rFonts w:hint="eastAsia"/>
        </w:rPr>
        <w:t>2003</w:t>
      </w:r>
      <w:r>
        <w:rPr>
          <w:rFonts w:hint="eastAsia"/>
        </w:rPr>
        <w:t>年正式生效的《地方政府公务员法》</w:t>
      </w:r>
      <w:r>
        <w:rPr>
          <w:rFonts w:hint="eastAsia"/>
        </w:rPr>
        <w:t>(304/2003)</w:t>
      </w:r>
      <w:r>
        <w:rPr>
          <w:rFonts w:hint="eastAsia"/>
        </w:rPr>
        <w:t>早就对有关基本权利的规定进行了改革。这项法律取代了《市级官员就业保障法》</w:t>
      </w:r>
      <w:r>
        <w:rPr>
          <w:rFonts w:hint="eastAsia"/>
        </w:rPr>
        <w:t>(484/1996)</w:t>
      </w:r>
      <w:r>
        <w:rPr>
          <w:rFonts w:hint="eastAsia"/>
        </w:rPr>
        <w:t>以及有关就业条件的地方法规。这项新的法律包括了有关市级官员的法律地位、雇佣关系的建立和变更、假期、解雇、终止雇佣关系的理由、免职以及上诉等问题的一般性规定。地方政府所雇佣的其他职工的地位由《雇佣合同法》规定。</w:t>
      </w:r>
    </w:p>
    <w:p w:rsidR="00000000" w:rsidRDefault="00000000">
      <w:pPr>
        <w:pStyle w:val="Heading2"/>
        <w:rPr>
          <w:rFonts w:ascii="Time New Roman" w:eastAsia="SimHei" w:hAnsi="Time New Roman" w:hint="eastAsia"/>
          <w:sz w:val="24"/>
        </w:rPr>
      </w:pPr>
      <w:r>
        <w:rPr>
          <w:rFonts w:ascii="Time New Roman" w:eastAsia="SimHei" w:hAnsi="Time New Roman" w:hint="eastAsia"/>
          <w:sz w:val="24"/>
        </w:rPr>
        <w:t>第</w:t>
      </w:r>
      <w:r>
        <w:rPr>
          <w:rFonts w:ascii="Time New Roman" w:eastAsia="SimHei" w:hAnsi="Time New Roman" w:hint="eastAsia"/>
          <w:sz w:val="24"/>
        </w:rPr>
        <w:t xml:space="preserve"> </w:t>
      </w:r>
      <w:r>
        <w:rPr>
          <w:rFonts w:ascii="Time New Roman" w:eastAsia="SimHei" w:hAnsi="Time New Roman" w:hint="eastAsia"/>
          <w:sz w:val="24"/>
        </w:rPr>
        <w:t>七</w:t>
      </w:r>
      <w:r>
        <w:rPr>
          <w:rFonts w:ascii="Time New Roman" w:eastAsia="SimHei" w:hAnsi="Time New Roman" w:hint="eastAsia"/>
          <w:sz w:val="24"/>
        </w:rPr>
        <w:t xml:space="preserve"> </w:t>
      </w:r>
      <w:r>
        <w:rPr>
          <w:rFonts w:ascii="Time New Roman" w:eastAsia="SimHei" w:hAnsi="Time New Roman" w:hint="eastAsia"/>
          <w:sz w:val="24"/>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芬兰批准的劳工组织公约</w:t>
      </w:r>
    </w:p>
    <w:p w:rsidR="00000000" w:rsidRDefault="00000000">
      <w:pPr>
        <w:rPr>
          <w:rFonts w:hint="eastAsia"/>
        </w:rPr>
      </w:pPr>
      <w:r>
        <w:rPr>
          <w:rFonts w:hint="eastAsia"/>
        </w:rPr>
        <w:tab/>
        <w:t xml:space="preserve">324.  </w:t>
      </w:r>
      <w:r>
        <w:rPr>
          <w:rFonts w:hint="eastAsia"/>
        </w:rPr>
        <w:t>在第</w:t>
      </w:r>
      <w:r>
        <w:rPr>
          <w:rFonts w:hint="eastAsia"/>
        </w:rPr>
        <w:t>7</w:t>
      </w:r>
      <w:r>
        <w:rPr>
          <w:rFonts w:hint="eastAsia"/>
        </w:rPr>
        <w:t>条项下一般准则所提到的劳工组织公约之中，芬兰已经批准了以下公约：</w:t>
      </w:r>
    </w:p>
    <w:p w:rsidR="00000000" w:rsidRDefault="00000000">
      <w:pPr>
        <w:ind w:left="520"/>
        <w:rPr>
          <w:rFonts w:hint="eastAsia"/>
        </w:rPr>
      </w:pPr>
      <w:r>
        <w:rPr>
          <w:rFonts w:hint="eastAsia"/>
        </w:rPr>
        <w:tab/>
      </w:r>
      <w:r>
        <w:rPr>
          <w:rFonts w:hint="eastAsia"/>
        </w:rPr>
        <w:t>《同酬公约》</w:t>
      </w:r>
      <w:r>
        <w:rPr>
          <w:rFonts w:hint="eastAsia"/>
        </w:rPr>
        <w:t>1951</w:t>
      </w:r>
      <w:r>
        <w:rPr>
          <w:rFonts w:hint="eastAsia"/>
        </w:rPr>
        <w:t>年</w:t>
      </w:r>
      <w:r>
        <w:rPr>
          <w:rFonts w:hint="eastAsia"/>
        </w:rPr>
        <w:t>(</w:t>
      </w:r>
      <w:r>
        <w:rPr>
          <w:rFonts w:hint="eastAsia"/>
        </w:rPr>
        <w:t>第</w:t>
      </w:r>
      <w:r>
        <w:rPr>
          <w:rFonts w:hint="eastAsia"/>
        </w:rPr>
        <w:t>100</w:t>
      </w:r>
      <w:r>
        <w:rPr>
          <w:rFonts w:hint="eastAsia"/>
        </w:rPr>
        <w:t>号公约</w:t>
      </w:r>
      <w:r>
        <w:rPr>
          <w:rFonts w:hint="eastAsia"/>
        </w:rPr>
        <w:t>)</w:t>
      </w:r>
      <w:r>
        <w:rPr>
          <w:rFonts w:hint="eastAsia"/>
        </w:rPr>
        <w:t>；</w:t>
      </w:r>
    </w:p>
    <w:p w:rsidR="00000000" w:rsidRDefault="00000000">
      <w:pPr>
        <w:ind w:left="520"/>
        <w:rPr>
          <w:rFonts w:hint="eastAsia"/>
        </w:rPr>
      </w:pPr>
      <w:r>
        <w:rPr>
          <w:rFonts w:hint="eastAsia"/>
        </w:rPr>
        <w:tab/>
      </w:r>
      <w:r>
        <w:rPr>
          <w:rFonts w:hint="eastAsia"/>
        </w:rPr>
        <w:t>《</w:t>
      </w:r>
      <w:r>
        <w:rPr>
          <w:rFonts w:hint="eastAsia"/>
        </w:rPr>
        <w:t>(</w:t>
      </w:r>
      <w:r>
        <w:rPr>
          <w:rFonts w:hint="eastAsia"/>
        </w:rPr>
        <w:t>工业</w:t>
      </w:r>
      <w:r>
        <w:rPr>
          <w:rFonts w:hint="eastAsia"/>
        </w:rPr>
        <w:t>)</w:t>
      </w:r>
      <w:r>
        <w:rPr>
          <w:rFonts w:hint="eastAsia"/>
        </w:rPr>
        <w:t>每周休息公约》，</w:t>
      </w:r>
      <w:r>
        <w:rPr>
          <w:rFonts w:hint="eastAsia"/>
        </w:rPr>
        <w:t>1921</w:t>
      </w:r>
      <w:r>
        <w:rPr>
          <w:rFonts w:hint="eastAsia"/>
        </w:rPr>
        <w:t>年</w:t>
      </w:r>
      <w:r>
        <w:rPr>
          <w:rFonts w:hint="eastAsia"/>
        </w:rPr>
        <w:t>(</w:t>
      </w:r>
      <w:r>
        <w:rPr>
          <w:rFonts w:hint="eastAsia"/>
        </w:rPr>
        <w:t>第</w:t>
      </w:r>
      <w:r>
        <w:rPr>
          <w:rFonts w:hint="eastAsia"/>
        </w:rPr>
        <w:t>14</w:t>
      </w:r>
      <w:r>
        <w:rPr>
          <w:rFonts w:hint="eastAsia"/>
        </w:rPr>
        <w:t>号公约</w:t>
      </w:r>
      <w:r>
        <w:rPr>
          <w:rFonts w:hint="eastAsia"/>
        </w:rPr>
        <w:t>)</w:t>
      </w:r>
      <w:r>
        <w:rPr>
          <w:rFonts w:hint="eastAsia"/>
        </w:rPr>
        <w:t>；</w:t>
      </w:r>
    </w:p>
    <w:p w:rsidR="00000000" w:rsidRDefault="00000000">
      <w:pPr>
        <w:ind w:left="520"/>
        <w:rPr>
          <w:rFonts w:hint="eastAsia"/>
        </w:rPr>
      </w:pPr>
      <w:r>
        <w:rPr>
          <w:rFonts w:hint="eastAsia"/>
        </w:rPr>
        <w:tab/>
      </w:r>
      <w:r>
        <w:rPr>
          <w:rFonts w:hint="eastAsia"/>
        </w:rPr>
        <w:t>《</w:t>
      </w:r>
      <w:r>
        <w:rPr>
          <w:rFonts w:hint="eastAsia"/>
        </w:rPr>
        <w:t>(</w:t>
      </w:r>
      <w:r>
        <w:rPr>
          <w:rFonts w:hint="eastAsia"/>
        </w:rPr>
        <w:t>经修订的</w:t>
      </w:r>
      <w:r>
        <w:rPr>
          <w:rFonts w:hint="eastAsia"/>
        </w:rPr>
        <w:t>)</w:t>
      </w:r>
      <w:r>
        <w:rPr>
          <w:rFonts w:hint="eastAsia"/>
        </w:rPr>
        <w:t>带酬薪假公约》，</w:t>
      </w:r>
      <w:r>
        <w:rPr>
          <w:rFonts w:hint="eastAsia"/>
        </w:rPr>
        <w:t>1970</w:t>
      </w:r>
      <w:r>
        <w:rPr>
          <w:rFonts w:hint="eastAsia"/>
        </w:rPr>
        <w:t>年</w:t>
      </w:r>
      <w:r>
        <w:rPr>
          <w:rFonts w:hint="eastAsia"/>
        </w:rPr>
        <w:t>(</w:t>
      </w:r>
      <w:r>
        <w:rPr>
          <w:rFonts w:hint="eastAsia"/>
        </w:rPr>
        <w:t>第</w:t>
      </w:r>
      <w:r>
        <w:rPr>
          <w:rFonts w:hint="eastAsia"/>
        </w:rPr>
        <w:t>132</w:t>
      </w:r>
      <w:r>
        <w:rPr>
          <w:rFonts w:hint="eastAsia"/>
        </w:rPr>
        <w:t>号公约</w:t>
      </w:r>
      <w:r>
        <w:rPr>
          <w:rFonts w:hint="eastAsia"/>
        </w:rPr>
        <w:t>)</w:t>
      </w:r>
      <w:r>
        <w:rPr>
          <w:rFonts w:hint="eastAsia"/>
        </w:rPr>
        <w:t>；</w:t>
      </w:r>
    </w:p>
    <w:p w:rsidR="00000000" w:rsidRDefault="00000000">
      <w:pPr>
        <w:ind w:left="520"/>
        <w:rPr>
          <w:rFonts w:hint="eastAsia"/>
        </w:rPr>
      </w:pPr>
      <w:r>
        <w:rPr>
          <w:rFonts w:hint="eastAsia"/>
        </w:rPr>
        <w:tab/>
      </w:r>
      <w:r>
        <w:rPr>
          <w:rFonts w:hint="eastAsia"/>
        </w:rPr>
        <w:t>《劳动监察公约》，</w:t>
      </w:r>
      <w:r>
        <w:rPr>
          <w:rFonts w:hint="eastAsia"/>
        </w:rPr>
        <w:t>1947</w:t>
      </w:r>
      <w:r>
        <w:rPr>
          <w:rFonts w:hint="eastAsia"/>
        </w:rPr>
        <w:t>年</w:t>
      </w:r>
      <w:r>
        <w:rPr>
          <w:rFonts w:hint="eastAsia"/>
        </w:rPr>
        <w:t>(</w:t>
      </w:r>
      <w:r>
        <w:rPr>
          <w:rFonts w:hint="eastAsia"/>
        </w:rPr>
        <w:t>第</w:t>
      </w:r>
      <w:r>
        <w:rPr>
          <w:rFonts w:hint="eastAsia"/>
        </w:rPr>
        <w:t>81</w:t>
      </w:r>
      <w:r>
        <w:rPr>
          <w:rFonts w:hint="eastAsia"/>
        </w:rPr>
        <w:t>号公约</w:t>
      </w:r>
      <w:r>
        <w:rPr>
          <w:rFonts w:hint="eastAsia"/>
        </w:rPr>
        <w:t>)</w:t>
      </w:r>
      <w:r>
        <w:rPr>
          <w:rFonts w:hint="eastAsia"/>
        </w:rPr>
        <w:t>；</w:t>
      </w:r>
    </w:p>
    <w:p w:rsidR="00000000" w:rsidRDefault="00000000">
      <w:pPr>
        <w:ind w:left="520"/>
        <w:rPr>
          <w:rFonts w:hint="eastAsia"/>
        </w:rPr>
      </w:pPr>
      <w:r>
        <w:rPr>
          <w:rFonts w:hint="eastAsia"/>
        </w:rPr>
        <w:tab/>
      </w:r>
      <w:r>
        <w:rPr>
          <w:rFonts w:hint="eastAsia"/>
        </w:rPr>
        <w:t>《</w:t>
      </w:r>
      <w:r>
        <w:rPr>
          <w:rFonts w:hint="eastAsia"/>
        </w:rPr>
        <w:t>(</w:t>
      </w:r>
      <w:r>
        <w:rPr>
          <w:rFonts w:hint="eastAsia"/>
        </w:rPr>
        <w:t>农业</w:t>
      </w:r>
      <w:r>
        <w:rPr>
          <w:rFonts w:hint="eastAsia"/>
        </w:rPr>
        <w:t>)</w:t>
      </w:r>
      <w:r>
        <w:rPr>
          <w:rFonts w:hint="eastAsia"/>
        </w:rPr>
        <w:t>劳动监察公约》，</w:t>
      </w:r>
      <w:r>
        <w:rPr>
          <w:rFonts w:hint="eastAsia"/>
        </w:rPr>
        <w:t>1969</w:t>
      </w:r>
      <w:r>
        <w:rPr>
          <w:rFonts w:hint="eastAsia"/>
        </w:rPr>
        <w:t>年</w:t>
      </w:r>
      <w:r>
        <w:rPr>
          <w:rFonts w:hint="eastAsia"/>
        </w:rPr>
        <w:t>(</w:t>
      </w:r>
      <w:r>
        <w:rPr>
          <w:rFonts w:hint="eastAsia"/>
        </w:rPr>
        <w:t>第</w:t>
      </w:r>
      <w:r>
        <w:rPr>
          <w:rFonts w:hint="eastAsia"/>
        </w:rPr>
        <w:t>129</w:t>
      </w:r>
      <w:r>
        <w:rPr>
          <w:rFonts w:hint="eastAsia"/>
        </w:rPr>
        <w:t>号公约</w:t>
      </w:r>
      <w:r>
        <w:rPr>
          <w:rFonts w:hint="eastAsia"/>
        </w:rPr>
        <w:t>)</w:t>
      </w:r>
      <w:r>
        <w:rPr>
          <w:rFonts w:hint="eastAsia"/>
        </w:rPr>
        <w:t>，以及</w:t>
      </w:r>
    </w:p>
    <w:p w:rsidR="00000000" w:rsidRDefault="00000000">
      <w:pPr>
        <w:spacing w:after="320"/>
        <w:ind w:left="520"/>
        <w:rPr>
          <w:rFonts w:hint="eastAsia"/>
        </w:rPr>
      </w:pPr>
      <w:r>
        <w:rPr>
          <w:rFonts w:hint="eastAsia"/>
        </w:rPr>
        <w:tab/>
      </w:r>
      <w:r>
        <w:rPr>
          <w:rFonts w:hint="eastAsia"/>
        </w:rPr>
        <w:t>《职业安全和卫生公约》，</w:t>
      </w:r>
      <w:r>
        <w:rPr>
          <w:rFonts w:hint="eastAsia"/>
        </w:rPr>
        <w:t>1981</w:t>
      </w:r>
      <w:r>
        <w:rPr>
          <w:rFonts w:hint="eastAsia"/>
        </w:rPr>
        <w:t>年</w:t>
      </w:r>
      <w:r>
        <w:rPr>
          <w:rFonts w:hint="eastAsia"/>
        </w:rPr>
        <w:t>(</w:t>
      </w:r>
      <w:r>
        <w:rPr>
          <w:rFonts w:hint="eastAsia"/>
        </w:rPr>
        <w:t>第</w:t>
      </w:r>
      <w:r>
        <w:rPr>
          <w:rFonts w:hint="eastAsia"/>
        </w:rPr>
        <w:t>155</w:t>
      </w:r>
      <w:r>
        <w:rPr>
          <w:rFonts w:hint="eastAsia"/>
        </w:rPr>
        <w:t>号公约</w:t>
      </w:r>
      <w:r>
        <w:rPr>
          <w:rFonts w:hint="eastAsia"/>
        </w:rPr>
        <w:t>)</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a</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用于确定工资的主要办法</w:t>
      </w:r>
    </w:p>
    <w:p w:rsidR="00000000" w:rsidRDefault="00000000">
      <w:pPr>
        <w:spacing w:after="320"/>
        <w:rPr>
          <w:rFonts w:hint="eastAsia"/>
        </w:rPr>
      </w:pPr>
      <w:r>
        <w:rPr>
          <w:rFonts w:hint="eastAsia"/>
        </w:rPr>
        <w:tab/>
        <w:t xml:space="preserve">325.  </w:t>
      </w:r>
      <w:r>
        <w:rPr>
          <w:rFonts w:hint="eastAsia"/>
        </w:rPr>
        <w:t>见在有关建议</w:t>
      </w:r>
      <w:r>
        <w:rPr>
          <w:rFonts w:hint="eastAsia"/>
        </w:rPr>
        <w:t>E 29</w:t>
      </w:r>
      <w:r>
        <w:rPr>
          <w:rFonts w:hint="eastAsia"/>
        </w:rPr>
        <w:t>的答复中所提供的信息。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b</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最低工资制度</w:t>
      </w:r>
    </w:p>
    <w:p w:rsidR="00000000" w:rsidRDefault="00000000">
      <w:pPr>
        <w:spacing w:after="320"/>
        <w:rPr>
          <w:rFonts w:hint="eastAsia"/>
        </w:rPr>
      </w:pPr>
      <w:r>
        <w:rPr>
          <w:rFonts w:hint="eastAsia"/>
        </w:rPr>
        <w:tab/>
        <w:t xml:space="preserve">326.  </w:t>
      </w:r>
      <w:r>
        <w:rPr>
          <w:rFonts w:hint="eastAsia"/>
        </w:rPr>
        <w:t>见在有关建议</w:t>
      </w:r>
      <w:r>
        <w:rPr>
          <w:rFonts w:hint="eastAsia"/>
        </w:rPr>
        <w:t>E 29</w:t>
      </w:r>
      <w:r>
        <w:rPr>
          <w:rFonts w:hint="eastAsia"/>
        </w:rPr>
        <w:t>的答复中所提供的信息。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c</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同工同酬</w:t>
      </w:r>
    </w:p>
    <w:p w:rsidR="00000000" w:rsidRDefault="00000000">
      <w:pPr>
        <w:widowControl w:val="0"/>
        <w:rPr>
          <w:rFonts w:hint="eastAsia"/>
        </w:rPr>
      </w:pPr>
      <w:r>
        <w:rPr>
          <w:rFonts w:hint="eastAsia"/>
        </w:rPr>
        <w:tab/>
        <w:t xml:space="preserve">327.  </w:t>
      </w:r>
      <w:r>
        <w:rPr>
          <w:rFonts w:hint="eastAsia"/>
        </w:rPr>
        <w:t>政府认为，男女之间不合理的工资差别是工作平等方面最为重要的问题之一。统计数字显示，平均工资差别在相当长的时间内都保持在同样水平上，但是从</w:t>
      </w:r>
      <w:r>
        <w:rPr>
          <w:rFonts w:hint="eastAsia"/>
        </w:rPr>
        <w:t>1990</w:t>
      </w:r>
      <w:r>
        <w:rPr>
          <w:rFonts w:hint="eastAsia"/>
        </w:rPr>
        <w:t>年代末期开始，其差距在扩大。从</w:t>
      </w:r>
      <w:r>
        <w:rPr>
          <w:rFonts w:hint="eastAsia"/>
        </w:rPr>
        <w:t>1990</w:t>
      </w:r>
      <w:r>
        <w:rPr>
          <w:rFonts w:hint="eastAsia"/>
        </w:rPr>
        <w:t>年代初期以来，正常上班的妇女的平均工资大约为男子的</w:t>
      </w:r>
      <w:r>
        <w:rPr>
          <w:rFonts w:hint="eastAsia"/>
        </w:rPr>
        <w:t>80%-82%</w:t>
      </w:r>
      <w:r>
        <w:rPr>
          <w:rFonts w:hint="eastAsia"/>
        </w:rPr>
        <w:t>，但是在</w:t>
      </w:r>
      <w:r>
        <w:rPr>
          <w:rFonts w:hint="eastAsia"/>
        </w:rPr>
        <w:t>2003</w:t>
      </w:r>
      <w:r>
        <w:rPr>
          <w:rFonts w:hint="eastAsia"/>
        </w:rPr>
        <w:t>年这个百分比上升到了</w:t>
      </w:r>
      <w:r>
        <w:rPr>
          <w:rFonts w:hint="eastAsia"/>
        </w:rPr>
        <w:t>83%</w:t>
      </w:r>
      <w:r>
        <w:rPr>
          <w:rFonts w:hint="eastAsia"/>
        </w:rPr>
        <w:t>。工资差别的部分原因在于职业隔离或者其他类似原因，但是有些差别是无法解释的。</w:t>
      </w:r>
    </w:p>
    <w:p w:rsidR="00000000" w:rsidRDefault="00000000">
      <w:pPr>
        <w:rPr>
          <w:rFonts w:hint="eastAsia"/>
        </w:rPr>
      </w:pPr>
      <w:r>
        <w:rPr>
          <w:rFonts w:hint="eastAsia"/>
        </w:rPr>
        <w:tab/>
        <w:t xml:space="preserve">328.  </w:t>
      </w:r>
      <w:r>
        <w:rPr>
          <w:rFonts w:hint="eastAsia"/>
        </w:rPr>
        <w:t>除其他外，还计划对《平等法》进行修订，从而加强同工同酬。正如上文所述，平等计划将包括工资基准，因而无论是否具有集体协议，都可以对工作场所的工资差别进行审议。</w:t>
      </w:r>
    </w:p>
    <w:p w:rsidR="00000000" w:rsidRDefault="00000000">
      <w:pPr>
        <w:rPr>
          <w:rFonts w:hint="eastAsia"/>
        </w:rPr>
      </w:pPr>
      <w:r>
        <w:rPr>
          <w:rFonts w:hint="eastAsia"/>
        </w:rPr>
        <w:tab/>
        <w:t xml:space="preserve">329.  </w:t>
      </w:r>
      <w:r>
        <w:rPr>
          <w:rFonts w:hint="eastAsia"/>
        </w:rPr>
        <w:t>社会事务和卫生部于</w:t>
      </w:r>
      <w:r>
        <w:rPr>
          <w:rFonts w:hint="eastAsia"/>
        </w:rPr>
        <w:t>2004</w:t>
      </w:r>
      <w:r>
        <w:rPr>
          <w:rFonts w:hint="eastAsia"/>
        </w:rPr>
        <w:t>年夏天完成了一项有关同酬问题的研究。根据这项研究，该部于</w:t>
      </w:r>
      <w:r>
        <w:rPr>
          <w:rFonts w:hint="eastAsia"/>
        </w:rPr>
        <w:t>2004</w:t>
      </w:r>
      <w:r>
        <w:rPr>
          <w:rFonts w:hint="eastAsia"/>
        </w:rPr>
        <w:t>年</w:t>
      </w:r>
      <w:r>
        <w:rPr>
          <w:rFonts w:hint="eastAsia"/>
        </w:rPr>
        <w:t>11</w:t>
      </w:r>
      <w:r>
        <w:rPr>
          <w:rFonts w:hint="eastAsia"/>
        </w:rPr>
        <w:t>月</w:t>
      </w:r>
      <w:r>
        <w:rPr>
          <w:rFonts w:hint="eastAsia"/>
        </w:rPr>
        <w:t>16</w:t>
      </w:r>
      <w:r>
        <w:rPr>
          <w:rFonts w:hint="eastAsia"/>
        </w:rPr>
        <w:t>日成立了一个由政府和工会代表组成的工作组，以便拟订有关加强同酬的计划草案。该工作组于</w:t>
      </w:r>
      <w:r>
        <w:rPr>
          <w:rFonts w:hint="eastAsia"/>
        </w:rPr>
        <w:t>2005</w:t>
      </w:r>
      <w:r>
        <w:rPr>
          <w:rFonts w:hint="eastAsia"/>
        </w:rPr>
        <w:t>年</w:t>
      </w:r>
      <w:r>
        <w:rPr>
          <w:rFonts w:hint="eastAsia"/>
        </w:rPr>
        <w:t>5</w:t>
      </w:r>
      <w:r>
        <w:rPr>
          <w:rFonts w:hint="eastAsia"/>
        </w:rPr>
        <w:t>月提交了一份载有计划草案的建议。这项计划总的目标是要到</w:t>
      </w:r>
      <w:r>
        <w:rPr>
          <w:rFonts w:hint="eastAsia"/>
        </w:rPr>
        <w:t>2015</w:t>
      </w:r>
      <w:r>
        <w:rPr>
          <w:rFonts w:hint="eastAsia"/>
        </w:rPr>
        <w:t>年将根据正常工作的每月平均收入计算的男女工资差别从目前的</w:t>
      </w:r>
      <w:r>
        <w:rPr>
          <w:rFonts w:hint="eastAsia"/>
        </w:rPr>
        <w:t>20%</w:t>
      </w:r>
      <w:r>
        <w:rPr>
          <w:rFonts w:hint="eastAsia"/>
        </w:rPr>
        <w:t>至少降到</w:t>
      </w:r>
      <w:r>
        <w:rPr>
          <w:rFonts w:hint="eastAsia"/>
        </w:rPr>
        <w:t>15%</w:t>
      </w:r>
      <w:r>
        <w:rPr>
          <w:rFonts w:hint="eastAsia"/>
        </w:rPr>
        <w:t>。该工作组建议社会事务和卫生部成立一个工作组，以便监测这项计划的执行。</w:t>
      </w:r>
    </w:p>
    <w:p w:rsidR="00000000" w:rsidRDefault="00000000">
      <w:pPr>
        <w:spacing w:after="320"/>
        <w:rPr>
          <w:rFonts w:hint="eastAsia"/>
        </w:rPr>
      </w:pPr>
      <w:r>
        <w:rPr>
          <w:rFonts w:hint="eastAsia"/>
        </w:rPr>
        <w:tab/>
        <w:t xml:space="preserve">330.  </w:t>
      </w:r>
      <w:r>
        <w:rPr>
          <w:rFonts w:hint="eastAsia"/>
        </w:rPr>
        <w:t>政府还提到了于</w:t>
      </w:r>
      <w:r>
        <w:rPr>
          <w:rFonts w:hint="eastAsia"/>
        </w:rPr>
        <w:t>2000</w:t>
      </w:r>
      <w:r>
        <w:rPr>
          <w:rFonts w:hint="eastAsia"/>
        </w:rPr>
        <w:t>年、</w:t>
      </w:r>
      <w:r>
        <w:rPr>
          <w:rFonts w:hint="eastAsia"/>
        </w:rPr>
        <w:t>2002</w:t>
      </w:r>
      <w:r>
        <w:rPr>
          <w:rFonts w:hint="eastAsia"/>
        </w:rPr>
        <w:t>年和</w:t>
      </w:r>
      <w:r>
        <w:rPr>
          <w:rFonts w:hint="eastAsia"/>
        </w:rPr>
        <w:t>2003</w:t>
      </w:r>
      <w:r>
        <w:rPr>
          <w:rFonts w:hint="eastAsia"/>
        </w:rPr>
        <w:t>年提交的有关劳工组织第</w:t>
      </w:r>
      <w:r>
        <w:rPr>
          <w:rFonts w:hint="eastAsia"/>
        </w:rPr>
        <w:t>100</w:t>
      </w:r>
      <w:r>
        <w:rPr>
          <w:rFonts w:hint="eastAsia"/>
        </w:rPr>
        <w:t>号公约执行情况的定期报告</w:t>
      </w:r>
      <w:r>
        <w:rPr>
          <w:rFonts w:hint="eastAsia"/>
        </w:rPr>
        <w:t>(</w:t>
      </w:r>
      <w:r>
        <w:rPr>
          <w:rFonts w:hint="eastAsia"/>
        </w:rPr>
        <w:t>附件七至附件九</w:t>
      </w:r>
      <w:r>
        <w:rPr>
          <w:rFonts w:hint="eastAsia"/>
        </w:rPr>
        <w:t>)</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3</w:t>
      </w:r>
      <w:r>
        <w:rPr>
          <w:rFonts w:ascii="Time New Roman" w:eastAsia="SimHei" w:hAnsi="Time New Roman" w:hint="eastAsia"/>
          <w:u w:val="none"/>
        </w:rPr>
        <w:t xml:space="preserve">.  </w:t>
      </w:r>
      <w:r>
        <w:rPr>
          <w:rFonts w:ascii="Time New Roman" w:eastAsia="SimHei" w:hAnsi="Time New Roman" w:hint="eastAsia"/>
          <w:u w:val="none"/>
        </w:rPr>
        <w:t>关于职业卫生和安全的规定</w:t>
      </w:r>
    </w:p>
    <w:p w:rsidR="00000000" w:rsidRDefault="00000000">
      <w:pPr>
        <w:rPr>
          <w:rFonts w:hint="eastAsia"/>
        </w:rPr>
      </w:pPr>
      <w:r>
        <w:rPr>
          <w:rFonts w:hint="eastAsia"/>
        </w:rPr>
        <w:tab/>
        <w:t xml:space="preserve">331.  </w:t>
      </w:r>
      <w:r>
        <w:rPr>
          <w:rFonts w:hint="eastAsia"/>
        </w:rPr>
        <w:t>有关职业安全规定的执行情况由职业安全和卫生管理部门监测，其中包括社会事务和卫生部以及职业安全和卫生机构。于</w:t>
      </w:r>
      <w:r>
        <w:rPr>
          <w:rFonts w:hint="eastAsia"/>
        </w:rPr>
        <w:t>2004</w:t>
      </w:r>
      <w:r>
        <w:rPr>
          <w:rFonts w:hint="eastAsia"/>
        </w:rPr>
        <w:t>年</w:t>
      </w:r>
      <w:r>
        <w:rPr>
          <w:rFonts w:hint="eastAsia"/>
        </w:rPr>
        <w:t>1</w:t>
      </w:r>
      <w:r>
        <w:rPr>
          <w:rFonts w:hint="eastAsia"/>
        </w:rPr>
        <w:t>月正式生效的一项法令已经把职业安全部门和卫生部门合并在一起。早在</w:t>
      </w:r>
      <w:r>
        <w:rPr>
          <w:rFonts w:hint="eastAsia"/>
        </w:rPr>
        <w:t>1973</w:t>
      </w:r>
      <w:r>
        <w:rPr>
          <w:rFonts w:hint="eastAsia"/>
        </w:rPr>
        <w:t>年已经制定了有关监测职业安全和职业安全案件中的法律补救措施的法律。在于</w:t>
      </w:r>
      <w:r>
        <w:rPr>
          <w:rFonts w:hint="eastAsia"/>
        </w:rPr>
        <w:t>2004</w:t>
      </w:r>
      <w:r>
        <w:rPr>
          <w:rFonts w:hint="eastAsia"/>
        </w:rPr>
        <w:t>年提交的有关劳工组织第</w:t>
      </w:r>
      <w:r>
        <w:rPr>
          <w:rFonts w:hint="eastAsia"/>
        </w:rPr>
        <w:t>81</w:t>
      </w:r>
      <w:r>
        <w:rPr>
          <w:rFonts w:hint="eastAsia"/>
        </w:rPr>
        <w:t>号公约执行情况的定期报告中说明了对于法律的修订情况</w:t>
      </w:r>
      <w:r>
        <w:rPr>
          <w:rFonts w:hint="eastAsia"/>
        </w:rPr>
        <w:t>(</w:t>
      </w:r>
      <w:r>
        <w:rPr>
          <w:rFonts w:hint="eastAsia"/>
        </w:rPr>
        <w:t>附件十二</w:t>
      </w:r>
      <w:r>
        <w:rPr>
          <w:rFonts w:hint="eastAsia"/>
        </w:rPr>
        <w:t>)</w:t>
      </w:r>
      <w:r>
        <w:rPr>
          <w:rFonts w:hint="eastAsia"/>
        </w:rPr>
        <w:t>。</w:t>
      </w:r>
    </w:p>
    <w:p w:rsidR="00000000" w:rsidRDefault="00000000">
      <w:pPr>
        <w:rPr>
          <w:rFonts w:hint="eastAsia"/>
        </w:rPr>
      </w:pPr>
      <w:r>
        <w:rPr>
          <w:rFonts w:hint="eastAsia"/>
        </w:rPr>
        <w:tab/>
        <w:t xml:space="preserve">332.  </w:t>
      </w:r>
      <w:r>
        <w:rPr>
          <w:rFonts w:hint="eastAsia"/>
        </w:rPr>
        <w:t>新的《雇佣合同法》以及《关于确认集体协议的普遍适用性的法律》</w:t>
      </w:r>
      <w:r>
        <w:rPr>
          <w:rFonts w:hint="eastAsia"/>
        </w:rPr>
        <w:t>(56/2001)</w:t>
      </w:r>
      <w:r>
        <w:rPr>
          <w:rFonts w:hint="eastAsia"/>
        </w:rPr>
        <w:t>已经于</w:t>
      </w:r>
      <w:r>
        <w:rPr>
          <w:rFonts w:hint="eastAsia"/>
        </w:rPr>
        <w:t>2001</w:t>
      </w:r>
      <w:r>
        <w:rPr>
          <w:rFonts w:hint="eastAsia"/>
        </w:rPr>
        <w:t>年同时生效，从而对负责裁决集体协议是否普遍适用的国家机构以及这个机构的组成作了明确规定。</w:t>
      </w:r>
    </w:p>
    <w:p w:rsidR="00000000" w:rsidRDefault="00000000">
      <w:pPr>
        <w:rPr>
          <w:rFonts w:hint="eastAsia"/>
        </w:rPr>
      </w:pPr>
      <w:r>
        <w:rPr>
          <w:rFonts w:hint="eastAsia"/>
        </w:rPr>
        <w:tab/>
        <w:t xml:space="preserve">333.  </w:t>
      </w:r>
      <w:r>
        <w:rPr>
          <w:rFonts w:hint="eastAsia"/>
        </w:rPr>
        <w:t>新的《职业保健法》</w:t>
      </w:r>
      <w:r>
        <w:rPr>
          <w:rFonts w:hint="eastAsia"/>
        </w:rPr>
        <w:t>(1383/2001)</w:t>
      </w:r>
      <w:r>
        <w:rPr>
          <w:rFonts w:hint="eastAsia"/>
        </w:rPr>
        <w:t>于</w:t>
      </w:r>
      <w:r>
        <w:rPr>
          <w:rFonts w:hint="eastAsia"/>
        </w:rPr>
        <w:t>2002</w:t>
      </w:r>
      <w:r>
        <w:rPr>
          <w:rFonts w:hint="eastAsia"/>
        </w:rPr>
        <w:t>年</w:t>
      </w:r>
      <w:r>
        <w:rPr>
          <w:rFonts w:hint="eastAsia"/>
        </w:rPr>
        <w:t>1</w:t>
      </w:r>
      <w:r>
        <w:rPr>
          <w:rFonts w:hint="eastAsia"/>
        </w:rPr>
        <w:t>月正式生效。这项法律比以前更加明确地规定了职业保健的一般性原则、内容以及实施。新规定的重点在于加强职工的健康和工作能力以及改善劳动条件。在《保护职工隐私法》于</w:t>
      </w:r>
      <w:r>
        <w:rPr>
          <w:rFonts w:hint="eastAsia"/>
        </w:rPr>
        <w:t>2004</w:t>
      </w:r>
      <w:r>
        <w:rPr>
          <w:rFonts w:hint="eastAsia"/>
        </w:rPr>
        <w:t>年</w:t>
      </w:r>
      <w:r>
        <w:rPr>
          <w:rFonts w:hint="eastAsia"/>
        </w:rPr>
        <w:t>10</w:t>
      </w:r>
      <w:r>
        <w:rPr>
          <w:rFonts w:hint="eastAsia"/>
        </w:rPr>
        <w:t>月</w:t>
      </w:r>
      <w:r>
        <w:rPr>
          <w:rFonts w:hint="eastAsia"/>
        </w:rPr>
        <w:t>1</w:t>
      </w:r>
      <w:r>
        <w:rPr>
          <w:rFonts w:hint="eastAsia"/>
        </w:rPr>
        <w:t>日生效时，也对《职业保健法》中有关职业保健行动计划和防止滥用麻醉药品计划的规定进行了修订。</w:t>
      </w:r>
    </w:p>
    <w:p w:rsidR="00000000" w:rsidRDefault="00000000">
      <w:pPr>
        <w:rPr>
          <w:rFonts w:hint="eastAsia"/>
        </w:rPr>
      </w:pPr>
      <w:r>
        <w:rPr>
          <w:rFonts w:hint="eastAsia"/>
        </w:rPr>
        <w:tab/>
        <w:t xml:space="preserve">334.  </w:t>
      </w:r>
      <w:r>
        <w:rPr>
          <w:rFonts w:hint="eastAsia"/>
        </w:rPr>
        <w:t>新的《职业安全和卫生法》</w:t>
      </w:r>
      <w:r>
        <w:rPr>
          <w:rFonts w:hint="eastAsia"/>
        </w:rPr>
        <w:t>(738/2002)</w:t>
      </w:r>
      <w:r>
        <w:rPr>
          <w:rFonts w:hint="eastAsia"/>
        </w:rPr>
        <w:t>于</w:t>
      </w:r>
      <w:r>
        <w:rPr>
          <w:rFonts w:hint="eastAsia"/>
        </w:rPr>
        <w:t>2003</w:t>
      </w:r>
      <w:r>
        <w:rPr>
          <w:rFonts w:hint="eastAsia"/>
        </w:rPr>
        <w:t>年</w:t>
      </w:r>
      <w:r>
        <w:rPr>
          <w:rFonts w:hint="eastAsia"/>
        </w:rPr>
        <w:t>1</w:t>
      </w:r>
      <w:r>
        <w:rPr>
          <w:rFonts w:hint="eastAsia"/>
        </w:rPr>
        <w:t>月正式生效，从而取代了</w:t>
      </w:r>
      <w:r>
        <w:rPr>
          <w:rFonts w:hint="eastAsia"/>
        </w:rPr>
        <w:t>1958</w:t>
      </w:r>
      <w:r>
        <w:rPr>
          <w:rFonts w:hint="eastAsia"/>
        </w:rPr>
        <w:t>年的法律。这项法律适用于公共部门和私营部门中的所有工作场所。这项法律载有关于职业安全和卫生的基本规定，并且提出了整体目标，强调了由工作场所自行管理劳动安全的重要性。这项法律载有一些新的规定，其中包括关于工作量、暴力威胁以及单独工作的规定。</w:t>
      </w:r>
    </w:p>
    <w:p w:rsidR="00000000" w:rsidRDefault="00000000">
      <w:pPr>
        <w:rPr>
          <w:rFonts w:hint="eastAsia"/>
        </w:rPr>
      </w:pPr>
      <w:r>
        <w:rPr>
          <w:rFonts w:hint="eastAsia"/>
        </w:rPr>
        <w:tab/>
        <w:t>335.  2003</w:t>
      </w:r>
      <w:r>
        <w:rPr>
          <w:rFonts w:hint="eastAsia"/>
        </w:rPr>
        <w:t>年</w:t>
      </w:r>
      <w:r>
        <w:rPr>
          <w:rFonts w:hint="eastAsia"/>
        </w:rPr>
        <w:t>5</w:t>
      </w:r>
      <w:r>
        <w:rPr>
          <w:rFonts w:hint="eastAsia"/>
        </w:rPr>
        <w:t>月</w:t>
      </w:r>
      <w:r>
        <w:rPr>
          <w:rFonts w:hint="eastAsia"/>
        </w:rPr>
        <w:t>15</w:t>
      </w:r>
      <w:r>
        <w:rPr>
          <w:rFonts w:hint="eastAsia"/>
        </w:rPr>
        <w:t>日，社会事务和卫生部成立了一个委员会，以便就《关于监督职业安全和卫生以及就职业安全和卫生案件提出上诉的法律》的修订提出建议。政府于</w:t>
      </w:r>
      <w:r>
        <w:rPr>
          <w:rFonts w:hint="eastAsia"/>
        </w:rPr>
        <w:t>2005</w:t>
      </w:r>
      <w:r>
        <w:rPr>
          <w:rFonts w:hint="eastAsia"/>
        </w:rPr>
        <w:t>年</w:t>
      </w:r>
      <w:r>
        <w:rPr>
          <w:rFonts w:hint="eastAsia"/>
        </w:rPr>
        <w:t>6</w:t>
      </w:r>
      <w:r>
        <w:rPr>
          <w:rFonts w:hint="eastAsia"/>
        </w:rPr>
        <w:t>月向议会提出了一项根据该委员会的建议同工会合作编写的法案。</w:t>
      </w:r>
    </w:p>
    <w:p w:rsidR="00000000" w:rsidRDefault="00000000">
      <w:pPr>
        <w:rPr>
          <w:rFonts w:hint="eastAsia"/>
        </w:rPr>
      </w:pPr>
      <w:r>
        <w:rPr>
          <w:rFonts w:hint="eastAsia"/>
        </w:rPr>
        <w:tab/>
        <w:t xml:space="preserve">336.  </w:t>
      </w:r>
      <w:r>
        <w:rPr>
          <w:rFonts w:hint="eastAsia"/>
        </w:rPr>
        <w:t>附件二十四说明了在过去十年中劳动事故和职业病有所增加的情况，该附件中还载有关于职业安全的卫生管理部门所采取的控制措施以及服务需求的信息。</w:t>
      </w:r>
    </w:p>
    <w:p w:rsidR="00000000" w:rsidRDefault="00000000">
      <w:pPr>
        <w:rPr>
          <w:rFonts w:hint="eastAsia"/>
        </w:rPr>
      </w:pPr>
      <w:r>
        <w:rPr>
          <w:rFonts w:hint="eastAsia"/>
        </w:rPr>
        <w:tab/>
        <w:t xml:space="preserve">337.  </w:t>
      </w:r>
      <w:r>
        <w:rPr>
          <w:rFonts w:hint="eastAsia"/>
        </w:rPr>
        <w:t>《保护职工隐私法》于</w:t>
      </w:r>
      <w:r>
        <w:rPr>
          <w:rFonts w:hint="eastAsia"/>
        </w:rPr>
        <w:t>2001</w:t>
      </w:r>
      <w:r>
        <w:rPr>
          <w:rFonts w:hint="eastAsia"/>
        </w:rPr>
        <w:t>年正式生效。然而，这项法律不久就进行了修订，增加了有关保护电子邮件、摄像机监视以及处理使用药物信息的规定。经过修订的《保护职工隐私法》</w:t>
      </w:r>
      <w:r>
        <w:rPr>
          <w:rFonts w:hint="eastAsia"/>
        </w:rPr>
        <w:t>(759/2004)</w:t>
      </w:r>
      <w:r>
        <w:rPr>
          <w:rFonts w:hint="eastAsia"/>
        </w:rPr>
        <w:t>于</w:t>
      </w:r>
      <w:r>
        <w:rPr>
          <w:rFonts w:hint="eastAsia"/>
        </w:rPr>
        <w:t>2004</w:t>
      </w:r>
      <w:r>
        <w:rPr>
          <w:rFonts w:hint="eastAsia"/>
        </w:rPr>
        <w:t>年</w:t>
      </w:r>
      <w:r>
        <w:rPr>
          <w:rFonts w:hint="eastAsia"/>
        </w:rPr>
        <w:t>10</w:t>
      </w:r>
      <w:r>
        <w:rPr>
          <w:rFonts w:hint="eastAsia"/>
        </w:rPr>
        <w:t>月</w:t>
      </w:r>
      <w:r>
        <w:rPr>
          <w:rFonts w:hint="eastAsia"/>
        </w:rPr>
        <w:t>1</w:t>
      </w:r>
      <w:r>
        <w:rPr>
          <w:rFonts w:hint="eastAsia"/>
        </w:rPr>
        <w:t>日正式生效。这项法律的目的是要保护职工的隐私以及其他同隐私有关的基本权利，同时加强有关处理个人数据规定的实施。这项法律适用于私营部门的雇员、政府官员以及求职者。</w:t>
      </w:r>
    </w:p>
    <w:p w:rsidR="00000000" w:rsidRDefault="00000000">
      <w:pPr>
        <w:rPr>
          <w:rFonts w:hint="eastAsia"/>
        </w:rPr>
      </w:pPr>
      <w:r>
        <w:rPr>
          <w:rFonts w:hint="eastAsia"/>
        </w:rPr>
        <w:tab/>
        <w:t xml:space="preserve">338.  </w:t>
      </w:r>
      <w:r>
        <w:rPr>
          <w:rFonts w:hint="eastAsia"/>
        </w:rPr>
        <w:t>雇主只能处理为履行雇佣合同各方的权利和义务所必需的个人数据、有关雇主为雇员所提供的福利的个人数据以及为所涉工作的特殊性质作必需的个人数据。在必要性的规定上不得有任何例外、即使在雇员同意的情况下，也不得有任何例外。</w:t>
      </w:r>
    </w:p>
    <w:p w:rsidR="00000000" w:rsidRDefault="00000000">
      <w:pPr>
        <w:rPr>
          <w:rFonts w:hint="eastAsia"/>
        </w:rPr>
      </w:pPr>
      <w:r>
        <w:rPr>
          <w:rFonts w:hint="eastAsia"/>
        </w:rPr>
        <w:tab/>
        <w:t xml:space="preserve">339.  </w:t>
      </w:r>
      <w:r>
        <w:rPr>
          <w:rFonts w:hint="eastAsia"/>
        </w:rPr>
        <w:t>这项法律规定这种程序应用于雇主收集或者处理有关雇佣问题的数据。之所以在这项法律中规定了有关措施，是为了通过法律加强人品和能力评估的可靠性以及对于求职者的保护。雇主在处理关于雇员健康数据方面的权利已经受到限制。雇主绝对不能处理有关基因测试的数据。</w:t>
      </w:r>
    </w:p>
    <w:p w:rsidR="00000000" w:rsidRDefault="00000000">
      <w:pPr>
        <w:widowControl w:val="0"/>
        <w:rPr>
          <w:rFonts w:hint="eastAsia"/>
        </w:rPr>
      </w:pPr>
      <w:r>
        <w:rPr>
          <w:rFonts w:hint="eastAsia"/>
        </w:rPr>
        <w:tab/>
        <w:t xml:space="preserve">340.  </w:t>
      </w:r>
      <w:r>
        <w:rPr>
          <w:rFonts w:hint="eastAsia"/>
        </w:rPr>
        <w:t>这项法律扩大了必须通过工作场所的合作或者磋商程序加以解决的问题范围。新的问题包括：在雇佣前后收集数据、技术性监督以及互联网和电子邮件的使用。然而，有关必要性的规定同样适用于这些程序。</w:t>
      </w:r>
    </w:p>
    <w:p w:rsidR="00000000" w:rsidRDefault="00000000">
      <w:pPr>
        <w:spacing w:after="320"/>
        <w:rPr>
          <w:rFonts w:hint="eastAsia"/>
        </w:rPr>
      </w:pPr>
      <w:r>
        <w:rPr>
          <w:rFonts w:hint="eastAsia"/>
        </w:rPr>
        <w:tab/>
        <w:t xml:space="preserve">341.  </w:t>
      </w:r>
      <w:r>
        <w:rPr>
          <w:rFonts w:hint="eastAsia"/>
        </w:rPr>
        <w:t>如果雇主或其代表在蓄意违反或者严重疏忽的情况下违反这项法律的规定，可能会被处以罚款。</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 xml:space="preserve">.  </w:t>
      </w:r>
      <w:r>
        <w:rPr>
          <w:rFonts w:ascii="Time New Roman" w:eastAsia="SimHei" w:hAnsi="Time New Roman" w:hint="eastAsia"/>
          <w:u w:val="none"/>
        </w:rPr>
        <w:t>有关同等晋升机会原则的执行情况</w:t>
      </w:r>
    </w:p>
    <w:p w:rsidR="00000000" w:rsidRDefault="00000000">
      <w:pPr>
        <w:rPr>
          <w:rFonts w:hint="eastAsia"/>
        </w:rPr>
      </w:pPr>
      <w:r>
        <w:rPr>
          <w:rFonts w:hint="eastAsia"/>
        </w:rPr>
        <w:tab/>
        <w:t xml:space="preserve">342.  </w:t>
      </w:r>
      <w:r>
        <w:rPr>
          <w:rFonts w:hint="eastAsia"/>
        </w:rPr>
        <w:t>《雇佣合同法》</w:t>
      </w:r>
      <w:r>
        <w:rPr>
          <w:rFonts w:hint="eastAsia"/>
        </w:rPr>
        <w:t>(55/2001)</w:t>
      </w:r>
      <w:r>
        <w:rPr>
          <w:rFonts w:hint="eastAsia"/>
        </w:rPr>
        <w:t>第二章第</w:t>
      </w:r>
      <w:r>
        <w:rPr>
          <w:rFonts w:hint="eastAsia"/>
        </w:rPr>
        <w:t>1</w:t>
      </w:r>
      <w:r>
        <w:rPr>
          <w:rFonts w:hint="eastAsia"/>
        </w:rPr>
        <w:t>节规定，雇主应在所有方面的工作中改善雇主同雇员的关系以及雇员之间的关系。雇主应尽力向雇员提供机会，使其根据自己能力发展，以便取得职业提升。</w:t>
      </w:r>
    </w:p>
    <w:p w:rsidR="00000000" w:rsidRDefault="00000000">
      <w:pPr>
        <w:rPr>
          <w:rFonts w:hint="eastAsia"/>
        </w:rPr>
      </w:pPr>
      <w:r>
        <w:rPr>
          <w:rFonts w:hint="eastAsia"/>
        </w:rPr>
        <w:tab/>
        <w:t xml:space="preserve">343.  </w:t>
      </w:r>
      <w:r>
        <w:rPr>
          <w:rFonts w:hint="eastAsia"/>
        </w:rPr>
        <w:t>为了加强国家机关中妇女主管的职业提升，财政部在</w:t>
      </w:r>
      <w:r>
        <w:rPr>
          <w:rFonts w:hint="eastAsia"/>
        </w:rPr>
        <w:t>2002</w:t>
      </w:r>
      <w:r>
        <w:rPr>
          <w:rFonts w:hint="eastAsia"/>
        </w:rPr>
        <w:t>年设立了一个妇女主管网络。这个网络包括来自国家机关各个部门的大约</w:t>
      </w:r>
      <w:r>
        <w:rPr>
          <w:rFonts w:hint="eastAsia"/>
        </w:rPr>
        <w:t>300</w:t>
      </w:r>
      <w:r>
        <w:rPr>
          <w:rFonts w:hint="eastAsia"/>
        </w:rPr>
        <w:t>名妇女主管。各个部委的首长在</w:t>
      </w:r>
      <w:r>
        <w:rPr>
          <w:rFonts w:hint="eastAsia"/>
        </w:rPr>
        <w:t>2004</w:t>
      </w:r>
      <w:r>
        <w:rPr>
          <w:rFonts w:hint="eastAsia"/>
        </w:rPr>
        <w:t>年和</w:t>
      </w:r>
      <w:r>
        <w:rPr>
          <w:rFonts w:hint="eastAsia"/>
        </w:rPr>
        <w:t>2005</w:t>
      </w:r>
      <w:r>
        <w:rPr>
          <w:rFonts w:hint="eastAsia"/>
        </w:rPr>
        <w:t>年轮流组织了这些主管之间的会议。在</w:t>
      </w:r>
      <w:r>
        <w:rPr>
          <w:rFonts w:hint="eastAsia"/>
        </w:rPr>
        <w:t>2005</w:t>
      </w:r>
      <w:r>
        <w:rPr>
          <w:rFonts w:hint="eastAsia"/>
        </w:rPr>
        <w:t>年年底，将对这种合作形式的效果进行评估，并且决定是否值得继续进行。</w:t>
      </w:r>
    </w:p>
    <w:p w:rsidR="00000000" w:rsidRDefault="00000000">
      <w:pPr>
        <w:spacing w:after="320"/>
        <w:rPr>
          <w:rFonts w:hint="eastAsia"/>
        </w:rPr>
      </w:pPr>
      <w:r>
        <w:rPr>
          <w:rFonts w:hint="eastAsia"/>
        </w:rPr>
        <w:tab/>
        <w:t xml:space="preserve">344.  </w:t>
      </w:r>
      <w:r>
        <w:rPr>
          <w:rFonts w:hint="eastAsia"/>
        </w:rPr>
        <w:t>政府还提到了于</w:t>
      </w:r>
      <w:r>
        <w:rPr>
          <w:rFonts w:hint="eastAsia"/>
        </w:rPr>
        <w:t>1999</w:t>
      </w:r>
      <w:r>
        <w:rPr>
          <w:rFonts w:hint="eastAsia"/>
        </w:rPr>
        <w:t>年、</w:t>
      </w:r>
      <w:r>
        <w:rPr>
          <w:rFonts w:hint="eastAsia"/>
        </w:rPr>
        <w:t>2001</w:t>
      </w:r>
      <w:r>
        <w:rPr>
          <w:rFonts w:hint="eastAsia"/>
        </w:rPr>
        <w:t>年以及</w:t>
      </w:r>
      <w:r>
        <w:rPr>
          <w:rFonts w:hint="eastAsia"/>
        </w:rPr>
        <w:t>2003</w:t>
      </w:r>
      <w:r>
        <w:rPr>
          <w:rFonts w:hint="eastAsia"/>
        </w:rPr>
        <w:t>年提交的有关劳工组织第</w:t>
      </w:r>
      <w:r>
        <w:rPr>
          <w:rFonts w:hint="eastAsia"/>
        </w:rPr>
        <w:t>111</w:t>
      </w:r>
      <w:r>
        <w:rPr>
          <w:rFonts w:hint="eastAsia"/>
        </w:rPr>
        <w:t>号公约执行情况的定期报告</w:t>
      </w:r>
      <w:r>
        <w:rPr>
          <w:rFonts w:hint="eastAsia"/>
        </w:rPr>
        <w:t>(</w:t>
      </w:r>
      <w:r>
        <w:rPr>
          <w:rFonts w:hint="eastAsia"/>
        </w:rPr>
        <w:t>附件一至附件三</w:t>
      </w:r>
      <w:r>
        <w:rPr>
          <w:rFonts w:hint="eastAsia"/>
        </w:rPr>
        <w:t>)</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 xml:space="preserve">.  </w:t>
      </w:r>
      <w:r>
        <w:rPr>
          <w:rFonts w:ascii="Time New Roman" w:eastAsia="SimHei" w:hAnsi="Time New Roman" w:hint="eastAsia"/>
          <w:u w:val="none"/>
        </w:rPr>
        <w:t>工作时间、照给工资的定期休假以及公共假日的报酬</w:t>
      </w:r>
    </w:p>
    <w:p w:rsidR="00000000" w:rsidRDefault="00000000">
      <w:pPr>
        <w:rPr>
          <w:rFonts w:hint="eastAsia"/>
        </w:rPr>
      </w:pPr>
      <w:r>
        <w:rPr>
          <w:rFonts w:hint="eastAsia"/>
        </w:rPr>
        <w:tab/>
        <w:t xml:space="preserve">345.  </w:t>
      </w:r>
      <w:r>
        <w:rPr>
          <w:rFonts w:hint="eastAsia"/>
        </w:rPr>
        <w:t>对于《工作时间法》</w:t>
      </w:r>
      <w:r>
        <w:rPr>
          <w:rFonts w:hint="eastAsia"/>
        </w:rPr>
        <w:t>(605/1996)</w:t>
      </w:r>
      <w:r>
        <w:rPr>
          <w:rFonts w:hint="eastAsia"/>
        </w:rPr>
        <w:t>的修订主要是技术性的，从而也引起了对于其他有关工作时间法律的修订。</w:t>
      </w:r>
    </w:p>
    <w:p w:rsidR="00000000" w:rsidRDefault="00000000">
      <w:pPr>
        <w:rPr>
          <w:rFonts w:hint="eastAsia"/>
        </w:rPr>
      </w:pPr>
      <w:r>
        <w:rPr>
          <w:rFonts w:hint="eastAsia"/>
        </w:rPr>
        <w:tab/>
        <w:t xml:space="preserve">346.  </w:t>
      </w:r>
      <w:r>
        <w:rPr>
          <w:rFonts w:hint="eastAsia"/>
        </w:rPr>
        <w:t>新的《年度假法》</w:t>
      </w:r>
      <w:r>
        <w:rPr>
          <w:rFonts w:hint="eastAsia"/>
        </w:rPr>
        <w:t>(162/2005)</w:t>
      </w:r>
      <w:r>
        <w:rPr>
          <w:rFonts w:hint="eastAsia"/>
        </w:rPr>
        <w:t>于</w:t>
      </w:r>
      <w:r>
        <w:rPr>
          <w:rFonts w:hint="eastAsia"/>
        </w:rPr>
        <w:t>2005</w:t>
      </w:r>
      <w:r>
        <w:rPr>
          <w:rFonts w:hint="eastAsia"/>
        </w:rPr>
        <w:t>年</w:t>
      </w:r>
      <w:r>
        <w:rPr>
          <w:rFonts w:hint="eastAsia"/>
        </w:rPr>
        <w:t>4</w:t>
      </w:r>
      <w:r>
        <w:rPr>
          <w:rFonts w:hint="eastAsia"/>
        </w:rPr>
        <w:t>月</w:t>
      </w:r>
      <w:r>
        <w:rPr>
          <w:rFonts w:hint="eastAsia"/>
        </w:rPr>
        <w:t>1</w:t>
      </w:r>
      <w:r>
        <w:rPr>
          <w:rFonts w:hint="eastAsia"/>
        </w:rPr>
        <w:t>日正式生效，取代了</w:t>
      </w:r>
      <w:r>
        <w:rPr>
          <w:rFonts w:hint="eastAsia"/>
        </w:rPr>
        <w:t>1973</w:t>
      </w:r>
      <w:r>
        <w:rPr>
          <w:rFonts w:hint="eastAsia"/>
        </w:rPr>
        <w:t>年的法律，这项法律的有关规定适用于政府官员的年度假期。这项法律改进了临时工和非全日制职工的休假福利，并且使得休假时间更为灵活，从而确保人人都能享受有薪年度假，并且确保更好地协调工作和家庭生活。此外，这项法律还保护了长期病假或者被临时解雇的职工的休假权利。新的《年度假法》适用于所有私营部门的雇员以及政府官员。</w:t>
      </w:r>
    </w:p>
    <w:p w:rsidR="00000000" w:rsidRDefault="00000000">
      <w:pPr>
        <w:widowControl w:val="0"/>
        <w:rPr>
          <w:rFonts w:hint="eastAsia"/>
        </w:rPr>
      </w:pPr>
      <w:r>
        <w:rPr>
          <w:rFonts w:hint="eastAsia"/>
        </w:rPr>
        <w:tab/>
        <w:t xml:space="preserve">347.  </w:t>
      </w:r>
      <w:r>
        <w:rPr>
          <w:rFonts w:hint="eastAsia"/>
        </w:rPr>
        <w:t>据以计算年度假期的原则同已被废除的法律中的原则是一样的。非全日制雇员的地位有所加强，因为与被废除的法律不同，累积假期的新规定也适用于</w:t>
      </w:r>
      <w:r>
        <w:rPr>
          <w:rFonts w:hint="eastAsia"/>
        </w:rPr>
        <w:t>35</w:t>
      </w:r>
      <w:r>
        <w:rPr>
          <w:rFonts w:hint="eastAsia"/>
        </w:rPr>
        <w:t>工时规则所涉的职工。如果雇员在一个月中已经累积了</w:t>
      </w:r>
      <w:r>
        <w:rPr>
          <w:rFonts w:hint="eastAsia"/>
        </w:rPr>
        <w:t>35</w:t>
      </w:r>
      <w:r>
        <w:rPr>
          <w:rFonts w:hint="eastAsia"/>
        </w:rPr>
        <w:t>个工时以上的假期，即已完成当月的休假指标。因此，这些在病假或者被临时解雇的情况下的待遇是同全日制雇员的待遇一样的。</w:t>
      </w:r>
    </w:p>
    <w:p w:rsidR="00000000" w:rsidRDefault="00000000">
      <w:pPr>
        <w:rPr>
          <w:rFonts w:hint="eastAsia"/>
        </w:rPr>
      </w:pPr>
      <w:r>
        <w:rPr>
          <w:rFonts w:hint="eastAsia"/>
        </w:rPr>
        <w:tab/>
        <w:t xml:space="preserve">348.  </w:t>
      </w:r>
      <w:r>
        <w:rPr>
          <w:rFonts w:hint="eastAsia"/>
        </w:rPr>
        <w:t>以前无权休假的职工的地位也有所改善，现在他们享有休假的权利。职工每工作一个月可累积两天假期。如果雇佣期超过一年，职工有权享受四周的有薪假期。这项规定也适用于家庭佣工以及充当雇员的雇主家庭成员。按照以前的方法计算，这些人是无权休假的。</w:t>
      </w:r>
    </w:p>
    <w:p w:rsidR="00000000" w:rsidRDefault="00000000">
      <w:pPr>
        <w:rPr>
          <w:rFonts w:hint="eastAsia"/>
        </w:rPr>
      </w:pPr>
      <w:r>
        <w:rPr>
          <w:rFonts w:hint="eastAsia"/>
        </w:rPr>
        <w:tab/>
        <w:t xml:space="preserve">349.  </w:t>
      </w:r>
      <w:r>
        <w:rPr>
          <w:rFonts w:hint="eastAsia"/>
        </w:rPr>
        <w:t>如果工人经常为同一个雇主工作，而且每次合同的间隔很短，则有权休假。在这种情况下，最长休假时间的计算方法同年度假的计算方法是一样的。</w:t>
      </w:r>
    </w:p>
    <w:p w:rsidR="00000000" w:rsidRDefault="00000000">
      <w:pPr>
        <w:rPr>
          <w:rFonts w:hint="eastAsia"/>
        </w:rPr>
      </w:pPr>
      <w:r>
        <w:rPr>
          <w:rFonts w:hint="eastAsia"/>
        </w:rPr>
        <w:tab/>
        <w:t xml:space="preserve">350.  </w:t>
      </w:r>
      <w:r>
        <w:rPr>
          <w:rFonts w:hint="eastAsia"/>
        </w:rPr>
        <w:t>临时工的地位得到进一步加强，因为可以商定，在经常签订雇佣合同的情况下，有薪假期可以累积，并且存入下一个雇佣合同。</w:t>
      </w:r>
    </w:p>
    <w:p w:rsidR="00000000" w:rsidRDefault="00000000">
      <w:pPr>
        <w:rPr>
          <w:rFonts w:hint="eastAsia"/>
        </w:rPr>
      </w:pPr>
      <w:r>
        <w:rPr>
          <w:rFonts w:hint="eastAsia"/>
        </w:rPr>
        <w:tab/>
        <w:t xml:space="preserve">351.  </w:t>
      </w:r>
      <w:r>
        <w:rPr>
          <w:rFonts w:hint="eastAsia"/>
        </w:rPr>
        <w:t>同已被废除的法律一样，雇主仍然可以规定休假的时机，然而，也可就此进行协商。如果职工主动提出，职工同雇主可以商定，部分超过</w:t>
      </w:r>
      <w:r>
        <w:rPr>
          <w:rFonts w:hint="eastAsia"/>
        </w:rPr>
        <w:t>24</w:t>
      </w:r>
      <w:r>
        <w:rPr>
          <w:rFonts w:hint="eastAsia"/>
        </w:rPr>
        <w:t>个工作日的假期可以减少每日工作时间的形式加以消化，例如，可以通过将每天的工作时间减少一半，从而在两周内完成一周的工作量。这种做法可能符合小学生父母的利益。</w:t>
      </w:r>
    </w:p>
    <w:p w:rsidR="00000000" w:rsidRDefault="00000000">
      <w:pPr>
        <w:rPr>
          <w:rFonts w:hint="eastAsia"/>
        </w:rPr>
      </w:pPr>
      <w:r>
        <w:rPr>
          <w:rFonts w:hint="eastAsia"/>
        </w:rPr>
        <w:tab/>
        <w:t xml:space="preserve">352.  </w:t>
      </w:r>
      <w:r>
        <w:rPr>
          <w:rFonts w:hint="eastAsia"/>
        </w:rPr>
        <w:t>经过改革的《年度假法》扩大了有关通过集体协议废除这项法律中的强制性规定的可能性，但是商定的安排必须确保职工的法定年度假期。因此，在商定年度假期的安排时，就有可能考虑到具体部门的要求。</w:t>
      </w:r>
    </w:p>
    <w:p w:rsidR="00000000" w:rsidRDefault="00000000">
      <w:pPr>
        <w:spacing w:after="320"/>
        <w:rPr>
          <w:rFonts w:hint="eastAsia"/>
        </w:rPr>
      </w:pPr>
      <w:r>
        <w:rPr>
          <w:rFonts w:hint="eastAsia"/>
        </w:rPr>
        <w:tab/>
        <w:t xml:space="preserve">353.  </w:t>
      </w:r>
      <w:r>
        <w:rPr>
          <w:rFonts w:hint="eastAsia"/>
        </w:rPr>
        <w:t>政府还提到了于</w:t>
      </w:r>
      <w:r>
        <w:rPr>
          <w:rFonts w:hint="eastAsia"/>
        </w:rPr>
        <w:t>2000</w:t>
      </w:r>
      <w:r>
        <w:rPr>
          <w:rFonts w:hint="eastAsia"/>
        </w:rPr>
        <w:t>年和</w:t>
      </w:r>
      <w:r>
        <w:rPr>
          <w:rFonts w:hint="eastAsia"/>
        </w:rPr>
        <w:t>2003</w:t>
      </w:r>
      <w:r>
        <w:rPr>
          <w:rFonts w:hint="eastAsia"/>
        </w:rPr>
        <w:t>年提交的有关劳工组织第</w:t>
      </w:r>
      <w:r>
        <w:rPr>
          <w:rFonts w:hint="eastAsia"/>
        </w:rPr>
        <w:t>132</w:t>
      </w:r>
      <w:r>
        <w:rPr>
          <w:rFonts w:hint="eastAsia"/>
        </w:rPr>
        <w:t>号公约执行情况的定期报告</w:t>
      </w:r>
      <w:r>
        <w:rPr>
          <w:rFonts w:hint="eastAsia"/>
        </w:rPr>
        <w:t>(</w:t>
      </w:r>
      <w:r>
        <w:rPr>
          <w:rFonts w:hint="eastAsia"/>
        </w:rPr>
        <w:t>附件十和附件十一</w:t>
      </w:r>
      <w:r>
        <w:rPr>
          <w:rFonts w:hint="eastAsia"/>
        </w:rPr>
        <w:t>)</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a</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影响实现上述权利的因素和困难</w:t>
      </w:r>
    </w:p>
    <w:p w:rsidR="00000000" w:rsidRDefault="00000000">
      <w:pPr>
        <w:spacing w:after="320"/>
        <w:rPr>
          <w:rFonts w:hint="eastAsia"/>
        </w:rPr>
      </w:pPr>
      <w:r>
        <w:rPr>
          <w:rFonts w:hint="eastAsia"/>
        </w:rPr>
        <w:tab/>
        <w:t xml:space="preserve">354.  </w:t>
      </w:r>
      <w:r>
        <w:rPr>
          <w:rFonts w:hint="eastAsia"/>
        </w:rPr>
        <w:t>根据芬兰学术专业人员工会理事会于</w:t>
      </w:r>
      <w:r>
        <w:rPr>
          <w:rFonts w:hint="eastAsia"/>
        </w:rPr>
        <w:t>2005</w:t>
      </w:r>
      <w:r>
        <w:rPr>
          <w:rFonts w:hint="eastAsia"/>
        </w:rPr>
        <w:t>年春天所发表的一项调查，从</w:t>
      </w:r>
      <w:r>
        <w:rPr>
          <w:rFonts w:hint="eastAsia"/>
        </w:rPr>
        <w:t>1999</w:t>
      </w:r>
      <w:r>
        <w:rPr>
          <w:rFonts w:hint="eastAsia"/>
        </w:rPr>
        <w:t>年到</w:t>
      </w:r>
      <w:r>
        <w:rPr>
          <w:rFonts w:hint="eastAsia"/>
        </w:rPr>
        <w:t>2004</w:t>
      </w:r>
      <w:r>
        <w:rPr>
          <w:rFonts w:hint="eastAsia"/>
        </w:rPr>
        <w:t>年，其成员每周总的工作时间大约减少了</w:t>
      </w:r>
      <w:r>
        <w:rPr>
          <w:rFonts w:hint="eastAsia"/>
        </w:rPr>
        <w:t>1.8</w:t>
      </w:r>
      <w:r>
        <w:rPr>
          <w:rFonts w:hint="eastAsia"/>
        </w:rPr>
        <w:t>小时，在</w:t>
      </w:r>
      <w:r>
        <w:rPr>
          <w:rFonts w:hint="eastAsia"/>
        </w:rPr>
        <w:t>2004</w:t>
      </w:r>
      <w:r>
        <w:rPr>
          <w:rFonts w:hint="eastAsia"/>
        </w:rPr>
        <w:t>年，每周平均总的工作时间为</w:t>
      </w:r>
      <w:r>
        <w:rPr>
          <w:rFonts w:hint="eastAsia"/>
        </w:rPr>
        <w:t>41.2</w:t>
      </w:r>
      <w:r>
        <w:rPr>
          <w:rFonts w:hint="eastAsia"/>
        </w:rPr>
        <w:t>小时，其中各个部门的情况有很大差异。</w:t>
      </w:r>
      <w:r>
        <w:rPr>
          <w:rFonts w:hint="eastAsia"/>
        </w:rPr>
        <w:t>59%</w:t>
      </w:r>
      <w:r>
        <w:rPr>
          <w:rFonts w:hint="eastAsia"/>
        </w:rPr>
        <w:t>的工会会员每周平均加班</w:t>
      </w:r>
      <w:r>
        <w:rPr>
          <w:rFonts w:hint="eastAsia"/>
        </w:rPr>
        <w:t>6.7</w:t>
      </w:r>
      <w:r>
        <w:rPr>
          <w:rFonts w:hint="eastAsia"/>
        </w:rPr>
        <w:t>小时。从</w:t>
      </w:r>
      <w:r>
        <w:rPr>
          <w:rFonts w:hint="eastAsia"/>
        </w:rPr>
        <w:t>1999</w:t>
      </w:r>
      <w:r>
        <w:rPr>
          <w:rFonts w:hint="eastAsia"/>
        </w:rPr>
        <w:t>年以来，无偿加班的时间已经减少，但是</w:t>
      </w:r>
      <w:r>
        <w:rPr>
          <w:rFonts w:hint="eastAsia"/>
        </w:rPr>
        <w:t>41%</w:t>
      </w:r>
      <w:r>
        <w:rPr>
          <w:rFonts w:hint="eastAsia"/>
        </w:rPr>
        <w:t>的会员仍然无偿加班。</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b/>
          <w:u w:val="none"/>
        </w:rPr>
        <w:t>b</w:t>
      </w:r>
      <w:r>
        <w:rPr>
          <w:rFonts w:ascii="Time New Roman" w:eastAsia="SimHei" w:hAnsi="Time New Roman" w:hint="eastAsia"/>
          <w:u w:val="none"/>
        </w:rPr>
        <w:t xml:space="preserve">)  </w:t>
      </w:r>
      <w:r>
        <w:rPr>
          <w:rFonts w:ascii="Time New Roman" w:eastAsia="SimHei" w:hAnsi="Time New Roman" w:hint="eastAsia"/>
          <w:u w:val="none"/>
        </w:rPr>
        <w:t>无法享受上述权利的职工分类</w:t>
      </w:r>
    </w:p>
    <w:p w:rsidR="00000000" w:rsidRDefault="00000000">
      <w:pPr>
        <w:spacing w:after="320"/>
        <w:rPr>
          <w:rFonts w:hint="eastAsia"/>
        </w:rPr>
      </w:pPr>
      <w:r>
        <w:rPr>
          <w:rFonts w:hint="eastAsia"/>
        </w:rPr>
        <w:tab/>
        <w:t xml:space="preserve">355.  </w:t>
      </w:r>
      <w:r>
        <w:rPr>
          <w:rFonts w:hint="eastAsia"/>
        </w:rPr>
        <w:t>政府提到了在上文有关《年度假法》的改革中所提供的资料。</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6</w:t>
      </w:r>
      <w:r>
        <w:rPr>
          <w:rFonts w:ascii="Time New Roman" w:eastAsia="SimHei" w:hAnsi="Time New Roman" w:hint="eastAsia"/>
          <w:u w:val="none"/>
        </w:rPr>
        <w:t xml:space="preserve">.  </w:t>
      </w:r>
      <w:r>
        <w:rPr>
          <w:rFonts w:ascii="Time New Roman" w:eastAsia="SimHei" w:hAnsi="Time New Roman" w:hint="eastAsia"/>
          <w:u w:val="none"/>
        </w:rPr>
        <w:t>国家法律的改革</w:t>
      </w:r>
    </w:p>
    <w:p w:rsidR="00000000" w:rsidRDefault="00000000">
      <w:pPr>
        <w:rPr>
          <w:rFonts w:hint="eastAsia"/>
        </w:rPr>
      </w:pPr>
      <w:r>
        <w:rPr>
          <w:rFonts w:hint="eastAsia"/>
        </w:rPr>
        <w:tab/>
        <w:t xml:space="preserve">356.  </w:t>
      </w:r>
      <w:r>
        <w:rPr>
          <w:rFonts w:hint="eastAsia"/>
        </w:rPr>
        <w:t>关于职工的平等待遇，政府提到了在第</w:t>
      </w:r>
      <w:r>
        <w:rPr>
          <w:rFonts w:hint="eastAsia"/>
        </w:rPr>
        <w:t>2(</w:t>
      </w:r>
      <w:r>
        <w:t>c</w:t>
      </w:r>
      <w:r>
        <w:rPr>
          <w:rFonts w:hint="eastAsia"/>
        </w:rPr>
        <w:t>)</w:t>
      </w:r>
      <w:r>
        <w:rPr>
          <w:rFonts w:hint="eastAsia"/>
        </w:rPr>
        <w:t>节第</w:t>
      </w:r>
      <w:r>
        <w:rPr>
          <w:rFonts w:hint="eastAsia"/>
        </w:rPr>
        <w:t>3</w:t>
      </w:r>
      <w:r>
        <w:rPr>
          <w:rFonts w:hint="eastAsia"/>
        </w:rPr>
        <w:t>条和第</w:t>
      </w:r>
      <w:r>
        <w:rPr>
          <w:rFonts w:hint="eastAsia"/>
        </w:rPr>
        <w:t>7</w:t>
      </w:r>
      <w:r>
        <w:rPr>
          <w:rFonts w:hint="eastAsia"/>
        </w:rPr>
        <w:t>条项下提供的资料。</w:t>
      </w:r>
    </w:p>
    <w:p w:rsidR="00000000" w:rsidRDefault="00000000">
      <w:pPr>
        <w:spacing w:after="320"/>
        <w:rPr>
          <w:rFonts w:hint="eastAsia"/>
        </w:rPr>
      </w:pPr>
      <w:r>
        <w:rPr>
          <w:rFonts w:hint="eastAsia"/>
        </w:rPr>
        <w:tab/>
        <w:t xml:space="preserve">357.  </w:t>
      </w:r>
      <w:r>
        <w:rPr>
          <w:rFonts w:hint="eastAsia"/>
        </w:rPr>
        <w:t>上文第三节说明了有关职业安全和卫生及其主管机构的法律修订问题。于</w:t>
      </w:r>
      <w:r>
        <w:rPr>
          <w:rFonts w:hint="eastAsia"/>
        </w:rPr>
        <w:t>2004</w:t>
      </w:r>
      <w:r>
        <w:rPr>
          <w:rFonts w:hint="eastAsia"/>
        </w:rPr>
        <w:t>年提交的有关劳工组织第</w:t>
      </w:r>
      <w:r>
        <w:rPr>
          <w:rFonts w:hint="eastAsia"/>
        </w:rPr>
        <w:t>81</w:t>
      </w:r>
      <w:r>
        <w:rPr>
          <w:rFonts w:hint="eastAsia"/>
        </w:rPr>
        <w:t>号公约执行情况的定期报告，以及于</w:t>
      </w:r>
      <w:r>
        <w:rPr>
          <w:rFonts w:hint="eastAsia"/>
        </w:rPr>
        <w:t>2000</w:t>
      </w:r>
      <w:r>
        <w:rPr>
          <w:rFonts w:hint="eastAsia"/>
        </w:rPr>
        <w:t>年、</w:t>
      </w:r>
      <w:r>
        <w:rPr>
          <w:rFonts w:hint="eastAsia"/>
        </w:rPr>
        <w:t>2002</w:t>
      </w:r>
      <w:r>
        <w:rPr>
          <w:rFonts w:hint="eastAsia"/>
        </w:rPr>
        <w:t>年以及</w:t>
      </w:r>
      <w:r>
        <w:rPr>
          <w:rFonts w:hint="eastAsia"/>
        </w:rPr>
        <w:t>2004</w:t>
      </w:r>
      <w:r>
        <w:rPr>
          <w:rFonts w:hint="eastAsia"/>
        </w:rPr>
        <w:t>年提交的关于劳工组织第</w:t>
      </w:r>
      <w:r>
        <w:rPr>
          <w:rFonts w:hint="eastAsia"/>
        </w:rPr>
        <w:t>129</w:t>
      </w:r>
      <w:r>
        <w:rPr>
          <w:rFonts w:hint="eastAsia"/>
        </w:rPr>
        <w:t>号公约执行情况的定期报告附于本报告</w:t>
      </w:r>
      <w:r>
        <w:rPr>
          <w:rFonts w:hint="eastAsia"/>
        </w:rPr>
        <w:t>(</w:t>
      </w:r>
      <w:r>
        <w:rPr>
          <w:rFonts w:hint="eastAsia"/>
        </w:rPr>
        <w:t>附件十二至附件十五</w:t>
      </w:r>
      <w:r>
        <w:rPr>
          <w:rFonts w:hint="eastAsia"/>
        </w:rPr>
        <w:t>)</w:t>
      </w:r>
      <w:r>
        <w:rPr>
          <w:rFonts w:hint="eastAsia"/>
        </w:rPr>
        <w:t>。</w:t>
      </w:r>
    </w:p>
    <w:p w:rsidR="00000000" w:rsidRDefault="00000000">
      <w:pPr>
        <w:pStyle w:val="Heading2"/>
        <w:rPr>
          <w:rFonts w:ascii="Time New Roman" w:eastAsia="SimHei" w:hAnsi="Time New Roman" w:hint="eastAsia"/>
          <w:sz w:val="24"/>
        </w:rPr>
      </w:pPr>
      <w:r>
        <w:rPr>
          <w:rFonts w:ascii="Time New Roman" w:eastAsia="SimHei" w:hAnsi="Time New Roman" w:hint="eastAsia"/>
          <w:sz w:val="24"/>
        </w:rPr>
        <w:t>第</w:t>
      </w:r>
      <w:r>
        <w:rPr>
          <w:rFonts w:ascii="Time New Roman" w:eastAsia="SimHei" w:hAnsi="Time New Roman" w:hint="eastAsia"/>
          <w:sz w:val="24"/>
        </w:rPr>
        <w:t xml:space="preserve"> </w:t>
      </w:r>
      <w:r>
        <w:rPr>
          <w:rFonts w:ascii="Time New Roman" w:eastAsia="SimHei" w:hAnsi="Time New Roman" w:hint="eastAsia"/>
          <w:sz w:val="24"/>
        </w:rPr>
        <w:t>八</w:t>
      </w:r>
      <w:r>
        <w:rPr>
          <w:rFonts w:ascii="Time New Roman" w:eastAsia="SimHei" w:hAnsi="Time New Roman" w:hint="eastAsia"/>
          <w:sz w:val="24"/>
        </w:rPr>
        <w:t xml:space="preserve"> </w:t>
      </w:r>
      <w:r>
        <w:rPr>
          <w:rFonts w:ascii="Time New Roman" w:eastAsia="SimHei" w:hAnsi="Time New Roman" w:hint="eastAsia"/>
          <w:sz w:val="24"/>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国际公约</w:t>
      </w:r>
    </w:p>
    <w:p w:rsidR="00000000" w:rsidRDefault="00000000">
      <w:pPr>
        <w:rPr>
          <w:rFonts w:hint="eastAsia"/>
        </w:rPr>
      </w:pPr>
      <w:r>
        <w:rPr>
          <w:rFonts w:hint="eastAsia"/>
        </w:rPr>
        <w:tab/>
        <w:t xml:space="preserve">358.  </w:t>
      </w:r>
      <w:r>
        <w:rPr>
          <w:rFonts w:hint="eastAsia"/>
        </w:rPr>
        <w:t>荷兰已经了批准了在一般性准则中所提到的所有公约。</w:t>
      </w:r>
    </w:p>
    <w:p w:rsidR="00000000" w:rsidRDefault="00000000">
      <w:pPr>
        <w:rPr>
          <w:rFonts w:hint="eastAsia"/>
        </w:rPr>
      </w:pPr>
      <w:r>
        <w:rPr>
          <w:rFonts w:hint="eastAsia"/>
        </w:rPr>
        <w:tab/>
        <w:t xml:space="preserve">359.  </w:t>
      </w:r>
      <w:r>
        <w:rPr>
          <w:rFonts w:hint="eastAsia"/>
        </w:rPr>
        <w:t>在本报告所涉期间，没有对适用于工会会员的国家法律以及《劳资纠纷调介法》</w:t>
      </w:r>
      <w:r>
        <w:rPr>
          <w:rFonts w:hint="eastAsia"/>
        </w:rPr>
        <w:t>(420/1962)</w:t>
      </w:r>
      <w:r>
        <w:rPr>
          <w:rFonts w:hint="eastAsia"/>
        </w:rPr>
        <w:t>进行过修订。</w:t>
      </w:r>
    </w:p>
    <w:p w:rsidR="00000000" w:rsidRDefault="00000000">
      <w:pPr>
        <w:spacing w:after="320"/>
        <w:rPr>
          <w:rFonts w:hint="eastAsia"/>
        </w:rPr>
      </w:pPr>
      <w:r>
        <w:rPr>
          <w:rFonts w:hint="eastAsia"/>
        </w:rPr>
        <w:tab/>
        <w:t xml:space="preserve">360.  </w:t>
      </w:r>
      <w:r>
        <w:rPr>
          <w:rFonts w:hint="eastAsia"/>
        </w:rPr>
        <w:t>在于</w:t>
      </w:r>
      <w:r>
        <w:rPr>
          <w:rFonts w:hint="eastAsia"/>
        </w:rPr>
        <w:t>2000</w:t>
      </w:r>
      <w:r>
        <w:rPr>
          <w:rFonts w:hint="eastAsia"/>
        </w:rPr>
        <w:t>年、</w:t>
      </w:r>
      <w:r>
        <w:rPr>
          <w:rFonts w:hint="eastAsia"/>
        </w:rPr>
        <w:t>2002</w:t>
      </w:r>
      <w:r>
        <w:rPr>
          <w:rFonts w:hint="eastAsia"/>
        </w:rPr>
        <w:t>年以及</w:t>
      </w:r>
      <w:r>
        <w:rPr>
          <w:rFonts w:hint="eastAsia"/>
        </w:rPr>
        <w:t>2003</w:t>
      </w:r>
      <w:r>
        <w:rPr>
          <w:rFonts w:hint="eastAsia"/>
        </w:rPr>
        <w:t>年提交的有关劳工组织第</w:t>
      </w:r>
      <w:r>
        <w:rPr>
          <w:rFonts w:hint="eastAsia"/>
        </w:rPr>
        <w:t>87</w:t>
      </w:r>
      <w:r>
        <w:rPr>
          <w:rFonts w:hint="eastAsia"/>
        </w:rPr>
        <w:t>号公约执行情况的定期报告中载有关于工会会员的资料</w:t>
      </w:r>
      <w:r>
        <w:rPr>
          <w:rFonts w:hint="eastAsia"/>
        </w:rPr>
        <w:t>(</w:t>
      </w:r>
      <w:r>
        <w:rPr>
          <w:rFonts w:hint="eastAsia"/>
        </w:rPr>
        <w:t>附件十六至附件十八</w:t>
      </w:r>
      <w:r>
        <w:rPr>
          <w:rFonts w:hint="eastAsia"/>
        </w:rPr>
        <w:t>)</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e</w:t>
      </w:r>
      <w:r>
        <w:rPr>
          <w:rFonts w:ascii="Time New Roman" w:eastAsia="SimHei" w:hAnsi="Time New Roman" w:hint="eastAsia"/>
          <w:u w:val="none"/>
        </w:rPr>
        <w:t xml:space="preserve">)  </w:t>
      </w:r>
      <w:r>
        <w:rPr>
          <w:rFonts w:ascii="Time New Roman" w:eastAsia="SimHei" w:hAnsi="Time New Roman" w:hint="eastAsia"/>
          <w:u w:val="none"/>
        </w:rPr>
        <w:t>有关工会及其工会会员的数目和结构的数据</w:t>
      </w:r>
    </w:p>
    <w:p w:rsidR="00000000" w:rsidRDefault="00000000">
      <w:pPr>
        <w:rPr>
          <w:rFonts w:hint="eastAsia"/>
        </w:rPr>
      </w:pPr>
      <w:r>
        <w:rPr>
          <w:rFonts w:hint="eastAsia"/>
        </w:rPr>
        <w:tab/>
        <w:t xml:space="preserve">361.  </w:t>
      </w:r>
      <w:r>
        <w:rPr>
          <w:rFonts w:hint="eastAsia"/>
        </w:rPr>
        <w:t>芬兰学术专业人员工会联合会</w:t>
      </w:r>
      <w:r>
        <w:rPr>
          <w:rFonts w:hint="eastAsia"/>
        </w:rPr>
        <w:t>(AKAVA)</w:t>
      </w:r>
      <w:r>
        <w:rPr>
          <w:rFonts w:hint="eastAsia"/>
        </w:rPr>
        <w:t>是由专业人员或拥有学位的人组成的工会的中央联盟，其</w:t>
      </w:r>
      <w:r>
        <w:rPr>
          <w:rFonts w:hint="eastAsia"/>
        </w:rPr>
        <w:t>60%</w:t>
      </w:r>
      <w:r>
        <w:rPr>
          <w:rFonts w:hint="eastAsia"/>
        </w:rPr>
        <w:t>的成员拥有较高的大学学位。该理事会有</w:t>
      </w:r>
      <w:r>
        <w:rPr>
          <w:rFonts w:hint="eastAsia"/>
        </w:rPr>
        <w:t>32</w:t>
      </w:r>
      <w:r>
        <w:rPr>
          <w:rFonts w:hint="eastAsia"/>
        </w:rPr>
        <w:t>个下属工会和</w:t>
      </w:r>
      <w:r>
        <w:rPr>
          <w:rFonts w:hint="eastAsia"/>
        </w:rPr>
        <w:t>448,000</w:t>
      </w:r>
      <w:r>
        <w:rPr>
          <w:rFonts w:hint="eastAsia"/>
        </w:rPr>
        <w:t>个成员</w:t>
      </w:r>
      <w:r>
        <w:rPr>
          <w:rFonts w:hint="eastAsia"/>
        </w:rPr>
        <w:t>(2005</w:t>
      </w:r>
      <w:r>
        <w:rPr>
          <w:rFonts w:hint="eastAsia"/>
        </w:rPr>
        <w:t>年</w:t>
      </w:r>
      <w:r>
        <w:rPr>
          <w:rFonts w:hint="eastAsia"/>
        </w:rPr>
        <w:t>1</w:t>
      </w:r>
      <w:r>
        <w:rPr>
          <w:rFonts w:hint="eastAsia"/>
        </w:rPr>
        <w:t>月</w:t>
      </w:r>
      <w:r>
        <w:rPr>
          <w:rFonts w:hint="eastAsia"/>
        </w:rPr>
        <w:t>1</w:t>
      </w:r>
      <w:r>
        <w:rPr>
          <w:rFonts w:hint="eastAsia"/>
        </w:rPr>
        <w:t>日</w:t>
      </w:r>
      <w:r>
        <w:rPr>
          <w:rFonts w:hint="eastAsia"/>
        </w:rPr>
        <w:t>)</w:t>
      </w:r>
      <w:r>
        <w:rPr>
          <w:rFonts w:hint="eastAsia"/>
        </w:rPr>
        <w:t>。在其全日制工作的成员中，</w:t>
      </w:r>
      <w:r>
        <w:rPr>
          <w:rFonts w:hint="eastAsia"/>
        </w:rPr>
        <w:t>13%</w:t>
      </w:r>
      <w:r>
        <w:rPr>
          <w:rFonts w:hint="eastAsia"/>
        </w:rPr>
        <w:t>为中央政府工作，</w:t>
      </w:r>
      <w:r>
        <w:rPr>
          <w:rFonts w:hint="eastAsia"/>
        </w:rPr>
        <w:t>37%</w:t>
      </w:r>
      <w:r>
        <w:rPr>
          <w:rFonts w:hint="eastAsia"/>
        </w:rPr>
        <w:t>为地方当局工作，</w:t>
      </w:r>
      <w:r>
        <w:rPr>
          <w:rFonts w:hint="eastAsia"/>
        </w:rPr>
        <w:t>45%</w:t>
      </w:r>
      <w:r>
        <w:rPr>
          <w:rFonts w:hint="eastAsia"/>
        </w:rPr>
        <w:t>在私营部门，还有</w:t>
      </w:r>
      <w:r>
        <w:rPr>
          <w:rFonts w:hint="eastAsia"/>
        </w:rPr>
        <w:t>5%</w:t>
      </w:r>
      <w:r>
        <w:rPr>
          <w:rFonts w:hint="eastAsia"/>
        </w:rPr>
        <w:t>为其他雇主工作。从</w:t>
      </w:r>
      <w:r>
        <w:rPr>
          <w:rFonts w:hint="eastAsia"/>
        </w:rPr>
        <w:t>1999</w:t>
      </w:r>
      <w:r>
        <w:rPr>
          <w:rFonts w:hint="eastAsia"/>
        </w:rPr>
        <w:t>年以来，理事会在私营部门工作的会员比例已经大约增加了</w:t>
      </w:r>
      <w:r>
        <w:rPr>
          <w:rFonts w:hint="eastAsia"/>
        </w:rPr>
        <w:t>6%</w:t>
      </w:r>
      <w:r>
        <w:rPr>
          <w:rFonts w:hint="eastAsia"/>
        </w:rPr>
        <w:t>。</w:t>
      </w:r>
    </w:p>
    <w:p w:rsidR="00000000" w:rsidRDefault="00000000">
      <w:pPr>
        <w:spacing w:after="320"/>
        <w:rPr>
          <w:rFonts w:hint="eastAsia"/>
        </w:rPr>
      </w:pPr>
      <w:r>
        <w:rPr>
          <w:rFonts w:hint="eastAsia"/>
        </w:rPr>
        <w:tab/>
        <w:t xml:space="preserve">362.  </w:t>
      </w:r>
      <w:r>
        <w:rPr>
          <w:rFonts w:hint="eastAsia"/>
        </w:rPr>
        <w:t>芬兰支薪雇员理事会</w:t>
      </w:r>
      <w:r>
        <w:rPr>
          <w:rFonts w:hint="eastAsia"/>
        </w:rPr>
        <w:t>(STTK)</w:t>
      </w:r>
      <w:r>
        <w:rPr>
          <w:rFonts w:hint="eastAsia"/>
        </w:rPr>
        <w:t>有</w:t>
      </w:r>
      <w:r>
        <w:rPr>
          <w:rFonts w:hint="eastAsia"/>
        </w:rPr>
        <w:t>20</w:t>
      </w:r>
      <w:r>
        <w:rPr>
          <w:rFonts w:hint="eastAsia"/>
        </w:rPr>
        <w:t>个下属工会，会员总数为</w:t>
      </w:r>
      <w:r>
        <w:rPr>
          <w:rFonts w:hint="eastAsia"/>
        </w:rPr>
        <w:t>65</w:t>
      </w:r>
      <w:r>
        <w:rPr>
          <w:rFonts w:hint="eastAsia"/>
        </w:rPr>
        <w:t>万。根据</w:t>
      </w:r>
      <w:r>
        <w:rPr>
          <w:rFonts w:hint="eastAsia"/>
        </w:rPr>
        <w:t>2003</w:t>
      </w:r>
      <w:r>
        <w:rPr>
          <w:rFonts w:hint="eastAsia"/>
        </w:rPr>
        <w:t>年的统计数字，其</w:t>
      </w:r>
      <w:r>
        <w:rPr>
          <w:rFonts w:hint="eastAsia"/>
        </w:rPr>
        <w:t>17%</w:t>
      </w:r>
      <w:r>
        <w:rPr>
          <w:rFonts w:hint="eastAsia"/>
        </w:rPr>
        <w:t>的成员为中央部门或机构或者国有企业工作，</w:t>
      </w:r>
      <w:r>
        <w:rPr>
          <w:rFonts w:hint="eastAsia"/>
        </w:rPr>
        <w:t>37%</w:t>
      </w:r>
      <w:r>
        <w:rPr>
          <w:rFonts w:hint="eastAsia"/>
        </w:rPr>
        <w:t>为地方当局或者市级联合委员会工作，</w:t>
      </w:r>
      <w:r>
        <w:rPr>
          <w:rFonts w:hint="eastAsia"/>
        </w:rPr>
        <w:t>3%</w:t>
      </w:r>
      <w:r>
        <w:rPr>
          <w:rFonts w:hint="eastAsia"/>
        </w:rPr>
        <w:t>为教区或者其他宗教团体工作，</w:t>
      </w:r>
      <w:r>
        <w:rPr>
          <w:rFonts w:hint="eastAsia"/>
        </w:rPr>
        <w:t>2%</w:t>
      </w:r>
      <w:r>
        <w:rPr>
          <w:rFonts w:hint="eastAsia"/>
        </w:rPr>
        <w:t>为公共部门的其他雇主工作，还有</w:t>
      </w:r>
      <w:r>
        <w:rPr>
          <w:rFonts w:hint="eastAsia"/>
        </w:rPr>
        <w:t>41%</w:t>
      </w:r>
      <w:r>
        <w:rPr>
          <w:rFonts w:hint="eastAsia"/>
        </w:rPr>
        <w:t>在私营部门，其中最大的部门为工业和建筑业</w:t>
      </w:r>
      <w:r>
        <w:rPr>
          <w:rFonts w:hint="eastAsia"/>
        </w:rPr>
        <w:t>(16%)</w:t>
      </w:r>
      <w:r>
        <w:rPr>
          <w:rFonts w:hint="eastAsia"/>
        </w:rPr>
        <w:t>以及服务业</w:t>
      </w:r>
      <w:r>
        <w:rPr>
          <w:rFonts w:hint="eastAsia"/>
        </w:rPr>
        <w:t>(16%)</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3</w:t>
      </w:r>
      <w:r>
        <w:rPr>
          <w:rFonts w:ascii="Time New Roman" w:eastAsia="SimHei" w:hAnsi="Time New Roman" w:hint="eastAsia"/>
          <w:u w:val="none"/>
        </w:rPr>
        <w:t xml:space="preserve">.  </w:t>
      </w:r>
      <w:r>
        <w:rPr>
          <w:rFonts w:ascii="Time New Roman" w:eastAsia="SimHei" w:hAnsi="Time New Roman" w:hint="eastAsia"/>
          <w:u w:val="none"/>
        </w:rPr>
        <w:t>罢工的权利</w:t>
      </w:r>
    </w:p>
    <w:p w:rsidR="00000000" w:rsidRDefault="00000000">
      <w:pPr>
        <w:rPr>
          <w:rFonts w:hint="eastAsia"/>
        </w:rPr>
      </w:pPr>
      <w:r>
        <w:rPr>
          <w:rFonts w:hint="eastAsia"/>
        </w:rPr>
        <w:tab/>
        <w:t xml:space="preserve">363.  </w:t>
      </w:r>
      <w:r>
        <w:rPr>
          <w:rFonts w:hint="eastAsia"/>
        </w:rPr>
        <w:t>《公约》第八条第</w:t>
      </w:r>
      <w:r>
        <w:rPr>
          <w:rFonts w:hint="eastAsia"/>
        </w:rPr>
        <w:t>1</w:t>
      </w:r>
      <w:r>
        <w:rPr>
          <w:rFonts w:hint="eastAsia"/>
        </w:rPr>
        <w:t>款</w:t>
      </w:r>
      <w:r>
        <w:rPr>
          <w:rFonts w:hint="eastAsia"/>
        </w:rPr>
        <w:t>(</w:t>
      </w:r>
      <w:r>
        <w:rPr>
          <w:rFonts w:hint="eastAsia"/>
        </w:rPr>
        <w:t>丁</w:t>
      </w:r>
      <w:r>
        <w:rPr>
          <w:rFonts w:hint="eastAsia"/>
        </w:rPr>
        <w:t>)</w:t>
      </w:r>
      <w:r>
        <w:rPr>
          <w:rFonts w:hint="eastAsia"/>
        </w:rPr>
        <w:t>项保护罢工权利，但应按照各个国家的法律行使此项权利。芬兰《宪法》保障组织工会以及组织起来保护其他利益的自由。另外一项法律就行使集会自由和结社自由作了更为详细的规定。就这些权利而言，芬兰还受到其他一些国际条约的束缚，其中包括劳工组织第</w:t>
      </w:r>
      <w:r>
        <w:rPr>
          <w:rFonts w:hint="eastAsia"/>
        </w:rPr>
        <w:t>87</w:t>
      </w:r>
      <w:r>
        <w:rPr>
          <w:rFonts w:hint="eastAsia"/>
        </w:rPr>
        <w:t>、</w:t>
      </w:r>
      <w:r>
        <w:rPr>
          <w:rFonts w:hint="eastAsia"/>
        </w:rPr>
        <w:t>98</w:t>
      </w:r>
      <w:r>
        <w:rPr>
          <w:rFonts w:hint="eastAsia"/>
        </w:rPr>
        <w:t>和</w:t>
      </w:r>
      <w:r>
        <w:rPr>
          <w:rFonts w:hint="eastAsia"/>
        </w:rPr>
        <w:t>151</w:t>
      </w:r>
      <w:r>
        <w:rPr>
          <w:rFonts w:hint="eastAsia"/>
        </w:rPr>
        <w:t>号公约以及《欧洲社会宪章》。</w:t>
      </w:r>
    </w:p>
    <w:p w:rsidR="00000000" w:rsidRDefault="00000000">
      <w:pPr>
        <w:rPr>
          <w:rFonts w:hint="eastAsia"/>
        </w:rPr>
      </w:pPr>
      <w:r>
        <w:rPr>
          <w:rFonts w:hint="eastAsia"/>
        </w:rPr>
        <w:tab/>
        <w:t xml:space="preserve">364.  </w:t>
      </w:r>
      <w:r>
        <w:rPr>
          <w:rFonts w:hint="eastAsia"/>
        </w:rPr>
        <w:t>芬兰工会中央组织</w:t>
      </w:r>
      <w:r>
        <w:rPr>
          <w:rFonts w:hint="eastAsia"/>
        </w:rPr>
        <w:t>(SAK)</w:t>
      </w:r>
      <w:r>
        <w:rPr>
          <w:rFonts w:hint="eastAsia"/>
        </w:rPr>
        <w:t>认为，《公约》第八条第</w:t>
      </w:r>
      <w:r>
        <w:rPr>
          <w:rFonts w:hint="eastAsia"/>
        </w:rPr>
        <w:t>1</w:t>
      </w:r>
      <w:r>
        <w:rPr>
          <w:rFonts w:hint="eastAsia"/>
        </w:rPr>
        <w:t>款</w:t>
      </w:r>
      <w:r>
        <w:rPr>
          <w:rFonts w:hint="eastAsia"/>
        </w:rPr>
        <w:t>(</w:t>
      </w:r>
      <w:r>
        <w:rPr>
          <w:rFonts w:hint="eastAsia"/>
        </w:rPr>
        <w:t>丁</w:t>
      </w:r>
      <w:r>
        <w:rPr>
          <w:rFonts w:hint="eastAsia"/>
        </w:rPr>
        <w:t>)</w:t>
      </w:r>
      <w:r>
        <w:rPr>
          <w:rFonts w:hint="eastAsia"/>
        </w:rPr>
        <w:t>项的规定应当同劳工组织的公约以及《欧洲社会宪章》第六条第</w:t>
      </w:r>
      <w:r>
        <w:rPr>
          <w:rFonts w:hint="eastAsia"/>
        </w:rPr>
        <w:t>4</w:t>
      </w:r>
      <w:r>
        <w:rPr>
          <w:rFonts w:hint="eastAsia"/>
        </w:rPr>
        <w:t>款所规定的义务一起解释。它认为，对于国家、地方当局以及教区公务人员罢工权利的保护是不足的。事实上，欧洲社会权利委员会已经得出结论说，芬兰的法律是同《欧洲社会宪章》第六条第</w:t>
      </w:r>
      <w:r>
        <w:rPr>
          <w:rFonts w:hint="eastAsia"/>
        </w:rPr>
        <w:t>4</w:t>
      </w:r>
      <w:r>
        <w:rPr>
          <w:rFonts w:hint="eastAsia"/>
        </w:rPr>
        <w:t>款的规定相冲突的，并且回顾说有关限制实际上意味着公务员只能在争取集体协议时才能采取集体行动，因而，是违反《宪章》这条规定的。至今尚未收到劳工组织专家委员会的评论。</w:t>
      </w:r>
    </w:p>
    <w:p w:rsidR="00000000" w:rsidRDefault="00000000">
      <w:pPr>
        <w:rPr>
          <w:rFonts w:hint="eastAsia"/>
        </w:rPr>
      </w:pPr>
      <w:r>
        <w:rPr>
          <w:rFonts w:hint="eastAsia"/>
        </w:rPr>
        <w:tab/>
        <w:t xml:space="preserve">365.  </w:t>
      </w:r>
      <w:r>
        <w:rPr>
          <w:rFonts w:hint="eastAsia"/>
        </w:rPr>
        <w:t>根据《国家公务员集体协议法》</w:t>
      </w:r>
      <w:r>
        <w:rPr>
          <w:rFonts w:hint="eastAsia"/>
        </w:rPr>
        <w:t>(664/1970)</w:t>
      </w:r>
      <w:r>
        <w:rPr>
          <w:rFonts w:hint="eastAsia"/>
        </w:rPr>
        <w:t>第八节第一分节的规定，国家工作人员不得参加停工或者罢工，也不得采取旨在影响现有雇佣条件的集体行动。在适用的集体协议到期时，只有在支持根据本法可以通过集体协议商定的要求时方可举行罢工。旨在实现集体协议以外目标的罢工也在被禁之列。因此，在服从这些限制的情况下，可以通过罢工来实现集体协议所涉的目标，但是罢工之目的并不是要争取新的集体协议。</w:t>
      </w:r>
    </w:p>
    <w:p w:rsidR="00000000" w:rsidRDefault="00000000">
      <w:pPr>
        <w:spacing w:after="320"/>
        <w:rPr>
          <w:rFonts w:hint="eastAsia"/>
        </w:rPr>
      </w:pPr>
      <w:r>
        <w:rPr>
          <w:rFonts w:hint="eastAsia"/>
        </w:rPr>
        <w:tab/>
        <w:t xml:space="preserve">366.  </w:t>
      </w:r>
      <w:r>
        <w:rPr>
          <w:rFonts w:hint="eastAsia"/>
        </w:rPr>
        <w:t>根据上述法律第八节第四分节的规定，国家工作人员只能根据所属工会组织的决定参加罢工。然而，这并不意味着对于罢工权利的限制，这项规定的目的是要确保提供公共服务的连续性。</w:t>
      </w:r>
    </w:p>
    <w:p w:rsidR="00000000" w:rsidRDefault="00000000">
      <w:pPr>
        <w:pStyle w:val="Heading2"/>
        <w:rPr>
          <w:rFonts w:ascii="Time New Roman" w:eastAsia="SimHei" w:hAnsi="Time New Roman" w:hint="eastAsia"/>
          <w:sz w:val="24"/>
        </w:rPr>
      </w:pPr>
      <w:r>
        <w:rPr>
          <w:rFonts w:ascii="Time New Roman" w:eastAsia="SimHei" w:hAnsi="Time New Roman" w:hint="eastAsia"/>
          <w:sz w:val="24"/>
        </w:rPr>
        <w:t>第</w:t>
      </w:r>
      <w:r>
        <w:rPr>
          <w:rFonts w:ascii="Time New Roman" w:eastAsia="SimHei" w:hAnsi="Time New Roman" w:hint="eastAsia"/>
          <w:sz w:val="24"/>
        </w:rPr>
        <w:t xml:space="preserve"> </w:t>
      </w:r>
      <w:r>
        <w:rPr>
          <w:rFonts w:ascii="Time New Roman" w:eastAsia="SimHei" w:hAnsi="Time New Roman" w:hint="eastAsia"/>
          <w:sz w:val="24"/>
        </w:rPr>
        <w:t>九</w:t>
      </w:r>
      <w:r>
        <w:rPr>
          <w:rFonts w:ascii="Time New Roman" w:eastAsia="SimHei" w:hAnsi="Time New Roman" w:hint="eastAsia"/>
          <w:sz w:val="24"/>
        </w:rPr>
        <w:t xml:space="preserve"> </w:t>
      </w:r>
      <w:r>
        <w:rPr>
          <w:rFonts w:ascii="Time New Roman" w:eastAsia="SimHei" w:hAnsi="Time New Roman" w:hint="eastAsia"/>
          <w:sz w:val="24"/>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芬兰所批准的劳工组织公约</w:t>
      </w:r>
    </w:p>
    <w:p w:rsidR="00000000" w:rsidRDefault="00000000">
      <w:pPr>
        <w:rPr>
          <w:rFonts w:hint="eastAsia"/>
        </w:rPr>
      </w:pPr>
      <w:r>
        <w:rPr>
          <w:rFonts w:hint="eastAsia"/>
        </w:rPr>
        <w:tab/>
        <w:t xml:space="preserve">367.  </w:t>
      </w:r>
      <w:r>
        <w:rPr>
          <w:rFonts w:hint="eastAsia"/>
        </w:rPr>
        <w:t>芬兰已经批准了一般性准则中所提到的所有劳工组织公约。所提交的最新的定期报告如下：</w:t>
      </w:r>
    </w:p>
    <w:p w:rsidR="00000000" w:rsidRDefault="00000000">
      <w:pPr>
        <w:ind w:left="1040"/>
        <w:rPr>
          <w:rFonts w:hint="eastAsia"/>
        </w:rPr>
      </w:pPr>
      <w:r>
        <w:rPr>
          <w:rFonts w:hint="eastAsia"/>
        </w:rPr>
        <w:tab/>
        <w:t>1999</w:t>
      </w:r>
      <w:r>
        <w:rPr>
          <w:rFonts w:hint="eastAsia"/>
        </w:rPr>
        <w:t>年提交的有关第</w:t>
      </w:r>
      <w:r>
        <w:rPr>
          <w:rFonts w:hint="eastAsia"/>
        </w:rPr>
        <w:t>121</w:t>
      </w:r>
      <w:r>
        <w:rPr>
          <w:rFonts w:hint="eastAsia"/>
        </w:rPr>
        <w:t>号公约</w:t>
      </w:r>
      <w:r>
        <w:rPr>
          <w:rFonts w:hint="eastAsia"/>
        </w:rPr>
        <w:t>(</w:t>
      </w:r>
      <w:r>
        <w:rPr>
          <w:rFonts w:hint="eastAsia"/>
        </w:rPr>
        <w:t>工伤津贴，</w:t>
      </w:r>
      <w:r>
        <w:rPr>
          <w:rFonts w:hint="eastAsia"/>
        </w:rPr>
        <w:t>1964</w:t>
      </w:r>
      <w:r>
        <w:rPr>
          <w:rFonts w:hint="eastAsia"/>
        </w:rPr>
        <w:t>年</w:t>
      </w:r>
      <w:r>
        <w:rPr>
          <w:rFonts w:hint="eastAsia"/>
        </w:rPr>
        <w:t>)</w:t>
      </w:r>
      <w:r>
        <w:rPr>
          <w:rFonts w:hint="eastAsia"/>
        </w:rPr>
        <w:t>的报告；</w:t>
      </w:r>
    </w:p>
    <w:p w:rsidR="00000000" w:rsidRDefault="00000000">
      <w:pPr>
        <w:ind w:left="1040"/>
        <w:rPr>
          <w:rFonts w:hint="eastAsia"/>
        </w:rPr>
      </w:pPr>
      <w:r>
        <w:rPr>
          <w:rFonts w:hint="eastAsia"/>
        </w:rPr>
        <w:tab/>
        <w:t>2001</w:t>
      </w:r>
      <w:r>
        <w:rPr>
          <w:rFonts w:hint="eastAsia"/>
        </w:rPr>
        <w:t>年提交的有关第</w:t>
      </w:r>
      <w:r>
        <w:rPr>
          <w:rFonts w:hint="eastAsia"/>
        </w:rPr>
        <w:t>128</w:t>
      </w:r>
      <w:r>
        <w:rPr>
          <w:rFonts w:hint="eastAsia"/>
        </w:rPr>
        <w:t>号公约</w:t>
      </w:r>
      <w:r>
        <w:rPr>
          <w:rFonts w:hint="eastAsia"/>
        </w:rPr>
        <w:t>(</w:t>
      </w:r>
      <w:r>
        <w:rPr>
          <w:rFonts w:hint="eastAsia"/>
        </w:rPr>
        <w:t>残废、老年和遗属津贴，</w:t>
      </w:r>
      <w:r>
        <w:rPr>
          <w:rFonts w:hint="eastAsia"/>
        </w:rPr>
        <w:t>1967</w:t>
      </w:r>
      <w:r>
        <w:rPr>
          <w:rFonts w:hint="eastAsia"/>
        </w:rPr>
        <w:t>年</w:t>
      </w:r>
      <w:r>
        <w:rPr>
          <w:rFonts w:hint="eastAsia"/>
        </w:rPr>
        <w:t>)</w:t>
      </w:r>
      <w:r>
        <w:rPr>
          <w:rFonts w:hint="eastAsia"/>
        </w:rPr>
        <w:t>的报告；</w:t>
      </w:r>
    </w:p>
    <w:p w:rsidR="00000000" w:rsidRDefault="00000000">
      <w:pPr>
        <w:ind w:left="1040"/>
        <w:rPr>
          <w:rFonts w:hint="eastAsia"/>
        </w:rPr>
      </w:pPr>
      <w:r>
        <w:rPr>
          <w:rFonts w:hint="eastAsia"/>
        </w:rPr>
        <w:tab/>
        <w:t>1998</w:t>
      </w:r>
      <w:r>
        <w:rPr>
          <w:rFonts w:hint="eastAsia"/>
        </w:rPr>
        <w:t>年提交的有关第</w:t>
      </w:r>
      <w:r>
        <w:rPr>
          <w:rFonts w:hint="eastAsia"/>
        </w:rPr>
        <w:t>130</w:t>
      </w:r>
      <w:r>
        <w:rPr>
          <w:rFonts w:hint="eastAsia"/>
        </w:rPr>
        <w:t>号公约</w:t>
      </w:r>
      <w:r>
        <w:rPr>
          <w:rFonts w:hint="eastAsia"/>
        </w:rPr>
        <w:t>(</w:t>
      </w:r>
      <w:r>
        <w:rPr>
          <w:rFonts w:hint="eastAsia"/>
        </w:rPr>
        <w:t>医疗和疾病津贴，</w:t>
      </w:r>
      <w:r>
        <w:rPr>
          <w:rFonts w:hint="eastAsia"/>
        </w:rPr>
        <w:t>1969</w:t>
      </w:r>
      <w:r>
        <w:rPr>
          <w:rFonts w:hint="eastAsia"/>
        </w:rPr>
        <w:t>年</w:t>
      </w:r>
      <w:r>
        <w:rPr>
          <w:rFonts w:hint="eastAsia"/>
        </w:rPr>
        <w:t>)</w:t>
      </w:r>
      <w:r>
        <w:rPr>
          <w:rFonts w:hint="eastAsia"/>
        </w:rPr>
        <w:t>的报告；</w:t>
      </w:r>
    </w:p>
    <w:p w:rsidR="00000000" w:rsidRDefault="00000000">
      <w:pPr>
        <w:spacing w:after="320"/>
        <w:ind w:left="1040"/>
        <w:rPr>
          <w:rFonts w:hint="eastAsia"/>
        </w:rPr>
      </w:pPr>
      <w:r>
        <w:rPr>
          <w:rFonts w:hint="eastAsia"/>
        </w:rPr>
        <w:tab/>
        <w:t>1998</w:t>
      </w:r>
      <w:r>
        <w:rPr>
          <w:rFonts w:hint="eastAsia"/>
        </w:rPr>
        <w:t>年提交的有关第</w:t>
      </w:r>
      <w:r>
        <w:rPr>
          <w:rFonts w:hint="eastAsia"/>
        </w:rPr>
        <w:t>168</w:t>
      </w:r>
      <w:r>
        <w:rPr>
          <w:rFonts w:hint="eastAsia"/>
        </w:rPr>
        <w:t>号公约</w:t>
      </w:r>
      <w:r>
        <w:rPr>
          <w:rFonts w:hint="eastAsia"/>
        </w:rPr>
        <w:t>(</w:t>
      </w:r>
      <w:r>
        <w:rPr>
          <w:rFonts w:hint="eastAsia"/>
        </w:rPr>
        <w:t>促进就业和失业保护，</w:t>
      </w:r>
      <w:r>
        <w:rPr>
          <w:rFonts w:hint="eastAsia"/>
        </w:rPr>
        <w:t>1988</w:t>
      </w:r>
      <w:r>
        <w:rPr>
          <w:rFonts w:hint="eastAsia"/>
        </w:rPr>
        <w:t>年</w:t>
      </w:r>
      <w:r>
        <w:rPr>
          <w:rFonts w:hint="eastAsia"/>
        </w:rPr>
        <w:t>)</w:t>
      </w:r>
      <w:r>
        <w:rPr>
          <w:rFonts w:hint="eastAsia"/>
        </w:rPr>
        <w:t>的报告。</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 xml:space="preserve">.  </w:t>
      </w:r>
      <w:r>
        <w:rPr>
          <w:rFonts w:ascii="Time New Roman" w:eastAsia="SimHei" w:hAnsi="Time New Roman" w:hint="eastAsia"/>
          <w:u w:val="none"/>
        </w:rPr>
        <w:t>社会保障部门</w:t>
      </w:r>
    </w:p>
    <w:p w:rsidR="00000000" w:rsidRDefault="00000000">
      <w:pPr>
        <w:rPr>
          <w:rFonts w:hint="eastAsia"/>
        </w:rPr>
      </w:pPr>
      <w:r>
        <w:rPr>
          <w:rFonts w:hint="eastAsia"/>
        </w:rPr>
        <w:tab/>
        <w:t xml:space="preserve">368.  </w:t>
      </w:r>
      <w:r>
        <w:rPr>
          <w:rFonts w:hint="eastAsia"/>
        </w:rPr>
        <w:t>社会事务和卫生部的一份出版物，“</w:t>
      </w:r>
      <w:r>
        <w:rPr>
          <w:rFonts w:hint="eastAsia"/>
        </w:rPr>
        <w:t>2003</w:t>
      </w:r>
      <w:r>
        <w:rPr>
          <w:rFonts w:hint="eastAsia"/>
        </w:rPr>
        <w:t>年芬兰社会保护趋势”，附于本报告</w:t>
      </w:r>
      <w:r>
        <w:rPr>
          <w:rFonts w:hint="eastAsia"/>
        </w:rPr>
        <w:t>(</w:t>
      </w:r>
      <w:r>
        <w:rPr>
          <w:rFonts w:hint="eastAsia"/>
        </w:rPr>
        <w:t>附件二十五</w:t>
      </w:r>
      <w:r>
        <w:rPr>
          <w:rFonts w:hint="eastAsia"/>
        </w:rPr>
        <w:t>)</w:t>
      </w:r>
      <w:r>
        <w:rPr>
          <w:rFonts w:hint="eastAsia"/>
        </w:rPr>
        <w:t>。</w:t>
      </w:r>
    </w:p>
    <w:p w:rsidR="00000000" w:rsidRDefault="00000000">
      <w:pPr>
        <w:rPr>
          <w:rFonts w:hint="eastAsia"/>
        </w:rPr>
      </w:pPr>
      <w:r>
        <w:rPr>
          <w:rFonts w:hint="eastAsia"/>
        </w:rPr>
        <w:tab/>
        <w:t xml:space="preserve">369.  </w:t>
      </w:r>
      <w:r>
        <w:rPr>
          <w:rFonts w:hint="eastAsia"/>
        </w:rPr>
        <w:t>新的《社会福利对象的地位和权利法》</w:t>
      </w:r>
      <w:r>
        <w:rPr>
          <w:rFonts w:hint="eastAsia"/>
        </w:rPr>
        <w:t>(812/2000)</w:t>
      </w:r>
      <w:r>
        <w:rPr>
          <w:rFonts w:hint="eastAsia"/>
        </w:rPr>
        <w:t>于</w:t>
      </w:r>
      <w:r>
        <w:rPr>
          <w:rFonts w:hint="eastAsia"/>
        </w:rPr>
        <w:t>2001</w:t>
      </w:r>
      <w:r>
        <w:rPr>
          <w:rFonts w:hint="eastAsia"/>
        </w:rPr>
        <w:t>年</w:t>
      </w:r>
      <w:r>
        <w:rPr>
          <w:rFonts w:hint="eastAsia"/>
        </w:rPr>
        <w:t>1</w:t>
      </w:r>
      <w:r>
        <w:rPr>
          <w:rFonts w:hint="eastAsia"/>
        </w:rPr>
        <w:t>月</w:t>
      </w:r>
      <w:r>
        <w:rPr>
          <w:rFonts w:hint="eastAsia"/>
        </w:rPr>
        <w:t>1</w:t>
      </w:r>
      <w:r>
        <w:rPr>
          <w:rFonts w:hint="eastAsia"/>
        </w:rPr>
        <w:t>日正式生效。这项法律之目标是要根据社会福利对象的愿望，在提供服务中的相互信任以及对象在没有歧视的情况下享受社会福利的良好服务和待遇的权利，加强所提供的服务。</w:t>
      </w:r>
    </w:p>
    <w:p w:rsidR="00000000" w:rsidRDefault="00000000">
      <w:pPr>
        <w:rPr>
          <w:rFonts w:hint="eastAsia"/>
        </w:rPr>
      </w:pPr>
      <w:r>
        <w:rPr>
          <w:rFonts w:hint="eastAsia"/>
        </w:rPr>
        <w:tab/>
        <w:t xml:space="preserve">370.  </w:t>
      </w:r>
      <w:r>
        <w:rPr>
          <w:rFonts w:hint="eastAsia"/>
        </w:rPr>
        <w:t>议会监察员所收到的最大一类投诉涉及社会福利和社会保险。议会监察员指出，在良好管治以及司法管理方面存在缺点，主要涉及审批时间过长、决定理据不足以及申请人在接待、咨询和指导方面的权利没有得到充分尊重。</w:t>
      </w:r>
    </w:p>
    <w:p w:rsidR="00000000" w:rsidRDefault="00000000">
      <w:pPr>
        <w:rPr>
          <w:rFonts w:hint="eastAsia"/>
        </w:rPr>
      </w:pPr>
      <w:r>
        <w:rPr>
          <w:rFonts w:hint="eastAsia"/>
        </w:rPr>
        <w:tab/>
        <w:t xml:space="preserve">371.  </w:t>
      </w:r>
      <w:r>
        <w:rPr>
          <w:rFonts w:hint="eastAsia"/>
        </w:rPr>
        <w:t>欧洲人权法院在一些裁决书中认定，一些上诉机构在作决定时理据不足，也没有将有关文件发给申诉人以供参考和提出意见，从而违反了人权。</w:t>
      </w:r>
    </w:p>
    <w:p w:rsidR="00000000" w:rsidRDefault="00000000">
      <w:pPr>
        <w:spacing w:after="320"/>
        <w:rPr>
          <w:rFonts w:hint="eastAsia"/>
        </w:rPr>
      </w:pPr>
      <w:r>
        <w:rPr>
          <w:rFonts w:hint="eastAsia"/>
        </w:rPr>
        <w:tab/>
        <w:t xml:space="preserve">372.  </w:t>
      </w:r>
      <w:r>
        <w:rPr>
          <w:rFonts w:hint="eastAsia"/>
        </w:rPr>
        <w:t>议会监察员强调了迅速处理有关个别人士基本生活的案件的重要性。应当向处理有关生活津贴案件的上诉机构提供足够的资源，以便遵守有关合理审批时间的规定以及关于公平审判的其他规定。上诉机构成员的独立性和公正性对于确保上诉人对于上诉制度的信任也是十分重要的。</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a</w:t>
      </w:r>
      <w:r>
        <w:rPr>
          <w:rFonts w:ascii="Time New Roman" w:eastAsia="SimHei" w:hAnsi="Time New Roman" w:hint="eastAsia"/>
          <w:u w:val="none"/>
        </w:rPr>
        <w:t xml:space="preserve">)  </w:t>
      </w:r>
      <w:r>
        <w:rPr>
          <w:rFonts w:ascii="Time New Roman" w:eastAsia="SimHei" w:hAnsi="Time New Roman" w:hint="eastAsia"/>
          <w:u w:val="none"/>
        </w:rPr>
        <w:t>医疗服务</w:t>
      </w:r>
    </w:p>
    <w:p w:rsidR="00000000" w:rsidRDefault="00000000">
      <w:pPr>
        <w:rPr>
          <w:rFonts w:hint="eastAsia"/>
        </w:rPr>
      </w:pPr>
      <w:r>
        <w:rPr>
          <w:rFonts w:hint="eastAsia"/>
        </w:rPr>
        <w:tab/>
        <w:t xml:space="preserve">373.  </w:t>
      </w:r>
      <w:r>
        <w:rPr>
          <w:rFonts w:hint="eastAsia"/>
          <w:u w:val="single"/>
        </w:rPr>
        <w:t>牙病治疗</w:t>
      </w:r>
      <w:r>
        <w:rPr>
          <w:rFonts w:hint="eastAsia"/>
        </w:rPr>
        <w:t>。在</w:t>
      </w:r>
      <w:r>
        <w:rPr>
          <w:rFonts w:hint="eastAsia"/>
        </w:rPr>
        <w:t>2001</w:t>
      </w:r>
      <w:r>
        <w:rPr>
          <w:rFonts w:hint="eastAsia"/>
        </w:rPr>
        <w:t>年和</w:t>
      </w:r>
      <w:r>
        <w:rPr>
          <w:rFonts w:hint="eastAsia"/>
        </w:rPr>
        <w:t>2002</w:t>
      </w:r>
      <w:r>
        <w:rPr>
          <w:rFonts w:hint="eastAsia"/>
        </w:rPr>
        <w:t>年，牙病治疗服务经过了改革，其服务对象也有所扩大。在</w:t>
      </w:r>
      <w:r>
        <w:rPr>
          <w:rFonts w:hint="eastAsia"/>
        </w:rPr>
        <w:t>2001</w:t>
      </w:r>
      <w:r>
        <w:rPr>
          <w:rFonts w:hint="eastAsia"/>
        </w:rPr>
        <w:t>年的第一阶段，法律规定地方当局有义务为</w:t>
      </w:r>
      <w:r>
        <w:rPr>
          <w:rFonts w:hint="eastAsia"/>
        </w:rPr>
        <w:t>1946</w:t>
      </w:r>
      <w:r>
        <w:rPr>
          <w:rFonts w:hint="eastAsia"/>
        </w:rPr>
        <w:t>年以后出生的人提供牙病治疗服务。在</w:t>
      </w:r>
      <w:r>
        <w:rPr>
          <w:rFonts w:hint="eastAsia"/>
        </w:rPr>
        <w:t>2002</w:t>
      </w:r>
      <w:r>
        <w:rPr>
          <w:rFonts w:hint="eastAsia"/>
        </w:rPr>
        <w:t>年，这项义务又扩大到了全体人口。与此同时，根据疾病保险报销牙病治疗费用的权利也有所扩大。</w:t>
      </w:r>
      <w:r>
        <w:rPr>
          <w:rFonts w:hint="eastAsia"/>
        </w:rPr>
        <w:t>2002</w:t>
      </w:r>
      <w:r>
        <w:rPr>
          <w:rFonts w:hint="eastAsia"/>
        </w:rPr>
        <w:t>年</w:t>
      </w:r>
      <w:r>
        <w:rPr>
          <w:rFonts w:hint="eastAsia"/>
        </w:rPr>
        <w:t>12</w:t>
      </w:r>
      <w:r>
        <w:rPr>
          <w:rFonts w:hint="eastAsia"/>
        </w:rPr>
        <w:t>月</w:t>
      </w:r>
      <w:r>
        <w:rPr>
          <w:rFonts w:hint="eastAsia"/>
        </w:rPr>
        <w:t>1</w:t>
      </w:r>
      <w:r>
        <w:rPr>
          <w:rFonts w:hint="eastAsia"/>
        </w:rPr>
        <w:t>日，对于《疾病保险法》进行了修订，报销权利扩大到了所有年龄的人。</w:t>
      </w:r>
    </w:p>
    <w:p w:rsidR="00000000" w:rsidRDefault="00000000">
      <w:pPr>
        <w:rPr>
          <w:rFonts w:hint="eastAsia"/>
        </w:rPr>
      </w:pPr>
      <w:r>
        <w:rPr>
          <w:rFonts w:hint="eastAsia"/>
        </w:rPr>
        <w:tab/>
        <w:t xml:space="preserve">374.  </w:t>
      </w:r>
      <w:r>
        <w:rPr>
          <w:rFonts w:hint="eastAsia"/>
        </w:rPr>
        <w:t>从</w:t>
      </w:r>
      <w:r>
        <w:rPr>
          <w:rFonts w:hint="eastAsia"/>
        </w:rPr>
        <w:t>2003</w:t>
      </w:r>
      <w:r>
        <w:rPr>
          <w:rFonts w:hint="eastAsia"/>
        </w:rPr>
        <w:t>年到</w:t>
      </w:r>
      <w:r>
        <w:rPr>
          <w:rFonts w:hint="eastAsia"/>
        </w:rPr>
        <w:t>2004</w:t>
      </w:r>
      <w:r>
        <w:rPr>
          <w:rFonts w:hint="eastAsia"/>
        </w:rPr>
        <w:t>年，大约有</w:t>
      </w:r>
      <w:r>
        <w:rPr>
          <w:rFonts w:hint="eastAsia"/>
        </w:rPr>
        <w:t>180</w:t>
      </w:r>
      <w:r>
        <w:rPr>
          <w:rFonts w:hint="eastAsia"/>
        </w:rPr>
        <w:t>万人使用了公共医疗服务中心的牙病医疗服务，牙医预约的总数为</w:t>
      </w:r>
      <w:r>
        <w:rPr>
          <w:rFonts w:hint="eastAsia"/>
        </w:rPr>
        <w:t>500</w:t>
      </w:r>
      <w:r>
        <w:rPr>
          <w:rFonts w:hint="eastAsia"/>
        </w:rPr>
        <w:t>万左右。在</w:t>
      </w:r>
      <w:r>
        <w:rPr>
          <w:rFonts w:hint="eastAsia"/>
        </w:rPr>
        <w:t>2001</w:t>
      </w:r>
      <w:r>
        <w:rPr>
          <w:rFonts w:hint="eastAsia"/>
        </w:rPr>
        <w:t>年和</w:t>
      </w:r>
      <w:r>
        <w:rPr>
          <w:rFonts w:hint="eastAsia"/>
        </w:rPr>
        <w:t>2002</w:t>
      </w:r>
      <w:r>
        <w:rPr>
          <w:rFonts w:hint="eastAsia"/>
        </w:rPr>
        <w:t>年，使用这些服务的病人增加了大约两万人</w:t>
      </w:r>
      <w:r>
        <w:rPr>
          <w:rFonts w:hint="eastAsia"/>
        </w:rPr>
        <w:t>(</w:t>
      </w:r>
      <w:r>
        <w:rPr>
          <w:rFonts w:hint="eastAsia"/>
        </w:rPr>
        <w:t>见表</w:t>
      </w:r>
      <w:r>
        <w:rPr>
          <w:rFonts w:hint="eastAsia"/>
        </w:rPr>
        <w:t>1)</w:t>
      </w:r>
      <w:r>
        <w:rPr>
          <w:rFonts w:hint="eastAsia"/>
        </w:rPr>
        <w:t>，而在</w:t>
      </w:r>
      <w:r>
        <w:rPr>
          <w:rFonts w:hint="eastAsia"/>
        </w:rPr>
        <w:t>2003</w:t>
      </w:r>
      <w:r>
        <w:rPr>
          <w:rFonts w:hint="eastAsia"/>
        </w:rPr>
        <w:t>年大约减少了</w:t>
      </w:r>
      <w:r>
        <w:rPr>
          <w:rFonts w:hint="eastAsia"/>
        </w:rPr>
        <w:t>15,000</w:t>
      </w:r>
      <w:r>
        <w:rPr>
          <w:rFonts w:hint="eastAsia"/>
        </w:rPr>
        <w:t>人。同</w:t>
      </w:r>
      <w:r>
        <w:rPr>
          <w:rFonts w:hint="eastAsia"/>
        </w:rPr>
        <w:t>2002</w:t>
      </w:r>
      <w:r>
        <w:rPr>
          <w:rFonts w:hint="eastAsia"/>
        </w:rPr>
        <w:t>年相比，</w:t>
      </w:r>
      <w:r>
        <w:rPr>
          <w:rFonts w:hint="eastAsia"/>
        </w:rPr>
        <w:t>2003</w:t>
      </w:r>
      <w:r>
        <w:rPr>
          <w:rFonts w:hint="eastAsia"/>
        </w:rPr>
        <w:t>年从其他服务提供者</w:t>
      </w:r>
      <w:r>
        <w:rPr>
          <w:rFonts w:hint="eastAsia"/>
        </w:rPr>
        <w:t>(</w:t>
      </w:r>
      <w:r>
        <w:rPr>
          <w:rFonts w:hint="eastAsia"/>
        </w:rPr>
        <w:t>主要是私人牙医</w:t>
      </w:r>
      <w:r>
        <w:rPr>
          <w:rFonts w:hint="eastAsia"/>
        </w:rPr>
        <w:t>)</w:t>
      </w:r>
      <w:r>
        <w:rPr>
          <w:rFonts w:hint="eastAsia"/>
        </w:rPr>
        <w:t>处购买的服务增加了将近</w:t>
      </w:r>
      <w:r>
        <w:rPr>
          <w:rFonts w:hint="eastAsia"/>
        </w:rPr>
        <w:t>40%</w:t>
      </w:r>
      <w:r>
        <w:rPr>
          <w:rFonts w:hint="eastAsia"/>
        </w:rPr>
        <w:t>，几乎是</w:t>
      </w:r>
      <w:r>
        <w:rPr>
          <w:rFonts w:hint="eastAsia"/>
        </w:rPr>
        <w:t>2001</w:t>
      </w:r>
      <w:r>
        <w:rPr>
          <w:rFonts w:hint="eastAsia"/>
        </w:rPr>
        <w:t>年的两倍。地方当局也从私人牙医处购买服务，</w:t>
      </w:r>
      <w:r>
        <w:rPr>
          <w:rFonts w:hint="eastAsia"/>
        </w:rPr>
        <w:t>2001</w:t>
      </w:r>
      <w:r>
        <w:rPr>
          <w:rFonts w:hint="eastAsia"/>
        </w:rPr>
        <w:t>年有</w:t>
      </w:r>
      <w:r>
        <w:rPr>
          <w:rFonts w:hint="eastAsia"/>
        </w:rPr>
        <w:t>36,000</w:t>
      </w:r>
      <w:r>
        <w:rPr>
          <w:rFonts w:hint="eastAsia"/>
        </w:rPr>
        <w:t>人预约，</w:t>
      </w:r>
      <w:r>
        <w:rPr>
          <w:rFonts w:hint="eastAsia"/>
        </w:rPr>
        <w:t>2002</w:t>
      </w:r>
      <w:r>
        <w:rPr>
          <w:rFonts w:hint="eastAsia"/>
        </w:rPr>
        <w:t>年是</w:t>
      </w:r>
      <w:r>
        <w:rPr>
          <w:rFonts w:hint="eastAsia"/>
        </w:rPr>
        <w:t>57,000</w:t>
      </w:r>
      <w:r>
        <w:rPr>
          <w:rFonts w:hint="eastAsia"/>
        </w:rPr>
        <w:t>人，</w:t>
      </w:r>
      <w:r>
        <w:rPr>
          <w:rFonts w:hint="eastAsia"/>
        </w:rPr>
        <w:t>2003</w:t>
      </w:r>
      <w:r>
        <w:rPr>
          <w:rFonts w:hint="eastAsia"/>
        </w:rPr>
        <w:t>年是</w:t>
      </w:r>
      <w:r>
        <w:rPr>
          <w:rFonts w:hint="eastAsia"/>
        </w:rPr>
        <w:t>79,500</w:t>
      </w:r>
      <w:r>
        <w:rPr>
          <w:rFonts w:hint="eastAsia"/>
        </w:rPr>
        <w:t>人。</w:t>
      </w:r>
    </w:p>
    <w:p w:rsidR="00000000" w:rsidRDefault="00000000">
      <w:pPr>
        <w:spacing w:after="320"/>
        <w:rPr>
          <w:rFonts w:hint="eastAsia"/>
        </w:rPr>
      </w:pPr>
      <w:r>
        <w:rPr>
          <w:rFonts w:hint="eastAsia"/>
        </w:rPr>
        <w:tab/>
        <w:t xml:space="preserve">375.  </w:t>
      </w:r>
      <w:r>
        <w:rPr>
          <w:rFonts w:hint="eastAsia"/>
        </w:rPr>
        <w:t>目前大约有</w:t>
      </w:r>
      <w:r>
        <w:rPr>
          <w:rFonts w:hint="eastAsia"/>
        </w:rPr>
        <w:t>2,300</w:t>
      </w:r>
      <w:r>
        <w:rPr>
          <w:rFonts w:hint="eastAsia"/>
        </w:rPr>
        <w:t>名牙医在公共部门工作，其中大约</w:t>
      </w:r>
      <w:r>
        <w:rPr>
          <w:rFonts w:hint="eastAsia"/>
        </w:rPr>
        <w:t>150</w:t>
      </w:r>
      <w:r>
        <w:rPr>
          <w:rFonts w:hint="eastAsia"/>
        </w:rPr>
        <w:t>人提供特别医疗服务</w:t>
      </w:r>
      <w:r>
        <w:rPr>
          <w:rFonts w:hint="eastAsia"/>
        </w:rPr>
        <w:t>(</w:t>
      </w:r>
      <w:r>
        <w:rPr>
          <w:rFonts w:hint="eastAsia"/>
        </w:rPr>
        <w:t>有些人是非全日制牙医</w:t>
      </w:r>
      <w:r>
        <w:rPr>
          <w:rFonts w:hint="eastAsia"/>
        </w:rPr>
        <w:t>)</w:t>
      </w:r>
      <w:r>
        <w:rPr>
          <w:rFonts w:hint="eastAsia"/>
        </w:rPr>
        <w:t>。此外，还有</w:t>
      </w:r>
      <w:r>
        <w:rPr>
          <w:rFonts w:hint="eastAsia"/>
        </w:rPr>
        <w:t>2,730</w:t>
      </w:r>
      <w:r>
        <w:rPr>
          <w:rFonts w:hint="eastAsia"/>
        </w:rPr>
        <w:t>名牙科护士以及</w:t>
      </w:r>
      <w:r>
        <w:rPr>
          <w:rFonts w:hint="eastAsia"/>
        </w:rPr>
        <w:t>555</w:t>
      </w:r>
      <w:r>
        <w:rPr>
          <w:rFonts w:hint="eastAsia"/>
        </w:rPr>
        <w:t>名牙医助手在公共部门工作，其中</w:t>
      </w:r>
      <w:r>
        <w:rPr>
          <w:rFonts w:hint="eastAsia"/>
        </w:rPr>
        <w:t>289</w:t>
      </w:r>
      <w:r>
        <w:rPr>
          <w:rFonts w:hint="eastAsia"/>
        </w:rPr>
        <w:t>名牙科护士和</w:t>
      </w:r>
      <w:r>
        <w:rPr>
          <w:rFonts w:hint="eastAsia"/>
        </w:rPr>
        <w:t>76</w:t>
      </w:r>
      <w:r>
        <w:rPr>
          <w:rFonts w:hint="eastAsia"/>
        </w:rPr>
        <w:t>名牙医助手是非全日制工作的。</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11</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2001</w:t>
      </w:r>
      <w:r>
        <w:rPr>
          <w:rFonts w:ascii="Time New Roman" w:eastAsia="SimHei" w:hAnsi="Time New Roman" w:hint="eastAsia"/>
          <w:sz w:val="22"/>
          <w:u w:val="none"/>
        </w:rPr>
        <w:t>年、</w:t>
      </w:r>
      <w:r>
        <w:rPr>
          <w:rFonts w:ascii="Time New Roman" w:eastAsia="SimHei" w:hAnsi="Time New Roman" w:hint="eastAsia"/>
          <w:b/>
          <w:sz w:val="22"/>
          <w:u w:val="none"/>
        </w:rPr>
        <w:t>2002</w:t>
      </w:r>
      <w:r>
        <w:rPr>
          <w:rFonts w:ascii="Time New Roman" w:eastAsia="SimHei" w:hAnsi="Time New Roman" w:hint="eastAsia"/>
          <w:sz w:val="22"/>
          <w:u w:val="none"/>
        </w:rPr>
        <w:t>年以及</w:t>
      </w:r>
      <w:r>
        <w:rPr>
          <w:rFonts w:ascii="Time New Roman" w:eastAsia="SimHei" w:hAnsi="Time New Roman" w:hint="eastAsia"/>
          <w:b/>
          <w:sz w:val="22"/>
          <w:u w:val="none"/>
        </w:rPr>
        <w:t>2003</w:t>
      </w:r>
      <w:r>
        <w:rPr>
          <w:rFonts w:ascii="Time New Roman" w:eastAsia="SimHei" w:hAnsi="Time New Roman" w:hint="eastAsia"/>
          <w:sz w:val="22"/>
          <w:u w:val="none"/>
        </w:rPr>
        <w:t>年医疗服务中心的牙科病人</w:t>
      </w:r>
      <w:r>
        <w:rPr>
          <w:rFonts w:ascii="Time New Roman" w:eastAsia="SimHei" w:hAnsi="Time New Roman"/>
          <w:sz w:val="22"/>
          <w:u w:val="none"/>
        </w:rPr>
        <w:br/>
      </w:r>
      <w:r>
        <w:rPr>
          <w:rFonts w:ascii="Time New Roman" w:eastAsia="SimHei" w:hAnsi="Time New Roman" w:hint="eastAsia"/>
          <w:sz w:val="22"/>
          <w:u w:val="none"/>
        </w:rPr>
        <w:t>在</w:t>
      </w:r>
      <w:r>
        <w:rPr>
          <w:rFonts w:ascii="Time New Roman" w:eastAsia="SimHei" w:hAnsi="Time New Roman" w:hint="eastAsia"/>
          <w:b/>
          <w:sz w:val="22"/>
          <w:u w:val="none"/>
        </w:rPr>
        <w:t>2001</w:t>
      </w:r>
      <w:r>
        <w:rPr>
          <w:rFonts w:ascii="Time New Roman" w:eastAsia="SimHei" w:hAnsi="Time New Roman" w:hint="eastAsia"/>
          <w:sz w:val="22"/>
          <w:u w:val="none"/>
        </w:rPr>
        <w:t>年和</w:t>
      </w:r>
      <w:r>
        <w:rPr>
          <w:rFonts w:ascii="Time New Roman" w:eastAsia="SimHei" w:hAnsi="Time New Roman" w:hint="eastAsia"/>
          <w:b/>
          <w:sz w:val="22"/>
          <w:u w:val="none"/>
        </w:rPr>
        <w:t>2002</w:t>
      </w:r>
      <w:r>
        <w:rPr>
          <w:rFonts w:ascii="Time New Roman" w:eastAsia="SimHei" w:hAnsi="Time New Roman" w:hint="eastAsia"/>
          <w:sz w:val="22"/>
          <w:u w:val="none"/>
        </w:rPr>
        <w:t>年治疗的病人</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1890"/>
        <w:gridCol w:w="1680"/>
        <w:gridCol w:w="2850"/>
      </w:tblGrid>
      <w:tr w:rsidR="00000000">
        <w:tblPrEx>
          <w:tblCellMar>
            <w:top w:w="0" w:type="dxa"/>
            <w:bottom w:w="0" w:type="dxa"/>
          </w:tblCellMar>
        </w:tblPrEx>
        <w:tc>
          <w:tcPr>
            <w:tcW w:w="2940" w:type="dxa"/>
          </w:tcPr>
          <w:p w:rsidR="00000000" w:rsidRDefault="00000000">
            <w:pPr>
              <w:spacing w:before="80" w:after="40" w:line="240" w:lineRule="auto"/>
              <w:jc w:val="center"/>
              <w:rPr>
                <w:rFonts w:hint="eastAsia"/>
                <w:sz w:val="22"/>
              </w:rPr>
            </w:pPr>
            <w:r>
              <w:rPr>
                <w:rFonts w:hint="eastAsia"/>
                <w:sz w:val="22"/>
              </w:rPr>
              <w:t>年龄分类</w:t>
            </w:r>
          </w:p>
        </w:tc>
        <w:tc>
          <w:tcPr>
            <w:tcW w:w="1890" w:type="dxa"/>
          </w:tcPr>
          <w:p w:rsidR="00000000" w:rsidRDefault="00000000">
            <w:pPr>
              <w:spacing w:before="80" w:after="40" w:line="240" w:lineRule="auto"/>
              <w:jc w:val="center"/>
              <w:rPr>
                <w:rFonts w:hint="eastAsia"/>
                <w:sz w:val="22"/>
              </w:rPr>
            </w:pPr>
            <w:r>
              <w:rPr>
                <w:rFonts w:hint="eastAsia"/>
                <w:sz w:val="22"/>
              </w:rPr>
              <w:t>2001</w:t>
            </w:r>
            <w:r>
              <w:rPr>
                <w:rFonts w:hint="eastAsia"/>
                <w:sz w:val="22"/>
              </w:rPr>
              <w:t>年</w:t>
            </w:r>
          </w:p>
        </w:tc>
        <w:tc>
          <w:tcPr>
            <w:tcW w:w="1680" w:type="dxa"/>
          </w:tcPr>
          <w:p w:rsidR="00000000" w:rsidRDefault="00000000">
            <w:pPr>
              <w:spacing w:before="80" w:after="40" w:line="240" w:lineRule="auto"/>
              <w:jc w:val="center"/>
              <w:rPr>
                <w:rFonts w:hint="eastAsia"/>
                <w:sz w:val="22"/>
              </w:rPr>
            </w:pPr>
            <w:r>
              <w:rPr>
                <w:rFonts w:hint="eastAsia"/>
                <w:sz w:val="22"/>
              </w:rPr>
              <w:t>2002</w:t>
            </w:r>
            <w:r>
              <w:rPr>
                <w:rFonts w:hint="eastAsia"/>
                <w:sz w:val="22"/>
              </w:rPr>
              <w:t>年</w:t>
            </w:r>
          </w:p>
        </w:tc>
        <w:tc>
          <w:tcPr>
            <w:tcW w:w="2850" w:type="dxa"/>
          </w:tcPr>
          <w:p w:rsidR="00000000" w:rsidRDefault="00000000">
            <w:pPr>
              <w:spacing w:before="80" w:after="40" w:line="240" w:lineRule="auto"/>
              <w:jc w:val="center"/>
              <w:rPr>
                <w:rFonts w:hint="eastAsia"/>
                <w:spacing w:val="0"/>
                <w:sz w:val="22"/>
              </w:rPr>
            </w:pPr>
            <w:r>
              <w:rPr>
                <w:rFonts w:hint="eastAsia"/>
                <w:spacing w:val="0"/>
                <w:sz w:val="22"/>
              </w:rPr>
              <w:t>2001</w:t>
            </w:r>
            <w:r>
              <w:rPr>
                <w:rFonts w:hint="eastAsia"/>
                <w:spacing w:val="0"/>
                <w:sz w:val="22"/>
              </w:rPr>
              <w:t>年至</w:t>
            </w:r>
            <w:r>
              <w:rPr>
                <w:rFonts w:hint="eastAsia"/>
                <w:spacing w:val="0"/>
                <w:sz w:val="22"/>
              </w:rPr>
              <w:t>2002</w:t>
            </w:r>
            <w:r>
              <w:rPr>
                <w:rFonts w:hint="eastAsia"/>
                <w:spacing w:val="0"/>
                <w:sz w:val="22"/>
              </w:rPr>
              <w:t>年的变化</w:t>
            </w:r>
          </w:p>
        </w:tc>
      </w:tr>
      <w:tr w:rsidR="00000000">
        <w:tblPrEx>
          <w:tblCellMar>
            <w:top w:w="0" w:type="dxa"/>
            <w:bottom w:w="0" w:type="dxa"/>
          </w:tblCellMar>
        </w:tblPrEx>
        <w:tc>
          <w:tcPr>
            <w:tcW w:w="2940" w:type="dxa"/>
            <w:tcBorders>
              <w:bottom w:val="nil"/>
            </w:tcBorders>
          </w:tcPr>
          <w:p w:rsidR="00000000" w:rsidRDefault="00000000">
            <w:pPr>
              <w:spacing w:before="80" w:line="240" w:lineRule="auto"/>
              <w:rPr>
                <w:rFonts w:hint="eastAsia"/>
                <w:sz w:val="22"/>
              </w:rPr>
            </w:pPr>
            <w:r>
              <w:rPr>
                <w:rFonts w:hint="eastAsia"/>
                <w:sz w:val="22"/>
              </w:rPr>
              <w:t>1946</w:t>
            </w:r>
            <w:r>
              <w:rPr>
                <w:rFonts w:hint="eastAsia"/>
                <w:sz w:val="22"/>
              </w:rPr>
              <w:t>年以后出生者</w:t>
            </w:r>
          </w:p>
        </w:tc>
        <w:tc>
          <w:tcPr>
            <w:tcW w:w="1890" w:type="dxa"/>
            <w:tcBorders>
              <w:bottom w:val="nil"/>
            </w:tcBorders>
          </w:tcPr>
          <w:p w:rsidR="00000000" w:rsidRDefault="00000000">
            <w:pPr>
              <w:spacing w:before="40" w:line="240" w:lineRule="auto"/>
              <w:ind w:right="284"/>
              <w:jc w:val="right"/>
              <w:rPr>
                <w:bCs/>
                <w:noProof/>
                <w:sz w:val="22"/>
              </w:rPr>
            </w:pPr>
            <w:r>
              <w:rPr>
                <w:bCs/>
                <w:noProof/>
                <w:sz w:val="22"/>
              </w:rPr>
              <w:t>1 487 779</w:t>
            </w:r>
          </w:p>
        </w:tc>
        <w:tc>
          <w:tcPr>
            <w:tcW w:w="1680" w:type="dxa"/>
            <w:tcBorders>
              <w:bottom w:val="nil"/>
            </w:tcBorders>
          </w:tcPr>
          <w:p w:rsidR="00000000" w:rsidRDefault="00000000">
            <w:pPr>
              <w:spacing w:before="40" w:line="240" w:lineRule="auto"/>
              <w:ind w:right="227"/>
              <w:jc w:val="right"/>
              <w:rPr>
                <w:bCs/>
                <w:noProof/>
                <w:sz w:val="22"/>
              </w:rPr>
            </w:pPr>
            <w:r>
              <w:rPr>
                <w:bCs/>
                <w:noProof/>
                <w:sz w:val="22"/>
              </w:rPr>
              <w:t>1 593 427</w:t>
            </w:r>
          </w:p>
        </w:tc>
        <w:tc>
          <w:tcPr>
            <w:tcW w:w="2850" w:type="dxa"/>
            <w:tcBorders>
              <w:bottom w:val="nil"/>
            </w:tcBorders>
          </w:tcPr>
          <w:p w:rsidR="00000000" w:rsidRDefault="00000000">
            <w:pPr>
              <w:spacing w:before="40" w:line="240" w:lineRule="auto"/>
              <w:ind w:right="907"/>
              <w:jc w:val="right"/>
              <w:rPr>
                <w:bCs/>
                <w:noProof/>
                <w:sz w:val="22"/>
              </w:rPr>
            </w:pPr>
            <w:r>
              <w:rPr>
                <w:bCs/>
                <w:noProof/>
                <w:sz w:val="22"/>
              </w:rPr>
              <w:t>105 648</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rPr>
                <w:rFonts w:hint="eastAsia"/>
                <w:sz w:val="22"/>
              </w:rPr>
            </w:pPr>
            <w:r>
              <w:rPr>
                <w:rFonts w:hint="eastAsia"/>
                <w:sz w:val="22"/>
              </w:rPr>
              <w:t>17</w:t>
            </w:r>
            <w:r>
              <w:rPr>
                <w:rFonts w:hint="eastAsia"/>
                <w:sz w:val="22"/>
              </w:rPr>
              <w:t>岁以下者</w:t>
            </w:r>
          </w:p>
        </w:tc>
        <w:tc>
          <w:tcPr>
            <w:tcW w:w="1890" w:type="dxa"/>
            <w:tcBorders>
              <w:top w:val="nil"/>
              <w:bottom w:val="nil"/>
            </w:tcBorders>
          </w:tcPr>
          <w:p w:rsidR="00000000" w:rsidRDefault="00000000">
            <w:pPr>
              <w:spacing w:line="240" w:lineRule="auto"/>
              <w:ind w:right="170"/>
              <w:jc w:val="right"/>
              <w:rPr>
                <w:bCs/>
                <w:noProof/>
                <w:sz w:val="22"/>
              </w:rPr>
            </w:pPr>
            <w:r>
              <w:rPr>
                <w:bCs/>
                <w:noProof/>
                <w:sz w:val="22"/>
              </w:rPr>
              <w:t>924 865*</w:t>
            </w:r>
          </w:p>
        </w:tc>
        <w:tc>
          <w:tcPr>
            <w:tcW w:w="1680" w:type="dxa"/>
            <w:tcBorders>
              <w:top w:val="nil"/>
              <w:bottom w:val="nil"/>
            </w:tcBorders>
          </w:tcPr>
          <w:p w:rsidR="00000000" w:rsidRDefault="00000000">
            <w:pPr>
              <w:spacing w:line="240" w:lineRule="auto"/>
              <w:ind w:right="227"/>
              <w:jc w:val="right"/>
              <w:rPr>
                <w:bCs/>
                <w:noProof/>
                <w:sz w:val="22"/>
              </w:rPr>
            </w:pPr>
            <w:r>
              <w:rPr>
                <w:bCs/>
                <w:noProof/>
                <w:sz w:val="22"/>
              </w:rPr>
              <w:t>883 581</w:t>
            </w:r>
          </w:p>
        </w:tc>
        <w:tc>
          <w:tcPr>
            <w:tcW w:w="2850" w:type="dxa"/>
            <w:tcBorders>
              <w:top w:val="nil"/>
              <w:bottom w:val="nil"/>
            </w:tcBorders>
          </w:tcPr>
          <w:p w:rsidR="00000000" w:rsidRDefault="00000000">
            <w:pPr>
              <w:spacing w:line="240" w:lineRule="auto"/>
              <w:ind w:right="907"/>
              <w:jc w:val="right"/>
              <w:rPr>
                <w:bCs/>
                <w:noProof/>
                <w:sz w:val="22"/>
              </w:rPr>
            </w:pPr>
            <w:r>
              <w:rPr>
                <w:bCs/>
                <w:noProof/>
                <w:sz w:val="22"/>
              </w:rPr>
              <w:t>-41 284</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rPr>
                <w:rFonts w:hint="eastAsia"/>
                <w:sz w:val="22"/>
              </w:rPr>
            </w:pPr>
            <w:r>
              <w:rPr>
                <w:rFonts w:hint="eastAsia"/>
                <w:sz w:val="22"/>
              </w:rPr>
              <w:t>有权根据年龄获得治疗者</w:t>
            </w:r>
          </w:p>
        </w:tc>
        <w:tc>
          <w:tcPr>
            <w:tcW w:w="1890" w:type="dxa"/>
            <w:tcBorders>
              <w:top w:val="nil"/>
              <w:bottom w:val="nil"/>
            </w:tcBorders>
          </w:tcPr>
          <w:p w:rsidR="00000000" w:rsidRDefault="00000000">
            <w:pPr>
              <w:spacing w:line="240" w:lineRule="auto"/>
              <w:ind w:right="284"/>
              <w:jc w:val="right"/>
              <w:rPr>
                <w:bCs/>
                <w:noProof/>
                <w:sz w:val="22"/>
              </w:rPr>
            </w:pPr>
            <w:r>
              <w:rPr>
                <w:bCs/>
                <w:noProof/>
                <w:sz w:val="22"/>
              </w:rPr>
              <w:t>562 914</w:t>
            </w:r>
          </w:p>
        </w:tc>
        <w:tc>
          <w:tcPr>
            <w:tcW w:w="1680" w:type="dxa"/>
            <w:tcBorders>
              <w:top w:val="nil"/>
              <w:bottom w:val="nil"/>
            </w:tcBorders>
          </w:tcPr>
          <w:p w:rsidR="00000000" w:rsidRDefault="00000000">
            <w:pPr>
              <w:spacing w:line="240" w:lineRule="auto"/>
              <w:ind w:right="227"/>
              <w:jc w:val="right"/>
              <w:rPr>
                <w:bCs/>
                <w:noProof/>
                <w:sz w:val="22"/>
              </w:rPr>
            </w:pPr>
            <w:r>
              <w:rPr>
                <w:bCs/>
                <w:noProof/>
                <w:sz w:val="22"/>
              </w:rPr>
              <w:t>709 846</w:t>
            </w:r>
          </w:p>
        </w:tc>
        <w:tc>
          <w:tcPr>
            <w:tcW w:w="2850" w:type="dxa"/>
            <w:tcBorders>
              <w:top w:val="nil"/>
              <w:bottom w:val="nil"/>
            </w:tcBorders>
          </w:tcPr>
          <w:p w:rsidR="00000000" w:rsidRDefault="00000000">
            <w:pPr>
              <w:spacing w:line="240" w:lineRule="auto"/>
              <w:ind w:right="907"/>
              <w:jc w:val="right"/>
              <w:rPr>
                <w:bCs/>
                <w:noProof/>
                <w:sz w:val="22"/>
              </w:rPr>
            </w:pPr>
            <w:r>
              <w:rPr>
                <w:bCs/>
                <w:noProof/>
                <w:sz w:val="22"/>
              </w:rPr>
              <w:t>146 932</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rPr>
                <w:rFonts w:hint="eastAsia"/>
                <w:sz w:val="22"/>
              </w:rPr>
            </w:pPr>
            <w:r>
              <w:rPr>
                <w:rFonts w:hint="eastAsia"/>
                <w:sz w:val="22"/>
              </w:rPr>
              <w:t>其他人口</w:t>
            </w:r>
          </w:p>
        </w:tc>
        <w:tc>
          <w:tcPr>
            <w:tcW w:w="1890" w:type="dxa"/>
            <w:tcBorders>
              <w:top w:val="nil"/>
              <w:bottom w:val="nil"/>
            </w:tcBorders>
          </w:tcPr>
          <w:p w:rsidR="00000000" w:rsidRDefault="00000000">
            <w:pPr>
              <w:spacing w:line="240" w:lineRule="auto"/>
              <w:ind w:right="284"/>
              <w:jc w:val="right"/>
              <w:rPr>
                <w:bCs/>
                <w:noProof/>
                <w:sz w:val="22"/>
              </w:rPr>
            </w:pPr>
            <w:r>
              <w:rPr>
                <w:bCs/>
                <w:noProof/>
                <w:sz w:val="22"/>
              </w:rPr>
              <w:t>304 959</w:t>
            </w:r>
          </w:p>
        </w:tc>
        <w:tc>
          <w:tcPr>
            <w:tcW w:w="1680" w:type="dxa"/>
            <w:tcBorders>
              <w:top w:val="nil"/>
              <w:bottom w:val="nil"/>
            </w:tcBorders>
          </w:tcPr>
          <w:p w:rsidR="00000000" w:rsidRDefault="00000000">
            <w:pPr>
              <w:spacing w:line="240" w:lineRule="auto"/>
              <w:ind w:right="227"/>
              <w:jc w:val="right"/>
              <w:rPr>
                <w:bCs/>
                <w:noProof/>
                <w:sz w:val="22"/>
              </w:rPr>
            </w:pPr>
            <w:r>
              <w:rPr>
                <w:bCs/>
                <w:noProof/>
                <w:sz w:val="22"/>
              </w:rPr>
              <w:t>221 575</w:t>
            </w:r>
          </w:p>
        </w:tc>
        <w:tc>
          <w:tcPr>
            <w:tcW w:w="2850" w:type="dxa"/>
            <w:tcBorders>
              <w:top w:val="nil"/>
              <w:bottom w:val="nil"/>
            </w:tcBorders>
          </w:tcPr>
          <w:p w:rsidR="00000000" w:rsidRDefault="00000000">
            <w:pPr>
              <w:spacing w:line="240" w:lineRule="auto"/>
              <w:ind w:right="907"/>
              <w:jc w:val="right"/>
              <w:rPr>
                <w:bCs/>
                <w:noProof/>
                <w:sz w:val="22"/>
              </w:rPr>
            </w:pPr>
            <w:r>
              <w:rPr>
                <w:bCs/>
                <w:noProof/>
                <w:sz w:val="22"/>
              </w:rPr>
              <w:t>-83 384</w:t>
            </w:r>
          </w:p>
        </w:tc>
      </w:tr>
      <w:tr w:rsidR="00000000">
        <w:tblPrEx>
          <w:tblCellMar>
            <w:top w:w="0" w:type="dxa"/>
            <w:bottom w:w="0" w:type="dxa"/>
          </w:tblCellMar>
        </w:tblPrEx>
        <w:tc>
          <w:tcPr>
            <w:tcW w:w="2940" w:type="dxa"/>
            <w:tcBorders>
              <w:top w:val="nil"/>
            </w:tcBorders>
          </w:tcPr>
          <w:p w:rsidR="00000000" w:rsidRDefault="00000000">
            <w:pPr>
              <w:spacing w:after="60" w:line="240" w:lineRule="auto"/>
              <w:rPr>
                <w:rFonts w:hint="eastAsia"/>
                <w:sz w:val="22"/>
              </w:rPr>
            </w:pPr>
            <w:r>
              <w:rPr>
                <w:rFonts w:hint="eastAsia"/>
                <w:sz w:val="22"/>
              </w:rPr>
              <w:t xml:space="preserve">    </w:t>
            </w:r>
            <w:r>
              <w:rPr>
                <w:rFonts w:hint="eastAsia"/>
                <w:sz w:val="22"/>
              </w:rPr>
              <w:t>总</w:t>
            </w:r>
            <w:r>
              <w:rPr>
                <w:rFonts w:hint="eastAsia"/>
                <w:sz w:val="22"/>
              </w:rPr>
              <w:t xml:space="preserve">  </w:t>
            </w:r>
            <w:r>
              <w:rPr>
                <w:rFonts w:hint="eastAsia"/>
                <w:sz w:val="22"/>
              </w:rPr>
              <w:t>计</w:t>
            </w:r>
          </w:p>
        </w:tc>
        <w:tc>
          <w:tcPr>
            <w:tcW w:w="1890" w:type="dxa"/>
            <w:tcBorders>
              <w:top w:val="nil"/>
            </w:tcBorders>
          </w:tcPr>
          <w:p w:rsidR="00000000" w:rsidRDefault="00000000">
            <w:pPr>
              <w:spacing w:line="240" w:lineRule="auto"/>
              <w:ind w:right="284"/>
              <w:jc w:val="right"/>
              <w:rPr>
                <w:bCs/>
                <w:noProof/>
                <w:sz w:val="22"/>
              </w:rPr>
            </w:pPr>
            <w:r>
              <w:rPr>
                <w:bCs/>
                <w:noProof/>
                <w:sz w:val="22"/>
              </w:rPr>
              <w:t>1 792 738</w:t>
            </w:r>
          </w:p>
        </w:tc>
        <w:tc>
          <w:tcPr>
            <w:tcW w:w="1680" w:type="dxa"/>
            <w:tcBorders>
              <w:top w:val="nil"/>
            </w:tcBorders>
          </w:tcPr>
          <w:p w:rsidR="00000000" w:rsidRDefault="00000000">
            <w:pPr>
              <w:spacing w:line="240" w:lineRule="auto"/>
              <w:ind w:right="227"/>
              <w:jc w:val="right"/>
              <w:rPr>
                <w:bCs/>
                <w:noProof/>
                <w:sz w:val="22"/>
              </w:rPr>
            </w:pPr>
            <w:r>
              <w:rPr>
                <w:bCs/>
                <w:noProof/>
                <w:sz w:val="22"/>
              </w:rPr>
              <w:t>1 815 002</w:t>
            </w:r>
          </w:p>
        </w:tc>
        <w:tc>
          <w:tcPr>
            <w:tcW w:w="2850" w:type="dxa"/>
            <w:tcBorders>
              <w:top w:val="nil"/>
            </w:tcBorders>
          </w:tcPr>
          <w:p w:rsidR="00000000" w:rsidRDefault="00000000">
            <w:pPr>
              <w:spacing w:line="240" w:lineRule="auto"/>
              <w:ind w:right="907"/>
              <w:jc w:val="right"/>
              <w:rPr>
                <w:bCs/>
                <w:noProof/>
                <w:sz w:val="22"/>
              </w:rPr>
            </w:pPr>
            <w:r>
              <w:rPr>
                <w:bCs/>
                <w:noProof/>
                <w:sz w:val="22"/>
              </w:rPr>
              <w:t>22 264</w:t>
            </w:r>
          </w:p>
        </w:tc>
      </w:tr>
    </w:tbl>
    <w:p w:rsidR="00000000" w:rsidRDefault="00000000">
      <w:pPr>
        <w:pStyle w:val="Heading3"/>
        <w:spacing w:before="480" w:after="180"/>
        <w:rPr>
          <w:rFonts w:ascii="Time New Roman" w:eastAsia="SimHei" w:hAnsi="Time New Roman" w:hint="eastAsia"/>
          <w:sz w:val="22"/>
          <w:u w:val="none"/>
        </w:rPr>
      </w:pPr>
      <w:r>
        <w:rPr>
          <w:rFonts w:ascii="Time New Roman" w:eastAsia="SimHei" w:hAnsi="Time New Roman" w:hint="eastAsia"/>
          <w:b/>
          <w:sz w:val="22"/>
          <w:u w:val="none"/>
        </w:rPr>
        <w:t>2003</w:t>
      </w:r>
      <w:r>
        <w:rPr>
          <w:rFonts w:ascii="Time New Roman" w:eastAsia="SimHei" w:hAnsi="Time New Roman" w:hint="eastAsia"/>
          <w:sz w:val="22"/>
          <w:u w:val="none"/>
        </w:rPr>
        <w:t>年治疗的病人</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3120"/>
        <w:gridCol w:w="3120"/>
      </w:tblGrid>
      <w:tr w:rsidR="00000000">
        <w:tblPrEx>
          <w:tblCellMar>
            <w:top w:w="0" w:type="dxa"/>
            <w:bottom w:w="0" w:type="dxa"/>
          </w:tblCellMar>
        </w:tblPrEx>
        <w:tc>
          <w:tcPr>
            <w:tcW w:w="3120" w:type="dxa"/>
          </w:tcPr>
          <w:p w:rsidR="00000000" w:rsidRDefault="00000000">
            <w:pPr>
              <w:spacing w:before="80" w:after="40" w:line="240" w:lineRule="auto"/>
              <w:jc w:val="center"/>
              <w:rPr>
                <w:rFonts w:hint="eastAsia"/>
                <w:sz w:val="22"/>
              </w:rPr>
            </w:pPr>
            <w:r>
              <w:rPr>
                <w:rFonts w:hint="eastAsia"/>
                <w:sz w:val="22"/>
              </w:rPr>
              <w:t>年龄分类</w:t>
            </w:r>
          </w:p>
        </w:tc>
        <w:tc>
          <w:tcPr>
            <w:tcW w:w="3120" w:type="dxa"/>
          </w:tcPr>
          <w:p w:rsidR="00000000" w:rsidRDefault="00000000">
            <w:pPr>
              <w:spacing w:before="80" w:after="40" w:line="240" w:lineRule="auto"/>
              <w:jc w:val="center"/>
              <w:rPr>
                <w:rFonts w:hint="eastAsia"/>
                <w:sz w:val="22"/>
              </w:rPr>
            </w:pPr>
            <w:r>
              <w:rPr>
                <w:sz w:val="22"/>
              </w:rPr>
              <w:t>2003</w:t>
            </w:r>
            <w:r>
              <w:rPr>
                <w:rFonts w:hint="eastAsia"/>
                <w:sz w:val="22"/>
              </w:rPr>
              <w:t>年</w:t>
            </w:r>
          </w:p>
        </w:tc>
        <w:tc>
          <w:tcPr>
            <w:tcW w:w="3120" w:type="dxa"/>
          </w:tcPr>
          <w:p w:rsidR="00000000" w:rsidRDefault="00000000">
            <w:pPr>
              <w:spacing w:before="80" w:after="40" w:line="240" w:lineRule="auto"/>
              <w:jc w:val="center"/>
              <w:rPr>
                <w:sz w:val="22"/>
              </w:rPr>
            </w:pPr>
            <w:r>
              <w:rPr>
                <w:rFonts w:hint="eastAsia"/>
                <w:sz w:val="22"/>
              </w:rPr>
              <w:t>2002</w:t>
            </w:r>
            <w:r>
              <w:rPr>
                <w:rFonts w:hint="eastAsia"/>
                <w:sz w:val="22"/>
              </w:rPr>
              <w:t>年至</w:t>
            </w:r>
            <w:r>
              <w:rPr>
                <w:rFonts w:hint="eastAsia"/>
                <w:sz w:val="22"/>
              </w:rPr>
              <w:t>2003</w:t>
            </w:r>
            <w:r>
              <w:rPr>
                <w:rFonts w:hint="eastAsia"/>
                <w:sz w:val="22"/>
              </w:rPr>
              <w:t>年的变化</w:t>
            </w:r>
          </w:p>
        </w:tc>
      </w:tr>
      <w:tr w:rsidR="00000000">
        <w:tblPrEx>
          <w:tblCellMar>
            <w:top w:w="0" w:type="dxa"/>
            <w:bottom w:w="0" w:type="dxa"/>
          </w:tblCellMar>
        </w:tblPrEx>
        <w:tc>
          <w:tcPr>
            <w:tcW w:w="3120" w:type="dxa"/>
            <w:tcBorders>
              <w:bottom w:val="nil"/>
            </w:tcBorders>
          </w:tcPr>
          <w:p w:rsidR="00000000" w:rsidRDefault="00000000">
            <w:pPr>
              <w:spacing w:before="80" w:line="240" w:lineRule="auto"/>
              <w:rPr>
                <w:rFonts w:hint="eastAsia"/>
                <w:sz w:val="22"/>
              </w:rPr>
            </w:pPr>
            <w:r>
              <w:rPr>
                <w:rFonts w:hint="eastAsia"/>
                <w:sz w:val="22"/>
              </w:rPr>
              <w:t>17</w:t>
            </w:r>
            <w:r>
              <w:rPr>
                <w:rFonts w:hint="eastAsia"/>
                <w:sz w:val="22"/>
              </w:rPr>
              <w:t>岁以下者</w:t>
            </w:r>
          </w:p>
        </w:tc>
        <w:tc>
          <w:tcPr>
            <w:tcW w:w="3120" w:type="dxa"/>
            <w:tcBorders>
              <w:bottom w:val="nil"/>
            </w:tcBorders>
          </w:tcPr>
          <w:p w:rsidR="00000000" w:rsidRDefault="00000000">
            <w:pPr>
              <w:spacing w:before="80" w:line="240" w:lineRule="auto"/>
              <w:ind w:right="1077"/>
              <w:jc w:val="right"/>
              <w:rPr>
                <w:sz w:val="22"/>
              </w:rPr>
            </w:pPr>
            <w:r>
              <w:rPr>
                <w:sz w:val="22"/>
              </w:rPr>
              <w:t>856 791</w:t>
            </w:r>
          </w:p>
        </w:tc>
        <w:tc>
          <w:tcPr>
            <w:tcW w:w="3120" w:type="dxa"/>
            <w:tcBorders>
              <w:bottom w:val="nil"/>
            </w:tcBorders>
          </w:tcPr>
          <w:p w:rsidR="00000000" w:rsidRDefault="00000000">
            <w:pPr>
              <w:spacing w:before="80" w:line="240" w:lineRule="auto"/>
              <w:ind w:right="1077"/>
              <w:jc w:val="right"/>
              <w:rPr>
                <w:sz w:val="22"/>
              </w:rPr>
            </w:pPr>
            <w:r>
              <w:rPr>
                <w:sz w:val="22"/>
              </w:rPr>
              <w:t>-27 015</w:t>
            </w:r>
          </w:p>
        </w:tc>
      </w:tr>
      <w:tr w:rsidR="00000000">
        <w:tblPrEx>
          <w:tblCellMar>
            <w:top w:w="0" w:type="dxa"/>
            <w:bottom w:w="0" w:type="dxa"/>
          </w:tblCellMar>
        </w:tblPrEx>
        <w:tc>
          <w:tcPr>
            <w:tcW w:w="3120" w:type="dxa"/>
            <w:tcBorders>
              <w:top w:val="nil"/>
              <w:bottom w:val="nil"/>
            </w:tcBorders>
          </w:tcPr>
          <w:p w:rsidR="00000000" w:rsidRDefault="00000000">
            <w:pPr>
              <w:spacing w:line="240" w:lineRule="auto"/>
              <w:rPr>
                <w:rFonts w:hint="eastAsia"/>
                <w:sz w:val="22"/>
              </w:rPr>
            </w:pPr>
            <w:r>
              <w:rPr>
                <w:rFonts w:hint="eastAsia"/>
                <w:sz w:val="22"/>
              </w:rPr>
              <w:t>超过</w:t>
            </w:r>
            <w:r>
              <w:rPr>
                <w:rFonts w:hint="eastAsia"/>
                <w:sz w:val="22"/>
              </w:rPr>
              <w:t>17</w:t>
            </w:r>
            <w:r>
              <w:rPr>
                <w:rFonts w:hint="eastAsia"/>
                <w:sz w:val="22"/>
              </w:rPr>
              <w:t>岁的人：</w:t>
            </w:r>
          </w:p>
        </w:tc>
        <w:tc>
          <w:tcPr>
            <w:tcW w:w="3120" w:type="dxa"/>
            <w:tcBorders>
              <w:top w:val="nil"/>
              <w:bottom w:val="nil"/>
            </w:tcBorders>
          </w:tcPr>
          <w:p w:rsidR="00000000" w:rsidRDefault="00000000">
            <w:pPr>
              <w:spacing w:line="240" w:lineRule="auto"/>
              <w:ind w:right="1077"/>
              <w:jc w:val="right"/>
              <w:rPr>
                <w:bCs/>
                <w:noProof/>
                <w:sz w:val="22"/>
              </w:rPr>
            </w:pPr>
            <w:r>
              <w:rPr>
                <w:bCs/>
                <w:noProof/>
                <w:sz w:val="22"/>
              </w:rPr>
              <w:t>943 667</w:t>
            </w:r>
          </w:p>
        </w:tc>
        <w:tc>
          <w:tcPr>
            <w:tcW w:w="3120" w:type="dxa"/>
            <w:tcBorders>
              <w:top w:val="nil"/>
              <w:bottom w:val="nil"/>
            </w:tcBorders>
          </w:tcPr>
          <w:p w:rsidR="00000000" w:rsidRDefault="00000000">
            <w:pPr>
              <w:spacing w:line="240" w:lineRule="auto"/>
              <w:ind w:right="1077"/>
              <w:jc w:val="right"/>
              <w:rPr>
                <w:bCs/>
                <w:noProof/>
                <w:sz w:val="22"/>
              </w:rPr>
            </w:pPr>
            <w:r>
              <w:rPr>
                <w:bCs/>
                <w:noProof/>
                <w:sz w:val="22"/>
              </w:rPr>
              <w:t>11 941</w:t>
            </w:r>
          </w:p>
        </w:tc>
      </w:tr>
      <w:tr w:rsidR="00000000">
        <w:tblPrEx>
          <w:tblCellMar>
            <w:top w:w="0" w:type="dxa"/>
            <w:bottom w:w="0" w:type="dxa"/>
          </w:tblCellMar>
        </w:tblPrEx>
        <w:tc>
          <w:tcPr>
            <w:tcW w:w="3120" w:type="dxa"/>
            <w:tcBorders>
              <w:top w:val="nil"/>
              <w:bottom w:val="nil"/>
            </w:tcBorders>
          </w:tcPr>
          <w:p w:rsidR="00000000" w:rsidRDefault="00000000">
            <w:pPr>
              <w:spacing w:line="240" w:lineRule="auto"/>
              <w:rPr>
                <w:rFonts w:hint="eastAsia"/>
                <w:sz w:val="22"/>
              </w:rPr>
            </w:pPr>
            <w:r>
              <w:rPr>
                <w:rFonts w:hint="eastAsia"/>
                <w:sz w:val="22"/>
              </w:rPr>
              <w:t xml:space="preserve">- </w:t>
            </w:r>
            <w:r>
              <w:rPr>
                <w:rFonts w:hint="eastAsia"/>
                <w:sz w:val="22"/>
              </w:rPr>
              <w:t>其中</w:t>
            </w:r>
            <w:r>
              <w:rPr>
                <w:rFonts w:hint="eastAsia"/>
                <w:sz w:val="22"/>
              </w:rPr>
              <w:t>18</w:t>
            </w:r>
            <w:r>
              <w:rPr>
                <w:rFonts w:hint="eastAsia"/>
                <w:sz w:val="22"/>
              </w:rPr>
              <w:t>岁至</w:t>
            </w:r>
            <w:r>
              <w:rPr>
                <w:rFonts w:hint="eastAsia"/>
                <w:sz w:val="22"/>
              </w:rPr>
              <w:t>55</w:t>
            </w:r>
            <w:r>
              <w:rPr>
                <w:rFonts w:hint="eastAsia"/>
                <w:sz w:val="22"/>
              </w:rPr>
              <w:t>岁者</w:t>
            </w:r>
          </w:p>
        </w:tc>
        <w:tc>
          <w:tcPr>
            <w:tcW w:w="3120" w:type="dxa"/>
            <w:tcBorders>
              <w:top w:val="nil"/>
              <w:bottom w:val="nil"/>
            </w:tcBorders>
          </w:tcPr>
          <w:p w:rsidR="00000000" w:rsidRDefault="00000000">
            <w:pPr>
              <w:spacing w:line="240" w:lineRule="auto"/>
              <w:ind w:right="1077"/>
              <w:jc w:val="right"/>
              <w:rPr>
                <w:bCs/>
                <w:noProof/>
                <w:sz w:val="22"/>
              </w:rPr>
            </w:pPr>
            <w:r>
              <w:rPr>
                <w:bCs/>
                <w:noProof/>
                <w:sz w:val="22"/>
              </w:rPr>
              <w:t>712 547</w:t>
            </w:r>
          </w:p>
        </w:tc>
        <w:tc>
          <w:tcPr>
            <w:tcW w:w="3120" w:type="dxa"/>
            <w:tcBorders>
              <w:top w:val="nil"/>
              <w:bottom w:val="nil"/>
            </w:tcBorders>
          </w:tcPr>
          <w:p w:rsidR="00000000" w:rsidRDefault="00000000">
            <w:pPr>
              <w:spacing w:line="240" w:lineRule="auto"/>
              <w:ind w:right="1077"/>
              <w:jc w:val="right"/>
              <w:rPr>
                <w:bCs/>
                <w:noProof/>
                <w:sz w:val="22"/>
              </w:rPr>
            </w:pPr>
            <w:r>
              <w:rPr>
                <w:bCs/>
                <w:noProof/>
                <w:sz w:val="22"/>
              </w:rPr>
              <w:t>540</w:t>
            </w:r>
          </w:p>
        </w:tc>
      </w:tr>
      <w:tr w:rsidR="00000000">
        <w:tblPrEx>
          <w:tblCellMar>
            <w:top w:w="0" w:type="dxa"/>
            <w:bottom w:w="0" w:type="dxa"/>
          </w:tblCellMar>
        </w:tblPrEx>
        <w:tc>
          <w:tcPr>
            <w:tcW w:w="3120" w:type="dxa"/>
            <w:tcBorders>
              <w:top w:val="nil"/>
              <w:bottom w:val="nil"/>
            </w:tcBorders>
          </w:tcPr>
          <w:p w:rsidR="00000000" w:rsidRDefault="00000000">
            <w:pPr>
              <w:spacing w:line="240" w:lineRule="auto"/>
              <w:rPr>
                <w:rFonts w:hint="eastAsia"/>
                <w:sz w:val="22"/>
              </w:rPr>
            </w:pPr>
            <w:r>
              <w:rPr>
                <w:rFonts w:hint="eastAsia"/>
                <w:sz w:val="22"/>
              </w:rPr>
              <w:t xml:space="preserve">- </w:t>
            </w:r>
            <w:r>
              <w:rPr>
                <w:rFonts w:hint="eastAsia"/>
                <w:sz w:val="22"/>
              </w:rPr>
              <w:t>其中</w:t>
            </w:r>
            <w:r>
              <w:rPr>
                <w:rFonts w:hint="eastAsia"/>
                <w:sz w:val="22"/>
              </w:rPr>
              <w:t>56</w:t>
            </w:r>
            <w:r>
              <w:rPr>
                <w:rFonts w:hint="eastAsia"/>
                <w:sz w:val="22"/>
              </w:rPr>
              <w:t>岁以上者</w:t>
            </w:r>
          </w:p>
        </w:tc>
        <w:tc>
          <w:tcPr>
            <w:tcW w:w="3120" w:type="dxa"/>
            <w:tcBorders>
              <w:top w:val="nil"/>
              <w:bottom w:val="nil"/>
            </w:tcBorders>
          </w:tcPr>
          <w:p w:rsidR="00000000" w:rsidRDefault="00000000">
            <w:pPr>
              <w:spacing w:line="240" w:lineRule="auto"/>
              <w:ind w:right="1077"/>
              <w:jc w:val="right"/>
              <w:rPr>
                <w:bCs/>
                <w:noProof/>
                <w:sz w:val="22"/>
              </w:rPr>
            </w:pPr>
            <w:r>
              <w:rPr>
                <w:bCs/>
                <w:noProof/>
                <w:sz w:val="22"/>
              </w:rPr>
              <w:t>231 120</w:t>
            </w:r>
          </w:p>
        </w:tc>
        <w:tc>
          <w:tcPr>
            <w:tcW w:w="3120" w:type="dxa"/>
            <w:tcBorders>
              <w:top w:val="nil"/>
              <w:bottom w:val="nil"/>
            </w:tcBorders>
          </w:tcPr>
          <w:p w:rsidR="00000000" w:rsidRDefault="00000000">
            <w:pPr>
              <w:spacing w:line="240" w:lineRule="auto"/>
              <w:ind w:right="1077"/>
              <w:jc w:val="right"/>
              <w:rPr>
                <w:bCs/>
                <w:noProof/>
                <w:sz w:val="22"/>
              </w:rPr>
            </w:pPr>
            <w:r>
              <w:rPr>
                <w:bCs/>
                <w:noProof/>
                <w:sz w:val="22"/>
              </w:rPr>
              <w:t>11 401</w:t>
            </w:r>
          </w:p>
        </w:tc>
      </w:tr>
      <w:tr w:rsidR="00000000">
        <w:tblPrEx>
          <w:tblCellMar>
            <w:top w:w="0" w:type="dxa"/>
            <w:bottom w:w="0" w:type="dxa"/>
          </w:tblCellMar>
        </w:tblPrEx>
        <w:tc>
          <w:tcPr>
            <w:tcW w:w="3120" w:type="dxa"/>
            <w:tcBorders>
              <w:top w:val="nil"/>
            </w:tcBorders>
          </w:tcPr>
          <w:p w:rsidR="00000000" w:rsidRDefault="00000000">
            <w:pPr>
              <w:spacing w:after="60" w:line="240" w:lineRule="auto"/>
              <w:rPr>
                <w:rFonts w:hint="eastAsia"/>
                <w:sz w:val="22"/>
              </w:rPr>
            </w:pPr>
            <w:r>
              <w:rPr>
                <w:rFonts w:hint="eastAsia"/>
                <w:sz w:val="22"/>
              </w:rPr>
              <w:t xml:space="preserve">    </w:t>
            </w:r>
            <w:r>
              <w:rPr>
                <w:rFonts w:hint="eastAsia"/>
                <w:sz w:val="22"/>
              </w:rPr>
              <w:t>总</w:t>
            </w:r>
            <w:r>
              <w:rPr>
                <w:rFonts w:hint="eastAsia"/>
                <w:sz w:val="22"/>
              </w:rPr>
              <w:t xml:space="preserve">  </w:t>
            </w:r>
            <w:r>
              <w:rPr>
                <w:rFonts w:hint="eastAsia"/>
                <w:sz w:val="22"/>
              </w:rPr>
              <w:t>计</w:t>
            </w:r>
          </w:p>
        </w:tc>
        <w:tc>
          <w:tcPr>
            <w:tcW w:w="3120" w:type="dxa"/>
            <w:tcBorders>
              <w:top w:val="nil"/>
            </w:tcBorders>
          </w:tcPr>
          <w:p w:rsidR="00000000" w:rsidRDefault="00000000">
            <w:pPr>
              <w:spacing w:line="240" w:lineRule="auto"/>
              <w:ind w:right="1077"/>
              <w:jc w:val="right"/>
              <w:rPr>
                <w:sz w:val="22"/>
              </w:rPr>
            </w:pPr>
            <w:r>
              <w:rPr>
                <w:sz w:val="22"/>
              </w:rPr>
              <w:t>1 800 458</w:t>
            </w:r>
          </w:p>
        </w:tc>
        <w:tc>
          <w:tcPr>
            <w:tcW w:w="3120" w:type="dxa"/>
            <w:tcBorders>
              <w:top w:val="nil"/>
            </w:tcBorders>
          </w:tcPr>
          <w:p w:rsidR="00000000" w:rsidRDefault="00000000">
            <w:pPr>
              <w:spacing w:line="240" w:lineRule="auto"/>
              <w:ind w:right="1077"/>
              <w:jc w:val="right"/>
              <w:rPr>
                <w:sz w:val="22"/>
              </w:rPr>
            </w:pPr>
            <w:r>
              <w:rPr>
                <w:sz w:val="22"/>
              </w:rPr>
              <w:t xml:space="preserve">-15 </w:t>
            </w:r>
            <w:r>
              <w:rPr>
                <w:bCs/>
                <w:noProof/>
                <w:sz w:val="22"/>
              </w:rPr>
              <w:t>074</w:t>
            </w:r>
          </w:p>
        </w:tc>
      </w:tr>
    </w:tbl>
    <w:p w:rsidR="00000000" w:rsidRDefault="00000000">
      <w:pPr>
        <w:pStyle w:val="EndnoteText"/>
        <w:spacing w:before="120" w:line="168" w:lineRule="auto"/>
        <w:rPr>
          <w:rFonts w:hint="eastAsia"/>
        </w:rPr>
      </w:pPr>
    </w:p>
    <w:p w:rsidR="00000000" w:rsidRDefault="00000000">
      <w:pPr>
        <w:pStyle w:val="EndnoteText"/>
        <w:rPr>
          <w:rFonts w:hint="eastAsia"/>
          <w:spacing w:val="0"/>
        </w:rPr>
      </w:pPr>
      <w:r>
        <w:rPr>
          <w:rFonts w:hint="eastAsia"/>
          <w:spacing w:val="0"/>
          <w:u w:val="single"/>
        </w:rPr>
        <w:t>资料来源</w:t>
      </w:r>
      <w:r>
        <w:rPr>
          <w:rFonts w:hint="eastAsia"/>
          <w:spacing w:val="0"/>
        </w:rPr>
        <w:t>：</w:t>
      </w:r>
      <w:r>
        <w:rPr>
          <w:spacing w:val="0"/>
        </w:rPr>
        <w:t xml:space="preserve">Stakes/Tieto, </w:t>
      </w:r>
      <w:r>
        <w:rPr>
          <w:rFonts w:hint="eastAsia"/>
          <w:spacing w:val="0"/>
        </w:rPr>
        <w:t>初步资料</w:t>
      </w:r>
      <w:r>
        <w:rPr>
          <w:spacing w:val="0"/>
        </w:rPr>
        <w:t>，</w:t>
      </w:r>
      <w:r>
        <w:rPr>
          <w:spacing w:val="0"/>
        </w:rPr>
        <w:t>2002</w:t>
      </w:r>
      <w:r>
        <w:rPr>
          <w:rFonts w:hint="eastAsia"/>
          <w:spacing w:val="0"/>
        </w:rPr>
        <w:t>年。</w:t>
      </w:r>
    </w:p>
    <w:p w:rsidR="00000000" w:rsidRDefault="00000000">
      <w:pPr>
        <w:pStyle w:val="EndnoteText"/>
        <w:spacing w:after="320"/>
        <w:rPr>
          <w:rFonts w:hint="eastAsia"/>
        </w:rPr>
      </w:pPr>
      <w:r>
        <w:rPr>
          <w:rFonts w:hint="eastAsia"/>
          <w:spacing w:val="0"/>
        </w:rPr>
        <w:t>*  18</w:t>
      </w:r>
      <w:r>
        <w:rPr>
          <w:rFonts w:hint="eastAsia"/>
          <w:spacing w:val="0"/>
        </w:rPr>
        <w:t>岁以下者。</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12</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2002</w:t>
      </w:r>
      <w:r>
        <w:rPr>
          <w:rFonts w:ascii="Time New Roman" w:eastAsia="SimHei" w:hAnsi="Time New Roman" w:hint="eastAsia"/>
          <w:sz w:val="22"/>
          <w:u w:val="none"/>
        </w:rPr>
        <w:t>年医疗服务部门的牙科专业人员</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0"/>
        <w:gridCol w:w="1340"/>
        <w:gridCol w:w="1477"/>
        <w:gridCol w:w="1568"/>
        <w:gridCol w:w="1233"/>
        <w:gridCol w:w="1507"/>
      </w:tblGrid>
      <w:tr w:rsidR="00000000">
        <w:tblPrEx>
          <w:tblCellMar>
            <w:top w:w="0" w:type="dxa"/>
            <w:bottom w:w="0" w:type="dxa"/>
          </w:tblCellMar>
        </w:tblPrEx>
        <w:tc>
          <w:tcPr>
            <w:tcW w:w="2230" w:type="dxa"/>
            <w:vAlign w:val="center"/>
          </w:tcPr>
          <w:p w:rsidR="00000000" w:rsidRDefault="00000000">
            <w:pPr>
              <w:spacing w:line="240" w:lineRule="auto"/>
              <w:jc w:val="center"/>
              <w:rPr>
                <w:rFonts w:hint="eastAsia"/>
                <w:sz w:val="22"/>
              </w:rPr>
            </w:pPr>
            <w:r>
              <w:rPr>
                <w:rFonts w:hint="eastAsia"/>
                <w:sz w:val="22"/>
              </w:rPr>
              <w:t>专业团体</w:t>
            </w:r>
          </w:p>
        </w:tc>
        <w:tc>
          <w:tcPr>
            <w:tcW w:w="1340" w:type="dxa"/>
            <w:vAlign w:val="center"/>
          </w:tcPr>
          <w:p w:rsidR="00000000" w:rsidRDefault="00000000">
            <w:pPr>
              <w:spacing w:line="240" w:lineRule="auto"/>
              <w:jc w:val="center"/>
              <w:rPr>
                <w:rFonts w:hint="eastAsia"/>
                <w:sz w:val="22"/>
              </w:rPr>
            </w:pPr>
            <w:r>
              <w:rPr>
                <w:rFonts w:hint="eastAsia"/>
                <w:sz w:val="22"/>
              </w:rPr>
              <w:t>职工总数</w:t>
            </w:r>
          </w:p>
        </w:tc>
        <w:tc>
          <w:tcPr>
            <w:tcW w:w="1477" w:type="dxa"/>
          </w:tcPr>
          <w:p w:rsidR="00000000" w:rsidRDefault="00000000">
            <w:pPr>
              <w:spacing w:before="80" w:after="40" w:line="216" w:lineRule="auto"/>
              <w:jc w:val="center"/>
              <w:rPr>
                <w:rFonts w:hint="eastAsia"/>
                <w:sz w:val="22"/>
              </w:rPr>
            </w:pPr>
            <w:r>
              <w:rPr>
                <w:sz w:val="22"/>
              </w:rPr>
              <w:t xml:space="preserve">- </w:t>
            </w:r>
            <w:r>
              <w:rPr>
                <w:rFonts w:hint="eastAsia"/>
                <w:sz w:val="22"/>
              </w:rPr>
              <w:t>其中的非全日制雇员</w:t>
            </w:r>
          </w:p>
        </w:tc>
        <w:tc>
          <w:tcPr>
            <w:tcW w:w="1568" w:type="dxa"/>
          </w:tcPr>
          <w:p w:rsidR="00000000" w:rsidRDefault="00000000">
            <w:pPr>
              <w:spacing w:before="80" w:after="40" w:line="216" w:lineRule="auto"/>
              <w:jc w:val="center"/>
              <w:rPr>
                <w:rFonts w:hint="eastAsia"/>
                <w:sz w:val="22"/>
              </w:rPr>
            </w:pPr>
            <w:r>
              <w:rPr>
                <w:sz w:val="22"/>
              </w:rPr>
              <w:t xml:space="preserve">- </w:t>
            </w:r>
            <w:r>
              <w:rPr>
                <w:rFonts w:hint="eastAsia"/>
                <w:sz w:val="22"/>
              </w:rPr>
              <w:t>其中另有</w:t>
            </w:r>
            <w:r>
              <w:rPr>
                <w:sz w:val="22"/>
              </w:rPr>
              <w:br/>
            </w:r>
            <w:r>
              <w:rPr>
                <w:rFonts w:hint="eastAsia"/>
                <w:sz w:val="22"/>
              </w:rPr>
              <w:t>牙医诊所者</w:t>
            </w:r>
          </w:p>
        </w:tc>
        <w:tc>
          <w:tcPr>
            <w:tcW w:w="1233" w:type="dxa"/>
            <w:vAlign w:val="center"/>
          </w:tcPr>
          <w:p w:rsidR="00000000" w:rsidRDefault="00000000">
            <w:pPr>
              <w:spacing w:before="80" w:after="40" w:line="216" w:lineRule="auto"/>
              <w:jc w:val="center"/>
              <w:rPr>
                <w:rFonts w:hint="eastAsia"/>
                <w:sz w:val="22"/>
              </w:rPr>
            </w:pPr>
            <w:r>
              <w:rPr>
                <w:rFonts w:hint="eastAsia"/>
                <w:sz w:val="22"/>
              </w:rPr>
              <w:t>休假人员</w:t>
            </w:r>
          </w:p>
        </w:tc>
        <w:tc>
          <w:tcPr>
            <w:tcW w:w="1507" w:type="dxa"/>
          </w:tcPr>
          <w:p w:rsidR="00000000" w:rsidRDefault="00000000">
            <w:pPr>
              <w:spacing w:before="80" w:after="40" w:line="216" w:lineRule="auto"/>
              <w:jc w:val="center"/>
              <w:rPr>
                <w:rFonts w:hint="eastAsia"/>
                <w:sz w:val="22"/>
              </w:rPr>
            </w:pPr>
            <w:r>
              <w:rPr>
                <w:rFonts w:hint="eastAsia"/>
                <w:sz w:val="22"/>
              </w:rPr>
              <w:t>牙科专业</w:t>
            </w:r>
            <w:r>
              <w:rPr>
                <w:sz w:val="22"/>
              </w:rPr>
              <w:br/>
            </w:r>
            <w:r>
              <w:rPr>
                <w:rFonts w:hint="eastAsia"/>
                <w:sz w:val="22"/>
              </w:rPr>
              <w:t>人员总数</w:t>
            </w:r>
          </w:p>
        </w:tc>
      </w:tr>
      <w:tr w:rsidR="00000000">
        <w:tblPrEx>
          <w:tblCellMar>
            <w:top w:w="0" w:type="dxa"/>
            <w:bottom w:w="0" w:type="dxa"/>
          </w:tblCellMar>
        </w:tblPrEx>
        <w:tc>
          <w:tcPr>
            <w:tcW w:w="2230" w:type="dxa"/>
            <w:tcBorders>
              <w:bottom w:val="nil"/>
            </w:tcBorders>
          </w:tcPr>
          <w:p w:rsidR="00000000" w:rsidRDefault="00000000">
            <w:pPr>
              <w:spacing w:before="80" w:line="240" w:lineRule="auto"/>
              <w:rPr>
                <w:rFonts w:hint="eastAsia"/>
                <w:sz w:val="22"/>
              </w:rPr>
            </w:pPr>
            <w:r>
              <w:rPr>
                <w:rFonts w:hint="eastAsia"/>
                <w:sz w:val="22"/>
              </w:rPr>
              <w:t>特许牙医</w:t>
            </w:r>
          </w:p>
        </w:tc>
        <w:tc>
          <w:tcPr>
            <w:tcW w:w="1340" w:type="dxa"/>
            <w:tcBorders>
              <w:bottom w:val="nil"/>
            </w:tcBorders>
          </w:tcPr>
          <w:p w:rsidR="00000000" w:rsidRDefault="00000000">
            <w:pPr>
              <w:spacing w:before="80" w:line="240" w:lineRule="auto"/>
              <w:ind w:right="284"/>
              <w:jc w:val="right"/>
              <w:rPr>
                <w:sz w:val="22"/>
              </w:rPr>
            </w:pPr>
            <w:r>
              <w:rPr>
                <w:sz w:val="22"/>
              </w:rPr>
              <w:t>2 304</w:t>
            </w:r>
          </w:p>
        </w:tc>
        <w:tc>
          <w:tcPr>
            <w:tcW w:w="1477" w:type="dxa"/>
            <w:tcBorders>
              <w:bottom w:val="nil"/>
            </w:tcBorders>
          </w:tcPr>
          <w:p w:rsidR="00000000" w:rsidRDefault="00000000">
            <w:pPr>
              <w:spacing w:before="80" w:line="240" w:lineRule="auto"/>
              <w:ind w:right="397"/>
              <w:jc w:val="right"/>
              <w:rPr>
                <w:sz w:val="22"/>
              </w:rPr>
            </w:pPr>
            <w:r>
              <w:rPr>
                <w:sz w:val="22"/>
              </w:rPr>
              <w:t>506</w:t>
            </w:r>
          </w:p>
        </w:tc>
        <w:tc>
          <w:tcPr>
            <w:tcW w:w="1568" w:type="dxa"/>
            <w:tcBorders>
              <w:bottom w:val="nil"/>
            </w:tcBorders>
          </w:tcPr>
          <w:p w:rsidR="00000000" w:rsidRDefault="00000000">
            <w:pPr>
              <w:spacing w:before="80" w:line="240" w:lineRule="auto"/>
              <w:ind w:right="624"/>
              <w:jc w:val="right"/>
              <w:rPr>
                <w:sz w:val="22"/>
              </w:rPr>
            </w:pPr>
            <w:r>
              <w:rPr>
                <w:sz w:val="22"/>
              </w:rPr>
              <w:t>58</w:t>
            </w:r>
          </w:p>
        </w:tc>
        <w:tc>
          <w:tcPr>
            <w:tcW w:w="1233" w:type="dxa"/>
            <w:tcBorders>
              <w:bottom w:val="nil"/>
            </w:tcBorders>
          </w:tcPr>
          <w:p w:rsidR="00000000" w:rsidRDefault="00000000">
            <w:pPr>
              <w:spacing w:before="80" w:line="240" w:lineRule="auto"/>
              <w:ind w:right="397"/>
              <w:jc w:val="right"/>
              <w:rPr>
                <w:sz w:val="22"/>
              </w:rPr>
            </w:pPr>
            <w:r>
              <w:rPr>
                <w:sz w:val="22"/>
              </w:rPr>
              <w:t>157</w:t>
            </w:r>
          </w:p>
        </w:tc>
        <w:tc>
          <w:tcPr>
            <w:tcW w:w="1507" w:type="dxa"/>
            <w:tcBorders>
              <w:bottom w:val="nil"/>
            </w:tcBorders>
          </w:tcPr>
          <w:p w:rsidR="00000000" w:rsidRDefault="00000000">
            <w:pPr>
              <w:spacing w:before="80" w:line="240" w:lineRule="auto"/>
              <w:ind w:right="284"/>
              <w:jc w:val="right"/>
              <w:rPr>
                <w:sz w:val="22"/>
              </w:rPr>
            </w:pPr>
            <w:r>
              <w:rPr>
                <w:sz w:val="22"/>
              </w:rPr>
              <w:t>2 461</w:t>
            </w:r>
          </w:p>
        </w:tc>
      </w:tr>
      <w:tr w:rsidR="00000000">
        <w:tblPrEx>
          <w:tblCellMar>
            <w:top w:w="0" w:type="dxa"/>
            <w:bottom w:w="0" w:type="dxa"/>
          </w:tblCellMar>
        </w:tblPrEx>
        <w:tc>
          <w:tcPr>
            <w:tcW w:w="2230" w:type="dxa"/>
            <w:tcBorders>
              <w:top w:val="nil"/>
              <w:bottom w:val="nil"/>
            </w:tcBorders>
          </w:tcPr>
          <w:p w:rsidR="00000000" w:rsidRDefault="00000000">
            <w:pPr>
              <w:spacing w:line="240" w:lineRule="auto"/>
              <w:rPr>
                <w:rFonts w:hint="eastAsia"/>
                <w:sz w:val="22"/>
              </w:rPr>
            </w:pPr>
            <w:r>
              <w:rPr>
                <w:rFonts w:hint="eastAsia"/>
                <w:sz w:val="22"/>
              </w:rPr>
              <w:t>特许牙医助手</w:t>
            </w:r>
          </w:p>
        </w:tc>
        <w:tc>
          <w:tcPr>
            <w:tcW w:w="1340" w:type="dxa"/>
            <w:tcBorders>
              <w:top w:val="nil"/>
              <w:bottom w:val="nil"/>
            </w:tcBorders>
          </w:tcPr>
          <w:p w:rsidR="00000000" w:rsidRDefault="00000000">
            <w:pPr>
              <w:spacing w:line="240" w:lineRule="auto"/>
              <w:ind w:right="284"/>
              <w:jc w:val="right"/>
              <w:rPr>
                <w:sz w:val="22"/>
              </w:rPr>
            </w:pPr>
            <w:r>
              <w:rPr>
                <w:sz w:val="22"/>
              </w:rPr>
              <w:t>555</w:t>
            </w:r>
          </w:p>
        </w:tc>
        <w:tc>
          <w:tcPr>
            <w:tcW w:w="1477" w:type="dxa"/>
            <w:tcBorders>
              <w:top w:val="nil"/>
              <w:bottom w:val="nil"/>
            </w:tcBorders>
          </w:tcPr>
          <w:p w:rsidR="00000000" w:rsidRDefault="00000000">
            <w:pPr>
              <w:spacing w:line="240" w:lineRule="auto"/>
              <w:ind w:right="397"/>
              <w:jc w:val="right"/>
              <w:rPr>
                <w:sz w:val="22"/>
              </w:rPr>
            </w:pPr>
            <w:r>
              <w:rPr>
                <w:sz w:val="22"/>
              </w:rPr>
              <w:t>76</w:t>
            </w:r>
          </w:p>
        </w:tc>
        <w:tc>
          <w:tcPr>
            <w:tcW w:w="1568" w:type="dxa"/>
            <w:tcBorders>
              <w:top w:val="nil"/>
              <w:bottom w:val="nil"/>
            </w:tcBorders>
          </w:tcPr>
          <w:p w:rsidR="00000000" w:rsidRDefault="00000000">
            <w:pPr>
              <w:spacing w:line="240" w:lineRule="auto"/>
              <w:ind w:right="624"/>
              <w:jc w:val="right"/>
              <w:rPr>
                <w:sz w:val="22"/>
              </w:rPr>
            </w:pPr>
            <w:r>
              <w:rPr>
                <w:sz w:val="22"/>
              </w:rPr>
              <w:t>0</w:t>
            </w:r>
          </w:p>
        </w:tc>
        <w:tc>
          <w:tcPr>
            <w:tcW w:w="1233" w:type="dxa"/>
            <w:tcBorders>
              <w:top w:val="nil"/>
              <w:bottom w:val="nil"/>
            </w:tcBorders>
          </w:tcPr>
          <w:p w:rsidR="00000000" w:rsidRDefault="00000000">
            <w:pPr>
              <w:spacing w:line="240" w:lineRule="auto"/>
              <w:ind w:right="397"/>
              <w:jc w:val="right"/>
              <w:rPr>
                <w:sz w:val="22"/>
              </w:rPr>
            </w:pPr>
            <w:r>
              <w:rPr>
                <w:sz w:val="22"/>
              </w:rPr>
              <w:t>51</w:t>
            </w:r>
          </w:p>
        </w:tc>
        <w:tc>
          <w:tcPr>
            <w:tcW w:w="1507" w:type="dxa"/>
            <w:tcBorders>
              <w:top w:val="nil"/>
              <w:bottom w:val="nil"/>
            </w:tcBorders>
          </w:tcPr>
          <w:p w:rsidR="00000000" w:rsidRDefault="00000000">
            <w:pPr>
              <w:spacing w:line="240" w:lineRule="auto"/>
              <w:ind w:right="284"/>
              <w:jc w:val="right"/>
              <w:rPr>
                <w:sz w:val="22"/>
              </w:rPr>
            </w:pPr>
            <w:r>
              <w:rPr>
                <w:sz w:val="22"/>
              </w:rPr>
              <w:t>606</w:t>
            </w:r>
          </w:p>
        </w:tc>
      </w:tr>
      <w:tr w:rsidR="00000000">
        <w:tblPrEx>
          <w:tblCellMar>
            <w:top w:w="0" w:type="dxa"/>
            <w:bottom w:w="0" w:type="dxa"/>
          </w:tblCellMar>
        </w:tblPrEx>
        <w:tc>
          <w:tcPr>
            <w:tcW w:w="2230" w:type="dxa"/>
            <w:tcBorders>
              <w:top w:val="nil"/>
              <w:bottom w:val="nil"/>
            </w:tcBorders>
          </w:tcPr>
          <w:p w:rsidR="00000000" w:rsidRDefault="00000000">
            <w:pPr>
              <w:spacing w:line="240" w:lineRule="auto"/>
              <w:rPr>
                <w:sz w:val="22"/>
              </w:rPr>
            </w:pPr>
            <w:r>
              <w:rPr>
                <w:rFonts w:hint="eastAsia"/>
                <w:sz w:val="22"/>
              </w:rPr>
              <w:t>特许牙科护士</w:t>
            </w:r>
            <w:r>
              <w:rPr>
                <w:sz w:val="22"/>
              </w:rPr>
              <w:t xml:space="preserve">  </w:t>
            </w:r>
          </w:p>
        </w:tc>
        <w:tc>
          <w:tcPr>
            <w:tcW w:w="1340" w:type="dxa"/>
            <w:tcBorders>
              <w:top w:val="nil"/>
              <w:bottom w:val="nil"/>
            </w:tcBorders>
          </w:tcPr>
          <w:p w:rsidR="00000000" w:rsidRDefault="00000000">
            <w:pPr>
              <w:spacing w:line="240" w:lineRule="auto"/>
              <w:ind w:right="284"/>
              <w:jc w:val="right"/>
              <w:rPr>
                <w:sz w:val="22"/>
              </w:rPr>
            </w:pPr>
            <w:r>
              <w:rPr>
                <w:sz w:val="22"/>
              </w:rPr>
              <w:t>2 730</w:t>
            </w:r>
          </w:p>
        </w:tc>
        <w:tc>
          <w:tcPr>
            <w:tcW w:w="1477" w:type="dxa"/>
            <w:tcBorders>
              <w:top w:val="nil"/>
              <w:bottom w:val="nil"/>
            </w:tcBorders>
          </w:tcPr>
          <w:p w:rsidR="00000000" w:rsidRDefault="00000000">
            <w:pPr>
              <w:spacing w:line="240" w:lineRule="auto"/>
              <w:ind w:right="397"/>
              <w:jc w:val="right"/>
              <w:rPr>
                <w:sz w:val="22"/>
              </w:rPr>
            </w:pPr>
            <w:r>
              <w:rPr>
                <w:sz w:val="22"/>
              </w:rPr>
              <w:t>289</w:t>
            </w:r>
          </w:p>
        </w:tc>
        <w:tc>
          <w:tcPr>
            <w:tcW w:w="1568" w:type="dxa"/>
            <w:tcBorders>
              <w:top w:val="nil"/>
              <w:bottom w:val="nil"/>
            </w:tcBorders>
          </w:tcPr>
          <w:p w:rsidR="00000000" w:rsidRDefault="00000000">
            <w:pPr>
              <w:spacing w:line="240" w:lineRule="auto"/>
              <w:ind w:right="624"/>
              <w:jc w:val="right"/>
              <w:rPr>
                <w:sz w:val="22"/>
              </w:rPr>
            </w:pPr>
            <w:r>
              <w:rPr>
                <w:sz w:val="22"/>
              </w:rPr>
              <w:t>0</w:t>
            </w:r>
          </w:p>
        </w:tc>
        <w:tc>
          <w:tcPr>
            <w:tcW w:w="1233" w:type="dxa"/>
            <w:tcBorders>
              <w:top w:val="nil"/>
              <w:bottom w:val="nil"/>
            </w:tcBorders>
          </w:tcPr>
          <w:p w:rsidR="00000000" w:rsidRDefault="00000000">
            <w:pPr>
              <w:spacing w:line="240" w:lineRule="auto"/>
              <w:ind w:right="397"/>
              <w:jc w:val="right"/>
              <w:rPr>
                <w:sz w:val="22"/>
              </w:rPr>
            </w:pPr>
            <w:r>
              <w:rPr>
                <w:sz w:val="22"/>
              </w:rPr>
              <w:t>177</w:t>
            </w:r>
          </w:p>
        </w:tc>
        <w:tc>
          <w:tcPr>
            <w:tcW w:w="1507" w:type="dxa"/>
            <w:tcBorders>
              <w:top w:val="nil"/>
              <w:bottom w:val="nil"/>
            </w:tcBorders>
          </w:tcPr>
          <w:p w:rsidR="00000000" w:rsidRDefault="00000000">
            <w:pPr>
              <w:spacing w:line="240" w:lineRule="auto"/>
              <w:ind w:right="284"/>
              <w:jc w:val="right"/>
              <w:rPr>
                <w:sz w:val="22"/>
              </w:rPr>
            </w:pPr>
            <w:r>
              <w:rPr>
                <w:sz w:val="22"/>
              </w:rPr>
              <w:t>2 907</w:t>
            </w:r>
          </w:p>
        </w:tc>
      </w:tr>
      <w:tr w:rsidR="00000000">
        <w:tblPrEx>
          <w:tblCellMar>
            <w:top w:w="0" w:type="dxa"/>
            <w:bottom w:w="0" w:type="dxa"/>
          </w:tblCellMar>
        </w:tblPrEx>
        <w:tc>
          <w:tcPr>
            <w:tcW w:w="2230" w:type="dxa"/>
            <w:tcBorders>
              <w:top w:val="nil"/>
              <w:bottom w:val="nil"/>
            </w:tcBorders>
          </w:tcPr>
          <w:p w:rsidR="00000000" w:rsidRDefault="00000000">
            <w:pPr>
              <w:spacing w:line="240" w:lineRule="auto"/>
              <w:rPr>
                <w:sz w:val="22"/>
              </w:rPr>
            </w:pPr>
            <w:r>
              <w:rPr>
                <w:rFonts w:hint="eastAsia"/>
                <w:sz w:val="22"/>
              </w:rPr>
              <w:t>特许牙科技术员</w:t>
            </w:r>
          </w:p>
        </w:tc>
        <w:tc>
          <w:tcPr>
            <w:tcW w:w="1340" w:type="dxa"/>
            <w:tcBorders>
              <w:top w:val="nil"/>
              <w:bottom w:val="nil"/>
            </w:tcBorders>
          </w:tcPr>
          <w:p w:rsidR="00000000" w:rsidRDefault="00000000">
            <w:pPr>
              <w:spacing w:line="240" w:lineRule="auto"/>
              <w:ind w:right="284"/>
              <w:jc w:val="right"/>
              <w:rPr>
                <w:sz w:val="22"/>
              </w:rPr>
            </w:pPr>
            <w:r>
              <w:rPr>
                <w:sz w:val="22"/>
              </w:rPr>
              <w:t>5</w:t>
            </w:r>
          </w:p>
        </w:tc>
        <w:tc>
          <w:tcPr>
            <w:tcW w:w="1477" w:type="dxa"/>
            <w:tcBorders>
              <w:top w:val="nil"/>
              <w:bottom w:val="nil"/>
            </w:tcBorders>
          </w:tcPr>
          <w:p w:rsidR="00000000" w:rsidRDefault="00000000">
            <w:pPr>
              <w:spacing w:line="240" w:lineRule="auto"/>
              <w:ind w:right="397"/>
              <w:jc w:val="right"/>
              <w:rPr>
                <w:sz w:val="22"/>
              </w:rPr>
            </w:pPr>
            <w:r>
              <w:rPr>
                <w:sz w:val="22"/>
              </w:rPr>
              <w:t>0</w:t>
            </w:r>
          </w:p>
        </w:tc>
        <w:tc>
          <w:tcPr>
            <w:tcW w:w="1568" w:type="dxa"/>
            <w:tcBorders>
              <w:top w:val="nil"/>
              <w:bottom w:val="nil"/>
            </w:tcBorders>
          </w:tcPr>
          <w:p w:rsidR="00000000" w:rsidRDefault="00000000">
            <w:pPr>
              <w:spacing w:line="240" w:lineRule="auto"/>
              <w:ind w:right="624"/>
              <w:jc w:val="right"/>
              <w:rPr>
                <w:sz w:val="22"/>
              </w:rPr>
            </w:pPr>
            <w:r>
              <w:rPr>
                <w:sz w:val="22"/>
              </w:rPr>
              <w:t>0</w:t>
            </w:r>
          </w:p>
        </w:tc>
        <w:tc>
          <w:tcPr>
            <w:tcW w:w="1233" w:type="dxa"/>
            <w:tcBorders>
              <w:top w:val="nil"/>
              <w:bottom w:val="nil"/>
            </w:tcBorders>
          </w:tcPr>
          <w:p w:rsidR="00000000" w:rsidRDefault="00000000">
            <w:pPr>
              <w:spacing w:line="240" w:lineRule="auto"/>
              <w:ind w:right="397"/>
              <w:jc w:val="right"/>
              <w:rPr>
                <w:sz w:val="22"/>
              </w:rPr>
            </w:pPr>
            <w:r>
              <w:rPr>
                <w:sz w:val="22"/>
              </w:rPr>
              <w:t>0</w:t>
            </w:r>
          </w:p>
        </w:tc>
        <w:tc>
          <w:tcPr>
            <w:tcW w:w="1507" w:type="dxa"/>
            <w:tcBorders>
              <w:top w:val="nil"/>
              <w:bottom w:val="nil"/>
            </w:tcBorders>
          </w:tcPr>
          <w:p w:rsidR="00000000" w:rsidRDefault="00000000">
            <w:pPr>
              <w:spacing w:line="240" w:lineRule="auto"/>
              <w:ind w:right="284"/>
              <w:jc w:val="right"/>
              <w:rPr>
                <w:sz w:val="22"/>
              </w:rPr>
            </w:pPr>
            <w:r>
              <w:rPr>
                <w:sz w:val="22"/>
              </w:rPr>
              <w:t>5</w:t>
            </w:r>
          </w:p>
        </w:tc>
      </w:tr>
      <w:tr w:rsidR="00000000">
        <w:tblPrEx>
          <w:tblCellMar>
            <w:top w:w="0" w:type="dxa"/>
            <w:bottom w:w="0" w:type="dxa"/>
          </w:tblCellMar>
        </w:tblPrEx>
        <w:tc>
          <w:tcPr>
            <w:tcW w:w="2230" w:type="dxa"/>
            <w:tcBorders>
              <w:top w:val="nil"/>
            </w:tcBorders>
          </w:tcPr>
          <w:p w:rsidR="00000000" w:rsidRDefault="00000000">
            <w:pPr>
              <w:spacing w:after="60" w:line="240" w:lineRule="auto"/>
              <w:rPr>
                <w:rFonts w:hint="eastAsia"/>
                <w:sz w:val="22"/>
              </w:rPr>
            </w:pPr>
            <w:r>
              <w:rPr>
                <w:rFonts w:hint="eastAsia"/>
                <w:sz w:val="22"/>
              </w:rPr>
              <w:t>其</w:t>
            </w:r>
            <w:r>
              <w:rPr>
                <w:rFonts w:hint="eastAsia"/>
                <w:sz w:val="22"/>
              </w:rPr>
              <w:t xml:space="preserve">  </w:t>
            </w:r>
            <w:r>
              <w:rPr>
                <w:rFonts w:hint="eastAsia"/>
                <w:sz w:val="22"/>
              </w:rPr>
              <w:t>他</w:t>
            </w:r>
          </w:p>
        </w:tc>
        <w:tc>
          <w:tcPr>
            <w:tcW w:w="1340" w:type="dxa"/>
            <w:tcBorders>
              <w:top w:val="nil"/>
            </w:tcBorders>
          </w:tcPr>
          <w:p w:rsidR="00000000" w:rsidRDefault="00000000">
            <w:pPr>
              <w:spacing w:after="60" w:line="240" w:lineRule="auto"/>
              <w:ind w:right="284"/>
              <w:jc w:val="right"/>
              <w:rPr>
                <w:sz w:val="22"/>
              </w:rPr>
            </w:pPr>
            <w:r>
              <w:rPr>
                <w:sz w:val="22"/>
              </w:rPr>
              <w:t>4</w:t>
            </w:r>
          </w:p>
        </w:tc>
        <w:tc>
          <w:tcPr>
            <w:tcW w:w="1477" w:type="dxa"/>
            <w:tcBorders>
              <w:top w:val="nil"/>
            </w:tcBorders>
          </w:tcPr>
          <w:p w:rsidR="00000000" w:rsidRDefault="00000000">
            <w:pPr>
              <w:spacing w:after="60" w:line="240" w:lineRule="auto"/>
              <w:ind w:right="397"/>
              <w:jc w:val="right"/>
              <w:rPr>
                <w:sz w:val="22"/>
              </w:rPr>
            </w:pPr>
            <w:r>
              <w:rPr>
                <w:sz w:val="22"/>
              </w:rPr>
              <w:t>2</w:t>
            </w:r>
          </w:p>
        </w:tc>
        <w:tc>
          <w:tcPr>
            <w:tcW w:w="1568" w:type="dxa"/>
            <w:tcBorders>
              <w:top w:val="nil"/>
            </w:tcBorders>
          </w:tcPr>
          <w:p w:rsidR="00000000" w:rsidRDefault="00000000">
            <w:pPr>
              <w:spacing w:after="60" w:line="240" w:lineRule="auto"/>
              <w:ind w:right="624"/>
              <w:jc w:val="right"/>
              <w:rPr>
                <w:sz w:val="22"/>
              </w:rPr>
            </w:pPr>
            <w:r>
              <w:rPr>
                <w:sz w:val="22"/>
              </w:rPr>
              <w:t>0</w:t>
            </w:r>
          </w:p>
        </w:tc>
        <w:tc>
          <w:tcPr>
            <w:tcW w:w="1233" w:type="dxa"/>
            <w:tcBorders>
              <w:top w:val="nil"/>
            </w:tcBorders>
          </w:tcPr>
          <w:p w:rsidR="00000000" w:rsidRDefault="00000000">
            <w:pPr>
              <w:spacing w:after="60" w:line="240" w:lineRule="auto"/>
              <w:ind w:right="397"/>
              <w:jc w:val="right"/>
              <w:rPr>
                <w:sz w:val="22"/>
              </w:rPr>
            </w:pPr>
            <w:r>
              <w:rPr>
                <w:sz w:val="22"/>
              </w:rPr>
              <w:t>1</w:t>
            </w:r>
          </w:p>
        </w:tc>
        <w:tc>
          <w:tcPr>
            <w:tcW w:w="1507" w:type="dxa"/>
            <w:tcBorders>
              <w:top w:val="nil"/>
            </w:tcBorders>
          </w:tcPr>
          <w:p w:rsidR="00000000" w:rsidRDefault="00000000">
            <w:pPr>
              <w:spacing w:after="60" w:line="240" w:lineRule="auto"/>
              <w:ind w:right="284"/>
              <w:jc w:val="right"/>
              <w:rPr>
                <w:sz w:val="22"/>
              </w:rPr>
            </w:pPr>
            <w:r>
              <w:rPr>
                <w:sz w:val="22"/>
              </w:rPr>
              <w:t>5</w:t>
            </w:r>
          </w:p>
        </w:tc>
      </w:tr>
    </w:tbl>
    <w:p w:rsidR="00000000" w:rsidRDefault="00000000">
      <w:pPr>
        <w:pStyle w:val="EndnoteText"/>
        <w:spacing w:before="120" w:after="320"/>
        <w:rPr>
          <w:rFonts w:hint="eastAsia"/>
        </w:rPr>
      </w:pPr>
      <w:r>
        <w:rPr>
          <w:rFonts w:hint="eastAsia"/>
          <w:u w:val="single"/>
        </w:rPr>
        <w:t>资料来源</w:t>
      </w:r>
      <w:r>
        <w:rPr>
          <w:rFonts w:hint="eastAsia"/>
        </w:rPr>
        <w:t>：芬兰统计局。</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13</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2001</w:t>
      </w:r>
      <w:r>
        <w:rPr>
          <w:rFonts w:ascii="Time New Roman" w:eastAsia="SimHei" w:hAnsi="Time New Roman" w:hint="eastAsia"/>
          <w:sz w:val="22"/>
          <w:u w:val="none"/>
        </w:rPr>
        <w:t>年</w:t>
      </w:r>
      <w:r>
        <w:rPr>
          <w:rFonts w:ascii="Time New Roman" w:eastAsia="SimHei" w:hAnsi="Time New Roman" w:hint="eastAsia"/>
          <w:sz w:val="22"/>
          <w:u w:val="none"/>
        </w:rPr>
        <w:t>(</w:t>
      </w:r>
      <w:r>
        <w:rPr>
          <w:rFonts w:ascii="Time New Roman" w:eastAsia="SimHei" w:hAnsi="Time New Roman" w:hint="eastAsia"/>
          <w:sz w:val="22"/>
          <w:u w:val="none"/>
        </w:rPr>
        <w:t>作为基本医疗服务一部分的</w:t>
      </w:r>
      <w:r>
        <w:rPr>
          <w:rFonts w:ascii="Time New Roman" w:eastAsia="SimHei" w:hAnsi="Time New Roman" w:hint="eastAsia"/>
          <w:sz w:val="22"/>
          <w:u w:val="none"/>
        </w:rPr>
        <w:t>)</w:t>
      </w:r>
      <w:r>
        <w:rPr>
          <w:rFonts w:ascii="Time New Roman" w:eastAsia="SimHei" w:hAnsi="Time New Roman" w:hint="eastAsia"/>
          <w:sz w:val="22"/>
          <w:u w:val="none"/>
        </w:rPr>
        <w:t>牙科医疗的业务费用</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2625"/>
        <w:gridCol w:w="2955"/>
      </w:tblGrid>
      <w:tr w:rsidR="00000000">
        <w:tblPrEx>
          <w:tblCellMar>
            <w:top w:w="0" w:type="dxa"/>
            <w:bottom w:w="0" w:type="dxa"/>
          </w:tblCellMar>
        </w:tblPrEx>
        <w:tc>
          <w:tcPr>
            <w:tcW w:w="3780" w:type="dxa"/>
            <w:vAlign w:val="center"/>
          </w:tcPr>
          <w:p w:rsidR="00000000" w:rsidRDefault="00000000">
            <w:pPr>
              <w:spacing w:before="80" w:after="40" w:line="240" w:lineRule="auto"/>
              <w:jc w:val="center"/>
              <w:rPr>
                <w:rFonts w:hint="eastAsia"/>
                <w:sz w:val="22"/>
              </w:rPr>
            </w:pPr>
            <w:r>
              <w:rPr>
                <w:rFonts w:hint="eastAsia"/>
                <w:sz w:val="22"/>
              </w:rPr>
              <w:t>各市和市级联合委员会</w:t>
            </w:r>
          </w:p>
        </w:tc>
        <w:tc>
          <w:tcPr>
            <w:tcW w:w="2625" w:type="dxa"/>
            <w:vAlign w:val="center"/>
          </w:tcPr>
          <w:p w:rsidR="00000000" w:rsidRDefault="00000000">
            <w:pPr>
              <w:spacing w:before="80" w:after="40" w:line="240" w:lineRule="auto"/>
              <w:jc w:val="center"/>
              <w:rPr>
                <w:rFonts w:hint="eastAsia"/>
                <w:sz w:val="22"/>
              </w:rPr>
            </w:pPr>
            <w:r>
              <w:rPr>
                <w:sz w:val="22"/>
              </w:rPr>
              <w:t xml:space="preserve">1,000 </w:t>
            </w:r>
            <w:r>
              <w:rPr>
                <w:rFonts w:hint="eastAsia"/>
                <w:sz w:val="22"/>
              </w:rPr>
              <w:t>欧元</w:t>
            </w:r>
          </w:p>
        </w:tc>
        <w:tc>
          <w:tcPr>
            <w:tcW w:w="2955" w:type="dxa"/>
            <w:vAlign w:val="center"/>
          </w:tcPr>
          <w:p w:rsidR="00000000" w:rsidRDefault="00000000">
            <w:pPr>
              <w:spacing w:before="80" w:after="40" w:line="240" w:lineRule="auto"/>
              <w:jc w:val="center"/>
              <w:rPr>
                <w:sz w:val="22"/>
              </w:rPr>
            </w:pPr>
            <w:r>
              <w:rPr>
                <w:rFonts w:hint="eastAsia"/>
                <w:sz w:val="22"/>
              </w:rPr>
              <w:t>占业务费用的比例</w:t>
            </w:r>
            <w:r>
              <w:rPr>
                <w:sz w:val="22"/>
                <w:vertAlign w:val="superscript"/>
              </w:rPr>
              <w:t xml:space="preserve"> </w:t>
            </w:r>
            <w:r>
              <w:rPr>
                <w:sz w:val="22"/>
              </w:rPr>
              <w:t>(%)</w:t>
            </w:r>
          </w:p>
        </w:tc>
      </w:tr>
      <w:tr w:rsidR="00000000">
        <w:tblPrEx>
          <w:tblCellMar>
            <w:top w:w="0" w:type="dxa"/>
            <w:bottom w:w="0" w:type="dxa"/>
          </w:tblCellMar>
        </w:tblPrEx>
        <w:tc>
          <w:tcPr>
            <w:tcW w:w="3780" w:type="dxa"/>
            <w:tcBorders>
              <w:bottom w:val="nil"/>
            </w:tcBorders>
          </w:tcPr>
          <w:p w:rsidR="00000000" w:rsidRDefault="00000000">
            <w:pPr>
              <w:spacing w:before="60" w:line="240" w:lineRule="auto"/>
              <w:rPr>
                <w:sz w:val="22"/>
              </w:rPr>
            </w:pPr>
            <w:r>
              <w:rPr>
                <w:rFonts w:hint="eastAsia"/>
                <w:sz w:val="22"/>
              </w:rPr>
              <w:t>业务费用</w:t>
            </w:r>
            <w:r>
              <w:rPr>
                <w:sz w:val="22"/>
              </w:rPr>
              <w:t>*</w:t>
            </w:r>
          </w:p>
        </w:tc>
        <w:tc>
          <w:tcPr>
            <w:tcW w:w="2625" w:type="dxa"/>
            <w:tcBorders>
              <w:bottom w:val="nil"/>
            </w:tcBorders>
          </w:tcPr>
          <w:p w:rsidR="00000000" w:rsidRDefault="00000000">
            <w:pPr>
              <w:spacing w:before="60" w:line="240" w:lineRule="auto"/>
              <w:ind w:right="851"/>
              <w:jc w:val="right"/>
              <w:rPr>
                <w:sz w:val="22"/>
              </w:rPr>
            </w:pPr>
            <w:r>
              <w:rPr>
                <w:sz w:val="22"/>
              </w:rPr>
              <w:t>281 587</w:t>
            </w:r>
          </w:p>
        </w:tc>
        <w:tc>
          <w:tcPr>
            <w:tcW w:w="2955" w:type="dxa"/>
            <w:tcBorders>
              <w:bottom w:val="nil"/>
            </w:tcBorders>
          </w:tcPr>
          <w:p w:rsidR="00000000" w:rsidRDefault="00000000">
            <w:pPr>
              <w:spacing w:before="60" w:line="240" w:lineRule="auto"/>
              <w:rPr>
                <w:sz w:val="22"/>
              </w:rPr>
            </w:pPr>
          </w:p>
        </w:tc>
      </w:tr>
      <w:tr w:rsidR="00000000">
        <w:tblPrEx>
          <w:tblCellMar>
            <w:top w:w="0" w:type="dxa"/>
            <w:bottom w:w="0" w:type="dxa"/>
          </w:tblCellMar>
        </w:tblPrEx>
        <w:tc>
          <w:tcPr>
            <w:tcW w:w="3780" w:type="dxa"/>
            <w:tcBorders>
              <w:top w:val="nil"/>
              <w:bottom w:val="nil"/>
            </w:tcBorders>
          </w:tcPr>
          <w:p w:rsidR="00000000" w:rsidRDefault="00000000">
            <w:pPr>
              <w:spacing w:line="240" w:lineRule="auto"/>
              <w:rPr>
                <w:rFonts w:hint="eastAsia"/>
                <w:sz w:val="22"/>
              </w:rPr>
            </w:pPr>
            <w:r>
              <w:rPr>
                <w:rFonts w:hint="eastAsia"/>
                <w:sz w:val="22"/>
              </w:rPr>
              <w:t>从私人牙医购买的服务</w:t>
            </w:r>
          </w:p>
        </w:tc>
        <w:tc>
          <w:tcPr>
            <w:tcW w:w="2625" w:type="dxa"/>
            <w:tcBorders>
              <w:top w:val="nil"/>
              <w:bottom w:val="nil"/>
            </w:tcBorders>
          </w:tcPr>
          <w:p w:rsidR="00000000" w:rsidRDefault="00000000">
            <w:pPr>
              <w:spacing w:line="240" w:lineRule="auto"/>
              <w:ind w:right="851"/>
              <w:jc w:val="right"/>
              <w:rPr>
                <w:sz w:val="22"/>
              </w:rPr>
            </w:pPr>
            <w:r>
              <w:rPr>
                <w:sz w:val="22"/>
              </w:rPr>
              <w:t>3 045</w:t>
            </w:r>
          </w:p>
        </w:tc>
        <w:tc>
          <w:tcPr>
            <w:tcW w:w="2955" w:type="dxa"/>
            <w:tcBorders>
              <w:top w:val="nil"/>
              <w:bottom w:val="nil"/>
            </w:tcBorders>
          </w:tcPr>
          <w:p w:rsidR="00000000" w:rsidRDefault="00000000">
            <w:pPr>
              <w:spacing w:line="240" w:lineRule="auto"/>
              <w:ind w:right="1191"/>
              <w:jc w:val="right"/>
              <w:rPr>
                <w:sz w:val="22"/>
              </w:rPr>
            </w:pPr>
            <w:r>
              <w:rPr>
                <w:sz w:val="22"/>
              </w:rPr>
              <w:t>1.1</w:t>
            </w:r>
          </w:p>
        </w:tc>
      </w:tr>
      <w:tr w:rsidR="00000000">
        <w:tblPrEx>
          <w:tblCellMar>
            <w:top w:w="0" w:type="dxa"/>
            <w:bottom w:w="0" w:type="dxa"/>
          </w:tblCellMar>
        </w:tblPrEx>
        <w:tc>
          <w:tcPr>
            <w:tcW w:w="3780" w:type="dxa"/>
            <w:tcBorders>
              <w:top w:val="nil"/>
            </w:tcBorders>
          </w:tcPr>
          <w:p w:rsidR="00000000" w:rsidRDefault="00000000">
            <w:pPr>
              <w:spacing w:after="40" w:line="240" w:lineRule="auto"/>
              <w:rPr>
                <w:rFonts w:hint="eastAsia"/>
                <w:sz w:val="22"/>
              </w:rPr>
            </w:pPr>
            <w:r>
              <w:rPr>
                <w:rFonts w:hint="eastAsia"/>
                <w:sz w:val="22"/>
              </w:rPr>
              <w:t>服务费收入</w:t>
            </w:r>
          </w:p>
        </w:tc>
        <w:tc>
          <w:tcPr>
            <w:tcW w:w="2625" w:type="dxa"/>
            <w:tcBorders>
              <w:top w:val="nil"/>
            </w:tcBorders>
          </w:tcPr>
          <w:p w:rsidR="00000000" w:rsidRDefault="00000000">
            <w:pPr>
              <w:spacing w:after="40" w:line="240" w:lineRule="auto"/>
              <w:ind w:right="851"/>
              <w:jc w:val="right"/>
              <w:rPr>
                <w:sz w:val="22"/>
              </w:rPr>
            </w:pPr>
            <w:r>
              <w:rPr>
                <w:sz w:val="22"/>
              </w:rPr>
              <w:t>58 031</w:t>
            </w:r>
          </w:p>
        </w:tc>
        <w:tc>
          <w:tcPr>
            <w:tcW w:w="2955" w:type="dxa"/>
            <w:tcBorders>
              <w:top w:val="nil"/>
            </w:tcBorders>
          </w:tcPr>
          <w:p w:rsidR="00000000" w:rsidRDefault="00000000">
            <w:pPr>
              <w:spacing w:after="40" w:line="240" w:lineRule="auto"/>
              <w:ind w:right="1191"/>
              <w:jc w:val="right"/>
              <w:rPr>
                <w:sz w:val="22"/>
              </w:rPr>
            </w:pPr>
            <w:r>
              <w:rPr>
                <w:sz w:val="22"/>
              </w:rPr>
              <w:t>20.6</w:t>
            </w:r>
          </w:p>
        </w:tc>
      </w:tr>
    </w:tbl>
    <w:p w:rsidR="00000000" w:rsidRDefault="00000000">
      <w:pPr>
        <w:pStyle w:val="EndnoteText"/>
        <w:spacing w:before="120"/>
        <w:rPr>
          <w:spacing w:val="0"/>
        </w:rPr>
      </w:pPr>
      <w:r>
        <w:rPr>
          <w:rFonts w:hint="eastAsia"/>
          <w:spacing w:val="0"/>
          <w:u w:val="single"/>
        </w:rPr>
        <w:t>资料来源</w:t>
      </w:r>
      <w:r>
        <w:rPr>
          <w:rFonts w:hint="eastAsia"/>
          <w:spacing w:val="0"/>
        </w:rPr>
        <w:t>：芬兰统计局。</w:t>
      </w:r>
    </w:p>
    <w:p w:rsidR="00000000" w:rsidRDefault="00000000">
      <w:pPr>
        <w:pStyle w:val="EndnoteText"/>
        <w:spacing w:after="320"/>
        <w:rPr>
          <w:rFonts w:hint="eastAsia"/>
        </w:rPr>
      </w:pPr>
      <w:r>
        <w:rPr>
          <w:spacing w:val="0"/>
        </w:rPr>
        <w:t xml:space="preserve">*  </w:t>
      </w:r>
      <w:r>
        <w:rPr>
          <w:rFonts w:hint="eastAsia"/>
          <w:spacing w:val="0"/>
        </w:rPr>
        <w:t>不包括从各市收取的费用。</w:t>
      </w:r>
    </w:p>
    <w:p w:rsidR="00000000" w:rsidRDefault="00000000">
      <w:pPr>
        <w:rPr>
          <w:rFonts w:hint="eastAsia"/>
        </w:rPr>
      </w:pPr>
      <w:r>
        <w:rPr>
          <w:rFonts w:hint="eastAsia"/>
        </w:rPr>
        <w:tab/>
        <w:t xml:space="preserve">376.  </w:t>
      </w:r>
      <w:r>
        <w:rPr>
          <w:rFonts w:hint="eastAsia"/>
          <w:u w:val="single"/>
        </w:rPr>
        <w:t>私人牙医治疗以及根据疾病保险计划报销</w:t>
      </w:r>
      <w:r>
        <w:rPr>
          <w:rFonts w:hint="eastAsia"/>
        </w:rPr>
        <w:t>。从</w:t>
      </w:r>
      <w:r>
        <w:rPr>
          <w:rFonts w:hint="eastAsia"/>
        </w:rPr>
        <w:t>2002</w:t>
      </w:r>
      <w:r>
        <w:rPr>
          <w:rFonts w:hint="eastAsia"/>
        </w:rPr>
        <w:t>年</w:t>
      </w:r>
      <w:r>
        <w:rPr>
          <w:rFonts w:hint="eastAsia"/>
        </w:rPr>
        <w:t>12</w:t>
      </w:r>
      <w:r>
        <w:rPr>
          <w:rFonts w:hint="eastAsia"/>
        </w:rPr>
        <w:t>月</w:t>
      </w:r>
      <w:r>
        <w:rPr>
          <w:rFonts w:hint="eastAsia"/>
        </w:rPr>
        <w:t>1</w:t>
      </w:r>
      <w:r>
        <w:rPr>
          <w:rFonts w:hint="eastAsia"/>
        </w:rPr>
        <w:t>日开始，报销牙病治疗费用的权利已经扩大到所有年龄的人。根据这项法律，病人可报销私人牙医医疗服务费用的一部分，但是假牙、其他机械性护理以及矫正牙齿错位的费用不得报销。报销金额不得超过国家保险局所规定标准的</w:t>
      </w:r>
      <w:r>
        <w:rPr>
          <w:rFonts w:hint="eastAsia"/>
        </w:rPr>
        <w:t>60%</w:t>
      </w:r>
      <w:r>
        <w:rPr>
          <w:rFonts w:hint="eastAsia"/>
        </w:rPr>
        <w:t>。根据另外一项法律的规定，退伍老兵和矿工可报销更高比例的牙医治疗费用，其中包括假牙的费用。</w:t>
      </w:r>
    </w:p>
    <w:p w:rsidR="00000000" w:rsidRDefault="00000000">
      <w:pPr>
        <w:rPr>
          <w:rFonts w:hint="eastAsia"/>
        </w:rPr>
      </w:pPr>
      <w:r>
        <w:rPr>
          <w:rFonts w:hint="eastAsia"/>
        </w:rPr>
        <w:tab/>
        <w:t xml:space="preserve">377.  </w:t>
      </w:r>
      <w:r>
        <w:rPr>
          <w:rFonts w:hint="eastAsia"/>
        </w:rPr>
        <w:t>在各个城市中，私人牙医所提供的服务有很大差别。在</w:t>
      </w:r>
      <w:r>
        <w:rPr>
          <w:rFonts w:hint="eastAsia"/>
        </w:rPr>
        <w:t>2003</w:t>
      </w:r>
      <w:r>
        <w:rPr>
          <w:rFonts w:hint="eastAsia"/>
        </w:rPr>
        <w:t>年，共有</w:t>
      </w:r>
      <w:r>
        <w:rPr>
          <w:rFonts w:hint="eastAsia"/>
        </w:rPr>
        <w:t>2,454</w:t>
      </w:r>
      <w:r>
        <w:rPr>
          <w:rFonts w:hint="eastAsia"/>
        </w:rPr>
        <w:t>名私人牙医在芬兰牙医协会登记，其中</w:t>
      </w:r>
      <w:r>
        <w:rPr>
          <w:rFonts w:hint="eastAsia"/>
        </w:rPr>
        <w:t>464</w:t>
      </w:r>
      <w:r>
        <w:rPr>
          <w:rFonts w:hint="eastAsia"/>
        </w:rPr>
        <w:t>人是非全日制工作的；另外有</w:t>
      </w:r>
      <w:r>
        <w:rPr>
          <w:rFonts w:hint="eastAsia"/>
        </w:rPr>
        <w:t>1,222</w:t>
      </w:r>
      <w:r>
        <w:rPr>
          <w:rFonts w:hint="eastAsia"/>
        </w:rPr>
        <w:t>名牙科护士和</w:t>
      </w:r>
      <w:r>
        <w:rPr>
          <w:rFonts w:hint="eastAsia"/>
        </w:rPr>
        <w:t>268</w:t>
      </w:r>
      <w:r>
        <w:rPr>
          <w:rFonts w:hint="eastAsia"/>
        </w:rPr>
        <w:t>名牙医助手在医疗和社会护理专业人员工会</w:t>
      </w:r>
      <w:r>
        <w:rPr>
          <w:rFonts w:hint="eastAsia"/>
        </w:rPr>
        <w:t>(T</w:t>
      </w:r>
      <w:r>
        <w:t>ehy</w:t>
      </w:r>
      <w:r>
        <w:rPr>
          <w:rFonts w:hint="eastAsia"/>
        </w:rPr>
        <w:t>)</w:t>
      </w:r>
      <w:r>
        <w:rPr>
          <w:rFonts w:hint="eastAsia"/>
        </w:rPr>
        <w:t>登记，并在私营部门工作。</w:t>
      </w:r>
    </w:p>
    <w:p w:rsidR="00000000" w:rsidRDefault="00000000">
      <w:pPr>
        <w:rPr>
          <w:rFonts w:hint="eastAsia"/>
        </w:rPr>
      </w:pPr>
      <w:r>
        <w:rPr>
          <w:rFonts w:hint="eastAsia"/>
        </w:rPr>
        <w:tab/>
        <w:t xml:space="preserve">378.  </w:t>
      </w:r>
      <w:r>
        <w:rPr>
          <w:rFonts w:hint="eastAsia"/>
          <w:u w:val="single"/>
        </w:rPr>
        <w:t>医疗服务中心所提供的牙病治疗服务以及所存在问题</w:t>
      </w:r>
      <w:r>
        <w:rPr>
          <w:rFonts w:hint="eastAsia"/>
        </w:rPr>
        <w:t>。公共部门牙病治疗服务的对象在</w:t>
      </w:r>
      <w:r>
        <w:rPr>
          <w:rFonts w:hint="eastAsia"/>
        </w:rPr>
        <w:t>2001</w:t>
      </w:r>
      <w:r>
        <w:rPr>
          <w:rFonts w:hint="eastAsia"/>
        </w:rPr>
        <w:t>年有所扩大，在</w:t>
      </w:r>
      <w:r>
        <w:rPr>
          <w:rFonts w:hint="eastAsia"/>
        </w:rPr>
        <w:t>2002</w:t>
      </w:r>
      <w:r>
        <w:rPr>
          <w:rFonts w:hint="eastAsia"/>
        </w:rPr>
        <w:t>年进一步扩大，各地方政府比较成功地执行了这项政策。然而，由于在</w:t>
      </w:r>
      <w:r>
        <w:rPr>
          <w:rFonts w:hint="eastAsia"/>
        </w:rPr>
        <w:t>2002</w:t>
      </w:r>
      <w:r>
        <w:rPr>
          <w:rFonts w:hint="eastAsia"/>
        </w:rPr>
        <w:t>年</w:t>
      </w:r>
      <w:r>
        <w:rPr>
          <w:rFonts w:hint="eastAsia"/>
        </w:rPr>
        <w:t>12</w:t>
      </w:r>
      <w:r>
        <w:rPr>
          <w:rFonts w:hint="eastAsia"/>
        </w:rPr>
        <w:t>月</w:t>
      </w:r>
      <w:r>
        <w:rPr>
          <w:rFonts w:hint="eastAsia"/>
        </w:rPr>
        <w:t>1</w:t>
      </w:r>
      <w:r>
        <w:rPr>
          <w:rFonts w:hint="eastAsia"/>
        </w:rPr>
        <w:t>日取消了有关年龄的限制，在各个城市造成了很大问题，各个地区在牙病治疗服务的需求方面的差别要比预期的大。在一些城市中，通过改变医疗服务中心的做法满足了需求。在一些城市中，由于需求增加，就必须增拨更多的资源。在大城市中，安排非紧急的牙病治疗是特别困难的。在大城市以外，由于缺乏合格的牙医，情况可能会更为糟糕。</w:t>
      </w:r>
    </w:p>
    <w:p w:rsidR="00000000" w:rsidRDefault="00000000">
      <w:pPr>
        <w:rPr>
          <w:rFonts w:hint="eastAsia"/>
        </w:rPr>
      </w:pPr>
      <w:r>
        <w:rPr>
          <w:rFonts w:hint="eastAsia"/>
        </w:rPr>
        <w:tab/>
        <w:t xml:space="preserve">379.  </w:t>
      </w:r>
      <w:r>
        <w:rPr>
          <w:rFonts w:hint="eastAsia"/>
        </w:rPr>
        <w:t>在</w:t>
      </w:r>
      <w:r>
        <w:rPr>
          <w:rFonts w:hint="eastAsia"/>
        </w:rPr>
        <w:t>2003</w:t>
      </w:r>
      <w:r>
        <w:rPr>
          <w:rFonts w:hint="eastAsia"/>
        </w:rPr>
        <w:t>年，几乎所有的医疗服务中心均能在平日提供紧急医疗服务。在一些大城市中，非紧急医疗服务的提供只限于</w:t>
      </w:r>
      <w:r>
        <w:rPr>
          <w:rFonts w:hint="eastAsia"/>
        </w:rPr>
        <w:t>18</w:t>
      </w:r>
      <w:r>
        <w:rPr>
          <w:rFonts w:hint="eastAsia"/>
        </w:rPr>
        <w:t>岁以上的病人。一些医疗服务中心不得不限制看牙医的人数。其中一个原因在于各个城市所规定的优先医治的病人类别是不同的。由于扩大了服务对象，等待治疗的时间要比过去长一些，各个城市在处理这种情况方面的做法也各不相同。</w:t>
      </w:r>
    </w:p>
    <w:p w:rsidR="00000000" w:rsidRDefault="00000000">
      <w:pPr>
        <w:rPr>
          <w:rFonts w:hint="eastAsia"/>
        </w:rPr>
      </w:pPr>
      <w:r>
        <w:rPr>
          <w:rFonts w:hint="eastAsia"/>
        </w:rPr>
        <w:tab/>
        <w:t xml:space="preserve">380.  </w:t>
      </w:r>
      <w:r>
        <w:rPr>
          <w:rFonts w:hint="eastAsia"/>
        </w:rPr>
        <w:t>总的来说，医疗服务中心已经增加了为成年人提供的牙病治疗服务。根据国家福利和健康研究和发展中心</w:t>
      </w:r>
      <w:r>
        <w:rPr>
          <w:rFonts w:hint="eastAsia"/>
        </w:rPr>
        <w:t>(STAKES)</w:t>
      </w:r>
      <w:r>
        <w:rPr>
          <w:rFonts w:hint="eastAsia"/>
        </w:rPr>
        <w:t>于</w:t>
      </w:r>
      <w:r>
        <w:rPr>
          <w:rFonts w:hint="eastAsia"/>
        </w:rPr>
        <w:t>2005</w:t>
      </w:r>
      <w:r>
        <w:rPr>
          <w:rFonts w:hint="eastAsia"/>
        </w:rPr>
        <w:t>年</w:t>
      </w:r>
      <w:r>
        <w:rPr>
          <w:rFonts w:hint="eastAsia"/>
        </w:rPr>
        <w:t>1</w:t>
      </w:r>
      <w:r>
        <w:rPr>
          <w:rFonts w:hint="eastAsia"/>
        </w:rPr>
        <w:t>月所做的一项调查，在半数医疗服务中心中同牙医助手预约需要不到两周时间。这就说明了在医疗服务中心工作安排方面所发生的变化，特别是在</w:t>
      </w:r>
      <w:r>
        <w:rPr>
          <w:rFonts w:hint="eastAsia"/>
        </w:rPr>
        <w:t>2003</w:t>
      </w:r>
      <w:r>
        <w:rPr>
          <w:rFonts w:hint="eastAsia"/>
        </w:rPr>
        <w:t>年和</w:t>
      </w:r>
      <w:r>
        <w:rPr>
          <w:rFonts w:hint="eastAsia"/>
        </w:rPr>
        <w:t>2004</w:t>
      </w:r>
      <w:r>
        <w:rPr>
          <w:rFonts w:hint="eastAsia"/>
        </w:rPr>
        <w:t>年。医疗服务中心也招聘了新的牙医助手。在</w:t>
      </w:r>
      <w:r>
        <w:rPr>
          <w:rFonts w:hint="eastAsia"/>
        </w:rPr>
        <w:t>22%</w:t>
      </w:r>
      <w:r>
        <w:rPr>
          <w:rFonts w:hint="eastAsia"/>
        </w:rPr>
        <w:t>的医疗服务中心里，同牙医预约所需时间不超过两周。然而，各个地区在这一方面存在很大差异。</w:t>
      </w:r>
    </w:p>
    <w:p w:rsidR="00000000" w:rsidRDefault="00000000">
      <w:pPr>
        <w:spacing w:after="320"/>
        <w:rPr>
          <w:rFonts w:hint="eastAsia"/>
        </w:rPr>
      </w:pPr>
      <w:r>
        <w:rPr>
          <w:rFonts w:hint="eastAsia"/>
        </w:rPr>
        <w:tab/>
        <w:t xml:space="preserve">381.  </w:t>
      </w:r>
      <w:r>
        <w:rPr>
          <w:rFonts w:hint="eastAsia"/>
        </w:rPr>
        <w:t>在</w:t>
      </w:r>
      <w:r>
        <w:rPr>
          <w:rFonts w:hint="eastAsia"/>
        </w:rPr>
        <w:t>2004</w:t>
      </w:r>
      <w:r>
        <w:rPr>
          <w:rFonts w:hint="eastAsia"/>
        </w:rPr>
        <w:t>年，议会监察员就有关平等对待牙医病人的一些投诉问题作出了一项决定。</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b</w:t>
      </w:r>
      <w:r>
        <w:rPr>
          <w:rFonts w:ascii="Time New Roman" w:eastAsia="SimHei" w:hAnsi="Time New Roman" w:hint="eastAsia"/>
          <w:u w:val="none"/>
        </w:rPr>
        <w:t xml:space="preserve">)  </w:t>
      </w:r>
      <w:r>
        <w:rPr>
          <w:rFonts w:ascii="Time New Roman" w:eastAsia="SimHei" w:hAnsi="Time New Roman" w:hint="eastAsia"/>
          <w:u w:val="none"/>
        </w:rPr>
        <w:t>现金疾病补助</w:t>
      </w:r>
    </w:p>
    <w:p w:rsidR="00000000" w:rsidRDefault="00000000">
      <w:pPr>
        <w:rPr>
          <w:rFonts w:hint="eastAsia"/>
        </w:rPr>
      </w:pPr>
      <w:r>
        <w:rPr>
          <w:rFonts w:hint="eastAsia"/>
        </w:rPr>
        <w:tab/>
        <w:t xml:space="preserve">382.  </w:t>
      </w:r>
      <w:r>
        <w:rPr>
          <w:rFonts w:hint="eastAsia"/>
        </w:rPr>
        <w:t>在本报告所涉期间，疾病保险和疾病补助的结构没有发生很大变化。本报告提供了有关补助金额的基本资料，在报告附件中载有更为详细的资料。</w:t>
      </w:r>
    </w:p>
    <w:p w:rsidR="00000000" w:rsidRDefault="00000000">
      <w:pPr>
        <w:rPr>
          <w:rFonts w:hint="eastAsia"/>
        </w:rPr>
      </w:pPr>
      <w:r>
        <w:rPr>
          <w:rFonts w:hint="eastAsia"/>
        </w:rPr>
        <w:tab/>
        <w:t xml:space="preserve">383.  </w:t>
      </w:r>
      <w:r>
        <w:rPr>
          <w:rFonts w:hint="eastAsia"/>
          <w:u w:val="single"/>
        </w:rPr>
        <w:t>疾病补助</w:t>
      </w:r>
      <w:r>
        <w:rPr>
          <w:rFonts w:hint="eastAsia"/>
        </w:rPr>
        <w:t>是为了补偿由于短期工作能力丧失而引起的收入损失。在</w:t>
      </w:r>
      <w:r>
        <w:rPr>
          <w:rFonts w:hint="eastAsia"/>
        </w:rPr>
        <w:t>2002</w:t>
      </w:r>
      <w:r>
        <w:rPr>
          <w:rFonts w:hint="eastAsia"/>
        </w:rPr>
        <w:t>年对疾病补助制度进行了改革，以前的办法是：必须先对需求进行评估，然后才能发放最低补助。现在改为只要连续生病</w:t>
      </w:r>
      <w:r>
        <w:rPr>
          <w:rFonts w:hint="eastAsia"/>
        </w:rPr>
        <w:t>55</w:t>
      </w:r>
      <w:r>
        <w:rPr>
          <w:rFonts w:hint="eastAsia"/>
        </w:rPr>
        <w:t>天，就可领取最低补助。</w:t>
      </w:r>
    </w:p>
    <w:p w:rsidR="00000000" w:rsidRDefault="00000000">
      <w:pPr>
        <w:rPr>
          <w:rFonts w:hint="eastAsia"/>
        </w:rPr>
      </w:pPr>
      <w:r>
        <w:rPr>
          <w:rFonts w:hint="eastAsia"/>
        </w:rPr>
        <w:tab/>
        <w:t xml:space="preserve">384.  </w:t>
      </w:r>
      <w:r>
        <w:rPr>
          <w:rFonts w:hint="eastAsia"/>
        </w:rPr>
        <w:t>从</w:t>
      </w:r>
      <w:r>
        <w:rPr>
          <w:rFonts w:hint="eastAsia"/>
        </w:rPr>
        <w:t>2005</w:t>
      </w:r>
      <w:r>
        <w:rPr>
          <w:rFonts w:hint="eastAsia"/>
        </w:rPr>
        <w:t>年初开始，最低疾病补助金额从每天</w:t>
      </w:r>
      <w:r>
        <w:rPr>
          <w:rFonts w:hint="eastAsia"/>
        </w:rPr>
        <w:t>11.45</w:t>
      </w:r>
      <w:r>
        <w:rPr>
          <w:rFonts w:hint="eastAsia"/>
        </w:rPr>
        <w:t>欧元提高到了</w:t>
      </w:r>
      <w:r>
        <w:rPr>
          <w:rFonts w:hint="eastAsia"/>
        </w:rPr>
        <w:t>15.20</w:t>
      </w:r>
      <w:r>
        <w:rPr>
          <w:rFonts w:hint="eastAsia"/>
        </w:rPr>
        <w:t>欧元。增加金额也适用于康复补贴、产假津贴、陪产假津贴以及家庭津贴。</w:t>
      </w:r>
    </w:p>
    <w:p w:rsidR="00000000" w:rsidRDefault="00000000">
      <w:pPr>
        <w:spacing w:after="320"/>
        <w:rPr>
          <w:rFonts w:hint="eastAsia"/>
        </w:rPr>
      </w:pPr>
      <w:r>
        <w:rPr>
          <w:rFonts w:hint="eastAsia"/>
        </w:rPr>
        <w:tab/>
        <w:t xml:space="preserve">385.  </w:t>
      </w:r>
      <w:r>
        <w:rPr>
          <w:rFonts w:hint="eastAsia"/>
        </w:rPr>
        <w:t>经过全面改革的《疾病保险法》于</w:t>
      </w:r>
      <w:r>
        <w:rPr>
          <w:rFonts w:hint="eastAsia"/>
        </w:rPr>
        <w:t>2005</w:t>
      </w:r>
      <w:r>
        <w:rPr>
          <w:rFonts w:hint="eastAsia"/>
        </w:rPr>
        <w:t>年</w:t>
      </w:r>
      <w:r>
        <w:rPr>
          <w:rFonts w:hint="eastAsia"/>
        </w:rPr>
        <w:t>1</w:t>
      </w:r>
      <w:r>
        <w:rPr>
          <w:rFonts w:hint="eastAsia"/>
        </w:rPr>
        <w:t>月正式生效。在下文有关社会福利改革的第</w:t>
      </w:r>
      <w:r>
        <w:rPr>
          <w:rFonts w:hint="eastAsia"/>
        </w:rPr>
        <w:t>7</w:t>
      </w:r>
      <w:r>
        <w:rPr>
          <w:rFonts w:hint="eastAsia"/>
        </w:rPr>
        <w:t>点中更为详细地说明了这种改革。</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14</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2005</w:t>
      </w:r>
      <w:r>
        <w:rPr>
          <w:rFonts w:ascii="Time New Roman" w:eastAsia="SimHei" w:hAnsi="Time New Roman" w:hint="eastAsia"/>
          <w:sz w:val="22"/>
          <w:u w:val="none"/>
        </w:rPr>
        <w:t>年的疾病补助</w:t>
      </w:r>
      <w:r>
        <w:rPr>
          <w:rFonts w:ascii="Time New Roman" w:eastAsia="SimHei" w:hAnsi="Time New Roman" w:hint="eastAsia"/>
          <w:sz w:val="22"/>
          <w:u w:val="none"/>
        </w:rPr>
        <w:t>(</w:t>
      </w:r>
      <w:r>
        <w:rPr>
          <w:rFonts w:ascii="Time New Roman" w:eastAsia="SimHei" w:hAnsi="Time New Roman" w:hint="eastAsia"/>
          <w:sz w:val="22"/>
          <w:u w:val="none"/>
        </w:rPr>
        <w:t>例子</w:t>
      </w:r>
      <w:r>
        <w:rPr>
          <w:rFonts w:ascii="Time New Roman" w:eastAsia="SimHei" w:hAnsi="Time New Roman" w:hint="eastAsia"/>
          <w:sz w:val="22"/>
          <w:u w:val="none"/>
        </w:rPr>
        <w:t>)</w:t>
      </w:r>
    </w:p>
    <w:tbl>
      <w:tblPr>
        <w:tblW w:w="3351" w:type="pct"/>
        <w:jc w:val="center"/>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2"/>
        <w:gridCol w:w="3222"/>
      </w:tblGrid>
      <w:tr w:rsidR="00000000">
        <w:tblPrEx>
          <w:tblCellMar>
            <w:top w:w="0" w:type="dxa"/>
            <w:bottom w:w="0" w:type="dxa"/>
          </w:tblCellMar>
        </w:tblPrEx>
        <w:trPr>
          <w:jc w:val="center"/>
        </w:trPr>
        <w:tc>
          <w:tcPr>
            <w:tcW w:w="2488" w:type="pct"/>
          </w:tcPr>
          <w:p w:rsidR="00000000" w:rsidRDefault="00000000">
            <w:pPr>
              <w:spacing w:before="120"/>
              <w:jc w:val="center"/>
              <w:rPr>
                <w:rFonts w:hint="eastAsia"/>
                <w:sz w:val="22"/>
              </w:rPr>
            </w:pPr>
            <w:r>
              <w:rPr>
                <w:rFonts w:hint="eastAsia"/>
                <w:sz w:val="22"/>
              </w:rPr>
              <w:t>收入</w:t>
            </w:r>
            <w:r>
              <w:rPr>
                <w:rFonts w:hint="eastAsia"/>
                <w:sz w:val="22"/>
              </w:rPr>
              <w:t>/</w:t>
            </w:r>
            <w:r>
              <w:rPr>
                <w:rFonts w:hint="eastAsia"/>
                <w:sz w:val="22"/>
              </w:rPr>
              <w:t>每年</w:t>
            </w:r>
          </w:p>
        </w:tc>
        <w:tc>
          <w:tcPr>
            <w:tcW w:w="2512" w:type="pct"/>
          </w:tcPr>
          <w:p w:rsidR="00000000" w:rsidRDefault="00000000">
            <w:pPr>
              <w:spacing w:before="120"/>
              <w:jc w:val="center"/>
              <w:rPr>
                <w:rFonts w:hint="eastAsia"/>
                <w:sz w:val="22"/>
              </w:rPr>
            </w:pPr>
            <w:r>
              <w:rPr>
                <w:rFonts w:hint="eastAsia"/>
                <w:sz w:val="22"/>
              </w:rPr>
              <w:t>疾病补助</w:t>
            </w:r>
            <w:r>
              <w:rPr>
                <w:rFonts w:hint="eastAsia"/>
                <w:sz w:val="22"/>
              </w:rPr>
              <w:t>(</w:t>
            </w:r>
            <w:r>
              <w:rPr>
                <w:rFonts w:hint="eastAsia"/>
                <w:sz w:val="22"/>
              </w:rPr>
              <w:t>欧元</w:t>
            </w:r>
            <w:r>
              <w:rPr>
                <w:rFonts w:hint="eastAsia"/>
                <w:sz w:val="22"/>
              </w:rPr>
              <w:t>)/</w:t>
            </w:r>
            <w:r>
              <w:rPr>
                <w:rFonts w:hint="eastAsia"/>
                <w:sz w:val="22"/>
              </w:rPr>
              <w:t>每工作日</w:t>
            </w:r>
          </w:p>
        </w:tc>
      </w:tr>
      <w:tr w:rsidR="00000000">
        <w:tblPrEx>
          <w:tblCellMar>
            <w:top w:w="0" w:type="dxa"/>
            <w:bottom w:w="0" w:type="dxa"/>
          </w:tblCellMar>
        </w:tblPrEx>
        <w:trPr>
          <w:jc w:val="center"/>
        </w:trPr>
        <w:tc>
          <w:tcPr>
            <w:tcW w:w="2488" w:type="pct"/>
            <w:tcBorders>
              <w:bottom w:val="nil"/>
            </w:tcBorders>
          </w:tcPr>
          <w:p w:rsidR="00000000" w:rsidRDefault="00000000">
            <w:pPr>
              <w:spacing w:before="80" w:line="288" w:lineRule="auto"/>
              <w:ind w:right="1191"/>
              <w:jc w:val="right"/>
              <w:rPr>
                <w:sz w:val="22"/>
              </w:rPr>
            </w:pPr>
            <w:r>
              <w:rPr>
                <w:sz w:val="22"/>
              </w:rPr>
              <w:t>1,000</w:t>
            </w:r>
          </w:p>
        </w:tc>
        <w:tc>
          <w:tcPr>
            <w:tcW w:w="2512" w:type="pct"/>
            <w:tcBorders>
              <w:bottom w:val="nil"/>
            </w:tcBorders>
          </w:tcPr>
          <w:p w:rsidR="00000000" w:rsidRDefault="00000000">
            <w:pPr>
              <w:spacing w:before="80" w:line="288" w:lineRule="auto"/>
              <w:ind w:right="1134"/>
              <w:jc w:val="right"/>
              <w:rPr>
                <w:sz w:val="22"/>
              </w:rPr>
            </w:pPr>
            <w:r>
              <w:rPr>
                <w:sz w:val="22"/>
              </w:rPr>
              <w:t>0.00</w:t>
            </w:r>
          </w:p>
        </w:tc>
      </w:tr>
      <w:tr w:rsidR="00000000">
        <w:tblPrEx>
          <w:tblCellMar>
            <w:top w:w="0" w:type="dxa"/>
            <w:bottom w:w="0" w:type="dxa"/>
          </w:tblCellMar>
        </w:tblPrEx>
        <w:trPr>
          <w:jc w:val="center"/>
        </w:trPr>
        <w:tc>
          <w:tcPr>
            <w:tcW w:w="2488" w:type="pct"/>
            <w:tcBorders>
              <w:top w:val="nil"/>
              <w:bottom w:val="nil"/>
            </w:tcBorders>
          </w:tcPr>
          <w:p w:rsidR="00000000" w:rsidRDefault="00000000">
            <w:pPr>
              <w:spacing w:line="288" w:lineRule="auto"/>
              <w:ind w:right="1191"/>
              <w:jc w:val="right"/>
              <w:rPr>
                <w:sz w:val="22"/>
              </w:rPr>
            </w:pPr>
            <w:r>
              <w:rPr>
                <w:sz w:val="22"/>
              </w:rPr>
              <w:t>1,500</w:t>
            </w:r>
          </w:p>
        </w:tc>
        <w:tc>
          <w:tcPr>
            <w:tcW w:w="2512" w:type="pct"/>
            <w:tcBorders>
              <w:top w:val="nil"/>
              <w:bottom w:val="nil"/>
            </w:tcBorders>
          </w:tcPr>
          <w:p w:rsidR="00000000" w:rsidRDefault="00000000">
            <w:pPr>
              <w:spacing w:line="288" w:lineRule="auto"/>
              <w:ind w:right="1134"/>
              <w:jc w:val="right"/>
              <w:rPr>
                <w:sz w:val="22"/>
              </w:rPr>
            </w:pPr>
            <w:r>
              <w:rPr>
                <w:sz w:val="22"/>
              </w:rPr>
              <w:t>3.32</w:t>
            </w:r>
          </w:p>
        </w:tc>
      </w:tr>
      <w:tr w:rsidR="00000000">
        <w:tblPrEx>
          <w:tblCellMar>
            <w:top w:w="0" w:type="dxa"/>
            <w:bottom w:w="0" w:type="dxa"/>
          </w:tblCellMar>
        </w:tblPrEx>
        <w:trPr>
          <w:jc w:val="center"/>
        </w:trPr>
        <w:tc>
          <w:tcPr>
            <w:tcW w:w="2488" w:type="pct"/>
            <w:tcBorders>
              <w:top w:val="nil"/>
              <w:bottom w:val="nil"/>
            </w:tcBorders>
          </w:tcPr>
          <w:p w:rsidR="00000000" w:rsidRDefault="00000000">
            <w:pPr>
              <w:spacing w:line="288" w:lineRule="auto"/>
              <w:ind w:right="1191"/>
              <w:jc w:val="right"/>
              <w:rPr>
                <w:sz w:val="22"/>
              </w:rPr>
            </w:pPr>
            <w:r>
              <w:rPr>
                <w:sz w:val="22"/>
              </w:rPr>
              <w:t>4,000</w:t>
            </w:r>
          </w:p>
        </w:tc>
        <w:tc>
          <w:tcPr>
            <w:tcW w:w="2512" w:type="pct"/>
            <w:tcBorders>
              <w:top w:val="nil"/>
              <w:bottom w:val="nil"/>
            </w:tcBorders>
          </w:tcPr>
          <w:p w:rsidR="00000000" w:rsidRDefault="00000000">
            <w:pPr>
              <w:spacing w:line="288" w:lineRule="auto"/>
              <w:ind w:right="1134"/>
              <w:jc w:val="right"/>
              <w:rPr>
                <w:sz w:val="22"/>
              </w:rPr>
            </w:pPr>
            <w:r>
              <w:rPr>
                <w:sz w:val="22"/>
              </w:rPr>
              <w:t>8.86</w:t>
            </w:r>
          </w:p>
        </w:tc>
      </w:tr>
      <w:tr w:rsidR="00000000">
        <w:tblPrEx>
          <w:tblCellMar>
            <w:top w:w="0" w:type="dxa"/>
            <w:bottom w:w="0" w:type="dxa"/>
          </w:tblCellMar>
        </w:tblPrEx>
        <w:trPr>
          <w:jc w:val="center"/>
        </w:trPr>
        <w:tc>
          <w:tcPr>
            <w:tcW w:w="2488" w:type="pct"/>
            <w:tcBorders>
              <w:top w:val="nil"/>
              <w:bottom w:val="nil"/>
            </w:tcBorders>
          </w:tcPr>
          <w:p w:rsidR="00000000" w:rsidRDefault="00000000">
            <w:pPr>
              <w:spacing w:line="288" w:lineRule="auto"/>
              <w:ind w:right="1191"/>
              <w:jc w:val="right"/>
              <w:rPr>
                <w:sz w:val="22"/>
              </w:rPr>
            </w:pPr>
            <w:r>
              <w:rPr>
                <w:sz w:val="22"/>
              </w:rPr>
              <w:t>10,000</w:t>
            </w:r>
          </w:p>
        </w:tc>
        <w:tc>
          <w:tcPr>
            <w:tcW w:w="2512" w:type="pct"/>
            <w:tcBorders>
              <w:top w:val="nil"/>
              <w:bottom w:val="nil"/>
            </w:tcBorders>
          </w:tcPr>
          <w:p w:rsidR="00000000" w:rsidRDefault="00000000">
            <w:pPr>
              <w:spacing w:line="288" w:lineRule="auto"/>
              <w:ind w:right="1134"/>
              <w:jc w:val="right"/>
              <w:rPr>
                <w:sz w:val="22"/>
              </w:rPr>
            </w:pPr>
            <w:r>
              <w:rPr>
                <w:sz w:val="22"/>
              </w:rPr>
              <w:t>22.14</w:t>
            </w:r>
          </w:p>
        </w:tc>
      </w:tr>
      <w:tr w:rsidR="00000000">
        <w:tblPrEx>
          <w:tblCellMar>
            <w:top w:w="0" w:type="dxa"/>
            <w:bottom w:w="0" w:type="dxa"/>
          </w:tblCellMar>
        </w:tblPrEx>
        <w:trPr>
          <w:jc w:val="center"/>
        </w:trPr>
        <w:tc>
          <w:tcPr>
            <w:tcW w:w="2488" w:type="pct"/>
            <w:tcBorders>
              <w:top w:val="nil"/>
              <w:bottom w:val="nil"/>
            </w:tcBorders>
          </w:tcPr>
          <w:p w:rsidR="00000000" w:rsidRDefault="00000000">
            <w:pPr>
              <w:spacing w:line="288" w:lineRule="auto"/>
              <w:ind w:right="1191"/>
              <w:jc w:val="right"/>
              <w:rPr>
                <w:sz w:val="22"/>
              </w:rPr>
            </w:pPr>
            <w:r>
              <w:rPr>
                <w:sz w:val="22"/>
              </w:rPr>
              <w:t>30,000</w:t>
            </w:r>
          </w:p>
        </w:tc>
        <w:tc>
          <w:tcPr>
            <w:tcW w:w="2512" w:type="pct"/>
            <w:tcBorders>
              <w:top w:val="nil"/>
              <w:bottom w:val="nil"/>
            </w:tcBorders>
          </w:tcPr>
          <w:p w:rsidR="00000000" w:rsidRDefault="00000000">
            <w:pPr>
              <w:spacing w:line="288" w:lineRule="auto"/>
              <w:ind w:right="1134"/>
              <w:jc w:val="right"/>
              <w:rPr>
                <w:sz w:val="22"/>
              </w:rPr>
            </w:pPr>
            <w:r>
              <w:rPr>
                <w:sz w:val="22"/>
              </w:rPr>
              <w:t>65.43</w:t>
            </w:r>
          </w:p>
        </w:tc>
      </w:tr>
      <w:tr w:rsidR="00000000">
        <w:tblPrEx>
          <w:tblCellMar>
            <w:top w:w="0" w:type="dxa"/>
            <w:bottom w:w="0" w:type="dxa"/>
          </w:tblCellMar>
        </w:tblPrEx>
        <w:trPr>
          <w:jc w:val="center"/>
        </w:trPr>
        <w:tc>
          <w:tcPr>
            <w:tcW w:w="2488" w:type="pct"/>
            <w:tcBorders>
              <w:top w:val="nil"/>
            </w:tcBorders>
          </w:tcPr>
          <w:p w:rsidR="00000000" w:rsidRDefault="00000000">
            <w:pPr>
              <w:spacing w:line="288" w:lineRule="auto"/>
              <w:ind w:right="1191"/>
              <w:jc w:val="right"/>
              <w:rPr>
                <w:sz w:val="22"/>
              </w:rPr>
            </w:pPr>
            <w:r>
              <w:rPr>
                <w:sz w:val="22"/>
              </w:rPr>
              <w:t>50,000</w:t>
            </w:r>
          </w:p>
        </w:tc>
        <w:tc>
          <w:tcPr>
            <w:tcW w:w="2512" w:type="pct"/>
            <w:tcBorders>
              <w:top w:val="nil"/>
            </w:tcBorders>
          </w:tcPr>
          <w:p w:rsidR="00000000" w:rsidRDefault="00000000">
            <w:pPr>
              <w:spacing w:line="288" w:lineRule="auto"/>
              <w:ind w:right="1134"/>
              <w:jc w:val="right"/>
              <w:rPr>
                <w:sz w:val="22"/>
              </w:rPr>
            </w:pPr>
            <w:r>
              <w:rPr>
                <w:sz w:val="22"/>
              </w:rPr>
              <w:t>88.14</w:t>
            </w:r>
          </w:p>
        </w:tc>
      </w:tr>
    </w:tbl>
    <w:p w:rsidR="00000000" w:rsidRDefault="00000000">
      <w:pPr>
        <w:spacing w:before="480"/>
        <w:rPr>
          <w:rFonts w:hint="eastAsia"/>
        </w:rPr>
      </w:pPr>
      <w:r>
        <w:rPr>
          <w:rFonts w:hint="eastAsia"/>
        </w:rPr>
        <w:tab/>
        <w:t xml:space="preserve">386.  </w:t>
      </w:r>
      <w:r>
        <w:rPr>
          <w:rFonts w:hint="eastAsia"/>
        </w:rPr>
        <w:t>疾病保险支付部分医药费以及部分牙病治疗、身体检查和治疗的费用。根据国家保险局所规定的标准予以报销。</w:t>
      </w:r>
    </w:p>
    <w:p w:rsidR="00000000" w:rsidRDefault="00000000">
      <w:pPr>
        <w:spacing w:after="360"/>
        <w:rPr>
          <w:rFonts w:hint="eastAsia"/>
        </w:rPr>
      </w:pPr>
      <w:r>
        <w:rPr>
          <w:rFonts w:hint="eastAsia"/>
        </w:rPr>
        <w:tab/>
        <w:t xml:space="preserve">387.  </w:t>
      </w:r>
      <w:r>
        <w:rPr>
          <w:rFonts w:hint="eastAsia"/>
          <w:u w:val="single"/>
        </w:rPr>
        <w:t>医药费</w:t>
      </w:r>
      <w:r>
        <w:rPr>
          <w:rFonts w:hint="eastAsia"/>
        </w:rPr>
        <w:t>。疾病保险所支付的私人医生医药费最高可达规定标准的</w:t>
      </w:r>
      <w:r>
        <w:rPr>
          <w:rFonts w:hint="eastAsia"/>
        </w:rPr>
        <w:t>60%</w:t>
      </w:r>
      <w:r>
        <w:rPr>
          <w:rFonts w:hint="eastAsia"/>
        </w:rPr>
        <w:t>。在</w:t>
      </w:r>
      <w:r>
        <w:rPr>
          <w:rFonts w:hint="eastAsia"/>
        </w:rPr>
        <w:t>2004</w:t>
      </w:r>
      <w:r>
        <w:rPr>
          <w:rFonts w:hint="eastAsia"/>
        </w:rPr>
        <w:t>年，共有</w:t>
      </w:r>
      <w:r>
        <w:rPr>
          <w:rFonts w:hint="eastAsia"/>
        </w:rPr>
        <w:t>1,497,294</w:t>
      </w:r>
      <w:r>
        <w:rPr>
          <w:rFonts w:hint="eastAsia"/>
        </w:rPr>
        <w:t>人报销了医药费。</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15</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从</w:t>
      </w:r>
      <w:r>
        <w:rPr>
          <w:rFonts w:ascii="Time New Roman" w:eastAsia="SimHei" w:hAnsi="Time New Roman" w:hint="eastAsia"/>
          <w:b/>
          <w:sz w:val="22"/>
          <w:u w:val="none"/>
        </w:rPr>
        <w:t>1999</w:t>
      </w:r>
      <w:r>
        <w:rPr>
          <w:rFonts w:ascii="Time New Roman" w:eastAsia="SimHei" w:hAnsi="Time New Roman" w:hint="eastAsia"/>
          <w:sz w:val="22"/>
          <w:u w:val="none"/>
        </w:rPr>
        <w:t>年到</w:t>
      </w:r>
      <w:r>
        <w:rPr>
          <w:rFonts w:ascii="Time New Roman" w:eastAsia="SimHei" w:hAnsi="Time New Roman" w:hint="eastAsia"/>
          <w:b/>
          <w:sz w:val="22"/>
          <w:u w:val="none"/>
        </w:rPr>
        <w:t>2003</w:t>
      </w:r>
      <w:r>
        <w:rPr>
          <w:rFonts w:ascii="Time New Roman" w:eastAsia="SimHei" w:hAnsi="Time New Roman" w:hint="eastAsia"/>
          <w:sz w:val="22"/>
          <w:u w:val="none"/>
        </w:rPr>
        <w:t>年报销医药费的平均百分比</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年</w:t>
            </w:r>
            <w:r>
              <w:rPr>
                <w:rFonts w:hint="eastAsia"/>
                <w:sz w:val="22"/>
              </w:rPr>
              <w:t xml:space="preserve">  </w:t>
            </w:r>
            <w:r>
              <w:rPr>
                <w:rFonts w:hint="eastAsia"/>
                <w:sz w:val="22"/>
              </w:rPr>
              <w:t>份</w:t>
            </w:r>
          </w:p>
        </w:tc>
        <w:tc>
          <w:tcPr>
            <w:tcW w:w="833" w:type="pct"/>
          </w:tcPr>
          <w:p w:rsidR="00000000" w:rsidRDefault="00000000">
            <w:pPr>
              <w:spacing w:before="120" w:line="288" w:lineRule="auto"/>
              <w:jc w:val="center"/>
              <w:rPr>
                <w:sz w:val="22"/>
              </w:rPr>
            </w:pPr>
            <w:r>
              <w:rPr>
                <w:sz w:val="22"/>
              </w:rPr>
              <w:t>1999</w:t>
            </w:r>
          </w:p>
        </w:tc>
        <w:tc>
          <w:tcPr>
            <w:tcW w:w="833" w:type="pct"/>
          </w:tcPr>
          <w:p w:rsidR="00000000" w:rsidRDefault="00000000">
            <w:pPr>
              <w:spacing w:before="120" w:line="288" w:lineRule="auto"/>
              <w:jc w:val="center"/>
              <w:rPr>
                <w:sz w:val="22"/>
              </w:rPr>
            </w:pPr>
            <w:r>
              <w:rPr>
                <w:sz w:val="22"/>
              </w:rPr>
              <w:t>2000</w:t>
            </w:r>
          </w:p>
        </w:tc>
        <w:tc>
          <w:tcPr>
            <w:tcW w:w="833" w:type="pct"/>
          </w:tcPr>
          <w:p w:rsidR="00000000" w:rsidRDefault="00000000">
            <w:pPr>
              <w:spacing w:before="120" w:line="288" w:lineRule="auto"/>
              <w:jc w:val="center"/>
              <w:rPr>
                <w:sz w:val="22"/>
              </w:rPr>
            </w:pPr>
            <w:r>
              <w:rPr>
                <w:sz w:val="22"/>
              </w:rPr>
              <w:t>2001</w:t>
            </w:r>
          </w:p>
        </w:tc>
        <w:tc>
          <w:tcPr>
            <w:tcW w:w="833" w:type="pct"/>
          </w:tcPr>
          <w:p w:rsidR="00000000" w:rsidRDefault="00000000">
            <w:pPr>
              <w:spacing w:before="120" w:line="288" w:lineRule="auto"/>
              <w:jc w:val="center"/>
              <w:rPr>
                <w:sz w:val="22"/>
              </w:rPr>
            </w:pPr>
            <w:r>
              <w:rPr>
                <w:sz w:val="22"/>
              </w:rPr>
              <w:t>2002</w:t>
            </w:r>
          </w:p>
        </w:tc>
        <w:tc>
          <w:tcPr>
            <w:tcW w:w="833" w:type="pct"/>
          </w:tcPr>
          <w:p w:rsidR="00000000" w:rsidRDefault="00000000">
            <w:pPr>
              <w:spacing w:before="120" w:line="288" w:lineRule="auto"/>
              <w:jc w:val="center"/>
              <w:rPr>
                <w:sz w:val="22"/>
              </w:rPr>
            </w:pPr>
            <w:r>
              <w:rPr>
                <w:sz w:val="22"/>
              </w:rPr>
              <w:t>2003</w:t>
            </w:r>
          </w:p>
        </w:tc>
      </w:tr>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百分比</w:t>
            </w:r>
          </w:p>
        </w:tc>
        <w:tc>
          <w:tcPr>
            <w:tcW w:w="833" w:type="pct"/>
          </w:tcPr>
          <w:p w:rsidR="00000000" w:rsidRDefault="00000000">
            <w:pPr>
              <w:spacing w:before="120" w:line="288" w:lineRule="auto"/>
              <w:jc w:val="center"/>
              <w:rPr>
                <w:sz w:val="22"/>
              </w:rPr>
            </w:pPr>
            <w:r>
              <w:rPr>
                <w:sz w:val="22"/>
              </w:rPr>
              <w:t>37.3</w:t>
            </w:r>
          </w:p>
        </w:tc>
        <w:tc>
          <w:tcPr>
            <w:tcW w:w="833" w:type="pct"/>
          </w:tcPr>
          <w:p w:rsidR="00000000" w:rsidRDefault="00000000">
            <w:pPr>
              <w:spacing w:before="120" w:line="288" w:lineRule="auto"/>
              <w:jc w:val="center"/>
              <w:rPr>
                <w:sz w:val="22"/>
              </w:rPr>
            </w:pPr>
            <w:r>
              <w:rPr>
                <w:sz w:val="22"/>
              </w:rPr>
              <w:t>36.2</w:t>
            </w:r>
          </w:p>
        </w:tc>
        <w:tc>
          <w:tcPr>
            <w:tcW w:w="833" w:type="pct"/>
          </w:tcPr>
          <w:p w:rsidR="00000000" w:rsidRDefault="00000000">
            <w:pPr>
              <w:spacing w:before="120" w:line="288" w:lineRule="auto"/>
              <w:jc w:val="center"/>
              <w:rPr>
                <w:sz w:val="22"/>
              </w:rPr>
            </w:pPr>
            <w:r>
              <w:rPr>
                <w:sz w:val="22"/>
              </w:rPr>
              <w:t>34.8</w:t>
            </w:r>
          </w:p>
        </w:tc>
        <w:tc>
          <w:tcPr>
            <w:tcW w:w="833" w:type="pct"/>
          </w:tcPr>
          <w:p w:rsidR="00000000" w:rsidRDefault="00000000">
            <w:pPr>
              <w:spacing w:before="120" w:line="288" w:lineRule="auto"/>
              <w:jc w:val="center"/>
              <w:rPr>
                <w:sz w:val="22"/>
              </w:rPr>
            </w:pPr>
            <w:r>
              <w:rPr>
                <w:sz w:val="22"/>
              </w:rPr>
              <w:t>36.2</w:t>
            </w:r>
          </w:p>
        </w:tc>
        <w:tc>
          <w:tcPr>
            <w:tcW w:w="833" w:type="pct"/>
          </w:tcPr>
          <w:p w:rsidR="00000000" w:rsidRDefault="00000000">
            <w:pPr>
              <w:spacing w:before="120" w:line="288" w:lineRule="auto"/>
              <w:jc w:val="center"/>
              <w:rPr>
                <w:sz w:val="22"/>
              </w:rPr>
            </w:pPr>
            <w:r>
              <w:rPr>
                <w:sz w:val="22"/>
              </w:rPr>
              <w:t>31.3</w:t>
            </w:r>
          </w:p>
        </w:tc>
      </w:tr>
    </w:tbl>
    <w:p w:rsidR="00000000" w:rsidRDefault="00000000">
      <w:pPr>
        <w:spacing w:before="360" w:after="360"/>
        <w:rPr>
          <w:rFonts w:hint="eastAsia"/>
        </w:rPr>
      </w:pPr>
      <w:r>
        <w:rPr>
          <w:rFonts w:hint="eastAsia"/>
        </w:rPr>
        <w:tab/>
        <w:t xml:space="preserve">388.  </w:t>
      </w:r>
      <w:r>
        <w:rPr>
          <w:rFonts w:hint="eastAsia"/>
          <w:u w:val="single"/>
        </w:rPr>
        <w:t>身体检查和治疗</w:t>
      </w:r>
      <w:r>
        <w:rPr>
          <w:rFonts w:hint="eastAsia"/>
        </w:rPr>
        <w:t>。疾病保险支付私人医生要求进行的超过</w:t>
      </w:r>
      <w:r>
        <w:rPr>
          <w:rFonts w:hint="eastAsia"/>
        </w:rPr>
        <w:t>13.46</w:t>
      </w:r>
      <w:r>
        <w:rPr>
          <w:rFonts w:hint="eastAsia"/>
        </w:rPr>
        <w:t>欧元的身体检查和治疗费用，最高可达规定标准的</w:t>
      </w:r>
      <w:r>
        <w:rPr>
          <w:rFonts w:hint="eastAsia"/>
        </w:rPr>
        <w:t>75%</w:t>
      </w:r>
      <w:r>
        <w:rPr>
          <w:rFonts w:hint="eastAsia"/>
        </w:rPr>
        <w:t>。在</w:t>
      </w:r>
      <w:r>
        <w:rPr>
          <w:rFonts w:hint="eastAsia"/>
        </w:rPr>
        <w:t>2004</w:t>
      </w:r>
      <w:r>
        <w:rPr>
          <w:rFonts w:hint="eastAsia"/>
        </w:rPr>
        <w:t>年，共有</w:t>
      </w:r>
      <w:r>
        <w:rPr>
          <w:rFonts w:hint="eastAsia"/>
        </w:rPr>
        <w:t>789,319</w:t>
      </w:r>
      <w:r>
        <w:rPr>
          <w:rFonts w:hint="eastAsia"/>
        </w:rPr>
        <w:t>人报销了身体检查和治疗费用。</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16</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从</w:t>
      </w:r>
      <w:r>
        <w:rPr>
          <w:rFonts w:ascii="Time New Roman" w:eastAsia="SimHei" w:hAnsi="Time New Roman" w:hint="eastAsia"/>
          <w:b/>
          <w:sz w:val="22"/>
          <w:u w:val="none"/>
        </w:rPr>
        <w:t>1999</w:t>
      </w:r>
      <w:r>
        <w:rPr>
          <w:rFonts w:ascii="Time New Roman" w:eastAsia="SimHei" w:hAnsi="Time New Roman" w:hint="eastAsia"/>
          <w:sz w:val="22"/>
          <w:u w:val="none"/>
        </w:rPr>
        <w:t>年到</w:t>
      </w:r>
      <w:r>
        <w:rPr>
          <w:rFonts w:ascii="Time New Roman" w:eastAsia="SimHei" w:hAnsi="Time New Roman" w:hint="eastAsia"/>
          <w:b/>
          <w:sz w:val="22"/>
          <w:u w:val="none"/>
        </w:rPr>
        <w:t>2003</w:t>
      </w:r>
      <w:r>
        <w:rPr>
          <w:rFonts w:ascii="Time New Roman" w:eastAsia="SimHei" w:hAnsi="Time New Roman" w:hint="eastAsia"/>
          <w:sz w:val="22"/>
          <w:u w:val="none"/>
        </w:rPr>
        <w:t>年报销身体检查和治疗费用的平均百分比</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年</w:t>
            </w:r>
            <w:r>
              <w:rPr>
                <w:rFonts w:hint="eastAsia"/>
                <w:sz w:val="22"/>
              </w:rPr>
              <w:t xml:space="preserve">  </w:t>
            </w:r>
            <w:r>
              <w:rPr>
                <w:rFonts w:hint="eastAsia"/>
                <w:sz w:val="22"/>
              </w:rPr>
              <w:t>份</w:t>
            </w:r>
          </w:p>
        </w:tc>
        <w:tc>
          <w:tcPr>
            <w:tcW w:w="833" w:type="pct"/>
          </w:tcPr>
          <w:p w:rsidR="00000000" w:rsidRDefault="00000000">
            <w:pPr>
              <w:spacing w:before="120" w:line="288" w:lineRule="auto"/>
              <w:jc w:val="center"/>
              <w:rPr>
                <w:sz w:val="22"/>
              </w:rPr>
            </w:pPr>
            <w:r>
              <w:rPr>
                <w:sz w:val="22"/>
              </w:rPr>
              <w:t>1999</w:t>
            </w:r>
          </w:p>
        </w:tc>
        <w:tc>
          <w:tcPr>
            <w:tcW w:w="833" w:type="pct"/>
          </w:tcPr>
          <w:p w:rsidR="00000000" w:rsidRDefault="00000000">
            <w:pPr>
              <w:spacing w:before="120" w:line="288" w:lineRule="auto"/>
              <w:jc w:val="center"/>
              <w:rPr>
                <w:sz w:val="22"/>
              </w:rPr>
            </w:pPr>
            <w:r>
              <w:rPr>
                <w:sz w:val="22"/>
              </w:rPr>
              <w:t>2000</w:t>
            </w:r>
          </w:p>
        </w:tc>
        <w:tc>
          <w:tcPr>
            <w:tcW w:w="833" w:type="pct"/>
          </w:tcPr>
          <w:p w:rsidR="00000000" w:rsidRDefault="00000000">
            <w:pPr>
              <w:spacing w:before="120" w:line="288" w:lineRule="auto"/>
              <w:jc w:val="center"/>
              <w:rPr>
                <w:sz w:val="22"/>
              </w:rPr>
            </w:pPr>
            <w:r>
              <w:rPr>
                <w:sz w:val="22"/>
              </w:rPr>
              <w:t>2001</w:t>
            </w:r>
          </w:p>
        </w:tc>
        <w:tc>
          <w:tcPr>
            <w:tcW w:w="833" w:type="pct"/>
          </w:tcPr>
          <w:p w:rsidR="00000000" w:rsidRDefault="00000000">
            <w:pPr>
              <w:spacing w:before="120" w:line="288" w:lineRule="auto"/>
              <w:jc w:val="center"/>
              <w:rPr>
                <w:sz w:val="22"/>
              </w:rPr>
            </w:pPr>
            <w:r>
              <w:rPr>
                <w:sz w:val="22"/>
              </w:rPr>
              <w:t>2002</w:t>
            </w:r>
          </w:p>
        </w:tc>
        <w:tc>
          <w:tcPr>
            <w:tcW w:w="833" w:type="pct"/>
          </w:tcPr>
          <w:p w:rsidR="00000000" w:rsidRDefault="00000000">
            <w:pPr>
              <w:spacing w:before="120" w:line="288" w:lineRule="auto"/>
              <w:jc w:val="center"/>
              <w:rPr>
                <w:sz w:val="22"/>
              </w:rPr>
            </w:pPr>
            <w:r>
              <w:rPr>
                <w:sz w:val="22"/>
              </w:rPr>
              <w:t>2003</w:t>
            </w:r>
          </w:p>
        </w:tc>
      </w:tr>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百分比</w:t>
            </w:r>
          </w:p>
        </w:tc>
        <w:tc>
          <w:tcPr>
            <w:tcW w:w="833" w:type="pct"/>
          </w:tcPr>
          <w:p w:rsidR="00000000" w:rsidRDefault="00000000">
            <w:pPr>
              <w:spacing w:before="120" w:line="288" w:lineRule="auto"/>
              <w:jc w:val="center"/>
              <w:rPr>
                <w:sz w:val="22"/>
              </w:rPr>
            </w:pPr>
            <w:r>
              <w:rPr>
                <w:sz w:val="22"/>
              </w:rPr>
              <w:t>41.7</w:t>
            </w:r>
          </w:p>
        </w:tc>
        <w:tc>
          <w:tcPr>
            <w:tcW w:w="833" w:type="pct"/>
          </w:tcPr>
          <w:p w:rsidR="00000000" w:rsidRDefault="00000000">
            <w:pPr>
              <w:spacing w:before="120" w:line="288" w:lineRule="auto"/>
              <w:jc w:val="center"/>
              <w:rPr>
                <w:sz w:val="22"/>
              </w:rPr>
            </w:pPr>
            <w:r>
              <w:rPr>
                <w:sz w:val="22"/>
              </w:rPr>
              <w:t>40.5</w:t>
            </w:r>
          </w:p>
        </w:tc>
        <w:tc>
          <w:tcPr>
            <w:tcW w:w="833" w:type="pct"/>
          </w:tcPr>
          <w:p w:rsidR="00000000" w:rsidRDefault="00000000">
            <w:pPr>
              <w:spacing w:before="120" w:line="288" w:lineRule="auto"/>
              <w:jc w:val="center"/>
              <w:rPr>
                <w:sz w:val="22"/>
              </w:rPr>
            </w:pPr>
            <w:r>
              <w:rPr>
                <w:sz w:val="22"/>
              </w:rPr>
              <w:t>36.9</w:t>
            </w:r>
          </w:p>
        </w:tc>
        <w:tc>
          <w:tcPr>
            <w:tcW w:w="833" w:type="pct"/>
          </w:tcPr>
          <w:p w:rsidR="00000000" w:rsidRDefault="00000000">
            <w:pPr>
              <w:spacing w:before="120" w:line="288" w:lineRule="auto"/>
              <w:jc w:val="center"/>
              <w:rPr>
                <w:sz w:val="22"/>
              </w:rPr>
            </w:pPr>
            <w:r>
              <w:rPr>
                <w:sz w:val="22"/>
              </w:rPr>
              <w:t>35.3</w:t>
            </w:r>
          </w:p>
        </w:tc>
        <w:tc>
          <w:tcPr>
            <w:tcW w:w="833" w:type="pct"/>
          </w:tcPr>
          <w:p w:rsidR="00000000" w:rsidRDefault="00000000">
            <w:pPr>
              <w:spacing w:before="120" w:line="288" w:lineRule="auto"/>
              <w:jc w:val="center"/>
              <w:rPr>
                <w:sz w:val="22"/>
              </w:rPr>
            </w:pPr>
            <w:r>
              <w:rPr>
                <w:sz w:val="22"/>
              </w:rPr>
              <w:t>33.8</w:t>
            </w:r>
          </w:p>
        </w:tc>
      </w:tr>
    </w:tbl>
    <w:p w:rsidR="00000000" w:rsidRDefault="00000000">
      <w:pPr>
        <w:widowControl w:val="0"/>
        <w:spacing w:before="360" w:after="320"/>
        <w:rPr>
          <w:rFonts w:hint="eastAsia"/>
        </w:rPr>
      </w:pPr>
      <w:r>
        <w:br w:type="page"/>
      </w:r>
      <w:r>
        <w:rPr>
          <w:rFonts w:hint="eastAsia"/>
        </w:rPr>
        <w:tab/>
        <w:t xml:space="preserve">389.  </w:t>
      </w:r>
      <w:r>
        <w:rPr>
          <w:rFonts w:hint="eastAsia"/>
          <w:u w:val="single"/>
        </w:rPr>
        <w:t>医药</w:t>
      </w:r>
      <w:r>
        <w:rPr>
          <w:rFonts w:hint="eastAsia"/>
        </w:rPr>
        <w:t>。疾病保险支付部分医生处方医药费用。每次购药</w:t>
      </w:r>
      <w:r>
        <w:rPr>
          <w:rFonts w:hint="eastAsia"/>
        </w:rPr>
        <w:t>10</w:t>
      </w:r>
      <w:r>
        <w:rPr>
          <w:rFonts w:hint="eastAsia"/>
        </w:rPr>
        <w:t>欧元以上者可报销</w:t>
      </w:r>
      <w:r>
        <w:rPr>
          <w:rFonts w:hint="eastAsia"/>
        </w:rPr>
        <w:t>50%</w:t>
      </w:r>
      <w:r>
        <w:rPr>
          <w:rFonts w:hint="eastAsia"/>
        </w:rPr>
        <w:t>的费用。关于需要另外确定的某些重病和慢性病，每次购药</w:t>
      </w:r>
      <w:r>
        <w:rPr>
          <w:rFonts w:hint="eastAsia"/>
        </w:rPr>
        <w:t>5</w:t>
      </w:r>
      <w:r>
        <w:rPr>
          <w:rFonts w:hint="eastAsia"/>
        </w:rPr>
        <w:t>欧元以上者可报销</w:t>
      </w:r>
      <w:r>
        <w:rPr>
          <w:rFonts w:hint="eastAsia"/>
        </w:rPr>
        <w:t>75%</w:t>
      </w:r>
      <w:r>
        <w:rPr>
          <w:rFonts w:hint="eastAsia"/>
        </w:rPr>
        <w:t>或者</w:t>
      </w:r>
      <w:r>
        <w:rPr>
          <w:rFonts w:hint="eastAsia"/>
        </w:rPr>
        <w:t>100%</w:t>
      </w:r>
      <w:r>
        <w:rPr>
          <w:rFonts w:hint="eastAsia"/>
        </w:rPr>
        <w:t>。在</w:t>
      </w:r>
      <w:r>
        <w:rPr>
          <w:rFonts w:hint="eastAsia"/>
        </w:rPr>
        <w:t>2004</w:t>
      </w:r>
      <w:r>
        <w:rPr>
          <w:rFonts w:hint="eastAsia"/>
        </w:rPr>
        <w:t>年，共有</w:t>
      </w:r>
      <w:r>
        <w:rPr>
          <w:rFonts w:hint="eastAsia"/>
        </w:rPr>
        <w:t>3,271,568</w:t>
      </w:r>
      <w:r>
        <w:rPr>
          <w:rFonts w:hint="eastAsia"/>
        </w:rPr>
        <w:t>人报销了医药费。</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17</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从</w:t>
      </w:r>
      <w:r>
        <w:rPr>
          <w:rFonts w:ascii="Time New Roman" w:eastAsia="SimHei" w:hAnsi="Time New Roman" w:hint="eastAsia"/>
          <w:b/>
          <w:sz w:val="22"/>
          <w:u w:val="none"/>
        </w:rPr>
        <w:t>1999</w:t>
      </w:r>
      <w:r>
        <w:rPr>
          <w:rFonts w:ascii="Time New Roman" w:eastAsia="SimHei" w:hAnsi="Time New Roman" w:hint="eastAsia"/>
          <w:sz w:val="22"/>
          <w:u w:val="none"/>
        </w:rPr>
        <w:t>年到</w:t>
      </w:r>
      <w:r>
        <w:rPr>
          <w:rFonts w:ascii="Time New Roman" w:eastAsia="SimHei" w:hAnsi="Time New Roman" w:hint="eastAsia"/>
          <w:b/>
          <w:sz w:val="22"/>
          <w:u w:val="none"/>
        </w:rPr>
        <w:t>2003</w:t>
      </w:r>
      <w:r>
        <w:rPr>
          <w:rFonts w:ascii="Time New Roman" w:eastAsia="SimHei" w:hAnsi="Time New Roman" w:hint="eastAsia"/>
          <w:sz w:val="22"/>
          <w:u w:val="none"/>
        </w:rPr>
        <w:t>年按报销类型分列的报销医药费的平均百分比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c>
          <w:tcPr>
            <w:tcW w:w="833" w:type="pct"/>
          </w:tcPr>
          <w:p w:rsidR="00000000" w:rsidRDefault="00000000">
            <w:pPr>
              <w:spacing w:before="120" w:line="288" w:lineRule="auto"/>
              <w:jc w:val="center"/>
              <w:rPr>
                <w:rFonts w:hint="eastAsia"/>
                <w:sz w:val="22"/>
              </w:rPr>
            </w:pPr>
            <w:r>
              <w:rPr>
                <w:rFonts w:hint="eastAsia"/>
                <w:sz w:val="22"/>
              </w:rPr>
              <w:t>年份</w:t>
            </w:r>
            <w:r>
              <w:rPr>
                <w:sz w:val="22"/>
              </w:rPr>
              <w:t>/</w:t>
            </w:r>
            <w:r>
              <w:rPr>
                <w:rFonts w:hint="eastAsia"/>
                <w:sz w:val="22"/>
              </w:rPr>
              <w:t>百分比</w:t>
            </w:r>
          </w:p>
        </w:tc>
        <w:tc>
          <w:tcPr>
            <w:tcW w:w="833" w:type="pct"/>
          </w:tcPr>
          <w:p w:rsidR="00000000" w:rsidRDefault="00000000">
            <w:pPr>
              <w:spacing w:before="120" w:line="288" w:lineRule="auto"/>
              <w:jc w:val="center"/>
              <w:rPr>
                <w:sz w:val="22"/>
              </w:rPr>
            </w:pPr>
            <w:r>
              <w:rPr>
                <w:sz w:val="22"/>
              </w:rPr>
              <w:t>1999</w:t>
            </w:r>
          </w:p>
        </w:tc>
        <w:tc>
          <w:tcPr>
            <w:tcW w:w="833" w:type="pct"/>
          </w:tcPr>
          <w:p w:rsidR="00000000" w:rsidRDefault="00000000">
            <w:pPr>
              <w:spacing w:before="120" w:line="288" w:lineRule="auto"/>
              <w:jc w:val="center"/>
              <w:rPr>
                <w:sz w:val="22"/>
              </w:rPr>
            </w:pPr>
            <w:r>
              <w:rPr>
                <w:sz w:val="22"/>
              </w:rPr>
              <w:t>2000</w:t>
            </w:r>
          </w:p>
        </w:tc>
        <w:tc>
          <w:tcPr>
            <w:tcW w:w="833" w:type="pct"/>
          </w:tcPr>
          <w:p w:rsidR="00000000" w:rsidRDefault="00000000">
            <w:pPr>
              <w:spacing w:before="120" w:line="288" w:lineRule="auto"/>
              <w:jc w:val="center"/>
              <w:rPr>
                <w:sz w:val="22"/>
              </w:rPr>
            </w:pPr>
            <w:r>
              <w:rPr>
                <w:sz w:val="22"/>
              </w:rPr>
              <w:t>2001</w:t>
            </w:r>
          </w:p>
        </w:tc>
        <w:tc>
          <w:tcPr>
            <w:tcW w:w="833" w:type="pct"/>
          </w:tcPr>
          <w:p w:rsidR="00000000" w:rsidRDefault="00000000">
            <w:pPr>
              <w:spacing w:before="120" w:line="288" w:lineRule="auto"/>
              <w:jc w:val="center"/>
              <w:rPr>
                <w:sz w:val="22"/>
              </w:rPr>
            </w:pPr>
            <w:r>
              <w:rPr>
                <w:sz w:val="22"/>
              </w:rPr>
              <w:t>2002</w:t>
            </w:r>
          </w:p>
        </w:tc>
        <w:tc>
          <w:tcPr>
            <w:tcW w:w="833" w:type="pct"/>
          </w:tcPr>
          <w:p w:rsidR="00000000" w:rsidRDefault="00000000">
            <w:pPr>
              <w:spacing w:before="120" w:line="288" w:lineRule="auto"/>
              <w:jc w:val="center"/>
              <w:rPr>
                <w:sz w:val="22"/>
              </w:rPr>
            </w:pPr>
            <w:r>
              <w:rPr>
                <w:sz w:val="22"/>
              </w:rPr>
              <w:t>2003</w:t>
            </w:r>
          </w:p>
        </w:tc>
      </w:tr>
      <w:tr w:rsidR="00000000">
        <w:tblPrEx>
          <w:tblCellMar>
            <w:top w:w="0" w:type="dxa"/>
            <w:bottom w:w="0" w:type="dxa"/>
          </w:tblCellMar>
        </w:tblPrEx>
        <w:tc>
          <w:tcPr>
            <w:tcW w:w="833" w:type="pct"/>
            <w:tcBorders>
              <w:bottom w:val="nil"/>
            </w:tcBorders>
          </w:tcPr>
          <w:p w:rsidR="00000000" w:rsidRDefault="00000000">
            <w:pPr>
              <w:spacing w:before="80" w:line="288" w:lineRule="auto"/>
              <w:ind w:right="454"/>
              <w:jc w:val="right"/>
              <w:rPr>
                <w:sz w:val="22"/>
              </w:rPr>
            </w:pPr>
            <w:r>
              <w:rPr>
                <w:sz w:val="22"/>
              </w:rPr>
              <w:t>50%</w:t>
            </w:r>
          </w:p>
        </w:tc>
        <w:tc>
          <w:tcPr>
            <w:tcW w:w="833" w:type="pct"/>
            <w:tcBorders>
              <w:bottom w:val="nil"/>
            </w:tcBorders>
          </w:tcPr>
          <w:p w:rsidR="00000000" w:rsidRDefault="00000000">
            <w:pPr>
              <w:spacing w:before="80" w:line="288" w:lineRule="auto"/>
              <w:jc w:val="center"/>
              <w:rPr>
                <w:sz w:val="22"/>
              </w:rPr>
            </w:pPr>
            <w:r>
              <w:rPr>
                <w:sz w:val="22"/>
              </w:rPr>
              <w:t>40.6</w:t>
            </w:r>
          </w:p>
        </w:tc>
        <w:tc>
          <w:tcPr>
            <w:tcW w:w="833" w:type="pct"/>
            <w:tcBorders>
              <w:bottom w:val="nil"/>
            </w:tcBorders>
          </w:tcPr>
          <w:p w:rsidR="00000000" w:rsidRDefault="00000000">
            <w:pPr>
              <w:spacing w:before="80" w:line="288" w:lineRule="auto"/>
              <w:jc w:val="center"/>
              <w:rPr>
                <w:sz w:val="22"/>
              </w:rPr>
            </w:pPr>
            <w:r>
              <w:rPr>
                <w:sz w:val="22"/>
              </w:rPr>
              <w:t>41.1</w:t>
            </w:r>
          </w:p>
        </w:tc>
        <w:tc>
          <w:tcPr>
            <w:tcW w:w="833" w:type="pct"/>
            <w:tcBorders>
              <w:bottom w:val="nil"/>
            </w:tcBorders>
          </w:tcPr>
          <w:p w:rsidR="00000000" w:rsidRDefault="00000000">
            <w:pPr>
              <w:spacing w:before="80" w:line="288" w:lineRule="auto"/>
              <w:jc w:val="center"/>
              <w:rPr>
                <w:sz w:val="22"/>
              </w:rPr>
            </w:pPr>
            <w:r>
              <w:rPr>
                <w:sz w:val="22"/>
              </w:rPr>
              <w:t>41.5</w:t>
            </w:r>
          </w:p>
        </w:tc>
        <w:tc>
          <w:tcPr>
            <w:tcW w:w="833" w:type="pct"/>
            <w:tcBorders>
              <w:bottom w:val="nil"/>
            </w:tcBorders>
          </w:tcPr>
          <w:p w:rsidR="00000000" w:rsidRDefault="00000000">
            <w:pPr>
              <w:spacing w:before="80" w:line="288" w:lineRule="auto"/>
              <w:jc w:val="center"/>
              <w:rPr>
                <w:sz w:val="22"/>
              </w:rPr>
            </w:pPr>
            <w:r>
              <w:rPr>
                <w:sz w:val="22"/>
              </w:rPr>
              <w:t>42.1</w:t>
            </w:r>
          </w:p>
        </w:tc>
        <w:tc>
          <w:tcPr>
            <w:tcW w:w="833" w:type="pct"/>
            <w:tcBorders>
              <w:bottom w:val="nil"/>
            </w:tcBorders>
          </w:tcPr>
          <w:p w:rsidR="00000000" w:rsidRDefault="00000000">
            <w:pPr>
              <w:spacing w:before="80" w:line="288" w:lineRule="auto"/>
              <w:jc w:val="center"/>
              <w:rPr>
                <w:sz w:val="22"/>
              </w:rPr>
            </w:pPr>
            <w:r>
              <w:rPr>
                <w:sz w:val="22"/>
              </w:rPr>
              <w:t>41.5</w:t>
            </w:r>
          </w:p>
        </w:tc>
      </w:tr>
      <w:tr w:rsidR="00000000">
        <w:tblPrEx>
          <w:tblCellMar>
            <w:top w:w="0" w:type="dxa"/>
            <w:bottom w:w="0" w:type="dxa"/>
          </w:tblCellMar>
        </w:tblPrEx>
        <w:tc>
          <w:tcPr>
            <w:tcW w:w="833" w:type="pct"/>
            <w:tcBorders>
              <w:top w:val="nil"/>
              <w:bottom w:val="nil"/>
            </w:tcBorders>
          </w:tcPr>
          <w:p w:rsidR="00000000" w:rsidRDefault="00000000">
            <w:pPr>
              <w:spacing w:line="288" w:lineRule="auto"/>
              <w:ind w:right="454"/>
              <w:jc w:val="right"/>
              <w:rPr>
                <w:sz w:val="22"/>
              </w:rPr>
            </w:pPr>
            <w:r>
              <w:rPr>
                <w:sz w:val="22"/>
              </w:rPr>
              <w:t>75%</w:t>
            </w:r>
          </w:p>
        </w:tc>
        <w:tc>
          <w:tcPr>
            <w:tcW w:w="833" w:type="pct"/>
            <w:tcBorders>
              <w:top w:val="nil"/>
              <w:bottom w:val="nil"/>
            </w:tcBorders>
          </w:tcPr>
          <w:p w:rsidR="00000000" w:rsidRDefault="00000000">
            <w:pPr>
              <w:spacing w:line="288" w:lineRule="auto"/>
              <w:jc w:val="center"/>
              <w:rPr>
                <w:sz w:val="22"/>
              </w:rPr>
            </w:pPr>
            <w:r>
              <w:rPr>
                <w:sz w:val="22"/>
              </w:rPr>
              <w:t>70.1</w:t>
            </w:r>
          </w:p>
        </w:tc>
        <w:tc>
          <w:tcPr>
            <w:tcW w:w="833" w:type="pct"/>
            <w:tcBorders>
              <w:top w:val="nil"/>
              <w:bottom w:val="nil"/>
            </w:tcBorders>
          </w:tcPr>
          <w:p w:rsidR="00000000" w:rsidRDefault="00000000">
            <w:pPr>
              <w:spacing w:line="288" w:lineRule="auto"/>
              <w:jc w:val="center"/>
              <w:rPr>
                <w:sz w:val="22"/>
              </w:rPr>
            </w:pPr>
            <w:r>
              <w:rPr>
                <w:sz w:val="22"/>
              </w:rPr>
              <w:t>70.3</w:t>
            </w:r>
          </w:p>
        </w:tc>
        <w:tc>
          <w:tcPr>
            <w:tcW w:w="833" w:type="pct"/>
            <w:tcBorders>
              <w:top w:val="nil"/>
              <w:bottom w:val="nil"/>
            </w:tcBorders>
          </w:tcPr>
          <w:p w:rsidR="00000000" w:rsidRDefault="00000000">
            <w:pPr>
              <w:spacing w:line="288" w:lineRule="auto"/>
              <w:jc w:val="center"/>
              <w:rPr>
                <w:sz w:val="22"/>
              </w:rPr>
            </w:pPr>
            <w:r>
              <w:rPr>
                <w:sz w:val="22"/>
              </w:rPr>
              <w:t>70.7</w:t>
            </w:r>
          </w:p>
        </w:tc>
        <w:tc>
          <w:tcPr>
            <w:tcW w:w="833" w:type="pct"/>
            <w:tcBorders>
              <w:top w:val="nil"/>
              <w:bottom w:val="nil"/>
            </w:tcBorders>
          </w:tcPr>
          <w:p w:rsidR="00000000" w:rsidRDefault="00000000">
            <w:pPr>
              <w:spacing w:line="288" w:lineRule="auto"/>
              <w:jc w:val="center"/>
              <w:rPr>
                <w:sz w:val="22"/>
              </w:rPr>
            </w:pPr>
            <w:r>
              <w:rPr>
                <w:sz w:val="22"/>
              </w:rPr>
              <w:t>70.9</w:t>
            </w:r>
          </w:p>
        </w:tc>
        <w:tc>
          <w:tcPr>
            <w:tcW w:w="833" w:type="pct"/>
            <w:tcBorders>
              <w:top w:val="nil"/>
              <w:bottom w:val="nil"/>
            </w:tcBorders>
          </w:tcPr>
          <w:p w:rsidR="00000000" w:rsidRDefault="00000000">
            <w:pPr>
              <w:spacing w:line="288" w:lineRule="auto"/>
              <w:jc w:val="center"/>
              <w:rPr>
                <w:sz w:val="22"/>
              </w:rPr>
            </w:pPr>
            <w:r>
              <w:rPr>
                <w:sz w:val="22"/>
              </w:rPr>
              <w:t>70.2</w:t>
            </w:r>
          </w:p>
        </w:tc>
      </w:tr>
      <w:tr w:rsidR="00000000">
        <w:tblPrEx>
          <w:tblCellMar>
            <w:top w:w="0" w:type="dxa"/>
            <w:bottom w:w="0" w:type="dxa"/>
          </w:tblCellMar>
        </w:tblPrEx>
        <w:tc>
          <w:tcPr>
            <w:tcW w:w="833" w:type="pct"/>
            <w:tcBorders>
              <w:top w:val="nil"/>
            </w:tcBorders>
          </w:tcPr>
          <w:p w:rsidR="00000000" w:rsidRDefault="00000000">
            <w:pPr>
              <w:spacing w:line="288" w:lineRule="auto"/>
              <w:ind w:right="454"/>
              <w:jc w:val="right"/>
              <w:rPr>
                <w:sz w:val="22"/>
              </w:rPr>
            </w:pPr>
            <w:r>
              <w:rPr>
                <w:sz w:val="22"/>
              </w:rPr>
              <w:t>100%</w:t>
            </w:r>
          </w:p>
        </w:tc>
        <w:tc>
          <w:tcPr>
            <w:tcW w:w="833" w:type="pct"/>
            <w:tcBorders>
              <w:top w:val="nil"/>
            </w:tcBorders>
          </w:tcPr>
          <w:p w:rsidR="00000000" w:rsidRDefault="00000000">
            <w:pPr>
              <w:spacing w:line="288" w:lineRule="auto"/>
              <w:jc w:val="center"/>
              <w:rPr>
                <w:sz w:val="22"/>
              </w:rPr>
            </w:pPr>
            <w:r>
              <w:rPr>
                <w:sz w:val="22"/>
              </w:rPr>
              <w:t>96.2</w:t>
            </w:r>
          </w:p>
        </w:tc>
        <w:tc>
          <w:tcPr>
            <w:tcW w:w="833" w:type="pct"/>
            <w:tcBorders>
              <w:top w:val="nil"/>
            </w:tcBorders>
          </w:tcPr>
          <w:p w:rsidR="00000000" w:rsidRDefault="00000000">
            <w:pPr>
              <w:spacing w:line="288" w:lineRule="auto"/>
              <w:jc w:val="center"/>
              <w:rPr>
                <w:sz w:val="22"/>
              </w:rPr>
            </w:pPr>
            <w:r>
              <w:rPr>
                <w:sz w:val="22"/>
              </w:rPr>
              <w:t>96.4</w:t>
            </w:r>
          </w:p>
        </w:tc>
        <w:tc>
          <w:tcPr>
            <w:tcW w:w="833" w:type="pct"/>
            <w:tcBorders>
              <w:top w:val="nil"/>
            </w:tcBorders>
          </w:tcPr>
          <w:p w:rsidR="00000000" w:rsidRDefault="00000000">
            <w:pPr>
              <w:spacing w:line="288" w:lineRule="auto"/>
              <w:jc w:val="center"/>
              <w:rPr>
                <w:sz w:val="22"/>
              </w:rPr>
            </w:pPr>
            <w:r>
              <w:rPr>
                <w:sz w:val="22"/>
              </w:rPr>
              <w:t>96.8</w:t>
            </w:r>
          </w:p>
        </w:tc>
        <w:tc>
          <w:tcPr>
            <w:tcW w:w="833" w:type="pct"/>
            <w:tcBorders>
              <w:top w:val="nil"/>
            </w:tcBorders>
          </w:tcPr>
          <w:p w:rsidR="00000000" w:rsidRDefault="00000000">
            <w:pPr>
              <w:spacing w:line="288" w:lineRule="auto"/>
              <w:jc w:val="center"/>
              <w:rPr>
                <w:sz w:val="22"/>
              </w:rPr>
            </w:pPr>
            <w:r>
              <w:rPr>
                <w:sz w:val="22"/>
              </w:rPr>
              <w:t>97.0</w:t>
            </w:r>
          </w:p>
        </w:tc>
        <w:tc>
          <w:tcPr>
            <w:tcW w:w="833" w:type="pct"/>
            <w:tcBorders>
              <w:top w:val="nil"/>
            </w:tcBorders>
          </w:tcPr>
          <w:p w:rsidR="00000000" w:rsidRDefault="00000000">
            <w:pPr>
              <w:spacing w:line="288" w:lineRule="auto"/>
              <w:jc w:val="center"/>
              <w:rPr>
                <w:sz w:val="22"/>
              </w:rPr>
            </w:pPr>
            <w:r>
              <w:rPr>
                <w:sz w:val="22"/>
              </w:rPr>
              <w:t>96.8</w:t>
            </w:r>
          </w:p>
        </w:tc>
      </w:tr>
    </w:tbl>
    <w:p w:rsidR="00000000" w:rsidRDefault="00000000">
      <w:pPr>
        <w:spacing w:before="480"/>
        <w:rPr>
          <w:rFonts w:hint="eastAsia"/>
        </w:rPr>
      </w:pPr>
      <w:r>
        <w:rPr>
          <w:rFonts w:hint="eastAsia"/>
        </w:rPr>
        <w:tab/>
        <w:t xml:space="preserve">390.  </w:t>
      </w:r>
      <w:r>
        <w:rPr>
          <w:rFonts w:hint="eastAsia"/>
        </w:rPr>
        <w:t>如果病人所支付的医药费超出了规定的最高限额，所超出部分可全额报销。在</w:t>
      </w:r>
      <w:r>
        <w:rPr>
          <w:rFonts w:hint="eastAsia"/>
        </w:rPr>
        <w:t>2005</w:t>
      </w:r>
      <w:r>
        <w:rPr>
          <w:rFonts w:hint="eastAsia"/>
        </w:rPr>
        <w:t>年，最高限额为</w:t>
      </w:r>
      <w:r>
        <w:rPr>
          <w:rFonts w:hint="eastAsia"/>
        </w:rPr>
        <w:t>606.95</w:t>
      </w:r>
      <w:r>
        <w:rPr>
          <w:rFonts w:hint="eastAsia"/>
        </w:rPr>
        <w:t>欧元。</w:t>
      </w:r>
    </w:p>
    <w:p w:rsidR="00000000" w:rsidRDefault="00000000">
      <w:pPr>
        <w:spacing w:after="320"/>
        <w:rPr>
          <w:rFonts w:hint="eastAsia"/>
        </w:rPr>
      </w:pPr>
      <w:r>
        <w:rPr>
          <w:rFonts w:hint="eastAsia"/>
        </w:rPr>
        <w:tab/>
        <w:t xml:space="preserve">391.  </w:t>
      </w:r>
      <w:r>
        <w:rPr>
          <w:rFonts w:hint="eastAsia"/>
          <w:u w:val="single"/>
        </w:rPr>
        <w:t>旅费</w:t>
      </w:r>
      <w:r>
        <w:rPr>
          <w:rFonts w:hint="eastAsia"/>
        </w:rPr>
        <w:t>。疾病保险支付由于疾病治疗或者康复治疗所引起的旅费，但是每次旅费不得低于一定金额</w:t>
      </w:r>
      <w:r>
        <w:rPr>
          <w:rFonts w:hint="eastAsia"/>
        </w:rPr>
        <w:t>(</w:t>
      </w:r>
      <w:r>
        <w:rPr>
          <w:rFonts w:hint="eastAsia"/>
        </w:rPr>
        <w:t>在</w:t>
      </w:r>
      <w:r>
        <w:rPr>
          <w:rFonts w:hint="eastAsia"/>
        </w:rPr>
        <w:t>2005</w:t>
      </w:r>
      <w:r>
        <w:rPr>
          <w:rFonts w:hint="eastAsia"/>
        </w:rPr>
        <w:t>年为</w:t>
      </w:r>
      <w:r>
        <w:rPr>
          <w:rFonts w:hint="eastAsia"/>
        </w:rPr>
        <w:t>9.25</w:t>
      </w:r>
      <w:r>
        <w:rPr>
          <w:rFonts w:hint="eastAsia"/>
        </w:rPr>
        <w:t>欧元</w:t>
      </w:r>
      <w:r>
        <w:rPr>
          <w:rFonts w:hint="eastAsia"/>
        </w:rPr>
        <w:t>)</w:t>
      </w:r>
      <w:r>
        <w:rPr>
          <w:rFonts w:hint="eastAsia"/>
        </w:rPr>
        <w:t>。如果病人一年的旅费超出了最高限额</w:t>
      </w:r>
      <w:r>
        <w:rPr>
          <w:rFonts w:hint="eastAsia"/>
        </w:rPr>
        <w:t>(2005</w:t>
      </w:r>
      <w:r>
        <w:rPr>
          <w:rFonts w:hint="eastAsia"/>
        </w:rPr>
        <w:t>年为</w:t>
      </w:r>
      <w:r>
        <w:rPr>
          <w:rFonts w:hint="eastAsia"/>
        </w:rPr>
        <w:t>157.25</w:t>
      </w:r>
      <w:r>
        <w:rPr>
          <w:rFonts w:hint="eastAsia"/>
        </w:rPr>
        <w:t>欧元</w:t>
      </w:r>
      <w:r>
        <w:rPr>
          <w:rFonts w:hint="eastAsia"/>
        </w:rPr>
        <w:t>)</w:t>
      </w:r>
      <w:r>
        <w:rPr>
          <w:rFonts w:hint="eastAsia"/>
        </w:rPr>
        <w:t>，超出部分可全额报销。退伍老兵有权全额报销由于康复治疗而引起的旅费。在</w:t>
      </w:r>
      <w:r>
        <w:rPr>
          <w:rFonts w:hint="eastAsia"/>
        </w:rPr>
        <w:t>2004</w:t>
      </w:r>
      <w:r>
        <w:rPr>
          <w:rFonts w:hint="eastAsia"/>
        </w:rPr>
        <w:t>年，共有</w:t>
      </w:r>
      <w:r>
        <w:rPr>
          <w:rFonts w:hint="eastAsia"/>
        </w:rPr>
        <w:t>587,501</w:t>
      </w:r>
      <w:r>
        <w:rPr>
          <w:rFonts w:hint="eastAsia"/>
        </w:rPr>
        <w:t>人报销了旅费。</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18</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从</w:t>
      </w:r>
      <w:r>
        <w:rPr>
          <w:rFonts w:ascii="Time New Roman" w:eastAsia="SimHei" w:hAnsi="Time New Roman" w:hint="eastAsia"/>
          <w:b/>
          <w:sz w:val="22"/>
          <w:u w:val="none"/>
        </w:rPr>
        <w:t>1999</w:t>
      </w:r>
      <w:r>
        <w:rPr>
          <w:rFonts w:ascii="Time New Roman" w:eastAsia="SimHei" w:hAnsi="Time New Roman" w:hint="eastAsia"/>
          <w:sz w:val="22"/>
          <w:u w:val="none"/>
        </w:rPr>
        <w:t>年到</w:t>
      </w:r>
      <w:r>
        <w:rPr>
          <w:rFonts w:ascii="Time New Roman" w:eastAsia="SimHei" w:hAnsi="Time New Roman" w:hint="eastAsia"/>
          <w:b/>
          <w:sz w:val="22"/>
          <w:u w:val="none"/>
        </w:rPr>
        <w:t>2003</w:t>
      </w:r>
      <w:r>
        <w:rPr>
          <w:rFonts w:ascii="Time New Roman" w:eastAsia="SimHei" w:hAnsi="Time New Roman" w:hint="eastAsia"/>
          <w:sz w:val="22"/>
          <w:u w:val="none"/>
        </w:rPr>
        <w:t>年报销旅费的平均百分比</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年</w:t>
            </w:r>
            <w:r>
              <w:rPr>
                <w:rFonts w:hint="eastAsia"/>
                <w:sz w:val="22"/>
              </w:rPr>
              <w:t xml:space="preserve">  </w:t>
            </w:r>
            <w:r>
              <w:rPr>
                <w:rFonts w:hint="eastAsia"/>
                <w:sz w:val="22"/>
              </w:rPr>
              <w:t>份</w:t>
            </w:r>
          </w:p>
        </w:tc>
        <w:tc>
          <w:tcPr>
            <w:tcW w:w="833" w:type="pct"/>
          </w:tcPr>
          <w:p w:rsidR="00000000" w:rsidRDefault="00000000">
            <w:pPr>
              <w:spacing w:before="120" w:line="288" w:lineRule="auto"/>
              <w:jc w:val="center"/>
              <w:rPr>
                <w:sz w:val="22"/>
              </w:rPr>
            </w:pPr>
            <w:r>
              <w:rPr>
                <w:sz w:val="22"/>
              </w:rPr>
              <w:t>1999</w:t>
            </w:r>
          </w:p>
        </w:tc>
        <w:tc>
          <w:tcPr>
            <w:tcW w:w="833" w:type="pct"/>
          </w:tcPr>
          <w:p w:rsidR="00000000" w:rsidRDefault="00000000">
            <w:pPr>
              <w:spacing w:before="120" w:line="288" w:lineRule="auto"/>
              <w:jc w:val="center"/>
              <w:rPr>
                <w:sz w:val="22"/>
              </w:rPr>
            </w:pPr>
            <w:r>
              <w:rPr>
                <w:sz w:val="22"/>
              </w:rPr>
              <w:t>2000</w:t>
            </w:r>
          </w:p>
        </w:tc>
        <w:tc>
          <w:tcPr>
            <w:tcW w:w="833" w:type="pct"/>
          </w:tcPr>
          <w:p w:rsidR="00000000" w:rsidRDefault="00000000">
            <w:pPr>
              <w:spacing w:before="120" w:line="288" w:lineRule="auto"/>
              <w:jc w:val="center"/>
              <w:rPr>
                <w:sz w:val="22"/>
              </w:rPr>
            </w:pPr>
            <w:r>
              <w:rPr>
                <w:sz w:val="22"/>
              </w:rPr>
              <w:t>2001</w:t>
            </w:r>
          </w:p>
        </w:tc>
        <w:tc>
          <w:tcPr>
            <w:tcW w:w="833" w:type="pct"/>
          </w:tcPr>
          <w:p w:rsidR="00000000" w:rsidRDefault="00000000">
            <w:pPr>
              <w:spacing w:before="120" w:line="288" w:lineRule="auto"/>
              <w:jc w:val="center"/>
              <w:rPr>
                <w:sz w:val="22"/>
              </w:rPr>
            </w:pPr>
            <w:r>
              <w:rPr>
                <w:sz w:val="22"/>
              </w:rPr>
              <w:t>2002</w:t>
            </w:r>
          </w:p>
        </w:tc>
        <w:tc>
          <w:tcPr>
            <w:tcW w:w="833" w:type="pct"/>
          </w:tcPr>
          <w:p w:rsidR="00000000" w:rsidRDefault="00000000">
            <w:pPr>
              <w:spacing w:before="120" w:line="288" w:lineRule="auto"/>
              <w:jc w:val="center"/>
              <w:rPr>
                <w:sz w:val="22"/>
              </w:rPr>
            </w:pPr>
            <w:r>
              <w:rPr>
                <w:sz w:val="22"/>
              </w:rPr>
              <w:t>2003</w:t>
            </w:r>
          </w:p>
        </w:tc>
      </w:tr>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百分比</w:t>
            </w:r>
          </w:p>
        </w:tc>
        <w:tc>
          <w:tcPr>
            <w:tcW w:w="833" w:type="pct"/>
          </w:tcPr>
          <w:p w:rsidR="00000000" w:rsidRDefault="00000000">
            <w:pPr>
              <w:spacing w:before="120" w:line="288" w:lineRule="auto"/>
              <w:jc w:val="center"/>
              <w:rPr>
                <w:sz w:val="22"/>
              </w:rPr>
            </w:pPr>
            <w:r>
              <w:rPr>
                <w:sz w:val="22"/>
              </w:rPr>
              <w:t>86.0</w:t>
            </w:r>
          </w:p>
        </w:tc>
        <w:tc>
          <w:tcPr>
            <w:tcW w:w="833" w:type="pct"/>
          </w:tcPr>
          <w:p w:rsidR="00000000" w:rsidRDefault="00000000">
            <w:pPr>
              <w:spacing w:before="120" w:line="288" w:lineRule="auto"/>
              <w:jc w:val="center"/>
              <w:rPr>
                <w:sz w:val="22"/>
              </w:rPr>
            </w:pPr>
            <w:r>
              <w:rPr>
                <w:sz w:val="22"/>
              </w:rPr>
              <w:t>86.6</w:t>
            </w:r>
          </w:p>
        </w:tc>
        <w:tc>
          <w:tcPr>
            <w:tcW w:w="833" w:type="pct"/>
          </w:tcPr>
          <w:p w:rsidR="00000000" w:rsidRDefault="00000000">
            <w:pPr>
              <w:spacing w:before="120" w:line="288" w:lineRule="auto"/>
              <w:jc w:val="center"/>
              <w:rPr>
                <w:sz w:val="22"/>
              </w:rPr>
            </w:pPr>
            <w:r>
              <w:rPr>
                <w:sz w:val="22"/>
              </w:rPr>
              <w:t>86.1</w:t>
            </w:r>
          </w:p>
        </w:tc>
        <w:tc>
          <w:tcPr>
            <w:tcW w:w="833" w:type="pct"/>
          </w:tcPr>
          <w:p w:rsidR="00000000" w:rsidRDefault="00000000">
            <w:pPr>
              <w:spacing w:before="120" w:line="288" w:lineRule="auto"/>
              <w:jc w:val="center"/>
              <w:rPr>
                <w:sz w:val="22"/>
              </w:rPr>
            </w:pPr>
            <w:r>
              <w:rPr>
                <w:sz w:val="22"/>
              </w:rPr>
              <w:t>86.2</w:t>
            </w:r>
          </w:p>
        </w:tc>
        <w:tc>
          <w:tcPr>
            <w:tcW w:w="833" w:type="pct"/>
          </w:tcPr>
          <w:p w:rsidR="00000000" w:rsidRDefault="00000000">
            <w:pPr>
              <w:spacing w:before="120" w:line="288" w:lineRule="auto"/>
              <w:jc w:val="center"/>
              <w:rPr>
                <w:sz w:val="22"/>
              </w:rPr>
            </w:pPr>
            <w:r>
              <w:rPr>
                <w:sz w:val="22"/>
              </w:rPr>
              <w:t>86.7</w:t>
            </w:r>
          </w:p>
        </w:tc>
      </w:tr>
    </w:tbl>
    <w:p w:rsidR="00000000" w:rsidRDefault="00000000">
      <w:pPr>
        <w:spacing w:before="480"/>
        <w:rPr>
          <w:rFonts w:hint="eastAsia"/>
        </w:rPr>
      </w:pPr>
      <w:r>
        <w:rPr>
          <w:rFonts w:hint="eastAsia"/>
        </w:rPr>
        <w:tab/>
        <w:t xml:space="preserve">392.  </w:t>
      </w:r>
      <w:r>
        <w:rPr>
          <w:rFonts w:hint="eastAsia"/>
          <w:u w:val="single"/>
        </w:rPr>
        <w:t>牙病治疗</w:t>
      </w:r>
      <w:r>
        <w:rPr>
          <w:rFonts w:hint="eastAsia"/>
        </w:rPr>
        <w:t>。疾病保险支付私人牙医的治疗费用，最高可达规定标准的</w:t>
      </w:r>
      <w:r>
        <w:rPr>
          <w:rFonts w:hint="eastAsia"/>
        </w:rPr>
        <w:t>60%</w:t>
      </w:r>
      <w:r>
        <w:rPr>
          <w:rFonts w:hint="eastAsia"/>
        </w:rPr>
        <w:t>。然而，基本检查的费用每年只能报销一次，最高不得超过</w:t>
      </w:r>
      <w:r>
        <w:rPr>
          <w:rFonts w:hint="eastAsia"/>
        </w:rPr>
        <w:t>60%</w:t>
      </w:r>
      <w:r>
        <w:rPr>
          <w:rFonts w:hint="eastAsia"/>
        </w:rPr>
        <w:t>。退伍老兵有权全额报销基本牙医治疗费用以及其他医疗服务的部分费用。</w:t>
      </w:r>
    </w:p>
    <w:p w:rsidR="00000000" w:rsidRDefault="00000000">
      <w:pPr>
        <w:spacing w:after="320"/>
        <w:rPr>
          <w:rFonts w:hint="eastAsia"/>
        </w:rPr>
      </w:pPr>
      <w:r>
        <w:rPr>
          <w:rFonts w:hint="eastAsia"/>
        </w:rPr>
        <w:tab/>
        <w:t xml:space="preserve">393.  </w:t>
      </w:r>
      <w:r>
        <w:rPr>
          <w:rFonts w:hint="eastAsia"/>
        </w:rPr>
        <w:t>正如上文所述，有权报销牙医治疗费用的对象在</w:t>
      </w:r>
      <w:r>
        <w:rPr>
          <w:rFonts w:hint="eastAsia"/>
        </w:rPr>
        <w:t>2001</w:t>
      </w:r>
      <w:r>
        <w:rPr>
          <w:rFonts w:hint="eastAsia"/>
        </w:rPr>
        <w:t>年和</w:t>
      </w:r>
      <w:r>
        <w:rPr>
          <w:rFonts w:hint="eastAsia"/>
        </w:rPr>
        <w:t>2002</w:t>
      </w:r>
      <w:r>
        <w:rPr>
          <w:rFonts w:hint="eastAsia"/>
        </w:rPr>
        <w:t>年逐步扩大。在</w:t>
      </w:r>
      <w:r>
        <w:rPr>
          <w:rFonts w:hint="eastAsia"/>
        </w:rPr>
        <w:t>2004</w:t>
      </w:r>
      <w:r>
        <w:rPr>
          <w:rFonts w:hint="eastAsia"/>
        </w:rPr>
        <w:t>年，共有</w:t>
      </w:r>
      <w:r>
        <w:rPr>
          <w:rFonts w:hint="eastAsia"/>
        </w:rPr>
        <w:t>1,028,629</w:t>
      </w:r>
      <w:r>
        <w:rPr>
          <w:rFonts w:hint="eastAsia"/>
        </w:rPr>
        <w:t>人报销了私人牙医医疗服务的费用。</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19</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从</w:t>
      </w:r>
      <w:r>
        <w:rPr>
          <w:rFonts w:ascii="Time New Roman" w:eastAsia="SimHei" w:hAnsi="Time New Roman" w:hint="eastAsia"/>
          <w:b/>
          <w:sz w:val="22"/>
          <w:u w:val="none"/>
        </w:rPr>
        <w:t>1999</w:t>
      </w:r>
      <w:r>
        <w:rPr>
          <w:rFonts w:ascii="Time New Roman" w:eastAsia="SimHei" w:hAnsi="Time New Roman" w:hint="eastAsia"/>
          <w:sz w:val="22"/>
          <w:u w:val="none"/>
        </w:rPr>
        <w:t>年到</w:t>
      </w:r>
      <w:r>
        <w:rPr>
          <w:rFonts w:ascii="Time New Roman" w:eastAsia="SimHei" w:hAnsi="Time New Roman" w:hint="eastAsia"/>
          <w:b/>
          <w:sz w:val="22"/>
          <w:u w:val="none"/>
        </w:rPr>
        <w:t>2003</w:t>
      </w:r>
      <w:r>
        <w:rPr>
          <w:rFonts w:ascii="Time New Roman" w:eastAsia="SimHei" w:hAnsi="Time New Roman" w:hint="eastAsia"/>
          <w:sz w:val="22"/>
          <w:u w:val="none"/>
        </w:rPr>
        <w:t>年报销牙医治疗费用的平均百分比</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年</w:t>
            </w:r>
            <w:r>
              <w:rPr>
                <w:rFonts w:hint="eastAsia"/>
                <w:sz w:val="22"/>
              </w:rPr>
              <w:t xml:space="preserve">  </w:t>
            </w:r>
            <w:r>
              <w:rPr>
                <w:rFonts w:hint="eastAsia"/>
                <w:sz w:val="22"/>
              </w:rPr>
              <w:t>份</w:t>
            </w:r>
          </w:p>
        </w:tc>
        <w:tc>
          <w:tcPr>
            <w:tcW w:w="833" w:type="pct"/>
          </w:tcPr>
          <w:p w:rsidR="00000000" w:rsidRDefault="00000000">
            <w:pPr>
              <w:spacing w:before="120" w:line="288" w:lineRule="auto"/>
              <w:jc w:val="center"/>
              <w:rPr>
                <w:sz w:val="22"/>
              </w:rPr>
            </w:pPr>
            <w:r>
              <w:rPr>
                <w:sz w:val="22"/>
              </w:rPr>
              <w:t>1999</w:t>
            </w:r>
          </w:p>
        </w:tc>
        <w:tc>
          <w:tcPr>
            <w:tcW w:w="833" w:type="pct"/>
          </w:tcPr>
          <w:p w:rsidR="00000000" w:rsidRDefault="00000000">
            <w:pPr>
              <w:spacing w:before="120" w:line="288" w:lineRule="auto"/>
              <w:jc w:val="center"/>
              <w:rPr>
                <w:sz w:val="22"/>
              </w:rPr>
            </w:pPr>
            <w:r>
              <w:rPr>
                <w:sz w:val="22"/>
              </w:rPr>
              <w:t>2000</w:t>
            </w:r>
          </w:p>
        </w:tc>
        <w:tc>
          <w:tcPr>
            <w:tcW w:w="833" w:type="pct"/>
          </w:tcPr>
          <w:p w:rsidR="00000000" w:rsidRDefault="00000000">
            <w:pPr>
              <w:spacing w:before="120" w:line="288" w:lineRule="auto"/>
              <w:jc w:val="center"/>
              <w:rPr>
                <w:sz w:val="22"/>
              </w:rPr>
            </w:pPr>
            <w:r>
              <w:rPr>
                <w:sz w:val="22"/>
              </w:rPr>
              <w:t>2001</w:t>
            </w:r>
          </w:p>
        </w:tc>
        <w:tc>
          <w:tcPr>
            <w:tcW w:w="833" w:type="pct"/>
          </w:tcPr>
          <w:p w:rsidR="00000000" w:rsidRDefault="00000000">
            <w:pPr>
              <w:spacing w:before="120" w:line="288" w:lineRule="auto"/>
              <w:jc w:val="center"/>
              <w:rPr>
                <w:sz w:val="22"/>
              </w:rPr>
            </w:pPr>
            <w:r>
              <w:rPr>
                <w:sz w:val="22"/>
              </w:rPr>
              <w:t>2002</w:t>
            </w:r>
          </w:p>
        </w:tc>
        <w:tc>
          <w:tcPr>
            <w:tcW w:w="833" w:type="pct"/>
          </w:tcPr>
          <w:p w:rsidR="00000000" w:rsidRDefault="00000000">
            <w:pPr>
              <w:spacing w:before="120" w:line="288" w:lineRule="auto"/>
              <w:jc w:val="center"/>
              <w:rPr>
                <w:sz w:val="22"/>
              </w:rPr>
            </w:pPr>
            <w:r>
              <w:rPr>
                <w:sz w:val="22"/>
              </w:rPr>
              <w:t>2003</w:t>
            </w:r>
          </w:p>
        </w:tc>
      </w:tr>
      <w:tr w:rsidR="00000000">
        <w:tblPrEx>
          <w:tblCellMar>
            <w:top w:w="0" w:type="dxa"/>
            <w:bottom w:w="0" w:type="dxa"/>
          </w:tblCellMar>
        </w:tblPrEx>
        <w:trPr>
          <w:jc w:val="center"/>
        </w:trPr>
        <w:tc>
          <w:tcPr>
            <w:tcW w:w="833" w:type="pct"/>
          </w:tcPr>
          <w:p w:rsidR="00000000" w:rsidRDefault="00000000">
            <w:pPr>
              <w:spacing w:before="120" w:line="288" w:lineRule="auto"/>
              <w:jc w:val="center"/>
              <w:rPr>
                <w:rFonts w:hint="eastAsia"/>
                <w:sz w:val="22"/>
              </w:rPr>
            </w:pPr>
            <w:r>
              <w:rPr>
                <w:rFonts w:hint="eastAsia"/>
                <w:sz w:val="22"/>
              </w:rPr>
              <w:t>百分比</w:t>
            </w:r>
          </w:p>
        </w:tc>
        <w:tc>
          <w:tcPr>
            <w:tcW w:w="833" w:type="pct"/>
          </w:tcPr>
          <w:p w:rsidR="00000000" w:rsidRDefault="00000000">
            <w:pPr>
              <w:spacing w:before="120" w:line="288" w:lineRule="auto"/>
              <w:jc w:val="center"/>
              <w:rPr>
                <w:sz w:val="22"/>
              </w:rPr>
            </w:pPr>
            <w:r>
              <w:rPr>
                <w:sz w:val="22"/>
              </w:rPr>
              <w:t>46.9</w:t>
            </w:r>
          </w:p>
        </w:tc>
        <w:tc>
          <w:tcPr>
            <w:tcW w:w="833" w:type="pct"/>
          </w:tcPr>
          <w:p w:rsidR="00000000" w:rsidRDefault="00000000">
            <w:pPr>
              <w:spacing w:before="120" w:line="288" w:lineRule="auto"/>
              <w:jc w:val="center"/>
              <w:rPr>
                <w:sz w:val="22"/>
              </w:rPr>
            </w:pPr>
            <w:r>
              <w:rPr>
                <w:sz w:val="22"/>
              </w:rPr>
              <w:t>45.1</w:t>
            </w:r>
          </w:p>
        </w:tc>
        <w:tc>
          <w:tcPr>
            <w:tcW w:w="833" w:type="pct"/>
          </w:tcPr>
          <w:p w:rsidR="00000000" w:rsidRDefault="00000000">
            <w:pPr>
              <w:spacing w:before="120" w:line="288" w:lineRule="auto"/>
              <w:jc w:val="center"/>
              <w:rPr>
                <w:sz w:val="22"/>
              </w:rPr>
            </w:pPr>
            <w:r>
              <w:rPr>
                <w:sz w:val="22"/>
              </w:rPr>
              <w:t>40.7</w:t>
            </w:r>
          </w:p>
        </w:tc>
        <w:tc>
          <w:tcPr>
            <w:tcW w:w="833" w:type="pct"/>
          </w:tcPr>
          <w:p w:rsidR="00000000" w:rsidRDefault="00000000">
            <w:pPr>
              <w:spacing w:before="120" w:line="288" w:lineRule="auto"/>
              <w:jc w:val="center"/>
              <w:rPr>
                <w:sz w:val="22"/>
              </w:rPr>
            </w:pPr>
            <w:r>
              <w:rPr>
                <w:sz w:val="22"/>
              </w:rPr>
              <w:t>38.5</w:t>
            </w:r>
          </w:p>
        </w:tc>
        <w:tc>
          <w:tcPr>
            <w:tcW w:w="833" w:type="pct"/>
          </w:tcPr>
          <w:p w:rsidR="00000000" w:rsidRDefault="00000000">
            <w:pPr>
              <w:spacing w:before="120" w:line="288" w:lineRule="auto"/>
              <w:jc w:val="center"/>
              <w:rPr>
                <w:sz w:val="22"/>
              </w:rPr>
            </w:pPr>
            <w:r>
              <w:rPr>
                <w:sz w:val="22"/>
              </w:rPr>
              <w:t>37.2</w:t>
            </w:r>
          </w:p>
        </w:tc>
      </w:tr>
    </w:tbl>
    <w:p w:rsidR="00000000" w:rsidRDefault="00000000">
      <w:pPr>
        <w:pStyle w:val="Heading3"/>
        <w:spacing w:before="480"/>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c</w:t>
      </w:r>
      <w:r>
        <w:rPr>
          <w:rFonts w:ascii="Time New Roman" w:eastAsia="SimHei" w:hAnsi="Time New Roman" w:hint="eastAsia"/>
          <w:u w:val="none"/>
        </w:rPr>
        <w:t xml:space="preserve">)  </w:t>
      </w:r>
      <w:r>
        <w:rPr>
          <w:rFonts w:ascii="Time New Roman" w:eastAsia="SimHei" w:hAnsi="Time New Roman" w:hint="eastAsia"/>
          <w:u w:val="none"/>
        </w:rPr>
        <w:t>产假津贴</w:t>
      </w:r>
    </w:p>
    <w:p w:rsidR="00000000" w:rsidRDefault="00000000">
      <w:pPr>
        <w:rPr>
          <w:rFonts w:hint="eastAsia"/>
        </w:rPr>
      </w:pPr>
      <w:r>
        <w:rPr>
          <w:rFonts w:hint="eastAsia"/>
        </w:rPr>
        <w:tab/>
        <w:t xml:space="preserve">394.  </w:t>
      </w:r>
      <w:r>
        <w:rPr>
          <w:rFonts w:hint="eastAsia"/>
        </w:rPr>
        <w:t>关于产假津贴和家长津贴。政府提到了以前的定期报告以及以下的信息。</w:t>
      </w:r>
    </w:p>
    <w:p w:rsidR="00000000" w:rsidRDefault="00000000">
      <w:pPr>
        <w:rPr>
          <w:rFonts w:hint="eastAsia"/>
        </w:rPr>
      </w:pPr>
      <w:r>
        <w:rPr>
          <w:rFonts w:hint="eastAsia"/>
        </w:rPr>
        <w:tab/>
        <w:t xml:space="preserve">395.  </w:t>
      </w:r>
      <w:r>
        <w:rPr>
          <w:rFonts w:hint="eastAsia"/>
        </w:rPr>
        <w:t>从</w:t>
      </w:r>
      <w:r>
        <w:rPr>
          <w:rFonts w:hint="eastAsia"/>
        </w:rPr>
        <w:t>2005</w:t>
      </w:r>
      <w:r>
        <w:rPr>
          <w:rFonts w:hint="eastAsia"/>
        </w:rPr>
        <w:t>年年初开始，最低产假、特别产假、陪产假以及家长津贴由</w:t>
      </w:r>
      <w:r>
        <w:rPr>
          <w:rFonts w:hint="eastAsia"/>
        </w:rPr>
        <w:t>11.45</w:t>
      </w:r>
      <w:r>
        <w:rPr>
          <w:rFonts w:hint="eastAsia"/>
        </w:rPr>
        <w:t>欧元提高到</w:t>
      </w:r>
      <w:r>
        <w:rPr>
          <w:rFonts w:hint="eastAsia"/>
        </w:rPr>
        <w:t>15.20</w:t>
      </w:r>
      <w:r>
        <w:rPr>
          <w:rFonts w:hint="eastAsia"/>
        </w:rPr>
        <w:t>欧元。在</w:t>
      </w:r>
      <w:r>
        <w:rPr>
          <w:rFonts w:hint="eastAsia"/>
        </w:rPr>
        <w:t>2004</w:t>
      </w:r>
      <w:r>
        <w:rPr>
          <w:rFonts w:hint="eastAsia"/>
        </w:rPr>
        <w:t>年，共有</w:t>
      </w:r>
      <w:r>
        <w:rPr>
          <w:rFonts w:hint="eastAsia"/>
        </w:rPr>
        <w:t>98,404</w:t>
      </w:r>
      <w:r>
        <w:rPr>
          <w:rFonts w:hint="eastAsia"/>
        </w:rPr>
        <w:t>名母亲和</w:t>
      </w:r>
      <w:r>
        <w:rPr>
          <w:rFonts w:hint="eastAsia"/>
        </w:rPr>
        <w:t>46,947</w:t>
      </w:r>
      <w:r>
        <w:rPr>
          <w:rFonts w:hint="eastAsia"/>
        </w:rPr>
        <w:t>名父亲领取了家长津贴。领取特别产假津贴的是担任危险工作的产妇。</w:t>
      </w:r>
    </w:p>
    <w:p w:rsidR="00000000" w:rsidRDefault="00000000">
      <w:pPr>
        <w:rPr>
          <w:rFonts w:hint="eastAsia"/>
        </w:rPr>
      </w:pPr>
      <w:r>
        <w:rPr>
          <w:rFonts w:hint="eastAsia"/>
        </w:rPr>
        <w:tab/>
        <w:t xml:space="preserve">396.  </w:t>
      </w:r>
      <w:r>
        <w:rPr>
          <w:rFonts w:hint="eastAsia"/>
        </w:rPr>
        <w:t>从</w:t>
      </w:r>
      <w:r>
        <w:rPr>
          <w:rFonts w:hint="eastAsia"/>
        </w:rPr>
        <w:t>2003</w:t>
      </w:r>
      <w:r>
        <w:rPr>
          <w:rFonts w:hint="eastAsia"/>
        </w:rPr>
        <w:t>年年初开始，</w:t>
      </w:r>
      <w:r>
        <w:rPr>
          <w:rFonts w:hint="eastAsia"/>
        </w:rPr>
        <w:t>18</w:t>
      </w:r>
      <w:r>
        <w:rPr>
          <w:rFonts w:hint="eastAsia"/>
        </w:rPr>
        <w:t>天的陪产假延长了</w:t>
      </w:r>
      <w:r>
        <w:rPr>
          <w:rFonts w:hint="eastAsia"/>
        </w:rPr>
        <w:t>12</w:t>
      </w:r>
      <w:r>
        <w:rPr>
          <w:rFonts w:hint="eastAsia"/>
        </w:rPr>
        <w:t>天，但是产妇的丈夫必须至少休陪产假</w:t>
      </w:r>
      <w:r>
        <w:rPr>
          <w:rFonts w:hint="eastAsia"/>
        </w:rPr>
        <w:t>12</w:t>
      </w:r>
      <w:r>
        <w:rPr>
          <w:rFonts w:hint="eastAsia"/>
        </w:rPr>
        <w:t>天，并且随后立即延长</w:t>
      </w:r>
      <w:r>
        <w:rPr>
          <w:rFonts w:hint="eastAsia"/>
        </w:rPr>
        <w:t>12</w:t>
      </w:r>
      <w:r>
        <w:rPr>
          <w:rFonts w:hint="eastAsia"/>
        </w:rPr>
        <w:t>天假期。因此，共有连续假期</w:t>
      </w:r>
      <w:r>
        <w:rPr>
          <w:rFonts w:hint="eastAsia"/>
        </w:rPr>
        <w:t>24</w:t>
      </w:r>
      <w:r>
        <w:rPr>
          <w:rFonts w:hint="eastAsia"/>
        </w:rPr>
        <w:t>天。</w:t>
      </w:r>
    </w:p>
    <w:p w:rsidR="00000000" w:rsidRDefault="00000000">
      <w:pPr>
        <w:rPr>
          <w:rFonts w:hint="eastAsia"/>
        </w:rPr>
      </w:pPr>
      <w:r>
        <w:rPr>
          <w:rFonts w:hint="eastAsia"/>
        </w:rPr>
        <w:tab/>
        <w:t xml:space="preserve">397.  </w:t>
      </w:r>
      <w:r>
        <w:rPr>
          <w:rFonts w:hint="eastAsia"/>
        </w:rPr>
        <w:t>从</w:t>
      </w:r>
      <w:r>
        <w:rPr>
          <w:rFonts w:hint="eastAsia"/>
        </w:rPr>
        <w:t>2003</w:t>
      </w:r>
      <w:r>
        <w:rPr>
          <w:rFonts w:hint="eastAsia"/>
        </w:rPr>
        <w:t>年以来，非全日制的职工也能享受家长假，这样父母就能在同一时间休假。私营企业家也有权领取家长津贴。</w:t>
      </w:r>
    </w:p>
    <w:p w:rsidR="00000000" w:rsidRDefault="00000000">
      <w:pPr>
        <w:spacing w:after="320"/>
        <w:rPr>
          <w:rFonts w:hint="eastAsia"/>
          <w:spacing w:val="8"/>
        </w:rPr>
      </w:pPr>
      <w:r>
        <w:rPr>
          <w:rFonts w:hint="eastAsia"/>
        </w:rPr>
        <w:tab/>
        <w:t xml:space="preserve">398.  </w:t>
      </w:r>
      <w:r>
        <w:rPr>
          <w:rFonts w:hint="eastAsia"/>
          <w:spacing w:val="8"/>
        </w:rPr>
        <w:t>从</w:t>
      </w:r>
      <w:r>
        <w:rPr>
          <w:rFonts w:hint="eastAsia"/>
          <w:spacing w:val="8"/>
        </w:rPr>
        <w:t>2001</w:t>
      </w:r>
      <w:r>
        <w:rPr>
          <w:rFonts w:hint="eastAsia"/>
          <w:spacing w:val="8"/>
        </w:rPr>
        <w:t>年</w:t>
      </w:r>
      <w:r>
        <w:rPr>
          <w:rFonts w:hint="eastAsia"/>
          <w:spacing w:val="8"/>
        </w:rPr>
        <w:t>3</w:t>
      </w:r>
      <w:r>
        <w:rPr>
          <w:rFonts w:hint="eastAsia"/>
          <w:spacing w:val="8"/>
        </w:rPr>
        <w:t>月</w:t>
      </w:r>
      <w:r>
        <w:rPr>
          <w:rFonts w:hint="eastAsia"/>
          <w:spacing w:val="8"/>
        </w:rPr>
        <w:t>1</w:t>
      </w:r>
      <w:r>
        <w:rPr>
          <w:rFonts w:hint="eastAsia"/>
          <w:spacing w:val="8"/>
        </w:rPr>
        <w:t>日开始，产假津贴的发放对象有所扩大，</w:t>
      </w:r>
      <w:r>
        <w:rPr>
          <w:rFonts w:hint="eastAsia"/>
          <w:spacing w:val="8"/>
        </w:rPr>
        <w:t>18</w:t>
      </w:r>
      <w:r>
        <w:rPr>
          <w:rFonts w:hint="eastAsia"/>
          <w:spacing w:val="8"/>
        </w:rPr>
        <w:t>岁以下儿童的养父母都有权领取产假津贴。以前的有关规定只适用于</w:t>
      </w:r>
      <w:r>
        <w:rPr>
          <w:rFonts w:hint="eastAsia"/>
          <w:spacing w:val="8"/>
        </w:rPr>
        <w:t>1</w:t>
      </w:r>
      <w:r>
        <w:rPr>
          <w:rFonts w:hint="eastAsia"/>
          <w:spacing w:val="8"/>
        </w:rPr>
        <w:t>岁以下的儿童。产假津贴的金额在</w:t>
      </w:r>
      <w:r>
        <w:rPr>
          <w:rFonts w:hint="eastAsia"/>
          <w:spacing w:val="8"/>
        </w:rPr>
        <w:t>2002</w:t>
      </w:r>
      <w:r>
        <w:rPr>
          <w:rFonts w:hint="eastAsia"/>
          <w:spacing w:val="8"/>
        </w:rPr>
        <w:t>年提高到了</w:t>
      </w:r>
      <w:r>
        <w:rPr>
          <w:rFonts w:hint="eastAsia"/>
          <w:spacing w:val="8"/>
        </w:rPr>
        <w:t>140</w:t>
      </w:r>
      <w:r>
        <w:rPr>
          <w:rFonts w:hint="eastAsia"/>
          <w:spacing w:val="8"/>
        </w:rPr>
        <w:t>欧元。在</w:t>
      </w:r>
      <w:r>
        <w:rPr>
          <w:rFonts w:hint="eastAsia"/>
          <w:spacing w:val="8"/>
        </w:rPr>
        <w:t>2004</w:t>
      </w:r>
      <w:r>
        <w:rPr>
          <w:rFonts w:hint="eastAsia"/>
          <w:spacing w:val="8"/>
        </w:rPr>
        <w:t>年，共有</w:t>
      </w:r>
      <w:r>
        <w:rPr>
          <w:rFonts w:hint="eastAsia"/>
          <w:spacing w:val="8"/>
        </w:rPr>
        <w:t>56,497</w:t>
      </w:r>
      <w:r>
        <w:rPr>
          <w:rFonts w:hint="eastAsia"/>
          <w:spacing w:val="8"/>
        </w:rPr>
        <w:t>人领取了产假津贴。</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d</w:t>
      </w:r>
      <w:r>
        <w:rPr>
          <w:rFonts w:ascii="Time New Roman" w:eastAsia="SimHei" w:hAnsi="Time New Roman" w:hint="eastAsia"/>
          <w:u w:val="none"/>
        </w:rPr>
        <w:t xml:space="preserve">)  </w:t>
      </w:r>
      <w:r>
        <w:rPr>
          <w:rFonts w:ascii="Time New Roman" w:eastAsia="SimHei" w:hAnsi="Time New Roman" w:hint="eastAsia"/>
          <w:u w:val="none"/>
        </w:rPr>
        <w:t>老年津贴</w:t>
      </w:r>
    </w:p>
    <w:p w:rsidR="00000000" w:rsidRDefault="00000000">
      <w:pPr>
        <w:rPr>
          <w:rFonts w:hint="eastAsia"/>
        </w:rPr>
      </w:pPr>
      <w:r>
        <w:rPr>
          <w:rFonts w:hint="eastAsia"/>
        </w:rPr>
        <w:tab/>
        <w:t xml:space="preserve">399.  </w:t>
      </w:r>
      <w:r>
        <w:rPr>
          <w:rFonts w:hint="eastAsia"/>
        </w:rPr>
        <w:t>在改革《宪法》中有关基本权利的规定方面，已经就地方政府的退休制度制定了法律。除其他外，《地方政府雇员退休法》</w:t>
      </w:r>
      <w:r>
        <w:rPr>
          <w:rFonts w:hint="eastAsia"/>
        </w:rPr>
        <w:t>(549/2003)</w:t>
      </w:r>
      <w:r>
        <w:rPr>
          <w:rFonts w:hint="eastAsia"/>
        </w:rPr>
        <w:t>载有关于退休金保障、退休金权利、退休金的确定、家庭退休金、填写退休金申请书、有关退休金的初步裁定、退休金的发放以及上诉等事项的规定。</w:t>
      </w:r>
    </w:p>
    <w:p w:rsidR="00000000" w:rsidRDefault="00000000">
      <w:pPr>
        <w:rPr>
          <w:rFonts w:hint="eastAsia"/>
        </w:rPr>
      </w:pPr>
      <w:r>
        <w:rPr>
          <w:rFonts w:hint="eastAsia"/>
        </w:rPr>
        <w:tab/>
        <w:t xml:space="preserve">400.  </w:t>
      </w:r>
      <w:r>
        <w:rPr>
          <w:rFonts w:hint="eastAsia"/>
        </w:rPr>
        <w:t>为了实现有关退休金政策的目标，从</w:t>
      </w:r>
      <w:r>
        <w:rPr>
          <w:rFonts w:hint="eastAsia"/>
        </w:rPr>
        <w:t>2005</w:t>
      </w:r>
      <w:r>
        <w:rPr>
          <w:rFonts w:hint="eastAsia"/>
        </w:rPr>
        <w:t>年</w:t>
      </w:r>
      <w:r>
        <w:rPr>
          <w:rFonts w:hint="eastAsia"/>
        </w:rPr>
        <w:t>1</w:t>
      </w:r>
      <w:r>
        <w:rPr>
          <w:rFonts w:hint="eastAsia"/>
        </w:rPr>
        <w:t>月开始，地方政府对其退休金制度进行了类似私营部门的改革。</w:t>
      </w:r>
    </w:p>
    <w:p w:rsidR="00000000" w:rsidRDefault="00000000">
      <w:pPr>
        <w:rPr>
          <w:rFonts w:hint="eastAsia"/>
        </w:rPr>
      </w:pPr>
      <w:r>
        <w:rPr>
          <w:rFonts w:hint="eastAsia"/>
        </w:rPr>
        <w:tab/>
        <w:t xml:space="preserve">401.  </w:t>
      </w:r>
      <w:r>
        <w:rPr>
          <w:rFonts w:hint="eastAsia"/>
        </w:rPr>
        <w:t>在本报告所涉期间，没有对国家退休金制度进行任何重大的结构改革。</w:t>
      </w:r>
    </w:p>
    <w:p w:rsidR="00000000" w:rsidRDefault="00000000">
      <w:pPr>
        <w:widowControl w:val="0"/>
        <w:rPr>
          <w:rFonts w:hint="eastAsia"/>
        </w:rPr>
      </w:pPr>
      <w:r>
        <w:rPr>
          <w:rFonts w:hint="eastAsia"/>
        </w:rPr>
        <w:tab/>
        <w:t xml:space="preserve">402.  </w:t>
      </w:r>
      <w:r>
        <w:rPr>
          <w:rFonts w:hint="eastAsia"/>
        </w:rPr>
        <w:t>在</w:t>
      </w:r>
      <w:r>
        <w:rPr>
          <w:rFonts w:hint="eastAsia"/>
        </w:rPr>
        <w:t>2003</w:t>
      </w:r>
      <w:r>
        <w:rPr>
          <w:rFonts w:hint="eastAsia"/>
        </w:rPr>
        <w:t>年，将向移民发放一种新的财政支助：移民特别津贴。这种津贴确保老年移民以及丧失工作能力的移民具有收入，因为否则地方政府就必须向他们支付长期的收入津贴。领取这种津贴的条件是：必须年过</w:t>
      </w:r>
      <w:r>
        <w:rPr>
          <w:rFonts w:hint="eastAsia"/>
        </w:rPr>
        <w:t>65</w:t>
      </w:r>
      <w:r>
        <w:rPr>
          <w:rFonts w:hint="eastAsia"/>
        </w:rPr>
        <w:t>岁或者丧失工作能力。此外，还规定移民在首次领取这种津贴之前，至少已经在芬兰居住</w:t>
      </w:r>
      <w:r>
        <w:rPr>
          <w:rFonts w:hint="eastAsia"/>
        </w:rPr>
        <w:t>5</w:t>
      </w:r>
      <w:r>
        <w:rPr>
          <w:rFonts w:hint="eastAsia"/>
        </w:rPr>
        <w:t>年。这种津贴的最高限额与国家退休金的金额相同。</w:t>
      </w:r>
    </w:p>
    <w:p w:rsidR="00000000" w:rsidRDefault="00000000">
      <w:pPr>
        <w:rPr>
          <w:rFonts w:hint="eastAsia"/>
        </w:rPr>
      </w:pPr>
      <w:r>
        <w:rPr>
          <w:rFonts w:hint="eastAsia"/>
        </w:rPr>
        <w:tab/>
        <w:t xml:space="preserve">403.  </w:t>
      </w:r>
      <w:r>
        <w:rPr>
          <w:rFonts w:hint="eastAsia"/>
        </w:rPr>
        <w:t>从</w:t>
      </w:r>
      <w:r>
        <w:rPr>
          <w:rFonts w:hint="eastAsia"/>
        </w:rPr>
        <w:t>2005</w:t>
      </w:r>
      <w:r>
        <w:rPr>
          <w:rFonts w:hint="eastAsia"/>
        </w:rPr>
        <w:t>年</w:t>
      </w:r>
      <w:r>
        <w:rPr>
          <w:rFonts w:hint="eastAsia"/>
        </w:rPr>
        <w:t>1</w:t>
      </w:r>
      <w:r>
        <w:rPr>
          <w:rFonts w:hint="eastAsia"/>
        </w:rPr>
        <w:t>月开始，已经对同收入有关的退休金制度进行了改革。在这一方面，政府提到了在下文有关社会保障改革的第七节中所提供的信息。</w:t>
      </w:r>
    </w:p>
    <w:p w:rsidR="00000000" w:rsidRDefault="00000000">
      <w:pPr>
        <w:spacing w:after="320"/>
        <w:rPr>
          <w:rFonts w:hint="eastAsia"/>
        </w:rPr>
      </w:pPr>
      <w:r>
        <w:rPr>
          <w:rFonts w:hint="eastAsia"/>
        </w:rPr>
        <w:tab/>
        <w:t xml:space="preserve">404.  </w:t>
      </w:r>
      <w:r>
        <w:rPr>
          <w:rFonts w:hint="eastAsia"/>
        </w:rPr>
        <w:t>在</w:t>
      </w:r>
      <w:r>
        <w:rPr>
          <w:rFonts w:hint="eastAsia"/>
        </w:rPr>
        <w:t>2003</w:t>
      </w:r>
      <w:r>
        <w:rPr>
          <w:rFonts w:hint="eastAsia"/>
        </w:rPr>
        <w:t>年，共有</w:t>
      </w:r>
      <w:r>
        <w:rPr>
          <w:rFonts w:hint="eastAsia"/>
        </w:rPr>
        <w:t>901,931</w:t>
      </w:r>
      <w:r>
        <w:rPr>
          <w:rFonts w:hint="eastAsia"/>
        </w:rPr>
        <w:t>人有权领取老年津贴。</w:t>
      </w:r>
      <w:r>
        <w:rPr>
          <w:rFonts w:hint="eastAsia"/>
        </w:rPr>
        <w:t>2003</w:t>
      </w:r>
      <w:r>
        <w:rPr>
          <w:rFonts w:hint="eastAsia"/>
        </w:rPr>
        <w:t>年领取退休金人的总数和</w:t>
      </w:r>
      <w:r>
        <w:rPr>
          <w:rFonts w:hint="eastAsia"/>
        </w:rPr>
        <w:t>1,329,988</w:t>
      </w:r>
      <w:r>
        <w:rPr>
          <w:rFonts w:hint="eastAsia"/>
        </w:rPr>
        <w:t>。其中，</w:t>
      </w:r>
      <w:r>
        <w:rPr>
          <w:rFonts w:hint="eastAsia"/>
        </w:rPr>
        <w:t>1,275,564</w:t>
      </w:r>
      <w:r>
        <w:rPr>
          <w:rFonts w:hint="eastAsia"/>
        </w:rPr>
        <w:t>人在芬兰有长期住所，占人口总数的</w:t>
      </w:r>
      <w:r>
        <w:rPr>
          <w:rFonts w:hint="eastAsia"/>
        </w:rPr>
        <w:t>24.4%</w:t>
      </w:r>
      <w:r>
        <w:rPr>
          <w:rFonts w:hint="eastAsia"/>
        </w:rPr>
        <w:t>。</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e</w:t>
      </w:r>
      <w:r>
        <w:rPr>
          <w:rFonts w:ascii="Time New Roman" w:eastAsia="SimHei" w:hAnsi="Time New Roman" w:hint="eastAsia"/>
          <w:u w:val="none"/>
        </w:rPr>
        <w:t xml:space="preserve">)  </w:t>
      </w:r>
      <w:r>
        <w:rPr>
          <w:rFonts w:ascii="Time New Roman" w:eastAsia="SimHei" w:hAnsi="Time New Roman" w:hint="eastAsia"/>
          <w:u w:val="none"/>
        </w:rPr>
        <w:t>残疾津贴</w:t>
      </w:r>
    </w:p>
    <w:p w:rsidR="00000000" w:rsidRDefault="00000000">
      <w:pPr>
        <w:rPr>
          <w:rFonts w:hint="eastAsia"/>
        </w:rPr>
      </w:pPr>
      <w:r>
        <w:rPr>
          <w:rFonts w:hint="eastAsia"/>
        </w:rPr>
        <w:tab/>
        <w:t xml:space="preserve">405.  </w:t>
      </w:r>
      <w:r>
        <w:rPr>
          <w:rFonts w:hint="eastAsia"/>
        </w:rPr>
        <w:t>在本报告所涉期间，作为丧失劳动能力期间收入基本来源的残疾津贴的结构没有任何变化。</w:t>
      </w:r>
    </w:p>
    <w:p w:rsidR="00000000" w:rsidRDefault="00000000">
      <w:pPr>
        <w:rPr>
          <w:rFonts w:hint="eastAsia"/>
        </w:rPr>
      </w:pPr>
      <w:r>
        <w:rPr>
          <w:rFonts w:hint="eastAsia"/>
        </w:rPr>
        <w:tab/>
        <w:t xml:space="preserve">406.  </w:t>
      </w:r>
      <w:r>
        <w:rPr>
          <w:rFonts w:hint="eastAsia"/>
        </w:rPr>
        <w:t>然而，由于同收入有关的退休制度的改革，领取残疾津贴的条件有所改变，其理由已在下文第</w:t>
      </w:r>
      <w:r>
        <w:rPr>
          <w:rFonts w:hint="eastAsia"/>
        </w:rPr>
        <w:t>7</w:t>
      </w:r>
      <w:r>
        <w:rPr>
          <w:rFonts w:hint="eastAsia"/>
        </w:rPr>
        <w:t>点中解释。</w:t>
      </w:r>
    </w:p>
    <w:p w:rsidR="00000000" w:rsidRDefault="00000000">
      <w:pPr>
        <w:spacing w:after="240"/>
        <w:rPr>
          <w:rFonts w:hint="eastAsia"/>
          <w:spacing w:val="4"/>
        </w:rPr>
      </w:pPr>
      <w:r>
        <w:rPr>
          <w:rFonts w:hint="eastAsia"/>
        </w:rPr>
        <w:tab/>
        <w:t xml:space="preserve">407.  </w:t>
      </w:r>
      <w:r>
        <w:rPr>
          <w:rFonts w:hint="eastAsia"/>
          <w:spacing w:val="4"/>
        </w:rPr>
        <w:t>在</w:t>
      </w:r>
      <w:r>
        <w:rPr>
          <w:rFonts w:hint="eastAsia"/>
          <w:spacing w:val="4"/>
        </w:rPr>
        <w:t>2003</w:t>
      </w:r>
      <w:r>
        <w:rPr>
          <w:rFonts w:hint="eastAsia"/>
          <w:spacing w:val="4"/>
        </w:rPr>
        <w:t>年，共有</w:t>
      </w:r>
      <w:r>
        <w:rPr>
          <w:rFonts w:hint="eastAsia"/>
          <w:spacing w:val="4"/>
        </w:rPr>
        <w:t>267,140</w:t>
      </w:r>
      <w:r>
        <w:rPr>
          <w:rFonts w:hint="eastAsia"/>
          <w:spacing w:val="4"/>
        </w:rPr>
        <w:t>人领取了残疾津贴，其平均金额为每月</w:t>
      </w:r>
      <w:r>
        <w:rPr>
          <w:rFonts w:hint="eastAsia"/>
          <w:spacing w:val="4"/>
        </w:rPr>
        <w:t>953</w:t>
      </w:r>
      <w:r>
        <w:rPr>
          <w:rFonts w:hint="eastAsia"/>
          <w:spacing w:val="4"/>
        </w:rPr>
        <w:t>欧元。</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20</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2003</w:t>
      </w:r>
      <w:r>
        <w:rPr>
          <w:rFonts w:ascii="Time New Roman" w:eastAsia="SimHei" w:hAnsi="Time New Roman" w:hint="eastAsia"/>
          <w:sz w:val="22"/>
          <w:u w:val="none"/>
        </w:rPr>
        <w:t>年</w:t>
      </w:r>
      <w:r>
        <w:rPr>
          <w:rFonts w:ascii="Time New Roman" w:eastAsia="SimHei" w:hAnsi="Time New Roman" w:hint="eastAsia"/>
          <w:b/>
          <w:sz w:val="22"/>
          <w:u w:val="none"/>
        </w:rPr>
        <w:t>12</w:t>
      </w:r>
      <w:r>
        <w:rPr>
          <w:rFonts w:ascii="Time New Roman" w:eastAsia="SimHei" w:hAnsi="Time New Roman" w:hint="eastAsia"/>
          <w:sz w:val="22"/>
          <w:u w:val="none"/>
        </w:rPr>
        <w:t>月</w:t>
      </w:r>
      <w:r>
        <w:rPr>
          <w:rFonts w:ascii="Time New Roman" w:eastAsia="SimHei" w:hAnsi="Time New Roman" w:hint="eastAsia"/>
          <w:b/>
          <w:sz w:val="22"/>
          <w:u w:val="none"/>
        </w:rPr>
        <w:t>31</w:t>
      </w:r>
      <w:r>
        <w:rPr>
          <w:rFonts w:ascii="Time New Roman" w:eastAsia="SimHei" w:hAnsi="Time New Roman" w:hint="eastAsia"/>
          <w:sz w:val="22"/>
          <w:u w:val="none"/>
        </w:rPr>
        <w:t>日按年龄分列的残疾津贴的受益人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7"/>
        <w:gridCol w:w="1197"/>
        <w:gridCol w:w="1196"/>
        <w:gridCol w:w="1196"/>
        <w:gridCol w:w="1196"/>
        <w:gridCol w:w="1196"/>
        <w:gridCol w:w="1196"/>
        <w:gridCol w:w="1196"/>
      </w:tblGrid>
      <w:tr w:rsidR="00000000">
        <w:tblPrEx>
          <w:tblCellMar>
            <w:top w:w="0" w:type="dxa"/>
            <w:bottom w:w="0" w:type="dxa"/>
          </w:tblCellMar>
        </w:tblPrEx>
        <w:tc>
          <w:tcPr>
            <w:tcW w:w="625" w:type="pct"/>
          </w:tcPr>
          <w:p w:rsidR="00000000" w:rsidRDefault="00000000">
            <w:pPr>
              <w:spacing w:before="120" w:line="288" w:lineRule="auto"/>
              <w:jc w:val="center"/>
              <w:rPr>
                <w:rFonts w:hint="eastAsia"/>
                <w:sz w:val="22"/>
              </w:rPr>
            </w:pPr>
            <w:r>
              <w:rPr>
                <w:rFonts w:hint="eastAsia"/>
                <w:sz w:val="22"/>
              </w:rPr>
              <w:t>年</w:t>
            </w:r>
            <w:r>
              <w:rPr>
                <w:rFonts w:hint="eastAsia"/>
                <w:sz w:val="22"/>
              </w:rPr>
              <w:t xml:space="preserve">  </w:t>
            </w:r>
            <w:r>
              <w:rPr>
                <w:rFonts w:hint="eastAsia"/>
                <w:sz w:val="22"/>
              </w:rPr>
              <w:t>龄</w:t>
            </w:r>
          </w:p>
        </w:tc>
        <w:tc>
          <w:tcPr>
            <w:tcW w:w="625" w:type="pct"/>
          </w:tcPr>
          <w:p w:rsidR="00000000" w:rsidRDefault="00000000">
            <w:pPr>
              <w:spacing w:before="120" w:line="288" w:lineRule="auto"/>
              <w:jc w:val="center"/>
              <w:rPr>
                <w:sz w:val="22"/>
              </w:rPr>
            </w:pPr>
            <w:r>
              <w:rPr>
                <w:sz w:val="22"/>
              </w:rPr>
              <w:t>-19</w:t>
            </w:r>
          </w:p>
        </w:tc>
        <w:tc>
          <w:tcPr>
            <w:tcW w:w="625" w:type="pct"/>
          </w:tcPr>
          <w:p w:rsidR="00000000" w:rsidRDefault="00000000">
            <w:pPr>
              <w:spacing w:before="120" w:line="288" w:lineRule="auto"/>
              <w:jc w:val="center"/>
              <w:rPr>
                <w:sz w:val="22"/>
              </w:rPr>
            </w:pPr>
            <w:r>
              <w:rPr>
                <w:sz w:val="22"/>
              </w:rPr>
              <w:t>20-44</w:t>
            </w:r>
          </w:p>
        </w:tc>
        <w:tc>
          <w:tcPr>
            <w:tcW w:w="625" w:type="pct"/>
          </w:tcPr>
          <w:p w:rsidR="00000000" w:rsidRDefault="00000000">
            <w:pPr>
              <w:spacing w:before="120" w:line="288" w:lineRule="auto"/>
              <w:jc w:val="center"/>
              <w:rPr>
                <w:sz w:val="22"/>
              </w:rPr>
            </w:pPr>
            <w:r>
              <w:rPr>
                <w:sz w:val="22"/>
              </w:rPr>
              <w:t>45-54</w:t>
            </w:r>
          </w:p>
        </w:tc>
        <w:tc>
          <w:tcPr>
            <w:tcW w:w="625" w:type="pct"/>
          </w:tcPr>
          <w:p w:rsidR="00000000" w:rsidRDefault="00000000">
            <w:pPr>
              <w:spacing w:before="120" w:line="288" w:lineRule="auto"/>
              <w:jc w:val="center"/>
              <w:rPr>
                <w:sz w:val="22"/>
              </w:rPr>
            </w:pPr>
            <w:r>
              <w:rPr>
                <w:sz w:val="22"/>
              </w:rPr>
              <w:t>55-59</w:t>
            </w:r>
          </w:p>
        </w:tc>
        <w:tc>
          <w:tcPr>
            <w:tcW w:w="625" w:type="pct"/>
          </w:tcPr>
          <w:p w:rsidR="00000000" w:rsidRDefault="00000000">
            <w:pPr>
              <w:spacing w:before="120" w:line="288" w:lineRule="auto"/>
              <w:jc w:val="center"/>
              <w:rPr>
                <w:sz w:val="22"/>
              </w:rPr>
            </w:pPr>
            <w:r>
              <w:rPr>
                <w:sz w:val="22"/>
              </w:rPr>
              <w:t>60-64</w:t>
            </w:r>
          </w:p>
        </w:tc>
        <w:tc>
          <w:tcPr>
            <w:tcW w:w="625" w:type="pct"/>
          </w:tcPr>
          <w:p w:rsidR="00000000" w:rsidRDefault="00000000">
            <w:pPr>
              <w:spacing w:before="120" w:line="288" w:lineRule="auto"/>
              <w:jc w:val="center"/>
              <w:rPr>
                <w:sz w:val="22"/>
              </w:rPr>
            </w:pPr>
            <w:r>
              <w:rPr>
                <w:sz w:val="22"/>
              </w:rPr>
              <w:t>65-</w:t>
            </w:r>
          </w:p>
        </w:tc>
        <w:tc>
          <w:tcPr>
            <w:tcW w:w="625" w:type="pct"/>
          </w:tcPr>
          <w:p w:rsidR="00000000" w:rsidRDefault="00000000">
            <w:pPr>
              <w:spacing w:before="120" w:line="288" w:lineRule="auto"/>
              <w:jc w:val="center"/>
              <w:rPr>
                <w:rFonts w:hint="eastAsia"/>
                <w:sz w:val="22"/>
              </w:rPr>
            </w:pPr>
            <w:r>
              <w:rPr>
                <w:rFonts w:hint="eastAsia"/>
                <w:sz w:val="22"/>
              </w:rPr>
              <w:t>共</w:t>
            </w:r>
            <w:r>
              <w:rPr>
                <w:rFonts w:hint="eastAsia"/>
                <w:sz w:val="22"/>
              </w:rPr>
              <w:t xml:space="preserve">  </w:t>
            </w:r>
            <w:r>
              <w:rPr>
                <w:rFonts w:hint="eastAsia"/>
                <w:sz w:val="22"/>
              </w:rPr>
              <w:t>计</w:t>
            </w:r>
          </w:p>
        </w:tc>
      </w:tr>
      <w:tr w:rsidR="00000000">
        <w:tblPrEx>
          <w:tblCellMar>
            <w:top w:w="0" w:type="dxa"/>
            <w:bottom w:w="0" w:type="dxa"/>
          </w:tblCellMar>
        </w:tblPrEx>
        <w:tc>
          <w:tcPr>
            <w:tcW w:w="625" w:type="pct"/>
          </w:tcPr>
          <w:p w:rsidR="00000000" w:rsidRDefault="00000000">
            <w:pPr>
              <w:spacing w:before="120" w:line="288" w:lineRule="auto"/>
              <w:jc w:val="center"/>
              <w:rPr>
                <w:rFonts w:hint="eastAsia"/>
                <w:sz w:val="22"/>
              </w:rPr>
            </w:pPr>
            <w:r>
              <w:rPr>
                <w:rFonts w:hint="eastAsia"/>
                <w:sz w:val="22"/>
              </w:rPr>
              <w:t>金</w:t>
            </w:r>
            <w:r>
              <w:rPr>
                <w:rFonts w:hint="eastAsia"/>
                <w:sz w:val="22"/>
              </w:rPr>
              <w:t xml:space="preserve">  </w:t>
            </w:r>
            <w:r>
              <w:rPr>
                <w:rFonts w:hint="eastAsia"/>
                <w:sz w:val="22"/>
              </w:rPr>
              <w:t>额</w:t>
            </w:r>
          </w:p>
        </w:tc>
        <w:tc>
          <w:tcPr>
            <w:tcW w:w="625" w:type="pct"/>
          </w:tcPr>
          <w:p w:rsidR="00000000" w:rsidRDefault="00000000">
            <w:pPr>
              <w:spacing w:before="120" w:line="288" w:lineRule="auto"/>
              <w:jc w:val="center"/>
              <w:rPr>
                <w:sz w:val="22"/>
              </w:rPr>
            </w:pPr>
            <w:r>
              <w:rPr>
                <w:sz w:val="22"/>
              </w:rPr>
              <w:t>691</w:t>
            </w:r>
          </w:p>
        </w:tc>
        <w:tc>
          <w:tcPr>
            <w:tcW w:w="625" w:type="pct"/>
          </w:tcPr>
          <w:p w:rsidR="00000000" w:rsidRDefault="00000000">
            <w:pPr>
              <w:spacing w:before="120" w:line="288" w:lineRule="auto"/>
              <w:jc w:val="center"/>
              <w:rPr>
                <w:sz w:val="22"/>
              </w:rPr>
            </w:pPr>
            <w:r>
              <w:rPr>
                <w:sz w:val="22"/>
              </w:rPr>
              <w:t>42 663</w:t>
            </w:r>
          </w:p>
        </w:tc>
        <w:tc>
          <w:tcPr>
            <w:tcW w:w="625" w:type="pct"/>
          </w:tcPr>
          <w:p w:rsidR="00000000" w:rsidRDefault="00000000">
            <w:pPr>
              <w:spacing w:before="120" w:line="288" w:lineRule="auto"/>
              <w:jc w:val="center"/>
              <w:rPr>
                <w:sz w:val="22"/>
              </w:rPr>
            </w:pPr>
            <w:r>
              <w:rPr>
                <w:sz w:val="22"/>
              </w:rPr>
              <w:t>70 003</w:t>
            </w:r>
          </w:p>
        </w:tc>
        <w:tc>
          <w:tcPr>
            <w:tcW w:w="625" w:type="pct"/>
          </w:tcPr>
          <w:p w:rsidR="00000000" w:rsidRDefault="00000000">
            <w:pPr>
              <w:spacing w:before="120" w:line="288" w:lineRule="auto"/>
              <w:jc w:val="center"/>
              <w:rPr>
                <w:sz w:val="22"/>
              </w:rPr>
            </w:pPr>
            <w:r>
              <w:rPr>
                <w:sz w:val="22"/>
              </w:rPr>
              <w:t>71 489</w:t>
            </w:r>
          </w:p>
        </w:tc>
        <w:tc>
          <w:tcPr>
            <w:tcW w:w="625" w:type="pct"/>
          </w:tcPr>
          <w:p w:rsidR="00000000" w:rsidRDefault="00000000">
            <w:pPr>
              <w:spacing w:before="120" w:line="288" w:lineRule="auto"/>
              <w:jc w:val="center"/>
              <w:rPr>
                <w:sz w:val="22"/>
              </w:rPr>
            </w:pPr>
            <w:r>
              <w:rPr>
                <w:sz w:val="22"/>
              </w:rPr>
              <w:t>82 294</w:t>
            </w:r>
          </w:p>
        </w:tc>
        <w:tc>
          <w:tcPr>
            <w:tcW w:w="625" w:type="pct"/>
          </w:tcPr>
          <w:p w:rsidR="00000000" w:rsidRDefault="00000000">
            <w:pPr>
              <w:spacing w:before="120" w:line="288" w:lineRule="auto"/>
              <w:jc w:val="center"/>
              <w:rPr>
                <w:sz w:val="22"/>
              </w:rPr>
            </w:pPr>
            <w:r>
              <w:rPr>
                <w:sz w:val="22"/>
              </w:rPr>
              <w:t>-</w:t>
            </w:r>
          </w:p>
        </w:tc>
        <w:tc>
          <w:tcPr>
            <w:tcW w:w="625" w:type="pct"/>
          </w:tcPr>
          <w:p w:rsidR="00000000" w:rsidRDefault="00000000">
            <w:pPr>
              <w:spacing w:before="120" w:line="288" w:lineRule="auto"/>
              <w:jc w:val="center"/>
              <w:rPr>
                <w:sz w:val="22"/>
              </w:rPr>
            </w:pPr>
            <w:r>
              <w:rPr>
                <w:sz w:val="22"/>
              </w:rPr>
              <w:t>267 140</w:t>
            </w:r>
          </w:p>
        </w:tc>
      </w:tr>
    </w:tbl>
    <w:p w:rsidR="00000000" w:rsidRDefault="00000000">
      <w:pPr>
        <w:pStyle w:val="Heading3"/>
        <w:spacing w:before="480" w:after="240"/>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f</w:t>
      </w:r>
      <w:r>
        <w:rPr>
          <w:rFonts w:ascii="Time New Roman" w:eastAsia="SimHei" w:hAnsi="Time New Roman" w:hint="eastAsia"/>
          <w:u w:val="none"/>
        </w:rPr>
        <w:t>)</w:t>
      </w:r>
      <w:r>
        <w:rPr>
          <w:rFonts w:ascii="Time New Roman" w:eastAsia="SimHei" w:hAnsi="Time New Roman"/>
          <w:u w:val="none"/>
        </w:rPr>
        <w:t xml:space="preserve">  </w:t>
      </w:r>
      <w:r>
        <w:rPr>
          <w:rFonts w:ascii="Time New Roman" w:eastAsia="SimHei" w:hAnsi="Time New Roman" w:hint="eastAsia"/>
          <w:u w:val="none"/>
        </w:rPr>
        <w:t>遗属恤金</w:t>
      </w:r>
    </w:p>
    <w:p w:rsidR="00000000" w:rsidRDefault="00000000">
      <w:pPr>
        <w:spacing w:after="320"/>
        <w:rPr>
          <w:rFonts w:hint="eastAsia"/>
        </w:rPr>
      </w:pPr>
      <w:r>
        <w:rPr>
          <w:rFonts w:hint="eastAsia"/>
        </w:rPr>
        <w:tab/>
        <w:t xml:space="preserve">408.  </w:t>
      </w:r>
      <w:r>
        <w:rPr>
          <w:rFonts w:hint="eastAsia"/>
        </w:rPr>
        <w:t>关于遗属恤金，政府提到了上次的定期报告。在</w:t>
      </w:r>
      <w:r>
        <w:rPr>
          <w:rFonts w:hint="eastAsia"/>
        </w:rPr>
        <w:t>2003</w:t>
      </w:r>
      <w:r>
        <w:rPr>
          <w:rFonts w:hint="eastAsia"/>
        </w:rPr>
        <w:t>年，共有</w:t>
      </w:r>
      <w:r>
        <w:rPr>
          <w:rFonts w:hint="eastAsia"/>
        </w:rPr>
        <w:t>259,043</w:t>
      </w:r>
      <w:r>
        <w:rPr>
          <w:rFonts w:hint="eastAsia"/>
        </w:rPr>
        <w:t>领取了未亡配偶津贴，共有</w:t>
      </w:r>
      <w:r>
        <w:rPr>
          <w:rFonts w:hint="eastAsia"/>
        </w:rPr>
        <w:t>26,871</w:t>
      </w:r>
      <w:r>
        <w:rPr>
          <w:rFonts w:hint="eastAsia"/>
        </w:rPr>
        <w:t>人领取了孤儿津贴。未亡配偶津贴的平均数额为每月</w:t>
      </w:r>
      <w:r>
        <w:rPr>
          <w:rFonts w:hint="eastAsia"/>
        </w:rPr>
        <w:t>436</w:t>
      </w:r>
      <w:r>
        <w:rPr>
          <w:rFonts w:hint="eastAsia"/>
        </w:rPr>
        <w:t>欧元；孤儿津贴的平均数额为每月</w:t>
      </w:r>
      <w:r>
        <w:rPr>
          <w:rFonts w:hint="eastAsia"/>
        </w:rPr>
        <w:t>275</w:t>
      </w:r>
      <w:r>
        <w:rPr>
          <w:rFonts w:hint="eastAsia"/>
        </w:rPr>
        <w:t>欧元。</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g</w:t>
      </w:r>
      <w:r>
        <w:rPr>
          <w:rFonts w:ascii="Time New Roman" w:eastAsia="SimHei" w:hAnsi="Time New Roman" w:hint="eastAsia"/>
          <w:u w:val="none"/>
        </w:rPr>
        <w:t>)</w:t>
      </w:r>
      <w:r>
        <w:rPr>
          <w:rFonts w:ascii="Time New Roman" w:eastAsia="SimHei" w:hAnsi="Time New Roman"/>
          <w:u w:val="none"/>
        </w:rPr>
        <w:t xml:space="preserve">  </w:t>
      </w:r>
      <w:r>
        <w:rPr>
          <w:rFonts w:ascii="Time New Roman" w:eastAsia="SimHei" w:hAnsi="Time New Roman" w:hint="eastAsia"/>
          <w:u w:val="none"/>
        </w:rPr>
        <w:t>工伤津贴</w:t>
      </w:r>
    </w:p>
    <w:p w:rsidR="00000000" w:rsidRDefault="00000000">
      <w:pPr>
        <w:widowControl w:val="0"/>
        <w:spacing w:after="320"/>
        <w:rPr>
          <w:rFonts w:hint="eastAsia"/>
        </w:rPr>
      </w:pPr>
      <w:r>
        <w:rPr>
          <w:rFonts w:hint="eastAsia"/>
        </w:rPr>
        <w:tab/>
        <w:t xml:space="preserve">409.  </w:t>
      </w:r>
      <w:r>
        <w:rPr>
          <w:rFonts w:hint="eastAsia"/>
        </w:rPr>
        <w:t>关于工伤津贴，政府提到了上次的定期报告。在</w:t>
      </w:r>
      <w:r>
        <w:rPr>
          <w:rFonts w:hint="eastAsia"/>
        </w:rPr>
        <w:t>2005</w:t>
      </w:r>
      <w:r>
        <w:rPr>
          <w:rFonts w:hint="eastAsia"/>
        </w:rPr>
        <w:t>年，工伤津贴的平均数额为雇员工资的</w:t>
      </w:r>
      <w:r>
        <w:rPr>
          <w:rFonts w:hint="eastAsia"/>
        </w:rPr>
        <w:t>1.1%</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w:t>
      </w:r>
      <w:r>
        <w:rPr>
          <w:rFonts w:ascii="Time New Roman" w:eastAsia="SimHei" w:hAnsi="Time New Roman"/>
          <w:b/>
          <w:u w:val="none"/>
        </w:rPr>
        <w:t>h</w:t>
      </w:r>
      <w:r>
        <w:rPr>
          <w:rFonts w:ascii="Time New Roman" w:eastAsia="SimHei" w:hAnsi="Time New Roman" w:hint="eastAsia"/>
          <w:u w:val="none"/>
        </w:rPr>
        <w:t xml:space="preserve">)  </w:t>
      </w:r>
      <w:r>
        <w:rPr>
          <w:rFonts w:ascii="Time New Roman" w:eastAsia="SimHei" w:hAnsi="Time New Roman" w:hint="eastAsia"/>
          <w:u w:val="none"/>
        </w:rPr>
        <w:t>失业补助</w:t>
      </w:r>
    </w:p>
    <w:p w:rsidR="00000000" w:rsidRDefault="00000000">
      <w:pPr>
        <w:rPr>
          <w:rFonts w:hint="eastAsia"/>
        </w:rPr>
      </w:pPr>
      <w:r>
        <w:rPr>
          <w:rFonts w:hint="eastAsia"/>
        </w:rPr>
        <w:tab/>
        <w:t xml:space="preserve">410.  </w:t>
      </w:r>
      <w:r>
        <w:rPr>
          <w:rFonts w:hint="eastAsia"/>
        </w:rPr>
        <w:t>在本报告所涉期间，失业补助的结构没有发生变化，政府在这一方面提到了上一次的报告。新的《失业保障法》</w:t>
      </w:r>
      <w:r>
        <w:rPr>
          <w:rFonts w:hint="eastAsia"/>
        </w:rPr>
        <w:t>(1290/2002)</w:t>
      </w:r>
      <w:r>
        <w:rPr>
          <w:rFonts w:hint="eastAsia"/>
        </w:rPr>
        <w:t>于</w:t>
      </w:r>
      <w:r>
        <w:rPr>
          <w:rFonts w:hint="eastAsia"/>
        </w:rPr>
        <w:t>2003</w:t>
      </w:r>
      <w:r>
        <w:rPr>
          <w:rFonts w:hint="eastAsia"/>
        </w:rPr>
        <w:t>年</w:t>
      </w:r>
      <w:r>
        <w:rPr>
          <w:rFonts w:hint="eastAsia"/>
        </w:rPr>
        <w:t>1</w:t>
      </w:r>
      <w:r>
        <w:rPr>
          <w:rFonts w:hint="eastAsia"/>
        </w:rPr>
        <w:t>月</w:t>
      </w:r>
      <w:r>
        <w:rPr>
          <w:rFonts w:hint="eastAsia"/>
        </w:rPr>
        <w:t>1</w:t>
      </w:r>
      <w:r>
        <w:rPr>
          <w:rFonts w:hint="eastAsia"/>
        </w:rPr>
        <w:t>日正式生效。这项法律将规定就业时间降低到</w:t>
      </w:r>
      <w:r>
        <w:rPr>
          <w:rFonts w:hint="eastAsia"/>
        </w:rPr>
        <w:t>8</w:t>
      </w:r>
      <w:r>
        <w:rPr>
          <w:rFonts w:hint="eastAsia"/>
        </w:rPr>
        <w:t>个月，在此期间申请人必须始终符合就业的条件。关于新的日常失业补助，规定就业时间已经从</w:t>
      </w:r>
      <w:r>
        <w:rPr>
          <w:rFonts w:hint="eastAsia"/>
        </w:rPr>
        <w:t>43</w:t>
      </w:r>
      <w:r>
        <w:rPr>
          <w:rFonts w:hint="eastAsia"/>
        </w:rPr>
        <w:t>周降为</w:t>
      </w:r>
      <w:r>
        <w:rPr>
          <w:rFonts w:hint="eastAsia"/>
        </w:rPr>
        <w:t>34</w:t>
      </w:r>
      <w:r>
        <w:rPr>
          <w:rFonts w:hint="eastAsia"/>
        </w:rPr>
        <w:t>周，也即从</w:t>
      </w:r>
      <w:r>
        <w:rPr>
          <w:rFonts w:hint="eastAsia"/>
        </w:rPr>
        <w:t>10</w:t>
      </w:r>
      <w:r>
        <w:rPr>
          <w:rFonts w:hint="eastAsia"/>
        </w:rPr>
        <w:t>个月降到</w:t>
      </w:r>
      <w:r>
        <w:rPr>
          <w:rFonts w:hint="eastAsia"/>
        </w:rPr>
        <w:t>8</w:t>
      </w:r>
      <w:r>
        <w:rPr>
          <w:rFonts w:hint="eastAsia"/>
        </w:rPr>
        <w:t>个月。为首次领取失业补助的人规定的就业时间保持为</w:t>
      </w:r>
      <w:r>
        <w:rPr>
          <w:rFonts w:hint="eastAsia"/>
        </w:rPr>
        <w:t>10</w:t>
      </w:r>
      <w:r>
        <w:rPr>
          <w:rFonts w:hint="eastAsia"/>
        </w:rPr>
        <w:t>个月，但是规定就业时间的累计期从</w:t>
      </w:r>
      <w:r>
        <w:rPr>
          <w:rFonts w:hint="eastAsia"/>
        </w:rPr>
        <w:t>24</w:t>
      </w:r>
      <w:r>
        <w:rPr>
          <w:rFonts w:hint="eastAsia"/>
        </w:rPr>
        <w:t>个月延长到了</w:t>
      </w:r>
      <w:r>
        <w:rPr>
          <w:rFonts w:hint="eastAsia"/>
        </w:rPr>
        <w:t>28</w:t>
      </w:r>
      <w:r>
        <w:rPr>
          <w:rFonts w:hint="eastAsia"/>
        </w:rPr>
        <w:t>个月。</w:t>
      </w:r>
    </w:p>
    <w:p w:rsidR="00000000" w:rsidRDefault="00000000">
      <w:pPr>
        <w:rPr>
          <w:rFonts w:hint="eastAsia"/>
        </w:rPr>
      </w:pPr>
      <w:r>
        <w:rPr>
          <w:rFonts w:hint="eastAsia"/>
        </w:rPr>
        <w:tab/>
        <w:t xml:space="preserve">411.  </w:t>
      </w:r>
      <w:r>
        <w:rPr>
          <w:rFonts w:hint="eastAsia"/>
        </w:rPr>
        <w:t>在报告期间，失业补助和劳动力市场补助的数额有所提高。在</w:t>
      </w:r>
      <w:r>
        <w:rPr>
          <w:rFonts w:hint="eastAsia"/>
        </w:rPr>
        <w:t>2005</w:t>
      </w:r>
      <w:r>
        <w:rPr>
          <w:rFonts w:hint="eastAsia"/>
        </w:rPr>
        <w:t>年，全额的劳动力市场补助或者失业补助为每天</w:t>
      </w:r>
      <w:r>
        <w:rPr>
          <w:rFonts w:hint="eastAsia"/>
        </w:rPr>
        <w:t>23.24</w:t>
      </w:r>
      <w:r>
        <w:rPr>
          <w:rFonts w:hint="eastAsia"/>
        </w:rPr>
        <w:t>欧元。此外，还可同以前一样为</w:t>
      </w:r>
      <w:r>
        <w:rPr>
          <w:rFonts w:hint="eastAsia"/>
        </w:rPr>
        <w:t>18</w:t>
      </w:r>
      <w:r>
        <w:rPr>
          <w:rFonts w:hint="eastAsia"/>
        </w:rPr>
        <w:t>岁以下的儿童领取儿童津贴。同收入有关的失业补助的基数与以前相同。全额失业补助</w:t>
      </w:r>
      <w:r>
        <w:rPr>
          <w:rFonts w:hint="eastAsia"/>
        </w:rPr>
        <w:t>(</w:t>
      </w:r>
      <w:r>
        <w:rPr>
          <w:rFonts w:hint="eastAsia"/>
        </w:rPr>
        <w:t>每天</w:t>
      </w:r>
      <w:r>
        <w:rPr>
          <w:rFonts w:hint="eastAsia"/>
        </w:rPr>
        <w:t>23.24</w:t>
      </w:r>
      <w:r>
        <w:rPr>
          <w:rFonts w:hint="eastAsia"/>
        </w:rPr>
        <w:t>欧元</w:t>
      </w:r>
      <w:r>
        <w:rPr>
          <w:rFonts w:hint="eastAsia"/>
        </w:rPr>
        <w:t>)</w:t>
      </w:r>
      <w:r>
        <w:rPr>
          <w:rFonts w:hint="eastAsia"/>
        </w:rPr>
        <w:t>加上可能的儿童津贴。失业补助中同收入有关的部分已经从占每天收入和基数差额的</w:t>
      </w:r>
      <w:r>
        <w:rPr>
          <w:rFonts w:hint="eastAsia"/>
        </w:rPr>
        <w:t>42%</w:t>
      </w:r>
      <w:r>
        <w:rPr>
          <w:rFonts w:hint="eastAsia"/>
        </w:rPr>
        <w:t>提高到了</w:t>
      </w:r>
      <w:r>
        <w:rPr>
          <w:rFonts w:hint="eastAsia"/>
        </w:rPr>
        <w:t>45%</w:t>
      </w:r>
      <w:r>
        <w:rPr>
          <w:rFonts w:hint="eastAsia"/>
        </w:rPr>
        <w:t>。</w:t>
      </w:r>
    </w:p>
    <w:p w:rsidR="00000000" w:rsidRDefault="00000000">
      <w:pPr>
        <w:spacing w:after="240"/>
        <w:rPr>
          <w:rFonts w:hint="eastAsia"/>
          <w:spacing w:val="4"/>
        </w:rPr>
      </w:pPr>
      <w:r>
        <w:rPr>
          <w:rFonts w:hint="eastAsia"/>
        </w:rPr>
        <w:tab/>
        <w:t xml:space="preserve">412.  </w:t>
      </w:r>
      <w:r>
        <w:rPr>
          <w:rFonts w:hint="eastAsia"/>
          <w:spacing w:val="4"/>
        </w:rPr>
        <w:t>关于申请人配偶收入的影响问题，从</w:t>
      </w:r>
      <w:r>
        <w:rPr>
          <w:rFonts w:hint="eastAsia"/>
          <w:spacing w:val="4"/>
        </w:rPr>
        <w:t>2004</w:t>
      </w:r>
      <w:r>
        <w:rPr>
          <w:rFonts w:hint="eastAsia"/>
          <w:spacing w:val="4"/>
        </w:rPr>
        <w:t>年</w:t>
      </w:r>
      <w:r>
        <w:rPr>
          <w:rFonts w:hint="eastAsia"/>
          <w:spacing w:val="4"/>
        </w:rPr>
        <w:t>1</w:t>
      </w:r>
      <w:r>
        <w:rPr>
          <w:rFonts w:hint="eastAsia"/>
          <w:spacing w:val="4"/>
        </w:rPr>
        <w:t>月已经放松了对于劳动力市场补助必要性的评估。在评估财政支助的必要性时，必须充分考虑申请人的收入；但是只有在申请人配偶的收入超过每月</w:t>
      </w:r>
      <w:r>
        <w:rPr>
          <w:rFonts w:hint="eastAsia"/>
          <w:spacing w:val="4"/>
        </w:rPr>
        <w:t>536</w:t>
      </w:r>
      <w:r>
        <w:rPr>
          <w:rFonts w:hint="eastAsia"/>
          <w:spacing w:val="4"/>
        </w:rPr>
        <w:t>欧元时</w:t>
      </w:r>
      <w:r>
        <w:rPr>
          <w:rFonts w:hint="eastAsia"/>
          <w:spacing w:val="4"/>
        </w:rPr>
        <w:t>(</w:t>
      </w:r>
      <w:r>
        <w:rPr>
          <w:rFonts w:hint="eastAsia"/>
          <w:spacing w:val="4"/>
        </w:rPr>
        <w:t>而不是以前的</w:t>
      </w:r>
      <w:r>
        <w:rPr>
          <w:rFonts w:hint="eastAsia"/>
          <w:spacing w:val="4"/>
        </w:rPr>
        <w:t>236</w:t>
      </w:r>
      <w:r>
        <w:rPr>
          <w:rFonts w:hint="eastAsia"/>
          <w:spacing w:val="4"/>
        </w:rPr>
        <w:t>欧元</w:t>
      </w:r>
      <w:r>
        <w:rPr>
          <w:rFonts w:hint="eastAsia"/>
          <w:spacing w:val="4"/>
        </w:rPr>
        <w:t>)</w:t>
      </w:r>
      <w:r>
        <w:rPr>
          <w:rFonts w:hint="eastAsia"/>
          <w:spacing w:val="4"/>
        </w:rPr>
        <w:t>才予以考虑。</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21</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在</w:t>
      </w:r>
      <w:r>
        <w:rPr>
          <w:rFonts w:ascii="Time New Roman" w:eastAsia="SimHei" w:hAnsi="Time New Roman" w:hint="eastAsia"/>
          <w:b/>
          <w:sz w:val="22"/>
          <w:u w:val="none"/>
        </w:rPr>
        <w:t>2000</w:t>
      </w:r>
      <w:r>
        <w:rPr>
          <w:rFonts w:ascii="Time New Roman" w:eastAsia="SimHei" w:hAnsi="Time New Roman" w:hint="eastAsia"/>
          <w:sz w:val="22"/>
          <w:u w:val="none"/>
        </w:rPr>
        <w:t>年至</w:t>
      </w:r>
      <w:r>
        <w:rPr>
          <w:rFonts w:ascii="Time New Roman" w:eastAsia="SimHei" w:hAnsi="Time New Roman" w:hint="eastAsia"/>
          <w:b/>
          <w:sz w:val="22"/>
          <w:u w:val="none"/>
        </w:rPr>
        <w:t>2004</w:t>
      </w:r>
      <w:r>
        <w:rPr>
          <w:rFonts w:ascii="Time New Roman" w:eastAsia="SimHei" w:hAnsi="Time New Roman" w:hint="eastAsia"/>
          <w:sz w:val="22"/>
          <w:u w:val="none"/>
        </w:rPr>
        <w:t>年期间有权领取失业补助的人数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134"/>
        <w:gridCol w:w="1134"/>
        <w:gridCol w:w="1134"/>
        <w:gridCol w:w="1134"/>
        <w:gridCol w:w="1134"/>
      </w:tblGrid>
      <w:tr w:rsidR="00000000">
        <w:tblPrEx>
          <w:tblCellMar>
            <w:top w:w="0" w:type="dxa"/>
            <w:bottom w:w="0" w:type="dxa"/>
          </w:tblCellMar>
        </w:tblPrEx>
        <w:tc>
          <w:tcPr>
            <w:tcW w:w="3686" w:type="dxa"/>
          </w:tcPr>
          <w:p w:rsidR="00000000" w:rsidRDefault="00000000">
            <w:pPr>
              <w:spacing w:before="120"/>
              <w:jc w:val="center"/>
              <w:rPr>
                <w:rFonts w:hint="eastAsia"/>
                <w:sz w:val="22"/>
              </w:rPr>
            </w:pPr>
            <w:r>
              <w:rPr>
                <w:rFonts w:hint="eastAsia"/>
                <w:sz w:val="22"/>
              </w:rPr>
              <w:t>年</w:t>
            </w:r>
            <w:r>
              <w:rPr>
                <w:rFonts w:hint="eastAsia"/>
                <w:sz w:val="22"/>
              </w:rPr>
              <w:t xml:space="preserve">  </w:t>
            </w:r>
            <w:r>
              <w:rPr>
                <w:rFonts w:hint="eastAsia"/>
                <w:sz w:val="22"/>
              </w:rPr>
              <w:t>份</w:t>
            </w:r>
          </w:p>
        </w:tc>
        <w:tc>
          <w:tcPr>
            <w:tcW w:w="1134" w:type="dxa"/>
          </w:tcPr>
          <w:p w:rsidR="00000000" w:rsidRDefault="00000000">
            <w:pPr>
              <w:spacing w:before="120"/>
              <w:jc w:val="center"/>
              <w:rPr>
                <w:sz w:val="22"/>
              </w:rPr>
            </w:pPr>
            <w:r>
              <w:rPr>
                <w:sz w:val="22"/>
              </w:rPr>
              <w:t>2000</w:t>
            </w:r>
          </w:p>
        </w:tc>
        <w:tc>
          <w:tcPr>
            <w:tcW w:w="1134" w:type="dxa"/>
          </w:tcPr>
          <w:p w:rsidR="00000000" w:rsidRDefault="00000000">
            <w:pPr>
              <w:spacing w:before="120"/>
              <w:jc w:val="center"/>
              <w:rPr>
                <w:sz w:val="22"/>
              </w:rPr>
            </w:pPr>
            <w:r>
              <w:rPr>
                <w:sz w:val="22"/>
              </w:rPr>
              <w:t>2001</w:t>
            </w:r>
          </w:p>
        </w:tc>
        <w:tc>
          <w:tcPr>
            <w:tcW w:w="1134" w:type="dxa"/>
          </w:tcPr>
          <w:p w:rsidR="00000000" w:rsidRDefault="00000000">
            <w:pPr>
              <w:spacing w:before="120"/>
              <w:jc w:val="center"/>
              <w:rPr>
                <w:sz w:val="22"/>
              </w:rPr>
            </w:pPr>
            <w:r>
              <w:rPr>
                <w:sz w:val="22"/>
              </w:rPr>
              <w:t>2002</w:t>
            </w:r>
          </w:p>
        </w:tc>
        <w:tc>
          <w:tcPr>
            <w:tcW w:w="1134" w:type="dxa"/>
          </w:tcPr>
          <w:p w:rsidR="00000000" w:rsidRDefault="00000000">
            <w:pPr>
              <w:spacing w:before="120"/>
              <w:jc w:val="center"/>
              <w:rPr>
                <w:sz w:val="22"/>
              </w:rPr>
            </w:pPr>
            <w:r>
              <w:rPr>
                <w:sz w:val="22"/>
              </w:rPr>
              <w:t>2003</w:t>
            </w:r>
          </w:p>
        </w:tc>
        <w:tc>
          <w:tcPr>
            <w:tcW w:w="1134" w:type="dxa"/>
          </w:tcPr>
          <w:p w:rsidR="00000000" w:rsidRDefault="00000000">
            <w:pPr>
              <w:spacing w:before="120"/>
              <w:jc w:val="center"/>
              <w:rPr>
                <w:sz w:val="22"/>
              </w:rPr>
            </w:pPr>
            <w:r>
              <w:rPr>
                <w:sz w:val="22"/>
              </w:rPr>
              <w:t>2004</w:t>
            </w:r>
          </w:p>
        </w:tc>
      </w:tr>
      <w:tr w:rsidR="00000000">
        <w:tblPrEx>
          <w:tblCellMar>
            <w:top w:w="0" w:type="dxa"/>
            <w:bottom w:w="0" w:type="dxa"/>
          </w:tblCellMar>
        </w:tblPrEx>
        <w:tc>
          <w:tcPr>
            <w:tcW w:w="3686" w:type="dxa"/>
            <w:tcBorders>
              <w:bottom w:val="nil"/>
            </w:tcBorders>
          </w:tcPr>
          <w:p w:rsidR="00000000" w:rsidRDefault="00000000">
            <w:pPr>
              <w:spacing w:before="120" w:line="288" w:lineRule="auto"/>
              <w:rPr>
                <w:rFonts w:hint="eastAsia"/>
                <w:sz w:val="22"/>
              </w:rPr>
            </w:pPr>
            <w:r>
              <w:rPr>
                <w:rFonts w:hint="eastAsia"/>
                <w:sz w:val="22"/>
              </w:rPr>
              <w:t>同收入有关的补助</w:t>
            </w:r>
          </w:p>
        </w:tc>
        <w:tc>
          <w:tcPr>
            <w:tcW w:w="1134" w:type="dxa"/>
            <w:tcBorders>
              <w:bottom w:val="nil"/>
            </w:tcBorders>
          </w:tcPr>
          <w:p w:rsidR="00000000" w:rsidRDefault="00000000">
            <w:pPr>
              <w:spacing w:before="120" w:line="288" w:lineRule="auto"/>
              <w:ind w:right="57"/>
              <w:jc w:val="right"/>
              <w:rPr>
                <w:sz w:val="22"/>
              </w:rPr>
            </w:pPr>
            <w:r>
              <w:rPr>
                <w:sz w:val="22"/>
              </w:rPr>
              <w:t>296 393</w:t>
            </w:r>
          </w:p>
        </w:tc>
        <w:tc>
          <w:tcPr>
            <w:tcW w:w="1134" w:type="dxa"/>
            <w:tcBorders>
              <w:bottom w:val="nil"/>
            </w:tcBorders>
          </w:tcPr>
          <w:p w:rsidR="00000000" w:rsidRDefault="00000000">
            <w:pPr>
              <w:spacing w:before="120" w:line="288" w:lineRule="auto"/>
              <w:ind w:right="57"/>
              <w:jc w:val="right"/>
              <w:rPr>
                <w:sz w:val="22"/>
              </w:rPr>
            </w:pPr>
            <w:r>
              <w:rPr>
                <w:sz w:val="22"/>
              </w:rPr>
              <w:t>276 562</w:t>
            </w:r>
          </w:p>
        </w:tc>
        <w:tc>
          <w:tcPr>
            <w:tcW w:w="1134" w:type="dxa"/>
            <w:tcBorders>
              <w:bottom w:val="nil"/>
            </w:tcBorders>
          </w:tcPr>
          <w:p w:rsidR="00000000" w:rsidRDefault="00000000">
            <w:pPr>
              <w:spacing w:before="120" w:line="288" w:lineRule="auto"/>
              <w:ind w:right="57"/>
              <w:jc w:val="right"/>
              <w:rPr>
                <w:sz w:val="22"/>
              </w:rPr>
            </w:pPr>
            <w:r>
              <w:rPr>
                <w:sz w:val="22"/>
              </w:rPr>
              <w:t>280 813</w:t>
            </w:r>
          </w:p>
        </w:tc>
        <w:tc>
          <w:tcPr>
            <w:tcW w:w="1134" w:type="dxa"/>
            <w:tcBorders>
              <w:bottom w:val="nil"/>
            </w:tcBorders>
          </w:tcPr>
          <w:p w:rsidR="00000000" w:rsidRDefault="00000000">
            <w:pPr>
              <w:spacing w:before="120" w:line="288" w:lineRule="auto"/>
              <w:ind w:right="57"/>
              <w:jc w:val="right"/>
              <w:rPr>
                <w:sz w:val="22"/>
              </w:rPr>
            </w:pPr>
            <w:r>
              <w:rPr>
                <w:sz w:val="22"/>
              </w:rPr>
              <w:t>287 138</w:t>
            </w:r>
          </w:p>
        </w:tc>
        <w:tc>
          <w:tcPr>
            <w:tcW w:w="1134" w:type="dxa"/>
            <w:tcBorders>
              <w:bottom w:val="nil"/>
            </w:tcBorders>
          </w:tcPr>
          <w:p w:rsidR="00000000" w:rsidRDefault="00000000">
            <w:pPr>
              <w:spacing w:before="120" w:line="288" w:lineRule="auto"/>
              <w:ind w:right="57"/>
              <w:jc w:val="right"/>
              <w:rPr>
                <w:sz w:val="22"/>
              </w:rPr>
            </w:pPr>
            <w:r>
              <w:rPr>
                <w:sz w:val="22"/>
              </w:rPr>
              <w:t>285 442</w:t>
            </w:r>
          </w:p>
        </w:tc>
      </w:tr>
      <w:tr w:rsidR="00000000">
        <w:tblPrEx>
          <w:tblCellMar>
            <w:top w:w="0" w:type="dxa"/>
            <w:bottom w:w="0" w:type="dxa"/>
          </w:tblCellMar>
        </w:tblPrEx>
        <w:tc>
          <w:tcPr>
            <w:tcW w:w="3686" w:type="dxa"/>
            <w:tcBorders>
              <w:top w:val="nil"/>
              <w:bottom w:val="nil"/>
            </w:tcBorders>
          </w:tcPr>
          <w:p w:rsidR="00000000" w:rsidRDefault="00000000">
            <w:pPr>
              <w:spacing w:line="288" w:lineRule="auto"/>
              <w:rPr>
                <w:rFonts w:hint="eastAsia"/>
                <w:sz w:val="22"/>
              </w:rPr>
            </w:pPr>
            <w:r>
              <w:rPr>
                <w:rFonts w:hint="eastAsia"/>
                <w:sz w:val="22"/>
              </w:rPr>
              <w:t>失业补助的基数</w:t>
            </w:r>
          </w:p>
        </w:tc>
        <w:tc>
          <w:tcPr>
            <w:tcW w:w="1134" w:type="dxa"/>
            <w:tcBorders>
              <w:top w:val="nil"/>
              <w:bottom w:val="nil"/>
            </w:tcBorders>
          </w:tcPr>
          <w:p w:rsidR="00000000" w:rsidRDefault="00000000">
            <w:pPr>
              <w:spacing w:line="288" w:lineRule="auto"/>
              <w:ind w:right="57"/>
              <w:jc w:val="right"/>
              <w:rPr>
                <w:sz w:val="22"/>
              </w:rPr>
            </w:pPr>
            <w:r>
              <w:rPr>
                <w:sz w:val="22"/>
              </w:rPr>
              <w:t>43 330</w:t>
            </w:r>
          </w:p>
        </w:tc>
        <w:tc>
          <w:tcPr>
            <w:tcW w:w="1134" w:type="dxa"/>
            <w:tcBorders>
              <w:top w:val="nil"/>
              <w:bottom w:val="nil"/>
            </w:tcBorders>
          </w:tcPr>
          <w:p w:rsidR="00000000" w:rsidRDefault="00000000">
            <w:pPr>
              <w:spacing w:line="288" w:lineRule="auto"/>
              <w:ind w:right="57"/>
              <w:jc w:val="right"/>
              <w:rPr>
                <w:sz w:val="22"/>
              </w:rPr>
            </w:pPr>
            <w:r>
              <w:rPr>
                <w:sz w:val="22"/>
              </w:rPr>
              <w:t>43 652</w:t>
            </w:r>
          </w:p>
        </w:tc>
        <w:tc>
          <w:tcPr>
            <w:tcW w:w="1134" w:type="dxa"/>
            <w:tcBorders>
              <w:top w:val="nil"/>
              <w:bottom w:val="nil"/>
            </w:tcBorders>
          </w:tcPr>
          <w:p w:rsidR="00000000" w:rsidRDefault="00000000">
            <w:pPr>
              <w:spacing w:line="288" w:lineRule="auto"/>
              <w:ind w:right="57"/>
              <w:jc w:val="right"/>
              <w:rPr>
                <w:sz w:val="22"/>
              </w:rPr>
            </w:pPr>
            <w:r>
              <w:rPr>
                <w:sz w:val="22"/>
              </w:rPr>
              <w:t>46 565</w:t>
            </w:r>
          </w:p>
        </w:tc>
        <w:tc>
          <w:tcPr>
            <w:tcW w:w="1134" w:type="dxa"/>
            <w:tcBorders>
              <w:top w:val="nil"/>
              <w:bottom w:val="nil"/>
            </w:tcBorders>
          </w:tcPr>
          <w:p w:rsidR="00000000" w:rsidRDefault="00000000">
            <w:pPr>
              <w:spacing w:line="288" w:lineRule="auto"/>
              <w:ind w:right="57"/>
              <w:jc w:val="right"/>
              <w:rPr>
                <w:sz w:val="22"/>
              </w:rPr>
            </w:pPr>
            <w:r>
              <w:rPr>
                <w:sz w:val="22"/>
              </w:rPr>
              <w:t>51 343</w:t>
            </w:r>
          </w:p>
        </w:tc>
        <w:tc>
          <w:tcPr>
            <w:tcW w:w="1134" w:type="dxa"/>
            <w:tcBorders>
              <w:top w:val="nil"/>
              <w:bottom w:val="nil"/>
            </w:tcBorders>
          </w:tcPr>
          <w:p w:rsidR="00000000" w:rsidRDefault="00000000">
            <w:pPr>
              <w:spacing w:line="288" w:lineRule="auto"/>
              <w:ind w:right="57"/>
              <w:jc w:val="right"/>
              <w:rPr>
                <w:sz w:val="22"/>
              </w:rPr>
            </w:pPr>
            <w:r>
              <w:rPr>
                <w:sz w:val="22"/>
              </w:rPr>
              <w:t>54 780</w:t>
            </w:r>
          </w:p>
        </w:tc>
      </w:tr>
      <w:tr w:rsidR="00000000">
        <w:tblPrEx>
          <w:tblCellMar>
            <w:top w:w="0" w:type="dxa"/>
            <w:bottom w:w="0" w:type="dxa"/>
          </w:tblCellMar>
        </w:tblPrEx>
        <w:tc>
          <w:tcPr>
            <w:tcW w:w="3686" w:type="dxa"/>
            <w:tcBorders>
              <w:top w:val="nil"/>
            </w:tcBorders>
          </w:tcPr>
          <w:p w:rsidR="00000000" w:rsidRDefault="00000000">
            <w:pPr>
              <w:spacing w:line="288" w:lineRule="auto"/>
              <w:rPr>
                <w:rFonts w:hint="eastAsia"/>
                <w:sz w:val="22"/>
              </w:rPr>
            </w:pPr>
            <w:r>
              <w:rPr>
                <w:rFonts w:hint="eastAsia"/>
                <w:sz w:val="22"/>
              </w:rPr>
              <w:t>劳动力市场补助</w:t>
            </w:r>
          </w:p>
        </w:tc>
        <w:tc>
          <w:tcPr>
            <w:tcW w:w="1134" w:type="dxa"/>
            <w:tcBorders>
              <w:top w:val="nil"/>
            </w:tcBorders>
          </w:tcPr>
          <w:p w:rsidR="00000000" w:rsidRDefault="00000000">
            <w:pPr>
              <w:spacing w:line="288" w:lineRule="auto"/>
              <w:ind w:right="57"/>
              <w:jc w:val="right"/>
              <w:rPr>
                <w:sz w:val="22"/>
              </w:rPr>
            </w:pPr>
            <w:r>
              <w:rPr>
                <w:sz w:val="22"/>
              </w:rPr>
              <w:t>286 581</w:t>
            </w:r>
          </w:p>
        </w:tc>
        <w:tc>
          <w:tcPr>
            <w:tcW w:w="1134" w:type="dxa"/>
            <w:tcBorders>
              <w:top w:val="nil"/>
            </w:tcBorders>
          </w:tcPr>
          <w:p w:rsidR="00000000" w:rsidRDefault="00000000">
            <w:pPr>
              <w:spacing w:line="288" w:lineRule="auto"/>
              <w:ind w:right="57"/>
              <w:jc w:val="right"/>
              <w:rPr>
                <w:sz w:val="22"/>
              </w:rPr>
            </w:pPr>
            <w:r>
              <w:rPr>
                <w:sz w:val="22"/>
              </w:rPr>
              <w:t>271 378</w:t>
            </w:r>
          </w:p>
        </w:tc>
        <w:tc>
          <w:tcPr>
            <w:tcW w:w="1134" w:type="dxa"/>
            <w:tcBorders>
              <w:top w:val="nil"/>
            </w:tcBorders>
          </w:tcPr>
          <w:p w:rsidR="00000000" w:rsidRDefault="00000000">
            <w:pPr>
              <w:spacing w:line="288" w:lineRule="auto"/>
              <w:ind w:right="57"/>
              <w:jc w:val="right"/>
              <w:rPr>
                <w:sz w:val="22"/>
              </w:rPr>
            </w:pPr>
            <w:r>
              <w:rPr>
                <w:sz w:val="22"/>
              </w:rPr>
              <w:t>263 038</w:t>
            </w:r>
          </w:p>
        </w:tc>
        <w:tc>
          <w:tcPr>
            <w:tcW w:w="1134" w:type="dxa"/>
            <w:tcBorders>
              <w:top w:val="nil"/>
            </w:tcBorders>
          </w:tcPr>
          <w:p w:rsidR="00000000" w:rsidRDefault="00000000">
            <w:pPr>
              <w:spacing w:line="288" w:lineRule="auto"/>
              <w:ind w:right="57"/>
              <w:jc w:val="right"/>
              <w:rPr>
                <w:sz w:val="22"/>
              </w:rPr>
            </w:pPr>
            <w:r>
              <w:rPr>
                <w:sz w:val="22"/>
              </w:rPr>
              <w:t>255 437</w:t>
            </w:r>
          </w:p>
        </w:tc>
        <w:tc>
          <w:tcPr>
            <w:tcW w:w="1134" w:type="dxa"/>
            <w:tcBorders>
              <w:top w:val="nil"/>
            </w:tcBorders>
          </w:tcPr>
          <w:p w:rsidR="00000000" w:rsidRDefault="00000000">
            <w:pPr>
              <w:spacing w:line="288" w:lineRule="auto"/>
              <w:ind w:right="57"/>
              <w:jc w:val="right"/>
              <w:rPr>
                <w:sz w:val="22"/>
              </w:rPr>
            </w:pPr>
            <w:r>
              <w:rPr>
                <w:sz w:val="22"/>
              </w:rPr>
              <w:t>248 898</w:t>
            </w:r>
          </w:p>
        </w:tc>
      </w:tr>
    </w:tbl>
    <w:p w:rsidR="00000000" w:rsidRDefault="00000000">
      <w:pPr>
        <w:widowControl w:val="0"/>
        <w:spacing w:before="480"/>
        <w:rPr>
          <w:rFonts w:hint="eastAsia"/>
        </w:rPr>
      </w:pPr>
      <w:r>
        <w:rPr>
          <w:rFonts w:hint="eastAsia"/>
        </w:rPr>
        <w:tab/>
        <w:t xml:space="preserve">413.  </w:t>
      </w:r>
      <w:r>
        <w:rPr>
          <w:rFonts w:hint="eastAsia"/>
          <w:u w:val="single"/>
        </w:rPr>
        <w:t>私营企业中家庭成员的失业保障</w:t>
      </w:r>
      <w:r>
        <w:rPr>
          <w:rFonts w:hint="eastAsia"/>
        </w:rPr>
        <w:t>。《失业保障法》</w:t>
      </w:r>
      <w:r>
        <w:rPr>
          <w:rFonts w:hint="eastAsia"/>
        </w:rPr>
        <w:t>(1290/2002)</w:t>
      </w:r>
      <w:r>
        <w:rPr>
          <w:rFonts w:hint="eastAsia"/>
        </w:rPr>
        <w:t>就私营企业中家庭成员的失业保障作了更加明确的规定，从而，在公司全部结束其商业活动之前，公司的共有人也被视为公司的雇员。根据这项法律，在有关人员为全职私营企业家或者自营职业期间，不得领取失业补助。之所以作出这项规定，是因为社会保障体制不应承担商业活动的风险。</w:t>
      </w:r>
    </w:p>
    <w:p w:rsidR="00000000" w:rsidRDefault="00000000">
      <w:pPr>
        <w:widowControl w:val="0"/>
        <w:rPr>
          <w:rFonts w:hint="eastAsia"/>
        </w:rPr>
      </w:pPr>
      <w:r>
        <w:rPr>
          <w:rFonts w:hint="eastAsia"/>
        </w:rPr>
        <w:tab/>
        <w:t xml:space="preserve">414.  </w:t>
      </w:r>
      <w:r>
        <w:rPr>
          <w:rFonts w:hint="eastAsia"/>
        </w:rPr>
        <w:t>在商业活动已经停止或者已经连续中断</w:t>
      </w:r>
      <w:r>
        <w:rPr>
          <w:rFonts w:hint="eastAsia"/>
        </w:rPr>
        <w:t>4</w:t>
      </w:r>
      <w:r>
        <w:rPr>
          <w:rFonts w:hint="eastAsia"/>
        </w:rPr>
        <w:t>个月之前，职工应被视为被公司全职雇用。只有职工同时在同本公司的商业活动没有任何关联的其他场所至少工作</w:t>
      </w:r>
      <w:r>
        <w:rPr>
          <w:rFonts w:hint="eastAsia"/>
        </w:rPr>
        <w:t>10</w:t>
      </w:r>
      <w:r>
        <w:rPr>
          <w:rFonts w:hint="eastAsia"/>
        </w:rPr>
        <w:t>个月，或者该职工在本公司工作时间很短，不至成为在其他场所全职工作障碍的情况下，方能被视为为该公司非全日制工作。然而，如果该职工的全职工作是非经常性的，那么停止商业活动或者连续终止商业活动</w:t>
      </w:r>
      <w:r>
        <w:rPr>
          <w:rFonts w:hint="eastAsia"/>
        </w:rPr>
        <w:t>4</w:t>
      </w:r>
      <w:r>
        <w:rPr>
          <w:rFonts w:hint="eastAsia"/>
        </w:rPr>
        <w:t>个月就不是领取失业补助的条件。如果有关人员是在公司没有股份、投票权或者其他类似权利的家庭成员，如果他们在本公司或者其他场所工作的时间不超过</w:t>
      </w:r>
      <w:r>
        <w:rPr>
          <w:rFonts w:hint="eastAsia"/>
        </w:rPr>
        <w:t>6</w:t>
      </w:r>
      <w:r>
        <w:rPr>
          <w:rFonts w:hint="eastAsia"/>
        </w:rPr>
        <w:t>个月，那么这种全职工作就应被视为非经常性的。</w:t>
      </w:r>
    </w:p>
    <w:p w:rsidR="00000000" w:rsidRDefault="00000000">
      <w:pPr>
        <w:rPr>
          <w:rFonts w:hint="eastAsia"/>
        </w:rPr>
      </w:pPr>
      <w:r>
        <w:rPr>
          <w:rFonts w:hint="eastAsia"/>
        </w:rPr>
        <w:tab/>
      </w:r>
      <w:r>
        <w:t>41</w:t>
      </w:r>
      <w:r>
        <w:rPr>
          <w:rFonts w:hint="eastAsia"/>
        </w:rPr>
        <w:t>5</w:t>
      </w:r>
      <w:r>
        <w:t xml:space="preserve">.  </w:t>
      </w:r>
      <w:r>
        <w:rPr>
          <w:rFonts w:hint="eastAsia"/>
        </w:rPr>
        <w:t>然而，芬兰企业联合会批评了上述的规定，指出在公司的生产率降低到无法为所有家庭成员提供工作的情况下，为在公司中全职工作的家庭成员所提供的保护是十分不足的。在典型的家庭公司中，夫妇长期为公司工作，如果公司的营业状况不好，另外一名配偶无权领取失业补助，除非其商业活动终止或者该配偶找到另外一份工作并且至少工作</w:t>
      </w:r>
      <w:r>
        <w:rPr>
          <w:rFonts w:hint="eastAsia"/>
        </w:rPr>
        <w:t>10</w:t>
      </w:r>
      <w:r>
        <w:rPr>
          <w:rFonts w:hint="eastAsia"/>
        </w:rPr>
        <w:t>个月。</w:t>
      </w:r>
    </w:p>
    <w:p w:rsidR="00000000" w:rsidRDefault="00000000">
      <w:pPr>
        <w:rPr>
          <w:rFonts w:hint="eastAsia"/>
        </w:rPr>
      </w:pPr>
      <w:r>
        <w:rPr>
          <w:rFonts w:hint="eastAsia"/>
        </w:rPr>
        <w:tab/>
        <w:t xml:space="preserve">416.  </w:t>
      </w:r>
      <w:r>
        <w:rPr>
          <w:rFonts w:hint="eastAsia"/>
          <w:u w:val="single"/>
        </w:rPr>
        <w:t>退休金保险和失业保障的协调</w:t>
      </w:r>
      <w:r>
        <w:rPr>
          <w:rFonts w:hint="eastAsia"/>
        </w:rPr>
        <w:t>。根据《失业保障法》，如果投保人为某个企业工作了</w:t>
      </w:r>
      <w:r>
        <w:rPr>
          <w:rFonts w:hint="eastAsia"/>
        </w:rPr>
        <w:t>18</w:t>
      </w:r>
      <w:r>
        <w:rPr>
          <w:rFonts w:hint="eastAsia"/>
        </w:rPr>
        <w:t>个月以上，除非他能满足这项法律所提到的有关以前就业的要求，否则就不得领取同收入有关的每日津贴。为此目的，有关的商业活动就必须是有意义的。根据实施《失业保障法》的政府法律的规定，有关人员必须要有《自营职业者退休金法》所规定的有效退休金保险，而且其每月收入必须超过</w:t>
      </w:r>
      <w:r>
        <w:rPr>
          <w:rFonts w:hint="eastAsia"/>
        </w:rPr>
        <w:t>710</w:t>
      </w:r>
      <w:r>
        <w:rPr>
          <w:rFonts w:hint="eastAsia"/>
        </w:rPr>
        <w:t>欧元</w:t>
      </w:r>
      <w:r>
        <w:rPr>
          <w:rFonts w:hint="eastAsia"/>
        </w:rPr>
        <w:t>(</w:t>
      </w:r>
      <w:r>
        <w:rPr>
          <w:rFonts w:hint="eastAsia"/>
        </w:rPr>
        <w:t>每年</w:t>
      </w:r>
      <w:r>
        <w:rPr>
          <w:rFonts w:hint="eastAsia"/>
        </w:rPr>
        <w:t>8,520</w:t>
      </w:r>
      <w:r>
        <w:rPr>
          <w:rFonts w:hint="eastAsia"/>
        </w:rPr>
        <w:t>欧元</w:t>
      </w:r>
      <w:r>
        <w:rPr>
          <w:rFonts w:hint="eastAsia"/>
        </w:rPr>
        <w:t>)</w:t>
      </w:r>
      <w:r>
        <w:rPr>
          <w:rFonts w:hint="eastAsia"/>
        </w:rPr>
        <w:t>，在这种情况下，商业活动才能被视为是有意义的。</w:t>
      </w:r>
    </w:p>
    <w:p w:rsidR="00000000" w:rsidRDefault="00000000">
      <w:pPr>
        <w:rPr>
          <w:rFonts w:hint="eastAsia"/>
        </w:rPr>
      </w:pPr>
      <w:r>
        <w:rPr>
          <w:rFonts w:hint="eastAsia"/>
        </w:rPr>
        <w:tab/>
        <w:t>41</w:t>
      </w:r>
      <w:r>
        <w:t>7</w:t>
      </w:r>
      <w:r>
        <w:rPr>
          <w:rFonts w:hint="eastAsia"/>
        </w:rPr>
        <w:t xml:space="preserve">.  </w:t>
      </w:r>
      <w:r>
        <w:rPr>
          <w:rFonts w:hint="eastAsia"/>
        </w:rPr>
        <w:t>然而，年收入被评为低于</w:t>
      </w:r>
      <w:r>
        <w:rPr>
          <w:rFonts w:hint="eastAsia"/>
        </w:rPr>
        <w:t>5504.14</w:t>
      </w:r>
      <w:r>
        <w:rPr>
          <w:rFonts w:hint="eastAsia"/>
        </w:rPr>
        <w:t>欧元</w:t>
      </w:r>
      <w:r>
        <w:rPr>
          <w:rFonts w:hint="eastAsia"/>
        </w:rPr>
        <w:t>(2004</w:t>
      </w:r>
      <w:r>
        <w:rPr>
          <w:rFonts w:hint="eastAsia"/>
        </w:rPr>
        <w:t>年</w:t>
      </w:r>
      <w:r>
        <w:rPr>
          <w:rFonts w:hint="eastAsia"/>
        </w:rPr>
        <w:t>)</w:t>
      </w:r>
      <w:r>
        <w:rPr>
          <w:rFonts w:hint="eastAsia"/>
        </w:rPr>
        <w:t>的自营职业者没有义务购买上述保险。</w:t>
      </w:r>
    </w:p>
    <w:p w:rsidR="00000000" w:rsidRDefault="00000000">
      <w:pPr>
        <w:spacing w:after="320"/>
        <w:rPr>
          <w:rFonts w:hint="eastAsia"/>
        </w:rPr>
      </w:pPr>
      <w:r>
        <w:rPr>
          <w:rFonts w:hint="eastAsia"/>
        </w:rPr>
        <w:tab/>
        <w:t>41</w:t>
      </w:r>
      <w:r>
        <w:t>8</w:t>
      </w:r>
      <w:r>
        <w:rPr>
          <w:rFonts w:hint="eastAsia"/>
        </w:rPr>
        <w:t xml:space="preserve">.  </w:t>
      </w:r>
      <w:r>
        <w:rPr>
          <w:rFonts w:hint="eastAsia"/>
        </w:rPr>
        <w:t>在根据《自营职业者退休金法》投保的人中，大约</w:t>
      </w:r>
      <w:r>
        <w:rPr>
          <w:rFonts w:hint="eastAsia"/>
        </w:rPr>
        <w:t>25%</w:t>
      </w:r>
      <w:r>
        <w:rPr>
          <w:rFonts w:hint="eastAsia"/>
        </w:rPr>
        <w:t>的人年收入在</w:t>
      </w:r>
      <w:r>
        <w:rPr>
          <w:rFonts w:hint="eastAsia"/>
        </w:rPr>
        <w:t>5504.14</w:t>
      </w:r>
      <w:r>
        <w:rPr>
          <w:rFonts w:hint="eastAsia"/>
        </w:rPr>
        <w:t>欧元和</w:t>
      </w:r>
      <w:r>
        <w:rPr>
          <w:rFonts w:hint="eastAsia"/>
        </w:rPr>
        <w:t>8520</w:t>
      </w:r>
      <w:r>
        <w:rPr>
          <w:rFonts w:hint="eastAsia"/>
        </w:rPr>
        <w:t>欧元之间。因此，自营职业者的失业保障限额同退休金保险限额之间的差异可能会造成这种情况：根据《自营职业者退休金法》，</w:t>
      </w:r>
      <w:r>
        <w:rPr>
          <w:rFonts w:hint="eastAsia"/>
        </w:rPr>
        <w:t>25%</w:t>
      </w:r>
      <w:r>
        <w:rPr>
          <w:rFonts w:hint="eastAsia"/>
        </w:rPr>
        <w:t>的私营企业家属于这个类别；而从失业保障的角度来看，同样这批人又在劳动力市场以外。</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3</w:t>
      </w:r>
      <w:r>
        <w:rPr>
          <w:rFonts w:ascii="Time New Roman" w:eastAsia="SimHei" w:hAnsi="Time New Roman" w:hint="eastAsia"/>
          <w:u w:val="none"/>
        </w:rPr>
        <w:t xml:space="preserve">.  </w:t>
      </w:r>
      <w:r>
        <w:rPr>
          <w:rFonts w:ascii="Time New Roman" w:eastAsia="SimHei" w:hAnsi="Time New Roman" w:hint="eastAsia"/>
          <w:u w:val="none"/>
        </w:rPr>
        <w:t>社会保障计划的经费</w:t>
      </w:r>
    </w:p>
    <w:p w:rsidR="00000000" w:rsidRDefault="00000000">
      <w:pPr>
        <w:widowControl w:val="0"/>
        <w:rPr>
          <w:rFonts w:hint="eastAsia"/>
        </w:rPr>
      </w:pPr>
      <w:r>
        <w:rPr>
          <w:rFonts w:hint="eastAsia"/>
        </w:rPr>
        <w:tab/>
        <w:t>4</w:t>
      </w:r>
      <w:r>
        <w:t>19</w:t>
      </w:r>
      <w:r>
        <w:rPr>
          <w:rFonts w:hint="eastAsia"/>
        </w:rPr>
        <w:t xml:space="preserve">.  </w:t>
      </w:r>
      <w:r>
        <w:rPr>
          <w:rFonts w:hint="eastAsia"/>
        </w:rPr>
        <w:t>社会保障计划的经费通常由雇主、雇员、投保人以及国家负责筹措。各方根据有关的福利制度缴纳款项。</w:t>
      </w:r>
    </w:p>
    <w:p w:rsidR="00000000" w:rsidRDefault="00000000">
      <w:pPr>
        <w:widowControl w:val="0"/>
        <w:rPr>
          <w:rFonts w:hint="eastAsia"/>
        </w:rPr>
      </w:pPr>
      <w:r>
        <w:rPr>
          <w:rFonts w:hint="eastAsia"/>
        </w:rPr>
        <w:tab/>
        <w:t>42</w:t>
      </w:r>
      <w:r>
        <w:t>0</w:t>
      </w:r>
      <w:r>
        <w:rPr>
          <w:rFonts w:hint="eastAsia"/>
        </w:rPr>
        <w:t xml:space="preserve">.  </w:t>
      </w:r>
      <w:r>
        <w:rPr>
          <w:rFonts w:hint="eastAsia"/>
        </w:rPr>
        <w:t>芬兰社会保险局所支付的津贴主要来自税收。国家养老金和疾病保险的开支部分由投保人和雇主的保险费支出。</w:t>
      </w:r>
    </w:p>
    <w:p w:rsidR="00000000" w:rsidRDefault="00000000">
      <w:pPr>
        <w:rPr>
          <w:rFonts w:hint="eastAsia"/>
        </w:rPr>
      </w:pPr>
      <w:r>
        <w:rPr>
          <w:rFonts w:hint="eastAsia"/>
        </w:rPr>
        <w:tab/>
        <w:t>42</w:t>
      </w:r>
      <w:r>
        <w:t>1</w:t>
      </w:r>
      <w:r>
        <w:rPr>
          <w:rFonts w:hint="eastAsia"/>
        </w:rPr>
        <w:t xml:space="preserve">.  </w:t>
      </w:r>
      <w:r>
        <w:rPr>
          <w:rFonts w:hint="eastAsia"/>
        </w:rPr>
        <w:t>国家退休金主要来自雇主缴纳的保险费以及国家的保证金。从</w:t>
      </w:r>
      <w:r>
        <w:rPr>
          <w:rFonts w:hint="eastAsia"/>
        </w:rPr>
        <w:t>1993</w:t>
      </w:r>
      <w:r>
        <w:rPr>
          <w:rFonts w:hint="eastAsia"/>
        </w:rPr>
        <w:t>年以来，部分营业税收入用于支付退休金。在</w:t>
      </w:r>
      <w:r>
        <w:rPr>
          <w:rFonts w:hint="eastAsia"/>
        </w:rPr>
        <w:t>2004</w:t>
      </w:r>
      <w:r>
        <w:rPr>
          <w:rFonts w:hint="eastAsia"/>
        </w:rPr>
        <w:t>年这种款项达到</w:t>
      </w:r>
      <w:r>
        <w:rPr>
          <w:rFonts w:hint="eastAsia"/>
        </w:rPr>
        <w:t>4</w:t>
      </w:r>
      <w:r>
        <w:rPr>
          <w:rFonts w:hint="eastAsia"/>
        </w:rPr>
        <w:t>亿欧元。国家单独负责退休金计划的筹款，家庭津贴、退伍老兵津贴、残疾津贴、育儿补助、房屋津贴以及</w:t>
      </w:r>
      <w:r>
        <w:rPr>
          <w:rFonts w:hint="eastAsia"/>
        </w:rPr>
        <w:t>29%</w:t>
      </w:r>
      <w:r>
        <w:rPr>
          <w:rFonts w:hint="eastAsia"/>
        </w:rPr>
        <w:t>的国家退休金都在这个计划下支出。国家还通过在其他经费来源不足以支付开支的情况下使用保证金来确保国家退休金制度。在</w:t>
      </w:r>
      <w:r>
        <w:rPr>
          <w:rFonts w:hint="eastAsia"/>
        </w:rPr>
        <w:t>2004</w:t>
      </w:r>
      <w:r>
        <w:rPr>
          <w:rFonts w:hint="eastAsia"/>
        </w:rPr>
        <w:t>年，国家所花费的保证金为</w:t>
      </w:r>
      <w:r>
        <w:rPr>
          <w:rFonts w:hint="eastAsia"/>
        </w:rPr>
        <w:t>1.07</w:t>
      </w:r>
      <w:r>
        <w:rPr>
          <w:rFonts w:hint="eastAsia"/>
        </w:rPr>
        <w:t>亿欧元。</w:t>
      </w:r>
    </w:p>
    <w:p w:rsidR="00000000" w:rsidRDefault="00000000">
      <w:pPr>
        <w:rPr>
          <w:rFonts w:hint="eastAsia"/>
        </w:rPr>
      </w:pPr>
      <w:r>
        <w:rPr>
          <w:rFonts w:hint="eastAsia"/>
        </w:rPr>
        <w:tab/>
        <w:t>42</w:t>
      </w:r>
      <w:r>
        <w:t>2</w:t>
      </w:r>
      <w:r>
        <w:rPr>
          <w:rFonts w:hint="eastAsia"/>
        </w:rPr>
        <w:t xml:space="preserve">.  </w:t>
      </w:r>
      <w:r>
        <w:rPr>
          <w:rFonts w:hint="eastAsia"/>
        </w:rPr>
        <w:t>疾病保险的经费来自雇主和雇员按其应当纳税收入的一定百分比缴纳的保险费。如果其他来源的经费不足，就使用国家的保证金。在</w:t>
      </w:r>
      <w:r>
        <w:rPr>
          <w:rFonts w:hint="eastAsia"/>
        </w:rPr>
        <w:t>2004</w:t>
      </w:r>
      <w:r>
        <w:rPr>
          <w:rFonts w:hint="eastAsia"/>
        </w:rPr>
        <w:t>年，国家保证金用去</w:t>
      </w:r>
      <w:r>
        <w:rPr>
          <w:rFonts w:hint="eastAsia"/>
        </w:rPr>
        <w:t>7.3</w:t>
      </w:r>
      <w:r>
        <w:rPr>
          <w:rFonts w:hint="eastAsia"/>
        </w:rPr>
        <w:t>亿欧元，相当于经费总额的</w:t>
      </w:r>
      <w:r>
        <w:rPr>
          <w:rFonts w:hint="eastAsia"/>
        </w:rPr>
        <w:t>22%</w:t>
      </w:r>
      <w:r>
        <w:rPr>
          <w:rFonts w:hint="eastAsia"/>
        </w:rPr>
        <w:t>。此外，部分营业税收入也用于疾病保险的经费。在</w:t>
      </w:r>
      <w:r>
        <w:rPr>
          <w:rFonts w:hint="eastAsia"/>
        </w:rPr>
        <w:t>2004</w:t>
      </w:r>
      <w:r>
        <w:rPr>
          <w:rFonts w:hint="eastAsia"/>
        </w:rPr>
        <w:t>年，用去的营业税收入为</w:t>
      </w:r>
      <w:r>
        <w:rPr>
          <w:rFonts w:hint="eastAsia"/>
        </w:rPr>
        <w:t>6</w:t>
      </w:r>
      <w:r>
        <w:rPr>
          <w:rFonts w:hint="eastAsia"/>
        </w:rPr>
        <w:t>亿欧元。除此以外，从</w:t>
      </w:r>
      <w:r>
        <w:rPr>
          <w:rFonts w:hint="eastAsia"/>
        </w:rPr>
        <w:t>1999</w:t>
      </w:r>
      <w:r>
        <w:rPr>
          <w:rFonts w:hint="eastAsia"/>
        </w:rPr>
        <w:t>年到</w:t>
      </w:r>
      <w:r>
        <w:rPr>
          <w:rFonts w:hint="eastAsia"/>
        </w:rPr>
        <w:t>2004</w:t>
      </w:r>
      <w:r>
        <w:rPr>
          <w:rFonts w:hint="eastAsia"/>
        </w:rPr>
        <w:t>年，保险公司也专门为疾病保险缴纳了费用。</w:t>
      </w:r>
    </w:p>
    <w:p w:rsidR="00000000" w:rsidRDefault="00000000">
      <w:pPr>
        <w:rPr>
          <w:rFonts w:hint="eastAsia"/>
        </w:rPr>
      </w:pPr>
      <w:r>
        <w:rPr>
          <w:rFonts w:hint="eastAsia"/>
        </w:rPr>
        <w:tab/>
        <w:t>42</w:t>
      </w:r>
      <w:r>
        <w:t>3</w:t>
      </w:r>
      <w:r>
        <w:rPr>
          <w:rFonts w:hint="eastAsia"/>
        </w:rPr>
        <w:t xml:space="preserve">.  </w:t>
      </w:r>
      <w:r>
        <w:rPr>
          <w:rFonts w:hint="eastAsia"/>
        </w:rPr>
        <w:t>在</w:t>
      </w:r>
      <w:r>
        <w:rPr>
          <w:rFonts w:hint="eastAsia"/>
        </w:rPr>
        <w:t>2004</w:t>
      </w:r>
      <w:r>
        <w:rPr>
          <w:rFonts w:hint="eastAsia"/>
        </w:rPr>
        <w:t>年，投保人为疾病保险缴纳的保险费为其应税收入的</w:t>
      </w:r>
      <w:r>
        <w:rPr>
          <w:rFonts w:hint="eastAsia"/>
        </w:rPr>
        <w:t>1.5%</w:t>
      </w:r>
      <w:r>
        <w:rPr>
          <w:rFonts w:hint="eastAsia"/>
        </w:rPr>
        <w:t>。从</w:t>
      </w:r>
      <w:r>
        <w:rPr>
          <w:rFonts w:hint="eastAsia"/>
        </w:rPr>
        <w:t>2003</w:t>
      </w:r>
      <w:r>
        <w:rPr>
          <w:rFonts w:hint="eastAsia"/>
        </w:rPr>
        <w:t>年初开始，就取消了向投保人征收的社会保障保险费。</w:t>
      </w:r>
    </w:p>
    <w:p w:rsidR="00000000" w:rsidRDefault="00000000">
      <w:pPr>
        <w:rPr>
          <w:rFonts w:hint="eastAsia"/>
        </w:rPr>
      </w:pPr>
      <w:r>
        <w:rPr>
          <w:rFonts w:hint="eastAsia"/>
        </w:rPr>
        <w:tab/>
        <w:t>42</w:t>
      </w:r>
      <w:r>
        <w:t>4</w:t>
      </w:r>
      <w:r>
        <w:rPr>
          <w:rFonts w:hint="eastAsia"/>
        </w:rPr>
        <w:t xml:space="preserve">.  </w:t>
      </w:r>
      <w:r>
        <w:rPr>
          <w:rFonts w:hint="eastAsia"/>
        </w:rPr>
        <w:t>私营部门雇主所交的疾病保险费为其工资的</w:t>
      </w:r>
      <w:r>
        <w:rPr>
          <w:rFonts w:hint="eastAsia"/>
        </w:rPr>
        <w:t>1.614%</w:t>
      </w:r>
      <w:r>
        <w:rPr>
          <w:rFonts w:hint="eastAsia"/>
        </w:rPr>
        <w:t>；所交纳的国家退休金保险费为其工资的</w:t>
      </w:r>
      <w:r>
        <w:rPr>
          <w:rFonts w:hint="eastAsia"/>
        </w:rPr>
        <w:t>1.35%</w:t>
      </w:r>
      <w:r>
        <w:rPr>
          <w:rFonts w:hint="eastAsia"/>
        </w:rPr>
        <w:t>、</w:t>
      </w:r>
      <w:r>
        <w:rPr>
          <w:rFonts w:hint="eastAsia"/>
        </w:rPr>
        <w:t>3.55</w:t>
      </w:r>
      <w:r>
        <w:rPr>
          <w:rFonts w:hint="eastAsia"/>
        </w:rPr>
        <w:t>或者</w:t>
      </w:r>
      <w:r>
        <w:rPr>
          <w:rFonts w:hint="eastAsia"/>
        </w:rPr>
        <w:t>4.45</w:t>
      </w:r>
      <w:r>
        <w:rPr>
          <w:rFonts w:hint="eastAsia"/>
        </w:rPr>
        <w:t>。因此，</w:t>
      </w:r>
      <w:r>
        <w:rPr>
          <w:rFonts w:hint="eastAsia"/>
        </w:rPr>
        <w:t>2004</w:t>
      </w:r>
      <w:r>
        <w:rPr>
          <w:rFonts w:hint="eastAsia"/>
        </w:rPr>
        <w:t>年私营部门雇主所交纳的保险费为其工资的</w:t>
      </w:r>
      <w:r>
        <w:rPr>
          <w:rFonts w:hint="eastAsia"/>
        </w:rPr>
        <w:t>4%</w:t>
      </w:r>
      <w:r>
        <w:rPr>
          <w:rFonts w:hint="eastAsia"/>
        </w:rPr>
        <w:t>、</w:t>
      </w:r>
      <w:r>
        <w:rPr>
          <w:rFonts w:hint="eastAsia"/>
        </w:rPr>
        <w:t>5.6</w:t>
      </w:r>
      <w:r>
        <w:rPr>
          <w:rFonts w:hint="eastAsia"/>
        </w:rPr>
        <w:t>或者</w:t>
      </w:r>
      <w:r>
        <w:rPr>
          <w:rFonts w:hint="eastAsia"/>
        </w:rPr>
        <w:t>6.5</w:t>
      </w:r>
      <w:r>
        <w:rPr>
          <w:rFonts w:hint="eastAsia"/>
        </w:rPr>
        <w:t>。雇主没有义务缴纳儿童津贴保险费。国家机关工作人员所缴纳的疾病保险费相当于</w:t>
      </w:r>
      <w:r>
        <w:rPr>
          <w:rFonts w:hint="eastAsia"/>
        </w:rPr>
        <w:t>2.864%</w:t>
      </w:r>
      <w:r>
        <w:rPr>
          <w:rFonts w:hint="eastAsia"/>
        </w:rPr>
        <w:t>；教区、地方当局以及市级联合委员会的工作人员缴纳</w:t>
      </w:r>
      <w:r>
        <w:rPr>
          <w:rFonts w:hint="eastAsia"/>
        </w:rPr>
        <w:t>1.614%</w:t>
      </w:r>
      <w:r>
        <w:rPr>
          <w:rFonts w:hint="eastAsia"/>
        </w:rPr>
        <w:t>。国家机关工作人员所缴纳的国家退休金保险为</w:t>
      </w:r>
      <w:r>
        <w:rPr>
          <w:rFonts w:hint="eastAsia"/>
        </w:rPr>
        <w:t>3.95%</w:t>
      </w:r>
      <w:r>
        <w:rPr>
          <w:rFonts w:hint="eastAsia"/>
        </w:rPr>
        <w:t>；其他公共部门雇主缴纳其工资的</w:t>
      </w:r>
      <w:r>
        <w:rPr>
          <w:rFonts w:hint="eastAsia"/>
        </w:rPr>
        <w:t>2.4%</w:t>
      </w:r>
      <w:r>
        <w:rPr>
          <w:rFonts w:hint="eastAsia"/>
        </w:rPr>
        <w:t>。</w:t>
      </w:r>
    </w:p>
    <w:p w:rsidR="00000000" w:rsidRDefault="00000000">
      <w:pPr>
        <w:rPr>
          <w:rFonts w:hint="eastAsia"/>
        </w:rPr>
      </w:pPr>
      <w:r>
        <w:rPr>
          <w:rFonts w:hint="eastAsia"/>
        </w:rPr>
        <w:tab/>
        <w:t>42</w:t>
      </w:r>
      <w:r>
        <w:t>5</w:t>
      </w:r>
      <w:r>
        <w:rPr>
          <w:rFonts w:hint="eastAsia"/>
        </w:rPr>
        <w:t xml:space="preserve">.  </w:t>
      </w:r>
      <w:r>
        <w:rPr>
          <w:rFonts w:hint="eastAsia"/>
        </w:rPr>
        <w:t>正在拟定有关改革疾病保险筹款办法的计划，准备于</w:t>
      </w:r>
      <w:r>
        <w:rPr>
          <w:rFonts w:hint="eastAsia"/>
        </w:rPr>
        <w:t>2006</w:t>
      </w:r>
      <w:r>
        <w:rPr>
          <w:rFonts w:hint="eastAsia"/>
        </w:rPr>
        <w:t>年予以实施。将修订《疾病保险法》，计划将疾病保险计划分为两部分：医疗服务和收入保障。收入保障的经费将由雇主、雇员、私营企业以及国家共同负责。国家将支付一定数额的疾病津贴、家长津贴以及康复津贴。疾病保险的开支部分从投保人所缴纳的疾病保险费开支，部分来自国家预算。</w:t>
      </w:r>
    </w:p>
    <w:p w:rsidR="00000000" w:rsidRDefault="00000000">
      <w:pPr>
        <w:rPr>
          <w:rFonts w:hint="eastAsia"/>
        </w:rPr>
      </w:pPr>
      <w:r>
        <w:rPr>
          <w:rFonts w:hint="eastAsia"/>
        </w:rPr>
        <w:tab/>
        <w:t>42</w:t>
      </w:r>
      <w:r>
        <w:t>6</w:t>
      </w:r>
      <w:r>
        <w:rPr>
          <w:rFonts w:hint="eastAsia"/>
        </w:rPr>
        <w:t xml:space="preserve">.  </w:t>
      </w:r>
      <w:r>
        <w:rPr>
          <w:rFonts w:hint="eastAsia"/>
        </w:rPr>
        <w:t>关于退休金计划的经费，政府还提到了出版物“芬兰国家退休金战略报告</w:t>
      </w:r>
      <w:r>
        <w:rPr>
          <w:rFonts w:hint="eastAsia"/>
        </w:rPr>
        <w:t>(2002</w:t>
      </w:r>
      <w:r>
        <w:rPr>
          <w:rFonts w:hint="eastAsia"/>
        </w:rPr>
        <w:t>年</w:t>
      </w:r>
      <w:r>
        <w:rPr>
          <w:rFonts w:hint="eastAsia"/>
        </w:rPr>
        <w:t>)</w:t>
      </w:r>
      <w:r>
        <w:rPr>
          <w:rFonts w:hint="eastAsia"/>
        </w:rPr>
        <w:t>”中所载的目标</w:t>
      </w:r>
      <w:r>
        <w:rPr>
          <w:rFonts w:hint="eastAsia"/>
        </w:rPr>
        <w:t>6(</w:t>
      </w:r>
      <w:r>
        <w:rPr>
          <w:rFonts w:hint="eastAsia"/>
        </w:rPr>
        <w:t>附件二十六</w:t>
      </w:r>
      <w:r>
        <w:rPr>
          <w:rFonts w:hint="eastAsia"/>
        </w:rPr>
        <w:t>)</w:t>
      </w:r>
      <w:r>
        <w:rPr>
          <w:rFonts w:hint="eastAsia"/>
        </w:rPr>
        <w:t>。</w:t>
      </w:r>
    </w:p>
    <w:p w:rsidR="00000000" w:rsidRDefault="00000000">
      <w:pPr>
        <w:widowControl w:val="0"/>
        <w:spacing w:after="320"/>
        <w:rPr>
          <w:rFonts w:hint="eastAsia"/>
        </w:rPr>
      </w:pPr>
      <w:r>
        <w:rPr>
          <w:rFonts w:hint="eastAsia"/>
        </w:rPr>
        <w:tab/>
        <w:t>42</w:t>
      </w:r>
      <w:r>
        <w:t>7</w:t>
      </w:r>
      <w:r>
        <w:rPr>
          <w:rFonts w:hint="eastAsia"/>
        </w:rPr>
        <w:t xml:space="preserve">.  </w:t>
      </w:r>
      <w:r>
        <w:rPr>
          <w:rFonts w:hint="eastAsia"/>
        </w:rPr>
        <w:t>关于失业保障的经费，政府还提到了出版物“芬兰社会保护的趋势</w:t>
      </w:r>
      <w:r>
        <w:rPr>
          <w:rFonts w:hint="eastAsia"/>
        </w:rPr>
        <w:t>(2003</w:t>
      </w:r>
      <w:r>
        <w:rPr>
          <w:rFonts w:hint="eastAsia"/>
        </w:rPr>
        <w:t>年</w:t>
      </w:r>
      <w:r>
        <w:rPr>
          <w:rFonts w:hint="eastAsia"/>
        </w:rPr>
        <w:t>)</w:t>
      </w:r>
      <w:r>
        <w:rPr>
          <w:rFonts w:hint="eastAsia"/>
        </w:rPr>
        <w:t>”中的第</w:t>
      </w:r>
      <w:r>
        <w:rPr>
          <w:rFonts w:hint="eastAsia"/>
        </w:rPr>
        <w:t>5.6.8</w:t>
      </w:r>
      <w:r>
        <w:rPr>
          <w:rFonts w:hint="eastAsia"/>
        </w:rPr>
        <w:t>节</w:t>
      </w:r>
      <w:r>
        <w:rPr>
          <w:rFonts w:hint="eastAsia"/>
        </w:rPr>
        <w:t>(</w:t>
      </w:r>
      <w:r>
        <w:rPr>
          <w:rFonts w:hint="eastAsia"/>
        </w:rPr>
        <w:t>附件二十五</w:t>
      </w:r>
      <w:r>
        <w:rPr>
          <w:rFonts w:hint="eastAsia"/>
        </w:rPr>
        <w:t>)</w:t>
      </w:r>
      <w:r>
        <w:rPr>
          <w:rFonts w:hint="eastAsia"/>
        </w:rPr>
        <w:t>。</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22</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从</w:t>
      </w:r>
      <w:r>
        <w:rPr>
          <w:rFonts w:ascii="Time New Roman" w:eastAsia="SimHei" w:hAnsi="Time New Roman" w:hint="eastAsia"/>
          <w:b/>
          <w:sz w:val="22"/>
          <w:u w:val="none"/>
        </w:rPr>
        <w:t>1999</w:t>
      </w:r>
      <w:r>
        <w:rPr>
          <w:rFonts w:ascii="Time New Roman" w:eastAsia="SimHei" w:hAnsi="Time New Roman" w:hint="eastAsia"/>
          <w:sz w:val="22"/>
          <w:u w:val="none"/>
        </w:rPr>
        <w:t>年到</w:t>
      </w:r>
      <w:r>
        <w:rPr>
          <w:rFonts w:ascii="Time New Roman" w:eastAsia="SimHei" w:hAnsi="Time New Roman" w:hint="eastAsia"/>
          <w:b/>
          <w:sz w:val="22"/>
          <w:u w:val="none"/>
        </w:rPr>
        <w:t>2004</w:t>
      </w:r>
      <w:r>
        <w:rPr>
          <w:rFonts w:ascii="Time New Roman" w:eastAsia="SimHei" w:hAnsi="Time New Roman" w:hint="eastAsia"/>
          <w:sz w:val="22"/>
          <w:u w:val="none"/>
        </w:rPr>
        <w:t>年社会保障的缴款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1"/>
        <w:gridCol w:w="1594"/>
        <w:gridCol w:w="1594"/>
        <w:gridCol w:w="1591"/>
      </w:tblGrid>
      <w:tr w:rsidR="00000000">
        <w:tblPrEx>
          <w:tblCellMar>
            <w:top w:w="0" w:type="dxa"/>
            <w:bottom w:w="0" w:type="dxa"/>
          </w:tblCellMar>
        </w:tblPrEx>
        <w:tc>
          <w:tcPr>
            <w:tcW w:w="2503" w:type="pct"/>
          </w:tcPr>
          <w:p w:rsidR="00000000" w:rsidRDefault="00000000">
            <w:pPr>
              <w:autoSpaceDE w:val="0"/>
              <w:autoSpaceDN w:val="0"/>
              <w:spacing w:before="80" w:line="288" w:lineRule="auto"/>
              <w:jc w:val="center"/>
              <w:rPr>
                <w:rFonts w:hint="eastAsia"/>
                <w:sz w:val="22"/>
              </w:rPr>
            </w:pPr>
            <w:r>
              <w:rPr>
                <w:rFonts w:hint="eastAsia"/>
                <w:sz w:val="22"/>
              </w:rPr>
              <w:t>缴</w:t>
            </w:r>
            <w:r>
              <w:rPr>
                <w:rFonts w:hint="eastAsia"/>
                <w:sz w:val="22"/>
              </w:rPr>
              <w:t xml:space="preserve">  </w:t>
            </w:r>
            <w:r>
              <w:rPr>
                <w:rFonts w:hint="eastAsia"/>
                <w:sz w:val="22"/>
              </w:rPr>
              <w:t>款</w:t>
            </w:r>
          </w:p>
        </w:tc>
        <w:tc>
          <w:tcPr>
            <w:tcW w:w="833" w:type="pct"/>
          </w:tcPr>
          <w:p w:rsidR="00000000" w:rsidRDefault="00000000">
            <w:pPr>
              <w:autoSpaceDE w:val="0"/>
              <w:autoSpaceDN w:val="0"/>
              <w:spacing w:before="80" w:line="288" w:lineRule="auto"/>
              <w:jc w:val="center"/>
              <w:rPr>
                <w:sz w:val="22"/>
              </w:rPr>
            </w:pPr>
            <w:r>
              <w:rPr>
                <w:sz w:val="22"/>
              </w:rPr>
              <w:t>1999</w:t>
            </w:r>
          </w:p>
        </w:tc>
        <w:tc>
          <w:tcPr>
            <w:tcW w:w="833" w:type="pct"/>
          </w:tcPr>
          <w:p w:rsidR="00000000" w:rsidRDefault="00000000">
            <w:pPr>
              <w:autoSpaceDE w:val="0"/>
              <w:autoSpaceDN w:val="0"/>
              <w:spacing w:before="80" w:line="288" w:lineRule="auto"/>
              <w:jc w:val="center"/>
              <w:rPr>
                <w:sz w:val="22"/>
              </w:rPr>
            </w:pPr>
            <w:r>
              <w:rPr>
                <w:sz w:val="22"/>
              </w:rPr>
              <w:t>2000</w:t>
            </w:r>
          </w:p>
        </w:tc>
        <w:tc>
          <w:tcPr>
            <w:tcW w:w="831" w:type="pct"/>
          </w:tcPr>
          <w:p w:rsidR="00000000" w:rsidRDefault="00000000">
            <w:pPr>
              <w:autoSpaceDE w:val="0"/>
              <w:autoSpaceDN w:val="0"/>
              <w:spacing w:before="80" w:line="288" w:lineRule="auto"/>
              <w:jc w:val="center"/>
              <w:rPr>
                <w:sz w:val="22"/>
              </w:rPr>
            </w:pPr>
            <w:r>
              <w:rPr>
                <w:sz w:val="22"/>
              </w:rPr>
              <w:t>2001</w:t>
            </w:r>
          </w:p>
        </w:tc>
      </w:tr>
      <w:tr w:rsidR="00000000">
        <w:tblPrEx>
          <w:tblCellMar>
            <w:top w:w="0" w:type="dxa"/>
            <w:bottom w:w="0" w:type="dxa"/>
          </w:tblCellMar>
        </w:tblPrEx>
        <w:tc>
          <w:tcPr>
            <w:tcW w:w="2503" w:type="pct"/>
            <w:tcBorders>
              <w:bottom w:val="nil"/>
            </w:tcBorders>
          </w:tcPr>
          <w:p w:rsidR="00000000" w:rsidRDefault="00000000">
            <w:pPr>
              <w:pStyle w:val="a2"/>
              <w:spacing w:before="60"/>
              <w:rPr>
                <w:rFonts w:hint="eastAsia"/>
              </w:rPr>
            </w:pPr>
            <w:r>
              <w:rPr>
                <w:rFonts w:hint="eastAsia"/>
              </w:rPr>
              <w:t>雇主</w:t>
            </w:r>
            <w:r>
              <w:rPr>
                <w:rFonts w:hint="eastAsia"/>
              </w:rPr>
              <w:t>/</w:t>
            </w:r>
            <w:r>
              <w:rPr>
                <w:rFonts w:hint="eastAsia"/>
              </w:rPr>
              <w:t>私营部门</w:t>
            </w:r>
            <w:r>
              <w:rPr>
                <w:rFonts w:hint="eastAsia"/>
              </w:rPr>
              <w:t>(</w:t>
            </w:r>
            <w:r>
              <w:rPr>
                <w:rFonts w:hint="eastAsia"/>
              </w:rPr>
              <w:t>占工资的百分比</w:t>
            </w:r>
            <w:r>
              <w:rPr>
                <w:rFonts w:hint="eastAsia"/>
              </w:rPr>
              <w:t>)</w:t>
            </w:r>
          </w:p>
        </w:tc>
        <w:tc>
          <w:tcPr>
            <w:tcW w:w="833" w:type="pct"/>
            <w:tcBorders>
              <w:bottom w:val="nil"/>
            </w:tcBorders>
          </w:tcPr>
          <w:p w:rsidR="00000000" w:rsidRDefault="00000000">
            <w:pPr>
              <w:pStyle w:val="a2"/>
              <w:jc w:val="center"/>
            </w:pPr>
          </w:p>
        </w:tc>
        <w:tc>
          <w:tcPr>
            <w:tcW w:w="833" w:type="pct"/>
            <w:tcBorders>
              <w:bottom w:val="nil"/>
            </w:tcBorders>
          </w:tcPr>
          <w:p w:rsidR="00000000" w:rsidRDefault="00000000">
            <w:pPr>
              <w:pStyle w:val="a2"/>
              <w:jc w:val="center"/>
            </w:pPr>
          </w:p>
        </w:tc>
        <w:tc>
          <w:tcPr>
            <w:tcW w:w="831" w:type="pct"/>
            <w:tcBorders>
              <w:bottom w:val="nil"/>
            </w:tcBorders>
          </w:tcPr>
          <w:p w:rsidR="00000000" w:rsidRDefault="00000000">
            <w:pPr>
              <w:pStyle w:val="a2"/>
              <w:jc w:val="center"/>
            </w:pP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国家退休金</w:t>
            </w:r>
          </w:p>
        </w:tc>
        <w:tc>
          <w:tcPr>
            <w:tcW w:w="833" w:type="pct"/>
            <w:tcBorders>
              <w:top w:val="nil"/>
              <w:bottom w:val="nil"/>
            </w:tcBorders>
          </w:tcPr>
          <w:p w:rsidR="00000000" w:rsidRDefault="00000000">
            <w:pPr>
              <w:pStyle w:val="a2"/>
              <w:jc w:val="center"/>
            </w:pPr>
            <w:r>
              <w:t>2.40-4.90</w:t>
            </w:r>
          </w:p>
        </w:tc>
        <w:tc>
          <w:tcPr>
            <w:tcW w:w="833" w:type="pct"/>
            <w:tcBorders>
              <w:top w:val="nil"/>
              <w:bottom w:val="nil"/>
            </w:tcBorders>
          </w:tcPr>
          <w:p w:rsidR="00000000" w:rsidRDefault="00000000">
            <w:pPr>
              <w:pStyle w:val="a2"/>
              <w:jc w:val="center"/>
            </w:pPr>
            <w:r>
              <w:t>2.40-4.90</w:t>
            </w:r>
            <w:r>
              <w:rPr>
                <w:rFonts w:ascii="Courier New" w:hAnsi="Courier New" w:cs="Courier New"/>
              </w:rPr>
              <w:t>¹</w:t>
            </w:r>
          </w:p>
        </w:tc>
        <w:tc>
          <w:tcPr>
            <w:tcW w:w="831" w:type="pct"/>
            <w:tcBorders>
              <w:top w:val="nil"/>
              <w:bottom w:val="nil"/>
            </w:tcBorders>
          </w:tcPr>
          <w:p w:rsidR="00000000" w:rsidRDefault="00000000">
            <w:pPr>
              <w:pStyle w:val="a2"/>
              <w:jc w:val="center"/>
            </w:pPr>
            <w:r>
              <w:t>2.00-4.90</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疾病保险</w:t>
            </w:r>
          </w:p>
        </w:tc>
        <w:tc>
          <w:tcPr>
            <w:tcW w:w="833" w:type="pct"/>
            <w:tcBorders>
              <w:top w:val="nil"/>
              <w:bottom w:val="nil"/>
            </w:tcBorders>
          </w:tcPr>
          <w:p w:rsidR="00000000" w:rsidRDefault="00000000">
            <w:pPr>
              <w:pStyle w:val="a2"/>
              <w:jc w:val="center"/>
            </w:pPr>
            <w:r>
              <w:t>1.60</w:t>
            </w:r>
          </w:p>
        </w:tc>
        <w:tc>
          <w:tcPr>
            <w:tcW w:w="833" w:type="pct"/>
            <w:tcBorders>
              <w:top w:val="nil"/>
              <w:bottom w:val="nil"/>
            </w:tcBorders>
          </w:tcPr>
          <w:p w:rsidR="00000000" w:rsidRDefault="00000000">
            <w:pPr>
              <w:pStyle w:val="a2"/>
              <w:jc w:val="center"/>
            </w:pPr>
            <w:r>
              <w:t>1.60</w:t>
            </w:r>
          </w:p>
        </w:tc>
        <w:tc>
          <w:tcPr>
            <w:tcW w:w="831" w:type="pct"/>
            <w:tcBorders>
              <w:top w:val="nil"/>
              <w:bottom w:val="nil"/>
            </w:tcBorders>
          </w:tcPr>
          <w:p w:rsidR="00000000" w:rsidRDefault="00000000">
            <w:pPr>
              <w:pStyle w:val="a2"/>
              <w:jc w:val="center"/>
            </w:pPr>
            <w:r>
              <w:t>1.60</w:t>
            </w:r>
          </w:p>
        </w:tc>
      </w:tr>
      <w:tr w:rsidR="00000000">
        <w:tblPrEx>
          <w:tblCellMar>
            <w:top w:w="0" w:type="dxa"/>
            <w:bottom w:w="0" w:type="dxa"/>
          </w:tblCellMar>
        </w:tblPrEx>
        <w:tc>
          <w:tcPr>
            <w:tcW w:w="2503" w:type="pct"/>
            <w:tcBorders>
              <w:top w:val="nil"/>
              <w:bottom w:val="nil"/>
            </w:tcBorders>
          </w:tcPr>
          <w:p w:rsidR="00000000" w:rsidRDefault="00000000">
            <w:pPr>
              <w:pStyle w:val="a2"/>
            </w:pPr>
            <w:r>
              <w:t xml:space="preserve">  </w:t>
            </w:r>
            <w:r>
              <w:rPr>
                <w:rFonts w:hint="eastAsia"/>
              </w:rPr>
              <w:t>就业保险金</w:t>
            </w:r>
            <w:r>
              <w:t>(</w:t>
            </w:r>
            <w:r>
              <w:rPr>
                <w:rFonts w:hint="eastAsia"/>
              </w:rPr>
              <w:t>平均</w:t>
            </w:r>
            <w:r>
              <w:t>)</w:t>
            </w:r>
          </w:p>
        </w:tc>
        <w:tc>
          <w:tcPr>
            <w:tcW w:w="833" w:type="pct"/>
            <w:tcBorders>
              <w:top w:val="nil"/>
              <w:bottom w:val="nil"/>
            </w:tcBorders>
          </w:tcPr>
          <w:p w:rsidR="00000000" w:rsidRDefault="00000000">
            <w:pPr>
              <w:pStyle w:val="a2"/>
              <w:jc w:val="center"/>
            </w:pPr>
            <w:r>
              <w:t>16.80</w:t>
            </w:r>
          </w:p>
        </w:tc>
        <w:tc>
          <w:tcPr>
            <w:tcW w:w="833" w:type="pct"/>
            <w:tcBorders>
              <w:top w:val="nil"/>
              <w:bottom w:val="nil"/>
            </w:tcBorders>
          </w:tcPr>
          <w:p w:rsidR="00000000" w:rsidRDefault="00000000">
            <w:pPr>
              <w:pStyle w:val="a2"/>
              <w:jc w:val="center"/>
            </w:pPr>
            <w:r>
              <w:t>16.80</w:t>
            </w:r>
          </w:p>
        </w:tc>
        <w:tc>
          <w:tcPr>
            <w:tcW w:w="831" w:type="pct"/>
            <w:tcBorders>
              <w:top w:val="nil"/>
              <w:bottom w:val="nil"/>
            </w:tcBorders>
          </w:tcPr>
          <w:p w:rsidR="00000000" w:rsidRDefault="00000000">
            <w:pPr>
              <w:pStyle w:val="a2"/>
              <w:jc w:val="center"/>
            </w:pPr>
            <w:r>
              <w:t>16.60</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失业保险</w:t>
            </w:r>
          </w:p>
        </w:tc>
        <w:tc>
          <w:tcPr>
            <w:tcW w:w="833" w:type="pct"/>
            <w:tcBorders>
              <w:top w:val="nil"/>
              <w:bottom w:val="nil"/>
            </w:tcBorders>
          </w:tcPr>
          <w:p w:rsidR="00000000" w:rsidRDefault="00000000">
            <w:pPr>
              <w:pStyle w:val="a2"/>
              <w:jc w:val="center"/>
            </w:pPr>
            <w:r>
              <w:t>0.90/3.85</w:t>
            </w:r>
          </w:p>
        </w:tc>
        <w:tc>
          <w:tcPr>
            <w:tcW w:w="833" w:type="pct"/>
            <w:tcBorders>
              <w:top w:val="nil"/>
              <w:bottom w:val="nil"/>
            </w:tcBorders>
          </w:tcPr>
          <w:p w:rsidR="00000000" w:rsidRDefault="00000000">
            <w:pPr>
              <w:pStyle w:val="a2"/>
              <w:jc w:val="center"/>
            </w:pPr>
            <w:r>
              <w:t>0.90/3.45</w:t>
            </w:r>
          </w:p>
        </w:tc>
        <w:tc>
          <w:tcPr>
            <w:tcW w:w="831" w:type="pct"/>
            <w:tcBorders>
              <w:top w:val="nil"/>
              <w:bottom w:val="nil"/>
            </w:tcBorders>
          </w:tcPr>
          <w:p w:rsidR="00000000" w:rsidRDefault="00000000">
            <w:pPr>
              <w:pStyle w:val="a2"/>
              <w:jc w:val="center"/>
            </w:pPr>
            <w:r>
              <w:t>0.80/3.1</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工资最高限额，</w:t>
            </w:r>
            <w:r>
              <w:rPr>
                <w:rFonts w:hint="eastAsia"/>
              </w:rPr>
              <w:t>50</w:t>
            </w:r>
            <w:r>
              <w:rPr>
                <w:rFonts w:hint="eastAsia"/>
              </w:rPr>
              <w:t>亿芬兰马克</w:t>
            </w:r>
            <w:r>
              <w:rPr>
                <w:rFonts w:hint="eastAsia"/>
              </w:rPr>
              <w:t>/</w:t>
            </w:r>
            <w:r>
              <w:rPr>
                <w:rFonts w:hint="eastAsia"/>
              </w:rPr>
              <w:t>超出部分</w:t>
            </w:r>
            <w:r>
              <w:t>)</w:t>
            </w:r>
          </w:p>
        </w:tc>
        <w:tc>
          <w:tcPr>
            <w:tcW w:w="833" w:type="pct"/>
            <w:tcBorders>
              <w:top w:val="nil"/>
              <w:bottom w:val="nil"/>
            </w:tcBorders>
          </w:tcPr>
          <w:p w:rsidR="00000000" w:rsidRDefault="00000000">
            <w:pPr>
              <w:pStyle w:val="a2"/>
              <w:jc w:val="center"/>
            </w:pPr>
          </w:p>
        </w:tc>
        <w:tc>
          <w:tcPr>
            <w:tcW w:w="833" w:type="pct"/>
            <w:tcBorders>
              <w:top w:val="nil"/>
              <w:bottom w:val="nil"/>
            </w:tcBorders>
          </w:tcPr>
          <w:p w:rsidR="00000000" w:rsidRDefault="00000000">
            <w:pPr>
              <w:pStyle w:val="a2"/>
              <w:jc w:val="center"/>
            </w:pPr>
          </w:p>
        </w:tc>
        <w:tc>
          <w:tcPr>
            <w:tcW w:w="831" w:type="pct"/>
            <w:tcBorders>
              <w:top w:val="nil"/>
              <w:bottom w:val="nil"/>
            </w:tcBorders>
          </w:tcPr>
          <w:p w:rsidR="00000000" w:rsidRDefault="00000000">
            <w:pPr>
              <w:pStyle w:val="a2"/>
              <w:jc w:val="center"/>
            </w:pP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rPr>
                <w:rFonts w:hint="eastAsia"/>
              </w:rPr>
              <w:t>雇员</w:t>
            </w:r>
            <w:r>
              <w:rPr>
                <w:rFonts w:hint="eastAsia"/>
              </w:rPr>
              <w:t>/</w:t>
            </w:r>
            <w:r>
              <w:rPr>
                <w:rFonts w:hint="eastAsia"/>
              </w:rPr>
              <w:t>投保人</w:t>
            </w:r>
          </w:p>
        </w:tc>
        <w:tc>
          <w:tcPr>
            <w:tcW w:w="833" w:type="pct"/>
            <w:tcBorders>
              <w:top w:val="nil"/>
              <w:bottom w:val="nil"/>
            </w:tcBorders>
          </w:tcPr>
          <w:p w:rsidR="00000000" w:rsidRDefault="00000000">
            <w:pPr>
              <w:pStyle w:val="a2"/>
              <w:jc w:val="center"/>
            </w:pPr>
          </w:p>
        </w:tc>
        <w:tc>
          <w:tcPr>
            <w:tcW w:w="833" w:type="pct"/>
            <w:tcBorders>
              <w:top w:val="nil"/>
              <w:bottom w:val="nil"/>
            </w:tcBorders>
          </w:tcPr>
          <w:p w:rsidR="00000000" w:rsidRDefault="00000000">
            <w:pPr>
              <w:pStyle w:val="a2"/>
              <w:jc w:val="center"/>
            </w:pPr>
          </w:p>
        </w:tc>
        <w:tc>
          <w:tcPr>
            <w:tcW w:w="831" w:type="pct"/>
            <w:tcBorders>
              <w:top w:val="nil"/>
              <w:bottom w:val="nil"/>
            </w:tcBorders>
          </w:tcPr>
          <w:p w:rsidR="00000000" w:rsidRDefault="00000000">
            <w:pPr>
              <w:pStyle w:val="a2"/>
              <w:jc w:val="center"/>
            </w:pPr>
          </w:p>
        </w:tc>
      </w:tr>
      <w:tr w:rsidR="00000000">
        <w:tblPrEx>
          <w:tblCellMar>
            <w:top w:w="0" w:type="dxa"/>
            <w:bottom w:w="0" w:type="dxa"/>
          </w:tblCellMar>
        </w:tblPrEx>
        <w:tc>
          <w:tcPr>
            <w:tcW w:w="2503" w:type="pct"/>
            <w:tcBorders>
              <w:top w:val="nil"/>
              <w:bottom w:val="nil"/>
            </w:tcBorders>
          </w:tcPr>
          <w:p w:rsidR="00000000" w:rsidRDefault="00000000">
            <w:pPr>
              <w:pStyle w:val="a2"/>
            </w:pPr>
            <w:r>
              <w:t xml:space="preserve">  </w:t>
            </w:r>
            <w:r>
              <w:rPr>
                <w:rFonts w:hint="eastAsia"/>
              </w:rPr>
              <w:t>疾病保险</w:t>
            </w:r>
            <w:r>
              <w:t>(</w:t>
            </w:r>
            <w:r>
              <w:rPr>
                <w:rFonts w:hint="eastAsia"/>
              </w:rPr>
              <w:t>占应当纳税收入的百分比</w:t>
            </w:r>
            <w:r>
              <w:t>)</w:t>
            </w:r>
          </w:p>
        </w:tc>
        <w:tc>
          <w:tcPr>
            <w:tcW w:w="833" w:type="pct"/>
            <w:tcBorders>
              <w:top w:val="nil"/>
              <w:bottom w:val="nil"/>
            </w:tcBorders>
          </w:tcPr>
          <w:p w:rsidR="00000000" w:rsidRDefault="00000000">
            <w:pPr>
              <w:pStyle w:val="a2"/>
              <w:jc w:val="center"/>
            </w:pPr>
            <w:r>
              <w:t>1.50</w:t>
            </w:r>
          </w:p>
        </w:tc>
        <w:tc>
          <w:tcPr>
            <w:tcW w:w="833" w:type="pct"/>
            <w:tcBorders>
              <w:top w:val="nil"/>
              <w:bottom w:val="nil"/>
            </w:tcBorders>
          </w:tcPr>
          <w:p w:rsidR="00000000" w:rsidRDefault="00000000">
            <w:pPr>
              <w:pStyle w:val="a2"/>
              <w:jc w:val="center"/>
            </w:pPr>
            <w:r>
              <w:t>1.50</w:t>
            </w:r>
          </w:p>
        </w:tc>
        <w:tc>
          <w:tcPr>
            <w:tcW w:w="831" w:type="pct"/>
            <w:tcBorders>
              <w:top w:val="nil"/>
              <w:bottom w:val="nil"/>
            </w:tcBorders>
          </w:tcPr>
          <w:p w:rsidR="00000000" w:rsidRDefault="00000000">
            <w:pPr>
              <w:pStyle w:val="a2"/>
              <w:jc w:val="center"/>
            </w:pPr>
            <w:r>
              <w:t>1.50</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 </w:t>
            </w:r>
            <w:r>
              <w:rPr>
                <w:rFonts w:hint="eastAsia"/>
              </w:rPr>
              <w:t>退休金增幅</w:t>
            </w:r>
          </w:p>
        </w:tc>
        <w:tc>
          <w:tcPr>
            <w:tcW w:w="833" w:type="pct"/>
            <w:tcBorders>
              <w:top w:val="nil"/>
              <w:bottom w:val="nil"/>
            </w:tcBorders>
          </w:tcPr>
          <w:p w:rsidR="00000000" w:rsidRDefault="00000000">
            <w:pPr>
              <w:pStyle w:val="a2"/>
              <w:jc w:val="center"/>
            </w:pPr>
            <w:r>
              <w:t>2.40</w:t>
            </w:r>
          </w:p>
        </w:tc>
        <w:tc>
          <w:tcPr>
            <w:tcW w:w="833" w:type="pct"/>
            <w:tcBorders>
              <w:top w:val="nil"/>
              <w:bottom w:val="nil"/>
            </w:tcBorders>
          </w:tcPr>
          <w:p w:rsidR="00000000" w:rsidRDefault="00000000">
            <w:pPr>
              <w:pStyle w:val="a2"/>
              <w:jc w:val="center"/>
            </w:pPr>
            <w:r>
              <w:t>1.70</w:t>
            </w:r>
          </w:p>
        </w:tc>
        <w:tc>
          <w:tcPr>
            <w:tcW w:w="831" w:type="pct"/>
            <w:tcBorders>
              <w:top w:val="nil"/>
              <w:bottom w:val="nil"/>
            </w:tcBorders>
          </w:tcPr>
          <w:p w:rsidR="00000000" w:rsidRDefault="00000000">
            <w:pPr>
              <w:pStyle w:val="a2"/>
              <w:jc w:val="center"/>
            </w:pPr>
            <w:r>
              <w:t>1.20</w:t>
            </w:r>
          </w:p>
        </w:tc>
      </w:tr>
      <w:tr w:rsidR="00000000">
        <w:tblPrEx>
          <w:tblCellMar>
            <w:top w:w="0" w:type="dxa"/>
            <w:bottom w:w="0" w:type="dxa"/>
          </w:tblCellMar>
        </w:tblPrEx>
        <w:tc>
          <w:tcPr>
            <w:tcW w:w="2503" w:type="pct"/>
            <w:tcBorders>
              <w:top w:val="nil"/>
              <w:bottom w:val="nil"/>
            </w:tcBorders>
          </w:tcPr>
          <w:p w:rsidR="00000000" w:rsidRDefault="00000000">
            <w:pPr>
              <w:pStyle w:val="a2"/>
            </w:pPr>
            <w:r>
              <w:t xml:space="preserve">  </w:t>
            </w:r>
            <w:r>
              <w:rPr>
                <w:rFonts w:hint="eastAsia"/>
              </w:rPr>
              <w:t>就业退休金</w:t>
            </w:r>
            <w:r>
              <w:t>(</w:t>
            </w:r>
            <w:r>
              <w:rPr>
                <w:rFonts w:hint="eastAsia"/>
              </w:rPr>
              <w:t>占工资的百分比</w:t>
            </w:r>
            <w:r>
              <w:t>)</w:t>
            </w:r>
          </w:p>
        </w:tc>
        <w:tc>
          <w:tcPr>
            <w:tcW w:w="833" w:type="pct"/>
            <w:tcBorders>
              <w:top w:val="nil"/>
              <w:bottom w:val="nil"/>
            </w:tcBorders>
          </w:tcPr>
          <w:p w:rsidR="00000000" w:rsidRDefault="00000000">
            <w:pPr>
              <w:pStyle w:val="a2"/>
              <w:jc w:val="center"/>
            </w:pPr>
            <w:r>
              <w:t>4.70</w:t>
            </w:r>
          </w:p>
        </w:tc>
        <w:tc>
          <w:tcPr>
            <w:tcW w:w="833" w:type="pct"/>
            <w:tcBorders>
              <w:top w:val="nil"/>
              <w:bottom w:val="nil"/>
            </w:tcBorders>
          </w:tcPr>
          <w:p w:rsidR="00000000" w:rsidRDefault="00000000">
            <w:pPr>
              <w:pStyle w:val="a2"/>
              <w:jc w:val="center"/>
            </w:pPr>
            <w:r>
              <w:t>4.70</w:t>
            </w:r>
          </w:p>
        </w:tc>
        <w:tc>
          <w:tcPr>
            <w:tcW w:w="831" w:type="pct"/>
            <w:tcBorders>
              <w:top w:val="nil"/>
              <w:bottom w:val="nil"/>
            </w:tcBorders>
          </w:tcPr>
          <w:p w:rsidR="00000000" w:rsidRDefault="00000000">
            <w:pPr>
              <w:pStyle w:val="a2"/>
              <w:jc w:val="center"/>
            </w:pPr>
            <w:r>
              <w:t>4.50</w:t>
            </w:r>
          </w:p>
        </w:tc>
      </w:tr>
      <w:tr w:rsidR="00000000">
        <w:tblPrEx>
          <w:tblCellMar>
            <w:top w:w="0" w:type="dxa"/>
            <w:bottom w:w="0" w:type="dxa"/>
          </w:tblCellMar>
        </w:tblPrEx>
        <w:tc>
          <w:tcPr>
            <w:tcW w:w="2503" w:type="pct"/>
            <w:tcBorders>
              <w:top w:val="nil"/>
            </w:tcBorders>
          </w:tcPr>
          <w:p w:rsidR="00000000" w:rsidRDefault="00000000">
            <w:pPr>
              <w:pStyle w:val="a2"/>
              <w:spacing w:after="60"/>
            </w:pPr>
            <w:r>
              <w:t xml:space="preserve">  </w:t>
            </w:r>
            <w:r>
              <w:rPr>
                <w:rFonts w:hint="eastAsia"/>
              </w:rPr>
              <w:t>失业保险</w:t>
            </w:r>
            <w:r>
              <w:t>(</w:t>
            </w:r>
            <w:r>
              <w:rPr>
                <w:rFonts w:hint="eastAsia"/>
              </w:rPr>
              <w:t>占工资的百分比</w:t>
            </w:r>
            <w:r>
              <w:t>)</w:t>
            </w:r>
          </w:p>
        </w:tc>
        <w:tc>
          <w:tcPr>
            <w:tcW w:w="833" w:type="pct"/>
            <w:tcBorders>
              <w:top w:val="nil"/>
            </w:tcBorders>
          </w:tcPr>
          <w:p w:rsidR="00000000" w:rsidRDefault="00000000">
            <w:pPr>
              <w:pStyle w:val="a2"/>
              <w:jc w:val="center"/>
            </w:pPr>
            <w:r>
              <w:t>1.35</w:t>
            </w:r>
          </w:p>
        </w:tc>
        <w:tc>
          <w:tcPr>
            <w:tcW w:w="833" w:type="pct"/>
            <w:tcBorders>
              <w:top w:val="nil"/>
            </w:tcBorders>
          </w:tcPr>
          <w:p w:rsidR="00000000" w:rsidRDefault="00000000">
            <w:pPr>
              <w:pStyle w:val="a2"/>
              <w:jc w:val="center"/>
            </w:pPr>
            <w:r>
              <w:t>1.00</w:t>
            </w:r>
          </w:p>
        </w:tc>
        <w:tc>
          <w:tcPr>
            <w:tcW w:w="831" w:type="pct"/>
            <w:tcBorders>
              <w:top w:val="nil"/>
            </w:tcBorders>
          </w:tcPr>
          <w:p w:rsidR="00000000" w:rsidRDefault="00000000">
            <w:pPr>
              <w:pStyle w:val="a2"/>
              <w:jc w:val="center"/>
            </w:pPr>
            <w:r>
              <w:t>0.70</w:t>
            </w:r>
          </w:p>
        </w:tc>
      </w:tr>
    </w:tbl>
    <w:p w:rsidR="00000000" w:rsidRDefault="00000000">
      <w:pPr>
        <w:spacing w:before="120"/>
        <w:ind w:left="260"/>
        <w:jc w:val="left"/>
        <w:rPr>
          <w:rFonts w:eastAsia="KaiTi_GB2312" w:hint="eastAsia"/>
          <w:snapToGrid/>
          <w:spacing w:val="0"/>
          <w:sz w:val="22"/>
        </w:rPr>
      </w:pPr>
      <w:r>
        <w:rPr>
          <w:rFonts w:eastAsia="KaiTi_GB2312"/>
          <w:snapToGrid/>
          <w:spacing w:val="0"/>
          <w:sz w:val="22"/>
          <w:vertAlign w:val="superscript"/>
        </w:rPr>
        <w:t>1</w:t>
      </w:r>
      <w:r>
        <w:rPr>
          <w:rFonts w:eastAsia="KaiTi_GB2312" w:hint="eastAsia"/>
          <w:snapToGrid/>
          <w:spacing w:val="0"/>
          <w:sz w:val="22"/>
        </w:rPr>
        <w:t xml:space="preserve">  </w:t>
      </w:r>
      <w:r>
        <w:rPr>
          <w:rFonts w:eastAsia="KaiTi_GB2312" w:hint="eastAsia"/>
          <w:snapToGrid/>
          <w:spacing w:val="0"/>
          <w:sz w:val="22"/>
        </w:rPr>
        <w:t>从</w:t>
      </w:r>
      <w:r>
        <w:rPr>
          <w:rFonts w:eastAsia="KaiTi_GB2312" w:hint="eastAsia"/>
          <w:snapToGrid/>
          <w:spacing w:val="0"/>
          <w:sz w:val="22"/>
        </w:rPr>
        <w:t>2000</w:t>
      </w:r>
      <w:r>
        <w:rPr>
          <w:rFonts w:eastAsia="KaiTi_GB2312" w:hint="eastAsia"/>
          <w:snapToGrid/>
          <w:spacing w:val="0"/>
          <w:sz w:val="22"/>
        </w:rPr>
        <w:t>年</w:t>
      </w:r>
      <w:r>
        <w:rPr>
          <w:rFonts w:eastAsia="KaiTi_GB2312" w:hint="eastAsia"/>
          <w:snapToGrid/>
          <w:spacing w:val="0"/>
          <w:sz w:val="22"/>
        </w:rPr>
        <w:t>7</w:t>
      </w:r>
      <w:r>
        <w:rPr>
          <w:rFonts w:eastAsia="KaiTi_GB2312" w:hint="eastAsia"/>
          <w:snapToGrid/>
          <w:spacing w:val="0"/>
          <w:sz w:val="22"/>
        </w:rPr>
        <w:t>月</w:t>
      </w:r>
      <w:r>
        <w:rPr>
          <w:rFonts w:eastAsia="KaiTi_GB2312" w:hint="eastAsia"/>
          <w:snapToGrid/>
          <w:spacing w:val="0"/>
          <w:sz w:val="22"/>
        </w:rPr>
        <w:t>1</w:t>
      </w:r>
      <w:r>
        <w:rPr>
          <w:rFonts w:eastAsia="KaiTi_GB2312" w:hint="eastAsia"/>
          <w:snapToGrid/>
          <w:spacing w:val="0"/>
          <w:sz w:val="22"/>
        </w:rPr>
        <w:t>日开始从</w:t>
      </w:r>
      <w:r>
        <w:rPr>
          <w:rFonts w:eastAsia="KaiTi_GB2312"/>
          <w:snapToGrid/>
          <w:spacing w:val="0"/>
          <w:sz w:val="22"/>
        </w:rPr>
        <w:t>2.40/4.00/4.90</w:t>
      </w:r>
      <w:r>
        <w:rPr>
          <w:rFonts w:eastAsia="KaiTi_GB2312" w:hint="eastAsia"/>
          <w:snapToGrid/>
          <w:spacing w:val="0"/>
          <w:sz w:val="22"/>
        </w:rPr>
        <w:t>降为</w:t>
      </w:r>
      <w:r>
        <w:rPr>
          <w:rFonts w:eastAsia="KaiTi_GB2312"/>
          <w:snapToGrid/>
          <w:spacing w:val="0"/>
          <w:sz w:val="22"/>
        </w:rPr>
        <w:t>2.00/4.00/4.90</w:t>
      </w:r>
      <w:r>
        <w:rPr>
          <w:rFonts w:eastAsia="KaiTi_GB2312" w:hint="eastAsia"/>
          <w:snapToGrid/>
          <w:spacing w:val="0"/>
          <w:sz w:val="22"/>
        </w:rPr>
        <w:t>。</w:t>
      </w:r>
    </w:p>
    <w:p w:rsidR="00000000" w:rsidRDefault="00000000">
      <w:pPr>
        <w:jc w:val="lef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1"/>
        <w:gridCol w:w="1594"/>
        <w:gridCol w:w="1594"/>
        <w:gridCol w:w="1591"/>
      </w:tblGrid>
      <w:tr w:rsidR="00000000">
        <w:tblPrEx>
          <w:tblCellMar>
            <w:top w:w="0" w:type="dxa"/>
            <w:bottom w:w="0" w:type="dxa"/>
          </w:tblCellMar>
        </w:tblPrEx>
        <w:tc>
          <w:tcPr>
            <w:tcW w:w="2503" w:type="pct"/>
            <w:tcBorders>
              <w:bottom w:val="single" w:sz="4" w:space="0" w:color="auto"/>
            </w:tcBorders>
          </w:tcPr>
          <w:p w:rsidR="00000000" w:rsidRDefault="00000000">
            <w:pPr>
              <w:autoSpaceDE w:val="0"/>
              <w:autoSpaceDN w:val="0"/>
              <w:spacing w:before="80" w:line="288" w:lineRule="auto"/>
              <w:jc w:val="center"/>
              <w:rPr>
                <w:rFonts w:hint="eastAsia"/>
                <w:sz w:val="22"/>
              </w:rPr>
            </w:pPr>
            <w:r>
              <w:rPr>
                <w:rFonts w:hint="eastAsia"/>
                <w:sz w:val="22"/>
              </w:rPr>
              <w:t>缴</w:t>
            </w:r>
            <w:r>
              <w:rPr>
                <w:rFonts w:hint="eastAsia"/>
                <w:sz w:val="22"/>
              </w:rPr>
              <w:t xml:space="preserve">  </w:t>
            </w:r>
            <w:r>
              <w:rPr>
                <w:rFonts w:hint="eastAsia"/>
                <w:sz w:val="22"/>
              </w:rPr>
              <w:t>款</w:t>
            </w:r>
          </w:p>
        </w:tc>
        <w:tc>
          <w:tcPr>
            <w:tcW w:w="833" w:type="pct"/>
            <w:tcBorders>
              <w:bottom w:val="single" w:sz="4" w:space="0" w:color="auto"/>
            </w:tcBorders>
          </w:tcPr>
          <w:p w:rsidR="00000000" w:rsidRDefault="00000000">
            <w:pPr>
              <w:autoSpaceDE w:val="0"/>
              <w:autoSpaceDN w:val="0"/>
              <w:spacing w:before="80" w:line="288" w:lineRule="auto"/>
              <w:jc w:val="center"/>
              <w:rPr>
                <w:sz w:val="22"/>
              </w:rPr>
            </w:pPr>
            <w:r>
              <w:rPr>
                <w:sz w:val="22"/>
              </w:rPr>
              <w:t>2002</w:t>
            </w:r>
          </w:p>
        </w:tc>
        <w:tc>
          <w:tcPr>
            <w:tcW w:w="833" w:type="pct"/>
            <w:tcBorders>
              <w:bottom w:val="single" w:sz="4" w:space="0" w:color="auto"/>
            </w:tcBorders>
          </w:tcPr>
          <w:p w:rsidR="00000000" w:rsidRDefault="00000000">
            <w:pPr>
              <w:autoSpaceDE w:val="0"/>
              <w:autoSpaceDN w:val="0"/>
              <w:spacing w:before="80" w:line="288" w:lineRule="auto"/>
              <w:jc w:val="center"/>
              <w:rPr>
                <w:sz w:val="22"/>
              </w:rPr>
            </w:pPr>
            <w:r>
              <w:rPr>
                <w:sz w:val="22"/>
              </w:rPr>
              <w:t>2003</w:t>
            </w:r>
          </w:p>
        </w:tc>
        <w:tc>
          <w:tcPr>
            <w:tcW w:w="831" w:type="pct"/>
            <w:tcBorders>
              <w:bottom w:val="single" w:sz="4" w:space="0" w:color="auto"/>
            </w:tcBorders>
          </w:tcPr>
          <w:p w:rsidR="00000000" w:rsidRDefault="00000000">
            <w:pPr>
              <w:autoSpaceDE w:val="0"/>
              <w:autoSpaceDN w:val="0"/>
              <w:spacing w:before="80" w:line="288" w:lineRule="auto"/>
              <w:jc w:val="center"/>
              <w:rPr>
                <w:sz w:val="22"/>
              </w:rPr>
            </w:pPr>
            <w:r>
              <w:rPr>
                <w:sz w:val="22"/>
              </w:rPr>
              <w:t>2004</w:t>
            </w:r>
          </w:p>
        </w:tc>
      </w:tr>
      <w:tr w:rsidR="00000000">
        <w:tblPrEx>
          <w:tblCellMar>
            <w:top w:w="0" w:type="dxa"/>
            <w:bottom w:w="0" w:type="dxa"/>
          </w:tblCellMar>
        </w:tblPrEx>
        <w:tc>
          <w:tcPr>
            <w:tcW w:w="2503" w:type="pct"/>
            <w:tcBorders>
              <w:bottom w:val="nil"/>
            </w:tcBorders>
          </w:tcPr>
          <w:p w:rsidR="00000000" w:rsidRDefault="00000000">
            <w:pPr>
              <w:pStyle w:val="a2"/>
              <w:spacing w:before="60"/>
            </w:pPr>
            <w:r>
              <w:rPr>
                <w:rFonts w:hint="eastAsia"/>
              </w:rPr>
              <w:t>雇主</w:t>
            </w:r>
            <w:r>
              <w:rPr>
                <w:rFonts w:hint="eastAsia"/>
              </w:rPr>
              <w:t>/</w:t>
            </w:r>
            <w:r>
              <w:rPr>
                <w:rFonts w:hint="eastAsia"/>
              </w:rPr>
              <w:t>私营部门</w:t>
            </w:r>
            <w:r>
              <w:t>(</w:t>
            </w:r>
            <w:r>
              <w:rPr>
                <w:rFonts w:hint="eastAsia"/>
              </w:rPr>
              <w:t>占工资的百分比</w:t>
            </w:r>
            <w:r>
              <w:t>)</w:t>
            </w:r>
          </w:p>
        </w:tc>
        <w:tc>
          <w:tcPr>
            <w:tcW w:w="833" w:type="pct"/>
            <w:tcBorders>
              <w:bottom w:val="nil"/>
            </w:tcBorders>
          </w:tcPr>
          <w:p w:rsidR="00000000" w:rsidRDefault="00000000">
            <w:pPr>
              <w:pStyle w:val="a2"/>
              <w:jc w:val="center"/>
            </w:pPr>
          </w:p>
        </w:tc>
        <w:tc>
          <w:tcPr>
            <w:tcW w:w="833" w:type="pct"/>
            <w:tcBorders>
              <w:bottom w:val="nil"/>
            </w:tcBorders>
          </w:tcPr>
          <w:p w:rsidR="00000000" w:rsidRDefault="00000000">
            <w:pPr>
              <w:pStyle w:val="a2"/>
              <w:jc w:val="center"/>
            </w:pPr>
          </w:p>
        </w:tc>
        <w:tc>
          <w:tcPr>
            <w:tcW w:w="831" w:type="pct"/>
            <w:tcBorders>
              <w:bottom w:val="nil"/>
            </w:tcBorders>
          </w:tcPr>
          <w:p w:rsidR="00000000" w:rsidRDefault="00000000">
            <w:pPr>
              <w:pStyle w:val="a2"/>
              <w:jc w:val="center"/>
            </w:pP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国家退休金</w:t>
            </w:r>
          </w:p>
        </w:tc>
        <w:tc>
          <w:tcPr>
            <w:tcW w:w="833" w:type="pct"/>
            <w:tcBorders>
              <w:top w:val="nil"/>
              <w:bottom w:val="nil"/>
            </w:tcBorders>
          </w:tcPr>
          <w:p w:rsidR="00000000" w:rsidRDefault="00000000">
            <w:pPr>
              <w:pStyle w:val="a2"/>
              <w:jc w:val="center"/>
            </w:pPr>
            <w:r>
              <w:t>1.35-4.45¹</w:t>
            </w:r>
          </w:p>
        </w:tc>
        <w:tc>
          <w:tcPr>
            <w:tcW w:w="833" w:type="pct"/>
            <w:tcBorders>
              <w:top w:val="nil"/>
              <w:bottom w:val="nil"/>
            </w:tcBorders>
          </w:tcPr>
          <w:p w:rsidR="00000000" w:rsidRDefault="00000000">
            <w:pPr>
              <w:pStyle w:val="a2"/>
              <w:jc w:val="center"/>
            </w:pPr>
            <w:r>
              <w:t>1.35-4.45²</w:t>
            </w:r>
          </w:p>
        </w:tc>
        <w:tc>
          <w:tcPr>
            <w:tcW w:w="831" w:type="pct"/>
            <w:tcBorders>
              <w:top w:val="nil"/>
              <w:bottom w:val="nil"/>
            </w:tcBorders>
          </w:tcPr>
          <w:p w:rsidR="00000000" w:rsidRDefault="00000000">
            <w:pPr>
              <w:pStyle w:val="a2"/>
              <w:jc w:val="center"/>
            </w:pPr>
            <w:r>
              <w:t>1.35-4.45²</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疾病保险</w:t>
            </w:r>
          </w:p>
        </w:tc>
        <w:tc>
          <w:tcPr>
            <w:tcW w:w="833" w:type="pct"/>
            <w:tcBorders>
              <w:top w:val="nil"/>
              <w:bottom w:val="nil"/>
            </w:tcBorders>
          </w:tcPr>
          <w:p w:rsidR="00000000" w:rsidRDefault="00000000">
            <w:pPr>
              <w:pStyle w:val="a2"/>
              <w:jc w:val="center"/>
            </w:pPr>
            <w:r>
              <w:t>1.60</w:t>
            </w:r>
          </w:p>
        </w:tc>
        <w:tc>
          <w:tcPr>
            <w:tcW w:w="833" w:type="pct"/>
            <w:tcBorders>
              <w:top w:val="nil"/>
              <w:bottom w:val="nil"/>
            </w:tcBorders>
          </w:tcPr>
          <w:p w:rsidR="00000000" w:rsidRDefault="00000000">
            <w:pPr>
              <w:pStyle w:val="a2"/>
              <w:jc w:val="center"/>
            </w:pPr>
            <w:r>
              <w:t>1.60</w:t>
            </w:r>
          </w:p>
        </w:tc>
        <w:tc>
          <w:tcPr>
            <w:tcW w:w="831" w:type="pct"/>
            <w:tcBorders>
              <w:top w:val="nil"/>
              <w:bottom w:val="nil"/>
            </w:tcBorders>
          </w:tcPr>
          <w:p w:rsidR="00000000" w:rsidRDefault="00000000">
            <w:pPr>
              <w:pStyle w:val="a2"/>
              <w:jc w:val="center"/>
            </w:pPr>
            <w:r>
              <w:t>1.614³</w:t>
            </w:r>
          </w:p>
        </w:tc>
      </w:tr>
      <w:tr w:rsidR="00000000">
        <w:tblPrEx>
          <w:tblCellMar>
            <w:top w:w="0" w:type="dxa"/>
            <w:bottom w:w="0" w:type="dxa"/>
          </w:tblCellMar>
        </w:tblPrEx>
        <w:tc>
          <w:tcPr>
            <w:tcW w:w="2503" w:type="pct"/>
            <w:tcBorders>
              <w:top w:val="nil"/>
              <w:bottom w:val="nil"/>
            </w:tcBorders>
          </w:tcPr>
          <w:p w:rsidR="00000000" w:rsidRDefault="00000000">
            <w:pPr>
              <w:pStyle w:val="a2"/>
            </w:pPr>
            <w:r>
              <w:t xml:space="preserve">  </w:t>
            </w:r>
            <w:r>
              <w:rPr>
                <w:rFonts w:hint="eastAsia"/>
              </w:rPr>
              <w:t>就业退休金</w:t>
            </w:r>
            <w:r>
              <w:t>(</w:t>
            </w:r>
            <w:r>
              <w:rPr>
                <w:rFonts w:hint="eastAsia"/>
              </w:rPr>
              <w:t>平均</w:t>
            </w:r>
            <w:r>
              <w:t>)</w:t>
            </w:r>
          </w:p>
        </w:tc>
        <w:tc>
          <w:tcPr>
            <w:tcW w:w="833" w:type="pct"/>
            <w:tcBorders>
              <w:top w:val="nil"/>
              <w:bottom w:val="nil"/>
            </w:tcBorders>
          </w:tcPr>
          <w:p w:rsidR="00000000" w:rsidRDefault="00000000">
            <w:pPr>
              <w:pStyle w:val="a2"/>
              <w:jc w:val="center"/>
            </w:pPr>
            <w:r>
              <w:t>16.70</w:t>
            </w:r>
          </w:p>
        </w:tc>
        <w:tc>
          <w:tcPr>
            <w:tcW w:w="833" w:type="pct"/>
            <w:tcBorders>
              <w:top w:val="nil"/>
              <w:bottom w:val="nil"/>
            </w:tcBorders>
          </w:tcPr>
          <w:p w:rsidR="00000000" w:rsidRDefault="00000000">
            <w:pPr>
              <w:pStyle w:val="a2"/>
              <w:jc w:val="center"/>
            </w:pPr>
            <w:r>
              <w:t>16.80</w:t>
            </w:r>
          </w:p>
        </w:tc>
        <w:tc>
          <w:tcPr>
            <w:tcW w:w="831" w:type="pct"/>
            <w:tcBorders>
              <w:top w:val="nil"/>
              <w:bottom w:val="nil"/>
            </w:tcBorders>
          </w:tcPr>
          <w:p w:rsidR="00000000" w:rsidRDefault="00000000">
            <w:pPr>
              <w:pStyle w:val="a2"/>
              <w:jc w:val="center"/>
            </w:pPr>
            <w:r>
              <w:t>16.80</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失业保险</w:t>
            </w:r>
          </w:p>
        </w:tc>
        <w:tc>
          <w:tcPr>
            <w:tcW w:w="833" w:type="pct"/>
            <w:tcBorders>
              <w:top w:val="nil"/>
              <w:bottom w:val="nil"/>
            </w:tcBorders>
          </w:tcPr>
          <w:p w:rsidR="00000000" w:rsidRDefault="00000000">
            <w:pPr>
              <w:pStyle w:val="a2"/>
              <w:jc w:val="center"/>
            </w:pPr>
            <w:r>
              <w:t>0.70/2.7</w:t>
            </w:r>
          </w:p>
        </w:tc>
        <w:tc>
          <w:tcPr>
            <w:tcW w:w="833" w:type="pct"/>
            <w:tcBorders>
              <w:top w:val="nil"/>
              <w:bottom w:val="nil"/>
            </w:tcBorders>
          </w:tcPr>
          <w:p w:rsidR="00000000" w:rsidRDefault="00000000">
            <w:pPr>
              <w:pStyle w:val="a2"/>
              <w:jc w:val="center"/>
            </w:pPr>
            <w:r>
              <w:t>0.6/2.45</w:t>
            </w:r>
          </w:p>
        </w:tc>
        <w:tc>
          <w:tcPr>
            <w:tcW w:w="831" w:type="pct"/>
            <w:tcBorders>
              <w:top w:val="nil"/>
              <w:bottom w:val="nil"/>
            </w:tcBorders>
          </w:tcPr>
          <w:p w:rsidR="00000000" w:rsidRDefault="00000000">
            <w:pPr>
              <w:pStyle w:val="a2"/>
              <w:jc w:val="center"/>
            </w:pPr>
            <w:r>
              <w:t>0.6/2.45</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w:t>
            </w:r>
            <w:r>
              <w:rPr>
                <w:rFonts w:hint="eastAsia"/>
              </w:rPr>
              <w:t>工资最高限额，</w:t>
            </w:r>
            <w:r>
              <w:rPr>
                <w:rFonts w:hint="eastAsia"/>
              </w:rPr>
              <w:t>50</w:t>
            </w:r>
            <w:r>
              <w:rPr>
                <w:rFonts w:hint="eastAsia"/>
              </w:rPr>
              <w:t>亿芬兰马克</w:t>
            </w:r>
            <w:r>
              <w:rPr>
                <w:rFonts w:hint="eastAsia"/>
              </w:rPr>
              <w:t>/</w:t>
            </w:r>
            <w:r>
              <w:rPr>
                <w:rFonts w:hint="eastAsia"/>
              </w:rPr>
              <w:t>超出部分</w:t>
            </w:r>
            <w:r>
              <w:t>)</w:t>
            </w:r>
          </w:p>
        </w:tc>
        <w:tc>
          <w:tcPr>
            <w:tcW w:w="833" w:type="pct"/>
            <w:tcBorders>
              <w:top w:val="nil"/>
              <w:bottom w:val="nil"/>
            </w:tcBorders>
          </w:tcPr>
          <w:p w:rsidR="00000000" w:rsidRDefault="00000000">
            <w:pPr>
              <w:pStyle w:val="a2"/>
              <w:jc w:val="center"/>
            </w:pPr>
          </w:p>
        </w:tc>
        <w:tc>
          <w:tcPr>
            <w:tcW w:w="833" w:type="pct"/>
            <w:tcBorders>
              <w:top w:val="nil"/>
              <w:bottom w:val="nil"/>
            </w:tcBorders>
          </w:tcPr>
          <w:p w:rsidR="00000000" w:rsidRDefault="00000000">
            <w:pPr>
              <w:pStyle w:val="a2"/>
              <w:jc w:val="center"/>
            </w:pPr>
          </w:p>
        </w:tc>
        <w:tc>
          <w:tcPr>
            <w:tcW w:w="831" w:type="pct"/>
            <w:tcBorders>
              <w:top w:val="nil"/>
              <w:bottom w:val="nil"/>
            </w:tcBorders>
          </w:tcPr>
          <w:p w:rsidR="00000000" w:rsidRDefault="00000000">
            <w:pPr>
              <w:pStyle w:val="a2"/>
              <w:jc w:val="center"/>
            </w:pP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rPr>
                <w:rFonts w:hint="eastAsia"/>
              </w:rPr>
              <w:t>雇员</w:t>
            </w:r>
            <w:r>
              <w:rPr>
                <w:rFonts w:hint="eastAsia"/>
              </w:rPr>
              <w:t>/</w:t>
            </w:r>
            <w:r>
              <w:rPr>
                <w:rFonts w:hint="eastAsia"/>
              </w:rPr>
              <w:t>担保人</w:t>
            </w:r>
          </w:p>
        </w:tc>
        <w:tc>
          <w:tcPr>
            <w:tcW w:w="833" w:type="pct"/>
            <w:tcBorders>
              <w:top w:val="nil"/>
              <w:bottom w:val="nil"/>
            </w:tcBorders>
          </w:tcPr>
          <w:p w:rsidR="00000000" w:rsidRDefault="00000000">
            <w:pPr>
              <w:pStyle w:val="a2"/>
              <w:jc w:val="center"/>
            </w:pPr>
          </w:p>
        </w:tc>
        <w:tc>
          <w:tcPr>
            <w:tcW w:w="833" w:type="pct"/>
            <w:tcBorders>
              <w:top w:val="nil"/>
              <w:bottom w:val="nil"/>
            </w:tcBorders>
          </w:tcPr>
          <w:p w:rsidR="00000000" w:rsidRDefault="00000000">
            <w:pPr>
              <w:pStyle w:val="a2"/>
              <w:jc w:val="center"/>
            </w:pPr>
          </w:p>
        </w:tc>
        <w:tc>
          <w:tcPr>
            <w:tcW w:w="831" w:type="pct"/>
            <w:tcBorders>
              <w:top w:val="nil"/>
              <w:bottom w:val="nil"/>
            </w:tcBorders>
          </w:tcPr>
          <w:p w:rsidR="00000000" w:rsidRDefault="00000000">
            <w:pPr>
              <w:pStyle w:val="a2"/>
              <w:jc w:val="center"/>
            </w:pPr>
          </w:p>
        </w:tc>
      </w:tr>
      <w:tr w:rsidR="00000000">
        <w:tblPrEx>
          <w:tblCellMar>
            <w:top w:w="0" w:type="dxa"/>
            <w:bottom w:w="0" w:type="dxa"/>
          </w:tblCellMar>
        </w:tblPrEx>
        <w:tc>
          <w:tcPr>
            <w:tcW w:w="2503" w:type="pct"/>
            <w:tcBorders>
              <w:top w:val="nil"/>
              <w:bottom w:val="nil"/>
            </w:tcBorders>
          </w:tcPr>
          <w:p w:rsidR="00000000" w:rsidRDefault="00000000">
            <w:pPr>
              <w:pStyle w:val="a2"/>
            </w:pPr>
            <w:r>
              <w:t xml:space="preserve">  </w:t>
            </w:r>
            <w:r>
              <w:rPr>
                <w:rFonts w:hint="eastAsia"/>
              </w:rPr>
              <w:t>疾病保险</w:t>
            </w:r>
            <w:r>
              <w:t>(</w:t>
            </w:r>
            <w:r>
              <w:rPr>
                <w:rFonts w:hint="eastAsia"/>
              </w:rPr>
              <w:t>占应当纳税收入的百分比</w:t>
            </w:r>
            <w:r>
              <w:t>)</w:t>
            </w:r>
          </w:p>
        </w:tc>
        <w:tc>
          <w:tcPr>
            <w:tcW w:w="833" w:type="pct"/>
            <w:tcBorders>
              <w:top w:val="nil"/>
              <w:bottom w:val="nil"/>
            </w:tcBorders>
          </w:tcPr>
          <w:p w:rsidR="00000000" w:rsidRDefault="00000000">
            <w:pPr>
              <w:pStyle w:val="a2"/>
              <w:jc w:val="center"/>
            </w:pPr>
            <w:r>
              <w:t>1.50</w:t>
            </w:r>
          </w:p>
        </w:tc>
        <w:tc>
          <w:tcPr>
            <w:tcW w:w="833" w:type="pct"/>
            <w:tcBorders>
              <w:top w:val="nil"/>
              <w:bottom w:val="nil"/>
            </w:tcBorders>
          </w:tcPr>
          <w:p w:rsidR="00000000" w:rsidRDefault="00000000">
            <w:pPr>
              <w:pStyle w:val="a2"/>
              <w:jc w:val="center"/>
            </w:pPr>
            <w:r>
              <w:t>1.50</w:t>
            </w:r>
          </w:p>
        </w:tc>
        <w:tc>
          <w:tcPr>
            <w:tcW w:w="831" w:type="pct"/>
            <w:tcBorders>
              <w:top w:val="nil"/>
              <w:bottom w:val="nil"/>
            </w:tcBorders>
          </w:tcPr>
          <w:p w:rsidR="00000000" w:rsidRDefault="00000000">
            <w:pPr>
              <w:pStyle w:val="a2"/>
              <w:jc w:val="center"/>
            </w:pPr>
            <w:r>
              <w:t>1.50</w:t>
            </w:r>
          </w:p>
        </w:tc>
      </w:tr>
      <w:tr w:rsidR="00000000">
        <w:tblPrEx>
          <w:tblCellMar>
            <w:top w:w="0" w:type="dxa"/>
            <w:bottom w:w="0" w:type="dxa"/>
          </w:tblCellMar>
        </w:tblPrEx>
        <w:tc>
          <w:tcPr>
            <w:tcW w:w="2503" w:type="pct"/>
            <w:tcBorders>
              <w:top w:val="nil"/>
              <w:bottom w:val="nil"/>
            </w:tcBorders>
          </w:tcPr>
          <w:p w:rsidR="00000000" w:rsidRDefault="00000000">
            <w:pPr>
              <w:pStyle w:val="a2"/>
              <w:rPr>
                <w:rFonts w:hint="eastAsia"/>
              </w:rPr>
            </w:pPr>
            <w:r>
              <w:t xml:space="preserve">  - </w:t>
            </w:r>
            <w:r>
              <w:rPr>
                <w:rFonts w:hint="eastAsia"/>
              </w:rPr>
              <w:t>退休金增幅</w:t>
            </w:r>
          </w:p>
        </w:tc>
        <w:tc>
          <w:tcPr>
            <w:tcW w:w="833" w:type="pct"/>
            <w:tcBorders>
              <w:top w:val="nil"/>
              <w:bottom w:val="nil"/>
            </w:tcBorders>
          </w:tcPr>
          <w:p w:rsidR="00000000" w:rsidRDefault="00000000">
            <w:pPr>
              <w:pStyle w:val="a2"/>
              <w:jc w:val="center"/>
            </w:pPr>
            <w:r>
              <w:t>0.40</w:t>
            </w:r>
          </w:p>
        </w:tc>
        <w:tc>
          <w:tcPr>
            <w:tcW w:w="833" w:type="pct"/>
            <w:tcBorders>
              <w:top w:val="nil"/>
              <w:bottom w:val="nil"/>
            </w:tcBorders>
          </w:tcPr>
          <w:p w:rsidR="00000000" w:rsidRDefault="00000000">
            <w:pPr>
              <w:pStyle w:val="a2"/>
              <w:jc w:val="center"/>
            </w:pPr>
            <w:r>
              <w:t>0</w:t>
            </w:r>
            <w:r>
              <w:rPr>
                <w:rFonts w:ascii="Arial Unicode MS" w:eastAsia="Arial Unicode MS" w:hAnsi="Arial Unicode MS" w:cs="Arial Unicode MS" w:hint="eastAsia"/>
              </w:rPr>
              <w:t>⁴</w:t>
            </w:r>
          </w:p>
        </w:tc>
        <w:tc>
          <w:tcPr>
            <w:tcW w:w="831" w:type="pct"/>
            <w:tcBorders>
              <w:top w:val="nil"/>
              <w:bottom w:val="nil"/>
            </w:tcBorders>
          </w:tcPr>
          <w:p w:rsidR="00000000" w:rsidRDefault="00000000">
            <w:pPr>
              <w:pStyle w:val="a2"/>
              <w:jc w:val="center"/>
            </w:pPr>
          </w:p>
        </w:tc>
      </w:tr>
      <w:tr w:rsidR="00000000">
        <w:tblPrEx>
          <w:tblCellMar>
            <w:top w:w="0" w:type="dxa"/>
            <w:bottom w:w="0" w:type="dxa"/>
          </w:tblCellMar>
        </w:tblPrEx>
        <w:tc>
          <w:tcPr>
            <w:tcW w:w="2503" w:type="pct"/>
            <w:tcBorders>
              <w:top w:val="nil"/>
              <w:bottom w:val="nil"/>
            </w:tcBorders>
          </w:tcPr>
          <w:p w:rsidR="00000000" w:rsidRDefault="00000000">
            <w:pPr>
              <w:pStyle w:val="a2"/>
            </w:pPr>
            <w:r>
              <w:t xml:space="preserve">  </w:t>
            </w:r>
            <w:r>
              <w:rPr>
                <w:rFonts w:hint="eastAsia"/>
              </w:rPr>
              <w:t>就业退休金</w:t>
            </w:r>
            <w:r>
              <w:t>(</w:t>
            </w:r>
            <w:r>
              <w:rPr>
                <w:rFonts w:hint="eastAsia"/>
              </w:rPr>
              <w:t>占工资的百分比</w:t>
            </w:r>
            <w:r>
              <w:t>)</w:t>
            </w:r>
          </w:p>
        </w:tc>
        <w:tc>
          <w:tcPr>
            <w:tcW w:w="833" w:type="pct"/>
            <w:tcBorders>
              <w:top w:val="nil"/>
              <w:bottom w:val="nil"/>
            </w:tcBorders>
          </w:tcPr>
          <w:p w:rsidR="00000000" w:rsidRDefault="00000000">
            <w:pPr>
              <w:pStyle w:val="a2"/>
              <w:jc w:val="center"/>
            </w:pPr>
            <w:r>
              <w:t>4.40</w:t>
            </w:r>
          </w:p>
        </w:tc>
        <w:tc>
          <w:tcPr>
            <w:tcW w:w="833" w:type="pct"/>
            <w:tcBorders>
              <w:top w:val="nil"/>
              <w:bottom w:val="nil"/>
            </w:tcBorders>
          </w:tcPr>
          <w:p w:rsidR="00000000" w:rsidRDefault="00000000">
            <w:pPr>
              <w:pStyle w:val="a2"/>
              <w:jc w:val="center"/>
            </w:pPr>
            <w:r>
              <w:t>4.60</w:t>
            </w:r>
          </w:p>
        </w:tc>
        <w:tc>
          <w:tcPr>
            <w:tcW w:w="831" w:type="pct"/>
            <w:tcBorders>
              <w:top w:val="nil"/>
              <w:bottom w:val="nil"/>
            </w:tcBorders>
          </w:tcPr>
          <w:p w:rsidR="00000000" w:rsidRDefault="00000000">
            <w:pPr>
              <w:pStyle w:val="a2"/>
              <w:jc w:val="center"/>
            </w:pPr>
            <w:r>
              <w:t>4.60</w:t>
            </w:r>
          </w:p>
        </w:tc>
      </w:tr>
      <w:tr w:rsidR="00000000">
        <w:tblPrEx>
          <w:tblCellMar>
            <w:top w:w="0" w:type="dxa"/>
            <w:bottom w:w="0" w:type="dxa"/>
          </w:tblCellMar>
        </w:tblPrEx>
        <w:tc>
          <w:tcPr>
            <w:tcW w:w="2503" w:type="pct"/>
            <w:tcBorders>
              <w:top w:val="nil"/>
            </w:tcBorders>
          </w:tcPr>
          <w:p w:rsidR="00000000" w:rsidRDefault="00000000">
            <w:pPr>
              <w:pStyle w:val="a2"/>
              <w:spacing w:after="60"/>
            </w:pPr>
            <w:r>
              <w:t xml:space="preserve">  </w:t>
            </w:r>
            <w:r>
              <w:rPr>
                <w:rFonts w:hint="eastAsia"/>
              </w:rPr>
              <w:t>职业保险</w:t>
            </w:r>
            <w:r>
              <w:t>(</w:t>
            </w:r>
            <w:r>
              <w:rPr>
                <w:rFonts w:hint="eastAsia"/>
              </w:rPr>
              <w:t>占工资的百分比</w:t>
            </w:r>
            <w:r>
              <w:t>)</w:t>
            </w:r>
          </w:p>
        </w:tc>
        <w:tc>
          <w:tcPr>
            <w:tcW w:w="833" w:type="pct"/>
            <w:tcBorders>
              <w:top w:val="nil"/>
            </w:tcBorders>
          </w:tcPr>
          <w:p w:rsidR="00000000" w:rsidRDefault="00000000">
            <w:pPr>
              <w:pStyle w:val="a2"/>
              <w:spacing w:after="60"/>
              <w:jc w:val="center"/>
            </w:pPr>
            <w:r>
              <w:t>0.40</w:t>
            </w:r>
          </w:p>
        </w:tc>
        <w:tc>
          <w:tcPr>
            <w:tcW w:w="833" w:type="pct"/>
            <w:tcBorders>
              <w:top w:val="nil"/>
            </w:tcBorders>
          </w:tcPr>
          <w:p w:rsidR="00000000" w:rsidRDefault="00000000">
            <w:pPr>
              <w:pStyle w:val="a2"/>
              <w:spacing w:after="60"/>
              <w:jc w:val="center"/>
            </w:pPr>
            <w:r>
              <w:t>0.20</w:t>
            </w:r>
          </w:p>
        </w:tc>
        <w:tc>
          <w:tcPr>
            <w:tcW w:w="831" w:type="pct"/>
            <w:tcBorders>
              <w:top w:val="nil"/>
            </w:tcBorders>
          </w:tcPr>
          <w:p w:rsidR="00000000" w:rsidRDefault="00000000">
            <w:pPr>
              <w:pStyle w:val="a2"/>
              <w:spacing w:after="60"/>
              <w:jc w:val="center"/>
            </w:pPr>
            <w:r>
              <w:t>0.25</w:t>
            </w:r>
          </w:p>
        </w:tc>
      </w:tr>
    </w:tbl>
    <w:p w:rsidR="00000000" w:rsidRDefault="00000000">
      <w:pPr>
        <w:autoSpaceDE w:val="0"/>
        <w:autoSpaceDN w:val="0"/>
        <w:rPr>
          <w:rFonts w:hint="eastAsia"/>
          <w:sz w:val="20"/>
        </w:rPr>
      </w:pPr>
    </w:p>
    <w:p w:rsidR="00000000" w:rsidRDefault="00000000">
      <w:pPr>
        <w:tabs>
          <w:tab w:val="left" w:pos="336"/>
        </w:tabs>
        <w:spacing w:line="264" w:lineRule="auto"/>
        <w:ind w:left="856" w:hanging="336"/>
        <w:rPr>
          <w:rFonts w:eastAsia="KaiTi_GB2312"/>
          <w:snapToGrid/>
          <w:spacing w:val="0"/>
          <w:sz w:val="22"/>
        </w:rPr>
      </w:pPr>
      <w:r>
        <w:rPr>
          <w:rFonts w:eastAsia="KaiTi_GB2312"/>
          <w:snapToGrid/>
          <w:spacing w:val="0"/>
          <w:sz w:val="22"/>
          <w:vertAlign w:val="superscript"/>
        </w:rPr>
        <w:t>1</w:t>
      </w:r>
      <w:r>
        <w:rPr>
          <w:rFonts w:eastAsia="KaiTi_GB2312" w:hint="eastAsia"/>
          <w:snapToGrid/>
          <w:spacing w:val="0"/>
          <w:sz w:val="22"/>
        </w:rPr>
        <w:tab/>
      </w:r>
      <w:r>
        <w:rPr>
          <w:rFonts w:eastAsia="KaiTi_GB2312" w:hint="eastAsia"/>
          <w:snapToGrid/>
          <w:spacing w:val="0"/>
          <w:sz w:val="22"/>
        </w:rPr>
        <w:t>从</w:t>
      </w:r>
      <w:r>
        <w:rPr>
          <w:rFonts w:eastAsia="KaiTi_GB2312" w:hint="eastAsia"/>
          <w:snapToGrid/>
          <w:spacing w:val="0"/>
          <w:sz w:val="22"/>
        </w:rPr>
        <w:t>2002</w:t>
      </w:r>
      <w:r>
        <w:rPr>
          <w:rFonts w:eastAsia="KaiTi_GB2312" w:hint="eastAsia"/>
          <w:snapToGrid/>
          <w:spacing w:val="0"/>
          <w:sz w:val="22"/>
        </w:rPr>
        <w:t>年</w:t>
      </w:r>
      <w:r>
        <w:rPr>
          <w:rFonts w:eastAsia="KaiTi_GB2312" w:hint="eastAsia"/>
          <w:snapToGrid/>
          <w:spacing w:val="0"/>
          <w:sz w:val="22"/>
        </w:rPr>
        <w:t>3</w:t>
      </w:r>
      <w:r>
        <w:rPr>
          <w:rFonts w:eastAsia="KaiTi_GB2312" w:hint="eastAsia"/>
          <w:snapToGrid/>
          <w:spacing w:val="0"/>
          <w:sz w:val="22"/>
        </w:rPr>
        <w:t>月</w:t>
      </w:r>
      <w:r>
        <w:rPr>
          <w:rFonts w:eastAsia="KaiTi_GB2312" w:hint="eastAsia"/>
          <w:snapToGrid/>
          <w:spacing w:val="0"/>
          <w:sz w:val="22"/>
        </w:rPr>
        <w:t>1</w:t>
      </w:r>
      <w:r>
        <w:rPr>
          <w:rFonts w:eastAsia="KaiTi_GB2312" w:hint="eastAsia"/>
          <w:snapToGrid/>
          <w:spacing w:val="0"/>
          <w:sz w:val="22"/>
        </w:rPr>
        <w:t>日开始为</w:t>
      </w:r>
      <w:r>
        <w:rPr>
          <w:rFonts w:eastAsia="KaiTi_GB2312"/>
          <w:snapToGrid/>
          <w:spacing w:val="0"/>
          <w:sz w:val="22"/>
        </w:rPr>
        <w:t>1.35/3.55/4.45</w:t>
      </w:r>
      <w:r>
        <w:rPr>
          <w:rFonts w:eastAsia="KaiTi_GB2312" w:hint="eastAsia"/>
          <w:snapToGrid/>
          <w:spacing w:val="0"/>
          <w:sz w:val="22"/>
        </w:rPr>
        <w:t>。</w:t>
      </w:r>
    </w:p>
    <w:p w:rsidR="00000000" w:rsidRDefault="00000000">
      <w:pPr>
        <w:tabs>
          <w:tab w:val="left" w:pos="336"/>
        </w:tabs>
        <w:spacing w:line="264" w:lineRule="auto"/>
        <w:ind w:left="856" w:hanging="336"/>
        <w:rPr>
          <w:rFonts w:eastAsia="KaiTi_GB2312"/>
          <w:snapToGrid/>
          <w:spacing w:val="0"/>
          <w:sz w:val="22"/>
        </w:rPr>
      </w:pPr>
      <w:r>
        <w:rPr>
          <w:rFonts w:eastAsia="KaiTi_GB2312"/>
          <w:snapToGrid/>
          <w:spacing w:val="0"/>
          <w:sz w:val="22"/>
          <w:vertAlign w:val="superscript"/>
        </w:rPr>
        <w:t>2</w:t>
      </w:r>
      <w:r>
        <w:rPr>
          <w:rFonts w:eastAsia="KaiTi_GB2312" w:hint="eastAsia"/>
          <w:snapToGrid/>
          <w:spacing w:val="0"/>
          <w:sz w:val="22"/>
        </w:rPr>
        <w:tab/>
      </w:r>
      <w:r>
        <w:rPr>
          <w:rFonts w:eastAsia="KaiTi_GB2312"/>
          <w:snapToGrid/>
          <w:spacing w:val="0"/>
          <w:sz w:val="22"/>
        </w:rPr>
        <w:t>1.35/3.55/4.45</w:t>
      </w:r>
      <w:r>
        <w:rPr>
          <w:rFonts w:eastAsia="KaiTi_GB2312" w:hint="eastAsia"/>
          <w:snapToGrid/>
          <w:spacing w:val="0"/>
          <w:sz w:val="22"/>
        </w:rPr>
        <w:t>。</w:t>
      </w:r>
    </w:p>
    <w:p w:rsidR="00000000" w:rsidRDefault="00000000">
      <w:pPr>
        <w:tabs>
          <w:tab w:val="left" w:pos="336"/>
        </w:tabs>
        <w:spacing w:line="264" w:lineRule="auto"/>
        <w:ind w:left="856" w:hanging="336"/>
        <w:rPr>
          <w:rFonts w:eastAsia="KaiTi_GB2312" w:hint="eastAsia"/>
          <w:snapToGrid/>
          <w:spacing w:val="0"/>
          <w:sz w:val="22"/>
        </w:rPr>
      </w:pPr>
      <w:r>
        <w:rPr>
          <w:rFonts w:eastAsia="KaiTi_GB2312"/>
          <w:snapToGrid/>
          <w:spacing w:val="0"/>
          <w:sz w:val="22"/>
          <w:vertAlign w:val="superscript"/>
        </w:rPr>
        <w:t>3</w:t>
      </w:r>
      <w:r>
        <w:rPr>
          <w:rFonts w:eastAsia="KaiTi_GB2312" w:hint="eastAsia"/>
          <w:snapToGrid/>
          <w:spacing w:val="0"/>
          <w:sz w:val="22"/>
        </w:rPr>
        <w:tab/>
      </w:r>
      <w:r>
        <w:rPr>
          <w:rFonts w:eastAsia="KaiTi_GB2312" w:hint="eastAsia"/>
          <w:snapToGrid/>
          <w:spacing w:val="0"/>
          <w:sz w:val="22"/>
        </w:rPr>
        <w:t>在</w:t>
      </w:r>
      <w:r>
        <w:rPr>
          <w:rFonts w:eastAsia="KaiTi_GB2312"/>
          <w:snapToGrid/>
          <w:spacing w:val="0"/>
          <w:sz w:val="22"/>
        </w:rPr>
        <w:t>Lapland</w:t>
      </w:r>
      <w:r>
        <w:rPr>
          <w:rFonts w:eastAsia="KaiTi_GB2312" w:hint="eastAsia"/>
          <w:snapToGrid/>
          <w:spacing w:val="0"/>
          <w:sz w:val="22"/>
        </w:rPr>
        <w:t>以及其他一些地区</w:t>
      </w:r>
      <w:r>
        <w:rPr>
          <w:rFonts w:eastAsia="KaiTi_GB2312"/>
          <w:snapToGrid/>
          <w:spacing w:val="0"/>
          <w:sz w:val="22"/>
        </w:rPr>
        <w:t>(</w:t>
      </w:r>
      <w:r>
        <w:rPr>
          <w:rFonts w:eastAsia="KaiTi_GB2312" w:hint="eastAsia"/>
          <w:snapToGrid/>
          <w:spacing w:val="0"/>
          <w:sz w:val="22"/>
        </w:rPr>
        <w:t>例如群岛地区</w:t>
      </w:r>
      <w:r>
        <w:rPr>
          <w:rFonts w:eastAsia="KaiTi_GB2312" w:hint="eastAsia"/>
          <w:snapToGrid/>
          <w:spacing w:val="0"/>
          <w:sz w:val="22"/>
        </w:rPr>
        <w:t>)</w:t>
      </w:r>
      <w:r>
        <w:rPr>
          <w:rFonts w:eastAsia="KaiTi_GB2312" w:hint="eastAsia"/>
          <w:snapToGrid/>
          <w:spacing w:val="0"/>
          <w:sz w:val="22"/>
        </w:rPr>
        <w:t>的私营公司暂时</w:t>
      </w:r>
      <w:r>
        <w:rPr>
          <w:rFonts w:eastAsia="KaiTi_GB2312" w:hint="eastAsia"/>
          <w:snapToGrid/>
          <w:spacing w:val="0"/>
          <w:sz w:val="22"/>
        </w:rPr>
        <w:t>(</w:t>
      </w:r>
      <w:r>
        <w:rPr>
          <w:rFonts w:eastAsia="KaiTi_GB2312"/>
          <w:snapToGrid/>
          <w:spacing w:val="0"/>
          <w:sz w:val="22"/>
        </w:rPr>
        <w:t>2004</w:t>
      </w:r>
      <w:r>
        <w:rPr>
          <w:rFonts w:eastAsia="KaiTi_GB2312" w:hint="eastAsia"/>
          <w:snapToGrid/>
          <w:spacing w:val="0"/>
          <w:sz w:val="22"/>
        </w:rPr>
        <w:t>和</w:t>
      </w:r>
      <w:r>
        <w:rPr>
          <w:rFonts w:eastAsia="KaiTi_GB2312"/>
          <w:snapToGrid/>
          <w:spacing w:val="0"/>
          <w:sz w:val="22"/>
        </w:rPr>
        <w:t>2005)</w:t>
      </w:r>
      <w:r>
        <w:rPr>
          <w:rFonts w:eastAsia="KaiTi_GB2312" w:hint="eastAsia"/>
          <w:snapToGrid/>
          <w:spacing w:val="0"/>
          <w:sz w:val="22"/>
        </w:rPr>
        <w:t>不交国家退休金和疾病保险费。其他地区的疾病保险费提高</w:t>
      </w:r>
      <w:r>
        <w:rPr>
          <w:rFonts w:eastAsia="KaiTi_GB2312" w:hint="eastAsia"/>
          <w:snapToGrid/>
          <w:spacing w:val="0"/>
          <w:sz w:val="22"/>
        </w:rPr>
        <w:t>0.014%</w:t>
      </w:r>
      <w:r>
        <w:rPr>
          <w:rFonts w:eastAsia="KaiTi_GB2312" w:hint="eastAsia"/>
          <w:snapToGrid/>
          <w:spacing w:val="0"/>
          <w:sz w:val="22"/>
        </w:rPr>
        <w:t>以弥补损失。由于国家退休金和疾病保险的经费是相互联系的，因此只需增加一处缴款。</w:t>
      </w:r>
    </w:p>
    <w:p w:rsidR="00000000" w:rsidRDefault="00000000">
      <w:pPr>
        <w:tabs>
          <w:tab w:val="left" w:pos="336"/>
        </w:tabs>
        <w:spacing w:line="264" w:lineRule="auto"/>
        <w:ind w:left="856" w:hanging="336"/>
        <w:rPr>
          <w:rFonts w:eastAsia="KaiTi_GB2312"/>
          <w:snapToGrid/>
          <w:spacing w:val="0"/>
          <w:sz w:val="22"/>
        </w:rPr>
      </w:pPr>
      <w:r>
        <w:rPr>
          <w:rFonts w:eastAsia="KaiTi_GB2312"/>
          <w:snapToGrid/>
          <w:spacing w:val="0"/>
          <w:sz w:val="22"/>
          <w:vertAlign w:val="superscript"/>
        </w:rPr>
        <w:t>4</w:t>
      </w:r>
      <w:r>
        <w:rPr>
          <w:rFonts w:eastAsia="KaiTi_GB2312" w:hint="eastAsia"/>
          <w:snapToGrid/>
          <w:spacing w:val="0"/>
          <w:sz w:val="22"/>
        </w:rPr>
        <w:tab/>
      </w:r>
      <w:r>
        <w:rPr>
          <w:rFonts w:eastAsia="KaiTi_GB2312" w:hint="eastAsia"/>
          <w:snapToGrid/>
          <w:spacing w:val="0"/>
          <w:sz w:val="22"/>
        </w:rPr>
        <w:t>于</w:t>
      </w:r>
      <w:r>
        <w:rPr>
          <w:rFonts w:eastAsia="KaiTi_GB2312"/>
          <w:snapToGrid/>
          <w:spacing w:val="0"/>
          <w:sz w:val="22"/>
        </w:rPr>
        <w:t>2003</w:t>
      </w:r>
      <w:r>
        <w:rPr>
          <w:rFonts w:eastAsia="KaiTi_GB2312" w:hint="eastAsia"/>
          <w:snapToGrid/>
          <w:spacing w:val="0"/>
          <w:sz w:val="22"/>
        </w:rPr>
        <w:t>年</w:t>
      </w:r>
      <w:r>
        <w:rPr>
          <w:rFonts w:eastAsia="KaiTi_GB2312" w:hint="eastAsia"/>
          <w:snapToGrid/>
          <w:spacing w:val="0"/>
          <w:sz w:val="22"/>
        </w:rPr>
        <w:t>1</w:t>
      </w:r>
      <w:r>
        <w:rPr>
          <w:rFonts w:eastAsia="KaiTi_GB2312" w:hint="eastAsia"/>
          <w:snapToGrid/>
          <w:spacing w:val="0"/>
          <w:sz w:val="22"/>
        </w:rPr>
        <w:t>月</w:t>
      </w:r>
      <w:r>
        <w:rPr>
          <w:rFonts w:eastAsia="KaiTi_GB2312" w:hint="eastAsia"/>
          <w:snapToGrid/>
          <w:spacing w:val="0"/>
          <w:sz w:val="22"/>
        </w:rPr>
        <w:t>1</w:t>
      </w:r>
      <w:r>
        <w:rPr>
          <w:rFonts w:eastAsia="KaiTi_GB2312" w:hint="eastAsia"/>
          <w:snapToGrid/>
          <w:spacing w:val="0"/>
          <w:sz w:val="22"/>
        </w:rPr>
        <w:t>日删除。</w:t>
      </w:r>
    </w:p>
    <w:p w:rsidR="00000000" w:rsidRDefault="00000000">
      <w:pPr>
        <w:rPr>
          <w:rFonts w:eastAsia="KaiTi_GB2312" w:hint="eastAsia"/>
          <w:snapToGrid/>
          <w:spacing w:val="0"/>
          <w:sz w:val="22"/>
        </w:rPr>
      </w:pPr>
    </w:p>
    <w:p w:rsidR="00000000" w:rsidRDefault="00000000">
      <w:pPr>
        <w:pStyle w:val="Heading3"/>
        <w:spacing w:after="160"/>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 xml:space="preserve">.  </w:t>
      </w:r>
      <w:r>
        <w:rPr>
          <w:rFonts w:ascii="Time New Roman" w:eastAsia="SimHei" w:hAnsi="Time New Roman" w:hint="eastAsia"/>
          <w:u w:val="none"/>
        </w:rPr>
        <w:t>社会保障开支占国民生产总值的百分比</w:t>
      </w:r>
    </w:p>
    <w:p w:rsidR="00000000" w:rsidRDefault="00000000">
      <w:pPr>
        <w:spacing w:after="160"/>
        <w:rPr>
          <w:rFonts w:hint="eastAsia"/>
        </w:rPr>
      </w:pPr>
      <w:r>
        <w:rPr>
          <w:rFonts w:hint="eastAsia"/>
        </w:rPr>
        <w:tab/>
        <w:t>42</w:t>
      </w:r>
      <w:r>
        <w:t>8</w:t>
      </w:r>
      <w:r>
        <w:rPr>
          <w:rFonts w:hint="eastAsia"/>
        </w:rPr>
        <w:t>.  2004</w:t>
      </w:r>
      <w:r>
        <w:rPr>
          <w:rFonts w:hint="eastAsia"/>
        </w:rPr>
        <w:t>年</w:t>
      </w:r>
      <w:r>
        <w:rPr>
          <w:rFonts w:hint="eastAsia"/>
        </w:rPr>
        <w:t>MISSOC</w:t>
      </w:r>
      <w:r>
        <w:rPr>
          <w:rFonts w:hint="eastAsia"/>
        </w:rPr>
        <w:t>国家国家报告的第</w:t>
      </w:r>
      <w:r>
        <w:rPr>
          <w:rFonts w:hint="eastAsia"/>
        </w:rPr>
        <w:t>3</w:t>
      </w:r>
      <w:r>
        <w:rPr>
          <w:rFonts w:hint="eastAsia"/>
        </w:rPr>
        <w:t>节详细说明了社会保障的开支</w:t>
      </w:r>
      <w:r>
        <w:rPr>
          <w:rFonts w:hint="eastAsia"/>
        </w:rPr>
        <w:t>(</w:t>
      </w:r>
      <w:r>
        <w:rPr>
          <w:rFonts w:hint="eastAsia"/>
        </w:rPr>
        <w:t>附件三十一</w:t>
      </w:r>
      <w:r>
        <w:rPr>
          <w:rFonts w:hint="eastAsia"/>
        </w:rPr>
        <w:t>)</w:t>
      </w:r>
      <w:r>
        <w:rPr>
          <w:rFonts w:hint="eastAsia"/>
        </w:rPr>
        <w:t>。</w:t>
      </w:r>
    </w:p>
    <w:p w:rsidR="00000000" w:rsidRDefault="00000000">
      <w:pPr>
        <w:pStyle w:val="Heading3"/>
        <w:spacing w:after="16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hint="eastAsia"/>
          <w:b/>
          <w:sz w:val="22"/>
          <w:u w:val="none"/>
        </w:rPr>
        <w:t>23</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从</w:t>
      </w:r>
      <w:r>
        <w:rPr>
          <w:rFonts w:ascii="Time New Roman" w:eastAsia="SimHei" w:hAnsi="Time New Roman" w:hint="eastAsia"/>
          <w:b/>
          <w:sz w:val="22"/>
          <w:u w:val="none"/>
        </w:rPr>
        <w:t>1995</w:t>
      </w:r>
      <w:r>
        <w:rPr>
          <w:rFonts w:ascii="Time New Roman" w:eastAsia="SimHei" w:hAnsi="Time New Roman" w:hint="eastAsia"/>
          <w:sz w:val="22"/>
          <w:u w:val="none"/>
        </w:rPr>
        <w:t>年到</w:t>
      </w:r>
      <w:r>
        <w:rPr>
          <w:rFonts w:ascii="Time New Roman" w:eastAsia="SimHei" w:hAnsi="Time New Roman" w:hint="eastAsia"/>
          <w:b/>
          <w:sz w:val="22"/>
          <w:u w:val="none"/>
        </w:rPr>
        <w:t>2005</w:t>
      </w:r>
      <w:r>
        <w:rPr>
          <w:rFonts w:ascii="Time New Roman" w:eastAsia="SimHei" w:hAnsi="Time New Roman" w:hint="eastAsia"/>
          <w:sz w:val="22"/>
          <w:u w:val="none"/>
        </w:rPr>
        <w:t>年社会保障开支在国民生产总值中所占的比例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2"/>
        <w:gridCol w:w="736"/>
        <w:gridCol w:w="797"/>
        <w:gridCol w:w="796"/>
        <w:gridCol w:w="796"/>
        <w:gridCol w:w="796"/>
        <w:gridCol w:w="796"/>
        <w:gridCol w:w="796"/>
        <w:gridCol w:w="796"/>
        <w:gridCol w:w="797"/>
        <w:gridCol w:w="866"/>
        <w:gridCol w:w="866"/>
      </w:tblGrid>
      <w:tr w:rsidR="00000000">
        <w:tblPrEx>
          <w:tblCellMar>
            <w:top w:w="0" w:type="dxa"/>
            <w:bottom w:w="0" w:type="dxa"/>
          </w:tblCellMar>
        </w:tblPrEx>
        <w:tc>
          <w:tcPr>
            <w:tcW w:w="732" w:type="dxa"/>
          </w:tcPr>
          <w:p w:rsidR="00000000" w:rsidRDefault="00000000">
            <w:pPr>
              <w:autoSpaceDE w:val="0"/>
              <w:autoSpaceDN w:val="0"/>
              <w:spacing w:before="60"/>
              <w:jc w:val="center"/>
              <w:rPr>
                <w:rFonts w:hint="eastAsia"/>
                <w:sz w:val="20"/>
              </w:rPr>
            </w:pPr>
            <w:r>
              <w:rPr>
                <w:rFonts w:hint="eastAsia"/>
                <w:sz w:val="20"/>
              </w:rPr>
              <w:t>年份</w:t>
            </w:r>
          </w:p>
        </w:tc>
        <w:tc>
          <w:tcPr>
            <w:tcW w:w="736" w:type="dxa"/>
          </w:tcPr>
          <w:p w:rsidR="00000000" w:rsidRDefault="00000000">
            <w:pPr>
              <w:autoSpaceDE w:val="0"/>
              <w:autoSpaceDN w:val="0"/>
              <w:spacing w:before="60"/>
              <w:jc w:val="center"/>
              <w:rPr>
                <w:sz w:val="20"/>
              </w:rPr>
            </w:pPr>
            <w:r>
              <w:rPr>
                <w:sz w:val="20"/>
              </w:rPr>
              <w:t>1995</w:t>
            </w:r>
          </w:p>
        </w:tc>
        <w:tc>
          <w:tcPr>
            <w:tcW w:w="797" w:type="dxa"/>
          </w:tcPr>
          <w:p w:rsidR="00000000" w:rsidRDefault="00000000">
            <w:pPr>
              <w:autoSpaceDE w:val="0"/>
              <w:autoSpaceDN w:val="0"/>
              <w:spacing w:before="60"/>
              <w:jc w:val="center"/>
              <w:rPr>
                <w:sz w:val="20"/>
              </w:rPr>
            </w:pPr>
            <w:r>
              <w:rPr>
                <w:sz w:val="20"/>
              </w:rPr>
              <w:t>1996</w:t>
            </w:r>
          </w:p>
        </w:tc>
        <w:tc>
          <w:tcPr>
            <w:tcW w:w="796" w:type="dxa"/>
          </w:tcPr>
          <w:p w:rsidR="00000000" w:rsidRDefault="00000000">
            <w:pPr>
              <w:autoSpaceDE w:val="0"/>
              <w:autoSpaceDN w:val="0"/>
              <w:spacing w:before="60"/>
              <w:jc w:val="center"/>
              <w:rPr>
                <w:sz w:val="20"/>
              </w:rPr>
            </w:pPr>
            <w:r>
              <w:rPr>
                <w:sz w:val="20"/>
              </w:rPr>
              <w:t>1997</w:t>
            </w:r>
          </w:p>
        </w:tc>
        <w:tc>
          <w:tcPr>
            <w:tcW w:w="796" w:type="dxa"/>
          </w:tcPr>
          <w:p w:rsidR="00000000" w:rsidRDefault="00000000">
            <w:pPr>
              <w:autoSpaceDE w:val="0"/>
              <w:autoSpaceDN w:val="0"/>
              <w:spacing w:before="60"/>
              <w:jc w:val="center"/>
              <w:rPr>
                <w:sz w:val="20"/>
              </w:rPr>
            </w:pPr>
            <w:r>
              <w:rPr>
                <w:sz w:val="20"/>
              </w:rPr>
              <w:t>1998</w:t>
            </w:r>
          </w:p>
        </w:tc>
        <w:tc>
          <w:tcPr>
            <w:tcW w:w="796" w:type="dxa"/>
          </w:tcPr>
          <w:p w:rsidR="00000000" w:rsidRDefault="00000000">
            <w:pPr>
              <w:pStyle w:val="Header"/>
              <w:tabs>
                <w:tab w:val="clear" w:pos="1202"/>
                <w:tab w:val="clear" w:pos="6124"/>
                <w:tab w:val="clear" w:pos="6634"/>
                <w:tab w:val="clear" w:pos="7144"/>
                <w:tab w:val="clear" w:pos="7655"/>
                <w:tab w:val="clear" w:pos="8165"/>
              </w:tabs>
              <w:autoSpaceDE w:val="0"/>
              <w:autoSpaceDN w:val="0"/>
              <w:spacing w:before="60" w:line="336" w:lineRule="auto"/>
              <w:jc w:val="center"/>
              <w:rPr>
                <w:rFonts w:ascii="Times New Roman" w:hAnsi="Times New Roman"/>
              </w:rPr>
            </w:pPr>
            <w:r>
              <w:rPr>
                <w:rFonts w:ascii="Times New Roman" w:hAnsi="Times New Roman"/>
              </w:rPr>
              <w:t>1999</w:t>
            </w:r>
          </w:p>
        </w:tc>
        <w:tc>
          <w:tcPr>
            <w:tcW w:w="796" w:type="dxa"/>
          </w:tcPr>
          <w:p w:rsidR="00000000" w:rsidRDefault="00000000">
            <w:pPr>
              <w:autoSpaceDE w:val="0"/>
              <w:autoSpaceDN w:val="0"/>
              <w:spacing w:before="60"/>
              <w:jc w:val="center"/>
              <w:rPr>
                <w:sz w:val="20"/>
              </w:rPr>
            </w:pPr>
            <w:r>
              <w:rPr>
                <w:sz w:val="20"/>
              </w:rPr>
              <w:t>2000</w:t>
            </w:r>
          </w:p>
        </w:tc>
        <w:tc>
          <w:tcPr>
            <w:tcW w:w="796" w:type="dxa"/>
          </w:tcPr>
          <w:p w:rsidR="00000000" w:rsidRDefault="00000000">
            <w:pPr>
              <w:autoSpaceDE w:val="0"/>
              <w:autoSpaceDN w:val="0"/>
              <w:spacing w:before="60"/>
              <w:jc w:val="center"/>
              <w:rPr>
                <w:sz w:val="20"/>
              </w:rPr>
            </w:pPr>
            <w:r>
              <w:rPr>
                <w:sz w:val="20"/>
              </w:rPr>
              <w:t>2001</w:t>
            </w:r>
          </w:p>
        </w:tc>
        <w:tc>
          <w:tcPr>
            <w:tcW w:w="796" w:type="dxa"/>
          </w:tcPr>
          <w:p w:rsidR="00000000" w:rsidRDefault="00000000">
            <w:pPr>
              <w:autoSpaceDE w:val="0"/>
              <w:autoSpaceDN w:val="0"/>
              <w:spacing w:before="60"/>
              <w:jc w:val="center"/>
              <w:rPr>
                <w:sz w:val="20"/>
              </w:rPr>
            </w:pPr>
            <w:r>
              <w:rPr>
                <w:sz w:val="20"/>
              </w:rPr>
              <w:t>2002</w:t>
            </w:r>
          </w:p>
        </w:tc>
        <w:tc>
          <w:tcPr>
            <w:tcW w:w="797" w:type="dxa"/>
          </w:tcPr>
          <w:p w:rsidR="00000000" w:rsidRDefault="00000000">
            <w:pPr>
              <w:autoSpaceDE w:val="0"/>
              <w:autoSpaceDN w:val="0"/>
              <w:spacing w:before="60"/>
              <w:jc w:val="center"/>
              <w:rPr>
                <w:sz w:val="20"/>
              </w:rPr>
            </w:pPr>
            <w:r>
              <w:rPr>
                <w:sz w:val="20"/>
              </w:rPr>
              <w:t>2003</w:t>
            </w:r>
          </w:p>
        </w:tc>
        <w:tc>
          <w:tcPr>
            <w:tcW w:w="866" w:type="dxa"/>
          </w:tcPr>
          <w:p w:rsidR="00000000" w:rsidRDefault="00000000">
            <w:pPr>
              <w:autoSpaceDE w:val="0"/>
              <w:autoSpaceDN w:val="0"/>
              <w:spacing w:before="60"/>
              <w:jc w:val="center"/>
              <w:rPr>
                <w:sz w:val="20"/>
              </w:rPr>
            </w:pPr>
            <w:r>
              <w:rPr>
                <w:sz w:val="20"/>
              </w:rPr>
              <w:t>2004*</w:t>
            </w:r>
          </w:p>
        </w:tc>
        <w:tc>
          <w:tcPr>
            <w:tcW w:w="866" w:type="dxa"/>
          </w:tcPr>
          <w:p w:rsidR="00000000" w:rsidRDefault="00000000">
            <w:pPr>
              <w:autoSpaceDE w:val="0"/>
              <w:autoSpaceDN w:val="0"/>
              <w:spacing w:before="60"/>
              <w:jc w:val="center"/>
              <w:rPr>
                <w:sz w:val="20"/>
              </w:rPr>
            </w:pPr>
            <w:r>
              <w:rPr>
                <w:sz w:val="20"/>
              </w:rPr>
              <w:t>2005*</w:t>
            </w:r>
          </w:p>
        </w:tc>
      </w:tr>
      <w:tr w:rsidR="00000000">
        <w:tblPrEx>
          <w:tblCellMar>
            <w:top w:w="0" w:type="dxa"/>
            <w:bottom w:w="0" w:type="dxa"/>
          </w:tblCellMar>
        </w:tblPrEx>
        <w:tc>
          <w:tcPr>
            <w:tcW w:w="732" w:type="dxa"/>
          </w:tcPr>
          <w:p w:rsidR="00000000" w:rsidRDefault="00000000">
            <w:pPr>
              <w:autoSpaceDE w:val="0"/>
              <w:autoSpaceDN w:val="0"/>
              <w:jc w:val="center"/>
              <w:rPr>
                <w:sz w:val="20"/>
              </w:rPr>
            </w:pPr>
            <w:r>
              <w:rPr>
                <w:sz w:val="20"/>
              </w:rPr>
              <w:t>%</w:t>
            </w:r>
          </w:p>
        </w:tc>
        <w:tc>
          <w:tcPr>
            <w:tcW w:w="736" w:type="dxa"/>
          </w:tcPr>
          <w:p w:rsidR="00000000" w:rsidRDefault="00000000">
            <w:pPr>
              <w:autoSpaceDE w:val="0"/>
              <w:autoSpaceDN w:val="0"/>
              <w:jc w:val="center"/>
              <w:rPr>
                <w:sz w:val="20"/>
              </w:rPr>
            </w:pPr>
            <w:r>
              <w:rPr>
                <w:sz w:val="20"/>
              </w:rPr>
              <w:t>31.7</w:t>
            </w:r>
          </w:p>
        </w:tc>
        <w:tc>
          <w:tcPr>
            <w:tcW w:w="797" w:type="dxa"/>
          </w:tcPr>
          <w:p w:rsidR="00000000" w:rsidRDefault="00000000">
            <w:pPr>
              <w:autoSpaceDE w:val="0"/>
              <w:autoSpaceDN w:val="0"/>
              <w:jc w:val="center"/>
              <w:rPr>
                <w:sz w:val="20"/>
              </w:rPr>
            </w:pPr>
            <w:r>
              <w:rPr>
                <w:sz w:val="20"/>
              </w:rPr>
              <w:t>31.6</w:t>
            </w:r>
          </w:p>
        </w:tc>
        <w:tc>
          <w:tcPr>
            <w:tcW w:w="796" w:type="dxa"/>
          </w:tcPr>
          <w:p w:rsidR="00000000" w:rsidRDefault="00000000">
            <w:pPr>
              <w:autoSpaceDE w:val="0"/>
              <w:autoSpaceDN w:val="0"/>
              <w:jc w:val="center"/>
              <w:rPr>
                <w:sz w:val="20"/>
              </w:rPr>
            </w:pPr>
            <w:r>
              <w:rPr>
                <w:sz w:val="20"/>
              </w:rPr>
              <w:t>29.2</w:t>
            </w:r>
          </w:p>
        </w:tc>
        <w:tc>
          <w:tcPr>
            <w:tcW w:w="796" w:type="dxa"/>
          </w:tcPr>
          <w:p w:rsidR="00000000" w:rsidRDefault="00000000">
            <w:pPr>
              <w:autoSpaceDE w:val="0"/>
              <w:autoSpaceDN w:val="0"/>
              <w:jc w:val="center"/>
              <w:rPr>
                <w:sz w:val="20"/>
              </w:rPr>
            </w:pPr>
            <w:r>
              <w:rPr>
                <w:sz w:val="20"/>
              </w:rPr>
              <w:t>27.2</w:t>
            </w:r>
          </w:p>
        </w:tc>
        <w:tc>
          <w:tcPr>
            <w:tcW w:w="796" w:type="dxa"/>
          </w:tcPr>
          <w:p w:rsidR="00000000" w:rsidRDefault="00000000">
            <w:pPr>
              <w:autoSpaceDE w:val="0"/>
              <w:autoSpaceDN w:val="0"/>
              <w:jc w:val="center"/>
              <w:rPr>
                <w:sz w:val="20"/>
              </w:rPr>
            </w:pPr>
            <w:r>
              <w:rPr>
                <w:sz w:val="20"/>
              </w:rPr>
              <w:t>26.8</w:t>
            </w:r>
          </w:p>
        </w:tc>
        <w:tc>
          <w:tcPr>
            <w:tcW w:w="796" w:type="dxa"/>
          </w:tcPr>
          <w:p w:rsidR="00000000" w:rsidRDefault="00000000">
            <w:pPr>
              <w:autoSpaceDE w:val="0"/>
              <w:autoSpaceDN w:val="0"/>
              <w:jc w:val="center"/>
              <w:rPr>
                <w:sz w:val="20"/>
              </w:rPr>
            </w:pPr>
            <w:r>
              <w:rPr>
                <w:sz w:val="20"/>
              </w:rPr>
              <w:t>25.5</w:t>
            </w:r>
          </w:p>
        </w:tc>
        <w:tc>
          <w:tcPr>
            <w:tcW w:w="796" w:type="dxa"/>
          </w:tcPr>
          <w:p w:rsidR="00000000" w:rsidRDefault="00000000">
            <w:pPr>
              <w:autoSpaceDE w:val="0"/>
              <w:autoSpaceDN w:val="0"/>
              <w:jc w:val="center"/>
              <w:rPr>
                <w:sz w:val="20"/>
              </w:rPr>
            </w:pPr>
            <w:r>
              <w:rPr>
                <w:sz w:val="20"/>
              </w:rPr>
              <w:t>25.7</w:t>
            </w:r>
          </w:p>
        </w:tc>
        <w:tc>
          <w:tcPr>
            <w:tcW w:w="796" w:type="dxa"/>
          </w:tcPr>
          <w:p w:rsidR="00000000" w:rsidRDefault="00000000">
            <w:pPr>
              <w:autoSpaceDE w:val="0"/>
              <w:autoSpaceDN w:val="0"/>
              <w:jc w:val="center"/>
              <w:rPr>
                <w:sz w:val="20"/>
              </w:rPr>
            </w:pPr>
            <w:r>
              <w:rPr>
                <w:sz w:val="20"/>
              </w:rPr>
              <w:t>26.3</w:t>
            </w:r>
          </w:p>
        </w:tc>
        <w:tc>
          <w:tcPr>
            <w:tcW w:w="797" w:type="dxa"/>
          </w:tcPr>
          <w:p w:rsidR="00000000" w:rsidRDefault="00000000">
            <w:pPr>
              <w:autoSpaceDE w:val="0"/>
              <w:autoSpaceDN w:val="0"/>
              <w:jc w:val="center"/>
              <w:rPr>
                <w:sz w:val="20"/>
              </w:rPr>
            </w:pPr>
            <w:r>
              <w:rPr>
                <w:sz w:val="20"/>
              </w:rPr>
              <w:t>26.9</w:t>
            </w:r>
          </w:p>
        </w:tc>
        <w:tc>
          <w:tcPr>
            <w:tcW w:w="866" w:type="dxa"/>
          </w:tcPr>
          <w:p w:rsidR="00000000" w:rsidRDefault="00000000">
            <w:pPr>
              <w:autoSpaceDE w:val="0"/>
              <w:autoSpaceDN w:val="0"/>
              <w:jc w:val="center"/>
              <w:rPr>
                <w:sz w:val="20"/>
              </w:rPr>
            </w:pPr>
            <w:r>
              <w:rPr>
                <w:sz w:val="20"/>
              </w:rPr>
              <w:t>27.0</w:t>
            </w:r>
          </w:p>
        </w:tc>
        <w:tc>
          <w:tcPr>
            <w:tcW w:w="866" w:type="dxa"/>
          </w:tcPr>
          <w:p w:rsidR="00000000" w:rsidRDefault="00000000">
            <w:pPr>
              <w:autoSpaceDE w:val="0"/>
              <w:autoSpaceDN w:val="0"/>
              <w:jc w:val="center"/>
              <w:rPr>
                <w:sz w:val="20"/>
              </w:rPr>
            </w:pPr>
            <w:r>
              <w:rPr>
                <w:sz w:val="20"/>
              </w:rPr>
              <w:t>27.2</w:t>
            </w:r>
          </w:p>
        </w:tc>
      </w:tr>
    </w:tbl>
    <w:p w:rsidR="00000000" w:rsidRDefault="00000000">
      <w:pPr>
        <w:pStyle w:val="FootnoteText"/>
        <w:spacing w:before="240" w:after="240"/>
        <w:ind w:firstLine="306"/>
        <w:rPr>
          <w:rFonts w:hint="eastAsia"/>
        </w:rPr>
      </w:pPr>
      <w:r>
        <w:rPr>
          <w:rFonts w:hint="eastAsia"/>
        </w:rPr>
        <w:t xml:space="preserve">*  </w:t>
      </w:r>
      <w:r>
        <w:rPr>
          <w:rFonts w:hint="eastAsia"/>
          <w:spacing w:val="0"/>
        </w:rPr>
        <w:t>估计数字。</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7</w:t>
      </w:r>
      <w:r>
        <w:rPr>
          <w:rFonts w:ascii="Time New Roman" w:eastAsia="SimHei" w:hAnsi="Time New Roman" w:hint="eastAsia"/>
          <w:u w:val="none"/>
        </w:rPr>
        <w:t xml:space="preserve">.  </w:t>
      </w:r>
      <w:r>
        <w:rPr>
          <w:rFonts w:ascii="Time New Roman" w:eastAsia="SimHei" w:hAnsi="Time New Roman" w:hint="eastAsia"/>
          <w:u w:val="none"/>
        </w:rPr>
        <w:t>社会保障制度的改革</w:t>
      </w:r>
    </w:p>
    <w:p w:rsidR="00000000" w:rsidRDefault="00000000">
      <w:pPr>
        <w:rPr>
          <w:rFonts w:hint="eastAsia"/>
        </w:rPr>
      </w:pPr>
      <w:r>
        <w:rPr>
          <w:rFonts w:hint="eastAsia"/>
        </w:rPr>
        <w:tab/>
        <w:t>4</w:t>
      </w:r>
      <w:r>
        <w:t>29</w:t>
      </w:r>
      <w:r>
        <w:rPr>
          <w:rFonts w:hint="eastAsia"/>
        </w:rPr>
        <w:t xml:space="preserve">.  </w:t>
      </w:r>
      <w:r>
        <w:rPr>
          <w:rFonts w:hint="eastAsia"/>
        </w:rPr>
        <w:t>退休金制度。于</w:t>
      </w:r>
      <w:r>
        <w:rPr>
          <w:rFonts w:hint="eastAsia"/>
        </w:rPr>
        <w:t>2005</w:t>
      </w:r>
      <w:r>
        <w:rPr>
          <w:rFonts w:hint="eastAsia"/>
        </w:rPr>
        <w:t>年</w:t>
      </w:r>
      <w:r>
        <w:rPr>
          <w:rFonts w:hint="eastAsia"/>
        </w:rPr>
        <w:t>1</w:t>
      </w:r>
      <w:r>
        <w:rPr>
          <w:rFonts w:hint="eastAsia"/>
        </w:rPr>
        <w:t>月</w:t>
      </w:r>
      <w:r>
        <w:rPr>
          <w:rFonts w:hint="eastAsia"/>
        </w:rPr>
        <w:t>1</w:t>
      </w:r>
      <w:r>
        <w:rPr>
          <w:rFonts w:hint="eastAsia"/>
        </w:rPr>
        <w:t>日正式生效的第</w:t>
      </w:r>
      <w:r>
        <w:rPr>
          <w:rFonts w:hint="eastAsia"/>
        </w:rPr>
        <w:t>679/2004</w:t>
      </w:r>
      <w:r>
        <w:rPr>
          <w:rFonts w:hint="eastAsia"/>
        </w:rPr>
        <w:t>号法修订了《国家工作人员退休金法》</w:t>
      </w:r>
      <w:r>
        <w:rPr>
          <w:rFonts w:hint="eastAsia"/>
        </w:rPr>
        <w:t>(280/1966)</w:t>
      </w:r>
      <w:r>
        <w:rPr>
          <w:rFonts w:hint="eastAsia"/>
        </w:rPr>
        <w:t>。这项改革同在私营部门实施的改革是基本一致的，考虑到了国家工作人员退休金计划的特殊性，例如，有关退休金累积的保障以及在</w:t>
      </w:r>
      <w:r>
        <w:rPr>
          <w:rFonts w:hint="eastAsia"/>
        </w:rPr>
        <w:t>1995</w:t>
      </w:r>
      <w:r>
        <w:rPr>
          <w:rFonts w:hint="eastAsia"/>
        </w:rPr>
        <w:t>年</w:t>
      </w:r>
      <w:r>
        <w:rPr>
          <w:rFonts w:hint="eastAsia"/>
        </w:rPr>
        <w:t>1</w:t>
      </w:r>
      <w:r>
        <w:rPr>
          <w:rFonts w:hint="eastAsia"/>
        </w:rPr>
        <w:t>月</w:t>
      </w:r>
      <w:r>
        <w:rPr>
          <w:rFonts w:hint="eastAsia"/>
        </w:rPr>
        <w:t>1</w:t>
      </w:r>
      <w:r>
        <w:rPr>
          <w:rFonts w:hint="eastAsia"/>
        </w:rPr>
        <w:t>日之前的退休年龄。改革的一个有关目标是通过鼓励国家机关工作人员坚守岗位，将其退休年龄推迟二至三年。《国家机关工作人员退休金法》所涉人员平均在</w:t>
      </w:r>
      <w:r>
        <w:rPr>
          <w:rFonts w:hint="eastAsia"/>
        </w:rPr>
        <w:t>59</w:t>
      </w:r>
      <w:r>
        <w:rPr>
          <w:rFonts w:hint="eastAsia"/>
        </w:rPr>
        <w:t>岁退休。改革的另外一个目标是要加强退休金制度，以便应付人口结构的变化所造成的新问题。</w:t>
      </w:r>
    </w:p>
    <w:p w:rsidR="00000000" w:rsidRDefault="00000000">
      <w:pPr>
        <w:rPr>
          <w:rFonts w:hint="eastAsia"/>
        </w:rPr>
      </w:pPr>
      <w:r>
        <w:rPr>
          <w:rFonts w:hint="eastAsia"/>
        </w:rPr>
        <w:tab/>
        <w:t>43</w:t>
      </w:r>
      <w:r>
        <w:t>0</w:t>
      </w:r>
      <w:r>
        <w:rPr>
          <w:rFonts w:hint="eastAsia"/>
        </w:rPr>
        <w:t xml:space="preserve">.  </w:t>
      </w:r>
      <w:r>
        <w:rPr>
          <w:rFonts w:hint="eastAsia"/>
        </w:rPr>
        <w:t>改革的重要结果之一是退休金的计算办法发生的变化。在</w:t>
      </w:r>
      <w:r>
        <w:rPr>
          <w:rFonts w:hint="eastAsia"/>
        </w:rPr>
        <w:t>2005</w:t>
      </w:r>
      <w:r>
        <w:rPr>
          <w:rFonts w:hint="eastAsia"/>
        </w:rPr>
        <w:t>年以后，退休金的数额将按照一种所谓的职业模式加以计算，其中决定因素是工作阶段的每年收入以及依照年龄计算的一定累计比例。在领取基于收入的补助期间，退休金的数额同样累积。这些补助包括：疾病津贴、特别医疗津贴、产假津贴、特别产假津贴、陪产假津贴、家庭津贴、交通事故以及其他意外事故的补助、替工假补贴、康复津贴、进修假津贴以及同收入有关的实业补贴。由于改革，在照料儿女或者攻读学位而请假期间，退休金同样积累。在这些情况下，积累的基数为每月收入</w:t>
      </w:r>
      <w:r>
        <w:rPr>
          <w:rFonts w:hint="eastAsia"/>
        </w:rPr>
        <w:t>523.61</w:t>
      </w:r>
      <w:r>
        <w:rPr>
          <w:rFonts w:hint="eastAsia"/>
        </w:rPr>
        <w:t>欧元</w:t>
      </w:r>
      <w:r>
        <w:rPr>
          <w:rFonts w:hint="eastAsia"/>
        </w:rPr>
        <w:t>(2004</w:t>
      </w:r>
      <w:r>
        <w:rPr>
          <w:rFonts w:hint="eastAsia"/>
        </w:rPr>
        <w:t>年</w:t>
      </w:r>
      <w:r>
        <w:rPr>
          <w:rFonts w:hint="eastAsia"/>
        </w:rPr>
        <w:t>)</w:t>
      </w:r>
      <w:r>
        <w:rPr>
          <w:rFonts w:hint="eastAsia"/>
        </w:rPr>
        <w:t>。</w:t>
      </w:r>
    </w:p>
    <w:p w:rsidR="00000000" w:rsidRDefault="00000000">
      <w:pPr>
        <w:widowControl w:val="0"/>
        <w:rPr>
          <w:rFonts w:hint="eastAsia"/>
        </w:rPr>
      </w:pPr>
      <w:r>
        <w:rPr>
          <w:rFonts w:hint="eastAsia"/>
        </w:rPr>
        <w:tab/>
        <w:t xml:space="preserve">431.  </w:t>
      </w:r>
      <w:r>
        <w:rPr>
          <w:rFonts w:hint="eastAsia"/>
        </w:rPr>
        <w:t>退休金的累积从</w:t>
      </w:r>
      <w:r>
        <w:rPr>
          <w:rFonts w:hint="eastAsia"/>
        </w:rPr>
        <w:t>18</w:t>
      </w:r>
      <w:r>
        <w:rPr>
          <w:rFonts w:hint="eastAsia"/>
        </w:rPr>
        <w:t>岁开始，随着年龄的增长，累积比例也逐步提高，因此，最初的比例为每年</w:t>
      </w:r>
      <w:r>
        <w:rPr>
          <w:rFonts w:hint="eastAsia"/>
        </w:rPr>
        <w:t>1.5%</w:t>
      </w:r>
      <w:r>
        <w:rPr>
          <w:rFonts w:hint="eastAsia"/>
        </w:rPr>
        <w:t>，到</w:t>
      </w:r>
      <w:r>
        <w:rPr>
          <w:rFonts w:hint="eastAsia"/>
        </w:rPr>
        <w:t>53</w:t>
      </w:r>
      <w:r>
        <w:rPr>
          <w:rFonts w:hint="eastAsia"/>
        </w:rPr>
        <w:t>岁时比例为</w:t>
      </w:r>
      <w:r>
        <w:rPr>
          <w:rFonts w:hint="eastAsia"/>
        </w:rPr>
        <w:t>1.9%</w:t>
      </w:r>
      <w:r>
        <w:rPr>
          <w:rFonts w:hint="eastAsia"/>
        </w:rPr>
        <w:t>，从</w:t>
      </w:r>
      <w:r>
        <w:rPr>
          <w:rFonts w:hint="eastAsia"/>
        </w:rPr>
        <w:t>63</w:t>
      </w:r>
      <w:r>
        <w:rPr>
          <w:rFonts w:hint="eastAsia"/>
        </w:rPr>
        <w:t>岁到</w:t>
      </w:r>
      <w:r>
        <w:rPr>
          <w:rFonts w:hint="eastAsia"/>
        </w:rPr>
        <w:t>68</w:t>
      </w:r>
      <w:r>
        <w:rPr>
          <w:rFonts w:hint="eastAsia"/>
        </w:rPr>
        <w:t>岁比例为</w:t>
      </w:r>
      <w:r>
        <w:rPr>
          <w:rFonts w:hint="eastAsia"/>
        </w:rPr>
        <w:t>4.5%</w:t>
      </w:r>
      <w:r>
        <w:rPr>
          <w:rFonts w:hint="eastAsia"/>
        </w:rPr>
        <w:t>。因此，在岗时间越长，累积比例就越高。雇员在</w:t>
      </w:r>
      <w:r>
        <w:rPr>
          <w:rFonts w:hint="eastAsia"/>
        </w:rPr>
        <w:t>53</w:t>
      </w:r>
      <w:r>
        <w:rPr>
          <w:rFonts w:hint="eastAsia"/>
        </w:rPr>
        <w:t>岁以后应当缴纳的退休金保险费要比目前高。</w:t>
      </w:r>
    </w:p>
    <w:p w:rsidR="00000000" w:rsidRDefault="00000000">
      <w:pPr>
        <w:rPr>
          <w:rFonts w:hint="eastAsia"/>
        </w:rPr>
      </w:pPr>
      <w:r>
        <w:rPr>
          <w:rFonts w:hint="eastAsia"/>
        </w:rPr>
        <w:tab/>
        <w:t xml:space="preserve">432.  </w:t>
      </w:r>
      <w:r>
        <w:rPr>
          <w:rFonts w:hint="eastAsia"/>
        </w:rPr>
        <w:t>也将改革退休年龄。领取退休金的时间将变得更加灵活，因为在</w:t>
      </w:r>
      <w:r>
        <w:rPr>
          <w:rFonts w:hint="eastAsia"/>
        </w:rPr>
        <w:t>63</w:t>
      </w:r>
      <w:r>
        <w:rPr>
          <w:rFonts w:hint="eastAsia"/>
        </w:rPr>
        <w:t>岁到</w:t>
      </w:r>
      <w:r>
        <w:rPr>
          <w:rFonts w:hint="eastAsia"/>
        </w:rPr>
        <w:t>68</w:t>
      </w:r>
      <w:r>
        <w:rPr>
          <w:rFonts w:hint="eastAsia"/>
        </w:rPr>
        <w:t>岁年龄段中的雇员可自由选择退休年龄。提前退休的规定已经废除。因此没有可能在</w:t>
      </w:r>
      <w:r>
        <w:rPr>
          <w:rFonts w:hint="eastAsia"/>
        </w:rPr>
        <w:t>62</w:t>
      </w:r>
      <w:r>
        <w:rPr>
          <w:rFonts w:hint="eastAsia"/>
        </w:rPr>
        <w:t>岁以前领取退休金。在这种情况下，在</w:t>
      </w:r>
      <w:r>
        <w:rPr>
          <w:rFonts w:hint="eastAsia"/>
        </w:rPr>
        <w:t>63</w:t>
      </w:r>
      <w:r>
        <w:rPr>
          <w:rFonts w:hint="eastAsia"/>
        </w:rPr>
        <w:t>岁以前的每个月退休金的数额都要减少</w:t>
      </w:r>
      <w:r>
        <w:rPr>
          <w:rFonts w:hint="eastAsia"/>
        </w:rPr>
        <w:t>0.6%</w:t>
      </w:r>
      <w:r>
        <w:rPr>
          <w:rFonts w:hint="eastAsia"/>
        </w:rPr>
        <w:t>。同以前情况的差别在于：可以推迟领取退休金，在这种情况下，坚持工作的雇员在</w:t>
      </w:r>
      <w:r>
        <w:rPr>
          <w:rFonts w:hint="eastAsia"/>
        </w:rPr>
        <w:t>68</w:t>
      </w:r>
      <w:r>
        <w:rPr>
          <w:rFonts w:hint="eastAsia"/>
        </w:rPr>
        <w:t>岁以前的每个月中均可增加</w:t>
      </w:r>
      <w:r>
        <w:rPr>
          <w:rFonts w:hint="eastAsia"/>
        </w:rPr>
        <w:t>0.4%</w:t>
      </w:r>
      <w:r>
        <w:rPr>
          <w:rFonts w:hint="eastAsia"/>
        </w:rPr>
        <w:t>的退休金。</w:t>
      </w:r>
    </w:p>
    <w:p w:rsidR="00000000" w:rsidRDefault="00000000">
      <w:pPr>
        <w:rPr>
          <w:rFonts w:hint="eastAsia"/>
        </w:rPr>
      </w:pPr>
      <w:r>
        <w:rPr>
          <w:rFonts w:hint="eastAsia"/>
        </w:rPr>
        <w:tab/>
        <w:t xml:space="preserve">433.  </w:t>
      </w:r>
      <w:r>
        <w:rPr>
          <w:rFonts w:hint="eastAsia"/>
        </w:rPr>
        <w:t>根据改革，在一段过渡时期以后提早退休的形式有所减少。</w:t>
      </w:r>
      <w:r>
        <w:rPr>
          <w:rFonts w:hint="eastAsia"/>
        </w:rPr>
        <w:t>62</w:t>
      </w:r>
      <w:r>
        <w:rPr>
          <w:rFonts w:hint="eastAsia"/>
        </w:rPr>
        <w:t>岁以下的退休老人从退休金计划转到了失业保障计划，个人已经没有可能提早退休和领取养老金。</w:t>
      </w:r>
    </w:p>
    <w:p w:rsidR="00000000" w:rsidRDefault="00000000">
      <w:pPr>
        <w:rPr>
          <w:rFonts w:hint="eastAsia"/>
        </w:rPr>
      </w:pPr>
      <w:r>
        <w:rPr>
          <w:rFonts w:hint="eastAsia"/>
        </w:rPr>
        <w:tab/>
        <w:t xml:space="preserve">434.  </w:t>
      </w:r>
      <w:r>
        <w:rPr>
          <w:rFonts w:hint="eastAsia"/>
        </w:rPr>
        <w:t>考虑到人口寿命的延长，将实行一种制度，以便加强退休金计划。在</w:t>
      </w:r>
      <w:r>
        <w:rPr>
          <w:rFonts w:hint="eastAsia"/>
        </w:rPr>
        <w:t>2010</w:t>
      </w:r>
      <w:r>
        <w:rPr>
          <w:rFonts w:hint="eastAsia"/>
        </w:rPr>
        <w:t>年，这种制度将首次影响到发放的退休金数额。退休金计划中所使用的指数也将随之发生变化。从</w:t>
      </w:r>
      <w:r>
        <w:rPr>
          <w:rFonts w:hint="eastAsia"/>
        </w:rPr>
        <w:t>2005</w:t>
      </w:r>
      <w:r>
        <w:rPr>
          <w:rFonts w:hint="eastAsia"/>
        </w:rPr>
        <w:t>年开始，将在工资乘数的帮助下对指数进行调整：收入水平指数将为</w:t>
      </w:r>
      <w:r>
        <w:rPr>
          <w:rFonts w:hint="eastAsia"/>
        </w:rPr>
        <w:t>80%</w:t>
      </w:r>
      <w:r>
        <w:rPr>
          <w:rFonts w:hint="eastAsia"/>
        </w:rPr>
        <w:t>，消费价格指数为</w:t>
      </w:r>
      <w:r>
        <w:rPr>
          <w:rFonts w:hint="eastAsia"/>
        </w:rPr>
        <w:t>20%(</w:t>
      </w:r>
      <w:r>
        <w:rPr>
          <w:rFonts w:hint="eastAsia"/>
        </w:rPr>
        <w:t>以前的比例为：</w:t>
      </w:r>
      <w:r>
        <w:rPr>
          <w:rFonts w:hint="eastAsia"/>
        </w:rPr>
        <w:t>50%/50%)</w:t>
      </w:r>
      <w:r>
        <w:rPr>
          <w:rFonts w:hint="eastAsia"/>
        </w:rPr>
        <w:t>。</w:t>
      </w:r>
    </w:p>
    <w:p w:rsidR="00000000" w:rsidRDefault="00000000">
      <w:pPr>
        <w:rPr>
          <w:rFonts w:hint="eastAsia"/>
        </w:rPr>
      </w:pPr>
      <w:r>
        <w:rPr>
          <w:rFonts w:hint="eastAsia"/>
        </w:rPr>
        <w:tab/>
        <w:t xml:space="preserve">435.  </w:t>
      </w:r>
      <w:r>
        <w:rPr>
          <w:rFonts w:hint="eastAsia"/>
        </w:rPr>
        <w:t>从</w:t>
      </w:r>
      <w:r>
        <w:rPr>
          <w:rFonts w:hint="eastAsia"/>
        </w:rPr>
        <w:t>2005</w:t>
      </w:r>
      <w:r>
        <w:rPr>
          <w:rFonts w:hint="eastAsia"/>
        </w:rPr>
        <w:t>年</w:t>
      </w:r>
      <w:r>
        <w:rPr>
          <w:rFonts w:hint="eastAsia"/>
        </w:rPr>
        <w:t>1</w:t>
      </w:r>
      <w:r>
        <w:rPr>
          <w:rFonts w:hint="eastAsia"/>
        </w:rPr>
        <w:t>月</w:t>
      </w:r>
      <w:r>
        <w:rPr>
          <w:rFonts w:hint="eastAsia"/>
        </w:rPr>
        <w:t>1</w:t>
      </w:r>
      <w:r>
        <w:rPr>
          <w:rFonts w:hint="eastAsia"/>
        </w:rPr>
        <w:t>日起，如果退休金计划的对象的每年收入超过</w:t>
      </w:r>
      <w:r>
        <w:rPr>
          <w:rFonts w:hint="eastAsia"/>
        </w:rPr>
        <w:t>6000</w:t>
      </w:r>
      <w:r>
        <w:rPr>
          <w:rFonts w:hint="eastAsia"/>
        </w:rPr>
        <w:t>欧元，或者国家的雇佣一直延续到退休年龄，那么就已经达到以前有关就业时间的规定以及关于国家机关工作人员退休金计划连续性质的规定。</w:t>
      </w:r>
    </w:p>
    <w:p w:rsidR="00000000" w:rsidRDefault="00000000">
      <w:pPr>
        <w:rPr>
          <w:rFonts w:hint="eastAsia"/>
        </w:rPr>
      </w:pPr>
      <w:r>
        <w:rPr>
          <w:rFonts w:hint="eastAsia"/>
        </w:rPr>
        <w:tab/>
        <w:t xml:space="preserve">436.  </w:t>
      </w:r>
      <w:r>
        <w:rPr>
          <w:rFonts w:hint="eastAsia"/>
        </w:rPr>
        <w:t>在过去</w:t>
      </w:r>
      <w:r>
        <w:rPr>
          <w:rFonts w:hint="eastAsia"/>
        </w:rPr>
        <w:t>5</w:t>
      </w:r>
      <w:r>
        <w:rPr>
          <w:rFonts w:hint="eastAsia"/>
        </w:rPr>
        <w:t>年中，同收入有关的退休金计划也因为关于康复问题法律规定的修订而进行了改革。从</w:t>
      </w:r>
      <w:r>
        <w:rPr>
          <w:rFonts w:hint="eastAsia"/>
        </w:rPr>
        <w:t>2004</w:t>
      </w:r>
      <w:r>
        <w:rPr>
          <w:rFonts w:hint="eastAsia"/>
        </w:rPr>
        <w:t>年年初开始已经纳入《国家机关工作人员退休金法》的这些规定从内容上来说同在私营部门所实行的规定是一样的。之所以要制定新的有关康复问题的法律规定，就是要比以往更早地采取康复措施，从而有助于保持职工的工作能力以及防止或者至少延迟对于残疾退休金的需求。这场改革另外一个目的是为提高平均退休年龄的整体目标作出贡献。</w:t>
      </w:r>
    </w:p>
    <w:p w:rsidR="00000000" w:rsidRDefault="00000000">
      <w:pPr>
        <w:rPr>
          <w:rFonts w:hint="eastAsia"/>
        </w:rPr>
      </w:pPr>
      <w:r>
        <w:rPr>
          <w:rFonts w:hint="eastAsia"/>
        </w:rPr>
        <w:tab/>
        <w:t xml:space="preserve">437.  </w:t>
      </w:r>
      <w:r>
        <w:rPr>
          <w:rFonts w:hint="eastAsia"/>
        </w:rPr>
        <w:t>在公共部门退休金计划方面，从</w:t>
      </w:r>
      <w:r>
        <w:rPr>
          <w:rFonts w:hint="eastAsia"/>
        </w:rPr>
        <w:t>2004</w:t>
      </w:r>
      <w:r>
        <w:rPr>
          <w:rFonts w:hint="eastAsia"/>
        </w:rPr>
        <w:t>年年初开始已经实施一次性决定原则。这项原则意味着，申请人在某个退休金机构投保时就作出一次性决定。这种决定将包括该申请人根据不同的退休金计划有权领取的所有退休金。在法律修订以后，这项原则适用于私营部门雇主、国家、地方当局、福音派</w:t>
      </w:r>
      <w:r>
        <w:rPr>
          <w:rFonts w:hint="eastAsia"/>
          <w:spacing w:val="-50"/>
        </w:rPr>
        <w:t>―</w:t>
      </w:r>
      <w:r>
        <w:rPr>
          <w:rFonts w:hint="eastAsia"/>
        </w:rPr>
        <w:t>―路德派教会以及社会保险局所支付的所有退休金。</w:t>
      </w:r>
    </w:p>
    <w:p w:rsidR="00000000" w:rsidRDefault="00000000">
      <w:pPr>
        <w:widowControl w:val="0"/>
        <w:spacing w:after="320"/>
        <w:rPr>
          <w:rFonts w:hint="eastAsia"/>
        </w:rPr>
      </w:pPr>
      <w:r>
        <w:rPr>
          <w:rFonts w:hint="eastAsia"/>
        </w:rPr>
        <w:tab/>
        <w:t xml:space="preserve">438.  </w:t>
      </w:r>
      <w:r>
        <w:rPr>
          <w:rFonts w:hint="eastAsia"/>
        </w:rPr>
        <w:t>在</w:t>
      </w:r>
      <w:r>
        <w:rPr>
          <w:rFonts w:hint="eastAsia"/>
        </w:rPr>
        <w:t>2000</w:t>
      </w:r>
      <w:r>
        <w:rPr>
          <w:rFonts w:hint="eastAsia"/>
        </w:rPr>
        <w:t>年到</w:t>
      </w:r>
      <w:r>
        <w:rPr>
          <w:rFonts w:hint="eastAsia"/>
        </w:rPr>
        <w:t>2004</w:t>
      </w:r>
      <w:r>
        <w:rPr>
          <w:rFonts w:hint="eastAsia"/>
        </w:rPr>
        <w:t>年</w:t>
      </w:r>
      <w:r>
        <w:rPr>
          <w:rFonts w:hint="eastAsia"/>
        </w:rPr>
        <w:t>MISSOC</w:t>
      </w:r>
      <w:r>
        <w:rPr>
          <w:rFonts w:hint="eastAsia"/>
        </w:rPr>
        <w:t>国家报告中也已经说明了有关社会保障的改革</w:t>
      </w:r>
      <w:r>
        <w:rPr>
          <w:rFonts w:hint="eastAsia"/>
        </w:rPr>
        <w:t>(</w:t>
      </w:r>
      <w:r>
        <w:rPr>
          <w:rFonts w:hint="eastAsia"/>
        </w:rPr>
        <w:t>附件二十七至附件三十一</w:t>
      </w:r>
      <w:r>
        <w:rPr>
          <w:rFonts w:hint="eastAsia"/>
        </w:rPr>
        <w:t>)</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国际条约</w:t>
      </w:r>
    </w:p>
    <w:p w:rsidR="00000000" w:rsidRDefault="00000000">
      <w:pPr>
        <w:rPr>
          <w:rFonts w:hint="eastAsia"/>
        </w:rPr>
      </w:pPr>
      <w:r>
        <w:rPr>
          <w:rFonts w:hint="eastAsia"/>
        </w:rPr>
        <w:tab/>
        <w:t xml:space="preserve">439.  </w:t>
      </w:r>
      <w:r>
        <w:rPr>
          <w:rFonts w:hint="eastAsia"/>
        </w:rPr>
        <w:t>芬兰已经批准了在一般性准则中所提到的以下国际公约：《公民权利和政治权利国际公约》、《儿童权利公约》、《消除对妇女一切形式歧视公约》以及《劳工组织最低年龄公约》，</w:t>
      </w:r>
      <w:r>
        <w:rPr>
          <w:rFonts w:hint="eastAsia"/>
        </w:rPr>
        <w:t>1973</w:t>
      </w:r>
      <w:r>
        <w:rPr>
          <w:rFonts w:hint="eastAsia"/>
        </w:rPr>
        <w:t>年</w:t>
      </w:r>
      <w:r>
        <w:rPr>
          <w:rFonts w:hint="eastAsia"/>
        </w:rPr>
        <w:t>(</w:t>
      </w:r>
      <w:r>
        <w:rPr>
          <w:rFonts w:hint="eastAsia"/>
        </w:rPr>
        <w:t>第</w:t>
      </w:r>
      <w:r>
        <w:rPr>
          <w:rFonts w:hint="eastAsia"/>
        </w:rPr>
        <w:t>138</w:t>
      </w:r>
      <w:r>
        <w:rPr>
          <w:rFonts w:hint="eastAsia"/>
        </w:rPr>
        <w:t>号公约</w:t>
      </w:r>
      <w:r>
        <w:rPr>
          <w:rFonts w:hint="eastAsia"/>
        </w:rPr>
        <w:t>)</w:t>
      </w:r>
      <w:r>
        <w:rPr>
          <w:rFonts w:hint="eastAsia"/>
        </w:rPr>
        <w:t>。</w:t>
      </w:r>
    </w:p>
    <w:p w:rsidR="00000000" w:rsidRDefault="00000000">
      <w:pPr>
        <w:spacing w:after="320"/>
        <w:rPr>
          <w:rFonts w:hint="eastAsia"/>
        </w:rPr>
      </w:pPr>
      <w:r>
        <w:rPr>
          <w:rFonts w:hint="eastAsia"/>
        </w:rPr>
        <w:tab/>
        <w:t xml:space="preserve">440.  </w:t>
      </w:r>
      <w:r>
        <w:rPr>
          <w:rFonts w:hint="eastAsia"/>
        </w:rPr>
        <w:t>除了上述公约以外，芬兰还批准了劳工组织《有关禁止和立即行动消除最恶劣形式的童工劳动的第</w:t>
      </w:r>
      <w:r>
        <w:rPr>
          <w:rFonts w:hint="eastAsia"/>
        </w:rPr>
        <w:t>182</w:t>
      </w:r>
      <w:r>
        <w:rPr>
          <w:rFonts w:hint="eastAsia"/>
        </w:rPr>
        <w:t>号公约》。</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2</w:t>
      </w:r>
      <w:r>
        <w:rPr>
          <w:rFonts w:ascii="Time New Roman" w:eastAsia="SimHei" w:hAnsi="Time New Roman" w:hint="eastAsia"/>
          <w:u w:val="none"/>
        </w:rPr>
        <w:t xml:space="preserve">.  </w:t>
      </w:r>
      <w:r>
        <w:rPr>
          <w:rFonts w:ascii="Time New Roman" w:eastAsia="SimHei" w:hAnsi="Time New Roman" w:hint="eastAsia"/>
          <w:u w:val="none"/>
        </w:rPr>
        <w:t>家</w:t>
      </w:r>
      <w:r>
        <w:rPr>
          <w:rFonts w:ascii="Time New Roman" w:eastAsia="SimHei" w:hAnsi="Time New Roman" w:hint="eastAsia"/>
          <w:u w:val="none"/>
        </w:rPr>
        <w:t xml:space="preserve">  </w:t>
      </w:r>
      <w:r>
        <w:rPr>
          <w:rFonts w:ascii="Time New Roman" w:eastAsia="SimHei" w:hAnsi="Time New Roman" w:hint="eastAsia"/>
          <w:u w:val="none"/>
        </w:rPr>
        <w:t>庭</w:t>
      </w:r>
    </w:p>
    <w:p w:rsidR="00000000" w:rsidRDefault="00000000">
      <w:pPr>
        <w:spacing w:after="320"/>
        <w:rPr>
          <w:rFonts w:hint="eastAsia"/>
        </w:rPr>
      </w:pPr>
      <w:r>
        <w:rPr>
          <w:rFonts w:hint="eastAsia"/>
        </w:rPr>
        <w:tab/>
        <w:t xml:space="preserve">441.  </w:t>
      </w:r>
      <w:r>
        <w:rPr>
          <w:rFonts w:hint="eastAsia"/>
        </w:rPr>
        <w:t>《伙伴关系登记法》</w:t>
      </w:r>
      <w:r>
        <w:rPr>
          <w:rFonts w:hint="eastAsia"/>
        </w:rPr>
        <w:t>(950/2001)</w:t>
      </w:r>
      <w:r>
        <w:rPr>
          <w:rFonts w:hint="eastAsia"/>
        </w:rPr>
        <w:t>于</w:t>
      </w:r>
      <w:r>
        <w:rPr>
          <w:rFonts w:hint="eastAsia"/>
        </w:rPr>
        <w:t>2002</w:t>
      </w:r>
      <w:r>
        <w:rPr>
          <w:rFonts w:hint="eastAsia"/>
        </w:rPr>
        <w:t>年正式生效。根据这项法律，同性夫妇可以登记这种伙伴关系，这种关系具有婚姻的同等效力。因此，这项法律消除了这种夫妇在日常生活中的一些障碍，例如在继承权方面的障碍。然而，《陪产假法》</w:t>
      </w:r>
      <w:r>
        <w:rPr>
          <w:rFonts w:hint="eastAsia"/>
        </w:rPr>
        <w:t>(700/1975)</w:t>
      </w:r>
      <w:r>
        <w:rPr>
          <w:rFonts w:hint="eastAsia"/>
        </w:rPr>
        <w:t>、《收养法》</w:t>
      </w:r>
      <w:r>
        <w:rPr>
          <w:rFonts w:hint="eastAsia"/>
        </w:rPr>
        <w:t>(153/1985)</w:t>
      </w:r>
      <w:r>
        <w:rPr>
          <w:rFonts w:hint="eastAsia"/>
        </w:rPr>
        <w:t>以及《姓名法》</w:t>
      </w:r>
      <w:r>
        <w:rPr>
          <w:rFonts w:hint="eastAsia"/>
        </w:rPr>
        <w:t>(694/1985)</w:t>
      </w:r>
      <w:r>
        <w:rPr>
          <w:rFonts w:hint="eastAsia"/>
        </w:rPr>
        <w:t>中的某些规定不适用于所登记的伙伴关系。</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 xml:space="preserve">.  </w:t>
      </w:r>
      <w:r>
        <w:rPr>
          <w:rFonts w:ascii="Time New Roman" w:eastAsia="SimHei" w:hAnsi="Time New Roman" w:hint="eastAsia"/>
          <w:u w:val="none"/>
        </w:rPr>
        <w:t>为家庭提供的援助和保护</w:t>
      </w:r>
    </w:p>
    <w:p w:rsidR="00000000" w:rsidRDefault="00000000">
      <w:pPr>
        <w:rPr>
          <w:rFonts w:hint="eastAsia"/>
        </w:rPr>
      </w:pPr>
      <w:r>
        <w:rPr>
          <w:rFonts w:hint="eastAsia"/>
        </w:rPr>
        <w:tab/>
        <w:t xml:space="preserve">442.  </w:t>
      </w:r>
      <w:r>
        <w:rPr>
          <w:rFonts w:hint="eastAsia"/>
        </w:rPr>
        <w:t>在有关委员会的关注问题</w:t>
      </w:r>
      <w:r>
        <w:rPr>
          <w:rFonts w:hint="eastAsia"/>
        </w:rPr>
        <w:t>D17</w:t>
      </w:r>
      <w:r>
        <w:rPr>
          <w:rFonts w:hint="eastAsia"/>
        </w:rPr>
        <w:t>和建议</w:t>
      </w:r>
      <w:r>
        <w:rPr>
          <w:rFonts w:hint="eastAsia"/>
        </w:rPr>
        <w:t>E30</w:t>
      </w:r>
      <w:r>
        <w:rPr>
          <w:rFonts w:hint="eastAsia"/>
        </w:rPr>
        <w:t>的答复中已经讨论了针对妇女的暴力行为。</w:t>
      </w:r>
    </w:p>
    <w:p w:rsidR="00000000" w:rsidRDefault="00000000">
      <w:pPr>
        <w:rPr>
          <w:rFonts w:hint="eastAsia"/>
        </w:rPr>
      </w:pPr>
      <w:r>
        <w:rPr>
          <w:rFonts w:hint="eastAsia"/>
        </w:rPr>
        <w:tab/>
        <w:t xml:space="preserve">443.  </w:t>
      </w:r>
      <w:r>
        <w:rPr>
          <w:rFonts w:hint="eastAsia"/>
        </w:rPr>
        <w:t>议会监察员在其</w:t>
      </w:r>
      <w:r>
        <w:rPr>
          <w:rFonts w:hint="eastAsia"/>
        </w:rPr>
        <w:t>2002</w:t>
      </w:r>
      <w:r>
        <w:rPr>
          <w:rFonts w:hint="eastAsia"/>
        </w:rPr>
        <w:t>年的年度报告中指出，可能导致严重侵犯基本权利和人权的社会现象包括家庭暴力以及处于极端弱势地位的儿童的问题。他认为，尽管家庭暴力是一种普遍的社会现象，而且还特别涉及妇女和儿童，有时还涉及老人，但是长期以来家庭暴力问题在芬兰遭到忽视。暴力行为严重侵犯作为一种基本人权的人身安全和保障，各级政府有义务采取积极措施以保护这种权利。</w:t>
      </w:r>
    </w:p>
    <w:p w:rsidR="00000000" w:rsidRDefault="00000000">
      <w:pPr>
        <w:rPr>
          <w:rFonts w:hint="eastAsia"/>
        </w:rPr>
      </w:pPr>
      <w:r>
        <w:rPr>
          <w:rFonts w:hint="eastAsia"/>
        </w:rPr>
        <w:tab/>
        <w:t xml:space="preserve">444.  </w:t>
      </w:r>
      <w:r>
        <w:rPr>
          <w:rFonts w:hint="eastAsia"/>
        </w:rPr>
        <w:t>在</w:t>
      </w:r>
      <w:r>
        <w:rPr>
          <w:rFonts w:hint="eastAsia"/>
        </w:rPr>
        <w:t>2004</w:t>
      </w:r>
      <w:r>
        <w:rPr>
          <w:rFonts w:hint="eastAsia"/>
        </w:rPr>
        <w:t>年，议会监察员主动承诺检查各级政府是否已经作好准备，以便调查、解决和预防家庭中针对儿童的暴力行为。已经要求所有省级的国家机构说明就怀疑的暴力侵犯儿童案件所采取的措施。议会监察员在对社会福利和教育部门、警署以及检察机构进行视察时也处理了这个问题。视察的结果至今尚未公布。</w:t>
      </w:r>
    </w:p>
    <w:p w:rsidR="00000000" w:rsidRDefault="00000000">
      <w:pPr>
        <w:rPr>
          <w:rFonts w:hint="eastAsia"/>
        </w:rPr>
      </w:pPr>
      <w:r>
        <w:rPr>
          <w:rFonts w:hint="eastAsia"/>
        </w:rPr>
        <w:tab/>
        <w:t xml:space="preserve">445.  </w:t>
      </w:r>
      <w:r>
        <w:rPr>
          <w:rFonts w:hint="eastAsia"/>
        </w:rPr>
        <w:t>在儿童与其家长见面的权利方面也对暴力问题进行了讨论，因为一些儿童的监护人担心，儿童的安全在见面时会遭到威胁。在这种情况下，法院可以命令在有监督的情况下会面。但是在这一方面没有特别的法律规定。议会监察员在</w:t>
      </w:r>
      <w:r>
        <w:rPr>
          <w:rFonts w:hint="eastAsia"/>
        </w:rPr>
        <w:t>2004</w:t>
      </w:r>
      <w:r>
        <w:rPr>
          <w:rFonts w:hint="eastAsia"/>
        </w:rPr>
        <w:t>年的一项决定中建议政府评估，是否可以通过规定在某些情况下必须有监督地进行会面，从而加强儿童及其父母的基本权利和人权的实施。</w:t>
      </w:r>
    </w:p>
    <w:p w:rsidR="00000000" w:rsidRDefault="00000000">
      <w:pPr>
        <w:rPr>
          <w:rFonts w:hint="eastAsia"/>
        </w:rPr>
      </w:pPr>
      <w:r>
        <w:rPr>
          <w:rFonts w:hint="eastAsia"/>
        </w:rPr>
        <w:tab/>
        <w:t xml:space="preserve">446.  </w:t>
      </w:r>
      <w:r>
        <w:rPr>
          <w:rFonts w:hint="eastAsia"/>
        </w:rPr>
        <w:t>议会监察员在</w:t>
      </w:r>
      <w:r>
        <w:rPr>
          <w:rFonts w:hint="eastAsia"/>
        </w:rPr>
        <w:t>2000</w:t>
      </w:r>
      <w:r>
        <w:rPr>
          <w:rFonts w:hint="eastAsia"/>
        </w:rPr>
        <w:t>年有关实施孤身难民儿童权利的一项决定中指出，儿童同其家庭团聚的权利是儿童最重要的基本权利和人权之一，不得出于经济原因而限制这项权利。议会监察员建议，弥补有关家庭团聚法律中的一些缺陷，即使孤身难民儿童已经年满</w:t>
      </w:r>
      <w:r>
        <w:rPr>
          <w:rFonts w:hint="eastAsia"/>
        </w:rPr>
        <w:t>18</w:t>
      </w:r>
      <w:r>
        <w:rPr>
          <w:rFonts w:hint="eastAsia"/>
        </w:rPr>
        <w:t>岁，也应确保对他们的照料。</w:t>
      </w:r>
    </w:p>
    <w:p w:rsidR="00000000" w:rsidRDefault="00000000">
      <w:pPr>
        <w:rPr>
          <w:rFonts w:hint="eastAsia"/>
        </w:rPr>
      </w:pPr>
      <w:r>
        <w:rPr>
          <w:rFonts w:hint="eastAsia"/>
        </w:rPr>
        <w:tab/>
        <w:t xml:space="preserve">447.  </w:t>
      </w:r>
      <w:r>
        <w:rPr>
          <w:rFonts w:hint="eastAsia"/>
        </w:rPr>
        <w:t>在</w:t>
      </w:r>
      <w:r>
        <w:rPr>
          <w:rFonts w:hint="eastAsia"/>
        </w:rPr>
        <w:t>2004</w:t>
      </w:r>
      <w:r>
        <w:rPr>
          <w:rFonts w:hint="eastAsia"/>
        </w:rPr>
        <w:t>年正式生效的新的《外国人法》的一个目的是要加强上述权利。议会在讨论这项法案时规定，在实施这项法律时必须考虑到有关儿童地位的问题。</w:t>
      </w:r>
    </w:p>
    <w:p w:rsidR="00000000" w:rsidRDefault="00000000">
      <w:pPr>
        <w:rPr>
          <w:rFonts w:hint="eastAsia"/>
        </w:rPr>
      </w:pPr>
      <w:r>
        <w:rPr>
          <w:rFonts w:hint="eastAsia"/>
        </w:rPr>
        <w:tab/>
        <w:t xml:space="preserve">448.  </w:t>
      </w:r>
      <w:r>
        <w:rPr>
          <w:rFonts w:hint="eastAsia"/>
        </w:rPr>
        <w:t>旨在防止年轻人遭到社会排斥的活动。地方政府所开展的青年工作的很大一部分是为了直接或者间接地防止青年人遭到社会排斥，一些地方协会的活动也是出于同样目的。</w:t>
      </w:r>
    </w:p>
    <w:p w:rsidR="00000000" w:rsidRDefault="00000000">
      <w:pPr>
        <w:rPr>
          <w:rFonts w:hint="eastAsia"/>
        </w:rPr>
      </w:pPr>
      <w:r>
        <w:rPr>
          <w:rFonts w:hint="eastAsia"/>
        </w:rPr>
        <w:tab/>
        <w:t xml:space="preserve">449.  </w:t>
      </w:r>
      <w:r>
        <w:rPr>
          <w:rFonts w:hint="eastAsia"/>
        </w:rPr>
        <w:t>除了为开展青年工作而拨给地方政府的基本补助以外，教育部还向专门加强移民青年</w:t>
      </w:r>
      <w:r>
        <w:rPr>
          <w:rFonts w:hint="eastAsia"/>
        </w:rPr>
        <w:t>(</w:t>
      </w:r>
      <w:r>
        <w:rPr>
          <w:rFonts w:hint="eastAsia"/>
        </w:rPr>
        <w:t>主要是索马里人和俄罗斯人</w:t>
      </w:r>
      <w:r>
        <w:rPr>
          <w:rFonts w:hint="eastAsia"/>
        </w:rPr>
        <w:t>)</w:t>
      </w:r>
      <w:r>
        <w:rPr>
          <w:rFonts w:hint="eastAsia"/>
        </w:rPr>
        <w:t>活动的项目提供了资助。这些项目特别是在赫尔辛基及其周边地区实施。</w:t>
      </w:r>
    </w:p>
    <w:p w:rsidR="00000000" w:rsidRDefault="00000000">
      <w:pPr>
        <w:rPr>
          <w:rFonts w:hint="eastAsia"/>
        </w:rPr>
      </w:pPr>
      <w:r>
        <w:rPr>
          <w:rFonts w:hint="eastAsia"/>
        </w:rPr>
        <w:tab/>
        <w:t xml:space="preserve">450.  </w:t>
      </w:r>
      <w:r>
        <w:rPr>
          <w:rFonts w:hint="eastAsia"/>
        </w:rPr>
        <w:t>在人口稀少的地区</w:t>
      </w:r>
      <w:r>
        <w:rPr>
          <w:rFonts w:hint="eastAsia"/>
        </w:rPr>
        <w:t>(</w:t>
      </w:r>
      <w:r>
        <w:rPr>
          <w:rFonts w:hint="eastAsia"/>
        </w:rPr>
        <w:t>例如芬兰东部</w:t>
      </w:r>
      <w:r>
        <w:rPr>
          <w:rFonts w:hint="eastAsia"/>
        </w:rPr>
        <w:t>)</w:t>
      </w:r>
      <w:r>
        <w:rPr>
          <w:rFonts w:hint="eastAsia"/>
        </w:rPr>
        <w:t>，向各种旨在促进儿童和青年参与的试验和青年工作方法提供了支助。</w:t>
      </w:r>
    </w:p>
    <w:p w:rsidR="00000000" w:rsidRDefault="00000000">
      <w:pPr>
        <w:rPr>
          <w:rFonts w:hint="eastAsia"/>
        </w:rPr>
      </w:pPr>
      <w:r>
        <w:rPr>
          <w:rFonts w:hint="eastAsia"/>
        </w:rPr>
        <w:tab/>
        <w:t xml:space="preserve">451.  </w:t>
      </w:r>
      <w:r>
        <w:rPr>
          <w:rFonts w:hint="eastAsia"/>
        </w:rPr>
        <w:t>在工业活动正在减缓的地区</w:t>
      </w:r>
      <w:r>
        <w:rPr>
          <w:rFonts w:hint="eastAsia"/>
        </w:rPr>
        <w:t>(</w:t>
      </w:r>
      <w:r>
        <w:rPr>
          <w:rFonts w:hint="eastAsia"/>
        </w:rPr>
        <w:t>例如</w:t>
      </w:r>
      <w:r>
        <w:rPr>
          <w:rFonts w:hint="eastAsia"/>
        </w:rPr>
        <w:t>P</w:t>
      </w:r>
      <w:r>
        <w:t>ori</w:t>
      </w:r>
      <w:r>
        <w:rPr>
          <w:rFonts w:hint="eastAsia"/>
        </w:rPr>
        <w:t>地区</w:t>
      </w:r>
      <w:r>
        <w:rPr>
          <w:rFonts w:hint="eastAsia"/>
        </w:rPr>
        <w:t>)</w:t>
      </w:r>
      <w:r>
        <w:rPr>
          <w:rFonts w:hint="eastAsia"/>
        </w:rPr>
        <w:t>，为已经遭到或者可能遭到社会排斥的青年人开展了各种文化活动。这些活动正在向其他地区推广。</w:t>
      </w:r>
    </w:p>
    <w:p w:rsidR="00000000" w:rsidRDefault="00000000">
      <w:pPr>
        <w:rPr>
          <w:rFonts w:hint="eastAsia"/>
        </w:rPr>
      </w:pPr>
      <w:r>
        <w:rPr>
          <w:rFonts w:hint="eastAsia"/>
        </w:rPr>
        <w:tab/>
        <w:t xml:space="preserve">452.  </w:t>
      </w:r>
      <w:r>
        <w:rPr>
          <w:rFonts w:hint="eastAsia"/>
        </w:rPr>
        <w:t>为可能遭到社会排斥的青年制定了启动方案，其中包括航海以及其它体育活动。</w:t>
      </w:r>
    </w:p>
    <w:p w:rsidR="00000000" w:rsidRDefault="00000000">
      <w:pPr>
        <w:rPr>
          <w:rFonts w:hint="eastAsia"/>
        </w:rPr>
      </w:pPr>
      <w:r>
        <w:rPr>
          <w:rFonts w:hint="eastAsia"/>
        </w:rPr>
        <w:tab/>
        <w:t xml:space="preserve">453.  </w:t>
      </w:r>
      <w:r>
        <w:rPr>
          <w:rFonts w:hint="eastAsia"/>
        </w:rPr>
        <w:t>小学生的上下午活动。一项新的有关管理一年级和二年级小学生课余活动的法律于</w:t>
      </w:r>
      <w:r>
        <w:rPr>
          <w:rFonts w:hint="eastAsia"/>
        </w:rPr>
        <w:t>2004</w:t>
      </w:r>
      <w:r>
        <w:rPr>
          <w:rFonts w:hint="eastAsia"/>
        </w:rPr>
        <w:t>年</w:t>
      </w:r>
      <w:r>
        <w:rPr>
          <w:rFonts w:hint="eastAsia"/>
        </w:rPr>
        <w:t>8</w:t>
      </w:r>
      <w:r>
        <w:rPr>
          <w:rFonts w:hint="eastAsia"/>
        </w:rPr>
        <w:t>月</w:t>
      </w:r>
      <w:r>
        <w:rPr>
          <w:rFonts w:hint="eastAsia"/>
        </w:rPr>
        <w:t>1</w:t>
      </w:r>
      <w:r>
        <w:rPr>
          <w:rFonts w:hint="eastAsia"/>
        </w:rPr>
        <w:t>日正式生效。这项法律还规定了负责管理学生课余活动的教师的资格。为了提高这些活动的质量，这项法律的实施必须予以监测。除此以外，教育部还为三年级和四年级小学生的项目活动提供了资助。</w:t>
      </w:r>
    </w:p>
    <w:p w:rsidR="00000000" w:rsidRDefault="00000000">
      <w:pPr>
        <w:widowControl w:val="0"/>
        <w:rPr>
          <w:rFonts w:hint="eastAsia"/>
        </w:rPr>
      </w:pPr>
      <w:r>
        <w:rPr>
          <w:rFonts w:hint="eastAsia"/>
        </w:rPr>
        <w:tab/>
        <w:t xml:space="preserve">454.  </w:t>
      </w:r>
      <w:r>
        <w:rPr>
          <w:rFonts w:hint="eastAsia"/>
        </w:rPr>
        <w:t>上述活动的目的是要在学生家长仍在上班时为儿童和青年渡过课余时间提供一个安全的场所。与此同时，也支持儿童的成长及其业余爱好。上述活动是为所有儿童和青年开放的。</w:t>
      </w:r>
    </w:p>
    <w:p w:rsidR="00000000" w:rsidRDefault="00000000">
      <w:pPr>
        <w:spacing w:after="320"/>
        <w:rPr>
          <w:rFonts w:hint="eastAsia"/>
        </w:rPr>
      </w:pPr>
      <w:r>
        <w:rPr>
          <w:rFonts w:hint="eastAsia"/>
        </w:rPr>
        <w:tab/>
        <w:t xml:space="preserve">455.  </w:t>
      </w:r>
      <w:r>
        <w:rPr>
          <w:rFonts w:hint="eastAsia"/>
        </w:rPr>
        <w:t>社会事务和卫生部下属的第一名儿童事务监察员将于</w:t>
      </w:r>
      <w:r>
        <w:rPr>
          <w:rFonts w:hint="eastAsia"/>
        </w:rPr>
        <w:t>2005</w:t>
      </w:r>
      <w:r>
        <w:rPr>
          <w:rFonts w:hint="eastAsia"/>
        </w:rPr>
        <w:t>年</w:t>
      </w:r>
      <w:r>
        <w:rPr>
          <w:rFonts w:hint="eastAsia"/>
        </w:rPr>
        <w:t>9</w:t>
      </w:r>
      <w:r>
        <w:rPr>
          <w:rFonts w:hint="eastAsia"/>
        </w:rPr>
        <w:t>月</w:t>
      </w:r>
      <w:r>
        <w:rPr>
          <w:rFonts w:hint="eastAsia"/>
        </w:rPr>
        <w:t>1</w:t>
      </w:r>
      <w:r>
        <w:rPr>
          <w:rFonts w:hint="eastAsia"/>
        </w:rPr>
        <w:t>日就职。</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 xml:space="preserve">.  </w:t>
      </w:r>
      <w:r>
        <w:rPr>
          <w:rFonts w:ascii="Time New Roman" w:eastAsia="SimHei" w:hAnsi="Time New Roman" w:hint="eastAsia"/>
          <w:u w:val="none"/>
        </w:rPr>
        <w:t>为产妇提供的保护</w:t>
      </w:r>
    </w:p>
    <w:p w:rsidR="00000000" w:rsidRDefault="00000000">
      <w:pPr>
        <w:rPr>
          <w:rFonts w:hint="eastAsia"/>
        </w:rPr>
      </w:pPr>
      <w:r>
        <w:rPr>
          <w:rFonts w:hint="eastAsia"/>
        </w:rPr>
        <w:tab/>
        <w:t xml:space="preserve">456.  </w:t>
      </w:r>
      <w:r>
        <w:rPr>
          <w:rFonts w:hint="eastAsia"/>
        </w:rPr>
        <w:t>《雇佣合同法》</w:t>
      </w:r>
      <w:r>
        <w:rPr>
          <w:rFonts w:hint="eastAsia"/>
        </w:rPr>
        <w:t>(55/2001)</w:t>
      </w:r>
      <w:r>
        <w:rPr>
          <w:rFonts w:hint="eastAsia"/>
        </w:rPr>
        <w:t>的第四章规定了家庭假。这项法律载有关于产假、特别产假、陪产假、家长假和护理假以及雇员有权以无法预料的和紧迫的家庭事务为由请假的规定。</w:t>
      </w:r>
    </w:p>
    <w:p w:rsidR="00000000" w:rsidRDefault="00000000">
      <w:pPr>
        <w:rPr>
          <w:rFonts w:hint="eastAsia"/>
        </w:rPr>
      </w:pPr>
      <w:r>
        <w:rPr>
          <w:rFonts w:hint="eastAsia"/>
        </w:rPr>
        <w:tab/>
        <w:t xml:space="preserve">457.  </w:t>
      </w:r>
      <w:r>
        <w:rPr>
          <w:rFonts w:hint="eastAsia"/>
        </w:rPr>
        <w:t>《疾病保险法》的改革将改变支付同收入有关的日常疾病津贴的理由，从而使得津贴对于投保人更有吸引力。有两类人特别得益于这项改革：只能短期就业的人以及在较短时间内连续生育两名以上子女的人。</w:t>
      </w:r>
    </w:p>
    <w:p w:rsidR="00000000" w:rsidRDefault="00000000">
      <w:pPr>
        <w:rPr>
          <w:rFonts w:hint="eastAsia"/>
        </w:rPr>
      </w:pPr>
      <w:r>
        <w:rPr>
          <w:rFonts w:hint="eastAsia"/>
        </w:rPr>
        <w:tab/>
        <w:t xml:space="preserve">458.  </w:t>
      </w:r>
      <w:r>
        <w:rPr>
          <w:rFonts w:hint="eastAsia"/>
        </w:rPr>
        <w:t>在对就业退休金计划进行改革之后，在领取同收入有关的社会福利期间，退休金同样可以累积。这些社会福利包括：产假津贴、陪产假津贴以及家长补贴。由于这项改革，在由于照料孩子和攻读学位而请假期间，退休金同样可以累积，在这种情况下累积的基数为：每月收入超过</w:t>
      </w:r>
      <w:r>
        <w:rPr>
          <w:rFonts w:hint="eastAsia"/>
        </w:rPr>
        <w:t>523.61</w:t>
      </w:r>
      <w:r>
        <w:rPr>
          <w:rFonts w:hint="eastAsia"/>
        </w:rPr>
        <w:t>欧元</w:t>
      </w:r>
      <w:r>
        <w:rPr>
          <w:rFonts w:hint="eastAsia"/>
        </w:rPr>
        <w:t>(2004</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459.  </w:t>
      </w:r>
      <w:r>
        <w:rPr>
          <w:rFonts w:hint="eastAsia"/>
        </w:rPr>
        <w:t>将提高因为年度假期的开支而支付给雇主的补偿。对于女工占多数的部门雇主来说，家长假开支的负担是特别沉重的。补偿之目的是要减轻雇主的负担，同时促进雇主雇佣临时工来顶替休假的职工，同时增强育龄妇女在劳动力市场中的地位。</w:t>
      </w:r>
    </w:p>
    <w:p w:rsidR="00000000" w:rsidRDefault="00000000">
      <w:pPr>
        <w:rPr>
          <w:rFonts w:hint="eastAsia"/>
        </w:rPr>
      </w:pPr>
      <w:r>
        <w:rPr>
          <w:rFonts w:hint="eastAsia"/>
        </w:rPr>
        <w:tab/>
        <w:t xml:space="preserve">460.  </w:t>
      </w:r>
      <w:r>
        <w:rPr>
          <w:rFonts w:hint="eastAsia"/>
        </w:rPr>
        <w:t>对于《雇佣合同法》以及《海员法》</w:t>
      </w:r>
      <w:r>
        <w:rPr>
          <w:rFonts w:hint="eastAsia"/>
        </w:rPr>
        <w:t>(423/1978)(</w:t>
      </w:r>
      <w:r>
        <w:rPr>
          <w:rFonts w:hint="eastAsia"/>
        </w:rPr>
        <w:t>第</w:t>
      </w:r>
      <w:r>
        <w:rPr>
          <w:rFonts w:hint="eastAsia"/>
        </w:rPr>
        <w:t>870/2003</w:t>
      </w:r>
      <w:r>
        <w:rPr>
          <w:rFonts w:hint="eastAsia"/>
        </w:rPr>
        <w:t>号法和第</w:t>
      </w:r>
      <w:r>
        <w:rPr>
          <w:rFonts w:hint="eastAsia"/>
        </w:rPr>
        <w:t>871/2003</w:t>
      </w:r>
      <w:r>
        <w:rPr>
          <w:rFonts w:hint="eastAsia"/>
        </w:rPr>
        <w:t>号法</w:t>
      </w:r>
      <w:r>
        <w:rPr>
          <w:rFonts w:hint="eastAsia"/>
        </w:rPr>
        <w:t>)</w:t>
      </w:r>
      <w:r>
        <w:rPr>
          <w:rFonts w:hint="eastAsia"/>
        </w:rPr>
        <w:t>进行了修订。从</w:t>
      </w:r>
      <w:r>
        <w:rPr>
          <w:rFonts w:hint="eastAsia"/>
        </w:rPr>
        <w:t>2003</w:t>
      </w:r>
      <w:r>
        <w:rPr>
          <w:rFonts w:hint="eastAsia"/>
        </w:rPr>
        <w:t>年</w:t>
      </w:r>
      <w:r>
        <w:rPr>
          <w:rFonts w:hint="eastAsia"/>
        </w:rPr>
        <w:t>11</w:t>
      </w:r>
      <w:r>
        <w:rPr>
          <w:rFonts w:hint="eastAsia"/>
        </w:rPr>
        <w:t>月</w:t>
      </w:r>
      <w:r>
        <w:rPr>
          <w:rFonts w:hint="eastAsia"/>
        </w:rPr>
        <w:t>1</w:t>
      </w:r>
      <w:r>
        <w:rPr>
          <w:rFonts w:hint="eastAsia"/>
        </w:rPr>
        <w:t>日起，这两项法律所规定的请部分照料假的权利已经有所扩大。修订法律之目的是要使得幼儿的家长能够更好地协调工作和家庭生活。雇员可以请部分照料假直到其孩子读完综合性小学二年级为止。如果有关儿童的学制较长，部分照料假的假期可以延续到三年级结束。父母不得同时请照料假，但是他们可以轮流照料孩子，或者分上下午，或者隔日或隔周。作为部分照料假的一个条件而规定的就业时间从</w:t>
      </w:r>
      <w:r>
        <w:rPr>
          <w:rFonts w:hint="eastAsia"/>
        </w:rPr>
        <w:t>12</w:t>
      </w:r>
      <w:r>
        <w:rPr>
          <w:rFonts w:hint="eastAsia"/>
        </w:rPr>
        <w:t>个月减少到了</w:t>
      </w:r>
      <w:r>
        <w:rPr>
          <w:rFonts w:hint="eastAsia"/>
        </w:rPr>
        <w:t>6</w:t>
      </w:r>
      <w:r>
        <w:rPr>
          <w:rFonts w:hint="eastAsia"/>
        </w:rPr>
        <w:t>个月。计划使用照料假的雇员必须提前两个月向雇主提出申请。</w:t>
      </w:r>
    </w:p>
    <w:p w:rsidR="00000000" w:rsidRDefault="00000000">
      <w:pPr>
        <w:rPr>
          <w:rFonts w:hint="eastAsia"/>
        </w:rPr>
      </w:pPr>
      <w:r>
        <w:rPr>
          <w:rFonts w:hint="eastAsia"/>
        </w:rPr>
        <w:tab/>
        <w:t xml:space="preserve">461.  </w:t>
      </w:r>
      <w:r>
        <w:rPr>
          <w:rFonts w:hint="eastAsia"/>
        </w:rPr>
        <w:t>一些集体协议载有关于产假期间工资的规定。</w:t>
      </w:r>
    </w:p>
    <w:p w:rsidR="00000000" w:rsidRDefault="00000000">
      <w:pPr>
        <w:widowControl w:val="0"/>
        <w:spacing w:after="320"/>
        <w:rPr>
          <w:rFonts w:hint="eastAsia"/>
        </w:rPr>
      </w:pPr>
      <w:r>
        <w:rPr>
          <w:rFonts w:hint="eastAsia"/>
        </w:rPr>
        <w:tab/>
        <w:t xml:space="preserve">462.  </w:t>
      </w:r>
      <w:r>
        <w:rPr>
          <w:rFonts w:hint="eastAsia"/>
          <w:spacing w:val="6"/>
        </w:rPr>
        <w:t>STTK</w:t>
      </w:r>
      <w:r>
        <w:rPr>
          <w:rFonts w:hint="eastAsia"/>
          <w:spacing w:val="6"/>
        </w:rPr>
        <w:t>认为，妇女在职期间的平均工资总额仍然低于男子，这不仅是因为女工占多数的部门工资水平较低，同时还因为产假期间的工资不是由法律规定的。</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6</w:t>
      </w:r>
      <w:r>
        <w:rPr>
          <w:rFonts w:ascii="Time New Roman" w:eastAsia="SimHei" w:hAnsi="Time New Roman" w:hint="eastAsia"/>
          <w:u w:val="none"/>
        </w:rPr>
        <w:t xml:space="preserve">.  </w:t>
      </w:r>
      <w:r>
        <w:rPr>
          <w:rFonts w:ascii="Time New Roman" w:eastAsia="SimHei" w:hAnsi="Time New Roman" w:hint="eastAsia"/>
          <w:u w:val="none"/>
        </w:rPr>
        <w:t>保护儿童免受经济剥削和社会剥削</w:t>
      </w:r>
    </w:p>
    <w:p w:rsidR="00000000" w:rsidRDefault="00000000">
      <w:pPr>
        <w:rPr>
          <w:rFonts w:hint="eastAsia"/>
        </w:rPr>
      </w:pPr>
      <w:r>
        <w:rPr>
          <w:rFonts w:hint="eastAsia"/>
        </w:rPr>
        <w:tab/>
        <w:t xml:space="preserve">463.  </w:t>
      </w:r>
      <w:r>
        <w:rPr>
          <w:rFonts w:hint="eastAsia"/>
        </w:rPr>
        <w:t>《关于审查从事儿童工作的人员犯罪记录的法律》</w:t>
      </w:r>
      <w:r>
        <w:rPr>
          <w:rFonts w:hint="eastAsia"/>
        </w:rPr>
        <w:t>(540/2002)</w:t>
      </w:r>
      <w:r>
        <w:rPr>
          <w:rFonts w:hint="eastAsia"/>
        </w:rPr>
        <w:t>于</w:t>
      </w:r>
      <w:r>
        <w:rPr>
          <w:rFonts w:hint="eastAsia"/>
        </w:rPr>
        <w:t>2003</w:t>
      </w:r>
      <w:r>
        <w:rPr>
          <w:rFonts w:hint="eastAsia"/>
        </w:rPr>
        <w:t>年</w:t>
      </w:r>
      <w:r>
        <w:rPr>
          <w:rFonts w:hint="eastAsia"/>
        </w:rPr>
        <w:t>1</w:t>
      </w:r>
      <w:r>
        <w:rPr>
          <w:rFonts w:hint="eastAsia"/>
        </w:rPr>
        <w:t>月</w:t>
      </w:r>
      <w:r>
        <w:rPr>
          <w:rFonts w:hint="eastAsia"/>
        </w:rPr>
        <w:t>1</w:t>
      </w:r>
      <w:r>
        <w:rPr>
          <w:rFonts w:hint="eastAsia"/>
        </w:rPr>
        <w:t>日正式生效。这项法律适用于在没有儿童监护人在场的情况下长期和主要从事未成年人工作的人员，例如托儿所、幼儿园、学校以及其它相关场所的工作人员。</w:t>
      </w:r>
    </w:p>
    <w:p w:rsidR="00000000" w:rsidRDefault="00000000">
      <w:pPr>
        <w:rPr>
          <w:rFonts w:hint="eastAsia"/>
          <w:spacing w:val="8"/>
        </w:rPr>
      </w:pPr>
      <w:r>
        <w:rPr>
          <w:rFonts w:hint="eastAsia"/>
        </w:rPr>
        <w:tab/>
        <w:t xml:space="preserve">464.  </w:t>
      </w:r>
      <w:r>
        <w:rPr>
          <w:rFonts w:hint="eastAsia"/>
          <w:spacing w:val="8"/>
        </w:rPr>
        <w:t>雇主在录用或者签订雇佣合同之前必须要求受聘人员提供其犯罪记录的摘要。有关记录必须表明，受聘人员以前是否因为性犯罪、严重危害他人生命或健康罪或者吸毒等罪行而依据《刑法》被定罪。如果犯罪记录显示这些罪行，也不一定意味着不得录用这些人员，但是雇主必须斟酌该人是否符合某项工作。在社会福利和医疗服务领域中就业、申请商业活动的许可证或者登记为私营服务提供者或者签定日托合约时，必须审查犯罪记录。这项法律并不授权对于敏感的材料进行编辑和登记。有义务要求提供犯罪记录的雇主只能在有关文件中登记所提供的犯罪记录以及核实资料。在制定上述法律的同时，也对《犯罪记录法》进行了修订，从而公民可以免费索取本人的犯罪记录副本，其中应当显示该人是否因为上述的某项罪行而被定罪。</w:t>
      </w:r>
    </w:p>
    <w:p w:rsidR="00000000" w:rsidRDefault="00000000">
      <w:pPr>
        <w:rPr>
          <w:rFonts w:hint="eastAsia"/>
        </w:rPr>
      </w:pPr>
      <w:r>
        <w:rPr>
          <w:rFonts w:hint="eastAsia"/>
        </w:rPr>
        <w:tab/>
        <w:t xml:space="preserve">465.  </w:t>
      </w:r>
      <w:r>
        <w:rPr>
          <w:rFonts w:hint="eastAsia"/>
        </w:rPr>
        <w:t>关于同未成年人以及其他无法律行为能力者签订雇佣合同的《雇佣合同法》第一章第</w:t>
      </w:r>
      <w:r>
        <w:rPr>
          <w:rFonts w:hint="eastAsia"/>
        </w:rPr>
        <w:t>6</w:t>
      </w:r>
      <w:r>
        <w:rPr>
          <w:rFonts w:hint="eastAsia"/>
        </w:rPr>
        <w:t>节提到了《青年工人法》</w:t>
      </w:r>
      <w:r>
        <w:rPr>
          <w:rFonts w:hint="eastAsia"/>
        </w:rPr>
        <w:t>(998/1993)</w:t>
      </w:r>
      <w:r>
        <w:rPr>
          <w:rFonts w:hint="eastAsia"/>
        </w:rPr>
        <w:t>的有关规定。由于《雇佣合同法》并不载有任何关于</w:t>
      </w:r>
      <w:r>
        <w:rPr>
          <w:rFonts w:hint="eastAsia"/>
        </w:rPr>
        <w:t>15</w:t>
      </w:r>
      <w:r>
        <w:rPr>
          <w:rFonts w:hint="eastAsia"/>
        </w:rPr>
        <w:t>岁儿童是否有权独立签订或者终止一项雇佣合同的规定，因此就在《青年工人法》的第</w:t>
      </w:r>
      <w:r>
        <w:rPr>
          <w:rFonts w:hint="eastAsia"/>
        </w:rPr>
        <w:t>3</w:t>
      </w:r>
      <w:r>
        <w:rPr>
          <w:rFonts w:hint="eastAsia"/>
        </w:rPr>
        <w:t>节第</w:t>
      </w:r>
      <w:r>
        <w:rPr>
          <w:rFonts w:hint="eastAsia"/>
        </w:rPr>
        <w:t>1</w:t>
      </w:r>
      <w:r>
        <w:rPr>
          <w:rFonts w:hint="eastAsia"/>
        </w:rPr>
        <w:t>分节加上了这样一条规定</w:t>
      </w:r>
      <w:r>
        <w:rPr>
          <w:rFonts w:hint="eastAsia"/>
        </w:rPr>
        <w:t>(57/2001)</w:t>
      </w:r>
      <w:r>
        <w:rPr>
          <w:rFonts w:hint="eastAsia"/>
        </w:rPr>
        <w:t>。</w:t>
      </w:r>
    </w:p>
    <w:p w:rsidR="00000000" w:rsidRDefault="00000000">
      <w:pPr>
        <w:rPr>
          <w:rFonts w:hint="eastAsia"/>
        </w:rPr>
      </w:pPr>
      <w:r>
        <w:rPr>
          <w:rFonts w:hint="eastAsia"/>
        </w:rPr>
        <w:tab/>
        <w:t>46</w:t>
      </w:r>
      <w:r>
        <w:t>6</w:t>
      </w:r>
      <w:r>
        <w:rPr>
          <w:rFonts w:hint="eastAsia"/>
        </w:rPr>
        <w:t xml:space="preserve">.  </w:t>
      </w:r>
      <w:r>
        <w:rPr>
          <w:rFonts w:hint="eastAsia"/>
        </w:rPr>
        <w:t>《关于移民融合和寻求庇护者接待问题的法律》已经修订，并且从</w:t>
      </w:r>
      <w:r>
        <w:rPr>
          <w:rFonts w:hint="eastAsia"/>
        </w:rPr>
        <w:t>2005</w:t>
      </w:r>
      <w:r>
        <w:rPr>
          <w:rFonts w:hint="eastAsia"/>
        </w:rPr>
        <w:t>年</w:t>
      </w:r>
      <w:r>
        <w:rPr>
          <w:rFonts w:hint="eastAsia"/>
        </w:rPr>
        <w:t>6</w:t>
      </w:r>
      <w:r>
        <w:rPr>
          <w:rFonts w:hint="eastAsia"/>
        </w:rPr>
        <w:t>月</w:t>
      </w:r>
      <w:r>
        <w:rPr>
          <w:rFonts w:hint="eastAsia"/>
        </w:rPr>
        <w:t>1</w:t>
      </w:r>
      <w:r>
        <w:rPr>
          <w:rFonts w:hint="eastAsia"/>
        </w:rPr>
        <w:t>日起生效，从而纳入了理事会</w:t>
      </w:r>
      <w:r>
        <w:rPr>
          <w:rFonts w:hint="eastAsia"/>
        </w:rPr>
        <w:t>2003</w:t>
      </w:r>
      <w:r>
        <w:rPr>
          <w:rFonts w:hint="eastAsia"/>
        </w:rPr>
        <w:t>年</w:t>
      </w:r>
      <w:r>
        <w:rPr>
          <w:rFonts w:hint="eastAsia"/>
        </w:rPr>
        <w:t>1</w:t>
      </w:r>
      <w:r>
        <w:rPr>
          <w:rFonts w:hint="eastAsia"/>
        </w:rPr>
        <w:t>月</w:t>
      </w:r>
      <w:r>
        <w:rPr>
          <w:rFonts w:hint="eastAsia"/>
        </w:rPr>
        <w:t>27</w:t>
      </w:r>
      <w:r>
        <w:rPr>
          <w:rFonts w:hint="eastAsia"/>
        </w:rPr>
        <w:t>日有关规定接待寻求庇护者最低标准的第</w:t>
      </w:r>
      <w:r>
        <w:rPr>
          <w:rFonts w:hint="eastAsia"/>
        </w:rPr>
        <w:t>2003/9/EC</w:t>
      </w:r>
      <w:r>
        <w:rPr>
          <w:rFonts w:hint="eastAsia"/>
        </w:rPr>
        <w:t>号指示中的有关规定。</w:t>
      </w:r>
    </w:p>
    <w:p w:rsidR="00000000" w:rsidRDefault="00000000">
      <w:pPr>
        <w:rPr>
          <w:rFonts w:hint="eastAsia"/>
        </w:rPr>
      </w:pPr>
      <w:r>
        <w:rPr>
          <w:rFonts w:hint="eastAsia"/>
        </w:rPr>
        <w:tab/>
        <w:t xml:space="preserve">467.  </w:t>
      </w:r>
      <w:r>
        <w:rPr>
          <w:rFonts w:hint="eastAsia"/>
        </w:rPr>
        <w:t>这项指示特别注意满足处于弱势地位的寻求庇护者的特殊需要。根据这项指示，政府法案强调指出，儿童的最高利益以及儿童的特殊需要应为首要考虑。为了适当照顾弱势人士，就必须提供更为有效的咨询、康复以及精神健康服务。</w:t>
      </w:r>
    </w:p>
    <w:p w:rsidR="00000000" w:rsidRDefault="00000000">
      <w:pPr>
        <w:widowControl w:val="0"/>
        <w:rPr>
          <w:rFonts w:hint="eastAsia"/>
          <w:spacing w:val="6"/>
        </w:rPr>
      </w:pPr>
      <w:r>
        <w:rPr>
          <w:rFonts w:hint="eastAsia"/>
        </w:rPr>
        <w:tab/>
        <w:t xml:space="preserve">468.  </w:t>
      </w:r>
      <w:r>
        <w:rPr>
          <w:rFonts w:hint="eastAsia"/>
          <w:spacing w:val="6"/>
        </w:rPr>
        <w:t>由于规定了必须在最短时间内提供信息，同时也规定了在任何情况下必须查明有关信息的类别，因此向寻求庇护者提供信息就更为有效和迅速了。关于孤身来到芬兰并且申请庇护的儿童，其登记入住的接待中心主任有权决定这些儿童的生活以及其它有关问题。根据《关于移民融合和寻求庇护者接待问题的法律》第五章的规定，接待主任的决定权从有关儿童入住接待中心时开始，到为该儿童指定个人代表后结束。</w:t>
      </w:r>
    </w:p>
    <w:p w:rsidR="00000000" w:rsidRDefault="00000000">
      <w:pPr>
        <w:rPr>
          <w:rFonts w:hint="eastAsia"/>
        </w:rPr>
      </w:pPr>
      <w:r>
        <w:rPr>
          <w:rFonts w:hint="eastAsia"/>
        </w:rPr>
        <w:tab/>
        <w:t xml:space="preserve">469.  </w:t>
      </w:r>
      <w:r>
        <w:rPr>
          <w:rFonts w:hint="eastAsia"/>
        </w:rPr>
        <w:t>有些申请庇护的儿童并不住在接待中心或者儿童之家，他们的地位也得以加强。必须向这些儿童所在的城市的社会福利委员会提供有关这些儿童及其临时监护人的资料。这样，社会福利委员会就有可能在必要时检查有关儿童的处境。</w:t>
      </w:r>
    </w:p>
    <w:p w:rsidR="00000000" w:rsidRDefault="00000000">
      <w:pPr>
        <w:spacing w:after="320"/>
        <w:rPr>
          <w:rFonts w:hint="eastAsia"/>
        </w:rPr>
      </w:pPr>
      <w:r>
        <w:rPr>
          <w:rFonts w:hint="eastAsia"/>
        </w:rPr>
        <w:tab/>
        <w:t xml:space="preserve">470.  </w:t>
      </w:r>
      <w:r>
        <w:rPr>
          <w:rFonts w:hint="eastAsia"/>
        </w:rPr>
        <w:t>政府还提到了于</w:t>
      </w:r>
      <w:r>
        <w:rPr>
          <w:rFonts w:hint="eastAsia"/>
        </w:rPr>
        <w:t>2002</w:t>
      </w:r>
      <w:r>
        <w:rPr>
          <w:rFonts w:hint="eastAsia"/>
        </w:rPr>
        <w:t>年</w:t>
      </w:r>
      <w:r>
        <w:rPr>
          <w:rFonts w:hint="eastAsia"/>
        </w:rPr>
        <w:t>(</w:t>
      </w:r>
      <w:r>
        <w:rPr>
          <w:rFonts w:hint="eastAsia"/>
        </w:rPr>
        <w:t>第一次报告</w:t>
      </w:r>
      <w:r>
        <w:rPr>
          <w:rFonts w:hint="eastAsia"/>
        </w:rPr>
        <w:t>)</w:t>
      </w:r>
      <w:r>
        <w:rPr>
          <w:rFonts w:hint="eastAsia"/>
        </w:rPr>
        <w:t>和</w:t>
      </w:r>
      <w:r>
        <w:rPr>
          <w:rFonts w:hint="eastAsia"/>
        </w:rPr>
        <w:t>2004</w:t>
      </w:r>
      <w:r>
        <w:rPr>
          <w:rFonts w:hint="eastAsia"/>
        </w:rPr>
        <w:t>年</w:t>
      </w:r>
      <w:r>
        <w:rPr>
          <w:rFonts w:hint="eastAsia"/>
        </w:rPr>
        <w:t>(</w:t>
      </w:r>
      <w:r>
        <w:rPr>
          <w:rFonts w:hint="eastAsia"/>
        </w:rPr>
        <w:t>附件十九和附件二十</w:t>
      </w:r>
      <w:r>
        <w:rPr>
          <w:rFonts w:hint="eastAsia"/>
        </w:rPr>
        <w:t>)</w:t>
      </w:r>
      <w:r>
        <w:rPr>
          <w:rFonts w:hint="eastAsia"/>
        </w:rPr>
        <w:t>所提交的有关劳工组织第</w:t>
      </w:r>
      <w:r>
        <w:rPr>
          <w:rFonts w:hint="eastAsia"/>
        </w:rPr>
        <w:t>182</w:t>
      </w:r>
      <w:r>
        <w:rPr>
          <w:rFonts w:hint="eastAsia"/>
        </w:rPr>
        <w:t>号公约执行情况的定期报告。</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6</w:t>
      </w:r>
      <w:r>
        <w:rPr>
          <w:rFonts w:ascii="Time New Roman" w:eastAsia="SimHei" w:hAnsi="Time New Roman" w:hint="eastAsia"/>
          <w:u w:val="none"/>
        </w:rPr>
        <w:t>.(</w:t>
      </w:r>
      <w:r>
        <w:rPr>
          <w:rFonts w:ascii="Time New Roman" w:eastAsia="SimHei" w:hAnsi="Time New Roman"/>
          <w:b/>
          <w:u w:val="none"/>
        </w:rPr>
        <w:t>a</w:t>
      </w:r>
      <w:r>
        <w:rPr>
          <w:rFonts w:ascii="Time New Roman" w:eastAsia="SimHei" w:hAnsi="Time New Roman" w:hint="eastAsia"/>
          <w:u w:val="none"/>
        </w:rPr>
        <w:t xml:space="preserve">)  </w:t>
      </w:r>
      <w:r>
        <w:rPr>
          <w:rFonts w:ascii="Time New Roman" w:eastAsia="SimHei" w:hAnsi="Time New Roman" w:hint="eastAsia"/>
          <w:u w:val="none"/>
        </w:rPr>
        <w:t>年龄限制</w:t>
      </w:r>
    </w:p>
    <w:p w:rsidR="00000000" w:rsidRDefault="00000000">
      <w:pPr>
        <w:spacing w:after="320"/>
        <w:rPr>
          <w:rFonts w:hint="eastAsia"/>
        </w:rPr>
      </w:pPr>
      <w:r>
        <w:rPr>
          <w:rFonts w:hint="eastAsia"/>
        </w:rPr>
        <w:tab/>
        <w:t xml:space="preserve">471.  </w:t>
      </w:r>
      <w:r>
        <w:rPr>
          <w:rFonts w:hint="eastAsia"/>
        </w:rPr>
        <w:t>政府提到了在</w:t>
      </w:r>
      <w:r>
        <w:rPr>
          <w:rFonts w:hint="eastAsia"/>
        </w:rPr>
        <w:t>2000</w:t>
      </w:r>
      <w:r>
        <w:rPr>
          <w:rFonts w:hint="eastAsia"/>
        </w:rPr>
        <w:t>年、</w:t>
      </w:r>
      <w:r>
        <w:rPr>
          <w:rFonts w:hint="eastAsia"/>
        </w:rPr>
        <w:t>2002</w:t>
      </w:r>
      <w:r>
        <w:rPr>
          <w:rFonts w:hint="eastAsia"/>
        </w:rPr>
        <w:t>年和</w:t>
      </w:r>
      <w:r>
        <w:rPr>
          <w:rFonts w:hint="eastAsia"/>
        </w:rPr>
        <w:t>2004</w:t>
      </w:r>
      <w:r>
        <w:rPr>
          <w:rFonts w:hint="eastAsia"/>
        </w:rPr>
        <w:t>年提交的有关劳工组织第</w:t>
      </w:r>
      <w:r>
        <w:rPr>
          <w:rFonts w:hint="eastAsia"/>
        </w:rPr>
        <w:t>138</w:t>
      </w:r>
      <w:r>
        <w:rPr>
          <w:rFonts w:hint="eastAsia"/>
        </w:rPr>
        <w:t>号公约执行情况的定期报告</w:t>
      </w:r>
      <w:r>
        <w:rPr>
          <w:rFonts w:hint="eastAsia"/>
        </w:rPr>
        <w:t>(</w:t>
      </w:r>
      <w:r>
        <w:rPr>
          <w:rFonts w:hint="eastAsia"/>
        </w:rPr>
        <w:t>附件</w:t>
      </w:r>
      <w:r>
        <w:rPr>
          <w:rFonts w:hint="eastAsia"/>
        </w:rPr>
        <w:t>21</w:t>
      </w:r>
      <w:r>
        <w:rPr>
          <w:rFonts w:hint="eastAsia"/>
        </w:rPr>
        <w:t>至附件</w:t>
      </w:r>
      <w:r>
        <w:rPr>
          <w:rFonts w:hint="eastAsia"/>
        </w:rPr>
        <w:t>23)</w:t>
      </w:r>
      <w:r>
        <w:rPr>
          <w:rFonts w:hint="eastAsia"/>
        </w:rPr>
        <w:t>。</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6</w:t>
      </w:r>
      <w:r>
        <w:rPr>
          <w:rFonts w:ascii="Time New Roman" w:eastAsia="SimHei" w:hAnsi="Time New Roman" w:hint="eastAsia"/>
          <w:u w:val="none"/>
        </w:rPr>
        <w:t>.(</w:t>
      </w:r>
      <w:r>
        <w:rPr>
          <w:rFonts w:ascii="Time New Roman" w:eastAsia="SimHei" w:hAnsi="Time New Roman"/>
          <w:b/>
          <w:u w:val="none"/>
        </w:rPr>
        <w:t>b</w:t>
      </w:r>
      <w:r>
        <w:rPr>
          <w:rFonts w:ascii="Time New Roman" w:eastAsia="SimHei" w:hAnsi="Time New Roman" w:hint="eastAsia"/>
          <w:u w:val="none"/>
        </w:rPr>
        <w:t xml:space="preserve">)  </w:t>
      </w:r>
      <w:r>
        <w:rPr>
          <w:rFonts w:ascii="Time New Roman" w:eastAsia="SimHei" w:hAnsi="Time New Roman" w:hint="eastAsia"/>
          <w:u w:val="none"/>
        </w:rPr>
        <w:t>关于儿童参加有薪劳动的统计数字</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hint="eastAsia"/>
          <w:b/>
          <w:sz w:val="22"/>
          <w:u w:val="none"/>
        </w:rPr>
        <w:t>24</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1994</w:t>
      </w:r>
      <w:r>
        <w:rPr>
          <w:rFonts w:ascii="Time New Roman" w:eastAsia="SimHei" w:hAnsi="Time New Roman" w:hint="eastAsia"/>
          <w:sz w:val="22"/>
          <w:u w:val="none"/>
        </w:rPr>
        <w:t>年、</w:t>
      </w:r>
      <w:r>
        <w:rPr>
          <w:rFonts w:ascii="Time New Roman" w:eastAsia="SimHei" w:hAnsi="Time New Roman" w:hint="eastAsia"/>
          <w:b/>
          <w:sz w:val="22"/>
          <w:u w:val="none"/>
        </w:rPr>
        <w:t>1999</w:t>
      </w:r>
      <w:r>
        <w:rPr>
          <w:rFonts w:ascii="Time New Roman" w:eastAsia="SimHei" w:hAnsi="Time New Roman" w:hint="eastAsia"/>
          <w:sz w:val="22"/>
          <w:u w:val="none"/>
        </w:rPr>
        <w:t>年和</w:t>
      </w:r>
      <w:r>
        <w:rPr>
          <w:rFonts w:ascii="Time New Roman" w:eastAsia="SimHei" w:hAnsi="Time New Roman" w:hint="eastAsia"/>
          <w:b/>
          <w:sz w:val="22"/>
          <w:u w:val="none"/>
        </w:rPr>
        <w:t>2004</w:t>
      </w:r>
      <w:r>
        <w:rPr>
          <w:rFonts w:ascii="Time New Roman" w:eastAsia="SimHei" w:hAnsi="Time New Roman" w:hint="eastAsia"/>
          <w:sz w:val="22"/>
          <w:u w:val="none"/>
        </w:rPr>
        <w:t>年</w:t>
      </w:r>
      <w:r>
        <w:rPr>
          <w:rFonts w:ascii="Time New Roman" w:eastAsia="SimHei" w:hAnsi="Time New Roman" w:hint="eastAsia"/>
          <w:b/>
          <w:sz w:val="22"/>
          <w:u w:val="none"/>
        </w:rPr>
        <w:t>15</w:t>
      </w:r>
      <w:r>
        <w:rPr>
          <w:rFonts w:ascii="Time New Roman" w:eastAsia="SimHei" w:hAnsi="Time New Roman" w:hint="eastAsia"/>
          <w:sz w:val="22"/>
          <w:u w:val="none"/>
        </w:rPr>
        <w:t>岁至</w:t>
      </w:r>
      <w:r>
        <w:rPr>
          <w:rFonts w:ascii="Time New Roman" w:eastAsia="SimHei" w:hAnsi="Time New Roman" w:hint="eastAsia"/>
          <w:b/>
          <w:sz w:val="22"/>
          <w:u w:val="none"/>
        </w:rPr>
        <w:t>17</w:t>
      </w:r>
      <w:r>
        <w:rPr>
          <w:rFonts w:ascii="Time New Roman" w:eastAsia="SimHei" w:hAnsi="Time New Roman" w:hint="eastAsia"/>
          <w:sz w:val="22"/>
          <w:u w:val="none"/>
        </w:rPr>
        <w:t>岁儿童参加有薪劳动的情况</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5"/>
        <w:gridCol w:w="1223"/>
        <w:gridCol w:w="1292"/>
        <w:gridCol w:w="2600"/>
        <w:gridCol w:w="2860"/>
      </w:tblGrid>
      <w:tr w:rsidR="00000000">
        <w:tblPrEx>
          <w:tblCellMar>
            <w:top w:w="0" w:type="dxa"/>
            <w:bottom w:w="0" w:type="dxa"/>
          </w:tblCellMar>
        </w:tblPrEx>
        <w:tc>
          <w:tcPr>
            <w:tcW w:w="1385" w:type="dxa"/>
          </w:tcPr>
          <w:p w:rsidR="00000000" w:rsidRDefault="00000000">
            <w:pPr>
              <w:pStyle w:val="a2"/>
              <w:spacing w:before="40" w:after="40"/>
              <w:jc w:val="center"/>
              <w:rPr>
                <w:rFonts w:hint="eastAsia"/>
              </w:rPr>
            </w:pPr>
            <w:r>
              <w:rPr>
                <w:rFonts w:hint="eastAsia"/>
              </w:rPr>
              <w:t>年</w:t>
            </w:r>
            <w:r>
              <w:rPr>
                <w:rFonts w:hint="eastAsia"/>
              </w:rPr>
              <w:t xml:space="preserve">  </w:t>
            </w:r>
            <w:r>
              <w:rPr>
                <w:rFonts w:hint="eastAsia"/>
              </w:rPr>
              <w:t>份</w:t>
            </w:r>
          </w:p>
        </w:tc>
        <w:tc>
          <w:tcPr>
            <w:tcW w:w="1223" w:type="dxa"/>
          </w:tcPr>
          <w:p w:rsidR="00000000" w:rsidRDefault="00000000">
            <w:pPr>
              <w:pStyle w:val="a2"/>
              <w:spacing w:before="40" w:after="40"/>
              <w:jc w:val="center"/>
              <w:rPr>
                <w:rFonts w:hint="eastAsia"/>
              </w:rPr>
            </w:pPr>
            <w:r>
              <w:rPr>
                <w:rFonts w:hint="eastAsia"/>
              </w:rPr>
              <w:t>年</w:t>
            </w:r>
            <w:r>
              <w:rPr>
                <w:rFonts w:hint="eastAsia"/>
              </w:rPr>
              <w:t xml:space="preserve">  </w:t>
            </w:r>
            <w:r>
              <w:rPr>
                <w:rFonts w:hint="eastAsia"/>
              </w:rPr>
              <w:t>龄</w:t>
            </w:r>
          </w:p>
        </w:tc>
        <w:tc>
          <w:tcPr>
            <w:tcW w:w="1292" w:type="dxa"/>
          </w:tcPr>
          <w:p w:rsidR="00000000" w:rsidRDefault="00000000">
            <w:pPr>
              <w:pStyle w:val="a2"/>
              <w:spacing w:before="40" w:after="40"/>
              <w:jc w:val="center"/>
              <w:rPr>
                <w:rFonts w:hint="eastAsia"/>
              </w:rPr>
            </w:pPr>
            <w:r>
              <w:rPr>
                <w:rFonts w:hint="eastAsia"/>
              </w:rPr>
              <w:t>总</w:t>
            </w:r>
            <w:r>
              <w:rPr>
                <w:rFonts w:hint="eastAsia"/>
              </w:rPr>
              <w:t xml:space="preserve">  </w:t>
            </w:r>
            <w:r>
              <w:rPr>
                <w:rFonts w:hint="eastAsia"/>
              </w:rPr>
              <w:t>数</w:t>
            </w:r>
          </w:p>
        </w:tc>
        <w:tc>
          <w:tcPr>
            <w:tcW w:w="2600" w:type="dxa"/>
          </w:tcPr>
          <w:p w:rsidR="00000000" w:rsidRDefault="00000000">
            <w:pPr>
              <w:pStyle w:val="a2"/>
              <w:spacing w:before="40" w:after="40"/>
              <w:jc w:val="center"/>
              <w:rPr>
                <w:rFonts w:hint="eastAsia"/>
              </w:rPr>
            </w:pPr>
            <w:r>
              <w:rPr>
                <w:rFonts w:hint="eastAsia"/>
              </w:rPr>
              <w:t>已经进入劳工市场者</w:t>
            </w:r>
          </w:p>
        </w:tc>
        <w:tc>
          <w:tcPr>
            <w:tcW w:w="2860" w:type="dxa"/>
          </w:tcPr>
          <w:p w:rsidR="00000000" w:rsidRDefault="00000000">
            <w:pPr>
              <w:pStyle w:val="a2"/>
              <w:spacing w:before="40" w:after="40"/>
              <w:jc w:val="center"/>
              <w:rPr>
                <w:rFonts w:hint="eastAsia"/>
              </w:rPr>
            </w:pPr>
            <w:r>
              <w:rPr>
                <w:rFonts w:hint="eastAsia"/>
              </w:rPr>
              <w:t>从事有薪劳动者</w:t>
            </w:r>
          </w:p>
        </w:tc>
      </w:tr>
      <w:tr w:rsidR="00000000">
        <w:tblPrEx>
          <w:tblCellMar>
            <w:top w:w="0" w:type="dxa"/>
            <w:bottom w:w="0" w:type="dxa"/>
          </w:tblCellMar>
        </w:tblPrEx>
        <w:trPr>
          <w:cantSplit/>
        </w:trPr>
        <w:tc>
          <w:tcPr>
            <w:tcW w:w="1385" w:type="dxa"/>
            <w:vMerge w:val="restart"/>
            <w:vAlign w:val="center"/>
          </w:tcPr>
          <w:p w:rsidR="00000000" w:rsidRDefault="00000000">
            <w:pPr>
              <w:pStyle w:val="a2"/>
            </w:pPr>
            <w:r>
              <w:t>1994</w:t>
            </w:r>
          </w:p>
        </w:tc>
        <w:tc>
          <w:tcPr>
            <w:tcW w:w="1223" w:type="dxa"/>
            <w:tcBorders>
              <w:bottom w:val="nil"/>
            </w:tcBorders>
          </w:tcPr>
          <w:p w:rsidR="00000000" w:rsidRDefault="00000000">
            <w:pPr>
              <w:pStyle w:val="a2"/>
              <w:spacing w:line="280" w:lineRule="exact"/>
              <w:jc w:val="center"/>
            </w:pPr>
            <w:r>
              <w:t>15</w:t>
            </w:r>
          </w:p>
        </w:tc>
        <w:tc>
          <w:tcPr>
            <w:tcW w:w="1292" w:type="dxa"/>
            <w:tcBorders>
              <w:bottom w:val="nil"/>
            </w:tcBorders>
          </w:tcPr>
          <w:p w:rsidR="00000000" w:rsidRDefault="00000000">
            <w:pPr>
              <w:pStyle w:val="a2"/>
              <w:spacing w:line="280" w:lineRule="exact"/>
              <w:jc w:val="center"/>
            </w:pPr>
            <w:r>
              <w:t>68,400</w:t>
            </w:r>
          </w:p>
        </w:tc>
        <w:tc>
          <w:tcPr>
            <w:tcW w:w="2600" w:type="dxa"/>
            <w:tcBorders>
              <w:bottom w:val="nil"/>
            </w:tcBorders>
          </w:tcPr>
          <w:p w:rsidR="00000000" w:rsidRDefault="00000000">
            <w:pPr>
              <w:pStyle w:val="a2"/>
              <w:spacing w:line="280" w:lineRule="exact"/>
              <w:jc w:val="center"/>
            </w:pPr>
            <w:r>
              <w:t>8,400</w:t>
            </w:r>
          </w:p>
        </w:tc>
        <w:tc>
          <w:tcPr>
            <w:tcW w:w="2860" w:type="dxa"/>
            <w:tcBorders>
              <w:bottom w:val="nil"/>
            </w:tcBorders>
          </w:tcPr>
          <w:p w:rsidR="00000000" w:rsidRDefault="00000000">
            <w:pPr>
              <w:pStyle w:val="a2"/>
              <w:spacing w:line="280" w:lineRule="exact"/>
              <w:jc w:val="center"/>
            </w:pPr>
            <w:r>
              <w:t>5,300</w:t>
            </w:r>
          </w:p>
        </w:tc>
      </w:tr>
      <w:tr w:rsidR="00000000">
        <w:tblPrEx>
          <w:tblCellMar>
            <w:top w:w="0" w:type="dxa"/>
            <w:bottom w:w="0" w:type="dxa"/>
          </w:tblCellMar>
        </w:tblPrEx>
        <w:trPr>
          <w:cantSplit/>
        </w:trPr>
        <w:tc>
          <w:tcPr>
            <w:tcW w:w="1385" w:type="dxa"/>
            <w:vMerge/>
            <w:vAlign w:val="center"/>
          </w:tcPr>
          <w:p w:rsidR="00000000" w:rsidRDefault="00000000">
            <w:pPr>
              <w:pStyle w:val="a2"/>
            </w:pPr>
          </w:p>
        </w:tc>
        <w:tc>
          <w:tcPr>
            <w:tcW w:w="1223" w:type="dxa"/>
            <w:tcBorders>
              <w:top w:val="nil"/>
              <w:bottom w:val="nil"/>
            </w:tcBorders>
          </w:tcPr>
          <w:p w:rsidR="00000000" w:rsidRDefault="00000000">
            <w:pPr>
              <w:pStyle w:val="a2"/>
              <w:spacing w:line="280" w:lineRule="exact"/>
              <w:jc w:val="center"/>
            </w:pPr>
            <w:r>
              <w:t>16</w:t>
            </w:r>
          </w:p>
        </w:tc>
        <w:tc>
          <w:tcPr>
            <w:tcW w:w="1292" w:type="dxa"/>
            <w:tcBorders>
              <w:top w:val="nil"/>
              <w:bottom w:val="nil"/>
            </w:tcBorders>
          </w:tcPr>
          <w:p w:rsidR="00000000" w:rsidRDefault="00000000">
            <w:pPr>
              <w:pStyle w:val="a2"/>
              <w:spacing w:line="280" w:lineRule="exact"/>
              <w:jc w:val="center"/>
            </w:pPr>
            <w:r>
              <w:t>66,600</w:t>
            </w:r>
          </w:p>
        </w:tc>
        <w:tc>
          <w:tcPr>
            <w:tcW w:w="2600" w:type="dxa"/>
            <w:tcBorders>
              <w:top w:val="nil"/>
              <w:bottom w:val="nil"/>
            </w:tcBorders>
          </w:tcPr>
          <w:p w:rsidR="00000000" w:rsidRDefault="00000000">
            <w:pPr>
              <w:pStyle w:val="a2"/>
              <w:spacing w:line="280" w:lineRule="exact"/>
              <w:jc w:val="center"/>
            </w:pPr>
            <w:r>
              <w:t>11,000</w:t>
            </w:r>
          </w:p>
        </w:tc>
        <w:tc>
          <w:tcPr>
            <w:tcW w:w="2860" w:type="dxa"/>
            <w:tcBorders>
              <w:top w:val="nil"/>
              <w:bottom w:val="nil"/>
            </w:tcBorders>
          </w:tcPr>
          <w:p w:rsidR="00000000" w:rsidRDefault="00000000">
            <w:pPr>
              <w:pStyle w:val="a2"/>
              <w:spacing w:line="280" w:lineRule="exact"/>
              <w:jc w:val="center"/>
            </w:pPr>
            <w:r>
              <w:t>6,700</w:t>
            </w:r>
          </w:p>
        </w:tc>
      </w:tr>
      <w:tr w:rsidR="00000000">
        <w:tblPrEx>
          <w:tblCellMar>
            <w:top w:w="0" w:type="dxa"/>
            <w:bottom w:w="0" w:type="dxa"/>
          </w:tblCellMar>
        </w:tblPrEx>
        <w:trPr>
          <w:cantSplit/>
        </w:trPr>
        <w:tc>
          <w:tcPr>
            <w:tcW w:w="1385" w:type="dxa"/>
            <w:vMerge/>
            <w:vAlign w:val="center"/>
          </w:tcPr>
          <w:p w:rsidR="00000000" w:rsidRDefault="00000000">
            <w:pPr>
              <w:pStyle w:val="a2"/>
            </w:pPr>
          </w:p>
        </w:tc>
        <w:tc>
          <w:tcPr>
            <w:tcW w:w="1223" w:type="dxa"/>
            <w:tcBorders>
              <w:top w:val="nil"/>
            </w:tcBorders>
          </w:tcPr>
          <w:p w:rsidR="00000000" w:rsidRDefault="00000000">
            <w:pPr>
              <w:pStyle w:val="a2"/>
              <w:spacing w:line="280" w:lineRule="exact"/>
              <w:jc w:val="center"/>
            </w:pPr>
            <w:r>
              <w:t>17</w:t>
            </w:r>
          </w:p>
        </w:tc>
        <w:tc>
          <w:tcPr>
            <w:tcW w:w="1292" w:type="dxa"/>
            <w:tcBorders>
              <w:top w:val="nil"/>
            </w:tcBorders>
          </w:tcPr>
          <w:p w:rsidR="00000000" w:rsidRDefault="00000000">
            <w:pPr>
              <w:pStyle w:val="a2"/>
              <w:spacing w:line="280" w:lineRule="exact"/>
              <w:jc w:val="center"/>
            </w:pPr>
            <w:r>
              <w:t>68,600</w:t>
            </w:r>
          </w:p>
        </w:tc>
        <w:tc>
          <w:tcPr>
            <w:tcW w:w="2600" w:type="dxa"/>
            <w:tcBorders>
              <w:top w:val="nil"/>
            </w:tcBorders>
          </w:tcPr>
          <w:p w:rsidR="00000000" w:rsidRDefault="00000000">
            <w:pPr>
              <w:pStyle w:val="a2"/>
              <w:spacing w:line="280" w:lineRule="exact"/>
              <w:jc w:val="center"/>
            </w:pPr>
            <w:r>
              <w:t>14,500</w:t>
            </w:r>
          </w:p>
        </w:tc>
        <w:tc>
          <w:tcPr>
            <w:tcW w:w="2860" w:type="dxa"/>
            <w:tcBorders>
              <w:top w:val="nil"/>
            </w:tcBorders>
          </w:tcPr>
          <w:p w:rsidR="00000000" w:rsidRDefault="00000000">
            <w:pPr>
              <w:pStyle w:val="a2"/>
              <w:spacing w:line="280" w:lineRule="exact"/>
              <w:jc w:val="center"/>
            </w:pPr>
            <w:r>
              <w:t>8,800</w:t>
            </w:r>
          </w:p>
        </w:tc>
      </w:tr>
      <w:tr w:rsidR="00000000">
        <w:tblPrEx>
          <w:tblCellMar>
            <w:top w:w="0" w:type="dxa"/>
            <w:bottom w:w="0" w:type="dxa"/>
          </w:tblCellMar>
        </w:tblPrEx>
        <w:trPr>
          <w:cantSplit/>
        </w:trPr>
        <w:tc>
          <w:tcPr>
            <w:tcW w:w="1385" w:type="dxa"/>
            <w:vMerge w:val="restart"/>
            <w:vAlign w:val="center"/>
          </w:tcPr>
          <w:p w:rsidR="00000000" w:rsidRDefault="00000000">
            <w:pPr>
              <w:pStyle w:val="a2"/>
            </w:pPr>
            <w:r>
              <w:t>1999</w:t>
            </w:r>
          </w:p>
        </w:tc>
        <w:tc>
          <w:tcPr>
            <w:tcW w:w="1223" w:type="dxa"/>
            <w:tcBorders>
              <w:bottom w:val="nil"/>
            </w:tcBorders>
          </w:tcPr>
          <w:p w:rsidR="00000000" w:rsidRDefault="00000000">
            <w:pPr>
              <w:pStyle w:val="a2"/>
              <w:spacing w:line="280" w:lineRule="exact"/>
              <w:jc w:val="center"/>
            </w:pPr>
            <w:r>
              <w:t>15</w:t>
            </w:r>
          </w:p>
        </w:tc>
        <w:tc>
          <w:tcPr>
            <w:tcW w:w="1292" w:type="dxa"/>
            <w:tcBorders>
              <w:bottom w:val="nil"/>
            </w:tcBorders>
          </w:tcPr>
          <w:p w:rsidR="00000000" w:rsidRDefault="00000000">
            <w:pPr>
              <w:pStyle w:val="a2"/>
              <w:spacing w:line="280" w:lineRule="exact"/>
              <w:jc w:val="center"/>
            </w:pPr>
            <w:r>
              <w:t>67,800</w:t>
            </w:r>
          </w:p>
        </w:tc>
        <w:tc>
          <w:tcPr>
            <w:tcW w:w="2600" w:type="dxa"/>
            <w:tcBorders>
              <w:bottom w:val="nil"/>
            </w:tcBorders>
          </w:tcPr>
          <w:p w:rsidR="00000000" w:rsidRDefault="00000000">
            <w:pPr>
              <w:pStyle w:val="a2"/>
              <w:spacing w:line="280" w:lineRule="exact"/>
              <w:jc w:val="center"/>
            </w:pPr>
            <w:r>
              <w:t>11,700</w:t>
            </w:r>
          </w:p>
        </w:tc>
        <w:tc>
          <w:tcPr>
            <w:tcW w:w="2860" w:type="dxa"/>
            <w:tcBorders>
              <w:bottom w:val="nil"/>
            </w:tcBorders>
          </w:tcPr>
          <w:p w:rsidR="00000000" w:rsidRDefault="00000000">
            <w:pPr>
              <w:pStyle w:val="a2"/>
              <w:spacing w:line="280" w:lineRule="exact"/>
              <w:jc w:val="center"/>
            </w:pPr>
            <w:r>
              <w:t>7,600</w:t>
            </w:r>
          </w:p>
        </w:tc>
      </w:tr>
      <w:tr w:rsidR="00000000">
        <w:tblPrEx>
          <w:tblCellMar>
            <w:top w:w="0" w:type="dxa"/>
            <w:bottom w:w="0" w:type="dxa"/>
          </w:tblCellMar>
        </w:tblPrEx>
        <w:trPr>
          <w:cantSplit/>
        </w:trPr>
        <w:tc>
          <w:tcPr>
            <w:tcW w:w="1385" w:type="dxa"/>
            <w:vMerge/>
            <w:vAlign w:val="center"/>
          </w:tcPr>
          <w:p w:rsidR="00000000" w:rsidRDefault="00000000">
            <w:pPr>
              <w:pStyle w:val="a2"/>
            </w:pPr>
          </w:p>
        </w:tc>
        <w:tc>
          <w:tcPr>
            <w:tcW w:w="1223" w:type="dxa"/>
            <w:tcBorders>
              <w:top w:val="nil"/>
              <w:bottom w:val="nil"/>
            </w:tcBorders>
          </w:tcPr>
          <w:p w:rsidR="00000000" w:rsidRDefault="00000000">
            <w:pPr>
              <w:pStyle w:val="a2"/>
              <w:spacing w:line="280" w:lineRule="exact"/>
              <w:jc w:val="center"/>
            </w:pPr>
            <w:r>
              <w:t>16</w:t>
            </w:r>
          </w:p>
        </w:tc>
        <w:tc>
          <w:tcPr>
            <w:tcW w:w="1292" w:type="dxa"/>
            <w:tcBorders>
              <w:top w:val="nil"/>
              <w:bottom w:val="nil"/>
            </w:tcBorders>
          </w:tcPr>
          <w:p w:rsidR="00000000" w:rsidRDefault="00000000">
            <w:pPr>
              <w:pStyle w:val="a2"/>
              <w:spacing w:line="280" w:lineRule="exact"/>
              <w:jc w:val="center"/>
            </w:pPr>
            <w:r>
              <w:t>71,600</w:t>
            </w:r>
          </w:p>
        </w:tc>
        <w:tc>
          <w:tcPr>
            <w:tcW w:w="2600" w:type="dxa"/>
            <w:tcBorders>
              <w:top w:val="nil"/>
              <w:bottom w:val="nil"/>
            </w:tcBorders>
          </w:tcPr>
          <w:p w:rsidR="00000000" w:rsidRDefault="00000000">
            <w:pPr>
              <w:pStyle w:val="a2"/>
              <w:spacing w:line="280" w:lineRule="exact"/>
              <w:jc w:val="center"/>
            </w:pPr>
            <w:r>
              <w:t>18,600</w:t>
            </w:r>
          </w:p>
        </w:tc>
        <w:tc>
          <w:tcPr>
            <w:tcW w:w="2860" w:type="dxa"/>
            <w:tcBorders>
              <w:top w:val="nil"/>
              <w:bottom w:val="nil"/>
            </w:tcBorders>
          </w:tcPr>
          <w:p w:rsidR="00000000" w:rsidRDefault="00000000">
            <w:pPr>
              <w:pStyle w:val="a2"/>
              <w:spacing w:line="280" w:lineRule="exact"/>
              <w:jc w:val="center"/>
            </w:pPr>
            <w:r>
              <w:t>12,000</w:t>
            </w:r>
          </w:p>
        </w:tc>
      </w:tr>
      <w:tr w:rsidR="00000000">
        <w:tblPrEx>
          <w:tblCellMar>
            <w:top w:w="0" w:type="dxa"/>
            <w:bottom w:w="0" w:type="dxa"/>
          </w:tblCellMar>
        </w:tblPrEx>
        <w:trPr>
          <w:cantSplit/>
        </w:trPr>
        <w:tc>
          <w:tcPr>
            <w:tcW w:w="1385" w:type="dxa"/>
            <w:vMerge/>
            <w:vAlign w:val="center"/>
          </w:tcPr>
          <w:p w:rsidR="00000000" w:rsidRDefault="00000000">
            <w:pPr>
              <w:pStyle w:val="a2"/>
            </w:pPr>
          </w:p>
        </w:tc>
        <w:tc>
          <w:tcPr>
            <w:tcW w:w="1223" w:type="dxa"/>
            <w:tcBorders>
              <w:top w:val="nil"/>
            </w:tcBorders>
          </w:tcPr>
          <w:p w:rsidR="00000000" w:rsidRDefault="00000000">
            <w:pPr>
              <w:pStyle w:val="a2"/>
              <w:spacing w:line="280" w:lineRule="exact"/>
              <w:jc w:val="center"/>
            </w:pPr>
            <w:r>
              <w:t>17</w:t>
            </w:r>
          </w:p>
        </w:tc>
        <w:tc>
          <w:tcPr>
            <w:tcW w:w="1292" w:type="dxa"/>
            <w:tcBorders>
              <w:top w:val="nil"/>
            </w:tcBorders>
          </w:tcPr>
          <w:p w:rsidR="00000000" w:rsidRDefault="00000000">
            <w:pPr>
              <w:pStyle w:val="a2"/>
              <w:spacing w:line="280" w:lineRule="exact"/>
              <w:jc w:val="center"/>
            </w:pPr>
            <w:r>
              <w:t>67,500</w:t>
            </w:r>
          </w:p>
        </w:tc>
        <w:tc>
          <w:tcPr>
            <w:tcW w:w="2600" w:type="dxa"/>
            <w:tcBorders>
              <w:top w:val="nil"/>
            </w:tcBorders>
          </w:tcPr>
          <w:p w:rsidR="00000000" w:rsidRDefault="00000000">
            <w:pPr>
              <w:pStyle w:val="a2"/>
              <w:spacing w:line="280" w:lineRule="exact"/>
              <w:jc w:val="center"/>
            </w:pPr>
            <w:r>
              <w:t>22,100</w:t>
            </w:r>
          </w:p>
        </w:tc>
        <w:tc>
          <w:tcPr>
            <w:tcW w:w="2860" w:type="dxa"/>
            <w:tcBorders>
              <w:top w:val="nil"/>
            </w:tcBorders>
          </w:tcPr>
          <w:p w:rsidR="00000000" w:rsidRDefault="00000000">
            <w:pPr>
              <w:pStyle w:val="a2"/>
              <w:spacing w:line="280" w:lineRule="exact"/>
              <w:jc w:val="center"/>
            </w:pPr>
            <w:r>
              <w:t>14,700</w:t>
            </w:r>
          </w:p>
        </w:tc>
      </w:tr>
      <w:tr w:rsidR="00000000">
        <w:tblPrEx>
          <w:tblCellMar>
            <w:top w:w="0" w:type="dxa"/>
            <w:bottom w:w="0" w:type="dxa"/>
          </w:tblCellMar>
        </w:tblPrEx>
        <w:trPr>
          <w:cantSplit/>
        </w:trPr>
        <w:tc>
          <w:tcPr>
            <w:tcW w:w="1385" w:type="dxa"/>
            <w:vMerge w:val="restart"/>
            <w:vAlign w:val="center"/>
          </w:tcPr>
          <w:p w:rsidR="00000000" w:rsidRDefault="00000000">
            <w:pPr>
              <w:pStyle w:val="a2"/>
            </w:pPr>
            <w:r>
              <w:t>2004</w:t>
            </w:r>
          </w:p>
        </w:tc>
        <w:tc>
          <w:tcPr>
            <w:tcW w:w="1223" w:type="dxa"/>
            <w:tcBorders>
              <w:bottom w:val="nil"/>
            </w:tcBorders>
          </w:tcPr>
          <w:p w:rsidR="00000000" w:rsidRDefault="00000000">
            <w:pPr>
              <w:pStyle w:val="a2"/>
              <w:spacing w:line="280" w:lineRule="exact"/>
              <w:jc w:val="center"/>
            </w:pPr>
            <w:r>
              <w:t>15</w:t>
            </w:r>
          </w:p>
        </w:tc>
        <w:tc>
          <w:tcPr>
            <w:tcW w:w="1292" w:type="dxa"/>
            <w:tcBorders>
              <w:bottom w:val="nil"/>
            </w:tcBorders>
          </w:tcPr>
          <w:p w:rsidR="00000000" w:rsidRDefault="00000000">
            <w:pPr>
              <w:pStyle w:val="a2"/>
              <w:spacing w:line="280" w:lineRule="exact"/>
              <w:jc w:val="center"/>
            </w:pPr>
            <w:r>
              <w:t>70,400</w:t>
            </w:r>
          </w:p>
        </w:tc>
        <w:tc>
          <w:tcPr>
            <w:tcW w:w="2600" w:type="dxa"/>
            <w:tcBorders>
              <w:bottom w:val="nil"/>
            </w:tcBorders>
          </w:tcPr>
          <w:p w:rsidR="00000000" w:rsidRDefault="00000000">
            <w:pPr>
              <w:pStyle w:val="a2"/>
              <w:spacing w:line="280" w:lineRule="exact"/>
              <w:jc w:val="center"/>
            </w:pPr>
            <w:r>
              <w:t>9,600</w:t>
            </w:r>
          </w:p>
        </w:tc>
        <w:tc>
          <w:tcPr>
            <w:tcW w:w="2860" w:type="dxa"/>
            <w:tcBorders>
              <w:bottom w:val="nil"/>
            </w:tcBorders>
          </w:tcPr>
          <w:p w:rsidR="00000000" w:rsidRDefault="00000000">
            <w:pPr>
              <w:pStyle w:val="a2"/>
              <w:spacing w:line="280" w:lineRule="exact"/>
              <w:jc w:val="center"/>
            </w:pPr>
            <w:r>
              <w:t>6,100</w:t>
            </w:r>
          </w:p>
        </w:tc>
      </w:tr>
      <w:tr w:rsidR="00000000">
        <w:tblPrEx>
          <w:tblCellMar>
            <w:top w:w="0" w:type="dxa"/>
            <w:bottom w:w="0" w:type="dxa"/>
          </w:tblCellMar>
        </w:tblPrEx>
        <w:trPr>
          <w:cantSplit/>
        </w:trPr>
        <w:tc>
          <w:tcPr>
            <w:tcW w:w="1385" w:type="dxa"/>
            <w:vMerge/>
          </w:tcPr>
          <w:p w:rsidR="00000000" w:rsidRDefault="00000000">
            <w:pPr>
              <w:pStyle w:val="a2"/>
            </w:pPr>
          </w:p>
        </w:tc>
        <w:tc>
          <w:tcPr>
            <w:tcW w:w="1223" w:type="dxa"/>
            <w:tcBorders>
              <w:top w:val="nil"/>
              <w:bottom w:val="nil"/>
            </w:tcBorders>
          </w:tcPr>
          <w:p w:rsidR="00000000" w:rsidRDefault="00000000">
            <w:pPr>
              <w:pStyle w:val="a2"/>
              <w:spacing w:line="280" w:lineRule="exact"/>
              <w:jc w:val="center"/>
            </w:pPr>
            <w:r>
              <w:t>16</w:t>
            </w:r>
          </w:p>
        </w:tc>
        <w:tc>
          <w:tcPr>
            <w:tcW w:w="1292" w:type="dxa"/>
            <w:tcBorders>
              <w:top w:val="nil"/>
              <w:bottom w:val="nil"/>
            </w:tcBorders>
          </w:tcPr>
          <w:p w:rsidR="00000000" w:rsidRDefault="00000000">
            <w:pPr>
              <w:pStyle w:val="a2"/>
              <w:spacing w:line="280" w:lineRule="exact"/>
              <w:jc w:val="center"/>
            </w:pPr>
            <w:r>
              <w:t>64,400</w:t>
            </w:r>
          </w:p>
        </w:tc>
        <w:tc>
          <w:tcPr>
            <w:tcW w:w="2600" w:type="dxa"/>
            <w:tcBorders>
              <w:top w:val="nil"/>
              <w:bottom w:val="nil"/>
            </w:tcBorders>
          </w:tcPr>
          <w:p w:rsidR="00000000" w:rsidRDefault="00000000">
            <w:pPr>
              <w:pStyle w:val="a2"/>
              <w:spacing w:line="280" w:lineRule="exact"/>
              <w:jc w:val="center"/>
            </w:pPr>
            <w:r>
              <w:t>14,200</w:t>
            </w:r>
          </w:p>
        </w:tc>
        <w:tc>
          <w:tcPr>
            <w:tcW w:w="2860" w:type="dxa"/>
            <w:tcBorders>
              <w:top w:val="nil"/>
              <w:bottom w:val="nil"/>
            </w:tcBorders>
          </w:tcPr>
          <w:p w:rsidR="00000000" w:rsidRDefault="00000000">
            <w:pPr>
              <w:pStyle w:val="a2"/>
              <w:spacing w:line="280" w:lineRule="exact"/>
              <w:jc w:val="center"/>
            </w:pPr>
            <w:r>
              <w:t>9,100</w:t>
            </w:r>
          </w:p>
        </w:tc>
      </w:tr>
      <w:tr w:rsidR="00000000">
        <w:tblPrEx>
          <w:tblCellMar>
            <w:top w:w="0" w:type="dxa"/>
            <w:bottom w:w="0" w:type="dxa"/>
          </w:tblCellMar>
        </w:tblPrEx>
        <w:trPr>
          <w:cantSplit/>
        </w:trPr>
        <w:tc>
          <w:tcPr>
            <w:tcW w:w="1385" w:type="dxa"/>
            <w:vMerge/>
          </w:tcPr>
          <w:p w:rsidR="00000000" w:rsidRDefault="00000000">
            <w:pPr>
              <w:pStyle w:val="a2"/>
            </w:pPr>
          </w:p>
        </w:tc>
        <w:tc>
          <w:tcPr>
            <w:tcW w:w="1223" w:type="dxa"/>
            <w:tcBorders>
              <w:top w:val="nil"/>
            </w:tcBorders>
          </w:tcPr>
          <w:p w:rsidR="00000000" w:rsidRDefault="00000000">
            <w:pPr>
              <w:pStyle w:val="a2"/>
              <w:spacing w:line="280" w:lineRule="exact"/>
              <w:jc w:val="center"/>
            </w:pPr>
            <w:r>
              <w:t>17</w:t>
            </w:r>
          </w:p>
        </w:tc>
        <w:tc>
          <w:tcPr>
            <w:tcW w:w="1292" w:type="dxa"/>
            <w:tcBorders>
              <w:top w:val="nil"/>
            </w:tcBorders>
          </w:tcPr>
          <w:p w:rsidR="00000000" w:rsidRDefault="00000000">
            <w:pPr>
              <w:pStyle w:val="a2"/>
              <w:spacing w:line="280" w:lineRule="exact"/>
              <w:jc w:val="center"/>
            </w:pPr>
            <w:r>
              <w:t>61,800</w:t>
            </w:r>
          </w:p>
        </w:tc>
        <w:tc>
          <w:tcPr>
            <w:tcW w:w="2600" w:type="dxa"/>
            <w:tcBorders>
              <w:top w:val="nil"/>
            </w:tcBorders>
          </w:tcPr>
          <w:p w:rsidR="00000000" w:rsidRDefault="00000000">
            <w:pPr>
              <w:pStyle w:val="a2"/>
              <w:spacing w:line="280" w:lineRule="exact"/>
              <w:jc w:val="center"/>
            </w:pPr>
            <w:r>
              <w:t>16,800</w:t>
            </w:r>
          </w:p>
        </w:tc>
        <w:tc>
          <w:tcPr>
            <w:tcW w:w="2860" w:type="dxa"/>
            <w:tcBorders>
              <w:top w:val="nil"/>
            </w:tcBorders>
          </w:tcPr>
          <w:p w:rsidR="00000000" w:rsidRDefault="00000000">
            <w:pPr>
              <w:pStyle w:val="a2"/>
              <w:spacing w:line="280" w:lineRule="exact"/>
              <w:jc w:val="center"/>
            </w:pPr>
            <w:r>
              <w:t>11,600</w:t>
            </w:r>
          </w:p>
        </w:tc>
      </w:tr>
    </w:tbl>
    <w:p w:rsidR="00000000" w:rsidRDefault="00000000">
      <w:pPr>
        <w:pStyle w:val="ac"/>
        <w:spacing w:before="160" w:line="264" w:lineRule="auto"/>
        <w:ind w:hanging="1253"/>
        <w:rPr>
          <w:rFonts w:eastAsia="KaiTi_GB2312" w:hint="eastAsia"/>
          <w:spacing w:val="0"/>
          <w:sz w:val="22"/>
        </w:rPr>
      </w:pPr>
      <w:r>
        <w:rPr>
          <w:rFonts w:eastAsia="KaiTi_GB2312" w:hint="eastAsia"/>
          <w:spacing w:val="0"/>
          <w:sz w:val="22"/>
          <w:u w:val="single"/>
        </w:rPr>
        <w:t>资料来源</w:t>
      </w:r>
      <w:r>
        <w:rPr>
          <w:rFonts w:hint="eastAsia"/>
        </w:rPr>
        <w:t>：</w:t>
      </w:r>
      <w:r>
        <w:rPr>
          <w:rFonts w:eastAsia="KaiTi_GB2312" w:hint="eastAsia"/>
          <w:spacing w:val="0"/>
          <w:sz w:val="22"/>
        </w:rPr>
        <w:t>芬兰统计局，劳工调查。</w:t>
      </w:r>
    </w:p>
    <w:p w:rsidR="00000000" w:rsidRDefault="00000000">
      <w:pPr>
        <w:pStyle w:val="ac"/>
        <w:spacing w:after="320"/>
        <w:ind w:left="336" w:hanging="28"/>
        <w:rPr>
          <w:rFonts w:eastAsia="KaiTi_GB2312" w:hint="eastAsia"/>
          <w:spacing w:val="0"/>
          <w:sz w:val="22"/>
        </w:rPr>
      </w:pPr>
      <w:r>
        <w:rPr>
          <w:rFonts w:eastAsia="KaiTi_GB2312" w:hint="eastAsia"/>
          <w:spacing w:val="0"/>
          <w:sz w:val="22"/>
        </w:rPr>
        <w:t>已经进入劳工市场者包括从事有薪劳动者以及失业者。</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十一</w:t>
      </w:r>
      <w:r>
        <w:rPr>
          <w:rFonts w:ascii="Time New Roman" w:eastAsia="SimHei" w:hAnsi="Time New Roman"/>
          <w:u w:val="none"/>
        </w:rPr>
        <w:t xml:space="preserve"> </w:t>
      </w:r>
      <w:r>
        <w:rPr>
          <w:rFonts w:ascii="Time New Roman" w:eastAsia="SimHei" w:hAnsi="Time New Roman" w:hint="eastAsia"/>
          <w:u w:val="none"/>
        </w:rPr>
        <w:t>条</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享受适足生活水平的权利</w:t>
      </w:r>
    </w:p>
    <w:p w:rsidR="00000000" w:rsidRDefault="00000000">
      <w:pPr>
        <w:widowControl w:val="0"/>
        <w:rPr>
          <w:rFonts w:hint="eastAsia"/>
        </w:rPr>
      </w:pPr>
      <w:r>
        <w:rPr>
          <w:rFonts w:hint="eastAsia"/>
        </w:rPr>
        <w:tab/>
        <w:t xml:space="preserve">472.  </w:t>
      </w:r>
      <w:r>
        <w:rPr>
          <w:rFonts w:hint="eastAsia"/>
        </w:rPr>
        <w:t>生活津贴。为了帮助有经济困难的人以及防止社会排斥，正在越来越广泛和灵活地实施预防性生活津贴制度。尽管有些申请人及其家庭的经济状况并不符合领取生活津贴的要求，但是如果地方当局认为申请人有需要得到资助，仍然可以发放预防性生活津贴。这项改革之目的是要加强使用预防性生活津贴，并使它成为社会工作体制的一部分。</w:t>
      </w:r>
    </w:p>
    <w:p w:rsidR="00000000" w:rsidRDefault="00000000">
      <w:pPr>
        <w:rPr>
          <w:rFonts w:hint="eastAsia"/>
        </w:rPr>
      </w:pPr>
      <w:r>
        <w:rPr>
          <w:rFonts w:hint="eastAsia"/>
        </w:rPr>
        <w:tab/>
        <w:t>47</w:t>
      </w:r>
      <w:r>
        <w:t>3</w:t>
      </w:r>
      <w:r>
        <w:rPr>
          <w:rFonts w:hint="eastAsia"/>
        </w:rPr>
        <w:t xml:space="preserve">.  </w:t>
      </w:r>
      <w:r>
        <w:rPr>
          <w:rFonts w:hint="eastAsia"/>
        </w:rPr>
        <w:t>预防性资助的目的是要加强有关人士及其家庭的社会保障和独立生活，并且预防社会排斥和对生活津贴的长期依赖。除其他外，生活津贴也可用来扶植受益人，提供住房补助，减轻负债和偿债能力突然削弱所带来的经济困难以及加强受益人的独立生活。</w:t>
      </w:r>
    </w:p>
    <w:p w:rsidR="00000000" w:rsidRDefault="00000000">
      <w:pPr>
        <w:rPr>
          <w:rFonts w:hint="eastAsia"/>
        </w:rPr>
      </w:pPr>
      <w:r>
        <w:rPr>
          <w:rFonts w:hint="eastAsia"/>
        </w:rPr>
        <w:tab/>
        <w:t xml:space="preserve">474.  </w:t>
      </w:r>
      <w:r>
        <w:rPr>
          <w:rFonts w:hint="eastAsia"/>
        </w:rPr>
        <w:t>在</w:t>
      </w:r>
      <w:r>
        <w:rPr>
          <w:rFonts w:hint="eastAsia"/>
        </w:rPr>
        <w:t>2000</w:t>
      </w:r>
      <w:r>
        <w:rPr>
          <w:rFonts w:hint="eastAsia"/>
        </w:rPr>
        <w:t>年，共向</w:t>
      </w:r>
      <w:r>
        <w:rPr>
          <w:rFonts w:hint="eastAsia"/>
        </w:rPr>
        <w:t>10,500</w:t>
      </w:r>
      <w:r>
        <w:rPr>
          <w:rFonts w:hint="eastAsia"/>
        </w:rPr>
        <w:t>个家庭发放了预防性生活津贴，</w:t>
      </w:r>
      <w:r>
        <w:rPr>
          <w:rFonts w:hint="eastAsia"/>
        </w:rPr>
        <w:t>2001</w:t>
      </w:r>
      <w:r>
        <w:rPr>
          <w:rFonts w:hint="eastAsia"/>
        </w:rPr>
        <w:t>年的受益家庭为</w:t>
      </w:r>
      <w:r>
        <w:rPr>
          <w:rFonts w:hint="eastAsia"/>
        </w:rPr>
        <w:t>17,100</w:t>
      </w:r>
      <w:r>
        <w:rPr>
          <w:rFonts w:hint="eastAsia"/>
        </w:rPr>
        <w:t>。</w:t>
      </w:r>
      <w:r>
        <w:rPr>
          <w:rFonts w:hint="eastAsia"/>
        </w:rPr>
        <w:t>2001</w:t>
      </w:r>
      <w:r>
        <w:rPr>
          <w:rFonts w:hint="eastAsia"/>
        </w:rPr>
        <w:t>年受益人数大幅度增长的原因在于法律的修订。经修订的法律于</w:t>
      </w:r>
      <w:r>
        <w:rPr>
          <w:rFonts w:hint="eastAsia"/>
        </w:rPr>
        <w:t>2001</w:t>
      </w:r>
      <w:r>
        <w:rPr>
          <w:rFonts w:hint="eastAsia"/>
        </w:rPr>
        <w:t>年</w:t>
      </w:r>
      <w:r>
        <w:rPr>
          <w:rFonts w:hint="eastAsia"/>
        </w:rPr>
        <w:t>4</w:t>
      </w:r>
      <w:r>
        <w:rPr>
          <w:rFonts w:hint="eastAsia"/>
        </w:rPr>
        <w:t>月</w:t>
      </w:r>
      <w:r>
        <w:rPr>
          <w:rFonts w:hint="eastAsia"/>
        </w:rPr>
        <w:t>1</w:t>
      </w:r>
      <w:r>
        <w:rPr>
          <w:rFonts w:hint="eastAsia"/>
        </w:rPr>
        <w:t>日正式生效，从而使得生活津贴制度更为有效，并且真正成为社会福利工作制度的一部分。在</w:t>
      </w:r>
      <w:r>
        <w:rPr>
          <w:rFonts w:hint="eastAsia"/>
        </w:rPr>
        <w:t>2002</w:t>
      </w:r>
      <w:r>
        <w:rPr>
          <w:rFonts w:hint="eastAsia"/>
        </w:rPr>
        <w:t>年，共向</w:t>
      </w:r>
      <w:r>
        <w:rPr>
          <w:rFonts w:hint="eastAsia"/>
        </w:rPr>
        <w:t>19,245</w:t>
      </w:r>
      <w:r>
        <w:rPr>
          <w:rFonts w:hint="eastAsia"/>
        </w:rPr>
        <w:t>个家庭发放了预防性生活津贴，</w:t>
      </w:r>
      <w:r>
        <w:rPr>
          <w:rFonts w:hint="eastAsia"/>
        </w:rPr>
        <w:t>2003</w:t>
      </w:r>
      <w:r>
        <w:rPr>
          <w:rFonts w:hint="eastAsia"/>
        </w:rPr>
        <w:t>年的数字为</w:t>
      </w:r>
      <w:r>
        <w:rPr>
          <w:rFonts w:hint="eastAsia"/>
        </w:rPr>
        <w:t>19,134</w:t>
      </w:r>
      <w:r>
        <w:rPr>
          <w:rFonts w:hint="eastAsia"/>
        </w:rPr>
        <w:t>。</w:t>
      </w:r>
    </w:p>
    <w:p w:rsidR="00000000" w:rsidRDefault="00000000">
      <w:pPr>
        <w:rPr>
          <w:rFonts w:hint="eastAsia"/>
        </w:rPr>
      </w:pPr>
      <w:r>
        <w:rPr>
          <w:rFonts w:hint="eastAsia"/>
        </w:rPr>
        <w:tab/>
        <w:t xml:space="preserve">475.  </w:t>
      </w:r>
      <w:r>
        <w:rPr>
          <w:rFonts w:hint="eastAsia"/>
        </w:rPr>
        <w:t>在</w:t>
      </w:r>
      <w:r>
        <w:rPr>
          <w:rFonts w:hint="eastAsia"/>
        </w:rPr>
        <w:t>2001</w:t>
      </w:r>
      <w:r>
        <w:rPr>
          <w:rFonts w:hint="eastAsia"/>
        </w:rPr>
        <w:t>年出版了一本有关发放生活津贴的手册</w:t>
      </w:r>
      <w:r>
        <w:rPr>
          <w:rFonts w:hint="eastAsia"/>
        </w:rPr>
        <w:t>(</w:t>
      </w:r>
      <w:r>
        <w:rPr>
          <w:rFonts w:hint="eastAsia"/>
        </w:rPr>
        <w:t>于</w:t>
      </w:r>
      <w:r>
        <w:rPr>
          <w:rFonts w:hint="eastAsia"/>
        </w:rPr>
        <w:t>2003</w:t>
      </w:r>
      <w:r>
        <w:rPr>
          <w:rFonts w:hint="eastAsia"/>
        </w:rPr>
        <w:t>年修订“实施《社会援助法》手册”；第五次修订本，赫尔辛基</w:t>
      </w:r>
      <w:r>
        <w:rPr>
          <w:rFonts w:hint="eastAsia"/>
        </w:rPr>
        <w:t>)</w:t>
      </w:r>
      <w:r>
        <w:rPr>
          <w:rFonts w:hint="eastAsia"/>
        </w:rPr>
        <w:t>。</w:t>
      </w:r>
    </w:p>
    <w:p w:rsidR="00000000" w:rsidRDefault="00000000">
      <w:pPr>
        <w:rPr>
          <w:rFonts w:hint="eastAsia"/>
        </w:rPr>
      </w:pPr>
      <w:r>
        <w:rPr>
          <w:rFonts w:hint="eastAsia"/>
        </w:rPr>
        <w:tab/>
        <w:t xml:space="preserve">476.  </w:t>
      </w:r>
      <w:r>
        <w:rPr>
          <w:rFonts w:hint="eastAsia"/>
        </w:rPr>
        <w:t>《康复工作法》于</w:t>
      </w:r>
      <w:r>
        <w:rPr>
          <w:rFonts w:hint="eastAsia"/>
        </w:rPr>
        <w:t>2001</w:t>
      </w:r>
      <w:r>
        <w:rPr>
          <w:rFonts w:hint="eastAsia"/>
        </w:rPr>
        <w:t>年正式生效。社会事务和卫生部以及劳工部就这项法律的实施情况于</w:t>
      </w:r>
      <w:r>
        <w:rPr>
          <w:rFonts w:hint="eastAsia"/>
        </w:rPr>
        <w:t>2002</w:t>
      </w:r>
      <w:r>
        <w:rPr>
          <w:rFonts w:hint="eastAsia"/>
        </w:rPr>
        <w:t>年向议会社会福利和健康委员会提交了一份初步报告。</w:t>
      </w:r>
    </w:p>
    <w:p w:rsidR="00000000" w:rsidRDefault="00000000">
      <w:pPr>
        <w:rPr>
          <w:rFonts w:hint="eastAsia"/>
        </w:rPr>
      </w:pPr>
      <w:r>
        <w:rPr>
          <w:rFonts w:hint="eastAsia"/>
        </w:rPr>
        <w:tab/>
        <w:t xml:space="preserve">477.  </w:t>
      </w:r>
      <w:r>
        <w:rPr>
          <w:rFonts w:hint="eastAsia"/>
        </w:rPr>
        <w:t>《社会贷款法》于</w:t>
      </w:r>
      <w:r>
        <w:rPr>
          <w:rFonts w:hint="eastAsia"/>
        </w:rPr>
        <w:t>2003</w:t>
      </w:r>
      <w:r>
        <w:rPr>
          <w:rFonts w:hint="eastAsia"/>
        </w:rPr>
        <w:t>年</w:t>
      </w:r>
      <w:r>
        <w:rPr>
          <w:rFonts w:hint="eastAsia"/>
        </w:rPr>
        <w:t>1</w:t>
      </w:r>
      <w:r>
        <w:rPr>
          <w:rFonts w:hint="eastAsia"/>
        </w:rPr>
        <w:t>月</w:t>
      </w:r>
      <w:r>
        <w:rPr>
          <w:rFonts w:hint="eastAsia"/>
        </w:rPr>
        <w:t>1</w:t>
      </w:r>
      <w:r>
        <w:rPr>
          <w:rFonts w:hint="eastAsia"/>
        </w:rPr>
        <w:t>日正式生效。地方当局可在其社会福利服务的框架内发放社会贷款，以便防止社会排斥和负债，同时加强有关人士及其家庭的独立生活。如果地方当局决定发放社会贷款，他们必须规定贷款的条件。如果某人由于收入过低或者缺乏资源因此无法以合理条件获得贷款，但是又有偿还贷款的能力，在这种情况下可以出于正当理由向其发放社会贷款。</w:t>
      </w:r>
    </w:p>
    <w:p w:rsidR="00000000" w:rsidRDefault="00000000">
      <w:pPr>
        <w:rPr>
          <w:rFonts w:hint="eastAsia"/>
        </w:rPr>
      </w:pPr>
      <w:r>
        <w:rPr>
          <w:rFonts w:hint="eastAsia"/>
        </w:rPr>
        <w:tab/>
        <w:t xml:space="preserve">478.  </w:t>
      </w:r>
      <w:r>
        <w:rPr>
          <w:rFonts w:hint="eastAsia"/>
        </w:rPr>
        <w:t>在发放社会贷款之前，必须检查申请人是否有权领取生活津贴。不得以可能获得社会贷款为由限制其领取社会津贴的权利，也不得减少社会津贴的数额。</w:t>
      </w:r>
    </w:p>
    <w:p w:rsidR="00000000" w:rsidRDefault="00000000">
      <w:pPr>
        <w:rPr>
          <w:rFonts w:hint="eastAsia"/>
        </w:rPr>
      </w:pPr>
      <w:r>
        <w:rPr>
          <w:rFonts w:hint="eastAsia"/>
        </w:rPr>
        <w:tab/>
        <w:t xml:space="preserve">479.  </w:t>
      </w:r>
      <w:r>
        <w:rPr>
          <w:rFonts w:hint="eastAsia"/>
        </w:rPr>
        <w:t>国家行动计划。在</w:t>
      </w:r>
      <w:r>
        <w:rPr>
          <w:rFonts w:hint="eastAsia"/>
        </w:rPr>
        <w:t>2000</w:t>
      </w:r>
      <w:r>
        <w:rPr>
          <w:rFonts w:hint="eastAsia"/>
        </w:rPr>
        <w:t>年</w:t>
      </w:r>
      <w:r>
        <w:rPr>
          <w:rFonts w:hint="eastAsia"/>
        </w:rPr>
        <w:t>3</w:t>
      </w:r>
      <w:r>
        <w:rPr>
          <w:rFonts w:hint="eastAsia"/>
        </w:rPr>
        <w:t>月，欧洲联盟决定，欧盟成员国必须根据共同目标和指标，拟定旨在消除贫困和社会排斥的国家行动计划。芬兰已经拟定了</w:t>
      </w:r>
      <w:r>
        <w:rPr>
          <w:rFonts w:hint="eastAsia"/>
        </w:rPr>
        <w:t>2001</w:t>
      </w:r>
      <w:r>
        <w:rPr>
          <w:rFonts w:hint="eastAsia"/>
        </w:rPr>
        <w:t>年至</w:t>
      </w:r>
      <w:r>
        <w:rPr>
          <w:rFonts w:hint="eastAsia"/>
        </w:rPr>
        <w:t>2003</w:t>
      </w:r>
      <w:r>
        <w:rPr>
          <w:rFonts w:hint="eastAsia"/>
        </w:rPr>
        <w:t>年以及</w:t>
      </w:r>
      <w:r>
        <w:rPr>
          <w:rFonts w:hint="eastAsia"/>
        </w:rPr>
        <w:t>2004</w:t>
      </w:r>
      <w:r>
        <w:rPr>
          <w:rFonts w:hint="eastAsia"/>
        </w:rPr>
        <w:t>年至</w:t>
      </w:r>
      <w:r>
        <w:rPr>
          <w:rFonts w:hint="eastAsia"/>
        </w:rPr>
        <w:t>2005</w:t>
      </w:r>
      <w:r>
        <w:rPr>
          <w:rFonts w:hint="eastAsia"/>
        </w:rPr>
        <w:t>年的国家行动计划；芬兰的行动计划强调了在预防贫困和社会排斥以及促进各方合作方面加强北欧独立国家所固有原则的重要性。计划特别重视十分可能遭到社会排斥的群体。</w:t>
      </w:r>
    </w:p>
    <w:p w:rsidR="00000000" w:rsidRDefault="00000000">
      <w:pPr>
        <w:widowControl w:val="0"/>
        <w:spacing w:after="320"/>
        <w:rPr>
          <w:rFonts w:hint="eastAsia"/>
        </w:rPr>
      </w:pPr>
      <w:r>
        <w:rPr>
          <w:rFonts w:hint="eastAsia"/>
        </w:rPr>
        <w:tab/>
        <w:t xml:space="preserve">480.  </w:t>
      </w:r>
      <w:r>
        <w:rPr>
          <w:rFonts w:hint="eastAsia"/>
        </w:rPr>
        <w:t>根据国家福利和健康研究和发展中心所开展的一项研究</w:t>
      </w:r>
      <w:r>
        <w:rPr>
          <w:rFonts w:hint="eastAsia"/>
        </w:rPr>
        <w:t>(STAKES)</w:t>
      </w:r>
      <w:r>
        <w:rPr>
          <w:rFonts w:hint="eastAsia"/>
        </w:rPr>
        <w:t>，在过去十年中儿童以及有子女家庭的贫困指数上升了一倍。最为贫困的群体大约包括</w:t>
      </w:r>
      <w:r>
        <w:rPr>
          <w:rFonts w:hint="eastAsia"/>
        </w:rPr>
        <w:t>10%</w:t>
      </w:r>
      <w:r>
        <w:rPr>
          <w:rFonts w:hint="eastAsia"/>
        </w:rPr>
        <w:t>的有子女家庭。儿童津贴和家长津贴的数额实际上已经减少。事实上，有子女家庭是贫困人数增多的唯一群体。为成年人提供的福利已经增多，但是大多数有三岁以下子女的家庭却是更为贫困。</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3</w:t>
      </w:r>
      <w:r>
        <w:rPr>
          <w:rFonts w:ascii="Time New Roman" w:eastAsia="SimHei" w:hAnsi="Time New Roman" w:hint="eastAsia"/>
          <w:u w:val="none"/>
        </w:rPr>
        <w:t xml:space="preserve">.  </w:t>
      </w:r>
      <w:r>
        <w:rPr>
          <w:rFonts w:ascii="Time New Roman" w:eastAsia="SimHei" w:hAnsi="Time New Roman" w:hint="eastAsia"/>
          <w:u w:val="none"/>
        </w:rPr>
        <w:t>享受适足住房的权利</w:t>
      </w:r>
    </w:p>
    <w:p w:rsidR="00000000" w:rsidRDefault="00000000">
      <w:pPr>
        <w:rPr>
          <w:rFonts w:hint="eastAsia"/>
        </w:rPr>
      </w:pPr>
      <w:r>
        <w:rPr>
          <w:rFonts w:hint="eastAsia"/>
        </w:rPr>
        <w:tab/>
        <w:t xml:space="preserve">481.  </w:t>
      </w:r>
      <w:r>
        <w:rPr>
          <w:rFonts w:hint="eastAsia"/>
        </w:rPr>
        <w:t>根据《禁止歧视法》第四章第</w:t>
      </w:r>
      <w:r>
        <w:rPr>
          <w:rFonts w:hint="eastAsia"/>
        </w:rPr>
        <w:t>2</w:t>
      </w:r>
      <w:r>
        <w:rPr>
          <w:rFonts w:hint="eastAsia"/>
        </w:rPr>
        <w:t>节第</w:t>
      </w:r>
      <w:r>
        <w:rPr>
          <w:rFonts w:hint="eastAsia"/>
        </w:rPr>
        <w:t>2</w:t>
      </w:r>
      <w:r>
        <w:rPr>
          <w:rFonts w:hint="eastAsia"/>
        </w:rPr>
        <w:t>分节的规定，这项法律也适用于在向一般公众提供的而并非源自私人关系的住房、动产、不动产及服务方面基于种族原因的歧视。正如有关确保禁止歧视以及修订某些有关法律的政府法案</w:t>
      </w:r>
      <w:r>
        <w:rPr>
          <w:rFonts w:hint="eastAsia"/>
        </w:rPr>
        <w:t xml:space="preserve">(HE44/2003, </w:t>
      </w:r>
      <w:r>
        <w:rPr>
          <w:rFonts w:hint="eastAsia"/>
        </w:rPr>
        <w:t>第</w:t>
      </w:r>
      <w:r>
        <w:rPr>
          <w:rFonts w:hint="eastAsia"/>
        </w:rPr>
        <w:t>46</w:t>
      </w:r>
      <w:r>
        <w:rPr>
          <w:rFonts w:hint="eastAsia"/>
        </w:rPr>
        <w:t>页</w:t>
      </w:r>
      <w:r>
        <w:rPr>
          <w:rFonts w:hint="eastAsia"/>
        </w:rPr>
        <w:t>)</w:t>
      </w:r>
      <w:r>
        <w:rPr>
          <w:rFonts w:hint="eastAsia"/>
        </w:rPr>
        <w:t>所指出，有关住房的措施是另行规定的，因为住房权利是基本需求，因此在住房方面的歧视是特别有害的。</w:t>
      </w:r>
    </w:p>
    <w:p w:rsidR="00000000" w:rsidRDefault="00000000">
      <w:pPr>
        <w:rPr>
          <w:rFonts w:hint="eastAsia"/>
        </w:rPr>
      </w:pPr>
      <w:r>
        <w:rPr>
          <w:rFonts w:hint="eastAsia"/>
        </w:rPr>
        <w:tab/>
        <w:t xml:space="preserve">482.  </w:t>
      </w:r>
      <w:r>
        <w:rPr>
          <w:rFonts w:hint="eastAsia"/>
        </w:rPr>
        <w:t>芬兰的无家可归情况已经有所减少，但是在</w:t>
      </w:r>
      <w:r>
        <w:rPr>
          <w:rFonts w:hint="eastAsia"/>
        </w:rPr>
        <w:t>2004</w:t>
      </w:r>
      <w:r>
        <w:rPr>
          <w:rFonts w:hint="eastAsia"/>
        </w:rPr>
        <w:t>年年底，仍然有大约</w:t>
      </w:r>
      <w:r>
        <w:rPr>
          <w:rFonts w:hint="eastAsia"/>
        </w:rPr>
        <w:t>7,700</w:t>
      </w:r>
      <w:r>
        <w:rPr>
          <w:rFonts w:hint="eastAsia"/>
        </w:rPr>
        <w:t>单身男女以及</w:t>
      </w:r>
      <w:r>
        <w:rPr>
          <w:rFonts w:hint="eastAsia"/>
        </w:rPr>
        <w:t>350</w:t>
      </w:r>
      <w:r>
        <w:rPr>
          <w:rFonts w:hint="eastAsia"/>
        </w:rPr>
        <w:t>个家庭或者夫妇没有住房。其中，大约</w:t>
      </w:r>
      <w:r>
        <w:rPr>
          <w:rFonts w:hint="eastAsia"/>
        </w:rPr>
        <w:t>4%</w:t>
      </w:r>
      <w:r>
        <w:rPr>
          <w:rFonts w:hint="eastAsia"/>
        </w:rPr>
        <w:t>的单身男女以及超过五分之一的家庭为移民。无家可归的移民主要生活在赫尔辛基地区。</w:t>
      </w:r>
      <w:r>
        <w:rPr>
          <w:rFonts w:hint="eastAsia"/>
        </w:rPr>
        <w:t>(</w:t>
      </w:r>
      <w:r>
        <w:rPr>
          <w:rFonts w:hint="eastAsia"/>
        </w:rPr>
        <w:t>芬兰国家住房基金会的新闻稿，</w:t>
      </w:r>
      <w:r>
        <w:rPr>
          <w:rFonts w:hint="eastAsia"/>
        </w:rPr>
        <w:t>2005</w:t>
      </w:r>
      <w:r>
        <w:rPr>
          <w:rFonts w:hint="eastAsia"/>
        </w:rPr>
        <w:t>年</w:t>
      </w:r>
      <w:r>
        <w:rPr>
          <w:rFonts w:hint="eastAsia"/>
        </w:rPr>
        <w:t>2</w:t>
      </w:r>
      <w:r>
        <w:rPr>
          <w:rFonts w:hint="eastAsia"/>
        </w:rPr>
        <w:t>月</w:t>
      </w:r>
      <w:r>
        <w:rPr>
          <w:rFonts w:hint="eastAsia"/>
        </w:rPr>
        <w:t>22</w:t>
      </w:r>
      <w:r>
        <w:rPr>
          <w:rFonts w:hint="eastAsia"/>
        </w:rPr>
        <w:t>日</w:t>
      </w:r>
      <w:r>
        <w:rPr>
          <w:rFonts w:hint="eastAsia"/>
        </w:rPr>
        <w:t>)</w:t>
      </w:r>
      <w:r>
        <w:rPr>
          <w:rFonts w:hint="eastAsia"/>
        </w:rPr>
        <w:t>。</w:t>
      </w:r>
    </w:p>
    <w:p w:rsidR="00000000" w:rsidRDefault="00000000">
      <w:pPr>
        <w:spacing w:after="320"/>
        <w:rPr>
          <w:rFonts w:hint="eastAsia"/>
        </w:rPr>
      </w:pPr>
      <w:r>
        <w:rPr>
          <w:rFonts w:hint="eastAsia"/>
        </w:rPr>
        <w:tab/>
        <w:t xml:space="preserve">483.  </w:t>
      </w:r>
      <w:r>
        <w:rPr>
          <w:rFonts w:hint="eastAsia"/>
        </w:rPr>
        <w:t>国家、地方当局以及其他有关机构已经商定了一项关于在</w:t>
      </w:r>
      <w:r>
        <w:rPr>
          <w:rFonts w:hint="eastAsia"/>
        </w:rPr>
        <w:t>2001</w:t>
      </w:r>
      <w:r>
        <w:rPr>
          <w:rFonts w:hint="eastAsia"/>
        </w:rPr>
        <w:t>年至</w:t>
      </w:r>
      <w:r>
        <w:rPr>
          <w:rFonts w:hint="eastAsia"/>
        </w:rPr>
        <w:t>2005</w:t>
      </w:r>
      <w:r>
        <w:rPr>
          <w:rFonts w:hint="eastAsia"/>
        </w:rPr>
        <w:t>年减少无家可归人口的全国方案。在</w:t>
      </w:r>
      <w:r>
        <w:rPr>
          <w:rFonts w:hint="eastAsia"/>
        </w:rPr>
        <w:t>2002</w:t>
      </w:r>
      <w:r>
        <w:rPr>
          <w:rFonts w:hint="eastAsia"/>
        </w:rPr>
        <w:t>年实施了一项旨在减少首都地区无家可归人口的单独的行动计划。在国家方案中，所采取的措施包括：增加小型出租公寓的数量、发放住房津贴、国家为无家可归者住房项目提供资助以及制订预防措施。</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hint="eastAsia"/>
          <w:b/>
          <w:sz w:val="22"/>
          <w:u w:val="none"/>
        </w:rPr>
        <w:t>25</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2001</w:t>
      </w:r>
      <w:r>
        <w:rPr>
          <w:rFonts w:ascii="Time New Roman" w:eastAsia="SimHei" w:hAnsi="Time New Roman" w:hint="eastAsia"/>
          <w:sz w:val="22"/>
          <w:u w:val="none"/>
        </w:rPr>
        <w:t>年至</w:t>
      </w:r>
      <w:r>
        <w:rPr>
          <w:rFonts w:ascii="Time New Roman" w:eastAsia="SimHei" w:hAnsi="Time New Roman" w:hint="eastAsia"/>
          <w:b/>
          <w:sz w:val="22"/>
          <w:u w:val="none"/>
        </w:rPr>
        <w:t>2004</w:t>
      </w:r>
      <w:r>
        <w:rPr>
          <w:rFonts w:ascii="Time New Roman" w:eastAsia="SimHei" w:hAnsi="Time New Roman" w:hint="eastAsia"/>
          <w:sz w:val="22"/>
          <w:u w:val="none"/>
        </w:rPr>
        <w:t>年无家可归者人数</w:t>
      </w:r>
    </w:p>
    <w:tbl>
      <w:tblPr>
        <w:tblW w:w="9276" w:type="dxa"/>
        <w:jc w:val="center"/>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1610"/>
        <w:gridCol w:w="1559"/>
        <w:gridCol w:w="1559"/>
        <w:gridCol w:w="1560"/>
      </w:tblGrid>
      <w:tr w:rsidR="00000000">
        <w:tblPrEx>
          <w:tblCellMar>
            <w:top w:w="0" w:type="dxa"/>
            <w:bottom w:w="0" w:type="dxa"/>
          </w:tblCellMar>
        </w:tblPrEx>
        <w:trPr>
          <w:jc w:val="center"/>
        </w:trPr>
        <w:tc>
          <w:tcPr>
            <w:tcW w:w="2988" w:type="dxa"/>
          </w:tcPr>
          <w:p w:rsidR="00000000" w:rsidRDefault="00000000">
            <w:pPr>
              <w:pStyle w:val="a2"/>
              <w:spacing w:before="40" w:after="40"/>
              <w:jc w:val="center"/>
              <w:rPr>
                <w:rFonts w:hint="eastAsia"/>
                <w:snapToGrid/>
              </w:rPr>
            </w:pPr>
            <w:r>
              <w:rPr>
                <w:rFonts w:hint="eastAsia"/>
                <w:snapToGrid/>
              </w:rPr>
              <w:t>年</w:t>
            </w:r>
            <w:r>
              <w:rPr>
                <w:rFonts w:hint="eastAsia"/>
                <w:snapToGrid/>
              </w:rPr>
              <w:t xml:space="preserve">  </w:t>
            </w:r>
            <w:r>
              <w:rPr>
                <w:rFonts w:hint="eastAsia"/>
                <w:snapToGrid/>
              </w:rPr>
              <w:t>份</w:t>
            </w:r>
          </w:p>
        </w:tc>
        <w:tc>
          <w:tcPr>
            <w:tcW w:w="1610" w:type="dxa"/>
          </w:tcPr>
          <w:p w:rsidR="00000000" w:rsidRDefault="00000000">
            <w:pPr>
              <w:pStyle w:val="a2"/>
              <w:spacing w:before="40" w:after="40"/>
              <w:jc w:val="center"/>
              <w:rPr>
                <w:rFonts w:ascii="Time New Roman" w:eastAsia="SimHei" w:hAnsi="Time New Roman"/>
              </w:rPr>
            </w:pPr>
            <w:r>
              <w:rPr>
                <w:rFonts w:ascii="Time New Roman" w:eastAsia="SimHei" w:hAnsi="Time New Roman"/>
              </w:rPr>
              <w:t>2001</w:t>
            </w:r>
          </w:p>
        </w:tc>
        <w:tc>
          <w:tcPr>
            <w:tcW w:w="1559" w:type="dxa"/>
          </w:tcPr>
          <w:p w:rsidR="00000000" w:rsidRDefault="00000000">
            <w:pPr>
              <w:pStyle w:val="a2"/>
              <w:spacing w:before="40" w:after="40"/>
              <w:jc w:val="center"/>
              <w:rPr>
                <w:rFonts w:ascii="Time New Roman" w:eastAsia="SimHei" w:hAnsi="Time New Roman"/>
              </w:rPr>
            </w:pPr>
            <w:r>
              <w:rPr>
                <w:rFonts w:ascii="Time New Roman" w:eastAsia="SimHei" w:hAnsi="Time New Roman"/>
              </w:rPr>
              <w:t>2002</w:t>
            </w:r>
          </w:p>
        </w:tc>
        <w:tc>
          <w:tcPr>
            <w:tcW w:w="1559" w:type="dxa"/>
          </w:tcPr>
          <w:p w:rsidR="00000000" w:rsidRDefault="00000000">
            <w:pPr>
              <w:pStyle w:val="a2"/>
              <w:spacing w:before="40" w:after="40"/>
              <w:jc w:val="center"/>
              <w:rPr>
                <w:rFonts w:ascii="Time New Roman" w:eastAsia="SimHei" w:hAnsi="Time New Roman"/>
              </w:rPr>
            </w:pPr>
            <w:r>
              <w:rPr>
                <w:rFonts w:ascii="Time New Roman" w:eastAsia="SimHei" w:hAnsi="Time New Roman"/>
              </w:rPr>
              <w:t>2003</w:t>
            </w:r>
          </w:p>
        </w:tc>
        <w:tc>
          <w:tcPr>
            <w:tcW w:w="1560" w:type="dxa"/>
          </w:tcPr>
          <w:p w:rsidR="00000000" w:rsidRDefault="00000000">
            <w:pPr>
              <w:pStyle w:val="a2"/>
              <w:spacing w:before="40" w:after="40"/>
              <w:jc w:val="center"/>
              <w:rPr>
                <w:rFonts w:ascii="Time New Roman" w:eastAsia="SimHei" w:hAnsi="Time New Roman"/>
              </w:rPr>
            </w:pPr>
            <w:r>
              <w:rPr>
                <w:rFonts w:ascii="Time New Roman" w:eastAsia="SimHei" w:hAnsi="Time New Roman"/>
              </w:rPr>
              <w:t>2004</w:t>
            </w:r>
          </w:p>
        </w:tc>
      </w:tr>
      <w:tr w:rsidR="00000000">
        <w:tblPrEx>
          <w:tblCellMar>
            <w:top w:w="0" w:type="dxa"/>
            <w:bottom w:w="0" w:type="dxa"/>
          </w:tblCellMar>
        </w:tblPrEx>
        <w:trPr>
          <w:jc w:val="center"/>
        </w:trPr>
        <w:tc>
          <w:tcPr>
            <w:tcW w:w="2988" w:type="dxa"/>
            <w:tcBorders>
              <w:bottom w:val="nil"/>
            </w:tcBorders>
          </w:tcPr>
          <w:p w:rsidR="00000000" w:rsidRDefault="00000000">
            <w:pPr>
              <w:pStyle w:val="a2"/>
              <w:spacing w:before="40"/>
              <w:ind w:left="170"/>
              <w:rPr>
                <w:rFonts w:hint="eastAsia"/>
              </w:rPr>
            </w:pPr>
            <w:r>
              <w:rPr>
                <w:rFonts w:hint="eastAsia"/>
              </w:rPr>
              <w:t>单身无家可归者</w:t>
            </w:r>
          </w:p>
        </w:tc>
        <w:tc>
          <w:tcPr>
            <w:tcW w:w="1610" w:type="dxa"/>
            <w:tcBorders>
              <w:bottom w:val="nil"/>
            </w:tcBorders>
          </w:tcPr>
          <w:p w:rsidR="00000000" w:rsidRDefault="00000000">
            <w:pPr>
              <w:pStyle w:val="a2"/>
              <w:tabs>
                <w:tab w:val="decimal" w:pos="1025"/>
              </w:tabs>
              <w:spacing w:before="40"/>
              <w:jc w:val="left"/>
            </w:pPr>
          </w:p>
        </w:tc>
        <w:tc>
          <w:tcPr>
            <w:tcW w:w="1559" w:type="dxa"/>
            <w:tcBorders>
              <w:bottom w:val="nil"/>
            </w:tcBorders>
          </w:tcPr>
          <w:p w:rsidR="00000000" w:rsidRDefault="00000000">
            <w:pPr>
              <w:pStyle w:val="a2"/>
              <w:tabs>
                <w:tab w:val="decimal" w:pos="1025"/>
              </w:tabs>
              <w:spacing w:before="40"/>
              <w:jc w:val="left"/>
            </w:pPr>
          </w:p>
        </w:tc>
        <w:tc>
          <w:tcPr>
            <w:tcW w:w="1559" w:type="dxa"/>
            <w:tcBorders>
              <w:bottom w:val="nil"/>
            </w:tcBorders>
          </w:tcPr>
          <w:p w:rsidR="00000000" w:rsidRDefault="00000000">
            <w:pPr>
              <w:pStyle w:val="a2"/>
              <w:tabs>
                <w:tab w:val="decimal" w:pos="1025"/>
              </w:tabs>
              <w:spacing w:before="40"/>
              <w:jc w:val="left"/>
            </w:pPr>
          </w:p>
        </w:tc>
        <w:tc>
          <w:tcPr>
            <w:tcW w:w="1560" w:type="dxa"/>
            <w:tcBorders>
              <w:bottom w:val="nil"/>
            </w:tcBorders>
          </w:tcPr>
          <w:p w:rsidR="00000000" w:rsidRDefault="00000000">
            <w:pPr>
              <w:pStyle w:val="a2"/>
              <w:tabs>
                <w:tab w:val="decimal" w:pos="1025"/>
              </w:tabs>
              <w:spacing w:before="40"/>
              <w:jc w:val="left"/>
            </w:pPr>
          </w:p>
        </w:tc>
      </w:tr>
      <w:tr w:rsidR="00000000">
        <w:tblPrEx>
          <w:tblCellMar>
            <w:top w:w="0" w:type="dxa"/>
            <w:bottom w:w="0" w:type="dxa"/>
          </w:tblCellMar>
        </w:tblPrEx>
        <w:trPr>
          <w:jc w:val="center"/>
        </w:trPr>
        <w:tc>
          <w:tcPr>
            <w:tcW w:w="2988" w:type="dxa"/>
            <w:tcBorders>
              <w:top w:val="nil"/>
              <w:bottom w:val="nil"/>
            </w:tcBorders>
          </w:tcPr>
          <w:p w:rsidR="00000000" w:rsidRDefault="00000000">
            <w:pPr>
              <w:pStyle w:val="a2"/>
              <w:ind w:left="170"/>
              <w:rPr>
                <w:rFonts w:hint="eastAsia"/>
              </w:rPr>
            </w:pPr>
            <w:r>
              <w:t xml:space="preserve">  </w:t>
            </w:r>
            <w:r>
              <w:rPr>
                <w:rFonts w:hint="eastAsia"/>
              </w:rPr>
              <w:t>全国</w:t>
            </w:r>
          </w:p>
        </w:tc>
        <w:tc>
          <w:tcPr>
            <w:tcW w:w="1610" w:type="dxa"/>
            <w:tcBorders>
              <w:top w:val="nil"/>
              <w:bottom w:val="nil"/>
            </w:tcBorders>
          </w:tcPr>
          <w:p w:rsidR="00000000" w:rsidRDefault="00000000">
            <w:pPr>
              <w:pStyle w:val="a2"/>
              <w:tabs>
                <w:tab w:val="decimal" w:pos="1025"/>
              </w:tabs>
            </w:pPr>
            <w:r>
              <w:t>9,970</w:t>
            </w:r>
          </w:p>
        </w:tc>
        <w:tc>
          <w:tcPr>
            <w:tcW w:w="1559" w:type="dxa"/>
            <w:tcBorders>
              <w:top w:val="nil"/>
              <w:bottom w:val="nil"/>
            </w:tcBorders>
          </w:tcPr>
          <w:p w:rsidR="00000000" w:rsidRDefault="00000000">
            <w:pPr>
              <w:pStyle w:val="a2"/>
              <w:tabs>
                <w:tab w:val="decimal" w:pos="1025"/>
              </w:tabs>
            </w:pPr>
            <w:r>
              <w:t>9,560</w:t>
            </w:r>
          </w:p>
        </w:tc>
        <w:tc>
          <w:tcPr>
            <w:tcW w:w="1559" w:type="dxa"/>
            <w:tcBorders>
              <w:top w:val="nil"/>
              <w:bottom w:val="nil"/>
            </w:tcBorders>
          </w:tcPr>
          <w:p w:rsidR="00000000" w:rsidRDefault="00000000">
            <w:pPr>
              <w:pStyle w:val="a2"/>
              <w:tabs>
                <w:tab w:val="decimal" w:pos="1025"/>
              </w:tabs>
            </w:pPr>
            <w:r>
              <w:t>8,190</w:t>
            </w:r>
          </w:p>
        </w:tc>
        <w:tc>
          <w:tcPr>
            <w:tcW w:w="1560" w:type="dxa"/>
            <w:tcBorders>
              <w:top w:val="nil"/>
              <w:bottom w:val="nil"/>
            </w:tcBorders>
          </w:tcPr>
          <w:p w:rsidR="00000000" w:rsidRDefault="00000000">
            <w:pPr>
              <w:pStyle w:val="a2"/>
              <w:tabs>
                <w:tab w:val="decimal" w:pos="1025"/>
              </w:tabs>
            </w:pPr>
            <w:r>
              <w:t>7,620</w:t>
            </w:r>
          </w:p>
        </w:tc>
      </w:tr>
      <w:tr w:rsidR="00000000">
        <w:tblPrEx>
          <w:tblCellMar>
            <w:top w:w="0" w:type="dxa"/>
            <w:bottom w:w="0" w:type="dxa"/>
          </w:tblCellMar>
        </w:tblPrEx>
        <w:trPr>
          <w:jc w:val="center"/>
        </w:trPr>
        <w:tc>
          <w:tcPr>
            <w:tcW w:w="2988" w:type="dxa"/>
            <w:tcBorders>
              <w:top w:val="nil"/>
              <w:bottom w:val="nil"/>
            </w:tcBorders>
          </w:tcPr>
          <w:p w:rsidR="00000000" w:rsidRDefault="00000000">
            <w:pPr>
              <w:pStyle w:val="a2"/>
              <w:ind w:left="170"/>
              <w:rPr>
                <w:rFonts w:hint="eastAsia"/>
              </w:rPr>
            </w:pPr>
            <w:r>
              <w:t xml:space="preserve">  </w:t>
            </w:r>
            <w:r>
              <w:rPr>
                <w:rFonts w:hint="eastAsia"/>
              </w:rPr>
              <w:t>赫尔辛基地区</w:t>
            </w:r>
          </w:p>
        </w:tc>
        <w:tc>
          <w:tcPr>
            <w:tcW w:w="1610" w:type="dxa"/>
            <w:tcBorders>
              <w:top w:val="nil"/>
              <w:bottom w:val="nil"/>
            </w:tcBorders>
          </w:tcPr>
          <w:p w:rsidR="00000000" w:rsidRDefault="00000000">
            <w:pPr>
              <w:pStyle w:val="a2"/>
              <w:tabs>
                <w:tab w:val="decimal" w:pos="1025"/>
              </w:tabs>
            </w:pPr>
            <w:r>
              <w:t>5,790</w:t>
            </w:r>
          </w:p>
        </w:tc>
        <w:tc>
          <w:tcPr>
            <w:tcW w:w="1559" w:type="dxa"/>
            <w:tcBorders>
              <w:top w:val="nil"/>
              <w:bottom w:val="nil"/>
            </w:tcBorders>
          </w:tcPr>
          <w:p w:rsidR="00000000" w:rsidRDefault="00000000">
            <w:pPr>
              <w:pStyle w:val="a2"/>
              <w:tabs>
                <w:tab w:val="decimal" w:pos="1025"/>
              </w:tabs>
            </w:pPr>
            <w:r>
              <w:t>5,560</w:t>
            </w:r>
          </w:p>
        </w:tc>
        <w:tc>
          <w:tcPr>
            <w:tcW w:w="1559" w:type="dxa"/>
            <w:tcBorders>
              <w:top w:val="nil"/>
              <w:bottom w:val="nil"/>
            </w:tcBorders>
          </w:tcPr>
          <w:p w:rsidR="00000000" w:rsidRDefault="00000000">
            <w:pPr>
              <w:pStyle w:val="a2"/>
              <w:tabs>
                <w:tab w:val="decimal" w:pos="1025"/>
              </w:tabs>
            </w:pPr>
            <w:r>
              <w:t>4,440</w:t>
            </w:r>
          </w:p>
        </w:tc>
        <w:tc>
          <w:tcPr>
            <w:tcW w:w="1560" w:type="dxa"/>
            <w:tcBorders>
              <w:top w:val="nil"/>
              <w:bottom w:val="nil"/>
            </w:tcBorders>
          </w:tcPr>
          <w:p w:rsidR="00000000" w:rsidRDefault="00000000">
            <w:pPr>
              <w:pStyle w:val="a2"/>
              <w:tabs>
                <w:tab w:val="decimal" w:pos="1025"/>
              </w:tabs>
            </w:pPr>
            <w:r>
              <w:t>4,190</w:t>
            </w:r>
          </w:p>
        </w:tc>
      </w:tr>
      <w:tr w:rsidR="00000000">
        <w:tblPrEx>
          <w:tblCellMar>
            <w:top w:w="0" w:type="dxa"/>
            <w:bottom w:w="0" w:type="dxa"/>
          </w:tblCellMar>
        </w:tblPrEx>
        <w:trPr>
          <w:jc w:val="center"/>
        </w:trPr>
        <w:tc>
          <w:tcPr>
            <w:tcW w:w="2988" w:type="dxa"/>
            <w:tcBorders>
              <w:top w:val="nil"/>
              <w:bottom w:val="nil"/>
            </w:tcBorders>
          </w:tcPr>
          <w:p w:rsidR="00000000" w:rsidRDefault="00000000">
            <w:pPr>
              <w:pStyle w:val="a2"/>
              <w:ind w:left="170"/>
              <w:rPr>
                <w:rFonts w:hint="eastAsia"/>
              </w:rPr>
            </w:pPr>
            <w:r>
              <w:rPr>
                <w:rFonts w:hint="eastAsia"/>
              </w:rPr>
              <w:t>无家可归的家庭</w:t>
            </w:r>
          </w:p>
        </w:tc>
        <w:tc>
          <w:tcPr>
            <w:tcW w:w="1610" w:type="dxa"/>
            <w:tcBorders>
              <w:top w:val="nil"/>
              <w:bottom w:val="nil"/>
            </w:tcBorders>
          </w:tcPr>
          <w:p w:rsidR="00000000" w:rsidRDefault="00000000">
            <w:pPr>
              <w:pStyle w:val="a2"/>
              <w:tabs>
                <w:tab w:val="decimal" w:pos="1025"/>
              </w:tabs>
              <w:jc w:val="left"/>
            </w:pPr>
          </w:p>
        </w:tc>
        <w:tc>
          <w:tcPr>
            <w:tcW w:w="1559" w:type="dxa"/>
            <w:tcBorders>
              <w:top w:val="nil"/>
              <w:bottom w:val="nil"/>
            </w:tcBorders>
          </w:tcPr>
          <w:p w:rsidR="00000000" w:rsidRDefault="00000000">
            <w:pPr>
              <w:pStyle w:val="a2"/>
              <w:tabs>
                <w:tab w:val="decimal" w:pos="1025"/>
              </w:tabs>
              <w:jc w:val="left"/>
            </w:pPr>
          </w:p>
        </w:tc>
        <w:tc>
          <w:tcPr>
            <w:tcW w:w="1559" w:type="dxa"/>
            <w:tcBorders>
              <w:top w:val="nil"/>
              <w:bottom w:val="nil"/>
            </w:tcBorders>
          </w:tcPr>
          <w:p w:rsidR="00000000" w:rsidRDefault="00000000">
            <w:pPr>
              <w:pStyle w:val="a2"/>
              <w:tabs>
                <w:tab w:val="decimal" w:pos="1025"/>
              </w:tabs>
              <w:jc w:val="left"/>
            </w:pPr>
          </w:p>
        </w:tc>
        <w:tc>
          <w:tcPr>
            <w:tcW w:w="1560" w:type="dxa"/>
            <w:tcBorders>
              <w:top w:val="nil"/>
              <w:bottom w:val="nil"/>
            </w:tcBorders>
          </w:tcPr>
          <w:p w:rsidR="00000000" w:rsidRDefault="00000000">
            <w:pPr>
              <w:pStyle w:val="a2"/>
              <w:tabs>
                <w:tab w:val="decimal" w:pos="1025"/>
              </w:tabs>
              <w:jc w:val="left"/>
            </w:pPr>
          </w:p>
        </w:tc>
      </w:tr>
      <w:tr w:rsidR="00000000">
        <w:tblPrEx>
          <w:tblCellMar>
            <w:top w:w="0" w:type="dxa"/>
            <w:bottom w:w="0" w:type="dxa"/>
          </w:tblCellMar>
        </w:tblPrEx>
        <w:trPr>
          <w:jc w:val="center"/>
        </w:trPr>
        <w:tc>
          <w:tcPr>
            <w:tcW w:w="2988" w:type="dxa"/>
            <w:tcBorders>
              <w:top w:val="nil"/>
              <w:bottom w:val="nil"/>
            </w:tcBorders>
          </w:tcPr>
          <w:p w:rsidR="00000000" w:rsidRDefault="00000000">
            <w:pPr>
              <w:pStyle w:val="a2"/>
              <w:ind w:left="170"/>
              <w:rPr>
                <w:rFonts w:hint="eastAsia"/>
              </w:rPr>
            </w:pPr>
            <w:r>
              <w:t xml:space="preserve">  </w:t>
            </w:r>
            <w:r>
              <w:rPr>
                <w:rFonts w:hint="eastAsia"/>
              </w:rPr>
              <w:t>全国</w:t>
            </w:r>
          </w:p>
        </w:tc>
        <w:tc>
          <w:tcPr>
            <w:tcW w:w="1610" w:type="dxa"/>
            <w:tcBorders>
              <w:top w:val="nil"/>
              <w:bottom w:val="nil"/>
            </w:tcBorders>
          </w:tcPr>
          <w:p w:rsidR="00000000" w:rsidRDefault="00000000">
            <w:pPr>
              <w:pStyle w:val="a2"/>
              <w:tabs>
                <w:tab w:val="decimal" w:pos="1025"/>
              </w:tabs>
            </w:pPr>
            <w:r>
              <w:t>780</w:t>
            </w:r>
          </w:p>
        </w:tc>
        <w:tc>
          <w:tcPr>
            <w:tcW w:w="1559" w:type="dxa"/>
            <w:tcBorders>
              <w:top w:val="nil"/>
              <w:bottom w:val="nil"/>
            </w:tcBorders>
          </w:tcPr>
          <w:p w:rsidR="00000000" w:rsidRDefault="00000000">
            <w:pPr>
              <w:pStyle w:val="a2"/>
              <w:tabs>
                <w:tab w:val="decimal" w:pos="1025"/>
              </w:tabs>
            </w:pPr>
            <w:r>
              <w:t>775</w:t>
            </w:r>
          </w:p>
        </w:tc>
        <w:tc>
          <w:tcPr>
            <w:tcW w:w="1559" w:type="dxa"/>
            <w:tcBorders>
              <w:top w:val="nil"/>
              <w:bottom w:val="nil"/>
            </w:tcBorders>
          </w:tcPr>
          <w:p w:rsidR="00000000" w:rsidRDefault="00000000">
            <w:pPr>
              <w:pStyle w:val="a2"/>
              <w:tabs>
                <w:tab w:val="decimal" w:pos="1025"/>
              </w:tabs>
            </w:pPr>
            <w:r>
              <w:t>420</w:t>
            </w:r>
          </w:p>
        </w:tc>
        <w:tc>
          <w:tcPr>
            <w:tcW w:w="1560" w:type="dxa"/>
            <w:tcBorders>
              <w:top w:val="nil"/>
              <w:bottom w:val="nil"/>
            </w:tcBorders>
          </w:tcPr>
          <w:p w:rsidR="00000000" w:rsidRDefault="00000000">
            <w:pPr>
              <w:pStyle w:val="a2"/>
              <w:tabs>
                <w:tab w:val="decimal" w:pos="1025"/>
              </w:tabs>
            </w:pPr>
            <w:r>
              <w:t>360</w:t>
            </w:r>
          </w:p>
        </w:tc>
      </w:tr>
      <w:tr w:rsidR="00000000">
        <w:tblPrEx>
          <w:tblCellMar>
            <w:top w:w="0" w:type="dxa"/>
            <w:bottom w:w="0" w:type="dxa"/>
          </w:tblCellMar>
        </w:tblPrEx>
        <w:trPr>
          <w:jc w:val="center"/>
        </w:trPr>
        <w:tc>
          <w:tcPr>
            <w:tcW w:w="2988" w:type="dxa"/>
            <w:tcBorders>
              <w:top w:val="nil"/>
            </w:tcBorders>
          </w:tcPr>
          <w:p w:rsidR="00000000" w:rsidRDefault="00000000">
            <w:pPr>
              <w:pStyle w:val="a2"/>
              <w:spacing w:after="40"/>
              <w:ind w:left="170"/>
              <w:rPr>
                <w:rFonts w:hint="eastAsia"/>
              </w:rPr>
            </w:pPr>
            <w:r>
              <w:t xml:space="preserve">  </w:t>
            </w:r>
            <w:r>
              <w:rPr>
                <w:rFonts w:hint="eastAsia"/>
              </w:rPr>
              <w:t>赫尔辛基地区</w:t>
            </w:r>
          </w:p>
        </w:tc>
        <w:tc>
          <w:tcPr>
            <w:tcW w:w="1610" w:type="dxa"/>
            <w:tcBorders>
              <w:top w:val="nil"/>
            </w:tcBorders>
          </w:tcPr>
          <w:p w:rsidR="00000000" w:rsidRDefault="00000000">
            <w:pPr>
              <w:pStyle w:val="a2"/>
              <w:tabs>
                <w:tab w:val="decimal" w:pos="1025"/>
              </w:tabs>
            </w:pPr>
            <w:r>
              <w:t>690</w:t>
            </w:r>
          </w:p>
        </w:tc>
        <w:tc>
          <w:tcPr>
            <w:tcW w:w="1559" w:type="dxa"/>
            <w:tcBorders>
              <w:top w:val="nil"/>
            </w:tcBorders>
          </w:tcPr>
          <w:p w:rsidR="00000000" w:rsidRDefault="00000000">
            <w:pPr>
              <w:pStyle w:val="a2"/>
              <w:tabs>
                <w:tab w:val="decimal" w:pos="1025"/>
              </w:tabs>
            </w:pPr>
            <w:r>
              <w:t>660</w:t>
            </w:r>
          </w:p>
        </w:tc>
        <w:tc>
          <w:tcPr>
            <w:tcW w:w="1559" w:type="dxa"/>
            <w:tcBorders>
              <w:top w:val="nil"/>
            </w:tcBorders>
          </w:tcPr>
          <w:p w:rsidR="00000000" w:rsidRDefault="00000000">
            <w:pPr>
              <w:pStyle w:val="a2"/>
              <w:tabs>
                <w:tab w:val="decimal" w:pos="1025"/>
              </w:tabs>
            </w:pPr>
            <w:r>
              <w:t>520</w:t>
            </w:r>
          </w:p>
        </w:tc>
        <w:tc>
          <w:tcPr>
            <w:tcW w:w="1560" w:type="dxa"/>
            <w:tcBorders>
              <w:top w:val="nil"/>
            </w:tcBorders>
          </w:tcPr>
          <w:p w:rsidR="00000000" w:rsidRDefault="00000000">
            <w:pPr>
              <w:pStyle w:val="a2"/>
              <w:tabs>
                <w:tab w:val="decimal" w:pos="1025"/>
              </w:tabs>
            </w:pPr>
            <w:r>
              <w:t>230</w:t>
            </w:r>
          </w:p>
        </w:tc>
      </w:tr>
    </w:tbl>
    <w:p w:rsidR="00000000" w:rsidRDefault="00000000">
      <w:pPr>
        <w:rPr>
          <w:rFonts w:hint="eastAsia"/>
        </w:rPr>
      </w:pPr>
    </w:p>
    <w:p w:rsidR="00000000" w:rsidRDefault="00000000">
      <w:pPr>
        <w:rPr>
          <w:rFonts w:hint="eastAsia"/>
        </w:rPr>
      </w:pPr>
      <w:r>
        <w:rPr>
          <w:rFonts w:hint="eastAsia"/>
        </w:rPr>
        <w:tab/>
        <w:t>48</w:t>
      </w:r>
      <w:r>
        <w:t>4</w:t>
      </w:r>
      <w:r>
        <w:rPr>
          <w:rFonts w:hint="eastAsia"/>
        </w:rPr>
        <w:t xml:space="preserve">.  </w:t>
      </w:r>
      <w:r>
        <w:rPr>
          <w:rFonts w:hint="eastAsia"/>
        </w:rPr>
        <w:t>由于出租公寓的供应量的增加以及减少无家可归人口方案的实施，无论是在首都地区还是在全国，无家可归者的人数都在减少。</w:t>
      </w:r>
    </w:p>
    <w:p w:rsidR="00000000" w:rsidRDefault="00000000">
      <w:pPr>
        <w:rPr>
          <w:rFonts w:hint="eastAsia"/>
        </w:rPr>
      </w:pPr>
      <w:r>
        <w:rPr>
          <w:rFonts w:hint="eastAsia"/>
        </w:rPr>
        <w:tab/>
        <w:t xml:space="preserve">485.  </w:t>
      </w:r>
      <w:r>
        <w:rPr>
          <w:rFonts w:hint="eastAsia"/>
        </w:rPr>
        <w:t>少数人事务监察员曾经收到少数民族和外国人有关同其邻居发生纠纷的投诉。种族主义往往以邻居骚扰和威胁的形式表现出来。这些问题可以主要通过刑事指控</w:t>
      </w:r>
      <w:r>
        <w:rPr>
          <w:rFonts w:hint="eastAsia"/>
        </w:rPr>
        <w:t>(</w:t>
      </w:r>
      <w:r>
        <w:rPr>
          <w:rFonts w:hint="eastAsia"/>
        </w:rPr>
        <w:t>非法威胁或者诽谤</w:t>
      </w:r>
      <w:r>
        <w:rPr>
          <w:rFonts w:hint="eastAsia"/>
        </w:rPr>
        <w:t>)</w:t>
      </w:r>
      <w:r>
        <w:rPr>
          <w:rFonts w:hint="eastAsia"/>
        </w:rPr>
        <w:t>或者禁制令来解决。在赫尔辛基以及</w:t>
      </w:r>
      <w:r>
        <w:rPr>
          <w:rFonts w:hint="eastAsia"/>
        </w:rPr>
        <w:t>V</w:t>
      </w:r>
      <w:r>
        <w:t>antaa</w:t>
      </w:r>
      <w:r>
        <w:rPr>
          <w:rFonts w:hint="eastAsia"/>
        </w:rPr>
        <w:t>等城市中，地方调解办公室为解决各个种族之间的纠纷拟定了模式</w:t>
      </w:r>
      <w:r>
        <w:rPr>
          <w:rFonts w:hint="eastAsia"/>
        </w:rPr>
        <w:t>(</w:t>
      </w:r>
      <w:r>
        <w:t>http://www.jom.fi</w:t>
      </w:r>
      <w:r>
        <w:rPr>
          <w:rFonts w:hint="eastAsia"/>
        </w:rPr>
        <w:t xml:space="preserve"> </w:t>
      </w:r>
      <w:r>
        <w:t>/letstalk</w:t>
      </w:r>
      <w:r>
        <w:rPr>
          <w:rFonts w:hint="eastAsia"/>
        </w:rPr>
        <w:t>)</w:t>
      </w:r>
      <w:r>
        <w:rPr>
          <w:rFonts w:hint="eastAsia"/>
        </w:rPr>
        <w:t>，无论是民事案件还是刑事案件都可用调解方法予以解决。</w:t>
      </w:r>
    </w:p>
    <w:p w:rsidR="00000000" w:rsidRDefault="00000000">
      <w:pPr>
        <w:rPr>
          <w:rFonts w:hint="eastAsia"/>
        </w:rPr>
      </w:pPr>
      <w:r>
        <w:rPr>
          <w:rFonts w:hint="eastAsia"/>
        </w:rPr>
        <w:tab/>
        <w:t xml:space="preserve">486.  </w:t>
      </w:r>
      <w:r>
        <w:rPr>
          <w:rFonts w:hint="eastAsia"/>
        </w:rPr>
        <w:t>罗姆人。一般来说，芬兰的罗姆人并不是无家可归的，他们同芬兰大多数人住在同样的地区并且拥有同样水平的住房。同其他国家相比，芬兰罗姆人在住房方面的融合还是比较成功的。然而，罗姆人在住房方面仍然遇到问题，而这也是罗姆人向少数人事务监察员提出投诉的主要原因。罗姆人所面临的问题特别表现在出租公寓挑选住户方面。</w:t>
      </w:r>
    </w:p>
    <w:p w:rsidR="00000000" w:rsidRDefault="00000000">
      <w:pPr>
        <w:rPr>
          <w:rFonts w:hint="eastAsia"/>
        </w:rPr>
      </w:pPr>
      <w:r>
        <w:rPr>
          <w:rFonts w:hint="eastAsia"/>
        </w:rPr>
        <w:tab/>
        <w:t xml:space="preserve">487.  </w:t>
      </w:r>
      <w:r>
        <w:rPr>
          <w:rFonts w:hint="eastAsia"/>
        </w:rPr>
        <w:t>环境部是住房领域的主管机构。环境部在其散发给住房管理部门的手册中特别提请注意《阿姆斯特丹条约》中所规定的平等和禁止歧视的原则。这本手册的最新版本已在</w:t>
      </w:r>
      <w:r>
        <w:rPr>
          <w:rFonts w:hint="eastAsia"/>
        </w:rPr>
        <w:t>2003</w:t>
      </w:r>
      <w:r>
        <w:rPr>
          <w:rFonts w:hint="eastAsia"/>
        </w:rPr>
        <w:t>年</w:t>
      </w:r>
      <w:r>
        <w:rPr>
          <w:rFonts w:hint="eastAsia"/>
        </w:rPr>
        <w:t>3</w:t>
      </w:r>
      <w:r>
        <w:rPr>
          <w:rFonts w:hint="eastAsia"/>
        </w:rPr>
        <w:t>月印发。然而，所采取的措施侧重于地方当局在中央政府资助下所提供的出租公寓。关于私营住房市场，主要的问题是价格过高以及对于罗姆人的偏见。罗姆人通常处于较弱的社会和经济地位，因此私营住房市场往往不是他们涉足的地方。</w:t>
      </w:r>
    </w:p>
    <w:p w:rsidR="00000000" w:rsidRDefault="00000000">
      <w:pPr>
        <w:rPr>
          <w:rFonts w:hint="eastAsia"/>
        </w:rPr>
      </w:pPr>
      <w:r>
        <w:rPr>
          <w:rFonts w:hint="eastAsia"/>
        </w:rPr>
        <w:tab/>
        <w:t xml:space="preserve">488.  </w:t>
      </w:r>
      <w:r>
        <w:rPr>
          <w:rFonts w:hint="eastAsia"/>
        </w:rPr>
        <w:t>在芬兰，通常是由负责管理地方当局或者非营利组织所拥有的出租公寓的地产经纪人挑选住户。</w:t>
      </w:r>
    </w:p>
    <w:p w:rsidR="00000000" w:rsidRDefault="00000000">
      <w:pPr>
        <w:rPr>
          <w:rFonts w:hint="eastAsia"/>
        </w:rPr>
      </w:pPr>
      <w:r>
        <w:rPr>
          <w:rFonts w:hint="eastAsia"/>
        </w:rPr>
        <w:tab/>
        <w:t xml:space="preserve">489.  </w:t>
      </w:r>
      <w:r>
        <w:rPr>
          <w:rFonts w:hint="eastAsia"/>
        </w:rPr>
        <w:t>根据罗姆人事务咨询委员会，地产经纪机构所规定的保证金和偿付能力保证主要影响到罗姆人，因为他们经济状况不佳而很难租到住房或者调换公寓。除此以外，该委员会还认为，最好是更为有效地传播有关挑选住户的指示，更加有力地监督关于这些指示的执行情况，同时加强向地产经纪机构提供有关罗姆人住房问题的资料以及设计迅速干预问题的办法。</w:t>
      </w:r>
    </w:p>
    <w:p w:rsidR="00000000" w:rsidRDefault="00000000">
      <w:pPr>
        <w:rPr>
          <w:rFonts w:hint="eastAsia"/>
          <w:spacing w:val="6"/>
        </w:rPr>
      </w:pPr>
      <w:r>
        <w:rPr>
          <w:rFonts w:hint="eastAsia"/>
        </w:rPr>
        <w:tab/>
        <w:t xml:space="preserve">490.  </w:t>
      </w:r>
      <w:r>
        <w:rPr>
          <w:rFonts w:hint="eastAsia"/>
          <w:spacing w:val="6"/>
        </w:rPr>
        <w:t>各个地区的罗姆人事务咨询委员会已经向本地区的住房管理部门以及地产经纪机构提供了信息和培训。同首都地区住房管理部门的磋商证明是特别有效的。</w:t>
      </w:r>
    </w:p>
    <w:p w:rsidR="00000000" w:rsidRDefault="00000000">
      <w:pPr>
        <w:rPr>
          <w:rFonts w:hint="eastAsia"/>
        </w:rPr>
      </w:pPr>
      <w:r>
        <w:rPr>
          <w:rFonts w:hint="eastAsia"/>
        </w:rPr>
        <w:tab/>
        <w:t xml:space="preserve">491.  </w:t>
      </w:r>
      <w:r>
        <w:rPr>
          <w:rFonts w:hint="eastAsia"/>
        </w:rPr>
        <w:t>同时，根据少数人事务监察员所获得的信息，罗姆人的住房情况看来是特别有问题的。罗姆人很难在私营住房市场上找到公寓。他们在入住地方当局或者非营利组织所拥有的出租公寓方面也遇到问题。此外，他们所能获得的公寓在地段或者满足罗姆人文化的需求方面并不总是令人满意的。</w:t>
      </w:r>
    </w:p>
    <w:p w:rsidR="00000000" w:rsidRDefault="00000000">
      <w:pPr>
        <w:rPr>
          <w:rFonts w:hint="eastAsia"/>
        </w:rPr>
      </w:pPr>
      <w:r>
        <w:tab/>
        <w:t xml:space="preserve">492.  </w:t>
      </w:r>
      <w:r>
        <w:rPr>
          <w:rFonts w:hint="eastAsia"/>
        </w:rPr>
        <w:t>少数人事务监察员收到了有关挑选住户、无家可归、公寓翻新、歧视嫌疑、不适合待遇、缺乏咨询、处理申请延误以及老年人等问题的投诉。除了住房问题以外，一些投诉人还有其他的问题，例如：失业、单亲家庭、财务困难或者支付障碍或者有关儿童福利的问题。监察员认为，地方当局的代表应当加强监督向罗姆人提供的服务；在向私营机构购买服务时也应如此。</w:t>
      </w:r>
    </w:p>
    <w:p w:rsidR="00000000" w:rsidRDefault="00000000">
      <w:pPr>
        <w:rPr>
          <w:rFonts w:hint="eastAsia"/>
        </w:rPr>
      </w:pPr>
      <w:r>
        <w:rPr>
          <w:rFonts w:hint="eastAsia"/>
        </w:rPr>
        <w:tab/>
        <w:t>49</w:t>
      </w:r>
      <w:r>
        <w:t>3</w:t>
      </w:r>
      <w:r>
        <w:rPr>
          <w:rFonts w:hint="eastAsia"/>
        </w:rPr>
        <w:t xml:space="preserve">.  </w:t>
      </w:r>
      <w:r>
        <w:rPr>
          <w:rFonts w:hint="eastAsia"/>
          <w:u w:val="single"/>
        </w:rPr>
        <w:t>残疾人</w:t>
      </w:r>
      <w:r>
        <w:rPr>
          <w:rFonts w:hint="eastAsia"/>
        </w:rPr>
        <w:t>。在</w:t>
      </w:r>
      <w:r>
        <w:rPr>
          <w:rFonts w:hint="eastAsia"/>
        </w:rPr>
        <w:t>2001</w:t>
      </w:r>
      <w:r>
        <w:rPr>
          <w:rFonts w:hint="eastAsia"/>
        </w:rPr>
        <w:t>年，向</w:t>
      </w:r>
      <w:r>
        <w:rPr>
          <w:rFonts w:hint="eastAsia"/>
        </w:rPr>
        <w:t>2,100</w:t>
      </w:r>
      <w:r>
        <w:rPr>
          <w:rFonts w:hint="eastAsia"/>
        </w:rPr>
        <w:t>名残疾人</w:t>
      </w:r>
      <w:r>
        <w:rPr>
          <w:rFonts w:hint="eastAsia"/>
        </w:rPr>
        <w:t>(</w:t>
      </w:r>
      <w:r>
        <w:rPr>
          <w:rFonts w:hint="eastAsia"/>
        </w:rPr>
        <w:t>占城市居民总数的</w:t>
      </w:r>
      <w:r>
        <w:rPr>
          <w:rFonts w:hint="eastAsia"/>
        </w:rPr>
        <w:t>0.065%)</w:t>
      </w:r>
      <w:r>
        <w:rPr>
          <w:rFonts w:hint="eastAsia"/>
        </w:rPr>
        <w:t>提供了公共住房服务。大多数的顾客都有身体残疾或者精神缺陷。在今后的十年中，将有数以千计的残疾人需要住房服务。其中有些人是因为离开康复机构，有些人则是由于从老家搬出。其中许多人需要大量的照顾和援助。由于以上这些原因，应当提供高质量的服务，确保其独立生活。</w:t>
      </w:r>
    </w:p>
    <w:p w:rsidR="00000000" w:rsidRDefault="00000000">
      <w:pPr>
        <w:rPr>
          <w:rFonts w:hint="eastAsia"/>
        </w:rPr>
      </w:pPr>
      <w:r>
        <w:rPr>
          <w:rFonts w:hint="eastAsia"/>
        </w:rPr>
        <w:tab/>
        <w:t>49</w:t>
      </w:r>
      <w:r>
        <w:t>4</w:t>
      </w:r>
      <w:r>
        <w:rPr>
          <w:rFonts w:hint="eastAsia"/>
        </w:rPr>
        <w:t xml:space="preserve">.  </w:t>
      </w:r>
      <w:r>
        <w:rPr>
          <w:rFonts w:hint="eastAsia"/>
        </w:rPr>
        <w:t>住房服务往往是机构照料的备选方法。总共有</w:t>
      </w:r>
      <w:r>
        <w:rPr>
          <w:rFonts w:hint="eastAsia"/>
        </w:rPr>
        <w:t>10,000</w:t>
      </w:r>
      <w:r>
        <w:rPr>
          <w:rFonts w:hint="eastAsia"/>
        </w:rPr>
        <w:t>名残疾人住在各种康复机构中。其中主要是有身体残疾或者精神缺陷的人。大约</w:t>
      </w:r>
      <w:r>
        <w:rPr>
          <w:rFonts w:hint="eastAsia"/>
        </w:rPr>
        <w:t>6,500</w:t>
      </w:r>
      <w:r>
        <w:rPr>
          <w:rFonts w:hint="eastAsia"/>
        </w:rPr>
        <w:t>名有精神缺陷者长期住院治疗，大约</w:t>
      </w:r>
      <w:r>
        <w:rPr>
          <w:rFonts w:hint="eastAsia"/>
        </w:rPr>
        <w:t>2,500</w:t>
      </w:r>
      <w:r>
        <w:rPr>
          <w:rFonts w:hint="eastAsia"/>
        </w:rPr>
        <w:t>人需要特别机构护理。芬兰有</w:t>
      </w:r>
      <w:r>
        <w:rPr>
          <w:rFonts w:hint="eastAsia"/>
        </w:rPr>
        <w:t>15</w:t>
      </w:r>
      <w:r>
        <w:rPr>
          <w:rFonts w:hint="eastAsia"/>
        </w:rPr>
        <w:t>个机构照料</w:t>
      </w:r>
      <w:r>
        <w:rPr>
          <w:rFonts w:hint="eastAsia"/>
        </w:rPr>
        <w:t>100</w:t>
      </w:r>
      <w:r>
        <w:rPr>
          <w:rFonts w:hint="eastAsia"/>
        </w:rPr>
        <w:t>个精神有缺陷者。尽管据说存在开支问题，但是在是否需要将越来越多的精神障碍者从康复机构转移到辅助住房这个问题上一直在进行热烈的争论。人们从残疾人的人权、人身安全以及保护隐私等方面研究这种需要。有人指出，在比较小型的提供专门服务的住房设施中能够最好地确保这些权利。然而，这种改革不仅仅需要适当和能够运作的公寓，而且还需要符合租户需求的辅助和照料以及特别的专业技能。</w:t>
      </w:r>
    </w:p>
    <w:p w:rsidR="00000000" w:rsidRDefault="00000000">
      <w:pPr>
        <w:rPr>
          <w:rFonts w:hint="eastAsia"/>
        </w:rPr>
      </w:pPr>
      <w:r>
        <w:rPr>
          <w:rFonts w:hint="eastAsia"/>
        </w:rPr>
        <w:tab/>
        <w:t>49</w:t>
      </w:r>
      <w:r>
        <w:t>5</w:t>
      </w:r>
      <w:r>
        <w:rPr>
          <w:rFonts w:hint="eastAsia"/>
        </w:rPr>
        <w:t xml:space="preserve">.  </w:t>
      </w:r>
      <w:r>
        <w:rPr>
          <w:rFonts w:hint="eastAsia"/>
        </w:rPr>
        <w:t>应当以协调方式关闭大型的康复机构，同时国家应该就如何实施向业主发出明确指示。最好是制定行动方案，规定在过渡时期必须采取的支持措施。应该确保特别的专业技能、研究和发展。康复机构应当予以关闭，这样残疾人就不仅仅是从一个机构转到另外一个机构</w:t>
      </w:r>
      <w:r>
        <w:rPr>
          <w:rFonts w:hint="eastAsia"/>
        </w:rPr>
        <w:t>(</w:t>
      </w:r>
      <w:r>
        <w:rPr>
          <w:rFonts w:hint="eastAsia"/>
        </w:rPr>
        <w:t>例如医疗服务中心或者类似护理机构的住院病房</w:t>
      </w:r>
      <w:r>
        <w:rPr>
          <w:rFonts w:hint="eastAsia"/>
        </w:rPr>
        <w:t>)</w:t>
      </w:r>
      <w:r>
        <w:rPr>
          <w:rFonts w:hint="eastAsia"/>
        </w:rPr>
        <w:t>。</w:t>
      </w:r>
    </w:p>
    <w:p w:rsidR="00000000" w:rsidRDefault="00000000">
      <w:pPr>
        <w:rPr>
          <w:rFonts w:hint="eastAsia"/>
        </w:rPr>
      </w:pPr>
      <w:r>
        <w:rPr>
          <w:rFonts w:hint="eastAsia"/>
        </w:rPr>
        <w:tab/>
        <w:t>49</w:t>
      </w:r>
      <w:r>
        <w:t>6</w:t>
      </w:r>
      <w:r>
        <w:rPr>
          <w:rFonts w:hint="eastAsia"/>
        </w:rPr>
        <w:t xml:space="preserve">.  </w:t>
      </w:r>
      <w:r>
        <w:rPr>
          <w:rFonts w:hint="eastAsia"/>
        </w:rPr>
        <w:t>应当确保严重残疾的人有权尽可能正常生活。这就包括住房服务、适足的居住面积以及通常向其他人所提供的服务。就近提供有效的服务提高了住房和生活的质量，同时也减少了对于特别服务的需求。</w:t>
      </w:r>
    </w:p>
    <w:p w:rsidR="00000000" w:rsidRDefault="00000000">
      <w:pPr>
        <w:widowControl w:val="0"/>
        <w:rPr>
          <w:rFonts w:hint="eastAsia"/>
        </w:rPr>
      </w:pPr>
      <w:r>
        <w:rPr>
          <w:rFonts w:hint="eastAsia"/>
        </w:rPr>
        <w:tab/>
        <w:t>49</w:t>
      </w:r>
      <w:r>
        <w:t>7</w:t>
      </w:r>
      <w:r>
        <w:rPr>
          <w:rFonts w:hint="eastAsia"/>
        </w:rPr>
        <w:t xml:space="preserve">.  </w:t>
      </w:r>
      <w:r>
        <w:rPr>
          <w:rFonts w:hint="eastAsia"/>
        </w:rPr>
        <w:t>集体生活对残疾人来说也是重要的，但是这并不意味着他们必须同其他残疾人一起居住。社会的包容应当成为安排残疾人住房的出发点。</w:t>
      </w:r>
    </w:p>
    <w:p w:rsidR="00000000" w:rsidRDefault="00000000">
      <w:pPr>
        <w:rPr>
          <w:rFonts w:hint="eastAsia"/>
        </w:rPr>
      </w:pPr>
      <w:r>
        <w:rPr>
          <w:rFonts w:hint="eastAsia"/>
        </w:rPr>
        <w:tab/>
        <w:t>49</w:t>
      </w:r>
      <w:r>
        <w:t>8</w:t>
      </w:r>
      <w:r>
        <w:rPr>
          <w:rFonts w:hint="eastAsia"/>
        </w:rPr>
        <w:t xml:space="preserve">.  </w:t>
      </w:r>
      <w:r>
        <w:rPr>
          <w:rFonts w:hint="eastAsia"/>
        </w:rPr>
        <w:t>议会监察员注意到，根据《社会福利法》，地方当局有责任确保适足的住房服务。这种责任也涉及那些处境极为糟糕的人的住房。即使无家可归的滥用麻醉药品者也有权获得住房，至少是符合健康要求的住房。议会监察员认为，在芬兰这样的福利国家中，人类生活的最低标准必须包括确保基本生活必需品以外的一些因素。在评估住房是否适足方面也应考虑这一点。</w:t>
      </w:r>
    </w:p>
    <w:p w:rsidR="00000000" w:rsidRDefault="00000000">
      <w:pPr>
        <w:rPr>
          <w:rFonts w:hint="eastAsia"/>
        </w:rPr>
      </w:pPr>
      <w:r>
        <w:rPr>
          <w:rFonts w:hint="eastAsia"/>
        </w:rPr>
        <w:tab/>
      </w:r>
      <w:r>
        <w:t>499</w:t>
      </w:r>
      <w:r>
        <w:rPr>
          <w:rFonts w:hint="eastAsia"/>
        </w:rPr>
        <w:t xml:space="preserve">.  </w:t>
      </w:r>
      <w:r>
        <w:rPr>
          <w:rFonts w:hint="eastAsia"/>
        </w:rPr>
        <w:t>在</w:t>
      </w:r>
      <w:r>
        <w:rPr>
          <w:rFonts w:hint="eastAsia"/>
        </w:rPr>
        <w:t>2000</w:t>
      </w:r>
      <w:r>
        <w:rPr>
          <w:rFonts w:hint="eastAsia"/>
        </w:rPr>
        <w:t>年和</w:t>
      </w:r>
      <w:r>
        <w:rPr>
          <w:rFonts w:hint="eastAsia"/>
        </w:rPr>
        <w:t>2001</w:t>
      </w:r>
      <w:r>
        <w:rPr>
          <w:rFonts w:hint="eastAsia"/>
        </w:rPr>
        <w:t>年，除其他外，议会监察员还视察了赫尔辛基市为滥用麻醉药品者提供的住房服务。议会监察员在其决定中认为，赫尔辛基市管理的庇护住所没有达到适当的标准。后来，所涉的庇护住所经过了翻新。目前这里的住户享有适当的就餐、桑拿和洗衣设施。这个庇护住所还有护士工作室，院子也比以前更漂亮了。赫尔辛基市已经确定了一个目标：在</w:t>
      </w:r>
      <w:r>
        <w:rPr>
          <w:rFonts w:hint="eastAsia"/>
        </w:rPr>
        <w:t>2002</w:t>
      </w:r>
      <w:r>
        <w:rPr>
          <w:rFonts w:hint="eastAsia"/>
        </w:rPr>
        <w:t>年至</w:t>
      </w:r>
      <w:r>
        <w:rPr>
          <w:rFonts w:hint="eastAsia"/>
        </w:rPr>
        <w:t>2005</w:t>
      </w:r>
      <w:r>
        <w:rPr>
          <w:rFonts w:hint="eastAsia"/>
        </w:rPr>
        <w:t>年期间每年安排</w:t>
      </w:r>
      <w:r>
        <w:rPr>
          <w:rFonts w:hint="eastAsia"/>
        </w:rPr>
        <w:t>500</w:t>
      </w:r>
      <w:r>
        <w:rPr>
          <w:rFonts w:hint="eastAsia"/>
        </w:rPr>
        <w:t>套新的公寓。这个项目包括：普通的出租公寓、辅助住房、庇护住房以及临时居所，到目前为止，该市已经达到这一目标。</w:t>
      </w:r>
    </w:p>
    <w:p w:rsidR="00000000" w:rsidRDefault="00000000">
      <w:pPr>
        <w:rPr>
          <w:rFonts w:hint="eastAsia"/>
        </w:rPr>
      </w:pPr>
      <w:r>
        <w:rPr>
          <w:rFonts w:hint="eastAsia"/>
        </w:rPr>
        <w:tab/>
        <w:t>50</w:t>
      </w:r>
      <w:r>
        <w:t>0</w:t>
      </w:r>
      <w:r>
        <w:rPr>
          <w:rFonts w:hint="eastAsia"/>
        </w:rPr>
        <w:t xml:space="preserve">.  </w:t>
      </w:r>
      <w:r>
        <w:rPr>
          <w:rFonts w:hint="eastAsia"/>
          <w:u w:val="single"/>
        </w:rPr>
        <w:t>逼迁</w:t>
      </w:r>
      <w:r>
        <w:rPr>
          <w:rFonts w:hint="eastAsia"/>
        </w:rPr>
        <w:t>。在</w:t>
      </w:r>
      <w:r>
        <w:rPr>
          <w:rFonts w:hint="eastAsia"/>
        </w:rPr>
        <w:t>1990</w:t>
      </w:r>
      <w:r>
        <w:rPr>
          <w:rFonts w:hint="eastAsia"/>
        </w:rPr>
        <w:t>年代初期的经济衰退时期，执行机构所处理的逼迁案件的数目急剧上升。在此以后，上升幅度就不那么明显。除其他外，逼迁案件增多的原因还在于：居住在出租公寓里是十分普通的、生活费用的上涨、无力支付房租以及房东在威胁逼迁时所采用的手段。</w:t>
      </w:r>
    </w:p>
    <w:p w:rsidR="00000000" w:rsidRDefault="00000000">
      <w:pPr>
        <w:widowControl w:val="0"/>
        <w:rPr>
          <w:rFonts w:hint="eastAsia"/>
        </w:rPr>
      </w:pPr>
      <w:r>
        <w:rPr>
          <w:rFonts w:hint="eastAsia"/>
        </w:rPr>
        <w:tab/>
        <w:t>50</w:t>
      </w:r>
      <w:r>
        <w:t>1</w:t>
      </w:r>
      <w:r>
        <w:rPr>
          <w:rFonts w:hint="eastAsia"/>
        </w:rPr>
        <w:t xml:space="preserve">.  </w:t>
      </w:r>
      <w:r>
        <w:rPr>
          <w:rFonts w:hint="eastAsia"/>
        </w:rPr>
        <w:t>国家法律政策研究所于</w:t>
      </w:r>
      <w:r>
        <w:rPr>
          <w:rFonts w:hint="eastAsia"/>
        </w:rPr>
        <w:t>2001</w:t>
      </w:r>
      <w:r>
        <w:rPr>
          <w:rFonts w:hint="eastAsia"/>
        </w:rPr>
        <w:t>年至</w:t>
      </w:r>
      <w:r>
        <w:rPr>
          <w:rFonts w:hint="eastAsia"/>
        </w:rPr>
        <w:t>2003</w:t>
      </w:r>
      <w:r>
        <w:rPr>
          <w:rFonts w:hint="eastAsia"/>
        </w:rPr>
        <w:t>年就逼迁问题开展了一项研究，并于</w:t>
      </w:r>
      <w:r>
        <w:rPr>
          <w:rFonts w:hint="eastAsia"/>
        </w:rPr>
        <w:t>2005</w:t>
      </w:r>
      <w:r>
        <w:rPr>
          <w:rFonts w:hint="eastAsia"/>
        </w:rPr>
        <w:t>年年初完成。在</w:t>
      </w:r>
      <w:r>
        <w:rPr>
          <w:rFonts w:hint="eastAsia"/>
        </w:rPr>
        <w:t>2003</w:t>
      </w:r>
      <w:r>
        <w:rPr>
          <w:rFonts w:hint="eastAsia"/>
        </w:rPr>
        <w:t>年，执行机构总共登记了</w:t>
      </w:r>
      <w:r>
        <w:rPr>
          <w:rFonts w:hint="eastAsia"/>
        </w:rPr>
        <w:t>6,200</w:t>
      </w:r>
      <w:r>
        <w:rPr>
          <w:rFonts w:hint="eastAsia"/>
        </w:rPr>
        <w:t>件逼迁案件。其中，大约五分之一导致逼迁，</w:t>
      </w:r>
      <w:r>
        <w:rPr>
          <w:rFonts w:hint="eastAsia"/>
        </w:rPr>
        <w:t>40%</w:t>
      </w:r>
      <w:r>
        <w:rPr>
          <w:rFonts w:hint="eastAsia"/>
        </w:rPr>
        <w:t>的租户在实际逼迁之前已经搬走。因此，在十个案件中只有六家租户是必须离开有关公寓的。在剩余的四个案件里，房东和租户最终达成了协议，逼迁也被取消。</w:t>
      </w:r>
    </w:p>
    <w:p w:rsidR="00000000" w:rsidRDefault="00000000">
      <w:pPr>
        <w:rPr>
          <w:rFonts w:hint="eastAsia"/>
        </w:rPr>
      </w:pPr>
      <w:r>
        <w:rPr>
          <w:rFonts w:hint="eastAsia"/>
        </w:rPr>
        <w:tab/>
        <w:t>50</w:t>
      </w:r>
      <w:r>
        <w:t>2</w:t>
      </w:r>
      <w:r>
        <w:rPr>
          <w:rFonts w:hint="eastAsia"/>
        </w:rPr>
        <w:t xml:space="preserve">.  </w:t>
      </w:r>
      <w:r>
        <w:rPr>
          <w:rFonts w:hint="eastAsia"/>
        </w:rPr>
        <w:t>在被逼迁的租户中有各种类型的家庭。从</w:t>
      </w:r>
      <w:r>
        <w:rPr>
          <w:rFonts w:hint="eastAsia"/>
        </w:rPr>
        <w:t>2001</w:t>
      </w:r>
      <w:r>
        <w:rPr>
          <w:rFonts w:hint="eastAsia"/>
        </w:rPr>
        <w:t>年至</w:t>
      </w:r>
      <w:r>
        <w:rPr>
          <w:rFonts w:hint="eastAsia"/>
        </w:rPr>
        <w:t>2003</w:t>
      </w:r>
      <w:r>
        <w:rPr>
          <w:rFonts w:hint="eastAsia"/>
        </w:rPr>
        <w:t>年，其中最大的类别是单身男子</w:t>
      </w:r>
      <w:r>
        <w:rPr>
          <w:rFonts w:hint="eastAsia"/>
        </w:rPr>
        <w:t>(33%)</w:t>
      </w:r>
      <w:r>
        <w:rPr>
          <w:rFonts w:hint="eastAsia"/>
        </w:rPr>
        <w:t>。在几乎一半的案件中</w:t>
      </w:r>
      <w:r>
        <w:rPr>
          <w:rFonts w:hint="eastAsia"/>
        </w:rPr>
        <w:t>(45%)</w:t>
      </w:r>
      <w:r>
        <w:rPr>
          <w:rFonts w:hint="eastAsia"/>
        </w:rPr>
        <w:t>，有儿童牵连在内。有孩子的家庭一般总能达成协议，逼迁的情况是很少见的，这同单身男子的情况不同。</w:t>
      </w:r>
    </w:p>
    <w:p w:rsidR="00000000" w:rsidRDefault="00000000">
      <w:pPr>
        <w:rPr>
          <w:rFonts w:hint="eastAsia"/>
        </w:rPr>
      </w:pPr>
      <w:r>
        <w:rPr>
          <w:rFonts w:hint="eastAsia"/>
        </w:rPr>
        <w:tab/>
        <w:t>50</w:t>
      </w:r>
      <w:r>
        <w:t>3</w:t>
      </w:r>
      <w:r>
        <w:rPr>
          <w:rFonts w:hint="eastAsia"/>
        </w:rPr>
        <w:t xml:space="preserve">.  </w:t>
      </w:r>
      <w:r>
        <w:rPr>
          <w:rFonts w:hint="eastAsia"/>
        </w:rPr>
        <w:t>将近十分之一的案件涉及以前曾经遭到逼迁的租户。大多数被逼迁的租户拖欠租金。关于逼迁的其他原因，影响其他租户是最为通常的原因。一些由于拖欠租金而被逼迁的租户在这一方面具有长期和严重的困难。尽管如此，同那些由于影响他人而被逼迁的人相比，这些人在被逼迁以后的处境还要好一些。他们往往能够找到地方居住，而后者往往有酗酒或者吸毒的问题，结果在被逼迁以后只能住在庇护住所里。</w:t>
      </w:r>
    </w:p>
    <w:p w:rsidR="00000000" w:rsidRDefault="00000000">
      <w:pPr>
        <w:rPr>
          <w:rFonts w:hint="eastAsia"/>
        </w:rPr>
      </w:pPr>
      <w:r>
        <w:rPr>
          <w:rFonts w:hint="eastAsia"/>
        </w:rPr>
        <w:tab/>
        <w:t>50</w:t>
      </w:r>
      <w:r>
        <w:t>4</w:t>
      </w:r>
      <w:r>
        <w:rPr>
          <w:rFonts w:hint="eastAsia"/>
        </w:rPr>
        <w:t xml:space="preserve">.  </w:t>
      </w:r>
      <w:r>
        <w:rPr>
          <w:rFonts w:hint="eastAsia"/>
        </w:rPr>
        <w:t>通过咨询服务和加强各个部门之间的合作来减少逼迁的威胁。应当更多针使用预防性生活津贴和社会贷款以防止逼迁。</w:t>
      </w:r>
    </w:p>
    <w:p w:rsidR="00000000" w:rsidRDefault="00000000">
      <w:pPr>
        <w:spacing w:after="320"/>
        <w:rPr>
          <w:rFonts w:hint="eastAsia"/>
        </w:rPr>
      </w:pPr>
      <w:r>
        <w:rPr>
          <w:rFonts w:hint="eastAsia"/>
        </w:rPr>
        <w:tab/>
        <w:t>50</w:t>
      </w:r>
      <w:r>
        <w:t>5</w:t>
      </w:r>
      <w:r>
        <w:rPr>
          <w:rFonts w:hint="eastAsia"/>
        </w:rPr>
        <w:t xml:space="preserve">.  </w:t>
      </w:r>
      <w:r>
        <w:rPr>
          <w:rFonts w:hint="eastAsia"/>
          <w:u w:val="single"/>
        </w:rPr>
        <w:t>其他措施</w:t>
      </w:r>
      <w:r>
        <w:rPr>
          <w:rFonts w:hint="eastAsia"/>
        </w:rPr>
        <w:t>。在过去几年中，利用国家贷款建造的公寓的数目有所减少。这是因为除了那些人口急剧增长的城市以外，一般城市对于出租公寓的需求已经减少。除此以外，在过去几年中，在发展最为迅速的城市中私人公寓的建造有了强劲的增长，这就是利用国家贷款建造的出租公寓仍然很少的原因。</w:t>
      </w:r>
    </w:p>
    <w:p w:rsidR="00000000" w:rsidRDefault="00000000">
      <w:pPr>
        <w:pStyle w:val="Heading3"/>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hint="eastAsia"/>
          <w:b/>
          <w:sz w:val="22"/>
          <w:u w:val="none"/>
        </w:rPr>
        <w:t>26</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2001</w:t>
      </w:r>
      <w:r>
        <w:rPr>
          <w:rFonts w:ascii="Time New Roman" w:eastAsia="SimHei" w:hAnsi="Time New Roman" w:hint="eastAsia"/>
          <w:sz w:val="22"/>
          <w:u w:val="none"/>
        </w:rPr>
        <w:t>-</w:t>
      </w:r>
      <w:r>
        <w:rPr>
          <w:rFonts w:ascii="Time New Roman" w:eastAsia="SimHei" w:hAnsi="Time New Roman" w:hint="eastAsia"/>
          <w:b/>
          <w:sz w:val="22"/>
          <w:u w:val="none"/>
        </w:rPr>
        <w:t>2004</w:t>
      </w:r>
      <w:r>
        <w:rPr>
          <w:rFonts w:ascii="Time New Roman" w:eastAsia="SimHei" w:hAnsi="Time New Roman" w:hint="eastAsia"/>
          <w:sz w:val="22"/>
          <w:u w:val="none"/>
        </w:rPr>
        <w:t>年利用国家贷款建造的公寓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68"/>
        <w:gridCol w:w="1300"/>
        <w:gridCol w:w="1430"/>
        <w:gridCol w:w="1560"/>
        <w:gridCol w:w="1430"/>
      </w:tblGrid>
      <w:tr w:rsidR="00000000">
        <w:tblPrEx>
          <w:tblCellMar>
            <w:top w:w="0" w:type="dxa"/>
            <w:bottom w:w="0" w:type="dxa"/>
          </w:tblCellMar>
        </w:tblPrEx>
        <w:tc>
          <w:tcPr>
            <w:tcW w:w="3668" w:type="dxa"/>
          </w:tcPr>
          <w:p w:rsidR="00000000" w:rsidRDefault="00000000">
            <w:pPr>
              <w:spacing w:before="40" w:line="240" w:lineRule="auto"/>
              <w:rPr>
                <w:rFonts w:hint="eastAsia"/>
                <w:sz w:val="22"/>
              </w:rPr>
            </w:pPr>
          </w:p>
        </w:tc>
        <w:tc>
          <w:tcPr>
            <w:tcW w:w="1300" w:type="dxa"/>
          </w:tcPr>
          <w:p w:rsidR="00000000" w:rsidRDefault="00000000">
            <w:pPr>
              <w:pStyle w:val="Default"/>
              <w:spacing w:before="40"/>
              <w:jc w:val="center"/>
              <w:rPr>
                <w:rFonts w:ascii="Times New Roman" w:hAnsi="Times New Roman"/>
                <w:spacing w:val="12"/>
                <w:sz w:val="22"/>
                <w:lang w:val="en-GB" w:eastAsia="zh-CN"/>
              </w:rPr>
            </w:pPr>
            <w:r>
              <w:rPr>
                <w:rFonts w:ascii="Times New Roman" w:hAnsi="Times New Roman"/>
                <w:spacing w:val="12"/>
                <w:sz w:val="22"/>
                <w:lang w:val="en-GB" w:eastAsia="zh-CN"/>
              </w:rPr>
              <w:t>2001</w:t>
            </w:r>
          </w:p>
        </w:tc>
        <w:tc>
          <w:tcPr>
            <w:tcW w:w="1430" w:type="dxa"/>
          </w:tcPr>
          <w:p w:rsidR="00000000" w:rsidRDefault="00000000">
            <w:pPr>
              <w:pStyle w:val="Default"/>
              <w:spacing w:before="40"/>
              <w:jc w:val="center"/>
              <w:rPr>
                <w:rFonts w:ascii="Times New Roman" w:hAnsi="Times New Roman"/>
                <w:spacing w:val="12"/>
                <w:sz w:val="22"/>
                <w:lang w:val="en-GB" w:eastAsia="zh-CN"/>
              </w:rPr>
            </w:pPr>
            <w:r>
              <w:rPr>
                <w:rFonts w:ascii="Times New Roman" w:hAnsi="Times New Roman"/>
                <w:spacing w:val="12"/>
                <w:sz w:val="22"/>
                <w:lang w:val="en-GB" w:eastAsia="zh-CN"/>
              </w:rPr>
              <w:t>2002</w:t>
            </w:r>
          </w:p>
        </w:tc>
        <w:tc>
          <w:tcPr>
            <w:tcW w:w="1560" w:type="dxa"/>
          </w:tcPr>
          <w:p w:rsidR="00000000" w:rsidRDefault="00000000">
            <w:pPr>
              <w:pStyle w:val="Default"/>
              <w:spacing w:before="40"/>
              <w:jc w:val="center"/>
              <w:rPr>
                <w:rFonts w:ascii="Times New Roman" w:hAnsi="Times New Roman"/>
                <w:spacing w:val="12"/>
                <w:sz w:val="22"/>
                <w:lang w:val="en-GB" w:eastAsia="zh-CN"/>
              </w:rPr>
            </w:pPr>
            <w:r>
              <w:rPr>
                <w:rFonts w:ascii="Times New Roman" w:hAnsi="Times New Roman"/>
                <w:spacing w:val="12"/>
                <w:sz w:val="22"/>
                <w:lang w:val="en-GB" w:eastAsia="zh-CN"/>
              </w:rPr>
              <w:t>2003</w:t>
            </w:r>
          </w:p>
        </w:tc>
        <w:tc>
          <w:tcPr>
            <w:tcW w:w="1430" w:type="dxa"/>
          </w:tcPr>
          <w:p w:rsidR="00000000" w:rsidRDefault="00000000">
            <w:pPr>
              <w:pStyle w:val="Default"/>
              <w:spacing w:before="40"/>
              <w:jc w:val="center"/>
              <w:rPr>
                <w:rFonts w:ascii="Times New Roman" w:hAnsi="Times New Roman"/>
                <w:spacing w:val="12"/>
                <w:sz w:val="22"/>
                <w:lang w:val="en-GB" w:eastAsia="zh-CN"/>
              </w:rPr>
            </w:pPr>
            <w:r>
              <w:rPr>
                <w:rFonts w:ascii="Times New Roman" w:hAnsi="Times New Roman"/>
                <w:spacing w:val="12"/>
                <w:sz w:val="22"/>
                <w:lang w:val="en-GB" w:eastAsia="zh-CN"/>
              </w:rPr>
              <w:t>2004</w:t>
            </w:r>
          </w:p>
        </w:tc>
      </w:tr>
      <w:tr w:rsidR="00000000">
        <w:tblPrEx>
          <w:tblCellMar>
            <w:top w:w="0" w:type="dxa"/>
            <w:bottom w:w="0" w:type="dxa"/>
          </w:tblCellMar>
        </w:tblPrEx>
        <w:tc>
          <w:tcPr>
            <w:tcW w:w="3668" w:type="dxa"/>
            <w:tcBorders>
              <w:bottom w:val="nil"/>
            </w:tcBorders>
          </w:tcPr>
          <w:p w:rsidR="00000000" w:rsidRDefault="00000000">
            <w:pPr>
              <w:spacing w:before="120" w:line="240" w:lineRule="exact"/>
              <w:ind w:left="113"/>
              <w:rPr>
                <w:rFonts w:hint="eastAsia"/>
                <w:sz w:val="22"/>
              </w:rPr>
            </w:pPr>
            <w:r>
              <w:rPr>
                <w:rFonts w:hint="eastAsia"/>
                <w:sz w:val="22"/>
              </w:rPr>
              <w:t>利用国家贷款建设的出租公寓</w:t>
            </w:r>
          </w:p>
        </w:tc>
        <w:tc>
          <w:tcPr>
            <w:tcW w:w="1300" w:type="dxa"/>
            <w:tcBorders>
              <w:bottom w:val="nil"/>
            </w:tcBorders>
          </w:tcPr>
          <w:p w:rsidR="00000000" w:rsidRDefault="00000000">
            <w:pPr>
              <w:spacing w:before="120" w:line="240" w:lineRule="exact"/>
              <w:rPr>
                <w:rFonts w:hint="eastAsia"/>
                <w:spacing w:val="12"/>
                <w:sz w:val="22"/>
              </w:rPr>
            </w:pPr>
          </w:p>
        </w:tc>
        <w:tc>
          <w:tcPr>
            <w:tcW w:w="1430" w:type="dxa"/>
            <w:tcBorders>
              <w:bottom w:val="nil"/>
            </w:tcBorders>
          </w:tcPr>
          <w:p w:rsidR="00000000" w:rsidRDefault="00000000">
            <w:pPr>
              <w:spacing w:before="120" w:line="240" w:lineRule="exact"/>
              <w:rPr>
                <w:rFonts w:hint="eastAsia"/>
                <w:spacing w:val="12"/>
                <w:sz w:val="22"/>
              </w:rPr>
            </w:pPr>
          </w:p>
        </w:tc>
        <w:tc>
          <w:tcPr>
            <w:tcW w:w="1560" w:type="dxa"/>
            <w:tcBorders>
              <w:bottom w:val="nil"/>
            </w:tcBorders>
          </w:tcPr>
          <w:p w:rsidR="00000000" w:rsidRDefault="00000000">
            <w:pPr>
              <w:spacing w:before="120" w:line="240" w:lineRule="exact"/>
              <w:rPr>
                <w:rFonts w:hint="eastAsia"/>
                <w:spacing w:val="12"/>
                <w:sz w:val="22"/>
              </w:rPr>
            </w:pPr>
          </w:p>
        </w:tc>
        <w:tc>
          <w:tcPr>
            <w:tcW w:w="1430" w:type="dxa"/>
            <w:tcBorders>
              <w:bottom w:val="nil"/>
            </w:tcBorders>
          </w:tcPr>
          <w:p w:rsidR="00000000" w:rsidRDefault="00000000">
            <w:pPr>
              <w:spacing w:before="120" w:line="240" w:lineRule="exact"/>
              <w:rPr>
                <w:rFonts w:hint="eastAsia"/>
                <w:spacing w:val="12"/>
                <w:sz w:val="22"/>
              </w:rPr>
            </w:pP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国家住房贷款</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8,789</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7,467</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4,004</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2,549</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利息补助</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3,127</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3,674</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5,455</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1,340</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总</w:t>
            </w:r>
            <w:r>
              <w:rPr>
                <w:rFonts w:hint="eastAsia"/>
                <w:sz w:val="22"/>
              </w:rPr>
              <w:t xml:space="preserve">  </w:t>
            </w:r>
            <w:r>
              <w:rPr>
                <w:rFonts w:hint="eastAsia"/>
                <w:sz w:val="22"/>
              </w:rPr>
              <w:t>计</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11,916</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11,141</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9,459</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3,889</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rFonts w:hint="eastAsia"/>
                <w:sz w:val="22"/>
              </w:rPr>
              <w:t>只有居住权的公寓</w:t>
            </w:r>
          </w:p>
        </w:tc>
        <w:tc>
          <w:tcPr>
            <w:tcW w:w="1300" w:type="dxa"/>
            <w:tcBorders>
              <w:top w:val="nil"/>
              <w:bottom w:val="nil"/>
            </w:tcBorders>
          </w:tcPr>
          <w:p w:rsidR="00000000" w:rsidRDefault="00000000">
            <w:pPr>
              <w:spacing w:before="40" w:line="240" w:lineRule="exact"/>
              <w:ind w:right="340"/>
              <w:rPr>
                <w:rFonts w:hint="eastAsia"/>
                <w:sz w:val="22"/>
              </w:rPr>
            </w:pP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hint="eastAsia"/>
                <w:sz w:val="22"/>
                <w:lang w:val="en-GB" w:eastAsia="zh-CN"/>
              </w:rPr>
            </w:pP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hint="eastAsia"/>
                <w:sz w:val="22"/>
                <w:lang w:val="en-GB" w:eastAsia="zh-CN"/>
              </w:rPr>
            </w:pP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hint="eastAsia"/>
                <w:sz w:val="22"/>
                <w:lang w:val="en-GB" w:eastAsia="zh-CN"/>
              </w:rPr>
            </w:pP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国家住房贷款</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4,369</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2,556</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393</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543</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利息补助</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691</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797</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1,125</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115</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rFonts w:hint="eastAsia"/>
                <w:sz w:val="22"/>
              </w:rPr>
              <w:t xml:space="preserve">  </w:t>
            </w:r>
            <w:r>
              <w:rPr>
                <w:rFonts w:hint="eastAsia"/>
                <w:sz w:val="22"/>
              </w:rPr>
              <w:t>总</w:t>
            </w:r>
            <w:r>
              <w:rPr>
                <w:rFonts w:hint="eastAsia"/>
                <w:sz w:val="22"/>
              </w:rPr>
              <w:t xml:space="preserve">  </w:t>
            </w:r>
            <w:r>
              <w:rPr>
                <w:rFonts w:hint="eastAsia"/>
                <w:sz w:val="22"/>
              </w:rPr>
              <w:t>计</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5,060</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3,353</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1,518</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658</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rFonts w:hint="eastAsia"/>
                <w:sz w:val="22"/>
              </w:rPr>
              <w:t>其他</w:t>
            </w:r>
            <w:r>
              <w:rPr>
                <w:rFonts w:hint="eastAsia"/>
                <w:sz w:val="22"/>
              </w:rPr>
              <w:t xml:space="preserve"> </w:t>
            </w:r>
            <w:r>
              <w:rPr>
                <w:rFonts w:hint="eastAsia"/>
                <w:sz w:val="22"/>
                <w:vertAlign w:val="superscript"/>
              </w:rPr>
              <w:t>1</w:t>
            </w:r>
          </w:p>
        </w:tc>
        <w:tc>
          <w:tcPr>
            <w:tcW w:w="1300" w:type="dxa"/>
            <w:tcBorders>
              <w:top w:val="nil"/>
              <w:bottom w:val="nil"/>
            </w:tcBorders>
          </w:tcPr>
          <w:p w:rsidR="00000000" w:rsidRDefault="00000000">
            <w:pPr>
              <w:spacing w:before="40" w:line="240" w:lineRule="exact"/>
              <w:ind w:right="340"/>
              <w:rPr>
                <w:rFonts w:hint="eastAsia"/>
                <w:sz w:val="22"/>
              </w:rPr>
            </w:pP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hint="eastAsia"/>
                <w:sz w:val="22"/>
                <w:lang w:val="en-GB" w:eastAsia="zh-CN"/>
              </w:rPr>
            </w:pP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hint="eastAsia"/>
                <w:sz w:val="22"/>
                <w:lang w:val="en-GB" w:eastAsia="zh-CN"/>
              </w:rPr>
            </w:pP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hint="eastAsia"/>
                <w:sz w:val="22"/>
                <w:lang w:val="en-GB" w:eastAsia="zh-CN"/>
              </w:rPr>
            </w:pP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国家住房贷款</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96</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58</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0</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10</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利息补助</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1,032</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808</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781</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252</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rFonts w:hint="eastAsia"/>
                <w:sz w:val="22"/>
              </w:rPr>
              <w:t xml:space="preserve">  </w:t>
            </w:r>
            <w:r>
              <w:rPr>
                <w:rFonts w:hint="eastAsia"/>
                <w:sz w:val="22"/>
              </w:rPr>
              <w:t>总</w:t>
            </w:r>
            <w:r>
              <w:rPr>
                <w:rFonts w:hint="eastAsia"/>
                <w:sz w:val="22"/>
              </w:rPr>
              <w:t xml:space="preserve">  </w:t>
            </w:r>
            <w:r>
              <w:rPr>
                <w:rFonts w:hint="eastAsia"/>
                <w:sz w:val="22"/>
              </w:rPr>
              <w:t>计</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1,128</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866</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781</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262</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rFonts w:hint="eastAsia"/>
                <w:sz w:val="22"/>
              </w:rPr>
              <w:t>所建造的新公寓总数</w:t>
            </w:r>
          </w:p>
        </w:tc>
        <w:tc>
          <w:tcPr>
            <w:tcW w:w="1300" w:type="dxa"/>
            <w:tcBorders>
              <w:top w:val="nil"/>
              <w:bottom w:val="nil"/>
            </w:tcBorders>
          </w:tcPr>
          <w:p w:rsidR="00000000" w:rsidRDefault="00000000">
            <w:pPr>
              <w:spacing w:before="40" w:line="240" w:lineRule="exact"/>
              <w:ind w:right="340"/>
              <w:rPr>
                <w:rFonts w:hint="eastAsia"/>
                <w:sz w:val="22"/>
              </w:rPr>
            </w:pP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hint="eastAsia"/>
                <w:sz w:val="22"/>
                <w:lang w:val="en-GB" w:eastAsia="zh-CN"/>
              </w:rPr>
            </w:pP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hint="eastAsia"/>
                <w:sz w:val="22"/>
                <w:lang w:val="en-GB" w:eastAsia="zh-CN"/>
              </w:rPr>
            </w:pP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hint="eastAsia"/>
                <w:sz w:val="22"/>
                <w:lang w:val="en-GB" w:eastAsia="zh-CN"/>
              </w:rPr>
            </w:pP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国家住房贷款</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13,254</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10,081</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4,397</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3,102</w:t>
            </w:r>
          </w:p>
        </w:tc>
      </w:tr>
      <w:tr w:rsidR="00000000">
        <w:tblPrEx>
          <w:tblCellMar>
            <w:top w:w="0" w:type="dxa"/>
            <w:bottom w:w="0" w:type="dxa"/>
          </w:tblCellMar>
        </w:tblPrEx>
        <w:tc>
          <w:tcPr>
            <w:tcW w:w="3668" w:type="dxa"/>
            <w:tcBorders>
              <w:top w:val="nil"/>
              <w:bottom w:val="nil"/>
            </w:tcBorders>
          </w:tcPr>
          <w:p w:rsidR="00000000" w:rsidRDefault="00000000">
            <w:pPr>
              <w:spacing w:before="40" w:line="240" w:lineRule="exact"/>
              <w:ind w:left="113"/>
              <w:rPr>
                <w:rFonts w:hint="eastAsia"/>
                <w:sz w:val="22"/>
              </w:rPr>
            </w:pPr>
            <w:r>
              <w:rPr>
                <w:sz w:val="22"/>
              </w:rPr>
              <w:t xml:space="preserve">  </w:t>
            </w:r>
            <w:r>
              <w:rPr>
                <w:rFonts w:hint="eastAsia"/>
                <w:sz w:val="22"/>
              </w:rPr>
              <w:t>利息补助</w:t>
            </w:r>
          </w:p>
        </w:tc>
        <w:tc>
          <w:tcPr>
            <w:tcW w:w="130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4,850</w:t>
            </w:r>
          </w:p>
        </w:tc>
        <w:tc>
          <w:tcPr>
            <w:tcW w:w="1430" w:type="dxa"/>
            <w:tcBorders>
              <w:top w:val="nil"/>
              <w:bottom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5,279</w:t>
            </w:r>
          </w:p>
        </w:tc>
        <w:tc>
          <w:tcPr>
            <w:tcW w:w="1560" w:type="dxa"/>
            <w:tcBorders>
              <w:top w:val="nil"/>
              <w:bottom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7,361</w:t>
            </w:r>
          </w:p>
        </w:tc>
        <w:tc>
          <w:tcPr>
            <w:tcW w:w="1430" w:type="dxa"/>
            <w:tcBorders>
              <w:top w:val="nil"/>
              <w:bottom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1,707</w:t>
            </w:r>
          </w:p>
        </w:tc>
      </w:tr>
      <w:tr w:rsidR="00000000">
        <w:tblPrEx>
          <w:tblCellMar>
            <w:top w:w="0" w:type="dxa"/>
            <w:bottom w:w="0" w:type="dxa"/>
          </w:tblCellMar>
        </w:tblPrEx>
        <w:tc>
          <w:tcPr>
            <w:tcW w:w="3668" w:type="dxa"/>
            <w:tcBorders>
              <w:top w:val="nil"/>
            </w:tcBorders>
          </w:tcPr>
          <w:p w:rsidR="00000000" w:rsidRDefault="00000000">
            <w:pPr>
              <w:spacing w:before="40" w:after="80" w:line="240" w:lineRule="exact"/>
              <w:rPr>
                <w:rFonts w:hint="eastAsia"/>
                <w:sz w:val="22"/>
              </w:rPr>
            </w:pPr>
            <w:r>
              <w:rPr>
                <w:rFonts w:hint="eastAsia"/>
                <w:sz w:val="22"/>
              </w:rPr>
              <w:t xml:space="preserve">  </w:t>
            </w:r>
            <w:r>
              <w:rPr>
                <w:rFonts w:hint="eastAsia"/>
                <w:sz w:val="22"/>
              </w:rPr>
              <w:t>总</w:t>
            </w:r>
            <w:r>
              <w:rPr>
                <w:rFonts w:hint="eastAsia"/>
                <w:sz w:val="22"/>
              </w:rPr>
              <w:t xml:space="preserve">  </w:t>
            </w:r>
            <w:r>
              <w:rPr>
                <w:rFonts w:hint="eastAsia"/>
                <w:sz w:val="22"/>
              </w:rPr>
              <w:t>计</w:t>
            </w:r>
          </w:p>
        </w:tc>
        <w:tc>
          <w:tcPr>
            <w:tcW w:w="1300" w:type="dxa"/>
            <w:tcBorders>
              <w:top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18,104</w:t>
            </w:r>
          </w:p>
        </w:tc>
        <w:tc>
          <w:tcPr>
            <w:tcW w:w="1430" w:type="dxa"/>
            <w:tcBorders>
              <w:top w:val="nil"/>
            </w:tcBorders>
          </w:tcPr>
          <w:p w:rsidR="00000000" w:rsidRDefault="00000000">
            <w:pPr>
              <w:pStyle w:val="Default"/>
              <w:spacing w:before="40" w:line="240" w:lineRule="exact"/>
              <w:ind w:right="340"/>
              <w:jc w:val="right"/>
              <w:rPr>
                <w:rFonts w:ascii="Times New Roman" w:hAnsi="Times New Roman"/>
                <w:sz w:val="22"/>
                <w:lang w:val="en-GB" w:eastAsia="zh-CN"/>
              </w:rPr>
            </w:pPr>
            <w:r>
              <w:rPr>
                <w:rFonts w:ascii="Times New Roman" w:hAnsi="Times New Roman"/>
                <w:sz w:val="22"/>
                <w:lang w:val="en-GB" w:eastAsia="zh-CN"/>
              </w:rPr>
              <w:t>15,360</w:t>
            </w:r>
          </w:p>
        </w:tc>
        <w:tc>
          <w:tcPr>
            <w:tcW w:w="1560" w:type="dxa"/>
            <w:tcBorders>
              <w:top w:val="nil"/>
            </w:tcBorders>
          </w:tcPr>
          <w:p w:rsidR="00000000" w:rsidRDefault="00000000">
            <w:pPr>
              <w:pStyle w:val="Default"/>
              <w:spacing w:before="40" w:line="240" w:lineRule="exact"/>
              <w:ind w:right="454"/>
              <w:jc w:val="right"/>
              <w:rPr>
                <w:rFonts w:ascii="Times New Roman" w:hAnsi="Times New Roman"/>
                <w:sz w:val="22"/>
                <w:lang w:val="en-GB" w:eastAsia="zh-CN"/>
              </w:rPr>
            </w:pPr>
            <w:r>
              <w:rPr>
                <w:rFonts w:ascii="Times New Roman" w:hAnsi="Times New Roman"/>
                <w:sz w:val="22"/>
                <w:lang w:val="en-GB" w:eastAsia="zh-CN"/>
              </w:rPr>
              <w:t>11,758</w:t>
            </w:r>
          </w:p>
        </w:tc>
        <w:tc>
          <w:tcPr>
            <w:tcW w:w="1430" w:type="dxa"/>
            <w:tcBorders>
              <w:top w:val="nil"/>
            </w:tcBorders>
          </w:tcPr>
          <w:p w:rsidR="00000000" w:rsidRDefault="00000000">
            <w:pPr>
              <w:pStyle w:val="Default"/>
              <w:spacing w:before="40" w:line="240" w:lineRule="exact"/>
              <w:ind w:right="397"/>
              <w:jc w:val="right"/>
              <w:rPr>
                <w:rFonts w:ascii="Times New Roman" w:hAnsi="Times New Roman"/>
                <w:sz w:val="22"/>
                <w:lang w:val="en-GB" w:eastAsia="zh-CN"/>
              </w:rPr>
            </w:pPr>
            <w:r>
              <w:rPr>
                <w:rFonts w:ascii="Times New Roman" w:hAnsi="Times New Roman"/>
                <w:sz w:val="22"/>
                <w:lang w:val="en-GB" w:eastAsia="zh-CN"/>
              </w:rPr>
              <w:t>4,089</w:t>
            </w:r>
          </w:p>
        </w:tc>
      </w:tr>
    </w:tbl>
    <w:p w:rsidR="00000000" w:rsidRDefault="00000000">
      <w:pPr>
        <w:rPr>
          <w:rFonts w:hint="eastAsia"/>
        </w:rPr>
      </w:pPr>
    </w:p>
    <w:p w:rsidR="00000000" w:rsidRDefault="00000000">
      <w:pPr>
        <w:rPr>
          <w:rFonts w:hint="eastAsia"/>
        </w:rPr>
      </w:pPr>
      <w:r>
        <w:rPr>
          <w:rFonts w:hint="eastAsia"/>
        </w:rPr>
        <w:tab/>
      </w:r>
      <w:r>
        <w:rPr>
          <w:rFonts w:hint="eastAsia"/>
          <w:vertAlign w:val="superscript"/>
        </w:rPr>
        <w:t>1</w:t>
      </w:r>
      <w:r>
        <w:rPr>
          <w:rFonts w:hint="eastAsia"/>
        </w:rPr>
        <w:t xml:space="preserve">  </w:t>
      </w:r>
      <w:r>
        <w:rPr>
          <w:rFonts w:eastAsia="KaiTi_GB2312" w:hint="eastAsia"/>
          <w:spacing w:val="0"/>
        </w:rPr>
        <w:t>独立式住宅、部分拥有的公寓以及新的私人拥有的公寓</w:t>
      </w:r>
      <w:r>
        <w:rPr>
          <w:rFonts w:hint="eastAsia"/>
        </w:rPr>
        <w:t>。</w:t>
      </w:r>
    </w:p>
    <w:p w:rsidR="00000000" w:rsidRDefault="00000000">
      <w:pPr>
        <w:rPr>
          <w:rFonts w:hint="eastAsia"/>
        </w:rPr>
      </w:pPr>
    </w:p>
    <w:p w:rsidR="00000000" w:rsidRDefault="00000000">
      <w:pPr>
        <w:widowControl w:val="0"/>
        <w:spacing w:after="320"/>
        <w:rPr>
          <w:rFonts w:hint="eastAsia"/>
        </w:rPr>
      </w:pPr>
      <w:r>
        <w:rPr>
          <w:rFonts w:hint="eastAsia"/>
        </w:rPr>
        <w:tab/>
        <w:t>50</w:t>
      </w:r>
      <w:r>
        <w:t>6</w:t>
      </w:r>
      <w:r>
        <w:rPr>
          <w:rFonts w:hint="eastAsia"/>
        </w:rPr>
        <w:t>.  2005</w:t>
      </w:r>
      <w:r>
        <w:rPr>
          <w:rFonts w:hint="eastAsia"/>
        </w:rPr>
        <w:t>年</w:t>
      </w:r>
      <w:r>
        <w:rPr>
          <w:rFonts w:hint="eastAsia"/>
        </w:rPr>
        <w:t>1</w:t>
      </w:r>
      <w:r>
        <w:rPr>
          <w:rFonts w:hint="eastAsia"/>
        </w:rPr>
        <w:t>月，实施了一种新的为具有特殊需要的群体建造、购买以及翻新公寓发放国家补助的制度。这些群体包括：无家可归者、残疾人、难民、有精神缺陷者、滥用麻醉药品者、需要特别支助的年轻人以及有残疾的老年人。补助的金额取决于有关公寓所需的特殊设施，补助幅度为可以接受的投资金额的</w:t>
      </w:r>
      <w:r>
        <w:rPr>
          <w:rFonts w:hint="eastAsia"/>
        </w:rPr>
        <w:t>5%</w:t>
      </w:r>
      <w:r>
        <w:rPr>
          <w:rFonts w:hint="eastAsia"/>
        </w:rPr>
        <w:t>、</w:t>
      </w:r>
      <w:r>
        <w:rPr>
          <w:rFonts w:hint="eastAsia"/>
        </w:rPr>
        <w:t>20%</w:t>
      </w:r>
      <w:r>
        <w:rPr>
          <w:rFonts w:hint="eastAsia"/>
        </w:rPr>
        <w:t>或者</w:t>
      </w:r>
      <w:r>
        <w:rPr>
          <w:rFonts w:hint="eastAsia"/>
        </w:rPr>
        <w:t>35%</w:t>
      </w:r>
      <w:r>
        <w:rPr>
          <w:rFonts w:hint="eastAsia"/>
        </w:rPr>
        <w:t>。所发放的补助并不列入低息贷款。</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hint="eastAsia"/>
          <w:b/>
          <w:sz w:val="22"/>
          <w:u w:val="none"/>
        </w:rPr>
        <w:t>27</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sz w:val="22"/>
          <w:u w:val="none"/>
        </w:rPr>
        <w:t>国家住房贷款；补助</w:t>
      </w:r>
      <w:r>
        <w:rPr>
          <w:rFonts w:ascii="Time New Roman" w:eastAsia="SimHei" w:hAnsi="Time New Roman" w:hint="eastAsia"/>
          <w:sz w:val="22"/>
          <w:u w:val="none"/>
        </w:rPr>
        <w:t>(</w:t>
      </w:r>
      <w:r>
        <w:rPr>
          <w:rFonts w:ascii="Time New Roman" w:eastAsia="SimHei" w:hAnsi="Time New Roman" w:hint="eastAsia"/>
          <w:sz w:val="22"/>
          <w:u w:val="none"/>
        </w:rPr>
        <w:t>百万欧元</w:t>
      </w:r>
      <w:r>
        <w:rPr>
          <w:rFonts w:ascii="Time New Roman" w:eastAsia="SimHei" w:hAnsi="Time New Roman" w:hint="eastAsia"/>
          <w:sz w:val="22"/>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44"/>
        <w:gridCol w:w="1101"/>
        <w:gridCol w:w="1101"/>
        <w:gridCol w:w="1101"/>
        <w:gridCol w:w="1101"/>
        <w:gridCol w:w="1238"/>
        <w:gridCol w:w="1124"/>
      </w:tblGrid>
      <w:tr w:rsidR="00000000">
        <w:tblPrEx>
          <w:tblCellMar>
            <w:top w:w="0" w:type="dxa"/>
            <w:bottom w:w="0" w:type="dxa"/>
          </w:tblCellMar>
        </w:tblPrEx>
        <w:tc>
          <w:tcPr>
            <w:tcW w:w="1405" w:type="pct"/>
          </w:tcPr>
          <w:p w:rsidR="00000000" w:rsidRDefault="00000000">
            <w:pPr>
              <w:spacing w:before="80" w:after="40" w:line="240" w:lineRule="auto"/>
              <w:rPr>
                <w:rFonts w:hint="eastAsia"/>
                <w:sz w:val="20"/>
              </w:rPr>
            </w:pPr>
          </w:p>
        </w:tc>
        <w:tc>
          <w:tcPr>
            <w:tcW w:w="585" w:type="pct"/>
          </w:tcPr>
          <w:p w:rsidR="00000000" w:rsidRDefault="00000000">
            <w:pPr>
              <w:spacing w:before="80" w:after="40" w:line="240" w:lineRule="auto"/>
              <w:jc w:val="center"/>
              <w:rPr>
                <w:sz w:val="20"/>
              </w:rPr>
            </w:pPr>
            <w:r>
              <w:rPr>
                <w:sz w:val="20"/>
              </w:rPr>
              <w:t>1999</w:t>
            </w:r>
          </w:p>
        </w:tc>
        <w:tc>
          <w:tcPr>
            <w:tcW w:w="585" w:type="pct"/>
          </w:tcPr>
          <w:p w:rsidR="00000000" w:rsidRDefault="00000000">
            <w:pPr>
              <w:spacing w:before="80" w:after="40" w:line="240" w:lineRule="auto"/>
              <w:jc w:val="center"/>
              <w:rPr>
                <w:sz w:val="20"/>
              </w:rPr>
            </w:pPr>
            <w:r>
              <w:rPr>
                <w:sz w:val="20"/>
              </w:rPr>
              <w:t>2000</w:t>
            </w:r>
          </w:p>
        </w:tc>
        <w:tc>
          <w:tcPr>
            <w:tcW w:w="585" w:type="pct"/>
          </w:tcPr>
          <w:p w:rsidR="00000000" w:rsidRDefault="00000000">
            <w:pPr>
              <w:spacing w:before="80" w:after="40" w:line="240" w:lineRule="auto"/>
              <w:jc w:val="center"/>
              <w:rPr>
                <w:sz w:val="20"/>
              </w:rPr>
            </w:pPr>
            <w:r>
              <w:rPr>
                <w:sz w:val="20"/>
              </w:rPr>
              <w:t>2001</w:t>
            </w:r>
          </w:p>
        </w:tc>
        <w:tc>
          <w:tcPr>
            <w:tcW w:w="585" w:type="pct"/>
          </w:tcPr>
          <w:p w:rsidR="00000000" w:rsidRDefault="00000000">
            <w:pPr>
              <w:spacing w:before="80" w:after="40" w:line="240" w:lineRule="auto"/>
              <w:jc w:val="center"/>
              <w:rPr>
                <w:sz w:val="20"/>
              </w:rPr>
            </w:pPr>
            <w:r>
              <w:rPr>
                <w:sz w:val="20"/>
              </w:rPr>
              <w:t>2002</w:t>
            </w:r>
          </w:p>
        </w:tc>
        <w:tc>
          <w:tcPr>
            <w:tcW w:w="658" w:type="pct"/>
          </w:tcPr>
          <w:p w:rsidR="00000000" w:rsidRDefault="00000000">
            <w:pPr>
              <w:spacing w:before="80" w:after="40" w:line="240" w:lineRule="auto"/>
              <w:jc w:val="center"/>
              <w:rPr>
                <w:sz w:val="20"/>
              </w:rPr>
            </w:pPr>
            <w:r>
              <w:rPr>
                <w:sz w:val="20"/>
              </w:rPr>
              <w:t>2003</w:t>
            </w:r>
          </w:p>
        </w:tc>
        <w:tc>
          <w:tcPr>
            <w:tcW w:w="597" w:type="pct"/>
          </w:tcPr>
          <w:p w:rsidR="00000000" w:rsidRDefault="00000000">
            <w:pPr>
              <w:spacing w:before="80" w:after="40" w:line="240" w:lineRule="auto"/>
              <w:jc w:val="center"/>
              <w:rPr>
                <w:sz w:val="20"/>
              </w:rPr>
            </w:pPr>
            <w:r>
              <w:rPr>
                <w:sz w:val="20"/>
              </w:rPr>
              <w:t>2004</w:t>
            </w:r>
          </w:p>
        </w:tc>
      </w:tr>
      <w:tr w:rsidR="00000000">
        <w:tblPrEx>
          <w:tblCellMar>
            <w:top w:w="0" w:type="dxa"/>
            <w:bottom w:w="0" w:type="dxa"/>
          </w:tblCellMar>
        </w:tblPrEx>
        <w:tc>
          <w:tcPr>
            <w:tcW w:w="1405" w:type="pct"/>
            <w:tcBorders>
              <w:bottom w:val="nil"/>
            </w:tcBorders>
          </w:tcPr>
          <w:p w:rsidR="00000000" w:rsidRDefault="00000000">
            <w:pPr>
              <w:spacing w:before="120" w:line="240" w:lineRule="auto"/>
              <w:ind w:left="57"/>
              <w:rPr>
                <w:rFonts w:hint="eastAsia"/>
                <w:sz w:val="20"/>
              </w:rPr>
            </w:pPr>
            <w:r>
              <w:rPr>
                <w:rFonts w:hint="eastAsia"/>
                <w:sz w:val="20"/>
              </w:rPr>
              <w:t>一般性住房补贴</w:t>
            </w:r>
          </w:p>
        </w:tc>
        <w:tc>
          <w:tcPr>
            <w:tcW w:w="585" w:type="pct"/>
            <w:tcBorders>
              <w:bottom w:val="nil"/>
            </w:tcBorders>
          </w:tcPr>
          <w:p w:rsidR="00000000" w:rsidRDefault="00000000">
            <w:pPr>
              <w:spacing w:before="120" w:line="240" w:lineRule="auto"/>
              <w:ind w:right="340"/>
              <w:jc w:val="right"/>
              <w:rPr>
                <w:sz w:val="20"/>
              </w:rPr>
            </w:pPr>
            <w:r>
              <w:rPr>
                <w:sz w:val="20"/>
              </w:rPr>
              <w:t>483</w:t>
            </w:r>
          </w:p>
        </w:tc>
        <w:tc>
          <w:tcPr>
            <w:tcW w:w="585" w:type="pct"/>
            <w:tcBorders>
              <w:bottom w:val="nil"/>
            </w:tcBorders>
          </w:tcPr>
          <w:p w:rsidR="00000000" w:rsidRDefault="00000000">
            <w:pPr>
              <w:spacing w:before="120" w:line="240" w:lineRule="auto"/>
              <w:ind w:right="340"/>
              <w:jc w:val="right"/>
              <w:rPr>
                <w:sz w:val="20"/>
              </w:rPr>
            </w:pPr>
            <w:r>
              <w:rPr>
                <w:sz w:val="20"/>
              </w:rPr>
              <w:t>454</w:t>
            </w:r>
          </w:p>
        </w:tc>
        <w:tc>
          <w:tcPr>
            <w:tcW w:w="585" w:type="pct"/>
            <w:tcBorders>
              <w:bottom w:val="nil"/>
            </w:tcBorders>
          </w:tcPr>
          <w:p w:rsidR="00000000" w:rsidRDefault="00000000">
            <w:pPr>
              <w:spacing w:before="120" w:line="240" w:lineRule="auto"/>
              <w:ind w:right="340"/>
              <w:jc w:val="right"/>
              <w:rPr>
                <w:sz w:val="20"/>
              </w:rPr>
            </w:pPr>
            <w:r>
              <w:rPr>
                <w:sz w:val="20"/>
              </w:rPr>
              <w:t>407</w:t>
            </w:r>
          </w:p>
        </w:tc>
        <w:tc>
          <w:tcPr>
            <w:tcW w:w="585" w:type="pct"/>
            <w:tcBorders>
              <w:bottom w:val="nil"/>
            </w:tcBorders>
          </w:tcPr>
          <w:p w:rsidR="00000000" w:rsidRDefault="00000000">
            <w:pPr>
              <w:spacing w:before="120" w:line="240" w:lineRule="auto"/>
              <w:ind w:right="340"/>
              <w:jc w:val="right"/>
              <w:rPr>
                <w:sz w:val="20"/>
              </w:rPr>
            </w:pPr>
            <w:r>
              <w:rPr>
                <w:sz w:val="20"/>
              </w:rPr>
              <w:t>413</w:t>
            </w:r>
          </w:p>
        </w:tc>
        <w:tc>
          <w:tcPr>
            <w:tcW w:w="658" w:type="pct"/>
            <w:tcBorders>
              <w:bottom w:val="nil"/>
            </w:tcBorders>
          </w:tcPr>
          <w:p w:rsidR="00000000" w:rsidRDefault="00000000">
            <w:pPr>
              <w:spacing w:before="120" w:line="240" w:lineRule="auto"/>
              <w:ind w:right="340"/>
              <w:jc w:val="right"/>
              <w:rPr>
                <w:sz w:val="20"/>
              </w:rPr>
            </w:pPr>
            <w:r>
              <w:rPr>
                <w:sz w:val="20"/>
              </w:rPr>
              <w:t>430</w:t>
            </w:r>
          </w:p>
        </w:tc>
        <w:tc>
          <w:tcPr>
            <w:tcW w:w="597" w:type="pct"/>
            <w:tcBorders>
              <w:bottom w:val="nil"/>
            </w:tcBorders>
          </w:tcPr>
          <w:p w:rsidR="00000000" w:rsidRDefault="00000000">
            <w:pPr>
              <w:spacing w:before="120" w:line="240" w:lineRule="auto"/>
              <w:ind w:right="340"/>
              <w:jc w:val="right"/>
              <w:rPr>
                <w:sz w:val="20"/>
              </w:rPr>
            </w:pPr>
            <w:r>
              <w:rPr>
                <w:sz w:val="20"/>
              </w:rPr>
              <w:t>436</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领取养老金者的住房补贴</w:t>
            </w:r>
          </w:p>
        </w:tc>
        <w:tc>
          <w:tcPr>
            <w:tcW w:w="585" w:type="pct"/>
            <w:tcBorders>
              <w:top w:val="nil"/>
              <w:bottom w:val="nil"/>
            </w:tcBorders>
          </w:tcPr>
          <w:p w:rsidR="00000000" w:rsidRDefault="00000000">
            <w:pPr>
              <w:spacing w:before="40" w:line="240" w:lineRule="auto"/>
              <w:ind w:right="340"/>
              <w:jc w:val="right"/>
              <w:rPr>
                <w:sz w:val="20"/>
              </w:rPr>
            </w:pPr>
            <w:r>
              <w:rPr>
                <w:sz w:val="20"/>
              </w:rPr>
              <w:t>219</w:t>
            </w:r>
          </w:p>
        </w:tc>
        <w:tc>
          <w:tcPr>
            <w:tcW w:w="585" w:type="pct"/>
            <w:tcBorders>
              <w:top w:val="nil"/>
              <w:bottom w:val="nil"/>
            </w:tcBorders>
          </w:tcPr>
          <w:p w:rsidR="00000000" w:rsidRDefault="00000000">
            <w:pPr>
              <w:spacing w:before="40" w:line="240" w:lineRule="auto"/>
              <w:ind w:right="340"/>
              <w:jc w:val="right"/>
              <w:rPr>
                <w:sz w:val="20"/>
              </w:rPr>
            </w:pPr>
            <w:r>
              <w:rPr>
                <w:sz w:val="20"/>
              </w:rPr>
              <w:t>230</w:t>
            </w:r>
          </w:p>
        </w:tc>
        <w:tc>
          <w:tcPr>
            <w:tcW w:w="585" w:type="pct"/>
            <w:tcBorders>
              <w:top w:val="nil"/>
              <w:bottom w:val="nil"/>
            </w:tcBorders>
          </w:tcPr>
          <w:p w:rsidR="00000000" w:rsidRDefault="00000000">
            <w:pPr>
              <w:spacing w:before="40" w:line="240" w:lineRule="auto"/>
              <w:ind w:right="340"/>
              <w:jc w:val="right"/>
              <w:rPr>
                <w:sz w:val="20"/>
              </w:rPr>
            </w:pPr>
            <w:r>
              <w:rPr>
                <w:sz w:val="20"/>
              </w:rPr>
              <w:t>246</w:t>
            </w:r>
          </w:p>
        </w:tc>
        <w:tc>
          <w:tcPr>
            <w:tcW w:w="585" w:type="pct"/>
            <w:tcBorders>
              <w:top w:val="nil"/>
              <w:bottom w:val="nil"/>
            </w:tcBorders>
          </w:tcPr>
          <w:p w:rsidR="00000000" w:rsidRDefault="00000000">
            <w:pPr>
              <w:spacing w:before="40" w:line="240" w:lineRule="auto"/>
              <w:ind w:right="340"/>
              <w:jc w:val="right"/>
              <w:rPr>
                <w:sz w:val="20"/>
              </w:rPr>
            </w:pPr>
            <w:r>
              <w:rPr>
                <w:sz w:val="20"/>
              </w:rPr>
              <w:t>259</w:t>
            </w:r>
          </w:p>
        </w:tc>
        <w:tc>
          <w:tcPr>
            <w:tcW w:w="658" w:type="pct"/>
            <w:tcBorders>
              <w:top w:val="nil"/>
              <w:bottom w:val="nil"/>
            </w:tcBorders>
          </w:tcPr>
          <w:p w:rsidR="00000000" w:rsidRDefault="00000000">
            <w:pPr>
              <w:spacing w:before="40" w:line="240" w:lineRule="auto"/>
              <w:ind w:right="340"/>
              <w:jc w:val="right"/>
              <w:rPr>
                <w:sz w:val="20"/>
              </w:rPr>
            </w:pPr>
            <w:r>
              <w:rPr>
                <w:sz w:val="20"/>
              </w:rPr>
              <w:t>270</w:t>
            </w:r>
          </w:p>
        </w:tc>
        <w:tc>
          <w:tcPr>
            <w:tcW w:w="597" w:type="pct"/>
            <w:tcBorders>
              <w:top w:val="nil"/>
              <w:bottom w:val="nil"/>
            </w:tcBorders>
          </w:tcPr>
          <w:p w:rsidR="00000000" w:rsidRDefault="00000000">
            <w:pPr>
              <w:spacing w:before="40" w:line="240" w:lineRule="auto"/>
              <w:ind w:right="340"/>
              <w:jc w:val="right"/>
              <w:rPr>
                <w:sz w:val="20"/>
              </w:rPr>
            </w:pPr>
            <w:r>
              <w:rPr>
                <w:sz w:val="20"/>
              </w:rPr>
              <w:t>283</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学生住房补贴</w:t>
            </w:r>
          </w:p>
        </w:tc>
        <w:tc>
          <w:tcPr>
            <w:tcW w:w="585" w:type="pct"/>
            <w:tcBorders>
              <w:top w:val="nil"/>
              <w:bottom w:val="nil"/>
            </w:tcBorders>
          </w:tcPr>
          <w:p w:rsidR="00000000" w:rsidRDefault="00000000">
            <w:pPr>
              <w:spacing w:before="40" w:line="240" w:lineRule="auto"/>
              <w:ind w:right="340"/>
              <w:jc w:val="right"/>
              <w:rPr>
                <w:sz w:val="20"/>
              </w:rPr>
            </w:pPr>
            <w:r>
              <w:rPr>
                <w:sz w:val="20"/>
              </w:rPr>
              <w:t>101</w:t>
            </w:r>
          </w:p>
        </w:tc>
        <w:tc>
          <w:tcPr>
            <w:tcW w:w="585" w:type="pct"/>
            <w:tcBorders>
              <w:top w:val="nil"/>
              <w:bottom w:val="nil"/>
            </w:tcBorders>
          </w:tcPr>
          <w:p w:rsidR="00000000" w:rsidRDefault="00000000">
            <w:pPr>
              <w:spacing w:before="40" w:line="240" w:lineRule="auto"/>
              <w:ind w:right="340"/>
              <w:jc w:val="right"/>
              <w:rPr>
                <w:sz w:val="20"/>
              </w:rPr>
            </w:pPr>
            <w:r>
              <w:rPr>
                <w:sz w:val="20"/>
              </w:rPr>
              <w:t>147</w:t>
            </w:r>
          </w:p>
        </w:tc>
        <w:tc>
          <w:tcPr>
            <w:tcW w:w="585" w:type="pct"/>
            <w:tcBorders>
              <w:top w:val="nil"/>
              <w:bottom w:val="nil"/>
            </w:tcBorders>
          </w:tcPr>
          <w:p w:rsidR="00000000" w:rsidRDefault="00000000">
            <w:pPr>
              <w:spacing w:before="40" w:line="240" w:lineRule="auto"/>
              <w:ind w:right="340"/>
              <w:jc w:val="right"/>
              <w:rPr>
                <w:sz w:val="20"/>
              </w:rPr>
            </w:pPr>
            <w:r>
              <w:rPr>
                <w:sz w:val="20"/>
              </w:rPr>
              <w:t>209</w:t>
            </w:r>
          </w:p>
        </w:tc>
        <w:tc>
          <w:tcPr>
            <w:tcW w:w="585" w:type="pct"/>
            <w:tcBorders>
              <w:top w:val="nil"/>
              <w:bottom w:val="nil"/>
            </w:tcBorders>
          </w:tcPr>
          <w:p w:rsidR="00000000" w:rsidRDefault="00000000">
            <w:pPr>
              <w:spacing w:before="40" w:line="240" w:lineRule="auto"/>
              <w:ind w:right="340"/>
              <w:jc w:val="right"/>
              <w:rPr>
                <w:sz w:val="20"/>
              </w:rPr>
            </w:pPr>
            <w:r>
              <w:rPr>
                <w:sz w:val="20"/>
              </w:rPr>
              <w:t>220</w:t>
            </w:r>
          </w:p>
        </w:tc>
        <w:tc>
          <w:tcPr>
            <w:tcW w:w="658" w:type="pct"/>
            <w:tcBorders>
              <w:top w:val="nil"/>
              <w:bottom w:val="nil"/>
            </w:tcBorders>
          </w:tcPr>
          <w:p w:rsidR="00000000" w:rsidRDefault="00000000">
            <w:pPr>
              <w:spacing w:before="40" w:line="240" w:lineRule="auto"/>
              <w:ind w:right="340"/>
              <w:jc w:val="right"/>
              <w:rPr>
                <w:sz w:val="20"/>
              </w:rPr>
            </w:pPr>
            <w:r>
              <w:rPr>
                <w:sz w:val="20"/>
              </w:rPr>
              <w:t>225</w:t>
            </w:r>
          </w:p>
        </w:tc>
        <w:tc>
          <w:tcPr>
            <w:tcW w:w="597" w:type="pct"/>
            <w:tcBorders>
              <w:top w:val="nil"/>
              <w:bottom w:val="nil"/>
            </w:tcBorders>
          </w:tcPr>
          <w:p w:rsidR="00000000" w:rsidRDefault="00000000">
            <w:pPr>
              <w:spacing w:before="40" w:line="240" w:lineRule="auto"/>
              <w:ind w:right="340"/>
              <w:jc w:val="right"/>
              <w:rPr>
                <w:sz w:val="20"/>
              </w:rPr>
            </w:pPr>
            <w:r>
              <w:rPr>
                <w:sz w:val="20"/>
              </w:rPr>
              <w:t>228</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出租公寓以及业主自住房</w:t>
            </w:r>
            <w:r>
              <w:rPr>
                <w:sz w:val="20"/>
              </w:rPr>
              <w:br/>
              <w:t xml:space="preserve">  </w:t>
            </w:r>
            <w:r>
              <w:rPr>
                <w:rFonts w:hint="eastAsia"/>
                <w:sz w:val="20"/>
              </w:rPr>
              <w:t>屋的利息补助</w:t>
            </w:r>
          </w:p>
        </w:tc>
        <w:tc>
          <w:tcPr>
            <w:tcW w:w="585" w:type="pct"/>
            <w:tcBorders>
              <w:top w:val="nil"/>
              <w:bottom w:val="nil"/>
            </w:tcBorders>
          </w:tcPr>
          <w:p w:rsidR="00000000" w:rsidRDefault="00000000">
            <w:pPr>
              <w:spacing w:before="40" w:line="240" w:lineRule="auto"/>
              <w:ind w:right="340"/>
              <w:jc w:val="right"/>
              <w:rPr>
                <w:sz w:val="20"/>
              </w:rPr>
            </w:pPr>
            <w:r>
              <w:rPr>
                <w:sz w:val="20"/>
              </w:rPr>
              <w:t>87</w:t>
            </w:r>
          </w:p>
        </w:tc>
        <w:tc>
          <w:tcPr>
            <w:tcW w:w="585" w:type="pct"/>
            <w:tcBorders>
              <w:top w:val="nil"/>
              <w:bottom w:val="nil"/>
            </w:tcBorders>
          </w:tcPr>
          <w:p w:rsidR="00000000" w:rsidRDefault="00000000">
            <w:pPr>
              <w:spacing w:before="40" w:line="240" w:lineRule="auto"/>
              <w:ind w:right="340"/>
              <w:jc w:val="right"/>
              <w:rPr>
                <w:sz w:val="20"/>
              </w:rPr>
            </w:pPr>
            <w:r>
              <w:rPr>
                <w:sz w:val="20"/>
              </w:rPr>
              <w:t>97</w:t>
            </w:r>
          </w:p>
        </w:tc>
        <w:tc>
          <w:tcPr>
            <w:tcW w:w="585" w:type="pct"/>
            <w:tcBorders>
              <w:top w:val="nil"/>
              <w:bottom w:val="nil"/>
            </w:tcBorders>
          </w:tcPr>
          <w:p w:rsidR="00000000" w:rsidRDefault="00000000">
            <w:pPr>
              <w:spacing w:before="40" w:line="240" w:lineRule="auto"/>
              <w:ind w:right="340"/>
              <w:jc w:val="right"/>
              <w:rPr>
                <w:sz w:val="20"/>
              </w:rPr>
            </w:pPr>
            <w:r>
              <w:rPr>
                <w:sz w:val="20"/>
              </w:rPr>
              <w:t>109</w:t>
            </w:r>
          </w:p>
        </w:tc>
        <w:tc>
          <w:tcPr>
            <w:tcW w:w="585" w:type="pct"/>
            <w:tcBorders>
              <w:top w:val="nil"/>
              <w:bottom w:val="nil"/>
            </w:tcBorders>
          </w:tcPr>
          <w:p w:rsidR="00000000" w:rsidRDefault="00000000">
            <w:pPr>
              <w:spacing w:before="40" w:line="240" w:lineRule="auto"/>
              <w:ind w:right="340"/>
              <w:jc w:val="right"/>
              <w:rPr>
                <w:sz w:val="20"/>
              </w:rPr>
            </w:pPr>
            <w:r>
              <w:rPr>
                <w:sz w:val="20"/>
              </w:rPr>
              <w:t>90</w:t>
            </w:r>
          </w:p>
        </w:tc>
        <w:tc>
          <w:tcPr>
            <w:tcW w:w="658" w:type="pct"/>
            <w:tcBorders>
              <w:top w:val="nil"/>
              <w:bottom w:val="nil"/>
            </w:tcBorders>
          </w:tcPr>
          <w:p w:rsidR="00000000" w:rsidRDefault="00000000">
            <w:pPr>
              <w:spacing w:before="40" w:line="240" w:lineRule="auto"/>
              <w:ind w:right="340"/>
              <w:jc w:val="right"/>
              <w:rPr>
                <w:sz w:val="20"/>
              </w:rPr>
            </w:pPr>
            <w:r>
              <w:rPr>
                <w:sz w:val="20"/>
              </w:rPr>
              <w:t>73</w:t>
            </w:r>
          </w:p>
        </w:tc>
        <w:tc>
          <w:tcPr>
            <w:tcW w:w="597" w:type="pct"/>
            <w:tcBorders>
              <w:top w:val="nil"/>
              <w:bottom w:val="nil"/>
            </w:tcBorders>
          </w:tcPr>
          <w:p w:rsidR="00000000" w:rsidRDefault="00000000">
            <w:pPr>
              <w:spacing w:before="40" w:line="240" w:lineRule="auto"/>
              <w:ind w:right="340"/>
              <w:jc w:val="right"/>
              <w:rPr>
                <w:sz w:val="20"/>
              </w:rPr>
            </w:pPr>
            <w:r>
              <w:rPr>
                <w:sz w:val="20"/>
              </w:rPr>
              <w:t>47</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国家住房贷款的补助</w:t>
            </w:r>
          </w:p>
        </w:tc>
        <w:tc>
          <w:tcPr>
            <w:tcW w:w="585" w:type="pct"/>
            <w:tcBorders>
              <w:top w:val="nil"/>
              <w:bottom w:val="nil"/>
            </w:tcBorders>
          </w:tcPr>
          <w:p w:rsidR="00000000" w:rsidRDefault="00000000">
            <w:pPr>
              <w:spacing w:before="40" w:line="240" w:lineRule="auto"/>
              <w:ind w:right="340"/>
              <w:jc w:val="right"/>
              <w:rPr>
                <w:sz w:val="20"/>
              </w:rPr>
            </w:pPr>
            <w:r>
              <w:rPr>
                <w:sz w:val="20"/>
              </w:rPr>
              <w:t>207</w:t>
            </w:r>
          </w:p>
        </w:tc>
        <w:tc>
          <w:tcPr>
            <w:tcW w:w="585" w:type="pct"/>
            <w:tcBorders>
              <w:top w:val="nil"/>
              <w:bottom w:val="nil"/>
            </w:tcBorders>
          </w:tcPr>
          <w:p w:rsidR="00000000" w:rsidRDefault="00000000">
            <w:pPr>
              <w:spacing w:before="40" w:line="240" w:lineRule="auto"/>
              <w:ind w:right="340"/>
              <w:jc w:val="right"/>
              <w:rPr>
                <w:sz w:val="20"/>
              </w:rPr>
            </w:pPr>
            <w:r>
              <w:rPr>
                <w:sz w:val="20"/>
              </w:rPr>
              <w:t>210</w:t>
            </w:r>
          </w:p>
        </w:tc>
        <w:tc>
          <w:tcPr>
            <w:tcW w:w="585" w:type="pct"/>
            <w:tcBorders>
              <w:top w:val="nil"/>
              <w:bottom w:val="nil"/>
            </w:tcBorders>
          </w:tcPr>
          <w:p w:rsidR="00000000" w:rsidRDefault="00000000">
            <w:pPr>
              <w:spacing w:before="40" w:line="240" w:lineRule="auto"/>
              <w:ind w:right="340"/>
              <w:jc w:val="right"/>
              <w:rPr>
                <w:sz w:val="20"/>
              </w:rPr>
            </w:pPr>
            <w:r>
              <w:rPr>
                <w:sz w:val="20"/>
              </w:rPr>
              <w:t>123</w:t>
            </w:r>
          </w:p>
        </w:tc>
        <w:tc>
          <w:tcPr>
            <w:tcW w:w="585" w:type="pct"/>
            <w:tcBorders>
              <w:top w:val="nil"/>
              <w:bottom w:val="nil"/>
            </w:tcBorders>
          </w:tcPr>
          <w:p w:rsidR="00000000" w:rsidRDefault="00000000">
            <w:pPr>
              <w:spacing w:before="40" w:line="240" w:lineRule="auto"/>
              <w:ind w:right="340"/>
              <w:jc w:val="right"/>
              <w:rPr>
                <w:sz w:val="20"/>
              </w:rPr>
            </w:pPr>
            <w:r>
              <w:rPr>
                <w:sz w:val="20"/>
              </w:rPr>
              <w:t>31</w:t>
            </w:r>
          </w:p>
        </w:tc>
        <w:tc>
          <w:tcPr>
            <w:tcW w:w="658" w:type="pct"/>
            <w:tcBorders>
              <w:top w:val="nil"/>
              <w:bottom w:val="nil"/>
            </w:tcBorders>
          </w:tcPr>
          <w:p w:rsidR="00000000" w:rsidRDefault="00000000">
            <w:pPr>
              <w:spacing w:before="40" w:line="240" w:lineRule="auto"/>
              <w:ind w:right="340"/>
              <w:jc w:val="right"/>
              <w:rPr>
                <w:sz w:val="20"/>
              </w:rPr>
            </w:pPr>
            <w:r>
              <w:rPr>
                <w:sz w:val="20"/>
              </w:rPr>
              <w:t>0</w:t>
            </w:r>
          </w:p>
        </w:tc>
        <w:tc>
          <w:tcPr>
            <w:tcW w:w="597" w:type="pct"/>
            <w:tcBorders>
              <w:top w:val="nil"/>
              <w:bottom w:val="nil"/>
            </w:tcBorders>
          </w:tcPr>
          <w:p w:rsidR="00000000" w:rsidRDefault="00000000">
            <w:pPr>
              <w:spacing w:before="40" w:line="240" w:lineRule="auto"/>
              <w:ind w:right="340"/>
              <w:jc w:val="right"/>
              <w:rPr>
                <w:sz w:val="20"/>
              </w:rPr>
            </w:pPr>
            <w:r>
              <w:rPr>
                <w:sz w:val="20"/>
              </w:rPr>
              <w:t>18</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房屋修缮补贴</w:t>
            </w:r>
          </w:p>
        </w:tc>
        <w:tc>
          <w:tcPr>
            <w:tcW w:w="585" w:type="pct"/>
            <w:tcBorders>
              <w:top w:val="nil"/>
              <w:bottom w:val="nil"/>
            </w:tcBorders>
          </w:tcPr>
          <w:p w:rsidR="00000000" w:rsidRDefault="00000000">
            <w:pPr>
              <w:spacing w:before="40" w:line="240" w:lineRule="auto"/>
              <w:ind w:right="340"/>
              <w:jc w:val="right"/>
              <w:rPr>
                <w:sz w:val="20"/>
              </w:rPr>
            </w:pPr>
            <w:r>
              <w:rPr>
                <w:sz w:val="20"/>
              </w:rPr>
              <w:t>40</w:t>
            </w:r>
          </w:p>
        </w:tc>
        <w:tc>
          <w:tcPr>
            <w:tcW w:w="585" w:type="pct"/>
            <w:tcBorders>
              <w:top w:val="nil"/>
              <w:bottom w:val="nil"/>
            </w:tcBorders>
          </w:tcPr>
          <w:p w:rsidR="00000000" w:rsidRDefault="00000000">
            <w:pPr>
              <w:spacing w:before="40" w:line="240" w:lineRule="auto"/>
              <w:ind w:right="340"/>
              <w:jc w:val="right"/>
              <w:rPr>
                <w:sz w:val="20"/>
              </w:rPr>
            </w:pPr>
            <w:r>
              <w:rPr>
                <w:sz w:val="20"/>
              </w:rPr>
              <w:t>28</w:t>
            </w:r>
          </w:p>
        </w:tc>
        <w:tc>
          <w:tcPr>
            <w:tcW w:w="585" w:type="pct"/>
            <w:tcBorders>
              <w:top w:val="nil"/>
              <w:bottom w:val="nil"/>
            </w:tcBorders>
          </w:tcPr>
          <w:p w:rsidR="00000000" w:rsidRDefault="00000000">
            <w:pPr>
              <w:spacing w:before="40" w:line="240" w:lineRule="auto"/>
              <w:ind w:right="340"/>
              <w:jc w:val="right"/>
              <w:rPr>
                <w:sz w:val="20"/>
              </w:rPr>
            </w:pPr>
            <w:r>
              <w:rPr>
                <w:sz w:val="20"/>
              </w:rPr>
              <w:t>31</w:t>
            </w:r>
          </w:p>
        </w:tc>
        <w:tc>
          <w:tcPr>
            <w:tcW w:w="585" w:type="pct"/>
            <w:tcBorders>
              <w:top w:val="nil"/>
              <w:bottom w:val="nil"/>
            </w:tcBorders>
          </w:tcPr>
          <w:p w:rsidR="00000000" w:rsidRDefault="00000000">
            <w:pPr>
              <w:spacing w:before="40" w:line="240" w:lineRule="auto"/>
              <w:ind w:right="340"/>
              <w:jc w:val="right"/>
              <w:rPr>
                <w:sz w:val="20"/>
              </w:rPr>
            </w:pPr>
            <w:r>
              <w:rPr>
                <w:sz w:val="20"/>
              </w:rPr>
              <w:t>31</w:t>
            </w:r>
          </w:p>
        </w:tc>
        <w:tc>
          <w:tcPr>
            <w:tcW w:w="658" w:type="pct"/>
            <w:tcBorders>
              <w:top w:val="nil"/>
              <w:bottom w:val="nil"/>
            </w:tcBorders>
          </w:tcPr>
          <w:p w:rsidR="00000000" w:rsidRDefault="00000000">
            <w:pPr>
              <w:spacing w:before="40" w:line="240" w:lineRule="auto"/>
              <w:ind w:right="340"/>
              <w:jc w:val="right"/>
              <w:rPr>
                <w:sz w:val="20"/>
              </w:rPr>
            </w:pPr>
            <w:r>
              <w:rPr>
                <w:sz w:val="20"/>
              </w:rPr>
              <w:t>33</w:t>
            </w:r>
          </w:p>
        </w:tc>
        <w:tc>
          <w:tcPr>
            <w:tcW w:w="597" w:type="pct"/>
            <w:tcBorders>
              <w:top w:val="nil"/>
              <w:bottom w:val="nil"/>
            </w:tcBorders>
          </w:tcPr>
          <w:p w:rsidR="00000000" w:rsidRDefault="00000000">
            <w:pPr>
              <w:spacing w:before="40" w:line="240" w:lineRule="auto"/>
              <w:ind w:right="340"/>
              <w:jc w:val="right"/>
              <w:rPr>
                <w:sz w:val="20"/>
              </w:rPr>
            </w:pPr>
            <w:r>
              <w:rPr>
                <w:sz w:val="20"/>
              </w:rPr>
              <w:t>37</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能源设施修理补贴</w:t>
            </w:r>
          </w:p>
        </w:tc>
        <w:tc>
          <w:tcPr>
            <w:tcW w:w="585" w:type="pct"/>
            <w:tcBorders>
              <w:top w:val="nil"/>
              <w:bottom w:val="nil"/>
            </w:tcBorders>
          </w:tcPr>
          <w:p w:rsidR="00000000" w:rsidRDefault="00000000">
            <w:pPr>
              <w:spacing w:before="40" w:line="240" w:lineRule="auto"/>
              <w:ind w:right="340"/>
              <w:jc w:val="right"/>
              <w:rPr>
                <w:sz w:val="20"/>
              </w:rPr>
            </w:pPr>
            <w:r>
              <w:rPr>
                <w:sz w:val="20"/>
              </w:rPr>
              <w:t>-</w:t>
            </w:r>
          </w:p>
        </w:tc>
        <w:tc>
          <w:tcPr>
            <w:tcW w:w="585" w:type="pct"/>
            <w:tcBorders>
              <w:top w:val="nil"/>
              <w:bottom w:val="nil"/>
            </w:tcBorders>
          </w:tcPr>
          <w:p w:rsidR="00000000" w:rsidRDefault="00000000">
            <w:pPr>
              <w:spacing w:before="40" w:line="240" w:lineRule="auto"/>
              <w:ind w:right="340"/>
              <w:jc w:val="right"/>
              <w:rPr>
                <w:sz w:val="20"/>
              </w:rPr>
            </w:pPr>
            <w:r>
              <w:rPr>
                <w:sz w:val="20"/>
              </w:rPr>
              <w:t>-</w:t>
            </w:r>
          </w:p>
        </w:tc>
        <w:tc>
          <w:tcPr>
            <w:tcW w:w="585" w:type="pct"/>
            <w:tcBorders>
              <w:top w:val="nil"/>
              <w:bottom w:val="nil"/>
            </w:tcBorders>
          </w:tcPr>
          <w:p w:rsidR="00000000" w:rsidRDefault="00000000">
            <w:pPr>
              <w:spacing w:before="40" w:line="240" w:lineRule="auto"/>
              <w:ind w:right="340"/>
              <w:jc w:val="right"/>
              <w:rPr>
                <w:sz w:val="20"/>
              </w:rPr>
            </w:pPr>
            <w:r>
              <w:rPr>
                <w:sz w:val="20"/>
              </w:rPr>
              <w:t>-</w:t>
            </w:r>
          </w:p>
        </w:tc>
        <w:tc>
          <w:tcPr>
            <w:tcW w:w="585" w:type="pct"/>
            <w:tcBorders>
              <w:top w:val="nil"/>
              <w:bottom w:val="nil"/>
            </w:tcBorders>
          </w:tcPr>
          <w:p w:rsidR="00000000" w:rsidRDefault="00000000">
            <w:pPr>
              <w:spacing w:before="40" w:line="240" w:lineRule="auto"/>
              <w:ind w:right="340"/>
              <w:jc w:val="right"/>
              <w:rPr>
                <w:sz w:val="20"/>
              </w:rPr>
            </w:pPr>
            <w:r>
              <w:rPr>
                <w:sz w:val="20"/>
              </w:rPr>
              <w:t>-</w:t>
            </w:r>
          </w:p>
        </w:tc>
        <w:tc>
          <w:tcPr>
            <w:tcW w:w="658" w:type="pct"/>
            <w:tcBorders>
              <w:top w:val="nil"/>
              <w:bottom w:val="nil"/>
            </w:tcBorders>
          </w:tcPr>
          <w:p w:rsidR="00000000" w:rsidRDefault="00000000">
            <w:pPr>
              <w:spacing w:before="40" w:line="240" w:lineRule="auto"/>
              <w:ind w:right="340"/>
              <w:jc w:val="right"/>
              <w:rPr>
                <w:sz w:val="20"/>
              </w:rPr>
            </w:pPr>
            <w:r>
              <w:rPr>
                <w:sz w:val="20"/>
              </w:rPr>
              <w:t>1</w:t>
            </w:r>
          </w:p>
        </w:tc>
        <w:tc>
          <w:tcPr>
            <w:tcW w:w="597" w:type="pct"/>
            <w:tcBorders>
              <w:top w:val="nil"/>
              <w:bottom w:val="nil"/>
            </w:tcBorders>
          </w:tcPr>
          <w:p w:rsidR="00000000" w:rsidRDefault="00000000">
            <w:pPr>
              <w:spacing w:before="40" w:line="240" w:lineRule="auto"/>
              <w:ind w:right="340"/>
              <w:jc w:val="right"/>
              <w:rPr>
                <w:sz w:val="20"/>
              </w:rPr>
            </w:pPr>
            <w:r>
              <w:rPr>
                <w:sz w:val="20"/>
              </w:rPr>
              <w:t>6</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其他补贴</w:t>
            </w:r>
          </w:p>
        </w:tc>
        <w:tc>
          <w:tcPr>
            <w:tcW w:w="585" w:type="pct"/>
            <w:tcBorders>
              <w:top w:val="nil"/>
              <w:bottom w:val="nil"/>
            </w:tcBorders>
          </w:tcPr>
          <w:p w:rsidR="00000000" w:rsidRDefault="00000000">
            <w:pPr>
              <w:spacing w:before="40" w:line="240" w:lineRule="auto"/>
              <w:ind w:right="340"/>
              <w:jc w:val="right"/>
              <w:rPr>
                <w:sz w:val="20"/>
              </w:rPr>
            </w:pPr>
            <w:r>
              <w:rPr>
                <w:sz w:val="20"/>
              </w:rPr>
              <w:t>4</w:t>
            </w:r>
          </w:p>
        </w:tc>
        <w:tc>
          <w:tcPr>
            <w:tcW w:w="585" w:type="pct"/>
            <w:tcBorders>
              <w:top w:val="nil"/>
              <w:bottom w:val="nil"/>
            </w:tcBorders>
          </w:tcPr>
          <w:p w:rsidR="00000000" w:rsidRDefault="00000000">
            <w:pPr>
              <w:spacing w:before="40" w:line="240" w:lineRule="auto"/>
              <w:ind w:right="340"/>
              <w:jc w:val="right"/>
              <w:rPr>
                <w:sz w:val="20"/>
              </w:rPr>
            </w:pPr>
            <w:r>
              <w:rPr>
                <w:sz w:val="20"/>
              </w:rPr>
              <w:t>6</w:t>
            </w:r>
          </w:p>
        </w:tc>
        <w:tc>
          <w:tcPr>
            <w:tcW w:w="585" w:type="pct"/>
            <w:tcBorders>
              <w:top w:val="nil"/>
              <w:bottom w:val="nil"/>
            </w:tcBorders>
          </w:tcPr>
          <w:p w:rsidR="00000000" w:rsidRDefault="00000000">
            <w:pPr>
              <w:spacing w:before="40" w:line="240" w:lineRule="auto"/>
              <w:ind w:right="340"/>
              <w:jc w:val="right"/>
              <w:rPr>
                <w:sz w:val="20"/>
              </w:rPr>
            </w:pPr>
            <w:r>
              <w:rPr>
                <w:sz w:val="20"/>
              </w:rPr>
              <w:t>6</w:t>
            </w:r>
          </w:p>
        </w:tc>
        <w:tc>
          <w:tcPr>
            <w:tcW w:w="585" w:type="pct"/>
            <w:tcBorders>
              <w:top w:val="nil"/>
              <w:bottom w:val="nil"/>
            </w:tcBorders>
          </w:tcPr>
          <w:p w:rsidR="00000000" w:rsidRDefault="00000000">
            <w:pPr>
              <w:spacing w:before="40" w:line="240" w:lineRule="auto"/>
              <w:ind w:right="340"/>
              <w:jc w:val="right"/>
              <w:rPr>
                <w:sz w:val="20"/>
              </w:rPr>
            </w:pPr>
            <w:r>
              <w:rPr>
                <w:sz w:val="20"/>
              </w:rPr>
              <w:t>7</w:t>
            </w:r>
          </w:p>
        </w:tc>
        <w:tc>
          <w:tcPr>
            <w:tcW w:w="658" w:type="pct"/>
            <w:tcBorders>
              <w:top w:val="nil"/>
              <w:bottom w:val="nil"/>
            </w:tcBorders>
          </w:tcPr>
          <w:p w:rsidR="00000000" w:rsidRDefault="00000000">
            <w:pPr>
              <w:spacing w:before="40" w:line="240" w:lineRule="auto"/>
              <w:ind w:right="340"/>
              <w:jc w:val="right"/>
              <w:rPr>
                <w:sz w:val="20"/>
              </w:rPr>
            </w:pPr>
            <w:r>
              <w:rPr>
                <w:sz w:val="20"/>
              </w:rPr>
              <w:t>16</w:t>
            </w:r>
          </w:p>
        </w:tc>
        <w:tc>
          <w:tcPr>
            <w:tcW w:w="597" w:type="pct"/>
            <w:tcBorders>
              <w:top w:val="nil"/>
              <w:bottom w:val="nil"/>
            </w:tcBorders>
          </w:tcPr>
          <w:p w:rsidR="00000000" w:rsidRDefault="00000000">
            <w:pPr>
              <w:spacing w:before="40" w:line="240" w:lineRule="auto"/>
              <w:ind w:right="340"/>
              <w:jc w:val="right"/>
              <w:rPr>
                <w:sz w:val="20"/>
              </w:rPr>
            </w:pPr>
            <w:r>
              <w:rPr>
                <w:sz w:val="20"/>
              </w:rPr>
              <w:t>13</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RAY</w:t>
            </w:r>
            <w:r>
              <w:rPr>
                <w:rFonts w:hint="eastAsia"/>
                <w:sz w:val="20"/>
              </w:rPr>
              <w:t>扣减</w:t>
            </w:r>
          </w:p>
        </w:tc>
        <w:tc>
          <w:tcPr>
            <w:tcW w:w="585" w:type="pct"/>
            <w:tcBorders>
              <w:top w:val="nil"/>
              <w:bottom w:val="nil"/>
            </w:tcBorders>
          </w:tcPr>
          <w:p w:rsidR="00000000" w:rsidRDefault="00000000">
            <w:pPr>
              <w:spacing w:before="40" w:line="240" w:lineRule="auto"/>
              <w:ind w:right="340"/>
              <w:jc w:val="right"/>
              <w:rPr>
                <w:sz w:val="20"/>
              </w:rPr>
            </w:pPr>
            <w:r>
              <w:rPr>
                <w:sz w:val="20"/>
              </w:rPr>
              <w:t>46</w:t>
            </w:r>
          </w:p>
        </w:tc>
        <w:tc>
          <w:tcPr>
            <w:tcW w:w="585" w:type="pct"/>
            <w:tcBorders>
              <w:top w:val="nil"/>
              <w:bottom w:val="nil"/>
            </w:tcBorders>
          </w:tcPr>
          <w:p w:rsidR="00000000" w:rsidRDefault="00000000">
            <w:pPr>
              <w:spacing w:before="40" w:line="240" w:lineRule="auto"/>
              <w:ind w:right="340"/>
              <w:jc w:val="right"/>
              <w:rPr>
                <w:sz w:val="20"/>
              </w:rPr>
            </w:pPr>
            <w:r>
              <w:rPr>
                <w:sz w:val="20"/>
              </w:rPr>
              <w:t>49</w:t>
            </w:r>
          </w:p>
        </w:tc>
        <w:tc>
          <w:tcPr>
            <w:tcW w:w="585" w:type="pct"/>
            <w:tcBorders>
              <w:top w:val="nil"/>
              <w:bottom w:val="nil"/>
            </w:tcBorders>
          </w:tcPr>
          <w:p w:rsidR="00000000" w:rsidRDefault="00000000">
            <w:pPr>
              <w:spacing w:before="40" w:line="240" w:lineRule="auto"/>
              <w:ind w:right="340"/>
              <w:jc w:val="right"/>
              <w:rPr>
                <w:sz w:val="20"/>
              </w:rPr>
            </w:pPr>
            <w:r>
              <w:rPr>
                <w:sz w:val="20"/>
              </w:rPr>
              <w:t>52</w:t>
            </w:r>
          </w:p>
        </w:tc>
        <w:tc>
          <w:tcPr>
            <w:tcW w:w="585" w:type="pct"/>
            <w:tcBorders>
              <w:top w:val="nil"/>
              <w:bottom w:val="nil"/>
            </w:tcBorders>
          </w:tcPr>
          <w:p w:rsidR="00000000" w:rsidRDefault="00000000">
            <w:pPr>
              <w:spacing w:before="40" w:line="240" w:lineRule="auto"/>
              <w:ind w:right="340"/>
              <w:jc w:val="right"/>
              <w:rPr>
                <w:sz w:val="20"/>
              </w:rPr>
            </w:pPr>
            <w:r>
              <w:rPr>
                <w:sz w:val="20"/>
              </w:rPr>
              <w:t>57</w:t>
            </w:r>
          </w:p>
        </w:tc>
        <w:tc>
          <w:tcPr>
            <w:tcW w:w="658" w:type="pct"/>
            <w:tcBorders>
              <w:top w:val="nil"/>
              <w:bottom w:val="nil"/>
            </w:tcBorders>
          </w:tcPr>
          <w:p w:rsidR="00000000" w:rsidRDefault="00000000">
            <w:pPr>
              <w:spacing w:before="40" w:line="240" w:lineRule="auto"/>
              <w:ind w:right="340"/>
              <w:jc w:val="right"/>
              <w:rPr>
                <w:sz w:val="20"/>
              </w:rPr>
            </w:pPr>
            <w:r>
              <w:rPr>
                <w:sz w:val="20"/>
              </w:rPr>
              <w:t>56</w:t>
            </w:r>
          </w:p>
        </w:tc>
        <w:tc>
          <w:tcPr>
            <w:tcW w:w="597" w:type="pct"/>
            <w:tcBorders>
              <w:top w:val="nil"/>
              <w:bottom w:val="nil"/>
            </w:tcBorders>
          </w:tcPr>
          <w:p w:rsidR="00000000" w:rsidRDefault="00000000">
            <w:pPr>
              <w:spacing w:before="40" w:line="240" w:lineRule="auto"/>
              <w:ind w:right="340"/>
              <w:jc w:val="right"/>
              <w:rPr>
                <w:sz w:val="20"/>
              </w:rPr>
            </w:pPr>
            <w:r>
              <w:rPr>
                <w:sz w:val="20"/>
              </w:rPr>
              <w:t>62</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抵押贷款利息扣减</w:t>
            </w:r>
          </w:p>
        </w:tc>
        <w:tc>
          <w:tcPr>
            <w:tcW w:w="585" w:type="pct"/>
            <w:tcBorders>
              <w:top w:val="nil"/>
              <w:bottom w:val="nil"/>
            </w:tcBorders>
          </w:tcPr>
          <w:p w:rsidR="00000000" w:rsidRDefault="00000000">
            <w:pPr>
              <w:spacing w:before="40" w:line="240" w:lineRule="auto"/>
              <w:ind w:right="340"/>
              <w:jc w:val="right"/>
              <w:rPr>
                <w:sz w:val="20"/>
              </w:rPr>
            </w:pPr>
            <w:r>
              <w:rPr>
                <w:sz w:val="20"/>
              </w:rPr>
              <w:t>353</w:t>
            </w:r>
          </w:p>
        </w:tc>
        <w:tc>
          <w:tcPr>
            <w:tcW w:w="585" w:type="pct"/>
            <w:tcBorders>
              <w:top w:val="nil"/>
              <w:bottom w:val="nil"/>
            </w:tcBorders>
          </w:tcPr>
          <w:p w:rsidR="00000000" w:rsidRDefault="00000000">
            <w:pPr>
              <w:spacing w:before="40" w:line="240" w:lineRule="auto"/>
              <w:ind w:right="340"/>
              <w:jc w:val="right"/>
              <w:rPr>
                <w:sz w:val="20"/>
              </w:rPr>
            </w:pPr>
            <w:r>
              <w:rPr>
                <w:sz w:val="20"/>
              </w:rPr>
              <w:t>340</w:t>
            </w:r>
          </w:p>
        </w:tc>
        <w:tc>
          <w:tcPr>
            <w:tcW w:w="585" w:type="pct"/>
            <w:tcBorders>
              <w:top w:val="nil"/>
              <w:bottom w:val="nil"/>
            </w:tcBorders>
          </w:tcPr>
          <w:p w:rsidR="00000000" w:rsidRDefault="00000000">
            <w:pPr>
              <w:spacing w:before="40" w:line="240" w:lineRule="auto"/>
              <w:ind w:right="340"/>
              <w:jc w:val="right"/>
              <w:rPr>
                <w:sz w:val="20"/>
              </w:rPr>
            </w:pPr>
            <w:r>
              <w:rPr>
                <w:sz w:val="20"/>
              </w:rPr>
              <w:t>440</w:t>
            </w:r>
          </w:p>
        </w:tc>
        <w:tc>
          <w:tcPr>
            <w:tcW w:w="585" w:type="pct"/>
            <w:tcBorders>
              <w:top w:val="nil"/>
              <w:bottom w:val="nil"/>
            </w:tcBorders>
          </w:tcPr>
          <w:p w:rsidR="00000000" w:rsidRDefault="00000000">
            <w:pPr>
              <w:spacing w:before="40" w:line="240" w:lineRule="auto"/>
              <w:ind w:right="340"/>
              <w:jc w:val="right"/>
              <w:rPr>
                <w:sz w:val="20"/>
              </w:rPr>
            </w:pPr>
            <w:r>
              <w:rPr>
                <w:sz w:val="20"/>
              </w:rPr>
              <w:t>420</w:t>
            </w:r>
          </w:p>
        </w:tc>
        <w:tc>
          <w:tcPr>
            <w:tcW w:w="658" w:type="pct"/>
            <w:tcBorders>
              <w:top w:val="nil"/>
              <w:bottom w:val="nil"/>
            </w:tcBorders>
          </w:tcPr>
          <w:p w:rsidR="00000000" w:rsidRDefault="00000000">
            <w:pPr>
              <w:spacing w:before="40" w:line="240" w:lineRule="auto"/>
              <w:ind w:right="340"/>
              <w:jc w:val="right"/>
              <w:rPr>
                <w:sz w:val="20"/>
              </w:rPr>
            </w:pPr>
            <w:r>
              <w:rPr>
                <w:sz w:val="20"/>
              </w:rPr>
              <w:t>390</w:t>
            </w:r>
          </w:p>
        </w:tc>
        <w:tc>
          <w:tcPr>
            <w:tcW w:w="597" w:type="pct"/>
            <w:tcBorders>
              <w:top w:val="nil"/>
              <w:bottom w:val="nil"/>
            </w:tcBorders>
          </w:tcPr>
          <w:p w:rsidR="00000000" w:rsidRDefault="00000000">
            <w:pPr>
              <w:spacing w:before="40" w:line="240" w:lineRule="auto"/>
              <w:ind w:right="340"/>
              <w:jc w:val="right"/>
              <w:rPr>
                <w:sz w:val="20"/>
              </w:rPr>
            </w:pPr>
            <w:r>
              <w:rPr>
                <w:sz w:val="20"/>
              </w:rPr>
              <w:t>440</w:t>
            </w:r>
          </w:p>
        </w:tc>
      </w:tr>
      <w:tr w:rsidR="00000000">
        <w:tblPrEx>
          <w:tblCellMar>
            <w:top w:w="0" w:type="dxa"/>
            <w:bottom w:w="0" w:type="dxa"/>
          </w:tblCellMar>
        </w:tblPrEx>
        <w:tc>
          <w:tcPr>
            <w:tcW w:w="1405" w:type="pct"/>
            <w:tcBorders>
              <w:top w:val="nil"/>
              <w:bottom w:val="nil"/>
            </w:tcBorders>
          </w:tcPr>
          <w:p w:rsidR="00000000" w:rsidRDefault="00000000">
            <w:pPr>
              <w:spacing w:before="40" w:line="240" w:lineRule="auto"/>
              <w:ind w:left="57"/>
              <w:rPr>
                <w:rFonts w:hint="eastAsia"/>
                <w:sz w:val="20"/>
              </w:rPr>
            </w:pPr>
            <w:r>
              <w:rPr>
                <w:rFonts w:hint="eastAsia"/>
                <w:sz w:val="20"/>
              </w:rPr>
              <w:t>根据</w:t>
            </w:r>
            <w:r>
              <w:rPr>
                <w:rFonts w:hint="eastAsia"/>
                <w:sz w:val="20"/>
              </w:rPr>
              <w:t>ASP</w:t>
            </w:r>
            <w:r>
              <w:rPr>
                <w:rFonts w:hint="eastAsia"/>
                <w:sz w:val="20"/>
              </w:rPr>
              <w:t>制度首次购买房</w:t>
            </w:r>
            <w:r>
              <w:rPr>
                <w:sz w:val="20"/>
              </w:rPr>
              <w:br/>
              <w:t xml:space="preserve">  </w:t>
            </w:r>
            <w:r>
              <w:rPr>
                <w:rFonts w:hint="eastAsia"/>
                <w:sz w:val="20"/>
              </w:rPr>
              <w:t>屋者</w:t>
            </w:r>
          </w:p>
        </w:tc>
        <w:tc>
          <w:tcPr>
            <w:tcW w:w="585" w:type="pct"/>
            <w:tcBorders>
              <w:top w:val="nil"/>
              <w:bottom w:val="nil"/>
            </w:tcBorders>
          </w:tcPr>
          <w:p w:rsidR="00000000" w:rsidRDefault="00000000">
            <w:pPr>
              <w:spacing w:before="40" w:line="240" w:lineRule="auto"/>
              <w:ind w:right="340"/>
              <w:jc w:val="right"/>
              <w:rPr>
                <w:sz w:val="20"/>
              </w:rPr>
            </w:pPr>
            <w:r>
              <w:rPr>
                <w:sz w:val="20"/>
              </w:rPr>
              <w:t>-</w:t>
            </w:r>
          </w:p>
        </w:tc>
        <w:tc>
          <w:tcPr>
            <w:tcW w:w="585" w:type="pct"/>
            <w:tcBorders>
              <w:top w:val="nil"/>
              <w:bottom w:val="nil"/>
            </w:tcBorders>
          </w:tcPr>
          <w:p w:rsidR="00000000" w:rsidRDefault="00000000">
            <w:pPr>
              <w:spacing w:before="40" w:line="240" w:lineRule="auto"/>
              <w:ind w:right="340"/>
              <w:jc w:val="right"/>
              <w:rPr>
                <w:sz w:val="20"/>
              </w:rPr>
            </w:pPr>
            <w:r>
              <w:rPr>
                <w:sz w:val="20"/>
              </w:rPr>
              <w:t>7</w:t>
            </w:r>
          </w:p>
        </w:tc>
        <w:tc>
          <w:tcPr>
            <w:tcW w:w="585" w:type="pct"/>
            <w:tcBorders>
              <w:top w:val="nil"/>
              <w:bottom w:val="nil"/>
            </w:tcBorders>
          </w:tcPr>
          <w:p w:rsidR="00000000" w:rsidRDefault="00000000">
            <w:pPr>
              <w:spacing w:before="40" w:line="240" w:lineRule="auto"/>
              <w:ind w:right="340"/>
              <w:jc w:val="right"/>
              <w:rPr>
                <w:sz w:val="20"/>
              </w:rPr>
            </w:pPr>
            <w:r>
              <w:rPr>
                <w:sz w:val="20"/>
              </w:rPr>
              <w:t>11</w:t>
            </w:r>
          </w:p>
        </w:tc>
        <w:tc>
          <w:tcPr>
            <w:tcW w:w="585" w:type="pct"/>
            <w:tcBorders>
              <w:top w:val="nil"/>
              <w:bottom w:val="nil"/>
            </w:tcBorders>
          </w:tcPr>
          <w:p w:rsidR="00000000" w:rsidRDefault="00000000">
            <w:pPr>
              <w:spacing w:before="40" w:line="240" w:lineRule="auto"/>
              <w:ind w:right="340"/>
              <w:jc w:val="right"/>
              <w:rPr>
                <w:sz w:val="20"/>
              </w:rPr>
            </w:pPr>
            <w:r>
              <w:rPr>
                <w:sz w:val="20"/>
              </w:rPr>
              <w:t>3</w:t>
            </w:r>
          </w:p>
        </w:tc>
        <w:tc>
          <w:tcPr>
            <w:tcW w:w="658" w:type="pct"/>
            <w:tcBorders>
              <w:top w:val="nil"/>
              <w:bottom w:val="nil"/>
            </w:tcBorders>
          </w:tcPr>
          <w:p w:rsidR="00000000" w:rsidRDefault="00000000">
            <w:pPr>
              <w:spacing w:before="40" w:line="240" w:lineRule="auto"/>
              <w:ind w:right="340"/>
              <w:jc w:val="right"/>
              <w:rPr>
                <w:sz w:val="20"/>
              </w:rPr>
            </w:pPr>
            <w:r>
              <w:rPr>
                <w:sz w:val="20"/>
              </w:rPr>
              <w:t>1</w:t>
            </w:r>
          </w:p>
        </w:tc>
        <w:tc>
          <w:tcPr>
            <w:tcW w:w="597" w:type="pct"/>
            <w:tcBorders>
              <w:top w:val="nil"/>
              <w:bottom w:val="nil"/>
            </w:tcBorders>
          </w:tcPr>
          <w:p w:rsidR="00000000" w:rsidRDefault="00000000">
            <w:pPr>
              <w:spacing w:before="40" w:line="240" w:lineRule="auto"/>
              <w:ind w:right="340"/>
              <w:jc w:val="right"/>
              <w:rPr>
                <w:sz w:val="20"/>
              </w:rPr>
            </w:pPr>
            <w:r>
              <w:rPr>
                <w:sz w:val="20"/>
              </w:rPr>
              <w:t>0</w:t>
            </w:r>
          </w:p>
        </w:tc>
      </w:tr>
      <w:tr w:rsidR="00000000">
        <w:tblPrEx>
          <w:tblCellMar>
            <w:top w:w="0" w:type="dxa"/>
            <w:bottom w:w="0" w:type="dxa"/>
          </w:tblCellMar>
        </w:tblPrEx>
        <w:tc>
          <w:tcPr>
            <w:tcW w:w="1405" w:type="pct"/>
            <w:tcBorders>
              <w:top w:val="nil"/>
            </w:tcBorders>
          </w:tcPr>
          <w:p w:rsidR="00000000" w:rsidRDefault="00000000">
            <w:pPr>
              <w:spacing w:before="40" w:after="100" w:line="240" w:lineRule="auto"/>
              <w:ind w:left="57"/>
              <w:rPr>
                <w:rFonts w:hint="eastAsia"/>
                <w:sz w:val="20"/>
              </w:rPr>
            </w:pPr>
            <w:r>
              <w:rPr>
                <w:rFonts w:hint="eastAsia"/>
                <w:sz w:val="20"/>
              </w:rPr>
              <w:t>住房补贴总额</w:t>
            </w:r>
          </w:p>
        </w:tc>
        <w:tc>
          <w:tcPr>
            <w:tcW w:w="585" w:type="pct"/>
            <w:tcBorders>
              <w:top w:val="nil"/>
            </w:tcBorders>
          </w:tcPr>
          <w:p w:rsidR="00000000" w:rsidRDefault="00000000">
            <w:pPr>
              <w:spacing w:before="40" w:after="100" w:line="240" w:lineRule="auto"/>
              <w:ind w:right="340"/>
              <w:jc w:val="right"/>
              <w:rPr>
                <w:sz w:val="20"/>
              </w:rPr>
            </w:pPr>
            <w:r>
              <w:rPr>
                <w:sz w:val="20"/>
              </w:rPr>
              <w:t>1,551</w:t>
            </w:r>
          </w:p>
        </w:tc>
        <w:tc>
          <w:tcPr>
            <w:tcW w:w="585" w:type="pct"/>
            <w:tcBorders>
              <w:top w:val="nil"/>
            </w:tcBorders>
          </w:tcPr>
          <w:p w:rsidR="00000000" w:rsidRDefault="00000000">
            <w:pPr>
              <w:spacing w:before="40" w:after="100" w:line="240" w:lineRule="auto"/>
              <w:ind w:right="340"/>
              <w:jc w:val="right"/>
              <w:rPr>
                <w:sz w:val="20"/>
              </w:rPr>
            </w:pPr>
            <w:r>
              <w:rPr>
                <w:sz w:val="20"/>
              </w:rPr>
              <w:t>1,569</w:t>
            </w:r>
          </w:p>
        </w:tc>
        <w:tc>
          <w:tcPr>
            <w:tcW w:w="585" w:type="pct"/>
            <w:tcBorders>
              <w:top w:val="nil"/>
            </w:tcBorders>
          </w:tcPr>
          <w:p w:rsidR="00000000" w:rsidRDefault="00000000">
            <w:pPr>
              <w:spacing w:before="40" w:after="100" w:line="240" w:lineRule="auto"/>
              <w:ind w:right="340"/>
              <w:jc w:val="right"/>
              <w:rPr>
                <w:sz w:val="20"/>
              </w:rPr>
            </w:pPr>
            <w:r>
              <w:rPr>
                <w:sz w:val="20"/>
              </w:rPr>
              <w:t>1,639</w:t>
            </w:r>
          </w:p>
        </w:tc>
        <w:tc>
          <w:tcPr>
            <w:tcW w:w="585" w:type="pct"/>
            <w:tcBorders>
              <w:top w:val="nil"/>
            </w:tcBorders>
          </w:tcPr>
          <w:p w:rsidR="00000000" w:rsidRDefault="00000000">
            <w:pPr>
              <w:spacing w:before="40" w:after="100" w:line="240" w:lineRule="auto"/>
              <w:ind w:right="340"/>
              <w:jc w:val="right"/>
              <w:rPr>
                <w:sz w:val="20"/>
              </w:rPr>
            </w:pPr>
            <w:r>
              <w:rPr>
                <w:sz w:val="20"/>
              </w:rPr>
              <w:t>1,532</w:t>
            </w:r>
          </w:p>
        </w:tc>
        <w:tc>
          <w:tcPr>
            <w:tcW w:w="658" w:type="pct"/>
            <w:tcBorders>
              <w:top w:val="nil"/>
            </w:tcBorders>
          </w:tcPr>
          <w:p w:rsidR="00000000" w:rsidRDefault="00000000">
            <w:pPr>
              <w:spacing w:before="40" w:after="100" w:line="240" w:lineRule="auto"/>
              <w:ind w:right="340"/>
              <w:jc w:val="right"/>
              <w:rPr>
                <w:sz w:val="20"/>
              </w:rPr>
            </w:pPr>
            <w:r>
              <w:rPr>
                <w:sz w:val="20"/>
              </w:rPr>
              <w:t>1,495</w:t>
            </w:r>
          </w:p>
        </w:tc>
        <w:tc>
          <w:tcPr>
            <w:tcW w:w="597" w:type="pct"/>
            <w:tcBorders>
              <w:top w:val="nil"/>
            </w:tcBorders>
          </w:tcPr>
          <w:p w:rsidR="00000000" w:rsidRDefault="00000000">
            <w:pPr>
              <w:spacing w:before="40" w:after="100" w:line="240" w:lineRule="auto"/>
              <w:ind w:right="340"/>
              <w:jc w:val="right"/>
              <w:rPr>
                <w:sz w:val="20"/>
              </w:rPr>
            </w:pPr>
            <w:r>
              <w:rPr>
                <w:sz w:val="20"/>
              </w:rPr>
              <w:t>1,552</w:t>
            </w:r>
          </w:p>
        </w:tc>
      </w:tr>
    </w:tbl>
    <w:p w:rsidR="00000000" w:rsidRDefault="00000000">
      <w:pPr>
        <w:pStyle w:val="a6"/>
        <w:spacing w:after="360"/>
        <w:rPr>
          <w:rFonts w:eastAsia="SimSun" w:hint="eastAsia"/>
        </w:rPr>
      </w:pPr>
    </w:p>
    <w:p w:rsidR="00000000" w:rsidRDefault="00000000">
      <w:pPr>
        <w:pStyle w:val="Heading2"/>
        <w:rPr>
          <w:rFonts w:ascii="Time New Roman" w:eastAsia="SimHei" w:hAnsi="Time New Roman" w:hint="eastAsia"/>
          <w:sz w:val="24"/>
        </w:rPr>
      </w:pPr>
      <w:r>
        <w:rPr>
          <w:rFonts w:ascii="Time New Roman" w:eastAsia="SimHei" w:hAnsi="Time New Roman" w:hint="eastAsia"/>
          <w:sz w:val="24"/>
        </w:rPr>
        <w:t>第</w:t>
      </w:r>
      <w:r>
        <w:rPr>
          <w:rFonts w:ascii="Time New Roman" w:eastAsia="SimHei" w:hAnsi="Time New Roman" w:hint="eastAsia"/>
          <w:sz w:val="24"/>
        </w:rPr>
        <w:t xml:space="preserve"> </w:t>
      </w:r>
      <w:r>
        <w:rPr>
          <w:rFonts w:ascii="Time New Roman" w:eastAsia="SimHei" w:hAnsi="Time New Roman" w:hint="eastAsia"/>
          <w:sz w:val="24"/>
        </w:rPr>
        <w:t>十二</w:t>
      </w:r>
      <w:r>
        <w:rPr>
          <w:rFonts w:ascii="Time New Roman" w:eastAsia="SimHei" w:hAnsi="Time New Roman" w:hint="eastAsia"/>
          <w:sz w:val="24"/>
        </w:rPr>
        <w:t xml:space="preserve"> </w:t>
      </w:r>
      <w:r>
        <w:rPr>
          <w:rFonts w:ascii="Time New Roman" w:eastAsia="SimHei" w:hAnsi="Time New Roman" w:hint="eastAsia"/>
          <w:sz w:val="24"/>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1</w:t>
      </w:r>
      <w:r>
        <w:rPr>
          <w:rFonts w:ascii="Time New Roman" w:eastAsia="SimHei" w:hAnsi="Time New Roman" w:hint="eastAsia"/>
          <w:bCs/>
          <w:u w:val="none"/>
        </w:rPr>
        <w:t xml:space="preserve">.  </w:t>
      </w:r>
      <w:r>
        <w:rPr>
          <w:rFonts w:ascii="Time New Roman" w:eastAsia="SimHei" w:hAnsi="Time New Roman" w:hint="eastAsia"/>
          <w:u w:val="none"/>
        </w:rPr>
        <w:t>国民的身体健康和精神健康</w:t>
      </w:r>
    </w:p>
    <w:p w:rsidR="00000000" w:rsidRDefault="00000000">
      <w:pPr>
        <w:rPr>
          <w:rFonts w:hint="eastAsia"/>
        </w:rPr>
      </w:pPr>
      <w:r>
        <w:rPr>
          <w:rFonts w:hint="eastAsia"/>
        </w:rPr>
        <w:tab/>
        <w:t>50</w:t>
      </w:r>
      <w:r>
        <w:t>7</w:t>
      </w:r>
      <w:r>
        <w:rPr>
          <w:rFonts w:hint="eastAsia"/>
        </w:rPr>
        <w:t xml:space="preserve">.  </w:t>
      </w:r>
      <w:r>
        <w:rPr>
          <w:rFonts w:hint="eastAsia"/>
        </w:rPr>
        <w:t>大多数有关社会福利趋势的信息都是依据分别于</w:t>
      </w:r>
      <w:r>
        <w:rPr>
          <w:rFonts w:hint="eastAsia"/>
        </w:rPr>
        <w:t>1978</w:t>
      </w:r>
      <w:r>
        <w:rPr>
          <w:rFonts w:hint="eastAsia"/>
        </w:rPr>
        <w:t>年至</w:t>
      </w:r>
      <w:r>
        <w:rPr>
          <w:rFonts w:hint="eastAsia"/>
        </w:rPr>
        <w:t>1980</w:t>
      </w:r>
      <w:r>
        <w:rPr>
          <w:rFonts w:hint="eastAsia"/>
        </w:rPr>
        <w:t>年和</w:t>
      </w:r>
      <w:r>
        <w:rPr>
          <w:rFonts w:hint="eastAsia"/>
        </w:rPr>
        <w:t>2000</w:t>
      </w:r>
      <w:r>
        <w:rPr>
          <w:rFonts w:hint="eastAsia"/>
        </w:rPr>
        <w:t>年至</w:t>
      </w:r>
      <w:r>
        <w:rPr>
          <w:rFonts w:hint="eastAsia"/>
        </w:rPr>
        <w:t>2001</w:t>
      </w:r>
      <w:r>
        <w:rPr>
          <w:rFonts w:hint="eastAsia"/>
        </w:rPr>
        <w:t>年所开展的有关芬兰国民健康状况的调查</w:t>
      </w:r>
      <w:r>
        <w:rPr>
          <w:rFonts w:hint="eastAsia"/>
        </w:rPr>
        <w:t>(</w:t>
      </w:r>
      <w:r>
        <w:t>Aromaa A &amp; Koskinen S.</w:t>
      </w:r>
      <w:r>
        <w:rPr>
          <w:rFonts w:hint="eastAsia"/>
        </w:rPr>
        <w:t>芬兰国民的健康和机体能力，赫尔辛基</w:t>
      </w:r>
      <w:r>
        <w:rPr>
          <w:rFonts w:hint="eastAsia"/>
        </w:rPr>
        <w:t>2004</w:t>
      </w:r>
      <w:r>
        <w:rPr>
          <w:rFonts w:hint="eastAsia"/>
        </w:rPr>
        <w:t>年；</w:t>
      </w:r>
      <w:r>
        <w:rPr>
          <w:rFonts w:hint="eastAsia"/>
        </w:rPr>
        <w:t>)</w:t>
      </w:r>
      <w:r>
        <w:rPr>
          <w:rFonts w:hint="eastAsia"/>
        </w:rPr>
        <w:t>。此外，从登记部门也能获得有关发病和死亡的数据。</w:t>
      </w:r>
    </w:p>
    <w:p w:rsidR="00000000" w:rsidRDefault="00000000">
      <w:pPr>
        <w:rPr>
          <w:rFonts w:hint="eastAsia"/>
        </w:rPr>
      </w:pPr>
      <w:r>
        <w:rPr>
          <w:rFonts w:hint="eastAsia"/>
        </w:rPr>
        <w:tab/>
        <w:t>50</w:t>
      </w:r>
      <w:r>
        <w:t>8</w:t>
      </w:r>
      <w:r>
        <w:rPr>
          <w:rFonts w:hint="eastAsia"/>
        </w:rPr>
        <w:t xml:space="preserve">.  </w:t>
      </w:r>
      <w:r>
        <w:rPr>
          <w:rFonts w:hint="eastAsia"/>
        </w:rPr>
        <w:t>大多数数据显示，文化水平越低，就越容易在身体和精神方面患上慢性病。此外，男女之间也存在很大差别。妇女通常长寿一些。除了高血压以外，男子比妇女更容易患上心血管病。在慢性支气管炎以及许多骨骼病方面，情况也是一样。男子爱喝酒，因此同酒精有关的问题也较多。而妇女则往往易患抑郁症。男子患上肺癌</w:t>
      </w:r>
      <w:r>
        <w:rPr>
          <w:rFonts w:hint="eastAsia"/>
        </w:rPr>
        <w:t>(</w:t>
      </w:r>
      <w:r>
        <w:rPr>
          <w:rFonts w:hint="eastAsia"/>
        </w:rPr>
        <w:t>同吸烟习惯有关</w:t>
      </w:r>
      <w:r>
        <w:rPr>
          <w:rFonts w:hint="eastAsia"/>
        </w:rPr>
        <w:t>)</w:t>
      </w:r>
      <w:r>
        <w:rPr>
          <w:rFonts w:hint="eastAsia"/>
        </w:rPr>
        <w:t>的机会要比妇女大得多。</w:t>
      </w:r>
    </w:p>
    <w:p w:rsidR="00000000" w:rsidRDefault="00000000">
      <w:pPr>
        <w:rPr>
          <w:rFonts w:hint="eastAsia"/>
        </w:rPr>
      </w:pPr>
      <w:r>
        <w:rPr>
          <w:rFonts w:hint="eastAsia"/>
        </w:rPr>
        <w:tab/>
        <w:t>5</w:t>
      </w:r>
      <w:r>
        <w:t>09</w:t>
      </w:r>
      <w:r>
        <w:rPr>
          <w:rFonts w:hint="eastAsia"/>
        </w:rPr>
        <w:t xml:space="preserve">.  </w:t>
      </w:r>
      <w:r>
        <w:rPr>
          <w:rFonts w:hint="eastAsia"/>
          <w:u w:val="single"/>
        </w:rPr>
        <w:t>身体健康</w:t>
      </w:r>
      <w:r>
        <w:rPr>
          <w:rFonts w:hint="eastAsia"/>
        </w:rPr>
        <w:t>。在心血管病中，自从</w:t>
      </w:r>
      <w:r>
        <w:rPr>
          <w:rFonts w:hint="eastAsia"/>
        </w:rPr>
        <w:t>1970</w:t>
      </w:r>
      <w:r>
        <w:rPr>
          <w:rFonts w:hint="eastAsia"/>
        </w:rPr>
        <w:t>年代以来，冠心病、脑血管病以及充血性心力衰竭已经减少。其原因部分在于生活习惯的改变、部分在于医疗技术的提高。治疗高血压的药物已经广泛使用，高血压的发病率已经有所下降，这同样也是因为药物的使用和生活习惯的改变。最大的成绩在于饮食习惯的改变。在引起心血管病的风险因素中，到上个世纪末人们的血清胆固醇水平一直在下降，男子吸烟者的人数已经减少，但是妇女吸烟者似乎有所增加。</w:t>
      </w:r>
    </w:p>
    <w:p w:rsidR="00000000" w:rsidRDefault="00000000">
      <w:pPr>
        <w:rPr>
          <w:rFonts w:hint="eastAsia"/>
        </w:rPr>
      </w:pPr>
      <w:r>
        <w:rPr>
          <w:rFonts w:hint="eastAsia"/>
        </w:rPr>
        <w:tab/>
        <w:t>51</w:t>
      </w:r>
      <w:r>
        <w:t>0</w:t>
      </w:r>
      <w:r>
        <w:rPr>
          <w:rFonts w:hint="eastAsia"/>
        </w:rPr>
        <w:t xml:space="preserve">.  </w:t>
      </w:r>
      <w:r>
        <w:rPr>
          <w:rFonts w:hint="eastAsia"/>
        </w:rPr>
        <w:t>自从</w:t>
      </w:r>
      <w:r>
        <w:rPr>
          <w:rFonts w:hint="eastAsia"/>
        </w:rPr>
        <w:t>1980</w:t>
      </w:r>
      <w:r>
        <w:rPr>
          <w:rFonts w:hint="eastAsia"/>
        </w:rPr>
        <w:t>年代以来，肥胖人数大量增加。因此，在过去几十年中，二型糖尿病的发病率已经上升；而一型糖尿病从</w:t>
      </w:r>
      <w:r>
        <w:rPr>
          <w:rFonts w:hint="eastAsia"/>
        </w:rPr>
        <w:t>1950</w:t>
      </w:r>
      <w:r>
        <w:rPr>
          <w:rFonts w:hint="eastAsia"/>
        </w:rPr>
        <w:t>年代以来就一直在增加。</w:t>
      </w:r>
    </w:p>
    <w:p w:rsidR="00000000" w:rsidRDefault="00000000">
      <w:pPr>
        <w:rPr>
          <w:rFonts w:hint="eastAsia"/>
        </w:rPr>
      </w:pPr>
      <w:r>
        <w:rPr>
          <w:rFonts w:hint="eastAsia"/>
        </w:rPr>
        <w:tab/>
        <w:t>51</w:t>
      </w:r>
      <w:r>
        <w:t>1</w:t>
      </w:r>
      <w:r>
        <w:rPr>
          <w:rFonts w:hint="eastAsia"/>
        </w:rPr>
        <w:t xml:space="preserve">.  </w:t>
      </w:r>
      <w:r>
        <w:rPr>
          <w:rFonts w:hint="eastAsia"/>
        </w:rPr>
        <w:t>关于呼吸道疾病有两种情况。由于吸烟习惯的改变，患有慢性支气管炎的男子人数已经下降，而妇女病人有所增加。有人认为，同其他过敏疾病一样，哮喘病的发病率有上升趋势。在过去二十年中最为明显的变化是：有越来越多的人使用治病哮喘病的药物。</w:t>
      </w:r>
    </w:p>
    <w:p w:rsidR="00000000" w:rsidRDefault="00000000">
      <w:pPr>
        <w:rPr>
          <w:rFonts w:hint="eastAsia"/>
        </w:rPr>
      </w:pPr>
      <w:r>
        <w:rPr>
          <w:rFonts w:hint="eastAsia"/>
        </w:rPr>
        <w:tab/>
        <w:t>51</w:t>
      </w:r>
      <w:r>
        <w:t>2</w:t>
      </w:r>
      <w:r>
        <w:rPr>
          <w:rFonts w:hint="eastAsia"/>
        </w:rPr>
        <w:t xml:space="preserve">.  </w:t>
      </w:r>
      <w:r>
        <w:rPr>
          <w:rFonts w:hint="eastAsia"/>
        </w:rPr>
        <w:t>有关骨骼病的资料很少，主要原因在于诊断的困难。然而，可以注意到，患有关节炎的妇女人数已经明显减少，这可能是因为劳动强度的降低。</w:t>
      </w:r>
    </w:p>
    <w:p w:rsidR="00000000" w:rsidRDefault="00000000">
      <w:pPr>
        <w:rPr>
          <w:rFonts w:hint="eastAsia"/>
        </w:rPr>
      </w:pPr>
      <w:r>
        <w:rPr>
          <w:rFonts w:hint="eastAsia"/>
        </w:rPr>
        <w:tab/>
        <w:t>51</w:t>
      </w:r>
      <w:r>
        <w:t>3</w:t>
      </w:r>
      <w:r>
        <w:rPr>
          <w:rFonts w:hint="eastAsia"/>
        </w:rPr>
        <w:t xml:space="preserve">.  </w:t>
      </w:r>
      <w:r>
        <w:rPr>
          <w:rFonts w:hint="eastAsia"/>
        </w:rPr>
        <w:t>整体癌症发病率没有明显变化，但是在癌症的类型方面已经发生重大变化，在影响患者存活的早期诊断和治疗方面也有同样情况。患有胃癌的男子人数正在减少，但是妇女患者人数却在增加。男女胃癌病人的数目都已经下降。妇女患有乳腺癌、子宫癌以及肠癌的人数有所增多；患有肠癌以及前列腺癌的男子人数也是同样情况。黑瘤的发病率有上升趋势</w:t>
      </w:r>
      <w:r>
        <w:rPr>
          <w:rFonts w:hint="eastAsia"/>
        </w:rPr>
        <w:t>(</w:t>
      </w:r>
      <w:r>
        <w:rPr>
          <w:rFonts w:hint="eastAsia"/>
        </w:rPr>
        <w:t>虽然仍然很少见</w:t>
      </w:r>
      <w:r>
        <w:rPr>
          <w:rFonts w:hint="eastAsia"/>
        </w:rPr>
        <w:t>)</w:t>
      </w:r>
      <w:r>
        <w:rPr>
          <w:rFonts w:hint="eastAsia"/>
        </w:rPr>
        <w:t>，其他的皮肤癌也是同样情况。定期检查和早期诊断的癌症</w:t>
      </w:r>
      <w:r>
        <w:rPr>
          <w:rFonts w:hint="eastAsia"/>
        </w:rPr>
        <w:t>(</w:t>
      </w:r>
      <w:r>
        <w:rPr>
          <w:rFonts w:hint="eastAsia"/>
        </w:rPr>
        <w:t>子宫癌和乳腺癌</w:t>
      </w:r>
      <w:r>
        <w:rPr>
          <w:rFonts w:hint="eastAsia"/>
        </w:rPr>
        <w:t>)</w:t>
      </w:r>
      <w:r>
        <w:rPr>
          <w:rFonts w:hint="eastAsia"/>
        </w:rPr>
        <w:t>的存活率有上升趋势，这种情况表明，诊断和护理的质量都在提高。</w:t>
      </w:r>
    </w:p>
    <w:p w:rsidR="00000000" w:rsidRDefault="00000000">
      <w:pPr>
        <w:rPr>
          <w:rFonts w:hint="eastAsia"/>
        </w:rPr>
      </w:pPr>
      <w:r>
        <w:rPr>
          <w:rFonts w:hint="eastAsia"/>
        </w:rPr>
        <w:tab/>
        <w:t>51</w:t>
      </w:r>
      <w:r>
        <w:t>4</w:t>
      </w:r>
      <w:r>
        <w:rPr>
          <w:rFonts w:hint="eastAsia"/>
        </w:rPr>
        <w:t xml:space="preserve">.  </w:t>
      </w:r>
      <w:r>
        <w:rPr>
          <w:rFonts w:hint="eastAsia"/>
        </w:rPr>
        <w:t>车祸以及由此而引起的伤亡已经大大减少，目前的死亡人数大约为每年</w:t>
      </w:r>
      <w:r>
        <w:rPr>
          <w:rFonts w:hint="eastAsia"/>
        </w:rPr>
        <w:t>400</w:t>
      </w:r>
      <w:r>
        <w:rPr>
          <w:rFonts w:hint="eastAsia"/>
        </w:rPr>
        <w:t>人。然而，其他的伤害以及暴力行为仍然是死亡的主要原因。</w:t>
      </w:r>
    </w:p>
    <w:p w:rsidR="00000000" w:rsidRDefault="00000000">
      <w:pPr>
        <w:rPr>
          <w:rFonts w:hint="eastAsia"/>
        </w:rPr>
      </w:pPr>
      <w:r>
        <w:rPr>
          <w:rFonts w:hint="eastAsia"/>
        </w:rPr>
        <w:tab/>
        <w:t>51</w:t>
      </w:r>
      <w:r>
        <w:t>5</w:t>
      </w:r>
      <w:r>
        <w:rPr>
          <w:rFonts w:hint="eastAsia"/>
        </w:rPr>
        <w:t xml:space="preserve">.  </w:t>
      </w:r>
      <w:r>
        <w:rPr>
          <w:rFonts w:hint="eastAsia"/>
          <w:u w:val="single"/>
        </w:rPr>
        <w:t>精神健康</w:t>
      </w:r>
      <w:r>
        <w:rPr>
          <w:rFonts w:hint="eastAsia"/>
        </w:rPr>
        <w:t>。有关全体国民或其类别的精神健康的资料十分有限。然而，精神病已经成为领取疾病养老金的主要原因。这种情况不应被解释为国民的精神健康状况已经发生变化，而是对于精神病的看法和做法有了改变。但是，滥用麻醉药品和酗酒的情况日益严重。在过去十年中，所使用的抗抑郁病的药品日益增多，十分可能意味着药品的治疗面扩大。在过去一些年中，因为自杀而死亡的人数有所减少，这也是治疗抑郁病取得成效之一。将</w:t>
      </w:r>
      <w:r>
        <w:rPr>
          <w:rFonts w:hint="eastAsia"/>
        </w:rPr>
        <w:t>1978</w:t>
      </w:r>
      <w:r>
        <w:rPr>
          <w:rFonts w:hint="eastAsia"/>
        </w:rPr>
        <w:t>年至</w:t>
      </w:r>
      <w:r>
        <w:rPr>
          <w:rFonts w:hint="eastAsia"/>
        </w:rPr>
        <w:t>1980</w:t>
      </w:r>
      <w:r>
        <w:rPr>
          <w:rFonts w:hint="eastAsia"/>
        </w:rPr>
        <w:t>年国民健康状况调查同</w:t>
      </w:r>
      <w:r>
        <w:rPr>
          <w:rFonts w:hint="eastAsia"/>
        </w:rPr>
        <w:t>2000</w:t>
      </w:r>
      <w:r>
        <w:rPr>
          <w:rFonts w:hint="eastAsia"/>
        </w:rPr>
        <w:t>年的调查相比，症状值没有发生任何变化。</w:t>
      </w:r>
    </w:p>
    <w:p w:rsidR="00000000" w:rsidRDefault="00000000">
      <w:pPr>
        <w:rPr>
          <w:rFonts w:hint="eastAsia"/>
        </w:rPr>
      </w:pPr>
      <w:r>
        <w:rPr>
          <w:rFonts w:hint="eastAsia"/>
        </w:rPr>
        <w:tab/>
        <w:t>51</w:t>
      </w:r>
      <w:r>
        <w:t>6</w:t>
      </w:r>
      <w:r>
        <w:rPr>
          <w:rFonts w:hint="eastAsia"/>
        </w:rPr>
        <w:t xml:space="preserve">.  </w:t>
      </w:r>
      <w:r>
        <w:rPr>
          <w:rFonts w:hint="eastAsia"/>
        </w:rPr>
        <w:t>在</w:t>
      </w:r>
      <w:r>
        <w:rPr>
          <w:rFonts w:hint="eastAsia"/>
        </w:rPr>
        <w:t>1990</w:t>
      </w:r>
      <w:r>
        <w:rPr>
          <w:rFonts w:hint="eastAsia"/>
        </w:rPr>
        <w:t>年代，滥用药物，特别是静脉注射海洛英的情况有所增加，但是似乎目前已经稳定下来。这种情况增加了感染艾滋病毒以及丙型肝炎的风险。目前大多数药房都提供调换针筒服务以及低门槛咨询服务。接受丁丙诺非治疗的患者人数大大增加，似乎已经制止毒品蔓延的趋势。</w:t>
      </w:r>
    </w:p>
    <w:p w:rsidR="00000000" w:rsidRDefault="00000000">
      <w:pPr>
        <w:spacing w:after="320"/>
        <w:rPr>
          <w:rFonts w:hint="eastAsia"/>
        </w:rPr>
      </w:pPr>
      <w:r>
        <w:rPr>
          <w:rFonts w:hint="eastAsia"/>
        </w:rPr>
        <w:tab/>
        <w:t>51</w:t>
      </w:r>
      <w:r>
        <w:t>7</w:t>
      </w:r>
      <w:r>
        <w:rPr>
          <w:rFonts w:hint="eastAsia"/>
        </w:rPr>
        <w:t xml:space="preserve">.  </w:t>
      </w:r>
      <w:r>
        <w:rPr>
          <w:rFonts w:hint="eastAsia"/>
        </w:rPr>
        <w:t>在过去几年中，特别重视防止青年人使用麻醉药品和毒品。专门为一些项目拨出了补助经费，这些项目之目的是为从事青年工作的人员提供有关处理涉及麻醉药品和毒品问题的培训，制定预防办法，推动当地和地区两级各种专业人员的合作，以及资助开展活动。计划是通过协调青年工作和有关活动，为防止青年人使用毒品而打下基础。</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2</w:t>
      </w:r>
      <w:r>
        <w:rPr>
          <w:rFonts w:ascii="Time New Roman" w:eastAsia="SimHei" w:hAnsi="Time New Roman" w:hint="eastAsia"/>
          <w:bCs/>
          <w:u w:val="none"/>
        </w:rPr>
        <w:t xml:space="preserve">.  </w:t>
      </w:r>
      <w:r>
        <w:rPr>
          <w:rFonts w:ascii="Time New Roman" w:eastAsia="SimHei" w:hAnsi="Time New Roman" w:hint="eastAsia"/>
          <w:u w:val="none"/>
        </w:rPr>
        <w:t>国家健康政策</w:t>
      </w:r>
    </w:p>
    <w:p w:rsidR="00000000" w:rsidRDefault="00000000">
      <w:pPr>
        <w:rPr>
          <w:rFonts w:hint="eastAsia"/>
        </w:rPr>
      </w:pPr>
      <w:r>
        <w:rPr>
          <w:rFonts w:hint="eastAsia"/>
        </w:rPr>
        <w:tab/>
        <w:t>51</w:t>
      </w:r>
      <w:r>
        <w:t>8</w:t>
      </w:r>
      <w:r>
        <w:rPr>
          <w:rFonts w:hint="eastAsia"/>
        </w:rPr>
        <w:t xml:space="preserve">.  </w:t>
      </w:r>
      <w:r>
        <w:rPr>
          <w:rFonts w:hint="eastAsia"/>
        </w:rPr>
        <w:t>在政府的一项决定中通过了国家健康政策方案“健康</w:t>
      </w:r>
      <w:r>
        <w:rPr>
          <w:rFonts w:hint="eastAsia"/>
        </w:rPr>
        <w:t>2015</w:t>
      </w:r>
      <w:r>
        <w:rPr>
          <w:rFonts w:hint="eastAsia"/>
        </w:rPr>
        <w:t>”。这项方案遵循了世界卫生组织“让所有人都健康”的原则，强调了日常环境对于健康的重要性，并且规定了质量和数量目标。对于这项方案的中期审查已经开始，审查结果将于</w:t>
      </w:r>
      <w:r>
        <w:rPr>
          <w:rFonts w:hint="eastAsia"/>
        </w:rPr>
        <w:t>2006</w:t>
      </w:r>
      <w:r>
        <w:rPr>
          <w:rFonts w:hint="eastAsia"/>
        </w:rPr>
        <w:t>年年初向议会报告。可在网页</w:t>
      </w:r>
      <w:hyperlink r:id="rId11" w:history="1">
        <w:r>
          <w:rPr>
            <w:rStyle w:val="Hyperlink"/>
          </w:rPr>
          <w:t>www.stm.fi</w:t>
        </w:r>
      </w:hyperlink>
      <w:r>
        <w:rPr>
          <w:rFonts w:hint="eastAsia"/>
          <w:vertAlign w:val="superscript"/>
        </w:rPr>
        <w:t xml:space="preserve"> </w:t>
      </w:r>
      <w:r>
        <w:rPr>
          <w:rFonts w:hint="eastAsia"/>
        </w:rPr>
        <w:t>上查阅这个方案。</w:t>
      </w:r>
    </w:p>
    <w:p w:rsidR="00000000" w:rsidRDefault="00000000">
      <w:pPr>
        <w:rPr>
          <w:rFonts w:hint="eastAsia"/>
        </w:rPr>
      </w:pPr>
      <w:r>
        <w:rPr>
          <w:rFonts w:hint="eastAsia"/>
        </w:rPr>
        <w:tab/>
        <w:t>5</w:t>
      </w:r>
      <w:r>
        <w:t>19</w:t>
      </w:r>
      <w:r>
        <w:rPr>
          <w:rFonts w:hint="eastAsia"/>
        </w:rPr>
        <w:t xml:space="preserve">.  </w:t>
      </w:r>
      <w:r>
        <w:rPr>
          <w:rFonts w:hint="eastAsia"/>
        </w:rPr>
        <w:t>目前的初级医疗服务体系是在</w:t>
      </w:r>
      <w:r>
        <w:rPr>
          <w:rFonts w:hint="eastAsia"/>
        </w:rPr>
        <w:t>1970</w:t>
      </w:r>
      <w:r>
        <w:rPr>
          <w:rFonts w:hint="eastAsia"/>
        </w:rPr>
        <w:t>年代建立的。按照规定，大约</w:t>
      </w:r>
      <w:r>
        <w:rPr>
          <w:rFonts w:hint="eastAsia"/>
        </w:rPr>
        <w:t>450</w:t>
      </w:r>
      <w:r>
        <w:rPr>
          <w:rFonts w:hint="eastAsia"/>
        </w:rPr>
        <w:t>个城市有义务按照法律规定的原则向其居民提供初级医疗服务。所提供的服务包括：产妇保健、儿童保健诊所</w:t>
      </w:r>
      <w:r>
        <w:rPr>
          <w:rFonts w:hint="eastAsia"/>
        </w:rPr>
        <w:t>(</w:t>
      </w:r>
      <w:r>
        <w:rPr>
          <w:rFonts w:hint="eastAsia"/>
        </w:rPr>
        <w:t>几乎</w:t>
      </w:r>
      <w:r>
        <w:rPr>
          <w:rFonts w:hint="eastAsia"/>
        </w:rPr>
        <w:t>100%</w:t>
      </w:r>
      <w:r>
        <w:rPr>
          <w:rFonts w:hint="eastAsia"/>
        </w:rPr>
        <w:t>的护理</w:t>
      </w:r>
      <w:r>
        <w:rPr>
          <w:rFonts w:hint="eastAsia"/>
        </w:rPr>
        <w:t>)</w:t>
      </w:r>
      <w:r>
        <w:rPr>
          <w:rFonts w:hint="eastAsia"/>
        </w:rPr>
        <w:t>、学校保健、职业健康以及诊断服务。初级医疗服务是卫生局所提供的二级医疗服务的基础。</w:t>
      </w:r>
    </w:p>
    <w:p w:rsidR="00000000" w:rsidRDefault="00000000">
      <w:pPr>
        <w:rPr>
          <w:rFonts w:hint="eastAsia"/>
        </w:rPr>
      </w:pPr>
      <w:r>
        <w:rPr>
          <w:rFonts w:hint="eastAsia"/>
        </w:rPr>
        <w:tab/>
        <w:t>52</w:t>
      </w:r>
      <w:r>
        <w:t>0</w:t>
      </w:r>
      <w:r>
        <w:rPr>
          <w:rFonts w:hint="eastAsia"/>
        </w:rPr>
        <w:t xml:space="preserve">.  </w:t>
      </w:r>
      <w:r>
        <w:rPr>
          <w:rFonts w:hint="eastAsia"/>
        </w:rPr>
        <w:t>目前，有一项广泛的旨在加强医疗服务体系有效性的国民健康项目。除其他外，这个项目还包括：预防、加强各个地区合作、信息和通信技术发展以及在医生和护士的分工方面进行试验。精神健康服务的发展</w:t>
      </w:r>
      <w:r>
        <w:rPr>
          <w:rFonts w:hint="eastAsia"/>
        </w:rPr>
        <w:t>(</w:t>
      </w:r>
      <w:r>
        <w:rPr>
          <w:rFonts w:hint="eastAsia"/>
        </w:rPr>
        <w:t>推动、预防和治疗服务</w:t>
      </w:r>
      <w:r>
        <w:rPr>
          <w:rFonts w:hint="eastAsia"/>
        </w:rPr>
        <w:t>)</w:t>
      </w:r>
      <w:r>
        <w:rPr>
          <w:rFonts w:hint="eastAsia"/>
        </w:rPr>
        <w:t>是这个项目的优先事项之一。</w:t>
      </w:r>
    </w:p>
    <w:p w:rsidR="00000000" w:rsidRDefault="00000000">
      <w:pPr>
        <w:rPr>
          <w:rFonts w:hint="eastAsia"/>
        </w:rPr>
      </w:pPr>
      <w:r>
        <w:rPr>
          <w:rFonts w:hint="eastAsia"/>
        </w:rPr>
        <w:tab/>
        <w:t>52</w:t>
      </w:r>
      <w:r>
        <w:t>1</w:t>
      </w:r>
      <w:r>
        <w:rPr>
          <w:rFonts w:hint="eastAsia"/>
        </w:rPr>
        <w:t xml:space="preserve">.  </w:t>
      </w:r>
      <w:r>
        <w:rPr>
          <w:rFonts w:hint="eastAsia"/>
        </w:rPr>
        <w:t>议会监察员收到了大量有关医疗服务的投诉。大多数投诉都涉及在确保《宪法》第</w:t>
      </w:r>
      <w:r>
        <w:rPr>
          <w:rFonts w:hint="eastAsia"/>
        </w:rPr>
        <w:t>19</w:t>
      </w:r>
      <w:r>
        <w:rPr>
          <w:rFonts w:hint="eastAsia"/>
        </w:rPr>
        <w:t>节第</w:t>
      </w:r>
      <w:r>
        <w:rPr>
          <w:rFonts w:hint="eastAsia"/>
        </w:rPr>
        <w:t>3</w:t>
      </w:r>
      <w:r>
        <w:rPr>
          <w:rFonts w:hint="eastAsia"/>
        </w:rPr>
        <w:t>分节所规定的适足医疗服务方面的问题。其他一些必须由议会监察员监督的重要问题包括自愿接受精神病医院的治疗以及儿童和青年人享受精神病医生服务的基本权利。</w:t>
      </w:r>
    </w:p>
    <w:p w:rsidR="00000000" w:rsidRDefault="00000000">
      <w:pPr>
        <w:rPr>
          <w:rFonts w:hint="eastAsia"/>
        </w:rPr>
      </w:pPr>
      <w:r>
        <w:rPr>
          <w:rFonts w:hint="eastAsia"/>
        </w:rPr>
        <w:tab/>
        <w:t>52</w:t>
      </w:r>
      <w:r>
        <w:t>2</w:t>
      </w:r>
      <w:r>
        <w:rPr>
          <w:rFonts w:hint="eastAsia"/>
        </w:rPr>
        <w:t xml:space="preserve">.  </w:t>
      </w:r>
      <w:r>
        <w:rPr>
          <w:rFonts w:hint="eastAsia"/>
        </w:rPr>
        <w:t>为了加强医疗服务，在</w:t>
      </w:r>
      <w:r>
        <w:rPr>
          <w:rFonts w:hint="eastAsia"/>
        </w:rPr>
        <w:t>2004</w:t>
      </w:r>
      <w:r>
        <w:rPr>
          <w:rFonts w:hint="eastAsia"/>
        </w:rPr>
        <w:t>年制定了新的法律规定，以便确保在规定的时限内获得医疗服务。尽管在这一方面存在问题，但是根据欧共体统计局的民意测验，芬兰是其人民对于医疗服务体制十分满意的欧洲国家之一。</w:t>
      </w:r>
    </w:p>
    <w:p w:rsidR="00000000" w:rsidRDefault="00000000">
      <w:pPr>
        <w:spacing w:after="240"/>
        <w:rPr>
          <w:rFonts w:hint="eastAsia"/>
        </w:rPr>
      </w:pPr>
      <w:r>
        <w:rPr>
          <w:rFonts w:hint="eastAsia"/>
        </w:rPr>
        <w:tab/>
        <w:t>52</w:t>
      </w:r>
      <w:r>
        <w:t>3</w:t>
      </w:r>
      <w:r>
        <w:rPr>
          <w:rFonts w:hint="eastAsia"/>
        </w:rPr>
        <w:t xml:space="preserve">.  </w:t>
      </w:r>
      <w:r>
        <w:rPr>
          <w:rFonts w:hint="eastAsia"/>
        </w:rPr>
        <w:t>除了向全体国民提供平等服务的初级、二级以及三级医疗服务体制以外，还有照料几乎所有劳动人口的职业保健服务体制。职业保健服务的主要任务是增强职工的健康以及监测健康风险因素的影响，但是，同时还包括全科医生或者专科医生的医疗服务。</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4</w:t>
      </w:r>
      <w:r>
        <w:rPr>
          <w:rFonts w:ascii="Time New Roman" w:eastAsia="SimHei" w:hAnsi="Time New Roman" w:hint="eastAsia"/>
          <w:bCs/>
          <w:u w:val="none"/>
        </w:rPr>
        <w:t>.</w:t>
      </w:r>
      <w:r>
        <w:rPr>
          <w:rFonts w:ascii="Time New Roman" w:eastAsia="SimHei" w:hAnsi="Time New Roman"/>
          <w:bCs/>
          <w:u w:val="none"/>
        </w:rPr>
        <w:t>(</w:t>
      </w:r>
      <w:r>
        <w:rPr>
          <w:rFonts w:ascii="Time New Roman" w:eastAsia="SimHei" w:hAnsi="Time New Roman"/>
          <w:b/>
          <w:bCs/>
          <w:u w:val="none"/>
        </w:rPr>
        <w:t>a</w:t>
      </w:r>
      <w:r>
        <w:rPr>
          <w:rFonts w:ascii="Time New Roman" w:eastAsia="SimHei" w:hAnsi="Time New Roman"/>
          <w:bCs/>
          <w:u w:val="none"/>
        </w:rPr>
        <w:t>)</w:t>
      </w:r>
      <w:r>
        <w:rPr>
          <w:rFonts w:ascii="Time New Roman" w:eastAsia="SimHei" w:hAnsi="Time New Roman" w:hint="eastAsia"/>
          <w:bCs/>
          <w:u w:val="none"/>
        </w:rPr>
        <w:t xml:space="preserve"> </w:t>
      </w:r>
      <w:r>
        <w:rPr>
          <w:rFonts w:ascii="Time New Roman" w:eastAsia="SimHei" w:hAnsi="Time New Roman" w:hint="eastAsia"/>
          <w:u w:val="none"/>
        </w:rPr>
        <w:t xml:space="preserve"> </w:t>
      </w:r>
      <w:r>
        <w:rPr>
          <w:rFonts w:ascii="Time New Roman" w:eastAsia="SimHei" w:hAnsi="Time New Roman" w:hint="eastAsia"/>
          <w:u w:val="none"/>
        </w:rPr>
        <w:t>婴儿死亡率</w:t>
      </w:r>
    </w:p>
    <w:p w:rsidR="00000000" w:rsidRDefault="00000000">
      <w:pPr>
        <w:rPr>
          <w:rFonts w:hint="eastAsia"/>
        </w:rPr>
      </w:pPr>
      <w:r>
        <w:rPr>
          <w:rFonts w:hint="eastAsia"/>
        </w:rPr>
        <w:tab/>
        <w:t>52</w:t>
      </w:r>
      <w:r>
        <w:t>4</w:t>
      </w:r>
      <w:r>
        <w:rPr>
          <w:rFonts w:hint="eastAsia"/>
        </w:rPr>
        <w:t xml:space="preserve">.  </w:t>
      </w:r>
      <w:r>
        <w:rPr>
          <w:rFonts w:hint="eastAsia"/>
        </w:rPr>
        <w:t>根据有关资料，</w:t>
      </w:r>
      <w:r>
        <w:rPr>
          <w:rFonts w:hint="eastAsia"/>
        </w:rPr>
        <w:t>2000</w:t>
      </w:r>
      <w:r>
        <w:rPr>
          <w:rFonts w:hint="eastAsia"/>
        </w:rPr>
        <w:t>年至</w:t>
      </w:r>
      <w:r>
        <w:rPr>
          <w:rFonts w:hint="eastAsia"/>
        </w:rPr>
        <w:t>2003</w:t>
      </w:r>
      <w:r>
        <w:rPr>
          <w:rFonts w:hint="eastAsia"/>
        </w:rPr>
        <w:t>年的婴儿死亡率为每一千活产</w:t>
      </w:r>
      <w:r>
        <w:rPr>
          <w:rFonts w:hint="eastAsia"/>
        </w:rPr>
        <w:t>3.2 (</w:t>
      </w:r>
      <w:r>
        <w:rPr>
          <w:rFonts w:hint="eastAsia"/>
        </w:rPr>
        <w:t>年变差幅度为千分之</w:t>
      </w:r>
      <w:r>
        <w:rPr>
          <w:rFonts w:hint="eastAsia"/>
        </w:rPr>
        <w:t>3.0</w:t>
      </w:r>
      <w:r>
        <w:rPr>
          <w:rFonts w:hint="eastAsia"/>
        </w:rPr>
        <w:t>至</w:t>
      </w:r>
      <w:r>
        <w:rPr>
          <w:rFonts w:hint="eastAsia"/>
        </w:rPr>
        <w:t>3.6)</w:t>
      </w:r>
      <w:r>
        <w:rPr>
          <w:rFonts w:hint="eastAsia"/>
        </w:rPr>
        <w:t>。官方数字接近于儿童基金会</w:t>
      </w:r>
      <w:r>
        <w:rPr>
          <w:rFonts w:hint="eastAsia"/>
          <w:spacing w:val="-50"/>
        </w:rPr>
        <w:t>―</w:t>
      </w:r>
      <w:r>
        <w:rPr>
          <w:rFonts w:hint="eastAsia"/>
        </w:rPr>
        <w:t>―世界卫生组织的估计数字：</w:t>
      </w:r>
      <w:r>
        <w:rPr>
          <w:rFonts w:hint="eastAsia"/>
        </w:rPr>
        <w:t>2000</w:t>
      </w:r>
      <w:r>
        <w:rPr>
          <w:rFonts w:hint="eastAsia"/>
        </w:rPr>
        <w:t>年为每一千活产四名婴儿死亡。男孩的婴儿死亡率要高一些</w:t>
      </w:r>
      <w:r>
        <w:rPr>
          <w:rFonts w:hint="eastAsia"/>
        </w:rPr>
        <w:t>(</w:t>
      </w:r>
      <w:r>
        <w:rPr>
          <w:rFonts w:hint="eastAsia"/>
        </w:rPr>
        <w:t>千三之</w:t>
      </w:r>
      <w:r>
        <w:rPr>
          <w:rFonts w:hint="eastAsia"/>
        </w:rPr>
        <w:t>3.7)</w:t>
      </w:r>
      <w:r>
        <w:rPr>
          <w:rFonts w:hint="eastAsia"/>
        </w:rPr>
        <w:t>；女孩的比例要低一些</w:t>
      </w:r>
      <w:r>
        <w:rPr>
          <w:rFonts w:hint="eastAsia"/>
        </w:rPr>
        <w:t>(</w:t>
      </w:r>
      <w:r>
        <w:rPr>
          <w:rFonts w:hint="eastAsia"/>
        </w:rPr>
        <w:t>千分之</w:t>
      </w:r>
      <w:r>
        <w:rPr>
          <w:rFonts w:hint="eastAsia"/>
        </w:rPr>
        <w:t>2.7)</w:t>
      </w:r>
      <w:r>
        <w:rPr>
          <w:rFonts w:hint="eastAsia"/>
        </w:rPr>
        <w:t>。城市地区</w:t>
      </w:r>
      <w:r>
        <w:rPr>
          <w:rFonts w:hint="eastAsia"/>
        </w:rPr>
        <w:t xml:space="preserve"> </w:t>
      </w:r>
      <w:r>
        <w:rPr>
          <w:rStyle w:val="EndnoteReference"/>
        </w:rPr>
        <w:endnoteReference w:id="10"/>
      </w:r>
      <w:r>
        <w:rPr>
          <w:rFonts w:hint="eastAsia"/>
          <w:vertAlign w:val="superscript"/>
        </w:rPr>
        <w:t xml:space="preserve">  </w:t>
      </w:r>
      <w:r>
        <w:rPr>
          <w:rFonts w:hint="eastAsia"/>
        </w:rPr>
        <w:t>同农村地区在婴儿死亡率方面差别不大：前者为千分之</w:t>
      </w:r>
      <w:r>
        <w:rPr>
          <w:rFonts w:hint="eastAsia"/>
        </w:rPr>
        <w:t xml:space="preserve">3.3, </w:t>
      </w:r>
      <w:r>
        <w:rPr>
          <w:rFonts w:hint="eastAsia"/>
        </w:rPr>
        <w:t>后者为千分之</w:t>
      </w:r>
      <w:r>
        <w:rPr>
          <w:rFonts w:hint="eastAsia"/>
        </w:rPr>
        <w:t>3.1</w:t>
      </w:r>
      <w:r>
        <w:rPr>
          <w:rFonts w:hint="eastAsia"/>
        </w:rPr>
        <w:t>。各个地区</w:t>
      </w:r>
      <w:r>
        <w:rPr>
          <w:rFonts w:hint="eastAsia"/>
        </w:rPr>
        <w:t>(</w:t>
      </w:r>
      <w:r>
        <w:rPr>
          <w:rFonts w:hint="eastAsia"/>
        </w:rPr>
        <w:t>六个地区</w:t>
      </w:r>
      <w:r>
        <w:rPr>
          <w:rFonts w:hint="eastAsia"/>
        </w:rPr>
        <w:t>)</w:t>
      </w:r>
      <w:r>
        <w:rPr>
          <w:rFonts w:hint="eastAsia"/>
        </w:rPr>
        <w:t>在婴儿死亡率方面的差别就要大一些：最低为千分之</w:t>
      </w:r>
      <w:r>
        <w:rPr>
          <w:rFonts w:hint="eastAsia"/>
        </w:rPr>
        <w:t>2.7</w:t>
      </w:r>
      <w:r>
        <w:rPr>
          <w:rFonts w:hint="eastAsia"/>
        </w:rPr>
        <w:t>、最高为千分之</w:t>
      </w:r>
      <w:r>
        <w:rPr>
          <w:rFonts w:hint="eastAsia"/>
        </w:rPr>
        <w:t>3.8</w:t>
      </w:r>
      <w:r>
        <w:rPr>
          <w:rFonts w:hint="eastAsia"/>
        </w:rPr>
        <w:t>。婴儿死亡率差别的部分原因在于父母的背景不同</w:t>
      </w:r>
      <w:r>
        <w:rPr>
          <w:rFonts w:hint="eastAsia"/>
        </w:rPr>
        <w:t>(</w:t>
      </w:r>
      <w:r>
        <w:t>Gissler</w:t>
      </w:r>
      <w:r>
        <w:rPr>
          <w:rFonts w:hint="eastAsia"/>
        </w:rPr>
        <w:t>及其他人，</w:t>
      </w:r>
      <w:r>
        <w:rPr>
          <w:rFonts w:hint="eastAsia"/>
        </w:rPr>
        <w:t>2000</w:t>
      </w:r>
      <w:r>
        <w:rPr>
          <w:rFonts w:hint="eastAsia"/>
        </w:rPr>
        <w:t>年</w:t>
      </w:r>
      <w:r>
        <w:rPr>
          <w:rFonts w:hint="eastAsia"/>
        </w:rPr>
        <w:t>)</w:t>
      </w:r>
      <w:r>
        <w:rPr>
          <w:rFonts w:hint="eastAsia"/>
        </w:rPr>
        <w:t>。</w:t>
      </w:r>
    </w:p>
    <w:p w:rsidR="00000000" w:rsidRDefault="00000000">
      <w:pPr>
        <w:rPr>
          <w:rFonts w:hint="eastAsia"/>
        </w:rPr>
      </w:pPr>
      <w:r>
        <w:rPr>
          <w:rFonts w:hint="eastAsia"/>
        </w:rPr>
        <w:tab/>
        <w:t>52</w:t>
      </w:r>
      <w:r>
        <w:t>5</w:t>
      </w:r>
      <w:r>
        <w:rPr>
          <w:rFonts w:hint="eastAsia"/>
        </w:rPr>
        <w:t xml:space="preserve">.  </w:t>
      </w:r>
      <w:r>
        <w:rPr>
          <w:rFonts w:hint="eastAsia"/>
        </w:rPr>
        <w:t>从产妇的社会和经济地位的角度来分析，可以注意到，底层白领工人以及企业家的婴儿死亡最低</w:t>
      </w:r>
      <w:r>
        <w:rPr>
          <w:rFonts w:hint="eastAsia"/>
        </w:rPr>
        <w:t>(</w:t>
      </w:r>
      <w:r>
        <w:rPr>
          <w:rFonts w:hint="eastAsia"/>
        </w:rPr>
        <w:t>千分之</w:t>
      </w:r>
      <w:r>
        <w:rPr>
          <w:rFonts w:hint="eastAsia"/>
        </w:rPr>
        <w:t>2.7)</w:t>
      </w:r>
      <w:r>
        <w:rPr>
          <w:rFonts w:hint="eastAsia"/>
        </w:rPr>
        <w:t>，其次是上层白领工人</w:t>
      </w:r>
      <w:r>
        <w:rPr>
          <w:rFonts w:hint="eastAsia"/>
        </w:rPr>
        <w:t>(</w:t>
      </w:r>
      <w:r>
        <w:rPr>
          <w:rFonts w:hint="eastAsia"/>
        </w:rPr>
        <w:t>千分之</w:t>
      </w:r>
      <w:r>
        <w:rPr>
          <w:rFonts w:hint="eastAsia"/>
        </w:rPr>
        <w:t>3.2)</w:t>
      </w:r>
      <w:r>
        <w:rPr>
          <w:rFonts w:hint="eastAsia"/>
        </w:rPr>
        <w:t>。蓝领工人的婴儿死亡率要高一些</w:t>
      </w:r>
      <w:r>
        <w:rPr>
          <w:rFonts w:hint="eastAsia"/>
        </w:rPr>
        <w:t>(</w:t>
      </w:r>
      <w:r>
        <w:rPr>
          <w:rFonts w:hint="eastAsia"/>
        </w:rPr>
        <w:t>千分之</w:t>
      </w:r>
      <w:r>
        <w:rPr>
          <w:rFonts w:hint="eastAsia"/>
        </w:rPr>
        <w:t>3.7)</w:t>
      </w:r>
      <w:r>
        <w:rPr>
          <w:rFonts w:hint="eastAsia"/>
        </w:rPr>
        <w:t>，学生和家庭主妇的群体也是如此</w:t>
      </w:r>
      <w:r>
        <w:rPr>
          <w:rFonts w:hint="eastAsia"/>
        </w:rPr>
        <w:t>(</w:t>
      </w:r>
      <w:r>
        <w:rPr>
          <w:rFonts w:hint="eastAsia"/>
        </w:rPr>
        <w:t>千分之</w:t>
      </w:r>
      <w:r>
        <w:rPr>
          <w:rFonts w:hint="eastAsia"/>
        </w:rPr>
        <w:t>3.6)</w:t>
      </w:r>
      <w:r>
        <w:rPr>
          <w:rFonts w:hint="eastAsia"/>
        </w:rPr>
        <w:t>。在对诸如年龄和胎次等生物风险因素进行调整以后，这些差别也缩小了</w:t>
      </w:r>
      <w:r>
        <w:rPr>
          <w:rFonts w:hint="eastAsia"/>
        </w:rPr>
        <w:t>(</w:t>
      </w:r>
      <w:r>
        <w:t>Gissler</w:t>
      </w:r>
      <w:r>
        <w:rPr>
          <w:rFonts w:hint="eastAsia"/>
        </w:rPr>
        <w:t xml:space="preserve"> </w:t>
      </w:r>
      <w:r>
        <w:rPr>
          <w:rFonts w:hint="eastAsia"/>
        </w:rPr>
        <w:t>及其他人，</w:t>
      </w:r>
      <w:r>
        <w:rPr>
          <w:rFonts w:hint="eastAsia"/>
        </w:rPr>
        <w:t>2003</w:t>
      </w:r>
      <w:r>
        <w:rPr>
          <w:rFonts w:hint="eastAsia"/>
        </w:rPr>
        <w:t>年</w:t>
      </w:r>
      <w:r>
        <w:rPr>
          <w:rFonts w:hint="eastAsia"/>
        </w:rPr>
        <w:t>)</w:t>
      </w:r>
      <w:r>
        <w:rPr>
          <w:rFonts w:hint="eastAsia"/>
        </w:rPr>
        <w:t>。</w:t>
      </w:r>
    </w:p>
    <w:p w:rsidR="00000000" w:rsidRDefault="00000000">
      <w:pPr>
        <w:spacing w:after="240"/>
        <w:rPr>
          <w:rFonts w:hint="eastAsia"/>
        </w:rPr>
      </w:pPr>
      <w:r>
        <w:rPr>
          <w:rFonts w:hint="eastAsia"/>
        </w:rPr>
        <w:tab/>
        <w:t>52</w:t>
      </w:r>
      <w:r>
        <w:t>6</w:t>
      </w:r>
      <w:r>
        <w:rPr>
          <w:rFonts w:hint="eastAsia"/>
        </w:rPr>
        <w:t xml:space="preserve">.  </w:t>
      </w:r>
      <w:r>
        <w:rPr>
          <w:rFonts w:hint="eastAsia"/>
        </w:rPr>
        <w:t>根据至今尚未公布的有关移民产妇产期健康的数据，芬兰产妇新生儿的产期死亡率为千分之</w:t>
      </w:r>
      <w:r>
        <w:rPr>
          <w:rFonts w:hint="eastAsia"/>
        </w:rPr>
        <w:t xml:space="preserve">5.7, </w:t>
      </w:r>
      <w:r>
        <w:rPr>
          <w:rFonts w:hint="eastAsia"/>
        </w:rPr>
        <w:t>而其他背景的产妇的新生儿死亡率为千分之</w:t>
      </w:r>
      <w:r>
        <w:rPr>
          <w:rFonts w:hint="eastAsia"/>
        </w:rPr>
        <w:t>5.9</w:t>
      </w:r>
      <w:r>
        <w:rPr>
          <w:rFonts w:hint="eastAsia"/>
        </w:rPr>
        <w:t>。非洲妇女</w:t>
      </w:r>
      <w:r>
        <w:rPr>
          <w:rFonts w:hint="eastAsia"/>
        </w:rPr>
        <w:t>(</w:t>
      </w:r>
      <w:r>
        <w:rPr>
          <w:rFonts w:hint="eastAsia"/>
        </w:rPr>
        <w:t>不包括北非和索马里妇女</w:t>
      </w:r>
      <w:r>
        <w:rPr>
          <w:rFonts w:hint="eastAsia"/>
        </w:rPr>
        <w:t>)</w:t>
      </w:r>
      <w:r>
        <w:rPr>
          <w:rFonts w:hint="eastAsia"/>
        </w:rPr>
        <w:t>以及索马里妇女的产期新生儿死亡率要高一些：前者为千分之</w:t>
      </w:r>
      <w:r>
        <w:rPr>
          <w:rFonts w:hint="eastAsia"/>
        </w:rPr>
        <w:t xml:space="preserve">28, </w:t>
      </w:r>
      <w:r>
        <w:rPr>
          <w:rFonts w:hint="eastAsia"/>
        </w:rPr>
        <w:t>后者为千分之</w:t>
      </w:r>
      <w:r>
        <w:rPr>
          <w:rFonts w:hint="eastAsia"/>
        </w:rPr>
        <w:t>12</w:t>
      </w:r>
      <w:r>
        <w:rPr>
          <w:rFonts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4</w:t>
      </w:r>
      <w:r>
        <w:rPr>
          <w:rFonts w:ascii="Time New Roman" w:eastAsia="SimHei" w:hAnsi="Time New Roman" w:hint="eastAsia"/>
          <w:bCs/>
          <w:u w:val="none"/>
        </w:rPr>
        <w:t>.</w:t>
      </w:r>
      <w:r>
        <w:rPr>
          <w:rFonts w:ascii="Time New Roman" w:eastAsia="SimHei" w:hAnsi="Time New Roman"/>
          <w:bCs/>
          <w:u w:val="none"/>
        </w:rPr>
        <w:t>(</w:t>
      </w:r>
      <w:r>
        <w:rPr>
          <w:rFonts w:ascii="Time New Roman" w:eastAsia="SimHei" w:hAnsi="Time New Roman"/>
          <w:b/>
          <w:bCs/>
          <w:u w:val="none"/>
        </w:rPr>
        <w:t>b</w:t>
      </w:r>
      <w:r>
        <w:rPr>
          <w:rFonts w:ascii="Time New Roman" w:eastAsia="SimHei" w:hAnsi="Time New Roman"/>
          <w:bCs/>
          <w:u w:val="none"/>
        </w:rPr>
        <w:t>)</w:t>
      </w:r>
      <w:r>
        <w:rPr>
          <w:rFonts w:ascii="Time New Roman" w:eastAsia="SimHei" w:hAnsi="Time New Roman" w:hint="eastAsia"/>
          <w:u w:val="none"/>
        </w:rPr>
        <w:t xml:space="preserve">  </w:t>
      </w:r>
      <w:r>
        <w:rPr>
          <w:rFonts w:ascii="Time New Roman" w:eastAsia="SimHei" w:hAnsi="Time New Roman" w:hint="eastAsia"/>
          <w:u w:val="none"/>
        </w:rPr>
        <w:t>获得安全饮水</w:t>
      </w:r>
    </w:p>
    <w:p w:rsidR="00000000" w:rsidRDefault="00000000">
      <w:pPr>
        <w:spacing w:after="240"/>
        <w:rPr>
          <w:rFonts w:hint="eastAsia"/>
        </w:rPr>
      </w:pPr>
      <w:r>
        <w:rPr>
          <w:rFonts w:hint="eastAsia"/>
        </w:rPr>
        <w:tab/>
        <w:t>52</w:t>
      </w:r>
      <w:r>
        <w:t>7</w:t>
      </w:r>
      <w:r>
        <w:rPr>
          <w:rFonts w:hint="eastAsia"/>
        </w:rPr>
        <w:t xml:space="preserve">.  </w:t>
      </w:r>
      <w:r>
        <w:rPr>
          <w:rFonts w:hint="eastAsia"/>
        </w:rPr>
        <w:t>芬兰全体人口都能获得干净和安全的饮水。大约</w:t>
      </w:r>
      <w:r>
        <w:rPr>
          <w:rFonts w:hint="eastAsia"/>
        </w:rPr>
        <w:t>90%</w:t>
      </w:r>
      <w:r>
        <w:rPr>
          <w:rFonts w:hint="eastAsia"/>
        </w:rPr>
        <w:t>的人口都能享用自来水，</w:t>
      </w:r>
      <w:r>
        <w:rPr>
          <w:rFonts w:hint="eastAsia"/>
        </w:rPr>
        <w:t>10%</w:t>
      </w:r>
      <w:r>
        <w:rPr>
          <w:rFonts w:hint="eastAsia"/>
        </w:rPr>
        <w:t>的人使用井水。使用井水的人口主要居住在人口稀少地区。</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c</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bCs/>
          <w:u w:val="none"/>
        </w:rPr>
        <w:t>粪便处理设施</w:t>
      </w:r>
    </w:p>
    <w:p w:rsidR="00000000" w:rsidRDefault="00000000">
      <w:pPr>
        <w:spacing w:after="160"/>
        <w:rPr>
          <w:rFonts w:hint="eastAsia"/>
        </w:rPr>
      </w:pPr>
      <w:r>
        <w:rPr>
          <w:rFonts w:hint="eastAsia"/>
        </w:rPr>
        <w:tab/>
        <w:t>52</w:t>
      </w:r>
      <w:r>
        <w:t>8</w:t>
      </w:r>
      <w:r>
        <w:rPr>
          <w:rFonts w:hint="eastAsia"/>
        </w:rPr>
        <w:t xml:space="preserve">.  </w:t>
      </w:r>
      <w:r>
        <w:rPr>
          <w:rFonts w:hint="eastAsia"/>
        </w:rPr>
        <w:t>芬兰全国都有粪便处理设施。排污系统服务于大约全国</w:t>
      </w:r>
      <w:r>
        <w:rPr>
          <w:rFonts w:hint="eastAsia"/>
        </w:rPr>
        <w:t>81%</w:t>
      </w:r>
      <w:r>
        <w:rPr>
          <w:rFonts w:hint="eastAsia"/>
        </w:rPr>
        <w:t>的人口</w:t>
      </w:r>
      <w:r>
        <w:rPr>
          <w:rFonts w:hint="eastAsia"/>
        </w:rPr>
        <w:t>(420</w:t>
      </w:r>
      <w:r>
        <w:rPr>
          <w:rFonts w:hint="eastAsia"/>
        </w:rPr>
        <w:t>万人</w:t>
      </w:r>
      <w:r>
        <w:rPr>
          <w:rFonts w:hint="eastAsia"/>
        </w:rPr>
        <w:t>)</w:t>
      </w:r>
      <w:r>
        <w:rPr>
          <w:rFonts w:hint="eastAsia"/>
        </w:rPr>
        <w:t>，而</w:t>
      </w:r>
      <w:r>
        <w:rPr>
          <w:rFonts w:hint="eastAsia"/>
        </w:rPr>
        <w:t>19%</w:t>
      </w:r>
      <w:r>
        <w:rPr>
          <w:rFonts w:hint="eastAsia"/>
        </w:rPr>
        <w:t>的人口</w:t>
      </w:r>
      <w:r>
        <w:rPr>
          <w:rFonts w:hint="eastAsia"/>
        </w:rPr>
        <w:t>(100</w:t>
      </w:r>
      <w:r>
        <w:rPr>
          <w:rFonts w:hint="eastAsia"/>
        </w:rPr>
        <w:t>万人</w:t>
      </w:r>
      <w:r>
        <w:rPr>
          <w:rFonts w:hint="eastAsia"/>
        </w:rPr>
        <w:t>)</w:t>
      </w:r>
      <w:r>
        <w:rPr>
          <w:rFonts w:hint="eastAsia"/>
        </w:rPr>
        <w:t>拥有私人的污水处理系统。这些系统主要使用于人口稀少地区。</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d</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bCs/>
          <w:u w:val="none"/>
        </w:rPr>
        <w:t>婴儿免疫</w:t>
      </w:r>
    </w:p>
    <w:p w:rsidR="00000000" w:rsidRDefault="00000000">
      <w:pPr>
        <w:spacing w:after="160"/>
        <w:rPr>
          <w:rFonts w:hint="eastAsia"/>
        </w:rPr>
      </w:pPr>
      <w:r>
        <w:rPr>
          <w:rFonts w:hint="eastAsia"/>
        </w:rPr>
        <w:tab/>
        <w:t>5</w:t>
      </w:r>
      <w:r>
        <w:t>29</w:t>
      </w:r>
      <w:r>
        <w:rPr>
          <w:rFonts w:hint="eastAsia"/>
        </w:rPr>
        <w:t xml:space="preserve">.  </w:t>
      </w:r>
      <w:r>
        <w:rPr>
          <w:rFonts w:hint="eastAsia"/>
        </w:rPr>
        <w:t>婴儿接种疫苗，以便预防一般性准则中所提到的那些疾病，详情请看下表。对于有关在</w:t>
      </w:r>
      <w:r>
        <w:rPr>
          <w:rFonts w:hint="eastAsia"/>
        </w:rPr>
        <w:t>1997</w:t>
      </w:r>
      <w:r>
        <w:rPr>
          <w:rFonts w:hint="eastAsia"/>
        </w:rPr>
        <w:t>年出生的</w:t>
      </w:r>
      <w:r>
        <w:rPr>
          <w:rFonts w:hint="eastAsia"/>
        </w:rPr>
        <w:t>1,000</w:t>
      </w:r>
      <w:r>
        <w:rPr>
          <w:rFonts w:hint="eastAsia"/>
        </w:rPr>
        <w:t>名儿童接种疫苗的数据进行了抽样研究，从而审查了疫苗的接种面。这项数据显示了两岁儿童的疫苗接种面。根据对于这项数据的审查，儿童的年龄越小，疫苗的接种面就越大。芬兰的疫苗接种面仍然是很大的，虽然还比不上两年以前。</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hint="eastAsia"/>
          <w:b/>
          <w:sz w:val="22"/>
          <w:u w:val="none"/>
        </w:rPr>
        <w:t>28</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2000</w:t>
      </w:r>
      <w:r>
        <w:rPr>
          <w:rFonts w:ascii="Time New Roman" w:eastAsia="SimHei" w:hAnsi="Time New Roman" w:hint="eastAsia"/>
          <w:sz w:val="22"/>
          <w:u w:val="none"/>
        </w:rPr>
        <w:t>年的疫苗接种数据</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97"/>
        <w:gridCol w:w="3806"/>
      </w:tblGrid>
      <w:tr w:rsidR="00000000">
        <w:tblPrEx>
          <w:tblCellMar>
            <w:top w:w="0" w:type="dxa"/>
            <w:bottom w:w="0" w:type="dxa"/>
          </w:tblCellMar>
        </w:tblPrEx>
        <w:tc>
          <w:tcPr>
            <w:tcW w:w="3697" w:type="dxa"/>
          </w:tcPr>
          <w:p w:rsidR="00000000" w:rsidRDefault="00000000">
            <w:pPr>
              <w:spacing w:before="120" w:line="288" w:lineRule="auto"/>
              <w:ind w:left="113"/>
              <w:rPr>
                <w:rFonts w:hint="eastAsia"/>
                <w:sz w:val="22"/>
              </w:rPr>
            </w:pPr>
            <w:r>
              <w:rPr>
                <w:rFonts w:hint="eastAsia"/>
                <w:sz w:val="22"/>
              </w:rPr>
              <w:t>接种疫苗</w:t>
            </w:r>
          </w:p>
        </w:tc>
        <w:tc>
          <w:tcPr>
            <w:tcW w:w="3806" w:type="dxa"/>
          </w:tcPr>
          <w:p w:rsidR="00000000" w:rsidRDefault="00000000">
            <w:pPr>
              <w:spacing w:before="120" w:line="288" w:lineRule="auto"/>
              <w:jc w:val="center"/>
              <w:rPr>
                <w:rFonts w:hint="eastAsia"/>
                <w:sz w:val="22"/>
              </w:rPr>
            </w:pPr>
            <w:r>
              <w:rPr>
                <w:rFonts w:hint="eastAsia"/>
                <w:sz w:val="22"/>
              </w:rPr>
              <w:t>婴儿的接种面</w:t>
            </w:r>
            <w:r>
              <w:rPr>
                <w:rFonts w:hint="eastAsia"/>
                <w:sz w:val="22"/>
              </w:rPr>
              <w:t>(</w:t>
            </w:r>
            <w:r>
              <w:rPr>
                <w:rFonts w:hint="eastAsia"/>
                <w:sz w:val="22"/>
              </w:rPr>
              <w:t>百分比</w:t>
            </w:r>
            <w:r>
              <w:rPr>
                <w:rFonts w:hint="eastAsia"/>
                <w:sz w:val="22"/>
              </w:rPr>
              <w:t>)</w:t>
            </w:r>
          </w:p>
        </w:tc>
      </w:tr>
      <w:tr w:rsidR="00000000">
        <w:tblPrEx>
          <w:tblCellMar>
            <w:top w:w="0" w:type="dxa"/>
            <w:bottom w:w="0" w:type="dxa"/>
          </w:tblCellMar>
        </w:tblPrEx>
        <w:tc>
          <w:tcPr>
            <w:tcW w:w="3697" w:type="dxa"/>
            <w:tcBorders>
              <w:bottom w:val="nil"/>
            </w:tcBorders>
          </w:tcPr>
          <w:p w:rsidR="00000000" w:rsidRDefault="00000000">
            <w:pPr>
              <w:spacing w:before="100" w:line="312" w:lineRule="auto"/>
              <w:ind w:left="113"/>
              <w:rPr>
                <w:rFonts w:hint="eastAsia"/>
                <w:sz w:val="22"/>
              </w:rPr>
            </w:pPr>
            <w:r>
              <w:rPr>
                <w:rFonts w:hint="eastAsia"/>
                <w:sz w:val="22"/>
              </w:rPr>
              <w:t>肺结核</w:t>
            </w:r>
            <w:r>
              <w:rPr>
                <w:rFonts w:hint="eastAsia"/>
                <w:sz w:val="22"/>
              </w:rPr>
              <w:t>(</w:t>
            </w:r>
            <w:r>
              <w:rPr>
                <w:rFonts w:hint="eastAsia"/>
                <w:sz w:val="22"/>
              </w:rPr>
              <w:t>新生儿</w:t>
            </w:r>
            <w:r>
              <w:rPr>
                <w:rFonts w:hint="eastAsia"/>
                <w:sz w:val="22"/>
              </w:rPr>
              <w:t>)</w:t>
            </w:r>
          </w:p>
        </w:tc>
        <w:tc>
          <w:tcPr>
            <w:tcW w:w="3806" w:type="dxa"/>
            <w:tcBorders>
              <w:bottom w:val="nil"/>
            </w:tcBorders>
          </w:tcPr>
          <w:p w:rsidR="00000000" w:rsidRDefault="00000000">
            <w:pPr>
              <w:spacing w:before="100" w:line="312" w:lineRule="auto"/>
              <w:jc w:val="center"/>
              <w:rPr>
                <w:sz w:val="22"/>
              </w:rPr>
            </w:pPr>
            <w:r>
              <w:rPr>
                <w:sz w:val="22"/>
              </w:rPr>
              <w:t>98.9</w:t>
            </w:r>
          </w:p>
        </w:tc>
      </w:tr>
      <w:tr w:rsidR="00000000">
        <w:tblPrEx>
          <w:tblCellMar>
            <w:top w:w="0" w:type="dxa"/>
            <w:bottom w:w="0" w:type="dxa"/>
          </w:tblCellMar>
        </w:tblPrEx>
        <w:tc>
          <w:tcPr>
            <w:tcW w:w="3697" w:type="dxa"/>
            <w:tcBorders>
              <w:top w:val="nil"/>
              <w:bottom w:val="nil"/>
            </w:tcBorders>
          </w:tcPr>
          <w:p w:rsidR="00000000" w:rsidRDefault="00000000">
            <w:pPr>
              <w:spacing w:line="312" w:lineRule="auto"/>
              <w:ind w:left="113"/>
              <w:rPr>
                <w:rFonts w:hint="eastAsia"/>
                <w:sz w:val="22"/>
              </w:rPr>
            </w:pPr>
            <w:r>
              <w:rPr>
                <w:rFonts w:hint="eastAsia"/>
                <w:sz w:val="22"/>
              </w:rPr>
              <w:t>百日咳、白喉以及破伤风</w:t>
            </w:r>
          </w:p>
        </w:tc>
        <w:tc>
          <w:tcPr>
            <w:tcW w:w="3806" w:type="dxa"/>
            <w:tcBorders>
              <w:top w:val="nil"/>
              <w:bottom w:val="nil"/>
            </w:tcBorders>
          </w:tcPr>
          <w:p w:rsidR="00000000" w:rsidRDefault="00000000">
            <w:pPr>
              <w:spacing w:line="312" w:lineRule="auto"/>
              <w:jc w:val="center"/>
              <w:rPr>
                <w:sz w:val="22"/>
              </w:rPr>
            </w:pPr>
            <w:r>
              <w:rPr>
                <w:sz w:val="22"/>
              </w:rPr>
              <w:t>94.7</w:t>
            </w:r>
          </w:p>
        </w:tc>
      </w:tr>
      <w:tr w:rsidR="00000000">
        <w:tblPrEx>
          <w:tblCellMar>
            <w:top w:w="0" w:type="dxa"/>
            <w:bottom w:w="0" w:type="dxa"/>
          </w:tblCellMar>
        </w:tblPrEx>
        <w:tc>
          <w:tcPr>
            <w:tcW w:w="3697" w:type="dxa"/>
            <w:tcBorders>
              <w:top w:val="nil"/>
              <w:bottom w:val="nil"/>
            </w:tcBorders>
          </w:tcPr>
          <w:p w:rsidR="00000000" w:rsidRDefault="00000000">
            <w:pPr>
              <w:spacing w:line="312" w:lineRule="auto"/>
              <w:ind w:left="113"/>
              <w:rPr>
                <w:rFonts w:hint="eastAsia"/>
                <w:sz w:val="22"/>
              </w:rPr>
            </w:pPr>
            <w:r>
              <w:rPr>
                <w:rFonts w:hint="eastAsia"/>
                <w:sz w:val="22"/>
              </w:rPr>
              <w:t>小儿麻痹症</w:t>
            </w:r>
          </w:p>
        </w:tc>
        <w:tc>
          <w:tcPr>
            <w:tcW w:w="3806" w:type="dxa"/>
            <w:tcBorders>
              <w:top w:val="nil"/>
              <w:bottom w:val="nil"/>
            </w:tcBorders>
          </w:tcPr>
          <w:p w:rsidR="00000000" w:rsidRDefault="00000000">
            <w:pPr>
              <w:spacing w:line="312" w:lineRule="auto"/>
              <w:jc w:val="center"/>
              <w:rPr>
                <w:sz w:val="22"/>
              </w:rPr>
            </w:pPr>
            <w:r>
              <w:rPr>
                <w:sz w:val="22"/>
              </w:rPr>
              <w:t>95.7</w:t>
            </w:r>
          </w:p>
        </w:tc>
      </w:tr>
      <w:tr w:rsidR="00000000">
        <w:tblPrEx>
          <w:tblCellMar>
            <w:top w:w="0" w:type="dxa"/>
            <w:bottom w:w="0" w:type="dxa"/>
          </w:tblCellMar>
        </w:tblPrEx>
        <w:tc>
          <w:tcPr>
            <w:tcW w:w="3697" w:type="dxa"/>
            <w:tcBorders>
              <w:top w:val="nil"/>
            </w:tcBorders>
          </w:tcPr>
          <w:p w:rsidR="00000000" w:rsidRDefault="00000000">
            <w:pPr>
              <w:spacing w:line="312" w:lineRule="auto"/>
              <w:ind w:left="113"/>
              <w:rPr>
                <w:rFonts w:hint="eastAsia"/>
                <w:sz w:val="22"/>
              </w:rPr>
            </w:pPr>
            <w:r>
              <w:rPr>
                <w:rFonts w:hint="eastAsia"/>
                <w:sz w:val="22"/>
              </w:rPr>
              <w:t>麻诊、腮腺炎以及风疹</w:t>
            </w:r>
          </w:p>
        </w:tc>
        <w:tc>
          <w:tcPr>
            <w:tcW w:w="3806" w:type="dxa"/>
            <w:tcBorders>
              <w:top w:val="nil"/>
            </w:tcBorders>
          </w:tcPr>
          <w:p w:rsidR="00000000" w:rsidRDefault="00000000">
            <w:pPr>
              <w:spacing w:line="312" w:lineRule="auto"/>
              <w:jc w:val="center"/>
              <w:rPr>
                <w:sz w:val="22"/>
              </w:rPr>
            </w:pPr>
            <w:r>
              <w:rPr>
                <w:sz w:val="22"/>
              </w:rPr>
              <w:t>95.7</w:t>
            </w:r>
          </w:p>
        </w:tc>
      </w:tr>
    </w:tbl>
    <w:p w:rsidR="00000000" w:rsidRDefault="00000000">
      <w:pPr>
        <w:pStyle w:val="a6"/>
        <w:spacing w:line="168" w:lineRule="auto"/>
        <w:rPr>
          <w:rFonts w:eastAsia="SimSun" w:hint="eastAsia"/>
        </w:rPr>
      </w:pPr>
    </w:p>
    <w:p w:rsidR="00000000" w:rsidRDefault="00000000">
      <w:pPr>
        <w:rPr>
          <w:rFonts w:eastAsia="KaiTi_GB2312"/>
          <w:spacing w:val="0"/>
        </w:rPr>
      </w:pPr>
      <w:r>
        <w:rPr>
          <w:rFonts w:eastAsia="KaiTi_GB2312" w:hint="eastAsia"/>
          <w:spacing w:val="0"/>
        </w:rPr>
        <w:tab/>
      </w:r>
      <w:r>
        <w:rPr>
          <w:rFonts w:eastAsia="KaiTi_GB2312"/>
          <w:spacing w:val="0"/>
        </w:rPr>
        <w:tab/>
        <w:t xml:space="preserve">  </w:t>
      </w:r>
      <w:r>
        <w:rPr>
          <w:rFonts w:eastAsia="KaiTi_GB2312" w:hint="eastAsia"/>
          <w:spacing w:val="0"/>
          <w:u w:val="single"/>
        </w:rPr>
        <w:t>资料来源</w:t>
      </w:r>
      <w:r>
        <w:rPr>
          <w:rFonts w:eastAsia="KaiTi_GB2312" w:hint="eastAsia"/>
          <w:spacing w:val="0"/>
        </w:rPr>
        <w:t>：国家公共卫生研究所。</w:t>
      </w:r>
    </w:p>
    <w:p w:rsidR="00000000" w:rsidRDefault="00000000"/>
    <w:p w:rsidR="00000000" w:rsidRDefault="00000000">
      <w:pPr>
        <w:spacing w:after="320"/>
        <w:rPr>
          <w:rFonts w:hint="eastAsia"/>
        </w:rPr>
      </w:pPr>
      <w:r>
        <w:rPr>
          <w:rFonts w:hint="eastAsia"/>
        </w:rPr>
        <w:tab/>
        <w:t>53</w:t>
      </w:r>
      <w:r>
        <w:t>0.</w:t>
      </w:r>
      <w:r>
        <w:rPr>
          <w:rFonts w:hint="eastAsia"/>
        </w:rPr>
        <w:t xml:space="preserve">  </w:t>
      </w:r>
      <w:r>
        <w:rPr>
          <w:rFonts w:hint="eastAsia"/>
        </w:rPr>
        <w:t>在芬兰不存在由性别或者住地引起的在疫苗接种面方面的差别。</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w:t>
      </w:r>
      <w:r>
        <w:rPr>
          <w:rFonts w:ascii="Time New Roman" w:eastAsia="SimHei" w:hAnsi="Time New Roman"/>
          <w:b/>
          <w:u w:val="none"/>
        </w:rPr>
        <w:t>e</w:t>
      </w:r>
      <w:r>
        <w:rPr>
          <w:rFonts w:ascii="Time New Roman" w:eastAsia="SimHei" w:hAnsi="Time New Roman" w:hint="eastAsia"/>
          <w:u w:val="none"/>
        </w:rPr>
        <w:t>)</w:t>
      </w:r>
      <w:r>
        <w:rPr>
          <w:rFonts w:ascii="Time New Roman" w:eastAsia="SimHei" w:hAnsi="Time New Roman"/>
          <w:u w:val="none"/>
        </w:rPr>
        <w:t xml:space="preserve">  </w:t>
      </w:r>
      <w:r>
        <w:rPr>
          <w:rFonts w:ascii="Time New Roman" w:eastAsia="SimHei" w:hAnsi="Time New Roman" w:hint="eastAsia"/>
          <w:u w:val="none"/>
        </w:rPr>
        <w:t>预期寿命</w:t>
      </w:r>
    </w:p>
    <w:p w:rsidR="00000000" w:rsidRDefault="00000000">
      <w:pPr>
        <w:rPr>
          <w:rFonts w:hint="eastAsia"/>
        </w:rPr>
      </w:pPr>
      <w:r>
        <w:rPr>
          <w:rFonts w:hint="eastAsia"/>
        </w:rPr>
        <w:tab/>
        <w:t>53</w:t>
      </w:r>
      <w:r>
        <w:t>1.</w:t>
      </w:r>
      <w:r>
        <w:rPr>
          <w:rFonts w:hint="eastAsia"/>
        </w:rPr>
        <w:t xml:space="preserve">  2003</w:t>
      </w:r>
      <w:r>
        <w:rPr>
          <w:rFonts w:hint="eastAsia"/>
        </w:rPr>
        <w:t>年芬兰在出生时的预期寿命为</w:t>
      </w:r>
      <w:r>
        <w:rPr>
          <w:rFonts w:hint="eastAsia"/>
        </w:rPr>
        <w:t>78.5</w:t>
      </w:r>
      <w:r>
        <w:rPr>
          <w:rFonts w:hint="eastAsia"/>
        </w:rPr>
        <w:t>岁，比</w:t>
      </w:r>
      <w:r>
        <w:rPr>
          <w:rFonts w:hint="eastAsia"/>
        </w:rPr>
        <w:t>1970</w:t>
      </w:r>
      <w:r>
        <w:rPr>
          <w:rFonts w:hint="eastAsia"/>
        </w:rPr>
        <w:t>年大约延长</w:t>
      </w:r>
      <w:r>
        <w:rPr>
          <w:rFonts w:hint="eastAsia"/>
        </w:rPr>
        <w:t>8</w:t>
      </w:r>
      <w:r>
        <w:rPr>
          <w:rFonts w:hint="eastAsia"/>
        </w:rPr>
        <w:t>年，比</w:t>
      </w:r>
      <w:r>
        <w:rPr>
          <w:rFonts w:hint="eastAsia"/>
        </w:rPr>
        <w:t>1980</w:t>
      </w:r>
      <w:r>
        <w:rPr>
          <w:rFonts w:hint="eastAsia"/>
        </w:rPr>
        <w:t>年延长了</w:t>
      </w:r>
      <w:r>
        <w:rPr>
          <w:rFonts w:hint="eastAsia"/>
        </w:rPr>
        <w:t>4.9</w:t>
      </w:r>
      <w:r>
        <w:rPr>
          <w:rFonts w:hint="eastAsia"/>
        </w:rPr>
        <w:t>年。从</w:t>
      </w:r>
      <w:r>
        <w:rPr>
          <w:rFonts w:hint="eastAsia"/>
        </w:rPr>
        <w:t>1980</w:t>
      </w:r>
      <w:r>
        <w:rPr>
          <w:rFonts w:hint="eastAsia"/>
        </w:rPr>
        <w:t>年以来男子的延寿幅度为</w:t>
      </w:r>
      <w:r>
        <w:rPr>
          <w:rFonts w:hint="eastAsia"/>
        </w:rPr>
        <w:t>6.1</w:t>
      </w:r>
      <w:r>
        <w:rPr>
          <w:rFonts w:hint="eastAsia"/>
        </w:rPr>
        <w:t>年，高于欧盟的平均增幅；妇女的延寿幅度为</w:t>
      </w:r>
      <w:r>
        <w:rPr>
          <w:rFonts w:hint="eastAsia"/>
        </w:rPr>
        <w:t>4.1</w:t>
      </w:r>
      <w:r>
        <w:rPr>
          <w:rFonts w:hint="eastAsia"/>
        </w:rPr>
        <w:t>年，低于男子的幅度，也低于欧盟的平均增幅。然而，妇女的预期寿命</w:t>
      </w:r>
      <w:r>
        <w:rPr>
          <w:rFonts w:hint="eastAsia"/>
        </w:rPr>
        <w:t>(81.8</w:t>
      </w:r>
      <w:r>
        <w:rPr>
          <w:rFonts w:hint="eastAsia"/>
        </w:rPr>
        <w:t>岁</w:t>
      </w:r>
      <w:r>
        <w:rPr>
          <w:rFonts w:hint="eastAsia"/>
        </w:rPr>
        <w:t>)</w:t>
      </w:r>
      <w:r>
        <w:rPr>
          <w:rFonts w:hint="eastAsia"/>
        </w:rPr>
        <w:t>仍然大大高于男子，而</w:t>
      </w:r>
      <w:r>
        <w:rPr>
          <w:rFonts w:hint="eastAsia"/>
        </w:rPr>
        <w:t>2003</w:t>
      </w:r>
      <w:r>
        <w:rPr>
          <w:rFonts w:hint="eastAsia"/>
        </w:rPr>
        <w:t>年的数字为</w:t>
      </w:r>
      <w:r>
        <w:rPr>
          <w:rFonts w:hint="eastAsia"/>
        </w:rPr>
        <w:t>75.1</w:t>
      </w:r>
      <w:r>
        <w:rPr>
          <w:rFonts w:hint="eastAsia"/>
        </w:rPr>
        <w:t>岁</w:t>
      </w:r>
      <w:r>
        <w:rPr>
          <w:rFonts w:hint="eastAsia"/>
        </w:rPr>
        <w:t>(</w:t>
      </w:r>
      <w:r>
        <w:rPr>
          <w:rFonts w:hint="eastAsia"/>
        </w:rPr>
        <w:t>表</w:t>
      </w:r>
      <w:r>
        <w:rPr>
          <w:rFonts w:hint="eastAsia"/>
        </w:rPr>
        <w:t>1)</w:t>
      </w:r>
      <w:r>
        <w:rPr>
          <w:rFonts w:hint="eastAsia"/>
        </w:rPr>
        <w:t>。从</w:t>
      </w:r>
      <w:r>
        <w:rPr>
          <w:rFonts w:hint="eastAsia"/>
        </w:rPr>
        <w:t>1970</w:t>
      </w:r>
      <w:r>
        <w:rPr>
          <w:rFonts w:hint="eastAsia"/>
        </w:rPr>
        <w:t>年代后期以来，芬兰男子的预期寿命一直要比欧盟的平均数字低</w:t>
      </w:r>
      <w:r>
        <w:rPr>
          <w:rFonts w:hint="eastAsia"/>
        </w:rPr>
        <w:t>1</w:t>
      </w:r>
      <w:r>
        <w:rPr>
          <w:rFonts w:hint="eastAsia"/>
        </w:rPr>
        <w:t>到</w:t>
      </w:r>
      <w:r>
        <w:rPr>
          <w:rFonts w:hint="eastAsia"/>
        </w:rPr>
        <w:t>2</w:t>
      </w:r>
      <w:r>
        <w:rPr>
          <w:rFonts w:hint="eastAsia"/>
        </w:rPr>
        <w:t>年。从</w:t>
      </w:r>
      <w:r>
        <w:rPr>
          <w:rFonts w:hint="eastAsia"/>
        </w:rPr>
        <w:t>1970</w:t>
      </w:r>
      <w:r>
        <w:rPr>
          <w:rFonts w:hint="eastAsia"/>
        </w:rPr>
        <w:t>年代中期至</w:t>
      </w:r>
      <w:r>
        <w:rPr>
          <w:rFonts w:hint="eastAsia"/>
        </w:rPr>
        <w:t>1980</w:t>
      </w:r>
      <w:r>
        <w:rPr>
          <w:rFonts w:hint="eastAsia"/>
        </w:rPr>
        <w:t>年代，芬兰女子的预期寿命要高于欧盟的平均数字，但是从那时以来，就一直稍低一些。尽管从</w:t>
      </w:r>
      <w:r>
        <w:rPr>
          <w:rFonts w:hint="eastAsia"/>
        </w:rPr>
        <w:t>1970</w:t>
      </w:r>
      <w:r>
        <w:rPr>
          <w:rFonts w:hint="eastAsia"/>
        </w:rPr>
        <w:t>年代以来取得了重大进展，芬兰</w:t>
      </w:r>
      <w:r>
        <w:rPr>
          <w:rFonts w:hint="eastAsia"/>
        </w:rPr>
        <w:t>65</w:t>
      </w:r>
      <w:r>
        <w:rPr>
          <w:rFonts w:hint="eastAsia"/>
        </w:rPr>
        <w:t>岁以上人口的预期寿命一直要比欧盟的平均数字低</w:t>
      </w:r>
      <w:r>
        <w:rPr>
          <w:rFonts w:hint="eastAsia"/>
        </w:rPr>
        <w:t>0.5</w:t>
      </w:r>
      <w:r>
        <w:rPr>
          <w:rFonts w:hint="eastAsia"/>
        </w:rPr>
        <w:t>至</w:t>
      </w:r>
      <w:r>
        <w:rPr>
          <w:rFonts w:hint="eastAsia"/>
        </w:rPr>
        <w:t>1</w:t>
      </w:r>
      <w:r>
        <w:rPr>
          <w:rFonts w:hint="eastAsia"/>
        </w:rPr>
        <w:t>年。同妇女相比，男子在这一方面的差别要大一些。</w:t>
      </w:r>
    </w:p>
    <w:p w:rsidR="00000000" w:rsidRDefault="00000000">
      <w:pPr>
        <w:rPr>
          <w:rFonts w:hint="eastAsia"/>
        </w:rPr>
      </w:pPr>
      <w:r>
        <w:rPr>
          <w:rFonts w:hint="eastAsia"/>
        </w:rPr>
        <w:tab/>
        <w:t xml:space="preserve">532.  </w:t>
      </w:r>
      <w:r>
        <w:rPr>
          <w:rFonts w:hint="eastAsia"/>
        </w:rPr>
        <w:t>同芬兰西部相比，芬兰东部人口在出生时的预期寿命要低一些，男子尤其如此，</w:t>
      </w:r>
      <w:r>
        <w:rPr>
          <w:rFonts w:hint="eastAsia"/>
        </w:rPr>
        <w:t>(</w:t>
      </w:r>
      <w:r>
        <w:rPr>
          <w:rFonts w:hint="eastAsia"/>
        </w:rPr>
        <w:t>超过</w:t>
      </w:r>
      <w:r>
        <w:rPr>
          <w:rFonts w:hint="eastAsia"/>
        </w:rPr>
        <w:t>1.5</w:t>
      </w:r>
      <w:r>
        <w:rPr>
          <w:rFonts w:hint="eastAsia"/>
        </w:rPr>
        <w:t>年</w:t>
      </w:r>
      <w:r>
        <w:rPr>
          <w:rFonts w:hint="eastAsia"/>
        </w:rPr>
        <w:t>)</w:t>
      </w:r>
      <w:r>
        <w:rPr>
          <w:rFonts w:hint="eastAsia"/>
        </w:rPr>
        <w:t>。同城市人口相比，农村男子也存在类似的差别，但是妇女之间的差别就要小得多</w:t>
      </w:r>
      <w:r>
        <w:rPr>
          <w:rFonts w:hint="eastAsia"/>
        </w:rPr>
        <w:t>(</w:t>
      </w:r>
      <w:r>
        <w:rPr>
          <w:rFonts w:hint="eastAsia"/>
        </w:rPr>
        <w:t>表</w:t>
      </w:r>
      <w:r>
        <w:rPr>
          <w:rFonts w:hint="eastAsia"/>
        </w:rPr>
        <w:t>1)</w:t>
      </w:r>
      <w:r>
        <w:rPr>
          <w:rFonts w:hint="eastAsia"/>
        </w:rPr>
        <w:t>。</w:t>
      </w:r>
    </w:p>
    <w:p w:rsidR="00000000" w:rsidRDefault="00000000">
      <w:pPr>
        <w:spacing w:after="320"/>
        <w:rPr>
          <w:rFonts w:hint="eastAsia"/>
        </w:rPr>
      </w:pPr>
      <w:r>
        <w:rPr>
          <w:rFonts w:hint="eastAsia"/>
        </w:rPr>
        <w:tab/>
        <w:t xml:space="preserve">533.  </w:t>
      </w:r>
      <w:r>
        <w:rPr>
          <w:rFonts w:hint="eastAsia"/>
        </w:rPr>
        <w:t>从整体死亡率以及分原因死亡率中可发现社会和经济的差别。根据有关资料，在</w:t>
      </w:r>
      <w:r>
        <w:rPr>
          <w:rFonts w:hint="eastAsia"/>
        </w:rPr>
        <w:t>1990</w:t>
      </w:r>
      <w:r>
        <w:rPr>
          <w:rFonts w:hint="eastAsia"/>
        </w:rPr>
        <w:t>年代整体死亡率的相对不平等有所增加，但是在芬兰绝对差别也有上升趋势</w:t>
      </w:r>
      <w:r>
        <w:rPr>
          <w:rFonts w:hint="eastAsia"/>
        </w:rPr>
        <w:t>(M</w:t>
      </w:r>
      <w:r>
        <w:t>ackenbach</w:t>
      </w:r>
      <w:r>
        <w:rPr>
          <w:rFonts w:hint="eastAsia"/>
        </w:rPr>
        <w:t>及其他人，</w:t>
      </w:r>
      <w:r>
        <w:rPr>
          <w:rFonts w:hint="eastAsia"/>
        </w:rPr>
        <w:t>2003</w:t>
      </w:r>
      <w:r>
        <w:rPr>
          <w:rFonts w:hint="eastAsia"/>
        </w:rPr>
        <w:t>年</w:t>
      </w:r>
      <w:r>
        <w:rPr>
          <w:rFonts w:hint="eastAsia"/>
        </w:rPr>
        <w:t>)</w:t>
      </w:r>
      <w:r>
        <w:rPr>
          <w:rFonts w:hint="eastAsia"/>
        </w:rPr>
        <w:t>。从</w:t>
      </w:r>
      <w:r>
        <w:rPr>
          <w:rFonts w:hint="eastAsia"/>
        </w:rPr>
        <w:t>1970</w:t>
      </w:r>
      <w:r>
        <w:rPr>
          <w:rFonts w:hint="eastAsia"/>
        </w:rPr>
        <w:t>年代初期至</w:t>
      </w:r>
      <w:r>
        <w:rPr>
          <w:rFonts w:hint="eastAsia"/>
        </w:rPr>
        <w:t>1990</w:t>
      </w:r>
      <w:r>
        <w:rPr>
          <w:rFonts w:hint="eastAsia"/>
        </w:rPr>
        <w:t>年代中期，非体力劳动者的预期寿命增加了</w:t>
      </w:r>
      <w:r>
        <w:rPr>
          <w:rFonts w:hint="eastAsia"/>
        </w:rPr>
        <w:t>5.1</w:t>
      </w:r>
      <w:r>
        <w:rPr>
          <w:rFonts w:hint="eastAsia"/>
        </w:rPr>
        <w:t>年，而男性体力劳动者的增长幅度为</w:t>
      </w:r>
      <w:r>
        <w:rPr>
          <w:rFonts w:hint="eastAsia"/>
        </w:rPr>
        <w:t>3.8</w:t>
      </w:r>
      <w:r>
        <w:rPr>
          <w:rFonts w:hint="eastAsia"/>
        </w:rPr>
        <w:t>年；妇女的相关数字分别为</w:t>
      </w:r>
      <w:r>
        <w:rPr>
          <w:rFonts w:hint="eastAsia"/>
        </w:rPr>
        <w:t>3.6</w:t>
      </w:r>
      <w:r>
        <w:rPr>
          <w:rFonts w:hint="eastAsia"/>
        </w:rPr>
        <w:t>年和</w:t>
      </w:r>
      <w:r>
        <w:rPr>
          <w:rFonts w:hint="eastAsia"/>
        </w:rPr>
        <w:t>3</w:t>
      </w:r>
      <w:r>
        <w:rPr>
          <w:rFonts w:hint="eastAsia"/>
        </w:rPr>
        <w:t>年。在</w:t>
      </w:r>
      <w:r>
        <w:rPr>
          <w:rFonts w:hint="eastAsia"/>
        </w:rPr>
        <w:t>1980</w:t>
      </w:r>
      <w:r>
        <w:rPr>
          <w:rFonts w:hint="eastAsia"/>
        </w:rPr>
        <w:t>年代，在预期寿命方面的差别迅速扩大时，同体力劳动者相比，非体力劳动者因为心血管病而死亡的人数下降的要快得多。除此以外，由于滥用麻醉药品、“其它疾病”、意外事故以及暴力行为而使得死亡率上升的现象在体力劳动者中表现得最为明显</w:t>
      </w:r>
      <w:r>
        <w:rPr>
          <w:rFonts w:hint="eastAsia"/>
        </w:rPr>
        <w:t>(M</w:t>
      </w:r>
      <w:r>
        <w:t>ackenbach</w:t>
      </w:r>
      <w:r>
        <w:rPr>
          <w:rFonts w:hint="eastAsia"/>
        </w:rPr>
        <w:t>及其他人，</w:t>
      </w:r>
      <w:r>
        <w:rPr>
          <w:rFonts w:hint="eastAsia"/>
        </w:rPr>
        <w:t>2001</w:t>
      </w:r>
      <w:r>
        <w:rPr>
          <w:rFonts w:hint="eastAsia"/>
        </w:rPr>
        <w:t>年</w:t>
      </w:r>
      <w:r>
        <w:rPr>
          <w:rFonts w:hint="eastAsia"/>
        </w:rPr>
        <w:t>)</w:t>
      </w:r>
      <w:r>
        <w:rPr>
          <w:rFonts w:hint="eastAsia"/>
        </w:rPr>
        <w:t>。这种不利的趋势，在</w:t>
      </w:r>
      <w:r>
        <w:rPr>
          <w:rFonts w:hint="eastAsia"/>
        </w:rPr>
        <w:t>1990</w:t>
      </w:r>
      <w:r>
        <w:rPr>
          <w:rFonts w:hint="eastAsia"/>
        </w:rPr>
        <w:t>年代后期一直在继续</w:t>
      </w:r>
      <w:r>
        <w:rPr>
          <w:rFonts w:hint="eastAsia"/>
        </w:rPr>
        <w:t>(V</w:t>
      </w:r>
      <w:r>
        <w:t>alkonen</w:t>
      </w:r>
      <w:r>
        <w:rPr>
          <w:rFonts w:hint="eastAsia"/>
        </w:rPr>
        <w:t>及其他人，</w:t>
      </w:r>
      <w:r>
        <w:rPr>
          <w:rFonts w:hint="eastAsia"/>
        </w:rPr>
        <w:t>2003</w:t>
      </w:r>
      <w:r>
        <w:rPr>
          <w:rFonts w:hint="eastAsia"/>
        </w:rPr>
        <w:t>年</w:t>
      </w:r>
      <w:r>
        <w:rPr>
          <w:rFonts w:hint="eastAsia"/>
        </w:rPr>
        <w:t>)</w:t>
      </w:r>
      <w:r>
        <w:rPr>
          <w:rFonts w:hint="eastAsia"/>
        </w:rPr>
        <w:t>。</w:t>
      </w:r>
    </w:p>
    <w:p w:rsidR="00000000" w:rsidRDefault="00000000">
      <w:pPr>
        <w:pStyle w:val="Heading3"/>
        <w:spacing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hint="eastAsia"/>
          <w:b/>
          <w:sz w:val="22"/>
          <w:u w:val="none"/>
        </w:rPr>
        <w:t>29</w:t>
      </w:r>
      <w:r>
        <w:rPr>
          <w:rFonts w:ascii="Time New Roman" w:eastAsia="SimHei" w:hAnsi="Time New Roman" w:hint="eastAsia"/>
          <w:sz w:val="22"/>
          <w:u w:val="none"/>
        </w:rPr>
        <w:t>.</w:t>
      </w:r>
      <w:r>
        <w:rPr>
          <w:rFonts w:ascii="Time New Roman" w:eastAsia="SimHei" w:hAnsi="Time New Roman"/>
          <w:sz w:val="22"/>
          <w:u w:val="none"/>
        </w:rPr>
        <w:br/>
      </w:r>
      <w:r>
        <w:rPr>
          <w:rFonts w:ascii="Time New Roman" w:eastAsia="SimHei" w:hAnsi="Time New Roman" w:hint="eastAsia"/>
          <w:b/>
          <w:sz w:val="22"/>
          <w:u w:val="none"/>
        </w:rPr>
        <w:t>2003</w:t>
      </w:r>
      <w:r>
        <w:rPr>
          <w:rFonts w:ascii="Time New Roman" w:eastAsia="SimHei" w:hAnsi="Time New Roman" w:hint="eastAsia"/>
          <w:sz w:val="22"/>
          <w:u w:val="none"/>
        </w:rPr>
        <w:t>年根据性别和地区分列的预期寿命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gridCol w:w="1320"/>
        <w:gridCol w:w="1320"/>
        <w:gridCol w:w="1320"/>
        <w:gridCol w:w="1320"/>
      </w:tblGrid>
      <w:tr w:rsidR="00000000">
        <w:tblPrEx>
          <w:tblCellMar>
            <w:top w:w="0" w:type="dxa"/>
            <w:bottom w:w="0" w:type="dxa"/>
          </w:tblCellMar>
        </w:tblPrEx>
        <w:tc>
          <w:tcPr>
            <w:tcW w:w="4080" w:type="dxa"/>
          </w:tcPr>
          <w:p w:rsidR="00000000" w:rsidRDefault="00000000">
            <w:pPr>
              <w:spacing w:before="80" w:line="288" w:lineRule="auto"/>
              <w:jc w:val="center"/>
              <w:rPr>
                <w:snapToGrid/>
                <w:sz w:val="22"/>
              </w:rPr>
            </w:pPr>
          </w:p>
        </w:tc>
        <w:tc>
          <w:tcPr>
            <w:tcW w:w="1320" w:type="dxa"/>
          </w:tcPr>
          <w:p w:rsidR="00000000" w:rsidRDefault="00000000">
            <w:pPr>
              <w:spacing w:before="80" w:line="288" w:lineRule="auto"/>
              <w:jc w:val="center"/>
              <w:rPr>
                <w:rFonts w:hint="eastAsia"/>
                <w:snapToGrid/>
                <w:sz w:val="22"/>
              </w:rPr>
            </w:pPr>
            <w:r>
              <w:rPr>
                <w:rFonts w:hint="eastAsia"/>
                <w:snapToGrid/>
                <w:sz w:val="22"/>
              </w:rPr>
              <w:t>总</w:t>
            </w:r>
            <w:r>
              <w:rPr>
                <w:rFonts w:hint="eastAsia"/>
                <w:snapToGrid/>
                <w:sz w:val="22"/>
              </w:rPr>
              <w:t xml:space="preserve">  </w:t>
            </w:r>
            <w:r>
              <w:rPr>
                <w:rFonts w:hint="eastAsia"/>
                <w:snapToGrid/>
                <w:sz w:val="22"/>
              </w:rPr>
              <w:t>计</w:t>
            </w:r>
          </w:p>
        </w:tc>
        <w:tc>
          <w:tcPr>
            <w:tcW w:w="1320" w:type="dxa"/>
          </w:tcPr>
          <w:p w:rsidR="00000000" w:rsidRDefault="00000000">
            <w:pPr>
              <w:spacing w:before="80" w:line="288" w:lineRule="auto"/>
              <w:jc w:val="center"/>
              <w:rPr>
                <w:rFonts w:hint="eastAsia"/>
                <w:snapToGrid/>
                <w:sz w:val="22"/>
              </w:rPr>
            </w:pPr>
            <w:r>
              <w:rPr>
                <w:rFonts w:hint="eastAsia"/>
                <w:snapToGrid/>
                <w:sz w:val="22"/>
              </w:rPr>
              <w:t>男</w:t>
            </w:r>
            <w:r>
              <w:rPr>
                <w:rFonts w:hint="eastAsia"/>
                <w:snapToGrid/>
                <w:sz w:val="22"/>
              </w:rPr>
              <w:t xml:space="preserve">  </w:t>
            </w:r>
            <w:r>
              <w:rPr>
                <w:rFonts w:hint="eastAsia"/>
                <w:snapToGrid/>
                <w:sz w:val="22"/>
              </w:rPr>
              <w:t>子</w:t>
            </w:r>
          </w:p>
        </w:tc>
        <w:tc>
          <w:tcPr>
            <w:tcW w:w="1320" w:type="dxa"/>
          </w:tcPr>
          <w:p w:rsidR="00000000" w:rsidRDefault="00000000">
            <w:pPr>
              <w:spacing w:before="80" w:line="288" w:lineRule="auto"/>
              <w:jc w:val="center"/>
              <w:rPr>
                <w:rFonts w:hint="eastAsia"/>
                <w:snapToGrid/>
                <w:sz w:val="22"/>
              </w:rPr>
            </w:pPr>
            <w:r>
              <w:rPr>
                <w:rFonts w:hint="eastAsia"/>
                <w:snapToGrid/>
                <w:sz w:val="22"/>
              </w:rPr>
              <w:t>妇</w:t>
            </w:r>
            <w:r>
              <w:rPr>
                <w:rFonts w:hint="eastAsia"/>
                <w:snapToGrid/>
                <w:sz w:val="22"/>
              </w:rPr>
              <w:t xml:space="preserve">  </w:t>
            </w:r>
            <w:r>
              <w:rPr>
                <w:rFonts w:hint="eastAsia"/>
                <w:snapToGrid/>
                <w:sz w:val="22"/>
              </w:rPr>
              <w:t>女</w:t>
            </w:r>
          </w:p>
        </w:tc>
        <w:tc>
          <w:tcPr>
            <w:tcW w:w="1320" w:type="dxa"/>
          </w:tcPr>
          <w:p w:rsidR="00000000" w:rsidRDefault="00000000">
            <w:pPr>
              <w:spacing w:before="80" w:line="288" w:lineRule="auto"/>
              <w:jc w:val="center"/>
              <w:rPr>
                <w:rFonts w:hint="eastAsia"/>
                <w:snapToGrid/>
                <w:sz w:val="22"/>
              </w:rPr>
            </w:pPr>
            <w:r>
              <w:rPr>
                <w:rFonts w:hint="eastAsia"/>
                <w:snapToGrid/>
                <w:sz w:val="22"/>
              </w:rPr>
              <w:t>差</w:t>
            </w:r>
            <w:r>
              <w:rPr>
                <w:rFonts w:hint="eastAsia"/>
                <w:snapToGrid/>
                <w:sz w:val="22"/>
              </w:rPr>
              <w:t xml:space="preserve">  </w:t>
            </w:r>
            <w:r>
              <w:rPr>
                <w:rFonts w:hint="eastAsia"/>
                <w:snapToGrid/>
                <w:sz w:val="22"/>
              </w:rPr>
              <w:t>别</w:t>
            </w:r>
          </w:p>
        </w:tc>
      </w:tr>
      <w:tr w:rsidR="00000000">
        <w:tblPrEx>
          <w:tblCellMar>
            <w:top w:w="0" w:type="dxa"/>
            <w:bottom w:w="0" w:type="dxa"/>
          </w:tblCellMar>
        </w:tblPrEx>
        <w:tc>
          <w:tcPr>
            <w:tcW w:w="4080" w:type="dxa"/>
            <w:tcBorders>
              <w:bottom w:val="nil"/>
            </w:tcBorders>
          </w:tcPr>
          <w:p w:rsidR="00000000" w:rsidRDefault="00000000">
            <w:pPr>
              <w:spacing w:before="40" w:line="320" w:lineRule="exact"/>
              <w:rPr>
                <w:rFonts w:hint="eastAsia"/>
                <w:sz w:val="21"/>
              </w:rPr>
            </w:pPr>
            <w:r>
              <w:rPr>
                <w:rFonts w:hint="eastAsia"/>
                <w:sz w:val="21"/>
              </w:rPr>
              <w:t>芬兰</w:t>
            </w:r>
          </w:p>
        </w:tc>
        <w:tc>
          <w:tcPr>
            <w:tcW w:w="1320" w:type="dxa"/>
            <w:tcBorders>
              <w:bottom w:val="nil"/>
            </w:tcBorders>
          </w:tcPr>
          <w:p w:rsidR="00000000" w:rsidRDefault="00000000">
            <w:pPr>
              <w:spacing w:before="40" w:line="320" w:lineRule="exact"/>
              <w:jc w:val="center"/>
              <w:rPr>
                <w:sz w:val="21"/>
              </w:rPr>
            </w:pPr>
            <w:r>
              <w:rPr>
                <w:sz w:val="21"/>
              </w:rPr>
              <w:t>78.5</w:t>
            </w:r>
          </w:p>
        </w:tc>
        <w:tc>
          <w:tcPr>
            <w:tcW w:w="1320" w:type="dxa"/>
            <w:tcBorders>
              <w:bottom w:val="nil"/>
            </w:tcBorders>
          </w:tcPr>
          <w:p w:rsidR="00000000" w:rsidRDefault="00000000">
            <w:pPr>
              <w:spacing w:before="40" w:line="320" w:lineRule="exact"/>
              <w:jc w:val="center"/>
              <w:rPr>
                <w:sz w:val="21"/>
              </w:rPr>
            </w:pPr>
            <w:r>
              <w:rPr>
                <w:sz w:val="21"/>
              </w:rPr>
              <w:t>75.1</w:t>
            </w:r>
          </w:p>
        </w:tc>
        <w:tc>
          <w:tcPr>
            <w:tcW w:w="1320" w:type="dxa"/>
            <w:tcBorders>
              <w:bottom w:val="nil"/>
            </w:tcBorders>
          </w:tcPr>
          <w:p w:rsidR="00000000" w:rsidRDefault="00000000">
            <w:pPr>
              <w:spacing w:before="40" w:line="320" w:lineRule="exact"/>
              <w:jc w:val="center"/>
              <w:rPr>
                <w:sz w:val="21"/>
              </w:rPr>
            </w:pPr>
            <w:r>
              <w:rPr>
                <w:sz w:val="21"/>
              </w:rPr>
              <w:t>81.8</w:t>
            </w:r>
          </w:p>
        </w:tc>
        <w:tc>
          <w:tcPr>
            <w:tcW w:w="1320" w:type="dxa"/>
            <w:tcBorders>
              <w:bottom w:val="nil"/>
            </w:tcBorders>
          </w:tcPr>
          <w:p w:rsidR="00000000" w:rsidRDefault="00000000">
            <w:pPr>
              <w:spacing w:before="40" w:line="320" w:lineRule="exact"/>
              <w:jc w:val="center"/>
              <w:rPr>
                <w:sz w:val="21"/>
              </w:rPr>
            </w:pPr>
            <w:r>
              <w:rPr>
                <w:sz w:val="21"/>
              </w:rPr>
              <w:t>-6.7</w:t>
            </w: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252"/>
              <w:rPr>
                <w:rFonts w:hint="eastAsia"/>
                <w:sz w:val="21"/>
              </w:rPr>
            </w:pPr>
            <w:r>
              <w:rPr>
                <w:rFonts w:hint="eastAsia"/>
                <w:sz w:val="21"/>
              </w:rPr>
              <w:t>按城市化的程度</w:t>
            </w:r>
          </w:p>
        </w:tc>
        <w:tc>
          <w:tcPr>
            <w:tcW w:w="1320" w:type="dxa"/>
            <w:tcBorders>
              <w:top w:val="nil"/>
              <w:bottom w:val="nil"/>
            </w:tcBorders>
          </w:tcPr>
          <w:p w:rsidR="00000000" w:rsidRDefault="00000000">
            <w:pPr>
              <w:spacing w:line="320" w:lineRule="exact"/>
              <w:jc w:val="center"/>
              <w:rPr>
                <w:sz w:val="21"/>
              </w:rPr>
            </w:pPr>
          </w:p>
        </w:tc>
        <w:tc>
          <w:tcPr>
            <w:tcW w:w="1320" w:type="dxa"/>
            <w:tcBorders>
              <w:top w:val="nil"/>
              <w:bottom w:val="nil"/>
            </w:tcBorders>
          </w:tcPr>
          <w:p w:rsidR="00000000" w:rsidRDefault="00000000">
            <w:pPr>
              <w:spacing w:line="320" w:lineRule="exact"/>
              <w:jc w:val="center"/>
              <w:rPr>
                <w:sz w:val="21"/>
              </w:rPr>
            </w:pPr>
          </w:p>
        </w:tc>
        <w:tc>
          <w:tcPr>
            <w:tcW w:w="1320" w:type="dxa"/>
            <w:tcBorders>
              <w:top w:val="nil"/>
              <w:bottom w:val="nil"/>
            </w:tcBorders>
          </w:tcPr>
          <w:p w:rsidR="00000000" w:rsidRDefault="00000000">
            <w:pPr>
              <w:spacing w:line="320" w:lineRule="exact"/>
              <w:jc w:val="center"/>
              <w:rPr>
                <w:sz w:val="21"/>
              </w:rPr>
            </w:pPr>
          </w:p>
        </w:tc>
        <w:tc>
          <w:tcPr>
            <w:tcW w:w="1320" w:type="dxa"/>
            <w:tcBorders>
              <w:top w:val="nil"/>
              <w:bottom w:val="nil"/>
            </w:tcBorders>
          </w:tcPr>
          <w:p w:rsidR="00000000" w:rsidRDefault="00000000">
            <w:pPr>
              <w:spacing w:line="320" w:lineRule="exact"/>
              <w:jc w:val="center"/>
              <w:rPr>
                <w:sz w:val="21"/>
              </w:rPr>
            </w:pP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492"/>
              <w:rPr>
                <w:rFonts w:hint="eastAsia"/>
                <w:sz w:val="21"/>
              </w:rPr>
            </w:pPr>
            <w:r>
              <w:rPr>
                <w:rFonts w:hint="eastAsia"/>
                <w:sz w:val="21"/>
              </w:rPr>
              <w:t>城市地区</w:t>
            </w:r>
          </w:p>
        </w:tc>
        <w:tc>
          <w:tcPr>
            <w:tcW w:w="1320" w:type="dxa"/>
            <w:tcBorders>
              <w:top w:val="nil"/>
              <w:bottom w:val="nil"/>
            </w:tcBorders>
          </w:tcPr>
          <w:p w:rsidR="00000000" w:rsidRDefault="00000000">
            <w:pPr>
              <w:spacing w:line="320" w:lineRule="exact"/>
              <w:jc w:val="center"/>
              <w:rPr>
                <w:sz w:val="21"/>
              </w:rPr>
            </w:pPr>
            <w:r>
              <w:rPr>
                <w:sz w:val="21"/>
              </w:rPr>
              <w:t>78.9</w:t>
            </w:r>
          </w:p>
        </w:tc>
        <w:tc>
          <w:tcPr>
            <w:tcW w:w="1320" w:type="dxa"/>
            <w:tcBorders>
              <w:top w:val="nil"/>
              <w:bottom w:val="nil"/>
            </w:tcBorders>
          </w:tcPr>
          <w:p w:rsidR="00000000" w:rsidRDefault="00000000">
            <w:pPr>
              <w:spacing w:line="320" w:lineRule="exact"/>
              <w:jc w:val="center"/>
              <w:rPr>
                <w:sz w:val="21"/>
              </w:rPr>
            </w:pPr>
            <w:r>
              <w:rPr>
                <w:sz w:val="21"/>
              </w:rPr>
              <w:t>75.5</w:t>
            </w:r>
          </w:p>
        </w:tc>
        <w:tc>
          <w:tcPr>
            <w:tcW w:w="1320" w:type="dxa"/>
            <w:tcBorders>
              <w:top w:val="nil"/>
              <w:bottom w:val="nil"/>
            </w:tcBorders>
          </w:tcPr>
          <w:p w:rsidR="00000000" w:rsidRDefault="00000000">
            <w:pPr>
              <w:spacing w:line="320" w:lineRule="exact"/>
              <w:jc w:val="center"/>
              <w:rPr>
                <w:sz w:val="21"/>
              </w:rPr>
            </w:pPr>
            <w:r>
              <w:rPr>
                <w:sz w:val="21"/>
              </w:rPr>
              <w:t>81.9</w:t>
            </w:r>
          </w:p>
        </w:tc>
        <w:tc>
          <w:tcPr>
            <w:tcW w:w="1320" w:type="dxa"/>
            <w:tcBorders>
              <w:top w:val="nil"/>
              <w:bottom w:val="nil"/>
            </w:tcBorders>
          </w:tcPr>
          <w:p w:rsidR="00000000" w:rsidRDefault="00000000">
            <w:pPr>
              <w:spacing w:line="320" w:lineRule="exact"/>
              <w:jc w:val="center"/>
              <w:rPr>
                <w:sz w:val="21"/>
              </w:rPr>
            </w:pPr>
            <w:r>
              <w:rPr>
                <w:sz w:val="21"/>
              </w:rPr>
              <w:t>-6.5</w:t>
            </w: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492"/>
              <w:rPr>
                <w:rFonts w:hint="eastAsia"/>
                <w:sz w:val="21"/>
              </w:rPr>
            </w:pPr>
            <w:r>
              <w:rPr>
                <w:rFonts w:hint="eastAsia"/>
                <w:sz w:val="21"/>
              </w:rPr>
              <w:t>半城市地区</w:t>
            </w:r>
          </w:p>
        </w:tc>
        <w:tc>
          <w:tcPr>
            <w:tcW w:w="1320" w:type="dxa"/>
            <w:tcBorders>
              <w:top w:val="nil"/>
              <w:bottom w:val="nil"/>
            </w:tcBorders>
          </w:tcPr>
          <w:p w:rsidR="00000000" w:rsidRDefault="00000000">
            <w:pPr>
              <w:spacing w:line="320" w:lineRule="exact"/>
              <w:jc w:val="center"/>
              <w:rPr>
                <w:sz w:val="21"/>
              </w:rPr>
            </w:pPr>
            <w:r>
              <w:rPr>
                <w:sz w:val="21"/>
              </w:rPr>
              <w:t>78.2</w:t>
            </w:r>
          </w:p>
        </w:tc>
        <w:tc>
          <w:tcPr>
            <w:tcW w:w="1320" w:type="dxa"/>
            <w:tcBorders>
              <w:top w:val="nil"/>
              <w:bottom w:val="nil"/>
            </w:tcBorders>
          </w:tcPr>
          <w:p w:rsidR="00000000" w:rsidRDefault="00000000">
            <w:pPr>
              <w:spacing w:line="320" w:lineRule="exact"/>
              <w:jc w:val="center"/>
              <w:rPr>
                <w:sz w:val="21"/>
              </w:rPr>
            </w:pPr>
            <w:r>
              <w:rPr>
                <w:sz w:val="21"/>
              </w:rPr>
              <w:t>74.8</w:t>
            </w:r>
          </w:p>
        </w:tc>
        <w:tc>
          <w:tcPr>
            <w:tcW w:w="1320" w:type="dxa"/>
            <w:tcBorders>
              <w:top w:val="nil"/>
              <w:bottom w:val="nil"/>
            </w:tcBorders>
          </w:tcPr>
          <w:p w:rsidR="00000000" w:rsidRDefault="00000000">
            <w:pPr>
              <w:spacing w:line="320" w:lineRule="exact"/>
              <w:jc w:val="center"/>
              <w:rPr>
                <w:sz w:val="21"/>
              </w:rPr>
            </w:pPr>
            <w:r>
              <w:rPr>
                <w:sz w:val="21"/>
              </w:rPr>
              <w:t>81.8</w:t>
            </w:r>
          </w:p>
        </w:tc>
        <w:tc>
          <w:tcPr>
            <w:tcW w:w="1320" w:type="dxa"/>
            <w:tcBorders>
              <w:top w:val="nil"/>
              <w:bottom w:val="nil"/>
            </w:tcBorders>
          </w:tcPr>
          <w:p w:rsidR="00000000" w:rsidRDefault="00000000">
            <w:pPr>
              <w:spacing w:line="320" w:lineRule="exact"/>
              <w:jc w:val="center"/>
              <w:rPr>
                <w:sz w:val="21"/>
              </w:rPr>
            </w:pPr>
            <w:r>
              <w:rPr>
                <w:sz w:val="21"/>
              </w:rPr>
              <w:t>-7.0</w:t>
            </w: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492"/>
              <w:rPr>
                <w:rFonts w:hint="eastAsia"/>
                <w:sz w:val="21"/>
              </w:rPr>
            </w:pPr>
            <w:r>
              <w:rPr>
                <w:rFonts w:hint="eastAsia"/>
                <w:sz w:val="21"/>
              </w:rPr>
              <w:t>农村地区</w:t>
            </w:r>
          </w:p>
        </w:tc>
        <w:tc>
          <w:tcPr>
            <w:tcW w:w="1320" w:type="dxa"/>
            <w:tcBorders>
              <w:top w:val="nil"/>
              <w:bottom w:val="nil"/>
            </w:tcBorders>
          </w:tcPr>
          <w:p w:rsidR="00000000" w:rsidRDefault="00000000">
            <w:pPr>
              <w:spacing w:line="320" w:lineRule="exact"/>
              <w:jc w:val="center"/>
              <w:rPr>
                <w:sz w:val="21"/>
              </w:rPr>
            </w:pPr>
            <w:r>
              <w:rPr>
                <w:sz w:val="21"/>
              </w:rPr>
              <w:t>77.7</w:t>
            </w:r>
          </w:p>
        </w:tc>
        <w:tc>
          <w:tcPr>
            <w:tcW w:w="1320" w:type="dxa"/>
            <w:tcBorders>
              <w:top w:val="nil"/>
              <w:bottom w:val="nil"/>
            </w:tcBorders>
          </w:tcPr>
          <w:p w:rsidR="00000000" w:rsidRDefault="00000000">
            <w:pPr>
              <w:spacing w:line="320" w:lineRule="exact"/>
              <w:jc w:val="center"/>
              <w:rPr>
                <w:sz w:val="21"/>
              </w:rPr>
            </w:pPr>
            <w:r>
              <w:rPr>
                <w:sz w:val="21"/>
              </w:rPr>
              <w:t>74.3</w:t>
            </w:r>
          </w:p>
        </w:tc>
        <w:tc>
          <w:tcPr>
            <w:tcW w:w="1320" w:type="dxa"/>
            <w:tcBorders>
              <w:top w:val="nil"/>
              <w:bottom w:val="nil"/>
            </w:tcBorders>
          </w:tcPr>
          <w:p w:rsidR="00000000" w:rsidRDefault="00000000">
            <w:pPr>
              <w:spacing w:line="320" w:lineRule="exact"/>
              <w:jc w:val="center"/>
              <w:rPr>
                <w:sz w:val="21"/>
              </w:rPr>
            </w:pPr>
            <w:r>
              <w:rPr>
                <w:sz w:val="21"/>
              </w:rPr>
              <w:t>81.5</w:t>
            </w:r>
          </w:p>
        </w:tc>
        <w:tc>
          <w:tcPr>
            <w:tcW w:w="1320" w:type="dxa"/>
            <w:tcBorders>
              <w:top w:val="nil"/>
              <w:bottom w:val="nil"/>
            </w:tcBorders>
          </w:tcPr>
          <w:p w:rsidR="00000000" w:rsidRDefault="00000000">
            <w:pPr>
              <w:spacing w:line="320" w:lineRule="exact"/>
              <w:jc w:val="center"/>
              <w:rPr>
                <w:sz w:val="21"/>
              </w:rPr>
            </w:pPr>
            <w:r>
              <w:rPr>
                <w:sz w:val="21"/>
              </w:rPr>
              <w:t>-7.1</w:t>
            </w: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252"/>
              <w:rPr>
                <w:rFonts w:hint="eastAsia"/>
                <w:sz w:val="21"/>
              </w:rPr>
            </w:pPr>
            <w:r>
              <w:rPr>
                <w:rFonts w:hint="eastAsia"/>
                <w:sz w:val="21"/>
              </w:rPr>
              <w:t>按地区</w:t>
            </w:r>
          </w:p>
        </w:tc>
        <w:tc>
          <w:tcPr>
            <w:tcW w:w="1320" w:type="dxa"/>
            <w:tcBorders>
              <w:top w:val="nil"/>
              <w:bottom w:val="nil"/>
            </w:tcBorders>
          </w:tcPr>
          <w:p w:rsidR="00000000" w:rsidRDefault="00000000">
            <w:pPr>
              <w:spacing w:line="320" w:lineRule="exact"/>
              <w:jc w:val="center"/>
              <w:rPr>
                <w:sz w:val="21"/>
              </w:rPr>
            </w:pPr>
          </w:p>
        </w:tc>
        <w:tc>
          <w:tcPr>
            <w:tcW w:w="1320" w:type="dxa"/>
            <w:tcBorders>
              <w:top w:val="nil"/>
              <w:bottom w:val="nil"/>
            </w:tcBorders>
          </w:tcPr>
          <w:p w:rsidR="00000000" w:rsidRDefault="00000000">
            <w:pPr>
              <w:spacing w:line="320" w:lineRule="exact"/>
              <w:jc w:val="center"/>
              <w:rPr>
                <w:sz w:val="21"/>
              </w:rPr>
            </w:pPr>
          </w:p>
        </w:tc>
        <w:tc>
          <w:tcPr>
            <w:tcW w:w="1320" w:type="dxa"/>
            <w:tcBorders>
              <w:top w:val="nil"/>
              <w:bottom w:val="nil"/>
            </w:tcBorders>
          </w:tcPr>
          <w:p w:rsidR="00000000" w:rsidRDefault="00000000">
            <w:pPr>
              <w:spacing w:line="320" w:lineRule="exact"/>
              <w:jc w:val="center"/>
              <w:rPr>
                <w:sz w:val="21"/>
              </w:rPr>
            </w:pPr>
          </w:p>
        </w:tc>
        <w:tc>
          <w:tcPr>
            <w:tcW w:w="1320" w:type="dxa"/>
            <w:tcBorders>
              <w:top w:val="nil"/>
              <w:bottom w:val="nil"/>
            </w:tcBorders>
          </w:tcPr>
          <w:p w:rsidR="00000000" w:rsidRDefault="00000000">
            <w:pPr>
              <w:spacing w:line="320" w:lineRule="exact"/>
              <w:jc w:val="center"/>
              <w:rPr>
                <w:sz w:val="21"/>
              </w:rPr>
            </w:pP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492"/>
              <w:rPr>
                <w:rFonts w:hint="eastAsia"/>
                <w:sz w:val="21"/>
              </w:rPr>
            </w:pPr>
            <w:r>
              <w:rPr>
                <w:rFonts w:hint="eastAsia"/>
                <w:sz w:val="21"/>
              </w:rPr>
              <w:t>芬兰南部</w:t>
            </w:r>
          </w:p>
        </w:tc>
        <w:tc>
          <w:tcPr>
            <w:tcW w:w="1320" w:type="dxa"/>
            <w:tcBorders>
              <w:top w:val="nil"/>
              <w:bottom w:val="nil"/>
            </w:tcBorders>
          </w:tcPr>
          <w:p w:rsidR="00000000" w:rsidRDefault="00000000">
            <w:pPr>
              <w:spacing w:line="320" w:lineRule="exact"/>
              <w:jc w:val="center"/>
              <w:rPr>
                <w:sz w:val="21"/>
              </w:rPr>
            </w:pPr>
            <w:r>
              <w:rPr>
                <w:sz w:val="21"/>
              </w:rPr>
              <w:t>78.7</w:t>
            </w:r>
          </w:p>
        </w:tc>
        <w:tc>
          <w:tcPr>
            <w:tcW w:w="1320" w:type="dxa"/>
            <w:tcBorders>
              <w:top w:val="nil"/>
              <w:bottom w:val="nil"/>
            </w:tcBorders>
          </w:tcPr>
          <w:p w:rsidR="00000000" w:rsidRDefault="00000000">
            <w:pPr>
              <w:spacing w:line="320" w:lineRule="exact"/>
              <w:jc w:val="center"/>
              <w:rPr>
                <w:sz w:val="21"/>
              </w:rPr>
            </w:pPr>
            <w:r>
              <w:rPr>
                <w:sz w:val="21"/>
              </w:rPr>
              <w:t>75.5</w:t>
            </w:r>
          </w:p>
        </w:tc>
        <w:tc>
          <w:tcPr>
            <w:tcW w:w="1320" w:type="dxa"/>
            <w:tcBorders>
              <w:top w:val="nil"/>
              <w:bottom w:val="nil"/>
            </w:tcBorders>
          </w:tcPr>
          <w:p w:rsidR="00000000" w:rsidRDefault="00000000">
            <w:pPr>
              <w:spacing w:line="320" w:lineRule="exact"/>
              <w:jc w:val="center"/>
              <w:rPr>
                <w:sz w:val="21"/>
              </w:rPr>
            </w:pPr>
            <w:r>
              <w:rPr>
                <w:sz w:val="21"/>
              </w:rPr>
              <w:t>81.7</w:t>
            </w:r>
          </w:p>
        </w:tc>
        <w:tc>
          <w:tcPr>
            <w:tcW w:w="1320" w:type="dxa"/>
            <w:tcBorders>
              <w:top w:val="nil"/>
              <w:bottom w:val="nil"/>
            </w:tcBorders>
          </w:tcPr>
          <w:p w:rsidR="00000000" w:rsidRDefault="00000000">
            <w:pPr>
              <w:spacing w:line="320" w:lineRule="exact"/>
              <w:jc w:val="center"/>
              <w:rPr>
                <w:sz w:val="21"/>
              </w:rPr>
            </w:pPr>
            <w:r>
              <w:rPr>
                <w:sz w:val="21"/>
              </w:rPr>
              <w:t>-6.3</w:t>
            </w: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492"/>
              <w:rPr>
                <w:rFonts w:hint="eastAsia"/>
                <w:sz w:val="21"/>
              </w:rPr>
            </w:pPr>
            <w:r>
              <w:rPr>
                <w:rFonts w:hint="eastAsia"/>
                <w:sz w:val="21"/>
              </w:rPr>
              <w:t>芬兰西部</w:t>
            </w:r>
          </w:p>
        </w:tc>
        <w:tc>
          <w:tcPr>
            <w:tcW w:w="1320" w:type="dxa"/>
            <w:tcBorders>
              <w:top w:val="nil"/>
              <w:bottom w:val="nil"/>
            </w:tcBorders>
          </w:tcPr>
          <w:p w:rsidR="00000000" w:rsidRDefault="00000000">
            <w:pPr>
              <w:spacing w:line="320" w:lineRule="exact"/>
              <w:jc w:val="center"/>
              <w:rPr>
                <w:sz w:val="21"/>
              </w:rPr>
            </w:pPr>
            <w:r>
              <w:rPr>
                <w:sz w:val="21"/>
              </w:rPr>
              <w:t>78.8</w:t>
            </w:r>
          </w:p>
        </w:tc>
        <w:tc>
          <w:tcPr>
            <w:tcW w:w="1320" w:type="dxa"/>
            <w:tcBorders>
              <w:top w:val="nil"/>
              <w:bottom w:val="nil"/>
            </w:tcBorders>
          </w:tcPr>
          <w:p w:rsidR="00000000" w:rsidRDefault="00000000">
            <w:pPr>
              <w:spacing w:line="320" w:lineRule="exact"/>
              <w:jc w:val="center"/>
              <w:rPr>
                <w:sz w:val="21"/>
              </w:rPr>
            </w:pPr>
            <w:r>
              <w:rPr>
                <w:sz w:val="21"/>
              </w:rPr>
              <w:t>75.4</w:t>
            </w:r>
          </w:p>
        </w:tc>
        <w:tc>
          <w:tcPr>
            <w:tcW w:w="1320" w:type="dxa"/>
            <w:tcBorders>
              <w:top w:val="nil"/>
              <w:bottom w:val="nil"/>
            </w:tcBorders>
          </w:tcPr>
          <w:p w:rsidR="00000000" w:rsidRDefault="00000000">
            <w:pPr>
              <w:spacing w:line="320" w:lineRule="exact"/>
              <w:jc w:val="center"/>
              <w:rPr>
                <w:sz w:val="21"/>
              </w:rPr>
            </w:pPr>
            <w:r>
              <w:rPr>
                <w:sz w:val="21"/>
              </w:rPr>
              <w:t>82.2</w:t>
            </w:r>
          </w:p>
        </w:tc>
        <w:tc>
          <w:tcPr>
            <w:tcW w:w="1320" w:type="dxa"/>
            <w:tcBorders>
              <w:top w:val="nil"/>
              <w:bottom w:val="nil"/>
            </w:tcBorders>
          </w:tcPr>
          <w:p w:rsidR="00000000" w:rsidRDefault="00000000">
            <w:pPr>
              <w:spacing w:line="320" w:lineRule="exact"/>
              <w:jc w:val="center"/>
              <w:rPr>
                <w:sz w:val="21"/>
              </w:rPr>
            </w:pPr>
            <w:r>
              <w:rPr>
                <w:sz w:val="21"/>
              </w:rPr>
              <w:t>-6.8</w:t>
            </w: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492"/>
              <w:rPr>
                <w:rFonts w:hint="eastAsia"/>
                <w:sz w:val="21"/>
              </w:rPr>
            </w:pPr>
            <w:r>
              <w:rPr>
                <w:rFonts w:hint="eastAsia"/>
                <w:sz w:val="21"/>
              </w:rPr>
              <w:t>芬兰东部</w:t>
            </w:r>
          </w:p>
        </w:tc>
        <w:tc>
          <w:tcPr>
            <w:tcW w:w="1320" w:type="dxa"/>
            <w:tcBorders>
              <w:top w:val="nil"/>
              <w:bottom w:val="nil"/>
            </w:tcBorders>
          </w:tcPr>
          <w:p w:rsidR="00000000" w:rsidRDefault="00000000">
            <w:pPr>
              <w:spacing w:line="320" w:lineRule="exact"/>
              <w:jc w:val="center"/>
              <w:rPr>
                <w:sz w:val="21"/>
              </w:rPr>
            </w:pPr>
            <w:r>
              <w:rPr>
                <w:sz w:val="21"/>
              </w:rPr>
              <w:t>77.4</w:t>
            </w:r>
          </w:p>
        </w:tc>
        <w:tc>
          <w:tcPr>
            <w:tcW w:w="1320" w:type="dxa"/>
            <w:tcBorders>
              <w:top w:val="nil"/>
              <w:bottom w:val="nil"/>
            </w:tcBorders>
          </w:tcPr>
          <w:p w:rsidR="00000000" w:rsidRDefault="00000000">
            <w:pPr>
              <w:spacing w:line="320" w:lineRule="exact"/>
              <w:jc w:val="center"/>
              <w:rPr>
                <w:sz w:val="21"/>
              </w:rPr>
            </w:pPr>
            <w:r>
              <w:rPr>
                <w:sz w:val="21"/>
              </w:rPr>
              <w:t>73.7</w:t>
            </w:r>
          </w:p>
        </w:tc>
        <w:tc>
          <w:tcPr>
            <w:tcW w:w="1320" w:type="dxa"/>
            <w:tcBorders>
              <w:top w:val="nil"/>
              <w:bottom w:val="nil"/>
            </w:tcBorders>
          </w:tcPr>
          <w:p w:rsidR="00000000" w:rsidRDefault="00000000">
            <w:pPr>
              <w:spacing w:line="320" w:lineRule="exact"/>
              <w:jc w:val="center"/>
              <w:rPr>
                <w:sz w:val="21"/>
              </w:rPr>
            </w:pPr>
            <w:r>
              <w:rPr>
                <w:sz w:val="21"/>
              </w:rPr>
              <w:t>81.3</w:t>
            </w:r>
          </w:p>
        </w:tc>
        <w:tc>
          <w:tcPr>
            <w:tcW w:w="1320" w:type="dxa"/>
            <w:tcBorders>
              <w:top w:val="nil"/>
              <w:bottom w:val="nil"/>
            </w:tcBorders>
          </w:tcPr>
          <w:p w:rsidR="00000000" w:rsidRDefault="00000000">
            <w:pPr>
              <w:spacing w:line="320" w:lineRule="exact"/>
              <w:jc w:val="center"/>
              <w:rPr>
                <w:sz w:val="21"/>
              </w:rPr>
            </w:pPr>
            <w:r>
              <w:rPr>
                <w:sz w:val="21"/>
              </w:rPr>
              <w:t>-7.6</w:t>
            </w:r>
          </w:p>
        </w:tc>
      </w:tr>
      <w:tr w:rsidR="00000000">
        <w:tblPrEx>
          <w:tblCellMar>
            <w:top w:w="0" w:type="dxa"/>
            <w:bottom w:w="0" w:type="dxa"/>
          </w:tblCellMar>
        </w:tblPrEx>
        <w:tc>
          <w:tcPr>
            <w:tcW w:w="4080" w:type="dxa"/>
            <w:tcBorders>
              <w:top w:val="nil"/>
              <w:bottom w:val="nil"/>
            </w:tcBorders>
          </w:tcPr>
          <w:p w:rsidR="00000000" w:rsidRDefault="00000000">
            <w:pPr>
              <w:spacing w:line="320" w:lineRule="exact"/>
              <w:ind w:left="492"/>
              <w:rPr>
                <w:rFonts w:hint="eastAsia"/>
                <w:sz w:val="21"/>
              </w:rPr>
            </w:pPr>
            <w:r>
              <w:rPr>
                <w:rFonts w:hint="eastAsia"/>
                <w:sz w:val="21"/>
              </w:rPr>
              <w:t>芬兰北部</w:t>
            </w:r>
          </w:p>
        </w:tc>
        <w:tc>
          <w:tcPr>
            <w:tcW w:w="1320" w:type="dxa"/>
            <w:tcBorders>
              <w:top w:val="nil"/>
              <w:bottom w:val="nil"/>
            </w:tcBorders>
          </w:tcPr>
          <w:p w:rsidR="00000000" w:rsidRDefault="00000000">
            <w:pPr>
              <w:spacing w:line="320" w:lineRule="exact"/>
              <w:jc w:val="center"/>
              <w:rPr>
                <w:sz w:val="21"/>
              </w:rPr>
            </w:pPr>
            <w:r>
              <w:rPr>
                <w:sz w:val="21"/>
              </w:rPr>
              <w:t>78.1</w:t>
            </w:r>
          </w:p>
        </w:tc>
        <w:tc>
          <w:tcPr>
            <w:tcW w:w="1320" w:type="dxa"/>
            <w:tcBorders>
              <w:top w:val="nil"/>
              <w:bottom w:val="nil"/>
            </w:tcBorders>
          </w:tcPr>
          <w:p w:rsidR="00000000" w:rsidRDefault="00000000">
            <w:pPr>
              <w:spacing w:line="320" w:lineRule="exact"/>
              <w:jc w:val="center"/>
              <w:rPr>
                <w:sz w:val="21"/>
              </w:rPr>
            </w:pPr>
            <w:r>
              <w:rPr>
                <w:sz w:val="21"/>
              </w:rPr>
              <w:t>74.6</w:t>
            </w:r>
          </w:p>
        </w:tc>
        <w:tc>
          <w:tcPr>
            <w:tcW w:w="1320" w:type="dxa"/>
            <w:tcBorders>
              <w:top w:val="nil"/>
              <w:bottom w:val="nil"/>
            </w:tcBorders>
          </w:tcPr>
          <w:p w:rsidR="00000000" w:rsidRDefault="00000000">
            <w:pPr>
              <w:spacing w:line="320" w:lineRule="exact"/>
              <w:jc w:val="center"/>
              <w:rPr>
                <w:sz w:val="21"/>
              </w:rPr>
            </w:pPr>
            <w:r>
              <w:rPr>
                <w:sz w:val="21"/>
              </w:rPr>
              <w:t>81.8</w:t>
            </w:r>
          </w:p>
        </w:tc>
        <w:tc>
          <w:tcPr>
            <w:tcW w:w="1320" w:type="dxa"/>
            <w:tcBorders>
              <w:top w:val="nil"/>
              <w:bottom w:val="nil"/>
            </w:tcBorders>
          </w:tcPr>
          <w:p w:rsidR="00000000" w:rsidRDefault="00000000">
            <w:pPr>
              <w:spacing w:line="320" w:lineRule="exact"/>
              <w:jc w:val="center"/>
              <w:rPr>
                <w:sz w:val="21"/>
              </w:rPr>
            </w:pPr>
            <w:r>
              <w:rPr>
                <w:sz w:val="21"/>
              </w:rPr>
              <w:t>-7.2</w:t>
            </w:r>
          </w:p>
        </w:tc>
      </w:tr>
      <w:tr w:rsidR="00000000">
        <w:tblPrEx>
          <w:tblCellMar>
            <w:top w:w="0" w:type="dxa"/>
            <w:bottom w:w="0" w:type="dxa"/>
          </w:tblCellMar>
        </w:tblPrEx>
        <w:tc>
          <w:tcPr>
            <w:tcW w:w="4080" w:type="dxa"/>
            <w:tcBorders>
              <w:top w:val="nil"/>
            </w:tcBorders>
          </w:tcPr>
          <w:p w:rsidR="00000000" w:rsidRDefault="00000000">
            <w:pPr>
              <w:spacing w:after="60" w:line="320" w:lineRule="exact"/>
              <w:ind w:left="492"/>
              <w:rPr>
                <w:rFonts w:hint="eastAsia"/>
                <w:sz w:val="21"/>
              </w:rPr>
            </w:pPr>
            <w:r>
              <w:rPr>
                <w:rFonts w:hint="eastAsia"/>
                <w:sz w:val="21"/>
              </w:rPr>
              <w:t>奥兰群岛</w:t>
            </w:r>
          </w:p>
        </w:tc>
        <w:tc>
          <w:tcPr>
            <w:tcW w:w="1320" w:type="dxa"/>
            <w:tcBorders>
              <w:top w:val="nil"/>
            </w:tcBorders>
          </w:tcPr>
          <w:p w:rsidR="00000000" w:rsidRDefault="00000000">
            <w:pPr>
              <w:spacing w:after="60" w:line="320" w:lineRule="exact"/>
              <w:jc w:val="center"/>
              <w:rPr>
                <w:sz w:val="21"/>
              </w:rPr>
            </w:pPr>
            <w:r>
              <w:rPr>
                <w:sz w:val="21"/>
              </w:rPr>
              <w:t>80.6</w:t>
            </w:r>
          </w:p>
        </w:tc>
        <w:tc>
          <w:tcPr>
            <w:tcW w:w="1320" w:type="dxa"/>
            <w:tcBorders>
              <w:top w:val="nil"/>
            </w:tcBorders>
          </w:tcPr>
          <w:p w:rsidR="00000000" w:rsidRDefault="00000000">
            <w:pPr>
              <w:spacing w:after="60" w:line="320" w:lineRule="exact"/>
              <w:jc w:val="center"/>
              <w:rPr>
                <w:sz w:val="21"/>
              </w:rPr>
            </w:pPr>
            <w:r>
              <w:rPr>
                <w:sz w:val="21"/>
              </w:rPr>
              <w:t>77.3</w:t>
            </w:r>
          </w:p>
        </w:tc>
        <w:tc>
          <w:tcPr>
            <w:tcW w:w="1320" w:type="dxa"/>
            <w:tcBorders>
              <w:top w:val="nil"/>
            </w:tcBorders>
          </w:tcPr>
          <w:p w:rsidR="00000000" w:rsidRDefault="00000000">
            <w:pPr>
              <w:spacing w:after="60" w:line="320" w:lineRule="exact"/>
              <w:jc w:val="center"/>
              <w:rPr>
                <w:sz w:val="21"/>
              </w:rPr>
            </w:pPr>
            <w:r>
              <w:rPr>
                <w:sz w:val="21"/>
              </w:rPr>
              <w:t>84.1</w:t>
            </w:r>
          </w:p>
        </w:tc>
        <w:tc>
          <w:tcPr>
            <w:tcW w:w="1320" w:type="dxa"/>
            <w:tcBorders>
              <w:top w:val="nil"/>
            </w:tcBorders>
          </w:tcPr>
          <w:p w:rsidR="00000000" w:rsidRDefault="00000000">
            <w:pPr>
              <w:spacing w:after="60" w:line="320" w:lineRule="exact"/>
              <w:jc w:val="center"/>
              <w:rPr>
                <w:sz w:val="21"/>
              </w:rPr>
            </w:pPr>
            <w:r>
              <w:rPr>
                <w:sz w:val="21"/>
              </w:rPr>
              <w:t>-6.7</w:t>
            </w:r>
          </w:p>
        </w:tc>
      </w:tr>
    </w:tbl>
    <w:p w:rsidR="00000000" w:rsidRDefault="00000000">
      <w:pPr>
        <w:pStyle w:val="Heading3"/>
        <w:spacing w:before="240" w:after="18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sz w:val="22"/>
          <w:u w:val="none"/>
        </w:rPr>
        <w:t xml:space="preserve">  </w:t>
      </w:r>
      <w:r>
        <w:rPr>
          <w:rFonts w:ascii="Time New Roman" w:eastAsia="SimHei" w:hAnsi="Time New Roman"/>
          <w:b/>
          <w:sz w:val="22"/>
          <w:u w:val="none"/>
        </w:rPr>
        <w:t>30</w:t>
      </w:r>
      <w:r>
        <w:rPr>
          <w:rFonts w:ascii="Time New Roman" w:eastAsia="SimHei" w:hAnsi="Time New Roman"/>
          <w:sz w:val="22"/>
          <w:u w:val="none"/>
        </w:rPr>
        <w:t>.</w:t>
      </w:r>
      <w:r>
        <w:rPr>
          <w:rFonts w:ascii="Time New Roman" w:eastAsia="SimHei" w:hAnsi="Time New Roman"/>
          <w:sz w:val="22"/>
          <w:u w:val="none"/>
        </w:rPr>
        <w:br/>
      </w:r>
      <w:r>
        <w:rPr>
          <w:rFonts w:ascii="Time New Roman" w:eastAsia="SimHei" w:hAnsi="Time New Roman"/>
          <w:b/>
          <w:sz w:val="22"/>
          <w:u w:val="none"/>
        </w:rPr>
        <w:t>2003</w:t>
      </w:r>
      <w:r>
        <w:rPr>
          <w:rFonts w:ascii="Time New Roman" w:eastAsia="SimHei" w:hAnsi="Time New Roman" w:hint="eastAsia"/>
          <w:sz w:val="22"/>
          <w:u w:val="none"/>
        </w:rPr>
        <w:t>年主要的死亡原因</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6"/>
        <w:gridCol w:w="1750"/>
        <w:gridCol w:w="1679"/>
        <w:gridCol w:w="1428"/>
        <w:gridCol w:w="1717"/>
      </w:tblGrid>
      <w:tr w:rsidR="00000000">
        <w:tblPrEx>
          <w:tblCellMar>
            <w:top w:w="0" w:type="dxa"/>
            <w:bottom w:w="0" w:type="dxa"/>
          </w:tblCellMar>
        </w:tblPrEx>
        <w:tc>
          <w:tcPr>
            <w:tcW w:w="2786" w:type="dxa"/>
          </w:tcPr>
          <w:p w:rsidR="00000000" w:rsidRDefault="00000000">
            <w:pPr>
              <w:spacing w:before="60" w:after="40" w:line="320" w:lineRule="exact"/>
              <w:ind w:left="170"/>
              <w:jc w:val="center"/>
              <w:rPr>
                <w:rFonts w:hint="eastAsia"/>
                <w:snapToGrid/>
                <w:spacing w:val="0"/>
                <w:sz w:val="21"/>
              </w:rPr>
            </w:pPr>
            <w:r>
              <w:rPr>
                <w:rFonts w:hint="eastAsia"/>
                <w:snapToGrid/>
                <w:spacing w:val="0"/>
                <w:sz w:val="21"/>
              </w:rPr>
              <w:t>死亡原因</w:t>
            </w:r>
          </w:p>
        </w:tc>
        <w:tc>
          <w:tcPr>
            <w:tcW w:w="1750" w:type="dxa"/>
          </w:tcPr>
          <w:p w:rsidR="00000000" w:rsidRDefault="00000000">
            <w:pPr>
              <w:spacing w:before="60" w:after="40" w:line="320" w:lineRule="exact"/>
              <w:ind w:left="170"/>
              <w:jc w:val="center"/>
              <w:rPr>
                <w:rFonts w:hint="eastAsia"/>
                <w:snapToGrid/>
                <w:spacing w:val="0"/>
                <w:sz w:val="21"/>
              </w:rPr>
            </w:pPr>
            <w:r>
              <w:rPr>
                <w:rFonts w:hint="eastAsia"/>
                <w:snapToGrid/>
                <w:spacing w:val="0"/>
                <w:sz w:val="21"/>
              </w:rPr>
              <w:t>死亡人数总计</w:t>
            </w:r>
          </w:p>
        </w:tc>
        <w:tc>
          <w:tcPr>
            <w:tcW w:w="1679" w:type="dxa"/>
          </w:tcPr>
          <w:p w:rsidR="00000000" w:rsidRDefault="00000000">
            <w:pPr>
              <w:spacing w:before="60" w:after="40" w:line="320" w:lineRule="exact"/>
              <w:jc w:val="center"/>
              <w:rPr>
                <w:rFonts w:hint="eastAsia"/>
                <w:snapToGrid/>
                <w:spacing w:val="0"/>
                <w:sz w:val="21"/>
              </w:rPr>
            </w:pPr>
            <w:r>
              <w:rPr>
                <w:rFonts w:hint="eastAsia"/>
                <w:snapToGrid/>
                <w:spacing w:val="0"/>
                <w:sz w:val="21"/>
              </w:rPr>
              <w:t>男</w:t>
            </w:r>
            <w:r>
              <w:rPr>
                <w:rFonts w:hint="eastAsia"/>
                <w:snapToGrid/>
                <w:spacing w:val="0"/>
                <w:sz w:val="21"/>
              </w:rPr>
              <w:t xml:space="preserve">  </w:t>
            </w:r>
            <w:r>
              <w:rPr>
                <w:rFonts w:hint="eastAsia"/>
                <w:snapToGrid/>
                <w:spacing w:val="0"/>
                <w:sz w:val="21"/>
              </w:rPr>
              <w:t>子</w:t>
            </w:r>
          </w:p>
        </w:tc>
        <w:tc>
          <w:tcPr>
            <w:tcW w:w="1428" w:type="dxa"/>
          </w:tcPr>
          <w:p w:rsidR="00000000" w:rsidRDefault="00000000">
            <w:pPr>
              <w:spacing w:before="60" w:after="40" w:line="320" w:lineRule="exact"/>
              <w:jc w:val="center"/>
              <w:rPr>
                <w:rFonts w:hint="eastAsia"/>
                <w:snapToGrid/>
                <w:spacing w:val="0"/>
                <w:sz w:val="21"/>
              </w:rPr>
            </w:pPr>
            <w:r>
              <w:rPr>
                <w:rFonts w:hint="eastAsia"/>
                <w:snapToGrid/>
                <w:spacing w:val="0"/>
                <w:sz w:val="21"/>
              </w:rPr>
              <w:t>妇</w:t>
            </w:r>
            <w:r>
              <w:rPr>
                <w:rFonts w:hint="eastAsia"/>
                <w:snapToGrid/>
                <w:spacing w:val="0"/>
                <w:sz w:val="21"/>
              </w:rPr>
              <w:t xml:space="preserve">  </w:t>
            </w:r>
            <w:r>
              <w:rPr>
                <w:rFonts w:hint="eastAsia"/>
                <w:snapToGrid/>
                <w:spacing w:val="0"/>
                <w:sz w:val="21"/>
              </w:rPr>
              <w:t>女</w:t>
            </w:r>
          </w:p>
        </w:tc>
        <w:tc>
          <w:tcPr>
            <w:tcW w:w="1717" w:type="dxa"/>
          </w:tcPr>
          <w:p w:rsidR="00000000" w:rsidRDefault="00000000">
            <w:pPr>
              <w:spacing w:before="60" w:after="40" w:line="320" w:lineRule="exact"/>
              <w:jc w:val="center"/>
              <w:rPr>
                <w:rFonts w:hint="eastAsia"/>
                <w:snapToGrid/>
                <w:spacing w:val="0"/>
                <w:sz w:val="21"/>
              </w:rPr>
            </w:pPr>
            <w:r>
              <w:rPr>
                <w:rFonts w:hint="eastAsia"/>
                <w:snapToGrid/>
                <w:spacing w:val="0"/>
                <w:sz w:val="21"/>
              </w:rPr>
              <w:t>男子以</w:t>
            </w:r>
            <w:r>
              <w:rPr>
                <w:bCs/>
                <w:snapToGrid/>
                <w:spacing w:val="0"/>
                <w:sz w:val="21"/>
              </w:rPr>
              <w:t>100</w:t>
            </w:r>
            <w:r>
              <w:rPr>
                <w:rFonts w:hint="eastAsia"/>
                <w:snapToGrid/>
                <w:spacing w:val="0"/>
                <w:sz w:val="21"/>
              </w:rPr>
              <w:t>计算</w:t>
            </w:r>
          </w:p>
        </w:tc>
      </w:tr>
      <w:tr w:rsidR="00000000">
        <w:tblPrEx>
          <w:tblCellMar>
            <w:top w:w="0" w:type="dxa"/>
            <w:bottom w:w="0" w:type="dxa"/>
          </w:tblCellMar>
        </w:tblPrEx>
        <w:tc>
          <w:tcPr>
            <w:tcW w:w="2786" w:type="dxa"/>
            <w:tcBorders>
              <w:bottom w:val="nil"/>
            </w:tcBorders>
          </w:tcPr>
          <w:p w:rsidR="00000000" w:rsidRDefault="00000000">
            <w:pPr>
              <w:spacing w:line="320" w:lineRule="exact"/>
              <w:ind w:left="170"/>
              <w:rPr>
                <w:rFonts w:hint="eastAsia"/>
                <w:sz w:val="21"/>
              </w:rPr>
            </w:pPr>
            <w:r>
              <w:rPr>
                <w:rFonts w:hint="eastAsia"/>
                <w:sz w:val="21"/>
              </w:rPr>
              <w:t>心血管病</w:t>
            </w:r>
          </w:p>
        </w:tc>
        <w:tc>
          <w:tcPr>
            <w:tcW w:w="1750" w:type="dxa"/>
            <w:tcBorders>
              <w:bottom w:val="nil"/>
            </w:tcBorders>
          </w:tcPr>
          <w:p w:rsidR="00000000" w:rsidRDefault="00000000">
            <w:pPr>
              <w:spacing w:line="320" w:lineRule="exact"/>
              <w:ind w:right="397"/>
              <w:jc w:val="right"/>
              <w:rPr>
                <w:sz w:val="21"/>
              </w:rPr>
            </w:pPr>
            <w:r>
              <w:rPr>
                <w:sz w:val="21"/>
              </w:rPr>
              <w:t>20,775</w:t>
            </w:r>
          </w:p>
        </w:tc>
        <w:tc>
          <w:tcPr>
            <w:tcW w:w="1679" w:type="dxa"/>
            <w:tcBorders>
              <w:bottom w:val="nil"/>
            </w:tcBorders>
          </w:tcPr>
          <w:p w:rsidR="00000000" w:rsidRDefault="00000000">
            <w:pPr>
              <w:spacing w:line="320" w:lineRule="exact"/>
              <w:ind w:right="454"/>
              <w:jc w:val="right"/>
              <w:rPr>
                <w:sz w:val="21"/>
              </w:rPr>
            </w:pPr>
            <w:r>
              <w:rPr>
                <w:sz w:val="21"/>
              </w:rPr>
              <w:t>9,687</w:t>
            </w:r>
          </w:p>
        </w:tc>
        <w:tc>
          <w:tcPr>
            <w:tcW w:w="1428" w:type="dxa"/>
            <w:tcBorders>
              <w:bottom w:val="nil"/>
            </w:tcBorders>
          </w:tcPr>
          <w:p w:rsidR="00000000" w:rsidRDefault="00000000">
            <w:pPr>
              <w:spacing w:line="320" w:lineRule="exact"/>
              <w:ind w:right="340"/>
              <w:jc w:val="right"/>
              <w:rPr>
                <w:sz w:val="21"/>
              </w:rPr>
            </w:pPr>
            <w:r>
              <w:rPr>
                <w:sz w:val="21"/>
              </w:rPr>
              <w:t>11,088</w:t>
            </w:r>
          </w:p>
        </w:tc>
        <w:tc>
          <w:tcPr>
            <w:tcW w:w="1717" w:type="dxa"/>
            <w:tcBorders>
              <w:bottom w:val="nil"/>
            </w:tcBorders>
          </w:tcPr>
          <w:p w:rsidR="00000000" w:rsidRDefault="00000000">
            <w:pPr>
              <w:spacing w:line="320" w:lineRule="exact"/>
              <w:ind w:right="567"/>
              <w:jc w:val="right"/>
              <w:rPr>
                <w:sz w:val="21"/>
              </w:rPr>
            </w:pPr>
            <w:r>
              <w:rPr>
                <w:sz w:val="21"/>
              </w:rPr>
              <w:t>114</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癌症</w:t>
            </w:r>
          </w:p>
        </w:tc>
        <w:tc>
          <w:tcPr>
            <w:tcW w:w="1750" w:type="dxa"/>
            <w:tcBorders>
              <w:top w:val="nil"/>
              <w:bottom w:val="nil"/>
            </w:tcBorders>
          </w:tcPr>
          <w:p w:rsidR="00000000" w:rsidRDefault="00000000">
            <w:pPr>
              <w:spacing w:line="320" w:lineRule="exact"/>
              <w:ind w:right="397"/>
              <w:jc w:val="right"/>
              <w:rPr>
                <w:sz w:val="21"/>
              </w:rPr>
            </w:pPr>
            <w:r>
              <w:rPr>
                <w:sz w:val="21"/>
              </w:rPr>
              <w:t>10,705</w:t>
            </w:r>
          </w:p>
        </w:tc>
        <w:tc>
          <w:tcPr>
            <w:tcW w:w="1679" w:type="dxa"/>
            <w:tcBorders>
              <w:top w:val="nil"/>
              <w:bottom w:val="nil"/>
            </w:tcBorders>
          </w:tcPr>
          <w:p w:rsidR="00000000" w:rsidRDefault="00000000">
            <w:pPr>
              <w:spacing w:line="320" w:lineRule="exact"/>
              <w:ind w:right="454"/>
              <w:jc w:val="right"/>
              <w:rPr>
                <w:sz w:val="21"/>
              </w:rPr>
            </w:pPr>
            <w:r>
              <w:rPr>
                <w:sz w:val="21"/>
              </w:rPr>
              <w:t>5,499</w:t>
            </w:r>
          </w:p>
        </w:tc>
        <w:tc>
          <w:tcPr>
            <w:tcW w:w="1428" w:type="dxa"/>
            <w:tcBorders>
              <w:top w:val="nil"/>
              <w:bottom w:val="nil"/>
            </w:tcBorders>
          </w:tcPr>
          <w:p w:rsidR="00000000" w:rsidRDefault="00000000">
            <w:pPr>
              <w:spacing w:line="320" w:lineRule="exact"/>
              <w:ind w:right="340"/>
              <w:jc w:val="right"/>
              <w:rPr>
                <w:sz w:val="21"/>
              </w:rPr>
            </w:pPr>
            <w:r>
              <w:rPr>
                <w:sz w:val="21"/>
              </w:rPr>
              <w:t>5,206</w:t>
            </w:r>
          </w:p>
        </w:tc>
        <w:tc>
          <w:tcPr>
            <w:tcW w:w="1717" w:type="dxa"/>
            <w:tcBorders>
              <w:top w:val="nil"/>
              <w:bottom w:val="nil"/>
            </w:tcBorders>
          </w:tcPr>
          <w:p w:rsidR="00000000" w:rsidRDefault="00000000">
            <w:pPr>
              <w:spacing w:line="320" w:lineRule="exact"/>
              <w:ind w:right="567"/>
              <w:jc w:val="right"/>
              <w:rPr>
                <w:sz w:val="21"/>
              </w:rPr>
            </w:pPr>
            <w:r>
              <w:rPr>
                <w:sz w:val="21"/>
              </w:rPr>
              <w:t>95</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呼吸道疾病</w:t>
            </w:r>
          </w:p>
        </w:tc>
        <w:tc>
          <w:tcPr>
            <w:tcW w:w="1750" w:type="dxa"/>
            <w:tcBorders>
              <w:top w:val="nil"/>
              <w:bottom w:val="nil"/>
            </w:tcBorders>
          </w:tcPr>
          <w:p w:rsidR="00000000" w:rsidRDefault="00000000">
            <w:pPr>
              <w:spacing w:line="320" w:lineRule="exact"/>
              <w:ind w:right="397"/>
              <w:jc w:val="right"/>
              <w:rPr>
                <w:sz w:val="21"/>
              </w:rPr>
            </w:pPr>
            <w:r>
              <w:rPr>
                <w:sz w:val="21"/>
              </w:rPr>
              <w:t>3,667</w:t>
            </w:r>
          </w:p>
        </w:tc>
        <w:tc>
          <w:tcPr>
            <w:tcW w:w="1679" w:type="dxa"/>
            <w:tcBorders>
              <w:top w:val="nil"/>
              <w:bottom w:val="nil"/>
            </w:tcBorders>
          </w:tcPr>
          <w:p w:rsidR="00000000" w:rsidRDefault="00000000">
            <w:pPr>
              <w:spacing w:line="320" w:lineRule="exact"/>
              <w:ind w:right="454"/>
              <w:jc w:val="right"/>
              <w:rPr>
                <w:sz w:val="21"/>
              </w:rPr>
            </w:pPr>
            <w:r>
              <w:rPr>
                <w:sz w:val="21"/>
              </w:rPr>
              <w:t>1,950</w:t>
            </w:r>
          </w:p>
        </w:tc>
        <w:tc>
          <w:tcPr>
            <w:tcW w:w="1428" w:type="dxa"/>
            <w:tcBorders>
              <w:top w:val="nil"/>
              <w:bottom w:val="nil"/>
            </w:tcBorders>
          </w:tcPr>
          <w:p w:rsidR="00000000" w:rsidRDefault="00000000">
            <w:pPr>
              <w:spacing w:line="320" w:lineRule="exact"/>
              <w:ind w:right="340"/>
              <w:jc w:val="right"/>
              <w:rPr>
                <w:sz w:val="21"/>
              </w:rPr>
            </w:pPr>
            <w:r>
              <w:rPr>
                <w:sz w:val="21"/>
              </w:rPr>
              <w:t>1,717</w:t>
            </w:r>
          </w:p>
        </w:tc>
        <w:tc>
          <w:tcPr>
            <w:tcW w:w="1717" w:type="dxa"/>
            <w:tcBorders>
              <w:top w:val="nil"/>
              <w:bottom w:val="nil"/>
            </w:tcBorders>
          </w:tcPr>
          <w:p w:rsidR="00000000" w:rsidRDefault="00000000">
            <w:pPr>
              <w:spacing w:line="320" w:lineRule="exact"/>
              <w:ind w:right="567"/>
              <w:jc w:val="right"/>
              <w:rPr>
                <w:sz w:val="21"/>
              </w:rPr>
            </w:pPr>
            <w:r>
              <w:rPr>
                <w:sz w:val="21"/>
              </w:rPr>
              <w:t>88</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肠胃病</w:t>
            </w:r>
          </w:p>
        </w:tc>
        <w:tc>
          <w:tcPr>
            <w:tcW w:w="1750" w:type="dxa"/>
            <w:tcBorders>
              <w:top w:val="nil"/>
              <w:bottom w:val="nil"/>
            </w:tcBorders>
          </w:tcPr>
          <w:p w:rsidR="00000000" w:rsidRDefault="00000000">
            <w:pPr>
              <w:spacing w:line="320" w:lineRule="exact"/>
              <w:ind w:right="397"/>
              <w:jc w:val="right"/>
              <w:rPr>
                <w:sz w:val="21"/>
              </w:rPr>
            </w:pPr>
            <w:r>
              <w:rPr>
                <w:sz w:val="21"/>
              </w:rPr>
              <w:t>2,011</w:t>
            </w:r>
          </w:p>
        </w:tc>
        <w:tc>
          <w:tcPr>
            <w:tcW w:w="1679" w:type="dxa"/>
            <w:tcBorders>
              <w:top w:val="nil"/>
              <w:bottom w:val="nil"/>
            </w:tcBorders>
          </w:tcPr>
          <w:p w:rsidR="00000000" w:rsidRDefault="00000000">
            <w:pPr>
              <w:spacing w:line="320" w:lineRule="exact"/>
              <w:ind w:right="454"/>
              <w:jc w:val="right"/>
              <w:rPr>
                <w:sz w:val="21"/>
              </w:rPr>
            </w:pPr>
            <w:r>
              <w:rPr>
                <w:sz w:val="21"/>
              </w:rPr>
              <w:t>1,108</w:t>
            </w:r>
          </w:p>
        </w:tc>
        <w:tc>
          <w:tcPr>
            <w:tcW w:w="1428" w:type="dxa"/>
            <w:tcBorders>
              <w:top w:val="nil"/>
              <w:bottom w:val="nil"/>
            </w:tcBorders>
          </w:tcPr>
          <w:p w:rsidR="00000000" w:rsidRDefault="00000000">
            <w:pPr>
              <w:spacing w:line="320" w:lineRule="exact"/>
              <w:ind w:right="340"/>
              <w:jc w:val="right"/>
              <w:rPr>
                <w:sz w:val="21"/>
              </w:rPr>
            </w:pPr>
            <w:r>
              <w:rPr>
                <w:sz w:val="21"/>
              </w:rPr>
              <w:t>903</w:t>
            </w:r>
          </w:p>
        </w:tc>
        <w:tc>
          <w:tcPr>
            <w:tcW w:w="1717" w:type="dxa"/>
            <w:tcBorders>
              <w:top w:val="nil"/>
              <w:bottom w:val="nil"/>
            </w:tcBorders>
          </w:tcPr>
          <w:p w:rsidR="00000000" w:rsidRDefault="00000000">
            <w:pPr>
              <w:spacing w:line="320" w:lineRule="exact"/>
              <w:ind w:right="567"/>
              <w:jc w:val="right"/>
              <w:rPr>
                <w:sz w:val="21"/>
              </w:rPr>
            </w:pPr>
            <w:r>
              <w:rPr>
                <w:sz w:val="21"/>
              </w:rPr>
              <w:t>81</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其它疾病</w:t>
            </w:r>
          </w:p>
        </w:tc>
        <w:tc>
          <w:tcPr>
            <w:tcW w:w="1750" w:type="dxa"/>
            <w:tcBorders>
              <w:top w:val="nil"/>
              <w:bottom w:val="nil"/>
            </w:tcBorders>
          </w:tcPr>
          <w:p w:rsidR="00000000" w:rsidRDefault="00000000">
            <w:pPr>
              <w:spacing w:line="320" w:lineRule="exact"/>
              <w:ind w:right="397"/>
              <w:jc w:val="right"/>
              <w:rPr>
                <w:sz w:val="21"/>
              </w:rPr>
            </w:pPr>
            <w:r>
              <w:rPr>
                <w:sz w:val="21"/>
              </w:rPr>
              <w:t>7,750</w:t>
            </w:r>
          </w:p>
        </w:tc>
        <w:tc>
          <w:tcPr>
            <w:tcW w:w="1679" w:type="dxa"/>
            <w:tcBorders>
              <w:top w:val="nil"/>
              <w:bottom w:val="nil"/>
            </w:tcBorders>
          </w:tcPr>
          <w:p w:rsidR="00000000" w:rsidRDefault="00000000">
            <w:pPr>
              <w:spacing w:line="320" w:lineRule="exact"/>
              <w:ind w:right="454"/>
              <w:jc w:val="right"/>
              <w:rPr>
                <w:sz w:val="21"/>
              </w:rPr>
            </w:pPr>
            <w:r>
              <w:rPr>
                <w:sz w:val="21"/>
              </w:rPr>
              <w:t>2,837</w:t>
            </w:r>
          </w:p>
        </w:tc>
        <w:tc>
          <w:tcPr>
            <w:tcW w:w="1428" w:type="dxa"/>
            <w:tcBorders>
              <w:top w:val="nil"/>
              <w:bottom w:val="nil"/>
            </w:tcBorders>
          </w:tcPr>
          <w:p w:rsidR="00000000" w:rsidRDefault="00000000">
            <w:pPr>
              <w:spacing w:line="320" w:lineRule="exact"/>
              <w:ind w:right="340"/>
              <w:jc w:val="right"/>
              <w:rPr>
                <w:sz w:val="21"/>
              </w:rPr>
            </w:pPr>
            <w:r>
              <w:rPr>
                <w:sz w:val="21"/>
              </w:rPr>
              <w:t>4,913</w:t>
            </w:r>
          </w:p>
        </w:tc>
        <w:tc>
          <w:tcPr>
            <w:tcW w:w="1717" w:type="dxa"/>
            <w:tcBorders>
              <w:top w:val="nil"/>
              <w:bottom w:val="nil"/>
            </w:tcBorders>
          </w:tcPr>
          <w:p w:rsidR="00000000" w:rsidRDefault="00000000">
            <w:pPr>
              <w:spacing w:line="320" w:lineRule="exact"/>
              <w:ind w:right="567"/>
              <w:jc w:val="right"/>
              <w:rPr>
                <w:sz w:val="21"/>
              </w:rPr>
            </w:pPr>
            <w:r>
              <w:rPr>
                <w:sz w:val="21"/>
              </w:rPr>
              <w:t>173</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意外事故和暴力行为</w:t>
            </w:r>
          </w:p>
        </w:tc>
        <w:tc>
          <w:tcPr>
            <w:tcW w:w="1750" w:type="dxa"/>
            <w:tcBorders>
              <w:top w:val="nil"/>
              <w:bottom w:val="nil"/>
            </w:tcBorders>
          </w:tcPr>
          <w:p w:rsidR="00000000" w:rsidRDefault="00000000">
            <w:pPr>
              <w:spacing w:line="320" w:lineRule="exact"/>
              <w:ind w:right="397"/>
              <w:jc w:val="right"/>
              <w:rPr>
                <w:sz w:val="21"/>
              </w:rPr>
            </w:pPr>
            <w:r>
              <w:rPr>
                <w:sz w:val="21"/>
              </w:rPr>
              <w:t>4,125</w:t>
            </w:r>
          </w:p>
        </w:tc>
        <w:tc>
          <w:tcPr>
            <w:tcW w:w="1679" w:type="dxa"/>
            <w:tcBorders>
              <w:top w:val="nil"/>
              <w:bottom w:val="nil"/>
            </w:tcBorders>
          </w:tcPr>
          <w:p w:rsidR="00000000" w:rsidRDefault="00000000">
            <w:pPr>
              <w:spacing w:line="320" w:lineRule="exact"/>
              <w:ind w:right="454"/>
              <w:jc w:val="right"/>
              <w:rPr>
                <w:sz w:val="21"/>
              </w:rPr>
            </w:pPr>
            <w:r>
              <w:rPr>
                <w:sz w:val="21"/>
              </w:rPr>
              <w:t>2,854</w:t>
            </w:r>
          </w:p>
        </w:tc>
        <w:tc>
          <w:tcPr>
            <w:tcW w:w="1428" w:type="dxa"/>
            <w:tcBorders>
              <w:top w:val="nil"/>
              <w:bottom w:val="nil"/>
            </w:tcBorders>
          </w:tcPr>
          <w:p w:rsidR="00000000" w:rsidRDefault="00000000">
            <w:pPr>
              <w:spacing w:line="320" w:lineRule="exact"/>
              <w:ind w:right="340"/>
              <w:jc w:val="right"/>
              <w:rPr>
                <w:sz w:val="21"/>
              </w:rPr>
            </w:pPr>
            <w:r>
              <w:rPr>
                <w:sz w:val="21"/>
              </w:rPr>
              <w:t>1,271</w:t>
            </w:r>
          </w:p>
        </w:tc>
        <w:tc>
          <w:tcPr>
            <w:tcW w:w="1717" w:type="dxa"/>
            <w:tcBorders>
              <w:top w:val="nil"/>
              <w:bottom w:val="nil"/>
            </w:tcBorders>
          </w:tcPr>
          <w:p w:rsidR="00000000" w:rsidRDefault="00000000">
            <w:pPr>
              <w:spacing w:line="320" w:lineRule="exact"/>
              <w:ind w:right="567"/>
              <w:jc w:val="right"/>
              <w:rPr>
                <w:sz w:val="21"/>
              </w:rPr>
            </w:pPr>
            <w:r>
              <w:rPr>
                <w:sz w:val="21"/>
              </w:rPr>
              <w:t>45</w:t>
            </w:r>
          </w:p>
        </w:tc>
      </w:tr>
      <w:tr w:rsidR="00000000">
        <w:tblPrEx>
          <w:tblCellMar>
            <w:top w:w="0" w:type="dxa"/>
            <w:bottom w:w="0" w:type="dxa"/>
          </w:tblCellMar>
        </w:tblPrEx>
        <w:tc>
          <w:tcPr>
            <w:tcW w:w="2786" w:type="dxa"/>
            <w:tcBorders>
              <w:top w:val="nil"/>
              <w:bottom w:val="single" w:sz="4" w:space="0" w:color="auto"/>
            </w:tcBorders>
          </w:tcPr>
          <w:p w:rsidR="00000000" w:rsidRDefault="00000000">
            <w:pPr>
              <w:spacing w:line="320" w:lineRule="exact"/>
              <w:ind w:left="170"/>
              <w:rPr>
                <w:rFonts w:hint="eastAsia"/>
                <w:sz w:val="21"/>
              </w:rPr>
            </w:pPr>
            <w:r>
              <w:rPr>
                <w:sz w:val="21"/>
              </w:rPr>
              <w:t xml:space="preserve">- </w:t>
            </w:r>
            <w:r>
              <w:rPr>
                <w:rFonts w:hint="eastAsia"/>
                <w:sz w:val="21"/>
              </w:rPr>
              <w:t>其中包括自杀</w:t>
            </w:r>
          </w:p>
        </w:tc>
        <w:tc>
          <w:tcPr>
            <w:tcW w:w="1750" w:type="dxa"/>
            <w:tcBorders>
              <w:top w:val="nil"/>
              <w:bottom w:val="single" w:sz="4" w:space="0" w:color="auto"/>
            </w:tcBorders>
          </w:tcPr>
          <w:p w:rsidR="00000000" w:rsidRDefault="00000000">
            <w:pPr>
              <w:spacing w:line="320" w:lineRule="exact"/>
              <w:ind w:right="397"/>
              <w:jc w:val="right"/>
              <w:rPr>
                <w:sz w:val="21"/>
              </w:rPr>
            </w:pPr>
            <w:r>
              <w:rPr>
                <w:sz w:val="21"/>
              </w:rPr>
              <w:t>1,075</w:t>
            </w:r>
          </w:p>
        </w:tc>
        <w:tc>
          <w:tcPr>
            <w:tcW w:w="1679" w:type="dxa"/>
            <w:tcBorders>
              <w:top w:val="nil"/>
              <w:bottom w:val="single" w:sz="4" w:space="0" w:color="auto"/>
            </w:tcBorders>
          </w:tcPr>
          <w:p w:rsidR="00000000" w:rsidRDefault="00000000">
            <w:pPr>
              <w:spacing w:line="320" w:lineRule="exact"/>
              <w:ind w:right="454"/>
              <w:jc w:val="right"/>
              <w:rPr>
                <w:sz w:val="21"/>
              </w:rPr>
            </w:pPr>
            <w:r>
              <w:rPr>
                <w:sz w:val="21"/>
              </w:rPr>
              <w:t>815</w:t>
            </w:r>
          </w:p>
        </w:tc>
        <w:tc>
          <w:tcPr>
            <w:tcW w:w="1428" w:type="dxa"/>
            <w:tcBorders>
              <w:top w:val="nil"/>
              <w:bottom w:val="single" w:sz="4" w:space="0" w:color="auto"/>
            </w:tcBorders>
          </w:tcPr>
          <w:p w:rsidR="00000000" w:rsidRDefault="00000000">
            <w:pPr>
              <w:spacing w:line="320" w:lineRule="exact"/>
              <w:ind w:right="340"/>
              <w:jc w:val="right"/>
              <w:rPr>
                <w:sz w:val="21"/>
              </w:rPr>
            </w:pPr>
            <w:r>
              <w:rPr>
                <w:sz w:val="21"/>
              </w:rPr>
              <w:t>260</w:t>
            </w:r>
          </w:p>
        </w:tc>
        <w:tc>
          <w:tcPr>
            <w:tcW w:w="1717" w:type="dxa"/>
            <w:tcBorders>
              <w:top w:val="nil"/>
              <w:bottom w:val="single" w:sz="4" w:space="0" w:color="auto"/>
            </w:tcBorders>
          </w:tcPr>
          <w:p w:rsidR="00000000" w:rsidRDefault="00000000">
            <w:pPr>
              <w:spacing w:line="320" w:lineRule="exact"/>
              <w:ind w:right="567"/>
              <w:jc w:val="right"/>
              <w:rPr>
                <w:sz w:val="21"/>
              </w:rPr>
            </w:pPr>
            <w:r>
              <w:rPr>
                <w:sz w:val="21"/>
              </w:rPr>
              <w:t>32</w:t>
            </w:r>
          </w:p>
        </w:tc>
      </w:tr>
      <w:tr w:rsidR="00000000">
        <w:tblPrEx>
          <w:tblCellMar>
            <w:top w:w="0" w:type="dxa"/>
            <w:bottom w:w="0" w:type="dxa"/>
          </w:tblCellMar>
        </w:tblPrEx>
        <w:tc>
          <w:tcPr>
            <w:tcW w:w="2786" w:type="dxa"/>
            <w:tcBorders>
              <w:top w:val="single" w:sz="4" w:space="0" w:color="auto"/>
            </w:tcBorders>
          </w:tcPr>
          <w:p w:rsidR="00000000" w:rsidRDefault="00000000">
            <w:pPr>
              <w:spacing w:line="320" w:lineRule="exact"/>
              <w:ind w:left="170"/>
              <w:rPr>
                <w:rFonts w:hint="eastAsia"/>
                <w:snapToGrid/>
                <w:sz w:val="21"/>
              </w:rPr>
            </w:pPr>
            <w:r>
              <w:rPr>
                <w:rFonts w:ascii="Time New Roman" w:eastAsia="SimHei" w:hAnsi="Time New Roman"/>
                <w:sz w:val="21"/>
              </w:rPr>
              <w:t xml:space="preserve">    </w:t>
            </w:r>
            <w:r>
              <w:rPr>
                <w:rFonts w:hint="eastAsia"/>
                <w:snapToGrid/>
                <w:sz w:val="21"/>
              </w:rPr>
              <w:t>总</w:t>
            </w:r>
            <w:r>
              <w:rPr>
                <w:rFonts w:hint="eastAsia"/>
                <w:snapToGrid/>
                <w:sz w:val="21"/>
              </w:rPr>
              <w:t xml:space="preserve">  </w:t>
            </w:r>
            <w:r>
              <w:rPr>
                <w:rFonts w:hint="eastAsia"/>
                <w:snapToGrid/>
                <w:sz w:val="21"/>
              </w:rPr>
              <w:t>计</w:t>
            </w:r>
          </w:p>
        </w:tc>
        <w:tc>
          <w:tcPr>
            <w:tcW w:w="1750" w:type="dxa"/>
            <w:tcBorders>
              <w:top w:val="single" w:sz="4" w:space="0" w:color="auto"/>
            </w:tcBorders>
          </w:tcPr>
          <w:p w:rsidR="00000000" w:rsidRDefault="00000000">
            <w:pPr>
              <w:spacing w:line="320" w:lineRule="exact"/>
              <w:ind w:right="397"/>
              <w:jc w:val="right"/>
              <w:rPr>
                <w:sz w:val="21"/>
              </w:rPr>
            </w:pPr>
            <w:r>
              <w:rPr>
                <w:sz w:val="21"/>
              </w:rPr>
              <w:t>49,033</w:t>
            </w:r>
          </w:p>
        </w:tc>
        <w:tc>
          <w:tcPr>
            <w:tcW w:w="1679" w:type="dxa"/>
            <w:tcBorders>
              <w:top w:val="single" w:sz="4" w:space="0" w:color="auto"/>
            </w:tcBorders>
          </w:tcPr>
          <w:p w:rsidR="00000000" w:rsidRDefault="00000000">
            <w:pPr>
              <w:spacing w:line="320" w:lineRule="exact"/>
              <w:ind w:right="454"/>
              <w:jc w:val="right"/>
              <w:rPr>
                <w:sz w:val="21"/>
              </w:rPr>
            </w:pPr>
            <w:r>
              <w:rPr>
                <w:sz w:val="21"/>
              </w:rPr>
              <w:t>23,935</w:t>
            </w:r>
          </w:p>
        </w:tc>
        <w:tc>
          <w:tcPr>
            <w:tcW w:w="1428" w:type="dxa"/>
            <w:tcBorders>
              <w:top w:val="single" w:sz="4" w:space="0" w:color="auto"/>
            </w:tcBorders>
          </w:tcPr>
          <w:p w:rsidR="00000000" w:rsidRDefault="00000000">
            <w:pPr>
              <w:spacing w:line="320" w:lineRule="exact"/>
              <w:ind w:right="340"/>
              <w:jc w:val="right"/>
              <w:rPr>
                <w:sz w:val="21"/>
              </w:rPr>
            </w:pPr>
            <w:r>
              <w:rPr>
                <w:sz w:val="21"/>
              </w:rPr>
              <w:t>25,098</w:t>
            </w:r>
          </w:p>
        </w:tc>
        <w:tc>
          <w:tcPr>
            <w:tcW w:w="1717" w:type="dxa"/>
            <w:tcBorders>
              <w:top w:val="single" w:sz="4" w:space="0" w:color="auto"/>
            </w:tcBorders>
          </w:tcPr>
          <w:p w:rsidR="00000000" w:rsidRDefault="00000000">
            <w:pPr>
              <w:spacing w:line="320" w:lineRule="exact"/>
              <w:ind w:right="567"/>
              <w:jc w:val="right"/>
              <w:rPr>
                <w:sz w:val="21"/>
              </w:rPr>
            </w:pPr>
            <w:r>
              <w:rPr>
                <w:sz w:val="21"/>
              </w:rPr>
              <w:t>105</w:t>
            </w:r>
          </w:p>
        </w:tc>
      </w:tr>
      <w:tr w:rsidR="00000000">
        <w:tblPrEx>
          <w:tblCellMar>
            <w:top w:w="0" w:type="dxa"/>
            <w:bottom w:w="0" w:type="dxa"/>
          </w:tblCellMar>
        </w:tblPrEx>
        <w:trPr>
          <w:cantSplit/>
        </w:trPr>
        <w:tc>
          <w:tcPr>
            <w:tcW w:w="9360" w:type="dxa"/>
            <w:gridSpan w:val="5"/>
          </w:tcPr>
          <w:p w:rsidR="00000000" w:rsidRDefault="00000000">
            <w:pPr>
              <w:pStyle w:val="Header"/>
              <w:spacing w:line="320" w:lineRule="exact"/>
              <w:ind w:left="170"/>
              <w:rPr>
                <w:rFonts w:ascii="Times New Roman" w:hAnsi="Times New Roman" w:hint="eastAsia"/>
                <w:sz w:val="21"/>
              </w:rPr>
            </w:pPr>
            <w:r>
              <w:rPr>
                <w:rFonts w:ascii="Times New Roman" w:hAnsi="Times New Roman" w:hint="eastAsia"/>
                <w:sz w:val="21"/>
              </w:rPr>
              <w:t>每</w:t>
            </w:r>
            <w:r>
              <w:rPr>
                <w:rFonts w:ascii="Times New Roman" w:hAnsi="Times New Roman" w:hint="eastAsia"/>
                <w:sz w:val="21"/>
              </w:rPr>
              <w:t>10</w:t>
            </w:r>
            <w:r>
              <w:rPr>
                <w:rFonts w:ascii="Times New Roman" w:hAnsi="Times New Roman" w:hint="eastAsia"/>
                <w:sz w:val="21"/>
              </w:rPr>
              <w:t>万人口的粗死亡率</w:t>
            </w:r>
          </w:p>
        </w:tc>
      </w:tr>
      <w:tr w:rsidR="00000000">
        <w:tblPrEx>
          <w:tblCellMar>
            <w:top w:w="0" w:type="dxa"/>
            <w:bottom w:w="0" w:type="dxa"/>
          </w:tblCellMar>
        </w:tblPrEx>
        <w:tc>
          <w:tcPr>
            <w:tcW w:w="2786" w:type="dxa"/>
          </w:tcPr>
          <w:p w:rsidR="00000000" w:rsidRDefault="00000000">
            <w:pPr>
              <w:spacing w:before="60" w:after="40" w:line="320" w:lineRule="exact"/>
              <w:ind w:left="170"/>
              <w:jc w:val="center"/>
              <w:rPr>
                <w:rFonts w:hint="eastAsia"/>
                <w:snapToGrid/>
                <w:spacing w:val="0"/>
                <w:sz w:val="21"/>
              </w:rPr>
            </w:pPr>
            <w:r>
              <w:rPr>
                <w:rFonts w:hint="eastAsia"/>
                <w:snapToGrid/>
                <w:spacing w:val="0"/>
                <w:sz w:val="21"/>
              </w:rPr>
              <w:t>死亡原因</w:t>
            </w:r>
          </w:p>
        </w:tc>
        <w:tc>
          <w:tcPr>
            <w:tcW w:w="1750" w:type="dxa"/>
          </w:tcPr>
          <w:p w:rsidR="00000000" w:rsidRDefault="00000000">
            <w:pPr>
              <w:spacing w:before="60" w:after="40" w:line="320" w:lineRule="exact"/>
              <w:ind w:left="170"/>
              <w:jc w:val="center"/>
              <w:rPr>
                <w:rFonts w:hint="eastAsia"/>
                <w:snapToGrid/>
                <w:spacing w:val="0"/>
                <w:sz w:val="21"/>
              </w:rPr>
            </w:pPr>
            <w:r>
              <w:rPr>
                <w:rFonts w:hint="eastAsia"/>
                <w:snapToGrid/>
                <w:spacing w:val="0"/>
                <w:sz w:val="21"/>
              </w:rPr>
              <w:t>死亡人数总计</w:t>
            </w:r>
          </w:p>
        </w:tc>
        <w:tc>
          <w:tcPr>
            <w:tcW w:w="1679" w:type="dxa"/>
          </w:tcPr>
          <w:p w:rsidR="00000000" w:rsidRDefault="00000000">
            <w:pPr>
              <w:spacing w:before="60" w:after="40" w:line="320" w:lineRule="exact"/>
              <w:jc w:val="center"/>
              <w:rPr>
                <w:rFonts w:hint="eastAsia"/>
                <w:snapToGrid/>
                <w:spacing w:val="0"/>
                <w:sz w:val="21"/>
              </w:rPr>
            </w:pPr>
            <w:r>
              <w:rPr>
                <w:rFonts w:hint="eastAsia"/>
                <w:snapToGrid/>
                <w:spacing w:val="0"/>
                <w:sz w:val="21"/>
              </w:rPr>
              <w:t>男</w:t>
            </w:r>
            <w:r>
              <w:rPr>
                <w:rFonts w:hint="eastAsia"/>
                <w:snapToGrid/>
                <w:spacing w:val="0"/>
                <w:sz w:val="21"/>
              </w:rPr>
              <w:t xml:space="preserve">  </w:t>
            </w:r>
            <w:r>
              <w:rPr>
                <w:rFonts w:hint="eastAsia"/>
                <w:snapToGrid/>
                <w:spacing w:val="0"/>
                <w:sz w:val="21"/>
              </w:rPr>
              <w:t>子</w:t>
            </w:r>
          </w:p>
        </w:tc>
        <w:tc>
          <w:tcPr>
            <w:tcW w:w="1428" w:type="dxa"/>
          </w:tcPr>
          <w:p w:rsidR="00000000" w:rsidRDefault="00000000">
            <w:pPr>
              <w:spacing w:before="60" w:after="40" w:line="320" w:lineRule="exact"/>
              <w:jc w:val="center"/>
              <w:rPr>
                <w:rFonts w:hint="eastAsia"/>
                <w:snapToGrid/>
                <w:spacing w:val="0"/>
                <w:sz w:val="21"/>
              </w:rPr>
            </w:pPr>
            <w:r>
              <w:rPr>
                <w:rFonts w:hint="eastAsia"/>
                <w:snapToGrid/>
                <w:spacing w:val="0"/>
                <w:sz w:val="21"/>
              </w:rPr>
              <w:t>妇</w:t>
            </w:r>
            <w:r>
              <w:rPr>
                <w:rFonts w:hint="eastAsia"/>
                <w:snapToGrid/>
                <w:spacing w:val="0"/>
                <w:sz w:val="21"/>
              </w:rPr>
              <w:t xml:space="preserve">  </w:t>
            </w:r>
            <w:r>
              <w:rPr>
                <w:rFonts w:hint="eastAsia"/>
                <w:snapToGrid/>
                <w:spacing w:val="0"/>
                <w:sz w:val="21"/>
              </w:rPr>
              <w:t>女</w:t>
            </w:r>
          </w:p>
        </w:tc>
        <w:tc>
          <w:tcPr>
            <w:tcW w:w="1717" w:type="dxa"/>
          </w:tcPr>
          <w:p w:rsidR="00000000" w:rsidRDefault="00000000">
            <w:pPr>
              <w:spacing w:before="60" w:after="40" w:line="320" w:lineRule="exact"/>
              <w:jc w:val="center"/>
              <w:rPr>
                <w:rFonts w:hint="eastAsia"/>
                <w:snapToGrid/>
                <w:spacing w:val="0"/>
                <w:sz w:val="21"/>
              </w:rPr>
            </w:pPr>
            <w:r>
              <w:rPr>
                <w:rFonts w:hint="eastAsia"/>
                <w:snapToGrid/>
                <w:spacing w:val="0"/>
                <w:sz w:val="21"/>
              </w:rPr>
              <w:t>男子以</w:t>
            </w:r>
            <w:r>
              <w:rPr>
                <w:bCs/>
                <w:snapToGrid/>
                <w:spacing w:val="0"/>
                <w:sz w:val="21"/>
              </w:rPr>
              <w:t>100</w:t>
            </w:r>
            <w:r>
              <w:rPr>
                <w:rFonts w:hint="eastAsia"/>
                <w:snapToGrid/>
                <w:spacing w:val="0"/>
                <w:sz w:val="21"/>
              </w:rPr>
              <w:t>计算</w:t>
            </w:r>
          </w:p>
        </w:tc>
      </w:tr>
      <w:tr w:rsidR="00000000">
        <w:tblPrEx>
          <w:tblCellMar>
            <w:top w:w="0" w:type="dxa"/>
            <w:bottom w:w="0" w:type="dxa"/>
          </w:tblCellMar>
        </w:tblPrEx>
        <w:tc>
          <w:tcPr>
            <w:tcW w:w="2786" w:type="dxa"/>
            <w:tcBorders>
              <w:bottom w:val="nil"/>
            </w:tcBorders>
          </w:tcPr>
          <w:p w:rsidR="00000000" w:rsidRDefault="00000000">
            <w:pPr>
              <w:spacing w:line="320" w:lineRule="exact"/>
              <w:ind w:left="170"/>
              <w:rPr>
                <w:rFonts w:hint="eastAsia"/>
                <w:sz w:val="21"/>
              </w:rPr>
            </w:pPr>
            <w:r>
              <w:rPr>
                <w:rFonts w:hint="eastAsia"/>
                <w:sz w:val="21"/>
              </w:rPr>
              <w:t>心血管病</w:t>
            </w:r>
          </w:p>
        </w:tc>
        <w:tc>
          <w:tcPr>
            <w:tcW w:w="1750" w:type="dxa"/>
            <w:tcBorders>
              <w:bottom w:val="nil"/>
            </w:tcBorders>
          </w:tcPr>
          <w:p w:rsidR="00000000" w:rsidRDefault="00000000">
            <w:pPr>
              <w:spacing w:line="320" w:lineRule="exact"/>
              <w:ind w:right="397"/>
              <w:jc w:val="right"/>
              <w:rPr>
                <w:sz w:val="21"/>
              </w:rPr>
            </w:pPr>
            <w:r>
              <w:rPr>
                <w:sz w:val="21"/>
              </w:rPr>
              <w:t>398</w:t>
            </w:r>
          </w:p>
        </w:tc>
        <w:tc>
          <w:tcPr>
            <w:tcW w:w="1679" w:type="dxa"/>
            <w:tcBorders>
              <w:bottom w:val="nil"/>
            </w:tcBorders>
          </w:tcPr>
          <w:p w:rsidR="00000000" w:rsidRDefault="00000000">
            <w:pPr>
              <w:spacing w:line="320" w:lineRule="exact"/>
              <w:ind w:right="454"/>
              <w:jc w:val="right"/>
              <w:rPr>
                <w:sz w:val="21"/>
              </w:rPr>
            </w:pPr>
            <w:r>
              <w:rPr>
                <w:sz w:val="21"/>
              </w:rPr>
              <w:t>379</w:t>
            </w:r>
          </w:p>
        </w:tc>
        <w:tc>
          <w:tcPr>
            <w:tcW w:w="1428" w:type="dxa"/>
            <w:tcBorders>
              <w:bottom w:val="nil"/>
            </w:tcBorders>
          </w:tcPr>
          <w:p w:rsidR="00000000" w:rsidRDefault="00000000">
            <w:pPr>
              <w:spacing w:line="320" w:lineRule="exact"/>
              <w:ind w:right="340"/>
              <w:jc w:val="right"/>
              <w:rPr>
                <w:sz w:val="21"/>
              </w:rPr>
            </w:pPr>
            <w:r>
              <w:rPr>
                <w:sz w:val="21"/>
              </w:rPr>
              <w:t>416</w:t>
            </w:r>
          </w:p>
        </w:tc>
        <w:tc>
          <w:tcPr>
            <w:tcW w:w="1717" w:type="dxa"/>
            <w:tcBorders>
              <w:bottom w:val="nil"/>
            </w:tcBorders>
          </w:tcPr>
          <w:p w:rsidR="00000000" w:rsidRDefault="00000000">
            <w:pPr>
              <w:spacing w:line="320" w:lineRule="exact"/>
              <w:ind w:right="567"/>
              <w:jc w:val="right"/>
              <w:rPr>
                <w:sz w:val="21"/>
              </w:rPr>
            </w:pPr>
            <w:r>
              <w:rPr>
                <w:sz w:val="21"/>
              </w:rPr>
              <w:t>110</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癌症</w:t>
            </w:r>
          </w:p>
        </w:tc>
        <w:tc>
          <w:tcPr>
            <w:tcW w:w="1750" w:type="dxa"/>
            <w:tcBorders>
              <w:top w:val="nil"/>
              <w:bottom w:val="nil"/>
            </w:tcBorders>
          </w:tcPr>
          <w:p w:rsidR="00000000" w:rsidRDefault="00000000">
            <w:pPr>
              <w:spacing w:line="320" w:lineRule="exact"/>
              <w:ind w:right="397"/>
              <w:jc w:val="right"/>
              <w:rPr>
                <w:sz w:val="21"/>
              </w:rPr>
            </w:pPr>
            <w:r>
              <w:rPr>
                <w:sz w:val="21"/>
              </w:rPr>
              <w:t>205</w:t>
            </w:r>
          </w:p>
        </w:tc>
        <w:tc>
          <w:tcPr>
            <w:tcW w:w="1679" w:type="dxa"/>
            <w:tcBorders>
              <w:top w:val="nil"/>
              <w:bottom w:val="nil"/>
            </w:tcBorders>
          </w:tcPr>
          <w:p w:rsidR="00000000" w:rsidRDefault="00000000">
            <w:pPr>
              <w:spacing w:line="320" w:lineRule="exact"/>
              <w:ind w:right="454"/>
              <w:jc w:val="right"/>
              <w:rPr>
                <w:sz w:val="21"/>
              </w:rPr>
            </w:pPr>
            <w:r>
              <w:rPr>
                <w:sz w:val="21"/>
              </w:rPr>
              <w:t>215</w:t>
            </w:r>
          </w:p>
        </w:tc>
        <w:tc>
          <w:tcPr>
            <w:tcW w:w="1428" w:type="dxa"/>
            <w:tcBorders>
              <w:top w:val="nil"/>
              <w:bottom w:val="nil"/>
            </w:tcBorders>
          </w:tcPr>
          <w:p w:rsidR="00000000" w:rsidRDefault="00000000">
            <w:pPr>
              <w:spacing w:line="320" w:lineRule="exact"/>
              <w:ind w:right="340"/>
              <w:jc w:val="right"/>
              <w:rPr>
                <w:sz w:val="21"/>
              </w:rPr>
            </w:pPr>
            <w:r>
              <w:rPr>
                <w:sz w:val="21"/>
              </w:rPr>
              <w:t>195</w:t>
            </w:r>
          </w:p>
        </w:tc>
        <w:tc>
          <w:tcPr>
            <w:tcW w:w="1717" w:type="dxa"/>
            <w:tcBorders>
              <w:top w:val="nil"/>
              <w:bottom w:val="nil"/>
            </w:tcBorders>
          </w:tcPr>
          <w:p w:rsidR="00000000" w:rsidRDefault="00000000">
            <w:pPr>
              <w:spacing w:line="320" w:lineRule="exact"/>
              <w:ind w:right="567"/>
              <w:jc w:val="right"/>
              <w:rPr>
                <w:sz w:val="21"/>
              </w:rPr>
            </w:pPr>
            <w:r>
              <w:rPr>
                <w:sz w:val="21"/>
              </w:rPr>
              <w:t>91</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呼吸道疾病</w:t>
            </w:r>
          </w:p>
        </w:tc>
        <w:tc>
          <w:tcPr>
            <w:tcW w:w="1750" w:type="dxa"/>
            <w:tcBorders>
              <w:top w:val="nil"/>
              <w:bottom w:val="nil"/>
            </w:tcBorders>
          </w:tcPr>
          <w:p w:rsidR="00000000" w:rsidRDefault="00000000">
            <w:pPr>
              <w:spacing w:line="320" w:lineRule="exact"/>
              <w:ind w:right="397"/>
              <w:jc w:val="right"/>
              <w:rPr>
                <w:sz w:val="21"/>
              </w:rPr>
            </w:pPr>
            <w:r>
              <w:rPr>
                <w:sz w:val="21"/>
              </w:rPr>
              <w:t>70</w:t>
            </w:r>
          </w:p>
        </w:tc>
        <w:tc>
          <w:tcPr>
            <w:tcW w:w="1679" w:type="dxa"/>
            <w:tcBorders>
              <w:top w:val="nil"/>
              <w:bottom w:val="nil"/>
            </w:tcBorders>
          </w:tcPr>
          <w:p w:rsidR="00000000" w:rsidRDefault="00000000">
            <w:pPr>
              <w:spacing w:line="320" w:lineRule="exact"/>
              <w:ind w:right="454"/>
              <w:jc w:val="right"/>
              <w:rPr>
                <w:sz w:val="21"/>
              </w:rPr>
            </w:pPr>
            <w:r>
              <w:rPr>
                <w:sz w:val="21"/>
              </w:rPr>
              <w:t>76</w:t>
            </w:r>
          </w:p>
        </w:tc>
        <w:tc>
          <w:tcPr>
            <w:tcW w:w="1428" w:type="dxa"/>
            <w:tcBorders>
              <w:top w:val="nil"/>
              <w:bottom w:val="nil"/>
            </w:tcBorders>
          </w:tcPr>
          <w:p w:rsidR="00000000" w:rsidRDefault="00000000">
            <w:pPr>
              <w:spacing w:line="320" w:lineRule="exact"/>
              <w:ind w:right="340"/>
              <w:jc w:val="right"/>
              <w:rPr>
                <w:sz w:val="21"/>
              </w:rPr>
            </w:pPr>
            <w:r>
              <w:rPr>
                <w:sz w:val="21"/>
              </w:rPr>
              <w:t>64</w:t>
            </w:r>
          </w:p>
        </w:tc>
        <w:tc>
          <w:tcPr>
            <w:tcW w:w="1717" w:type="dxa"/>
            <w:tcBorders>
              <w:top w:val="nil"/>
              <w:bottom w:val="nil"/>
            </w:tcBorders>
          </w:tcPr>
          <w:p w:rsidR="00000000" w:rsidRDefault="00000000">
            <w:pPr>
              <w:spacing w:line="320" w:lineRule="exact"/>
              <w:ind w:right="567"/>
              <w:jc w:val="right"/>
              <w:rPr>
                <w:sz w:val="21"/>
              </w:rPr>
            </w:pPr>
            <w:r>
              <w:rPr>
                <w:sz w:val="21"/>
              </w:rPr>
              <w:t>84</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肠胃病</w:t>
            </w:r>
          </w:p>
        </w:tc>
        <w:tc>
          <w:tcPr>
            <w:tcW w:w="1750" w:type="dxa"/>
            <w:tcBorders>
              <w:top w:val="nil"/>
              <w:bottom w:val="nil"/>
            </w:tcBorders>
          </w:tcPr>
          <w:p w:rsidR="00000000" w:rsidRDefault="00000000">
            <w:pPr>
              <w:spacing w:line="320" w:lineRule="exact"/>
              <w:ind w:right="397"/>
              <w:jc w:val="right"/>
              <w:rPr>
                <w:sz w:val="21"/>
              </w:rPr>
            </w:pPr>
            <w:r>
              <w:rPr>
                <w:sz w:val="21"/>
              </w:rPr>
              <w:t>39</w:t>
            </w:r>
          </w:p>
        </w:tc>
        <w:tc>
          <w:tcPr>
            <w:tcW w:w="1679" w:type="dxa"/>
            <w:tcBorders>
              <w:top w:val="nil"/>
              <w:bottom w:val="nil"/>
            </w:tcBorders>
          </w:tcPr>
          <w:p w:rsidR="00000000" w:rsidRDefault="00000000">
            <w:pPr>
              <w:spacing w:line="320" w:lineRule="exact"/>
              <w:ind w:right="454"/>
              <w:jc w:val="right"/>
              <w:rPr>
                <w:sz w:val="21"/>
              </w:rPr>
            </w:pPr>
            <w:r>
              <w:rPr>
                <w:sz w:val="21"/>
              </w:rPr>
              <w:t>43</w:t>
            </w:r>
          </w:p>
        </w:tc>
        <w:tc>
          <w:tcPr>
            <w:tcW w:w="1428" w:type="dxa"/>
            <w:tcBorders>
              <w:top w:val="nil"/>
              <w:bottom w:val="nil"/>
            </w:tcBorders>
          </w:tcPr>
          <w:p w:rsidR="00000000" w:rsidRDefault="00000000">
            <w:pPr>
              <w:spacing w:line="320" w:lineRule="exact"/>
              <w:ind w:right="340"/>
              <w:jc w:val="right"/>
              <w:rPr>
                <w:sz w:val="21"/>
              </w:rPr>
            </w:pPr>
            <w:r>
              <w:rPr>
                <w:sz w:val="21"/>
              </w:rPr>
              <w:t>34</w:t>
            </w:r>
          </w:p>
        </w:tc>
        <w:tc>
          <w:tcPr>
            <w:tcW w:w="1717" w:type="dxa"/>
            <w:tcBorders>
              <w:top w:val="nil"/>
              <w:bottom w:val="nil"/>
            </w:tcBorders>
          </w:tcPr>
          <w:p w:rsidR="00000000" w:rsidRDefault="00000000">
            <w:pPr>
              <w:spacing w:line="320" w:lineRule="exact"/>
              <w:ind w:right="567"/>
              <w:jc w:val="right"/>
              <w:rPr>
                <w:sz w:val="21"/>
              </w:rPr>
            </w:pPr>
            <w:r>
              <w:rPr>
                <w:sz w:val="21"/>
              </w:rPr>
              <w:t>78</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其它疾病</w:t>
            </w:r>
          </w:p>
        </w:tc>
        <w:tc>
          <w:tcPr>
            <w:tcW w:w="1750" w:type="dxa"/>
            <w:tcBorders>
              <w:top w:val="nil"/>
              <w:bottom w:val="nil"/>
            </w:tcBorders>
          </w:tcPr>
          <w:p w:rsidR="00000000" w:rsidRDefault="00000000">
            <w:pPr>
              <w:spacing w:line="320" w:lineRule="exact"/>
              <w:ind w:right="397"/>
              <w:jc w:val="right"/>
              <w:rPr>
                <w:sz w:val="21"/>
              </w:rPr>
            </w:pPr>
            <w:r>
              <w:rPr>
                <w:sz w:val="21"/>
              </w:rPr>
              <w:t>148</w:t>
            </w:r>
          </w:p>
        </w:tc>
        <w:tc>
          <w:tcPr>
            <w:tcW w:w="1679" w:type="dxa"/>
            <w:tcBorders>
              <w:top w:val="nil"/>
              <w:bottom w:val="nil"/>
            </w:tcBorders>
          </w:tcPr>
          <w:p w:rsidR="00000000" w:rsidRDefault="00000000">
            <w:pPr>
              <w:spacing w:line="320" w:lineRule="exact"/>
              <w:ind w:right="454"/>
              <w:jc w:val="right"/>
              <w:rPr>
                <w:sz w:val="21"/>
              </w:rPr>
            </w:pPr>
            <w:r>
              <w:rPr>
                <w:sz w:val="21"/>
              </w:rPr>
              <w:t>111</w:t>
            </w:r>
          </w:p>
        </w:tc>
        <w:tc>
          <w:tcPr>
            <w:tcW w:w="1428" w:type="dxa"/>
            <w:tcBorders>
              <w:top w:val="nil"/>
              <w:bottom w:val="nil"/>
            </w:tcBorders>
          </w:tcPr>
          <w:p w:rsidR="00000000" w:rsidRDefault="00000000">
            <w:pPr>
              <w:spacing w:line="320" w:lineRule="exact"/>
              <w:ind w:right="340"/>
              <w:jc w:val="right"/>
              <w:rPr>
                <w:sz w:val="21"/>
              </w:rPr>
            </w:pPr>
            <w:r>
              <w:rPr>
                <w:sz w:val="21"/>
              </w:rPr>
              <w:t>184</w:t>
            </w:r>
          </w:p>
        </w:tc>
        <w:tc>
          <w:tcPr>
            <w:tcW w:w="1717" w:type="dxa"/>
            <w:tcBorders>
              <w:top w:val="nil"/>
              <w:bottom w:val="nil"/>
            </w:tcBorders>
          </w:tcPr>
          <w:p w:rsidR="00000000" w:rsidRDefault="00000000">
            <w:pPr>
              <w:spacing w:line="320" w:lineRule="exact"/>
              <w:ind w:right="567"/>
              <w:jc w:val="right"/>
              <w:rPr>
                <w:sz w:val="21"/>
              </w:rPr>
            </w:pPr>
            <w:r>
              <w:rPr>
                <w:sz w:val="21"/>
              </w:rPr>
              <w:t>166</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意外事故和暴力行为</w:t>
            </w:r>
          </w:p>
        </w:tc>
        <w:tc>
          <w:tcPr>
            <w:tcW w:w="1750" w:type="dxa"/>
            <w:tcBorders>
              <w:top w:val="nil"/>
              <w:bottom w:val="nil"/>
            </w:tcBorders>
          </w:tcPr>
          <w:p w:rsidR="00000000" w:rsidRDefault="00000000">
            <w:pPr>
              <w:spacing w:line="320" w:lineRule="exact"/>
              <w:ind w:right="397"/>
              <w:jc w:val="right"/>
              <w:rPr>
                <w:sz w:val="21"/>
              </w:rPr>
            </w:pPr>
            <w:r>
              <w:rPr>
                <w:sz w:val="21"/>
              </w:rPr>
              <w:t>79</w:t>
            </w:r>
          </w:p>
        </w:tc>
        <w:tc>
          <w:tcPr>
            <w:tcW w:w="1679" w:type="dxa"/>
            <w:tcBorders>
              <w:top w:val="nil"/>
              <w:bottom w:val="nil"/>
            </w:tcBorders>
          </w:tcPr>
          <w:p w:rsidR="00000000" w:rsidRDefault="00000000">
            <w:pPr>
              <w:spacing w:line="320" w:lineRule="exact"/>
              <w:ind w:right="454"/>
              <w:jc w:val="right"/>
              <w:rPr>
                <w:sz w:val="21"/>
              </w:rPr>
            </w:pPr>
            <w:r>
              <w:rPr>
                <w:sz w:val="21"/>
              </w:rPr>
              <w:t>112</w:t>
            </w:r>
          </w:p>
        </w:tc>
        <w:tc>
          <w:tcPr>
            <w:tcW w:w="1428" w:type="dxa"/>
            <w:tcBorders>
              <w:top w:val="nil"/>
              <w:bottom w:val="nil"/>
            </w:tcBorders>
          </w:tcPr>
          <w:p w:rsidR="00000000" w:rsidRDefault="00000000">
            <w:pPr>
              <w:spacing w:line="320" w:lineRule="exact"/>
              <w:ind w:right="340"/>
              <w:jc w:val="right"/>
              <w:rPr>
                <w:sz w:val="21"/>
              </w:rPr>
            </w:pPr>
            <w:r>
              <w:rPr>
                <w:sz w:val="21"/>
              </w:rPr>
              <w:t>48</w:t>
            </w:r>
          </w:p>
        </w:tc>
        <w:tc>
          <w:tcPr>
            <w:tcW w:w="1717" w:type="dxa"/>
            <w:tcBorders>
              <w:top w:val="nil"/>
              <w:bottom w:val="nil"/>
            </w:tcBorders>
          </w:tcPr>
          <w:p w:rsidR="00000000" w:rsidRDefault="00000000">
            <w:pPr>
              <w:spacing w:line="320" w:lineRule="exact"/>
              <w:ind w:right="567"/>
              <w:jc w:val="right"/>
              <w:rPr>
                <w:sz w:val="21"/>
              </w:rPr>
            </w:pPr>
            <w:r>
              <w:rPr>
                <w:sz w:val="21"/>
              </w:rPr>
              <w:t>43</w:t>
            </w:r>
          </w:p>
        </w:tc>
      </w:tr>
      <w:tr w:rsidR="00000000">
        <w:tblPrEx>
          <w:tblCellMar>
            <w:top w:w="0" w:type="dxa"/>
            <w:bottom w:w="0" w:type="dxa"/>
          </w:tblCellMar>
        </w:tblPrEx>
        <w:tc>
          <w:tcPr>
            <w:tcW w:w="2786" w:type="dxa"/>
            <w:tcBorders>
              <w:top w:val="nil"/>
              <w:bottom w:val="single" w:sz="4" w:space="0" w:color="auto"/>
            </w:tcBorders>
          </w:tcPr>
          <w:p w:rsidR="00000000" w:rsidRDefault="00000000">
            <w:pPr>
              <w:spacing w:line="320" w:lineRule="exact"/>
              <w:ind w:left="170"/>
              <w:rPr>
                <w:rFonts w:hint="eastAsia"/>
                <w:sz w:val="21"/>
              </w:rPr>
            </w:pPr>
            <w:r>
              <w:rPr>
                <w:sz w:val="21"/>
              </w:rPr>
              <w:t xml:space="preserve">- </w:t>
            </w:r>
            <w:r>
              <w:rPr>
                <w:rFonts w:hint="eastAsia"/>
                <w:sz w:val="21"/>
              </w:rPr>
              <w:t>其中包括自杀</w:t>
            </w:r>
          </w:p>
        </w:tc>
        <w:tc>
          <w:tcPr>
            <w:tcW w:w="1750" w:type="dxa"/>
            <w:tcBorders>
              <w:top w:val="nil"/>
              <w:bottom w:val="single" w:sz="4" w:space="0" w:color="auto"/>
            </w:tcBorders>
          </w:tcPr>
          <w:p w:rsidR="00000000" w:rsidRDefault="00000000">
            <w:pPr>
              <w:spacing w:line="320" w:lineRule="exact"/>
              <w:ind w:right="397"/>
              <w:jc w:val="right"/>
              <w:rPr>
                <w:sz w:val="21"/>
              </w:rPr>
            </w:pPr>
            <w:r>
              <w:rPr>
                <w:sz w:val="21"/>
              </w:rPr>
              <w:t>21</w:t>
            </w:r>
          </w:p>
        </w:tc>
        <w:tc>
          <w:tcPr>
            <w:tcW w:w="1679" w:type="dxa"/>
            <w:tcBorders>
              <w:top w:val="nil"/>
              <w:bottom w:val="single" w:sz="4" w:space="0" w:color="auto"/>
            </w:tcBorders>
          </w:tcPr>
          <w:p w:rsidR="00000000" w:rsidRDefault="00000000">
            <w:pPr>
              <w:spacing w:line="320" w:lineRule="exact"/>
              <w:ind w:right="454"/>
              <w:jc w:val="right"/>
              <w:rPr>
                <w:sz w:val="21"/>
              </w:rPr>
            </w:pPr>
            <w:r>
              <w:rPr>
                <w:sz w:val="21"/>
              </w:rPr>
              <w:t>32</w:t>
            </w:r>
          </w:p>
        </w:tc>
        <w:tc>
          <w:tcPr>
            <w:tcW w:w="1428" w:type="dxa"/>
            <w:tcBorders>
              <w:top w:val="nil"/>
              <w:bottom w:val="single" w:sz="4" w:space="0" w:color="auto"/>
            </w:tcBorders>
          </w:tcPr>
          <w:p w:rsidR="00000000" w:rsidRDefault="00000000">
            <w:pPr>
              <w:spacing w:line="320" w:lineRule="exact"/>
              <w:ind w:right="340"/>
              <w:jc w:val="right"/>
              <w:rPr>
                <w:sz w:val="21"/>
              </w:rPr>
            </w:pPr>
            <w:r>
              <w:rPr>
                <w:sz w:val="21"/>
              </w:rPr>
              <w:t>10</w:t>
            </w:r>
          </w:p>
        </w:tc>
        <w:tc>
          <w:tcPr>
            <w:tcW w:w="1717" w:type="dxa"/>
            <w:tcBorders>
              <w:top w:val="nil"/>
              <w:bottom w:val="single" w:sz="4" w:space="0" w:color="auto"/>
            </w:tcBorders>
          </w:tcPr>
          <w:p w:rsidR="00000000" w:rsidRDefault="00000000">
            <w:pPr>
              <w:spacing w:line="320" w:lineRule="exact"/>
              <w:ind w:right="567"/>
              <w:jc w:val="right"/>
              <w:rPr>
                <w:sz w:val="21"/>
              </w:rPr>
            </w:pPr>
            <w:r>
              <w:rPr>
                <w:sz w:val="21"/>
              </w:rPr>
              <w:t>31</w:t>
            </w:r>
          </w:p>
        </w:tc>
      </w:tr>
      <w:tr w:rsidR="00000000">
        <w:tblPrEx>
          <w:tblCellMar>
            <w:top w:w="0" w:type="dxa"/>
            <w:bottom w:w="0" w:type="dxa"/>
          </w:tblCellMar>
        </w:tblPrEx>
        <w:tc>
          <w:tcPr>
            <w:tcW w:w="2786" w:type="dxa"/>
            <w:tcBorders>
              <w:top w:val="single" w:sz="4" w:space="0" w:color="auto"/>
            </w:tcBorders>
          </w:tcPr>
          <w:p w:rsidR="00000000" w:rsidRDefault="00000000">
            <w:pPr>
              <w:spacing w:line="320" w:lineRule="exact"/>
              <w:ind w:left="170"/>
              <w:rPr>
                <w:rFonts w:hint="eastAsia"/>
                <w:snapToGrid/>
                <w:sz w:val="21"/>
              </w:rPr>
            </w:pPr>
            <w:r>
              <w:rPr>
                <w:rFonts w:ascii="Time New Roman" w:eastAsia="SimHei" w:hAnsi="Time New Roman"/>
                <w:sz w:val="21"/>
              </w:rPr>
              <w:t xml:space="preserve">    </w:t>
            </w:r>
            <w:r>
              <w:rPr>
                <w:rFonts w:hint="eastAsia"/>
                <w:snapToGrid/>
                <w:sz w:val="21"/>
              </w:rPr>
              <w:t>总</w:t>
            </w:r>
            <w:r>
              <w:rPr>
                <w:rFonts w:hint="eastAsia"/>
                <w:snapToGrid/>
                <w:sz w:val="21"/>
              </w:rPr>
              <w:t xml:space="preserve">  </w:t>
            </w:r>
            <w:r>
              <w:rPr>
                <w:rFonts w:hint="eastAsia"/>
                <w:snapToGrid/>
                <w:sz w:val="21"/>
              </w:rPr>
              <w:t>计</w:t>
            </w:r>
          </w:p>
        </w:tc>
        <w:tc>
          <w:tcPr>
            <w:tcW w:w="1750" w:type="dxa"/>
            <w:tcBorders>
              <w:top w:val="single" w:sz="4" w:space="0" w:color="auto"/>
            </w:tcBorders>
          </w:tcPr>
          <w:p w:rsidR="00000000" w:rsidRDefault="00000000">
            <w:pPr>
              <w:spacing w:line="320" w:lineRule="exact"/>
              <w:ind w:right="397"/>
              <w:jc w:val="right"/>
              <w:rPr>
                <w:sz w:val="21"/>
              </w:rPr>
            </w:pPr>
            <w:r>
              <w:rPr>
                <w:sz w:val="21"/>
              </w:rPr>
              <w:t>939</w:t>
            </w:r>
          </w:p>
        </w:tc>
        <w:tc>
          <w:tcPr>
            <w:tcW w:w="1679" w:type="dxa"/>
            <w:tcBorders>
              <w:top w:val="single" w:sz="4" w:space="0" w:color="auto"/>
            </w:tcBorders>
          </w:tcPr>
          <w:p w:rsidR="00000000" w:rsidRDefault="00000000">
            <w:pPr>
              <w:spacing w:line="320" w:lineRule="exact"/>
              <w:ind w:right="454"/>
              <w:jc w:val="right"/>
              <w:rPr>
                <w:sz w:val="21"/>
              </w:rPr>
            </w:pPr>
            <w:r>
              <w:rPr>
                <w:sz w:val="21"/>
              </w:rPr>
              <w:t>938</w:t>
            </w:r>
          </w:p>
        </w:tc>
        <w:tc>
          <w:tcPr>
            <w:tcW w:w="1428" w:type="dxa"/>
            <w:tcBorders>
              <w:top w:val="single" w:sz="4" w:space="0" w:color="auto"/>
            </w:tcBorders>
          </w:tcPr>
          <w:p w:rsidR="00000000" w:rsidRDefault="00000000">
            <w:pPr>
              <w:spacing w:line="320" w:lineRule="exact"/>
              <w:ind w:right="340"/>
              <w:jc w:val="right"/>
              <w:rPr>
                <w:sz w:val="21"/>
              </w:rPr>
            </w:pPr>
            <w:r>
              <w:rPr>
                <w:sz w:val="21"/>
              </w:rPr>
              <w:t>941</w:t>
            </w:r>
          </w:p>
        </w:tc>
        <w:tc>
          <w:tcPr>
            <w:tcW w:w="1717" w:type="dxa"/>
            <w:tcBorders>
              <w:top w:val="single" w:sz="4" w:space="0" w:color="auto"/>
            </w:tcBorders>
          </w:tcPr>
          <w:p w:rsidR="00000000" w:rsidRDefault="00000000">
            <w:pPr>
              <w:spacing w:line="320" w:lineRule="exact"/>
              <w:ind w:right="567"/>
              <w:jc w:val="right"/>
              <w:rPr>
                <w:sz w:val="21"/>
              </w:rPr>
            </w:pPr>
            <w:r>
              <w:rPr>
                <w:sz w:val="21"/>
              </w:rPr>
              <w:t>100</w:t>
            </w:r>
          </w:p>
        </w:tc>
      </w:tr>
      <w:tr w:rsidR="00000000">
        <w:tblPrEx>
          <w:tblCellMar>
            <w:top w:w="0" w:type="dxa"/>
            <w:bottom w:w="0" w:type="dxa"/>
          </w:tblCellMar>
        </w:tblPrEx>
        <w:trPr>
          <w:cantSplit/>
        </w:trPr>
        <w:tc>
          <w:tcPr>
            <w:tcW w:w="9360" w:type="dxa"/>
            <w:gridSpan w:val="5"/>
          </w:tcPr>
          <w:p w:rsidR="00000000" w:rsidRDefault="00000000">
            <w:pPr>
              <w:pStyle w:val="Header"/>
              <w:spacing w:before="80" w:after="80" w:line="240" w:lineRule="exact"/>
              <w:ind w:left="170"/>
              <w:rPr>
                <w:rFonts w:ascii="Times New Roman" w:hAnsi="Times New Roman"/>
                <w:sz w:val="21"/>
              </w:rPr>
            </w:pPr>
            <w:r>
              <w:rPr>
                <w:rFonts w:ascii="Times New Roman" w:hAnsi="Times New Roman" w:hint="eastAsia"/>
                <w:sz w:val="21"/>
              </w:rPr>
              <w:t>每</w:t>
            </w:r>
            <w:r>
              <w:rPr>
                <w:rFonts w:ascii="Times New Roman" w:hAnsi="Times New Roman" w:hint="eastAsia"/>
                <w:sz w:val="21"/>
              </w:rPr>
              <w:t>10</w:t>
            </w:r>
            <w:r>
              <w:rPr>
                <w:rFonts w:ascii="Times New Roman" w:hAnsi="Times New Roman" w:hint="eastAsia"/>
                <w:sz w:val="21"/>
              </w:rPr>
              <w:t>万人口中的年龄标准死亡率</w:t>
            </w:r>
            <w:r>
              <w:rPr>
                <w:rFonts w:ascii="Times New Roman" w:hAnsi="Times New Roman"/>
                <w:sz w:val="21"/>
              </w:rPr>
              <w:br/>
              <w:t>(</w:t>
            </w:r>
            <w:r>
              <w:rPr>
                <w:rFonts w:ascii="Times New Roman" w:hAnsi="Times New Roman" w:hint="eastAsia"/>
                <w:sz w:val="21"/>
              </w:rPr>
              <w:t>世界卫生组织欧洲地区办公室所计算的欧洲标准人口</w:t>
            </w:r>
            <w:r>
              <w:rPr>
                <w:rFonts w:ascii="Times New Roman" w:hAnsi="Times New Roman"/>
                <w:sz w:val="21"/>
              </w:rPr>
              <w:t>)</w:t>
            </w:r>
          </w:p>
        </w:tc>
      </w:tr>
      <w:tr w:rsidR="00000000">
        <w:tblPrEx>
          <w:tblCellMar>
            <w:top w:w="0" w:type="dxa"/>
            <w:bottom w:w="0" w:type="dxa"/>
          </w:tblCellMar>
        </w:tblPrEx>
        <w:tc>
          <w:tcPr>
            <w:tcW w:w="2786" w:type="dxa"/>
          </w:tcPr>
          <w:p w:rsidR="00000000" w:rsidRDefault="00000000">
            <w:pPr>
              <w:spacing w:before="60" w:after="40" w:line="320" w:lineRule="exact"/>
              <w:ind w:left="170"/>
              <w:jc w:val="center"/>
              <w:rPr>
                <w:rFonts w:hint="eastAsia"/>
                <w:snapToGrid/>
                <w:spacing w:val="0"/>
                <w:sz w:val="21"/>
              </w:rPr>
            </w:pPr>
            <w:r>
              <w:rPr>
                <w:rFonts w:hint="eastAsia"/>
                <w:snapToGrid/>
                <w:spacing w:val="0"/>
                <w:sz w:val="21"/>
              </w:rPr>
              <w:t>死亡原因</w:t>
            </w:r>
          </w:p>
        </w:tc>
        <w:tc>
          <w:tcPr>
            <w:tcW w:w="1750" w:type="dxa"/>
          </w:tcPr>
          <w:p w:rsidR="00000000" w:rsidRDefault="00000000">
            <w:pPr>
              <w:spacing w:before="60" w:after="40" w:line="320" w:lineRule="exact"/>
              <w:ind w:left="170"/>
              <w:jc w:val="center"/>
              <w:rPr>
                <w:rFonts w:hint="eastAsia"/>
                <w:snapToGrid/>
                <w:spacing w:val="0"/>
                <w:sz w:val="21"/>
              </w:rPr>
            </w:pPr>
            <w:r>
              <w:rPr>
                <w:rFonts w:hint="eastAsia"/>
                <w:snapToGrid/>
                <w:spacing w:val="0"/>
                <w:sz w:val="21"/>
              </w:rPr>
              <w:t>死亡人数总计</w:t>
            </w:r>
          </w:p>
        </w:tc>
        <w:tc>
          <w:tcPr>
            <w:tcW w:w="1679" w:type="dxa"/>
          </w:tcPr>
          <w:p w:rsidR="00000000" w:rsidRDefault="00000000">
            <w:pPr>
              <w:spacing w:before="60" w:after="40" w:line="320" w:lineRule="exact"/>
              <w:jc w:val="center"/>
              <w:rPr>
                <w:rFonts w:hint="eastAsia"/>
                <w:snapToGrid/>
                <w:spacing w:val="0"/>
                <w:sz w:val="21"/>
              </w:rPr>
            </w:pPr>
            <w:r>
              <w:rPr>
                <w:rFonts w:hint="eastAsia"/>
                <w:snapToGrid/>
                <w:spacing w:val="0"/>
                <w:sz w:val="21"/>
              </w:rPr>
              <w:t>男</w:t>
            </w:r>
            <w:r>
              <w:rPr>
                <w:rFonts w:hint="eastAsia"/>
                <w:snapToGrid/>
                <w:spacing w:val="0"/>
                <w:sz w:val="21"/>
              </w:rPr>
              <w:t xml:space="preserve">  </w:t>
            </w:r>
            <w:r>
              <w:rPr>
                <w:rFonts w:hint="eastAsia"/>
                <w:snapToGrid/>
                <w:spacing w:val="0"/>
                <w:sz w:val="21"/>
              </w:rPr>
              <w:t>子</w:t>
            </w:r>
          </w:p>
        </w:tc>
        <w:tc>
          <w:tcPr>
            <w:tcW w:w="1428" w:type="dxa"/>
          </w:tcPr>
          <w:p w:rsidR="00000000" w:rsidRDefault="00000000">
            <w:pPr>
              <w:spacing w:before="60" w:after="40" w:line="320" w:lineRule="exact"/>
              <w:jc w:val="center"/>
              <w:rPr>
                <w:rFonts w:hint="eastAsia"/>
                <w:snapToGrid/>
                <w:spacing w:val="0"/>
                <w:sz w:val="21"/>
              </w:rPr>
            </w:pPr>
            <w:r>
              <w:rPr>
                <w:rFonts w:hint="eastAsia"/>
                <w:snapToGrid/>
                <w:spacing w:val="0"/>
                <w:sz w:val="21"/>
              </w:rPr>
              <w:t>妇</w:t>
            </w:r>
            <w:r>
              <w:rPr>
                <w:rFonts w:hint="eastAsia"/>
                <w:snapToGrid/>
                <w:spacing w:val="0"/>
                <w:sz w:val="21"/>
              </w:rPr>
              <w:t xml:space="preserve">  </w:t>
            </w:r>
            <w:r>
              <w:rPr>
                <w:rFonts w:hint="eastAsia"/>
                <w:snapToGrid/>
                <w:spacing w:val="0"/>
                <w:sz w:val="21"/>
              </w:rPr>
              <w:t>女</w:t>
            </w:r>
          </w:p>
        </w:tc>
        <w:tc>
          <w:tcPr>
            <w:tcW w:w="1717" w:type="dxa"/>
          </w:tcPr>
          <w:p w:rsidR="00000000" w:rsidRDefault="00000000">
            <w:pPr>
              <w:spacing w:before="60" w:after="40" w:line="320" w:lineRule="exact"/>
              <w:jc w:val="center"/>
              <w:rPr>
                <w:rFonts w:hint="eastAsia"/>
                <w:snapToGrid/>
                <w:spacing w:val="0"/>
                <w:sz w:val="21"/>
              </w:rPr>
            </w:pPr>
            <w:r>
              <w:rPr>
                <w:rFonts w:hint="eastAsia"/>
                <w:snapToGrid/>
                <w:spacing w:val="0"/>
                <w:sz w:val="21"/>
              </w:rPr>
              <w:t>男子以</w:t>
            </w:r>
            <w:r>
              <w:rPr>
                <w:bCs/>
                <w:snapToGrid/>
                <w:spacing w:val="0"/>
                <w:sz w:val="21"/>
              </w:rPr>
              <w:t>100</w:t>
            </w:r>
            <w:r>
              <w:rPr>
                <w:rFonts w:hint="eastAsia"/>
                <w:snapToGrid/>
                <w:spacing w:val="0"/>
                <w:sz w:val="21"/>
              </w:rPr>
              <w:t>计算</w:t>
            </w:r>
          </w:p>
        </w:tc>
      </w:tr>
      <w:tr w:rsidR="00000000">
        <w:tblPrEx>
          <w:tblCellMar>
            <w:top w:w="0" w:type="dxa"/>
            <w:bottom w:w="0" w:type="dxa"/>
          </w:tblCellMar>
        </w:tblPrEx>
        <w:tc>
          <w:tcPr>
            <w:tcW w:w="2786" w:type="dxa"/>
            <w:tcBorders>
              <w:bottom w:val="nil"/>
            </w:tcBorders>
          </w:tcPr>
          <w:p w:rsidR="00000000" w:rsidRDefault="00000000">
            <w:pPr>
              <w:spacing w:line="320" w:lineRule="exact"/>
              <w:ind w:left="170"/>
              <w:rPr>
                <w:rFonts w:hint="eastAsia"/>
                <w:sz w:val="21"/>
              </w:rPr>
            </w:pPr>
            <w:r>
              <w:rPr>
                <w:rFonts w:hint="eastAsia"/>
                <w:sz w:val="21"/>
              </w:rPr>
              <w:t>心血管病</w:t>
            </w:r>
          </w:p>
        </w:tc>
        <w:tc>
          <w:tcPr>
            <w:tcW w:w="1750" w:type="dxa"/>
            <w:tcBorders>
              <w:bottom w:val="nil"/>
            </w:tcBorders>
          </w:tcPr>
          <w:p w:rsidR="00000000" w:rsidRDefault="00000000">
            <w:pPr>
              <w:spacing w:line="320" w:lineRule="exact"/>
              <w:ind w:right="340"/>
              <w:jc w:val="right"/>
              <w:rPr>
                <w:sz w:val="21"/>
              </w:rPr>
            </w:pPr>
            <w:r>
              <w:rPr>
                <w:sz w:val="21"/>
              </w:rPr>
              <w:t>265</w:t>
            </w:r>
          </w:p>
        </w:tc>
        <w:tc>
          <w:tcPr>
            <w:tcW w:w="1679" w:type="dxa"/>
            <w:tcBorders>
              <w:bottom w:val="nil"/>
            </w:tcBorders>
          </w:tcPr>
          <w:p w:rsidR="00000000" w:rsidRDefault="00000000">
            <w:pPr>
              <w:spacing w:line="320" w:lineRule="exact"/>
              <w:ind w:right="454"/>
              <w:jc w:val="right"/>
              <w:rPr>
                <w:sz w:val="21"/>
              </w:rPr>
            </w:pPr>
            <w:r>
              <w:rPr>
                <w:sz w:val="21"/>
              </w:rPr>
              <w:t>352</w:t>
            </w:r>
          </w:p>
        </w:tc>
        <w:tc>
          <w:tcPr>
            <w:tcW w:w="1428" w:type="dxa"/>
            <w:tcBorders>
              <w:bottom w:val="nil"/>
            </w:tcBorders>
          </w:tcPr>
          <w:p w:rsidR="00000000" w:rsidRDefault="00000000">
            <w:pPr>
              <w:spacing w:line="320" w:lineRule="exact"/>
              <w:ind w:right="340"/>
              <w:jc w:val="right"/>
              <w:rPr>
                <w:sz w:val="21"/>
              </w:rPr>
            </w:pPr>
            <w:r>
              <w:rPr>
                <w:sz w:val="21"/>
              </w:rPr>
              <w:t>198</w:t>
            </w:r>
          </w:p>
        </w:tc>
        <w:tc>
          <w:tcPr>
            <w:tcW w:w="1717" w:type="dxa"/>
            <w:tcBorders>
              <w:bottom w:val="nil"/>
            </w:tcBorders>
          </w:tcPr>
          <w:p w:rsidR="00000000" w:rsidRDefault="00000000">
            <w:pPr>
              <w:spacing w:line="320" w:lineRule="exact"/>
              <w:ind w:right="567"/>
              <w:jc w:val="right"/>
              <w:rPr>
                <w:sz w:val="21"/>
              </w:rPr>
            </w:pPr>
            <w:r>
              <w:rPr>
                <w:sz w:val="21"/>
              </w:rPr>
              <w:t>56</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癌症</w:t>
            </w:r>
          </w:p>
        </w:tc>
        <w:tc>
          <w:tcPr>
            <w:tcW w:w="1750" w:type="dxa"/>
            <w:tcBorders>
              <w:top w:val="nil"/>
              <w:bottom w:val="nil"/>
            </w:tcBorders>
          </w:tcPr>
          <w:p w:rsidR="00000000" w:rsidRDefault="00000000">
            <w:pPr>
              <w:spacing w:line="320" w:lineRule="exact"/>
              <w:ind w:right="397"/>
              <w:jc w:val="right"/>
              <w:rPr>
                <w:sz w:val="21"/>
              </w:rPr>
            </w:pPr>
            <w:r>
              <w:rPr>
                <w:sz w:val="21"/>
              </w:rPr>
              <w:t>146</w:t>
            </w:r>
          </w:p>
        </w:tc>
        <w:tc>
          <w:tcPr>
            <w:tcW w:w="1679" w:type="dxa"/>
            <w:tcBorders>
              <w:top w:val="nil"/>
              <w:bottom w:val="nil"/>
            </w:tcBorders>
          </w:tcPr>
          <w:p w:rsidR="00000000" w:rsidRDefault="00000000">
            <w:pPr>
              <w:spacing w:line="320" w:lineRule="exact"/>
              <w:ind w:right="454"/>
              <w:jc w:val="right"/>
              <w:rPr>
                <w:sz w:val="21"/>
              </w:rPr>
            </w:pPr>
            <w:r>
              <w:rPr>
                <w:sz w:val="21"/>
              </w:rPr>
              <w:t>190</w:t>
            </w:r>
          </w:p>
        </w:tc>
        <w:tc>
          <w:tcPr>
            <w:tcW w:w="1428" w:type="dxa"/>
            <w:tcBorders>
              <w:top w:val="nil"/>
              <w:bottom w:val="nil"/>
            </w:tcBorders>
          </w:tcPr>
          <w:p w:rsidR="00000000" w:rsidRDefault="00000000">
            <w:pPr>
              <w:spacing w:line="320" w:lineRule="exact"/>
              <w:ind w:right="340"/>
              <w:jc w:val="right"/>
              <w:rPr>
                <w:sz w:val="21"/>
              </w:rPr>
            </w:pPr>
            <w:r>
              <w:rPr>
                <w:sz w:val="21"/>
              </w:rPr>
              <w:t>119</w:t>
            </w:r>
          </w:p>
        </w:tc>
        <w:tc>
          <w:tcPr>
            <w:tcW w:w="1717" w:type="dxa"/>
            <w:tcBorders>
              <w:top w:val="nil"/>
              <w:bottom w:val="nil"/>
            </w:tcBorders>
          </w:tcPr>
          <w:p w:rsidR="00000000" w:rsidRDefault="00000000">
            <w:pPr>
              <w:spacing w:line="320" w:lineRule="exact"/>
              <w:ind w:right="567"/>
              <w:jc w:val="right"/>
              <w:rPr>
                <w:sz w:val="21"/>
              </w:rPr>
            </w:pPr>
            <w:r>
              <w:rPr>
                <w:sz w:val="21"/>
              </w:rPr>
              <w:t>63</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呼吸道疾病</w:t>
            </w:r>
          </w:p>
        </w:tc>
        <w:tc>
          <w:tcPr>
            <w:tcW w:w="1750" w:type="dxa"/>
            <w:tcBorders>
              <w:top w:val="nil"/>
              <w:bottom w:val="nil"/>
            </w:tcBorders>
          </w:tcPr>
          <w:p w:rsidR="00000000" w:rsidRDefault="00000000">
            <w:pPr>
              <w:spacing w:line="320" w:lineRule="exact"/>
              <w:ind w:right="397"/>
              <w:jc w:val="right"/>
              <w:rPr>
                <w:sz w:val="21"/>
              </w:rPr>
            </w:pPr>
            <w:r>
              <w:rPr>
                <w:sz w:val="21"/>
              </w:rPr>
              <w:t>46</w:t>
            </w:r>
          </w:p>
        </w:tc>
        <w:tc>
          <w:tcPr>
            <w:tcW w:w="1679" w:type="dxa"/>
            <w:tcBorders>
              <w:top w:val="nil"/>
              <w:bottom w:val="nil"/>
            </w:tcBorders>
          </w:tcPr>
          <w:p w:rsidR="00000000" w:rsidRDefault="00000000">
            <w:pPr>
              <w:spacing w:line="320" w:lineRule="exact"/>
              <w:ind w:right="454"/>
              <w:jc w:val="right"/>
              <w:rPr>
                <w:sz w:val="21"/>
              </w:rPr>
            </w:pPr>
            <w:r>
              <w:rPr>
                <w:sz w:val="21"/>
              </w:rPr>
              <w:t>73</w:t>
            </w:r>
          </w:p>
        </w:tc>
        <w:tc>
          <w:tcPr>
            <w:tcW w:w="1428" w:type="dxa"/>
            <w:tcBorders>
              <w:top w:val="nil"/>
              <w:bottom w:val="nil"/>
            </w:tcBorders>
          </w:tcPr>
          <w:p w:rsidR="00000000" w:rsidRDefault="00000000">
            <w:pPr>
              <w:spacing w:line="320" w:lineRule="exact"/>
              <w:ind w:right="340"/>
              <w:jc w:val="right"/>
              <w:rPr>
                <w:sz w:val="21"/>
              </w:rPr>
            </w:pPr>
            <w:r>
              <w:rPr>
                <w:sz w:val="21"/>
              </w:rPr>
              <w:t>31</w:t>
            </w:r>
          </w:p>
        </w:tc>
        <w:tc>
          <w:tcPr>
            <w:tcW w:w="1717" w:type="dxa"/>
            <w:tcBorders>
              <w:top w:val="nil"/>
              <w:bottom w:val="nil"/>
            </w:tcBorders>
          </w:tcPr>
          <w:p w:rsidR="00000000" w:rsidRDefault="00000000">
            <w:pPr>
              <w:spacing w:line="320" w:lineRule="exact"/>
              <w:ind w:right="567"/>
              <w:jc w:val="right"/>
              <w:rPr>
                <w:sz w:val="21"/>
              </w:rPr>
            </w:pPr>
            <w:r>
              <w:rPr>
                <w:sz w:val="21"/>
              </w:rPr>
              <w:t>42</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肠胃病</w:t>
            </w:r>
          </w:p>
        </w:tc>
        <w:tc>
          <w:tcPr>
            <w:tcW w:w="1750" w:type="dxa"/>
            <w:tcBorders>
              <w:top w:val="nil"/>
              <w:bottom w:val="nil"/>
            </w:tcBorders>
          </w:tcPr>
          <w:p w:rsidR="00000000" w:rsidRDefault="00000000">
            <w:pPr>
              <w:spacing w:line="320" w:lineRule="exact"/>
              <w:ind w:right="397"/>
              <w:jc w:val="right"/>
              <w:rPr>
                <w:sz w:val="21"/>
              </w:rPr>
            </w:pPr>
            <w:r>
              <w:rPr>
                <w:sz w:val="21"/>
              </w:rPr>
              <w:t>31</w:t>
            </w:r>
          </w:p>
        </w:tc>
        <w:tc>
          <w:tcPr>
            <w:tcW w:w="1679" w:type="dxa"/>
            <w:tcBorders>
              <w:top w:val="nil"/>
              <w:bottom w:val="nil"/>
            </w:tcBorders>
          </w:tcPr>
          <w:p w:rsidR="00000000" w:rsidRDefault="00000000">
            <w:pPr>
              <w:spacing w:line="320" w:lineRule="exact"/>
              <w:ind w:right="454"/>
              <w:jc w:val="right"/>
              <w:rPr>
                <w:sz w:val="21"/>
              </w:rPr>
            </w:pPr>
            <w:r>
              <w:rPr>
                <w:sz w:val="21"/>
              </w:rPr>
              <w:t>40</w:t>
            </w:r>
          </w:p>
        </w:tc>
        <w:tc>
          <w:tcPr>
            <w:tcW w:w="1428" w:type="dxa"/>
            <w:tcBorders>
              <w:top w:val="nil"/>
              <w:bottom w:val="nil"/>
            </w:tcBorders>
          </w:tcPr>
          <w:p w:rsidR="00000000" w:rsidRDefault="00000000">
            <w:pPr>
              <w:spacing w:line="320" w:lineRule="exact"/>
              <w:ind w:right="340"/>
              <w:jc w:val="right"/>
              <w:rPr>
                <w:sz w:val="21"/>
              </w:rPr>
            </w:pPr>
            <w:r>
              <w:rPr>
                <w:sz w:val="21"/>
              </w:rPr>
              <w:t>20</w:t>
            </w:r>
          </w:p>
        </w:tc>
        <w:tc>
          <w:tcPr>
            <w:tcW w:w="1717" w:type="dxa"/>
            <w:tcBorders>
              <w:top w:val="nil"/>
              <w:bottom w:val="nil"/>
            </w:tcBorders>
          </w:tcPr>
          <w:p w:rsidR="00000000" w:rsidRDefault="00000000">
            <w:pPr>
              <w:spacing w:line="320" w:lineRule="exact"/>
              <w:ind w:right="567"/>
              <w:jc w:val="right"/>
              <w:rPr>
                <w:sz w:val="21"/>
              </w:rPr>
            </w:pPr>
            <w:r>
              <w:rPr>
                <w:sz w:val="21"/>
              </w:rPr>
              <w:t>49</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其他疾病</w:t>
            </w:r>
          </w:p>
        </w:tc>
        <w:tc>
          <w:tcPr>
            <w:tcW w:w="1750" w:type="dxa"/>
            <w:tcBorders>
              <w:top w:val="nil"/>
              <w:bottom w:val="nil"/>
            </w:tcBorders>
          </w:tcPr>
          <w:p w:rsidR="00000000" w:rsidRDefault="00000000">
            <w:pPr>
              <w:spacing w:line="320" w:lineRule="exact"/>
              <w:ind w:right="397"/>
              <w:jc w:val="right"/>
              <w:rPr>
                <w:sz w:val="21"/>
              </w:rPr>
            </w:pPr>
            <w:r>
              <w:rPr>
                <w:sz w:val="21"/>
              </w:rPr>
              <w:t>85</w:t>
            </w:r>
          </w:p>
        </w:tc>
        <w:tc>
          <w:tcPr>
            <w:tcW w:w="1679" w:type="dxa"/>
            <w:tcBorders>
              <w:top w:val="nil"/>
              <w:bottom w:val="nil"/>
            </w:tcBorders>
          </w:tcPr>
          <w:p w:rsidR="00000000" w:rsidRDefault="00000000">
            <w:pPr>
              <w:spacing w:line="320" w:lineRule="exact"/>
              <w:ind w:right="454"/>
              <w:jc w:val="right"/>
              <w:rPr>
                <w:sz w:val="21"/>
              </w:rPr>
            </w:pPr>
            <w:r>
              <w:rPr>
                <w:sz w:val="21"/>
              </w:rPr>
              <w:t>82</w:t>
            </w:r>
          </w:p>
        </w:tc>
        <w:tc>
          <w:tcPr>
            <w:tcW w:w="1428" w:type="dxa"/>
            <w:tcBorders>
              <w:top w:val="nil"/>
              <w:bottom w:val="nil"/>
            </w:tcBorders>
          </w:tcPr>
          <w:p w:rsidR="00000000" w:rsidRDefault="00000000">
            <w:pPr>
              <w:spacing w:line="320" w:lineRule="exact"/>
              <w:ind w:right="340"/>
              <w:jc w:val="right"/>
              <w:rPr>
                <w:sz w:val="21"/>
              </w:rPr>
            </w:pPr>
            <w:r>
              <w:rPr>
                <w:sz w:val="21"/>
              </w:rPr>
              <w:t>89</w:t>
            </w:r>
          </w:p>
        </w:tc>
        <w:tc>
          <w:tcPr>
            <w:tcW w:w="1717" w:type="dxa"/>
            <w:tcBorders>
              <w:top w:val="nil"/>
              <w:bottom w:val="nil"/>
            </w:tcBorders>
          </w:tcPr>
          <w:p w:rsidR="00000000" w:rsidRDefault="00000000">
            <w:pPr>
              <w:spacing w:line="320" w:lineRule="exact"/>
              <w:ind w:right="567"/>
              <w:jc w:val="right"/>
              <w:rPr>
                <w:sz w:val="21"/>
              </w:rPr>
            </w:pPr>
            <w:r>
              <w:rPr>
                <w:sz w:val="21"/>
              </w:rPr>
              <w:t>108</w:t>
            </w:r>
          </w:p>
        </w:tc>
      </w:tr>
      <w:tr w:rsidR="00000000">
        <w:tblPrEx>
          <w:tblCellMar>
            <w:top w:w="0" w:type="dxa"/>
            <w:bottom w:w="0" w:type="dxa"/>
          </w:tblCellMar>
        </w:tblPrEx>
        <w:tc>
          <w:tcPr>
            <w:tcW w:w="2786" w:type="dxa"/>
            <w:tcBorders>
              <w:top w:val="nil"/>
              <w:bottom w:val="nil"/>
            </w:tcBorders>
          </w:tcPr>
          <w:p w:rsidR="00000000" w:rsidRDefault="00000000">
            <w:pPr>
              <w:spacing w:line="320" w:lineRule="exact"/>
              <w:ind w:left="170"/>
              <w:rPr>
                <w:rFonts w:hint="eastAsia"/>
                <w:sz w:val="21"/>
              </w:rPr>
            </w:pPr>
            <w:r>
              <w:rPr>
                <w:rFonts w:hint="eastAsia"/>
                <w:sz w:val="21"/>
              </w:rPr>
              <w:t>意外事故和暴力行为</w:t>
            </w:r>
          </w:p>
        </w:tc>
        <w:tc>
          <w:tcPr>
            <w:tcW w:w="1750" w:type="dxa"/>
            <w:tcBorders>
              <w:top w:val="nil"/>
              <w:bottom w:val="nil"/>
            </w:tcBorders>
          </w:tcPr>
          <w:p w:rsidR="00000000" w:rsidRDefault="00000000">
            <w:pPr>
              <w:spacing w:line="320" w:lineRule="exact"/>
              <w:ind w:right="397"/>
              <w:jc w:val="right"/>
              <w:rPr>
                <w:sz w:val="21"/>
              </w:rPr>
            </w:pPr>
            <w:r>
              <w:rPr>
                <w:sz w:val="21"/>
              </w:rPr>
              <w:t>68</w:t>
            </w:r>
          </w:p>
        </w:tc>
        <w:tc>
          <w:tcPr>
            <w:tcW w:w="1679" w:type="dxa"/>
            <w:tcBorders>
              <w:top w:val="nil"/>
              <w:bottom w:val="nil"/>
            </w:tcBorders>
          </w:tcPr>
          <w:p w:rsidR="00000000" w:rsidRDefault="00000000">
            <w:pPr>
              <w:spacing w:line="320" w:lineRule="exact"/>
              <w:ind w:right="454"/>
              <w:jc w:val="right"/>
              <w:rPr>
                <w:sz w:val="21"/>
              </w:rPr>
            </w:pPr>
            <w:r>
              <w:rPr>
                <w:sz w:val="21"/>
              </w:rPr>
              <w:t>106</w:t>
            </w:r>
          </w:p>
        </w:tc>
        <w:tc>
          <w:tcPr>
            <w:tcW w:w="1428" w:type="dxa"/>
            <w:tcBorders>
              <w:top w:val="nil"/>
              <w:bottom w:val="nil"/>
            </w:tcBorders>
          </w:tcPr>
          <w:p w:rsidR="00000000" w:rsidRDefault="00000000">
            <w:pPr>
              <w:spacing w:line="320" w:lineRule="exact"/>
              <w:ind w:right="340"/>
              <w:jc w:val="right"/>
              <w:rPr>
                <w:sz w:val="21"/>
              </w:rPr>
            </w:pPr>
            <w:r>
              <w:rPr>
                <w:sz w:val="21"/>
              </w:rPr>
              <w:t>34</w:t>
            </w:r>
          </w:p>
        </w:tc>
        <w:tc>
          <w:tcPr>
            <w:tcW w:w="1717" w:type="dxa"/>
            <w:tcBorders>
              <w:top w:val="nil"/>
              <w:bottom w:val="nil"/>
            </w:tcBorders>
          </w:tcPr>
          <w:p w:rsidR="00000000" w:rsidRDefault="00000000">
            <w:pPr>
              <w:spacing w:line="320" w:lineRule="exact"/>
              <w:ind w:right="567"/>
              <w:jc w:val="right"/>
              <w:rPr>
                <w:sz w:val="21"/>
              </w:rPr>
            </w:pPr>
            <w:r>
              <w:rPr>
                <w:sz w:val="21"/>
              </w:rPr>
              <w:t>32</w:t>
            </w:r>
          </w:p>
        </w:tc>
      </w:tr>
      <w:tr w:rsidR="00000000">
        <w:tblPrEx>
          <w:tblCellMar>
            <w:top w:w="0" w:type="dxa"/>
            <w:bottom w:w="0" w:type="dxa"/>
          </w:tblCellMar>
        </w:tblPrEx>
        <w:tc>
          <w:tcPr>
            <w:tcW w:w="2786" w:type="dxa"/>
            <w:tcBorders>
              <w:top w:val="nil"/>
              <w:bottom w:val="single" w:sz="4" w:space="0" w:color="auto"/>
            </w:tcBorders>
          </w:tcPr>
          <w:p w:rsidR="00000000" w:rsidRDefault="00000000">
            <w:pPr>
              <w:spacing w:line="320" w:lineRule="exact"/>
              <w:ind w:left="170"/>
              <w:rPr>
                <w:rFonts w:hint="eastAsia"/>
                <w:sz w:val="21"/>
              </w:rPr>
            </w:pPr>
            <w:r>
              <w:rPr>
                <w:sz w:val="21"/>
              </w:rPr>
              <w:t xml:space="preserve">- </w:t>
            </w:r>
            <w:r>
              <w:rPr>
                <w:rFonts w:hint="eastAsia"/>
                <w:sz w:val="21"/>
              </w:rPr>
              <w:t>其中包括自杀</w:t>
            </w:r>
          </w:p>
        </w:tc>
        <w:tc>
          <w:tcPr>
            <w:tcW w:w="1750" w:type="dxa"/>
            <w:tcBorders>
              <w:top w:val="nil"/>
              <w:bottom w:val="single" w:sz="4" w:space="0" w:color="auto"/>
            </w:tcBorders>
          </w:tcPr>
          <w:p w:rsidR="00000000" w:rsidRDefault="00000000">
            <w:pPr>
              <w:spacing w:line="320" w:lineRule="exact"/>
              <w:ind w:right="397"/>
              <w:jc w:val="right"/>
              <w:rPr>
                <w:sz w:val="21"/>
              </w:rPr>
            </w:pPr>
            <w:r>
              <w:rPr>
                <w:sz w:val="21"/>
              </w:rPr>
              <w:t>19</w:t>
            </w:r>
          </w:p>
        </w:tc>
        <w:tc>
          <w:tcPr>
            <w:tcW w:w="1679" w:type="dxa"/>
            <w:tcBorders>
              <w:top w:val="nil"/>
              <w:bottom w:val="single" w:sz="4" w:space="0" w:color="auto"/>
            </w:tcBorders>
          </w:tcPr>
          <w:p w:rsidR="00000000" w:rsidRDefault="00000000">
            <w:pPr>
              <w:spacing w:line="320" w:lineRule="exact"/>
              <w:ind w:right="454"/>
              <w:jc w:val="right"/>
              <w:rPr>
                <w:sz w:val="21"/>
              </w:rPr>
            </w:pPr>
            <w:r>
              <w:rPr>
                <w:sz w:val="21"/>
              </w:rPr>
              <w:t>30</w:t>
            </w:r>
          </w:p>
        </w:tc>
        <w:tc>
          <w:tcPr>
            <w:tcW w:w="1428" w:type="dxa"/>
            <w:tcBorders>
              <w:top w:val="nil"/>
              <w:bottom w:val="single" w:sz="4" w:space="0" w:color="auto"/>
            </w:tcBorders>
          </w:tcPr>
          <w:p w:rsidR="00000000" w:rsidRDefault="00000000">
            <w:pPr>
              <w:spacing w:line="320" w:lineRule="exact"/>
              <w:ind w:right="340"/>
              <w:jc w:val="right"/>
              <w:rPr>
                <w:sz w:val="21"/>
              </w:rPr>
            </w:pPr>
            <w:r>
              <w:rPr>
                <w:sz w:val="21"/>
              </w:rPr>
              <w:t>9</w:t>
            </w:r>
          </w:p>
        </w:tc>
        <w:tc>
          <w:tcPr>
            <w:tcW w:w="1717" w:type="dxa"/>
            <w:tcBorders>
              <w:top w:val="nil"/>
              <w:bottom w:val="single" w:sz="4" w:space="0" w:color="auto"/>
            </w:tcBorders>
          </w:tcPr>
          <w:p w:rsidR="00000000" w:rsidRDefault="00000000">
            <w:pPr>
              <w:spacing w:line="320" w:lineRule="exact"/>
              <w:ind w:right="567"/>
              <w:jc w:val="right"/>
              <w:rPr>
                <w:sz w:val="21"/>
              </w:rPr>
            </w:pPr>
            <w:r>
              <w:rPr>
                <w:sz w:val="21"/>
              </w:rPr>
              <w:t>30</w:t>
            </w:r>
          </w:p>
        </w:tc>
      </w:tr>
      <w:tr w:rsidR="00000000">
        <w:tblPrEx>
          <w:tblCellMar>
            <w:top w:w="0" w:type="dxa"/>
            <w:bottom w:w="0" w:type="dxa"/>
          </w:tblCellMar>
        </w:tblPrEx>
        <w:tc>
          <w:tcPr>
            <w:tcW w:w="2786" w:type="dxa"/>
            <w:tcBorders>
              <w:top w:val="single" w:sz="4" w:space="0" w:color="auto"/>
            </w:tcBorders>
          </w:tcPr>
          <w:p w:rsidR="00000000" w:rsidRDefault="00000000">
            <w:pPr>
              <w:spacing w:line="320" w:lineRule="exact"/>
              <w:ind w:left="170"/>
              <w:rPr>
                <w:rFonts w:hint="eastAsia"/>
                <w:snapToGrid/>
                <w:sz w:val="21"/>
              </w:rPr>
            </w:pPr>
            <w:r>
              <w:rPr>
                <w:rFonts w:ascii="Time New Roman" w:eastAsia="SimHei" w:hAnsi="Time New Roman"/>
                <w:sz w:val="21"/>
              </w:rPr>
              <w:t xml:space="preserve">    </w:t>
            </w:r>
            <w:r>
              <w:rPr>
                <w:rFonts w:hint="eastAsia"/>
                <w:snapToGrid/>
                <w:sz w:val="21"/>
              </w:rPr>
              <w:t>总</w:t>
            </w:r>
            <w:r>
              <w:rPr>
                <w:rFonts w:hint="eastAsia"/>
                <w:snapToGrid/>
                <w:sz w:val="21"/>
              </w:rPr>
              <w:t xml:space="preserve">  </w:t>
            </w:r>
            <w:r>
              <w:rPr>
                <w:rFonts w:hint="eastAsia"/>
                <w:snapToGrid/>
                <w:sz w:val="21"/>
              </w:rPr>
              <w:t>计</w:t>
            </w:r>
          </w:p>
        </w:tc>
        <w:tc>
          <w:tcPr>
            <w:tcW w:w="1750" w:type="dxa"/>
            <w:tcBorders>
              <w:top w:val="single" w:sz="4" w:space="0" w:color="auto"/>
            </w:tcBorders>
          </w:tcPr>
          <w:p w:rsidR="00000000" w:rsidRDefault="00000000">
            <w:pPr>
              <w:spacing w:line="320" w:lineRule="exact"/>
              <w:ind w:right="397"/>
              <w:jc w:val="right"/>
              <w:rPr>
                <w:sz w:val="21"/>
              </w:rPr>
            </w:pPr>
            <w:r>
              <w:rPr>
                <w:sz w:val="21"/>
              </w:rPr>
              <w:t>660</w:t>
            </w:r>
          </w:p>
        </w:tc>
        <w:tc>
          <w:tcPr>
            <w:tcW w:w="1679" w:type="dxa"/>
            <w:tcBorders>
              <w:top w:val="single" w:sz="4" w:space="0" w:color="auto"/>
            </w:tcBorders>
          </w:tcPr>
          <w:p w:rsidR="00000000" w:rsidRDefault="00000000">
            <w:pPr>
              <w:spacing w:line="320" w:lineRule="exact"/>
              <w:ind w:right="454"/>
              <w:jc w:val="right"/>
              <w:rPr>
                <w:sz w:val="21"/>
              </w:rPr>
            </w:pPr>
            <w:r>
              <w:rPr>
                <w:sz w:val="21"/>
              </w:rPr>
              <w:t>874</w:t>
            </w:r>
          </w:p>
        </w:tc>
        <w:tc>
          <w:tcPr>
            <w:tcW w:w="1428" w:type="dxa"/>
            <w:tcBorders>
              <w:top w:val="single" w:sz="4" w:space="0" w:color="auto"/>
            </w:tcBorders>
          </w:tcPr>
          <w:p w:rsidR="00000000" w:rsidRDefault="00000000">
            <w:pPr>
              <w:spacing w:line="320" w:lineRule="exact"/>
              <w:ind w:right="340"/>
              <w:jc w:val="right"/>
              <w:rPr>
                <w:sz w:val="21"/>
              </w:rPr>
            </w:pPr>
            <w:r>
              <w:rPr>
                <w:sz w:val="21"/>
              </w:rPr>
              <w:t>500</w:t>
            </w:r>
          </w:p>
        </w:tc>
        <w:tc>
          <w:tcPr>
            <w:tcW w:w="1717" w:type="dxa"/>
            <w:tcBorders>
              <w:top w:val="single" w:sz="4" w:space="0" w:color="auto"/>
            </w:tcBorders>
          </w:tcPr>
          <w:p w:rsidR="00000000" w:rsidRDefault="00000000">
            <w:pPr>
              <w:spacing w:line="320" w:lineRule="exact"/>
              <w:ind w:right="567"/>
              <w:jc w:val="right"/>
              <w:rPr>
                <w:sz w:val="21"/>
              </w:rPr>
            </w:pPr>
            <w:r>
              <w:rPr>
                <w:sz w:val="21"/>
              </w:rPr>
              <w:t>57</w:t>
            </w:r>
          </w:p>
        </w:tc>
      </w:tr>
    </w:tbl>
    <w:p w:rsidR="00000000" w:rsidRDefault="00000000">
      <w:pPr>
        <w:spacing w:before="240"/>
        <w:rPr>
          <w:rFonts w:hint="eastAsia"/>
        </w:rPr>
      </w:pPr>
      <w:r>
        <w:rPr>
          <w:i/>
          <w:iCs/>
        </w:rPr>
        <w:tab/>
      </w:r>
      <w:r>
        <w:rPr>
          <w:rFonts w:eastAsia="KaiTi_GB2312" w:hint="eastAsia"/>
          <w:snapToGrid/>
          <w:spacing w:val="0"/>
          <w:u w:val="single"/>
        </w:rPr>
        <w:t>资料来源</w:t>
      </w:r>
      <w:r>
        <w:rPr>
          <w:rFonts w:hint="eastAsia"/>
        </w:rPr>
        <w:t>：</w:t>
      </w:r>
    </w:p>
    <w:p w:rsidR="00000000" w:rsidRDefault="00000000">
      <w:pPr>
        <w:widowControl w:val="0"/>
        <w:numPr>
          <w:ilvl w:val="0"/>
          <w:numId w:val="119"/>
        </w:numPr>
      </w:pPr>
      <w:r>
        <w:t>Mackenbach JP, Bos V, Andersen O, Cardano M, Costa G, Harding S, Reid A, Hemström O, Valkonen T, Kunst AE</w:t>
      </w:r>
      <w:r>
        <w:t>：</w:t>
      </w:r>
      <w:r>
        <w:rPr>
          <w:rFonts w:hint="eastAsia"/>
        </w:rPr>
        <w:t>《从</w:t>
      </w:r>
      <w:r>
        <w:rPr>
          <w:rFonts w:hint="eastAsia"/>
        </w:rPr>
        <w:t>6</w:t>
      </w:r>
      <w:r>
        <w:rPr>
          <w:rFonts w:hint="eastAsia"/>
        </w:rPr>
        <w:t>个西欧国家的死亡率看在社会和经济方面不平等现象逐步扩大的趋势》。</w:t>
      </w:r>
      <w:r>
        <w:t>Int J Ep</w:t>
      </w:r>
      <w:r>
        <w:t>i</w:t>
      </w:r>
      <w:r>
        <w:t>demiol</w:t>
      </w:r>
      <w:r>
        <w:rPr>
          <w:bCs/>
        </w:rPr>
        <w:t>.</w:t>
      </w:r>
      <w:r>
        <w:t>2003</w:t>
      </w:r>
      <w:r>
        <w:rPr>
          <w:rFonts w:hint="eastAsia"/>
        </w:rPr>
        <w:t>年</w:t>
      </w:r>
      <w:r>
        <w:rPr>
          <w:rFonts w:hint="eastAsia"/>
        </w:rPr>
        <w:t>10</w:t>
      </w:r>
      <w:r>
        <w:rPr>
          <w:rFonts w:hint="eastAsia"/>
        </w:rPr>
        <w:t>月</w:t>
      </w:r>
      <w:r>
        <w:t>；</w:t>
      </w:r>
      <w:r>
        <w:t>32(5)</w:t>
      </w:r>
      <w:r>
        <w:t>：</w:t>
      </w:r>
      <w:r>
        <w:t>838-9</w:t>
      </w:r>
      <w:r>
        <w:rPr>
          <w:rFonts w:hint="eastAsia"/>
        </w:rPr>
        <w:t>。</w:t>
      </w:r>
    </w:p>
    <w:p w:rsidR="00000000" w:rsidRDefault="00000000">
      <w:pPr>
        <w:numPr>
          <w:ilvl w:val="0"/>
          <w:numId w:val="119"/>
        </w:numPr>
      </w:pPr>
      <w:r>
        <w:t>Martelin T, Mäkelä P, Valkonen T</w:t>
      </w:r>
      <w:r>
        <w:t>：</w:t>
      </w:r>
      <w:r>
        <w:rPr>
          <w:rFonts w:hint="eastAsia"/>
        </w:rPr>
        <w:t>《酗酒或者吸烟对于预期寿命方面男女差异之影响：</w:t>
      </w:r>
      <w:r>
        <w:t>1990</w:t>
      </w:r>
      <w:r>
        <w:rPr>
          <w:rFonts w:hint="eastAsia"/>
        </w:rPr>
        <w:t>年代初期于芬兰》。欧洲公共卫生。</w:t>
      </w:r>
      <w:r>
        <w:t>2004</w:t>
      </w:r>
      <w:r>
        <w:rPr>
          <w:rFonts w:hint="eastAsia"/>
        </w:rPr>
        <w:t>年</w:t>
      </w:r>
      <w:r>
        <w:rPr>
          <w:rFonts w:hint="eastAsia"/>
        </w:rPr>
        <w:t>12</w:t>
      </w:r>
      <w:r>
        <w:rPr>
          <w:rFonts w:hint="eastAsia"/>
        </w:rPr>
        <w:t>月</w:t>
      </w:r>
      <w:r>
        <w:t>；</w:t>
      </w:r>
      <w:r>
        <w:t>14(4)</w:t>
      </w:r>
      <w:r>
        <w:t>：</w:t>
      </w:r>
      <w:r>
        <w:t>422-7</w:t>
      </w:r>
      <w:r>
        <w:rPr>
          <w:rFonts w:hint="eastAsia"/>
        </w:rPr>
        <w:t>。</w:t>
      </w:r>
    </w:p>
    <w:p w:rsidR="00000000" w:rsidRDefault="00000000">
      <w:pPr>
        <w:numPr>
          <w:ilvl w:val="0"/>
          <w:numId w:val="119"/>
        </w:numPr>
      </w:pPr>
      <w:r>
        <w:t>Martikainen P, Valkonen T, Martelin T</w:t>
      </w:r>
      <w:r>
        <w:t>：</w:t>
      </w:r>
      <w:r>
        <w:rPr>
          <w:rFonts w:hint="eastAsia"/>
        </w:rPr>
        <w:t>《社会各个阶层在预期寿命方面的男女差别：按年龄和死亡原因分列，</w:t>
      </w:r>
      <w:r>
        <w:t>1971</w:t>
      </w:r>
      <w:r>
        <w:rPr>
          <w:rFonts w:hint="eastAsia"/>
        </w:rPr>
        <w:t>年至</w:t>
      </w:r>
      <w:r>
        <w:rPr>
          <w:rFonts w:hint="eastAsia"/>
        </w:rPr>
        <w:t>19</w:t>
      </w:r>
      <w:r>
        <w:t>95</w:t>
      </w:r>
      <w:r>
        <w:rPr>
          <w:rFonts w:hint="eastAsia"/>
        </w:rPr>
        <w:t>年于芬兰》。社会卫生。</w:t>
      </w:r>
      <w:r>
        <w:t>J Epidemiol</w:t>
      </w:r>
      <w:r>
        <w:rPr>
          <w:rFonts w:hint="eastAsia"/>
        </w:rPr>
        <w:t xml:space="preserve"> </w:t>
      </w:r>
      <w:r>
        <w:t>2001</w:t>
      </w:r>
      <w:r>
        <w:rPr>
          <w:rFonts w:hint="eastAsia"/>
        </w:rPr>
        <w:t>年</w:t>
      </w:r>
      <w:r>
        <w:rPr>
          <w:rFonts w:hint="eastAsia"/>
        </w:rPr>
        <w:t>7</w:t>
      </w:r>
      <w:r>
        <w:rPr>
          <w:rFonts w:hint="eastAsia"/>
        </w:rPr>
        <w:t>月</w:t>
      </w:r>
      <w:r>
        <w:t>；</w:t>
      </w:r>
      <w:r>
        <w:t>55(7)</w:t>
      </w:r>
      <w:r>
        <w:t>：</w:t>
      </w:r>
      <w:r>
        <w:t>494-9</w:t>
      </w:r>
      <w:r>
        <w:rPr>
          <w:rFonts w:hint="eastAsia"/>
        </w:rPr>
        <w:t>。</w:t>
      </w:r>
    </w:p>
    <w:p w:rsidR="00000000" w:rsidRDefault="00000000">
      <w:pPr>
        <w:numPr>
          <w:ilvl w:val="0"/>
          <w:numId w:val="119"/>
        </w:numPr>
      </w:pPr>
      <w:r>
        <w:rPr>
          <w:rFonts w:hint="eastAsia"/>
        </w:rPr>
        <w:t>芬兰统计局，死亡原因登记。</w:t>
      </w:r>
    </w:p>
    <w:p w:rsidR="00000000" w:rsidRDefault="00000000">
      <w:pPr>
        <w:numPr>
          <w:ilvl w:val="0"/>
          <w:numId w:val="119"/>
        </w:numPr>
        <w:rPr>
          <w:spacing w:val="-4"/>
          <w:lang w:val="fi-FI"/>
        </w:rPr>
      </w:pPr>
      <w:r>
        <w:rPr>
          <w:spacing w:val="-4"/>
          <w:lang w:val="fi-FI"/>
        </w:rPr>
        <w:t>Valkonen T, Ahonen H, Martikainen P</w:t>
      </w:r>
      <w:r>
        <w:rPr>
          <w:spacing w:val="-4"/>
        </w:rPr>
        <w:t>：</w:t>
      </w:r>
      <w:r>
        <w:rPr>
          <w:spacing w:val="-4"/>
          <w:lang w:val="fi-FI"/>
        </w:rPr>
        <w:t>Sosiaaliryhmien välkiset erot elinajanodotteessa kasvoivat 1990-luvunloppuvuosina.yvinvointikatsaus 2/2003, 14-20</w:t>
      </w:r>
      <w:r>
        <w:rPr>
          <w:rFonts w:hint="eastAsia"/>
          <w:spacing w:val="-4"/>
          <w:lang w:val="fi-FI"/>
        </w:rPr>
        <w:t>。</w:t>
      </w:r>
    </w:p>
    <w:p w:rsidR="00000000" w:rsidRDefault="00000000">
      <w:pPr>
        <w:numPr>
          <w:ilvl w:val="0"/>
          <w:numId w:val="119"/>
        </w:numPr>
        <w:spacing w:after="360"/>
        <w:rPr>
          <w:rFonts w:hint="eastAsia"/>
          <w:lang w:val="fi-FI"/>
        </w:rPr>
      </w:pPr>
      <w:r>
        <w:rPr>
          <w:rFonts w:hint="eastAsia"/>
        </w:rPr>
        <w:t>世界卫生组织欧洲地区办事处</w:t>
      </w:r>
      <w:r>
        <w:rPr>
          <w:rFonts w:hint="eastAsia"/>
          <w:lang w:val="fi-FI"/>
        </w:rPr>
        <w:t>：</w:t>
      </w:r>
      <w:r>
        <w:rPr>
          <w:rFonts w:hint="eastAsia"/>
        </w:rPr>
        <w:t>《芬兰卫生问题要点》</w:t>
      </w:r>
      <w:r>
        <w:rPr>
          <w:rFonts w:hint="eastAsia"/>
          <w:lang w:val="fi-FI"/>
        </w:rPr>
        <w:t>(2004</w:t>
      </w:r>
      <w:r>
        <w:rPr>
          <w:rFonts w:hint="eastAsia"/>
          <w:lang w:val="fi-FI"/>
        </w:rPr>
        <w:t>年</w:t>
      </w:r>
      <w:r>
        <w:rPr>
          <w:rFonts w:hint="eastAsia"/>
          <w:lang w:val="fi-FI"/>
        </w:rPr>
        <w:t>)</w:t>
      </w:r>
      <w:r>
        <w:rPr>
          <w:rFonts w:hint="eastAsia"/>
          <w:lang w:val="fi-FI"/>
        </w:rPr>
        <w:t>见网址：</w:t>
      </w:r>
      <w:r>
        <w:rPr>
          <w:lang w:val="fi-FI"/>
        </w:rPr>
        <w:t>http://www.who.dk/eprise/main/who/progs/chh/fin</w:t>
      </w:r>
      <w:r>
        <w:rPr>
          <w:rFonts w:hint="eastAsia"/>
          <w:lang w:val="fi-FI"/>
        </w:rPr>
        <w:t>/20041122_1</w:t>
      </w:r>
      <w:r>
        <w:rPr>
          <w:rFonts w:hint="eastAsia"/>
          <w:lang w:val="fi-FI"/>
        </w:rPr>
        <w:t>。</w:t>
      </w:r>
    </w:p>
    <w:p w:rsidR="00000000" w:rsidRDefault="00000000">
      <w:pPr>
        <w:pStyle w:val="Heading4"/>
        <w:jc w:val="center"/>
        <w:rPr>
          <w:rFonts w:ascii="Time New Roman" w:eastAsia="SimHei" w:hAnsi="Time New Roman" w:hint="eastAsia"/>
          <w:u w:val="none"/>
          <w:lang w:val="fi-FI"/>
        </w:rPr>
      </w:pPr>
      <w:r>
        <w:rPr>
          <w:rFonts w:ascii="Time New Roman" w:eastAsia="SimHei" w:hAnsi="Time New Roman" w:hint="eastAsia"/>
          <w:b/>
          <w:u w:val="none"/>
          <w:lang w:val="fi-FI"/>
        </w:rPr>
        <w:t>5</w:t>
      </w:r>
      <w:r>
        <w:rPr>
          <w:rFonts w:ascii="Time New Roman" w:eastAsia="SimHei" w:hAnsi="Time New Roman" w:hint="eastAsia"/>
          <w:u w:val="none"/>
          <w:lang w:val="fi-FI"/>
        </w:rPr>
        <w:t>.(</w:t>
      </w:r>
      <w:r>
        <w:rPr>
          <w:rFonts w:ascii="Time New Roman" w:eastAsia="SimHei" w:hAnsi="Time New Roman"/>
          <w:b/>
          <w:u w:val="none"/>
          <w:lang w:val="fi-FI"/>
        </w:rPr>
        <w:t>a</w:t>
      </w:r>
      <w:r>
        <w:rPr>
          <w:rFonts w:ascii="Time New Roman" w:eastAsia="SimHei" w:hAnsi="Time New Roman" w:hint="eastAsia"/>
          <w:u w:val="none"/>
          <w:lang w:val="fi-FI"/>
        </w:rPr>
        <w:t xml:space="preserve">)  </w:t>
      </w:r>
      <w:r>
        <w:rPr>
          <w:rFonts w:ascii="Time New Roman" w:eastAsia="SimHei" w:hAnsi="Time New Roman" w:hint="eastAsia"/>
          <w:u w:val="none"/>
          <w:lang w:val="fi-FI"/>
        </w:rPr>
        <w:t>各个群体和地区在健康状况方面的差别</w:t>
      </w:r>
    </w:p>
    <w:p w:rsidR="00000000" w:rsidRDefault="00000000">
      <w:pPr>
        <w:rPr>
          <w:rFonts w:hint="eastAsia"/>
          <w:lang w:val="fi-FI"/>
        </w:rPr>
      </w:pPr>
      <w:r>
        <w:rPr>
          <w:rFonts w:hint="eastAsia"/>
          <w:lang w:val="fi-FI"/>
        </w:rPr>
        <w:tab/>
        <w:t xml:space="preserve">534.  </w:t>
      </w:r>
      <w:r>
        <w:rPr>
          <w:rFonts w:hint="eastAsia"/>
          <w:lang w:val="fi-FI"/>
        </w:rPr>
        <w:t>公共健康体制覆盖了全国人口。然而，偏远的农村较难获得医疗服务。各个地区在等待医疗服务方面也存在差别。关于长期等待问题的解决办法，已经制定了法律规定。为了缩短等待时间，已经为一些地方增加了额外拨款。</w:t>
      </w:r>
    </w:p>
    <w:p w:rsidR="00000000" w:rsidRDefault="00000000">
      <w:pPr>
        <w:rPr>
          <w:rFonts w:hint="eastAsia"/>
          <w:lang w:val="fi-FI"/>
        </w:rPr>
      </w:pPr>
      <w:r>
        <w:rPr>
          <w:rFonts w:hint="eastAsia"/>
          <w:lang w:val="fi-FI"/>
        </w:rPr>
        <w:tab/>
        <w:t xml:space="preserve">535.  </w:t>
      </w:r>
      <w:r>
        <w:rPr>
          <w:rFonts w:hint="eastAsia"/>
          <w:lang w:val="fi-FI"/>
        </w:rPr>
        <w:t>男子的健康状况要比妇女差，其预计寿命仍然要短得多。然而，这些差别正在缩小。</w:t>
      </w:r>
    </w:p>
    <w:p w:rsidR="00000000" w:rsidRDefault="00000000">
      <w:pPr>
        <w:spacing w:after="360"/>
        <w:rPr>
          <w:rFonts w:hint="eastAsia"/>
          <w:lang w:val="fi-FI"/>
        </w:rPr>
      </w:pPr>
      <w:r>
        <w:rPr>
          <w:rFonts w:hint="eastAsia"/>
          <w:lang w:val="fi-FI"/>
        </w:rPr>
        <w:tab/>
        <w:t xml:space="preserve">536.  </w:t>
      </w:r>
      <w:r>
        <w:rPr>
          <w:rFonts w:hint="eastAsia"/>
          <w:lang w:val="fi-FI"/>
        </w:rPr>
        <w:t>就大多数健康决定因素和慢性病而言，受教育水平低的人的处境要差于接受过中等教育或者高等教育的人。此外，在这些群体之中，离婚男子的处境是最糟糕的。教育水平低下的人往往从事重体力劳动，而且收入也较低。</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lang w:val="fi-FI"/>
        </w:rPr>
        <w:t>5</w:t>
      </w:r>
      <w:r>
        <w:rPr>
          <w:rFonts w:ascii="Time New Roman" w:eastAsia="SimHei" w:hAnsi="Time New Roman" w:hint="eastAsia"/>
          <w:u w:val="none"/>
          <w:lang w:val="fi-FI"/>
        </w:rPr>
        <w:t>.(</w:t>
      </w:r>
      <w:r>
        <w:rPr>
          <w:rFonts w:ascii="Time New Roman" w:eastAsia="SimHei" w:hAnsi="Time New Roman"/>
          <w:b/>
          <w:u w:val="none"/>
          <w:lang w:val="fi-FI"/>
        </w:rPr>
        <w:t>b</w:t>
      </w:r>
      <w:r>
        <w:rPr>
          <w:rFonts w:ascii="Time New Roman" w:eastAsia="SimHei" w:hAnsi="Time New Roman" w:hint="eastAsia"/>
          <w:u w:val="none"/>
          <w:lang w:val="fi-FI"/>
        </w:rPr>
        <w:t>)</w:t>
      </w:r>
      <w:r>
        <w:rPr>
          <w:rFonts w:ascii="Time New Roman" w:eastAsia="SimHei" w:hAnsi="Time New Roman" w:hint="eastAsia"/>
          <w:u w:val="none"/>
        </w:rPr>
        <w:t>、</w:t>
      </w:r>
      <w:r>
        <w:rPr>
          <w:rFonts w:ascii="Time New Roman" w:eastAsia="SimHei" w:hAnsi="Time New Roman" w:hint="eastAsia"/>
          <w:u w:val="none"/>
          <w:lang w:val="fi-FI"/>
        </w:rPr>
        <w:t>(</w:t>
      </w:r>
      <w:r>
        <w:rPr>
          <w:rFonts w:ascii="Time New Roman" w:eastAsia="SimHei" w:hAnsi="Time New Roman"/>
          <w:b/>
          <w:u w:val="none"/>
          <w:lang w:val="fi-FI"/>
        </w:rPr>
        <w:t>c</w:t>
      </w:r>
      <w:r>
        <w:rPr>
          <w:rFonts w:ascii="Time New Roman" w:eastAsia="SimHei" w:hAnsi="Time New Roman" w:hint="eastAsia"/>
          <w:u w:val="none"/>
          <w:lang w:val="fi-FI"/>
        </w:rPr>
        <w:t>)</w:t>
      </w:r>
      <w:r>
        <w:rPr>
          <w:rFonts w:ascii="Time New Roman" w:eastAsia="SimHei" w:hAnsi="Time New Roman" w:hint="eastAsia"/>
          <w:u w:val="none"/>
        </w:rPr>
        <w:t>以及</w:t>
      </w:r>
      <w:r>
        <w:rPr>
          <w:rFonts w:ascii="Time New Roman" w:eastAsia="SimHei" w:hAnsi="Time New Roman" w:hint="eastAsia"/>
          <w:u w:val="none"/>
          <w:lang w:val="fi-FI"/>
        </w:rPr>
        <w:t>(</w:t>
      </w:r>
      <w:r>
        <w:rPr>
          <w:rFonts w:ascii="Time New Roman" w:eastAsia="SimHei" w:hAnsi="Time New Roman"/>
          <w:b/>
          <w:u w:val="none"/>
          <w:lang w:val="fi-FI"/>
        </w:rPr>
        <w:t>d</w:t>
      </w:r>
      <w:r>
        <w:rPr>
          <w:rFonts w:ascii="Time New Roman" w:eastAsia="SimHei" w:hAnsi="Time New Roman" w:hint="eastAsia"/>
          <w:u w:val="none"/>
          <w:lang w:val="fi-FI"/>
        </w:rPr>
        <w:t>)</w:t>
      </w:r>
      <w:r>
        <w:rPr>
          <w:rFonts w:ascii="Time New Roman" w:eastAsia="SimHei" w:hAnsi="Time New Roman" w:hint="eastAsia"/>
          <w:u w:val="none"/>
        </w:rPr>
        <w:t>为改进处于弱势地位的群体、处于不利地位的群体</w:t>
      </w:r>
      <w:r>
        <w:rPr>
          <w:rFonts w:ascii="Time New Roman" w:eastAsia="SimHei" w:hAnsi="Time New Roman"/>
          <w:u w:val="none"/>
        </w:rPr>
        <w:br/>
      </w:r>
      <w:r>
        <w:rPr>
          <w:rFonts w:ascii="Time New Roman" w:eastAsia="SimHei" w:hAnsi="Time New Roman" w:hint="eastAsia"/>
          <w:u w:val="none"/>
        </w:rPr>
        <w:t>以及经济状况最差地区人口的健康状况而采取的措施</w:t>
      </w:r>
    </w:p>
    <w:p w:rsidR="00000000" w:rsidRDefault="00000000">
      <w:pPr>
        <w:rPr>
          <w:rFonts w:hint="eastAsia"/>
          <w:lang w:val="fi-FI"/>
        </w:rPr>
      </w:pPr>
      <w:r>
        <w:rPr>
          <w:rFonts w:hint="eastAsia"/>
          <w:lang w:val="fi-FI"/>
        </w:rPr>
        <w:tab/>
        <w:t xml:space="preserve">537.  </w:t>
      </w:r>
      <w:r>
        <w:rPr>
          <w:rFonts w:hint="eastAsia"/>
          <w:lang w:val="fi-FI"/>
        </w:rPr>
        <w:t>在所有公共健康活动中都考虑到了处于最不利地位群体的健康状况。减少在健康方面的社会和经济不平等现象是“健康</w:t>
      </w:r>
      <w:r>
        <w:rPr>
          <w:rFonts w:hint="eastAsia"/>
          <w:lang w:val="fi-FI"/>
        </w:rPr>
        <w:t>2015</w:t>
      </w:r>
      <w:r>
        <w:rPr>
          <w:rFonts w:hint="eastAsia"/>
          <w:lang w:val="fi-FI"/>
        </w:rPr>
        <w:t>”方案的数量指标之一。为此目的，卫生部门和社会福利部门正在紧密合作。</w:t>
      </w:r>
    </w:p>
    <w:p w:rsidR="00000000" w:rsidRDefault="00000000">
      <w:pPr>
        <w:rPr>
          <w:rFonts w:hint="eastAsia"/>
        </w:rPr>
      </w:pPr>
      <w:r>
        <w:rPr>
          <w:rFonts w:hint="eastAsia"/>
          <w:lang w:val="fi-FI"/>
        </w:rPr>
        <w:tab/>
        <w:t>538.  2002</w:t>
      </w:r>
      <w:r>
        <w:rPr>
          <w:rFonts w:hint="eastAsia"/>
          <w:lang w:val="fi-FI"/>
        </w:rPr>
        <w:t>年再次在学校课程中</w:t>
      </w:r>
      <w:r>
        <w:rPr>
          <w:rFonts w:hint="eastAsia"/>
        </w:rPr>
        <w:t>增添了保健教育内容，其目的是为了提高所有国民对于健康问题的认识。</w:t>
      </w:r>
    </w:p>
    <w:p w:rsidR="00000000" w:rsidRDefault="00000000">
      <w:pPr>
        <w:spacing w:after="320"/>
        <w:rPr>
          <w:rFonts w:hint="eastAsia"/>
        </w:rPr>
      </w:pPr>
      <w:r>
        <w:rPr>
          <w:rFonts w:hint="eastAsia"/>
        </w:rPr>
        <w:tab/>
        <w:t xml:space="preserve">539.  </w:t>
      </w:r>
      <w:r>
        <w:rPr>
          <w:rFonts w:hint="eastAsia"/>
        </w:rPr>
        <w:t>为了减少健康方面的社会和经济不平等，从</w:t>
      </w:r>
      <w:r>
        <w:rPr>
          <w:rFonts w:hint="eastAsia"/>
        </w:rPr>
        <w:t>2004</w:t>
      </w:r>
      <w:r>
        <w:rPr>
          <w:rFonts w:hint="eastAsia"/>
        </w:rPr>
        <w:t>年开始实施由国家公共健康研究所领导的一项联合方案。</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b/>
          <w:u w:val="none"/>
        </w:rPr>
        <w:t>e</w:t>
      </w:r>
      <w:r>
        <w:rPr>
          <w:rFonts w:ascii="Time New Roman" w:eastAsia="SimHei" w:hAnsi="Time New Roman" w:hint="eastAsia"/>
          <w:u w:val="none"/>
        </w:rPr>
        <w:t xml:space="preserve">)  </w:t>
      </w:r>
      <w:r>
        <w:rPr>
          <w:rFonts w:ascii="Time New Roman" w:eastAsia="SimHei" w:hAnsi="Time New Roman" w:hint="eastAsia"/>
          <w:u w:val="none"/>
        </w:rPr>
        <w:t>为减少死产率和婴儿死亡率以及为推动儿童的</w:t>
      </w:r>
      <w:r>
        <w:rPr>
          <w:rFonts w:ascii="Time New Roman" w:eastAsia="SimHei" w:hAnsi="Time New Roman"/>
          <w:u w:val="none"/>
        </w:rPr>
        <w:br/>
      </w:r>
      <w:r>
        <w:rPr>
          <w:rFonts w:ascii="Time New Roman" w:eastAsia="SimHei" w:hAnsi="Time New Roman" w:hint="eastAsia"/>
          <w:u w:val="none"/>
        </w:rPr>
        <w:t>健康发展而采取的措施</w:t>
      </w:r>
    </w:p>
    <w:p w:rsidR="00000000" w:rsidRDefault="00000000">
      <w:pPr>
        <w:rPr>
          <w:rFonts w:hint="eastAsia"/>
        </w:rPr>
      </w:pPr>
      <w:r>
        <w:rPr>
          <w:rFonts w:hint="eastAsia"/>
        </w:rPr>
        <w:tab/>
        <w:t xml:space="preserve">540.  </w:t>
      </w:r>
      <w:r>
        <w:rPr>
          <w:rFonts w:hint="eastAsia"/>
        </w:rPr>
        <w:t>为所有人都提供同样服务的芬兰医疗服务体系加上综合性的社会保护使得婴儿死亡率持续下降。</w:t>
      </w:r>
    </w:p>
    <w:p w:rsidR="00000000" w:rsidRDefault="00000000">
      <w:pPr>
        <w:rPr>
          <w:rFonts w:hint="eastAsia"/>
        </w:rPr>
      </w:pPr>
      <w:r>
        <w:rPr>
          <w:rFonts w:hint="eastAsia"/>
        </w:rPr>
        <w:tab/>
        <w:t xml:space="preserve">541.  </w:t>
      </w:r>
      <w:r>
        <w:rPr>
          <w:rFonts w:hint="eastAsia"/>
        </w:rPr>
        <w:t>实际上，全国国民都得益于作为基本医疗服务体系组成部分的妇女和儿童保健医院。最近提高了这些医院所提供的服务的质量标准。</w:t>
      </w:r>
    </w:p>
    <w:p w:rsidR="00000000" w:rsidRDefault="00000000">
      <w:pPr>
        <w:rPr>
          <w:rFonts w:hint="eastAsia"/>
        </w:rPr>
      </w:pPr>
      <w:r>
        <w:rPr>
          <w:rFonts w:hint="eastAsia"/>
        </w:rPr>
        <w:tab/>
        <w:t xml:space="preserve">542.  </w:t>
      </w:r>
      <w:r>
        <w:rPr>
          <w:rFonts w:hint="eastAsia"/>
        </w:rPr>
        <w:t>儿童保健医院和学校保健服务对于加强和支持儿童的健康发展是至关重要的。已经特别采取措施，为地方当局提供有关推动儿童在心理和社会方面发展的具体办法。</w:t>
      </w:r>
    </w:p>
    <w:p w:rsidR="00000000" w:rsidRDefault="00000000">
      <w:pPr>
        <w:spacing w:after="320"/>
        <w:rPr>
          <w:rFonts w:hint="eastAsia"/>
        </w:rPr>
      </w:pPr>
      <w:r>
        <w:rPr>
          <w:rFonts w:hint="eastAsia"/>
        </w:rPr>
        <w:tab/>
        <w:t xml:space="preserve">543.  </w:t>
      </w:r>
      <w:r>
        <w:rPr>
          <w:rFonts w:hint="eastAsia"/>
        </w:rPr>
        <w:t>除了国家的健康政策以外，还有其他旨在推动儿童健康发展的政策。例如，在政府的运动政策的框架内，特别注意了青年的体育活动。为了增加青年一代对于健康问题的知识，又重新在学校课程中增加了保健教育的内容。</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b/>
          <w:u w:val="none"/>
        </w:rPr>
        <w:t>f</w:t>
      </w:r>
      <w:r>
        <w:rPr>
          <w:rFonts w:ascii="Time New Roman" w:eastAsia="SimHei" w:hAnsi="Time New Roman" w:hint="eastAsia"/>
          <w:u w:val="none"/>
        </w:rPr>
        <w:t xml:space="preserve">)  </w:t>
      </w:r>
      <w:r>
        <w:rPr>
          <w:rFonts w:ascii="Time New Roman" w:eastAsia="SimHei" w:hAnsi="Time New Roman" w:hint="eastAsia"/>
          <w:u w:val="none"/>
        </w:rPr>
        <w:t>环境卫生和工业卫生</w:t>
      </w:r>
    </w:p>
    <w:p w:rsidR="00000000" w:rsidRDefault="00000000">
      <w:pPr>
        <w:rPr>
          <w:rFonts w:hint="eastAsia"/>
        </w:rPr>
      </w:pPr>
      <w:r>
        <w:rPr>
          <w:rFonts w:hint="eastAsia"/>
        </w:rPr>
        <w:tab/>
        <w:t xml:space="preserve">544.  </w:t>
      </w:r>
      <w:r>
        <w:rPr>
          <w:rFonts w:hint="eastAsia"/>
        </w:rPr>
        <w:t>芬兰的健康卫生水平一直很高。《卫生保护法》</w:t>
      </w:r>
      <w:r>
        <w:rPr>
          <w:rFonts w:hint="eastAsia"/>
        </w:rPr>
        <w:t>(763/1994)</w:t>
      </w:r>
      <w:r>
        <w:rPr>
          <w:rFonts w:hint="eastAsia"/>
        </w:rPr>
        <w:t>、《肉类食品卫生法》</w:t>
      </w:r>
      <w:r>
        <w:rPr>
          <w:rFonts w:hint="eastAsia"/>
        </w:rPr>
        <w:t>(1195/1996)</w:t>
      </w:r>
      <w:r>
        <w:rPr>
          <w:rFonts w:hint="eastAsia"/>
        </w:rPr>
        <w:t>以及《环境保护法》</w:t>
      </w:r>
      <w:r>
        <w:rPr>
          <w:rFonts w:hint="eastAsia"/>
        </w:rPr>
        <w:t>(86/2000)</w:t>
      </w:r>
      <w:r>
        <w:rPr>
          <w:rFonts w:hint="eastAsia"/>
        </w:rPr>
        <w:t>都规定了有关环境卫生的保持、发展和改进。除其他外，上述各项法律还载有关于以下内容的规定：</w:t>
      </w:r>
    </w:p>
    <w:p w:rsidR="00000000" w:rsidRDefault="00000000">
      <w:pPr>
        <w:pStyle w:val="a0"/>
        <w:tabs>
          <w:tab w:val="num" w:pos="1550"/>
        </w:tabs>
        <w:ind w:left="1550"/>
        <w:rPr>
          <w:rFonts w:hint="eastAsia"/>
        </w:rPr>
      </w:pPr>
      <w:r>
        <w:rPr>
          <w:rFonts w:hint="eastAsia"/>
        </w:rPr>
        <w:t>预防工业污染</w:t>
      </w:r>
      <w:r>
        <w:rPr>
          <w:rFonts w:hint="eastAsia"/>
        </w:rPr>
        <w:t>(</w:t>
      </w:r>
      <w:r>
        <w:rPr>
          <w:rFonts w:hint="eastAsia"/>
        </w:rPr>
        <w:t>许可证程序</w:t>
      </w:r>
      <w:r>
        <w:rPr>
          <w:rFonts w:hint="eastAsia"/>
        </w:rPr>
        <w:t>)</w:t>
      </w:r>
      <w:r>
        <w:rPr>
          <w:rFonts w:hint="eastAsia"/>
        </w:rPr>
        <w:t>；</w:t>
      </w:r>
    </w:p>
    <w:p w:rsidR="00000000" w:rsidRDefault="00000000">
      <w:pPr>
        <w:pStyle w:val="a0"/>
        <w:tabs>
          <w:tab w:val="num" w:pos="1550"/>
        </w:tabs>
        <w:ind w:left="1550"/>
        <w:rPr>
          <w:rFonts w:hint="eastAsia"/>
        </w:rPr>
      </w:pPr>
      <w:r>
        <w:rPr>
          <w:rFonts w:hint="eastAsia"/>
        </w:rPr>
        <w:t>环境卫生的质量标准；</w:t>
      </w:r>
    </w:p>
    <w:p w:rsidR="00000000" w:rsidRDefault="00000000">
      <w:pPr>
        <w:pStyle w:val="a0"/>
        <w:tabs>
          <w:tab w:val="num" w:pos="1550"/>
        </w:tabs>
        <w:ind w:left="1550"/>
        <w:rPr>
          <w:rFonts w:hint="eastAsia"/>
        </w:rPr>
      </w:pPr>
      <w:r>
        <w:rPr>
          <w:rFonts w:hint="eastAsia"/>
        </w:rPr>
        <w:t>主管部门对于质量标准的经常性控制和控制计划；以及</w:t>
      </w:r>
    </w:p>
    <w:p w:rsidR="00000000" w:rsidRDefault="00000000">
      <w:pPr>
        <w:pStyle w:val="a0"/>
        <w:tabs>
          <w:tab w:val="num" w:pos="1550"/>
        </w:tabs>
        <w:spacing w:after="320"/>
        <w:ind w:left="1550"/>
        <w:rPr>
          <w:rFonts w:hint="eastAsia"/>
        </w:rPr>
      </w:pPr>
      <w:r>
        <w:rPr>
          <w:rFonts w:hint="eastAsia"/>
        </w:rPr>
        <w:t>特殊情况的处置办法。</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b/>
          <w:u w:val="none"/>
        </w:rPr>
        <w:t>g</w:t>
      </w:r>
      <w:r>
        <w:rPr>
          <w:rFonts w:ascii="Time New Roman" w:eastAsia="SimHei" w:hAnsi="Time New Roman" w:hint="eastAsia"/>
          <w:u w:val="none"/>
        </w:rPr>
        <w:t xml:space="preserve">)  </w:t>
      </w:r>
      <w:r>
        <w:rPr>
          <w:rFonts w:ascii="Time New Roman" w:eastAsia="SimHei" w:hAnsi="Time New Roman" w:hint="eastAsia"/>
          <w:u w:val="none"/>
        </w:rPr>
        <w:t>传染病</w:t>
      </w:r>
    </w:p>
    <w:p w:rsidR="00000000" w:rsidRDefault="00000000">
      <w:pPr>
        <w:widowControl w:val="0"/>
        <w:rPr>
          <w:rFonts w:hint="eastAsia"/>
        </w:rPr>
      </w:pPr>
      <w:r>
        <w:rPr>
          <w:rFonts w:hint="eastAsia"/>
        </w:rPr>
        <w:tab/>
        <w:t xml:space="preserve">545.  </w:t>
      </w:r>
      <w:r>
        <w:rPr>
          <w:rFonts w:hint="eastAsia"/>
        </w:rPr>
        <w:t>芬兰有一种关于传染病的信息和登记制度。负责医治传染病的医生可在卫生局或者医疗服务中心获得有关全国登记的资料。从</w:t>
      </w:r>
      <w:r>
        <w:rPr>
          <w:rFonts w:hint="eastAsia"/>
        </w:rPr>
        <w:t>1997</w:t>
      </w:r>
      <w:r>
        <w:rPr>
          <w:rFonts w:hint="eastAsia"/>
        </w:rPr>
        <w:t>年以来，又实施了一种登记怀疑传染病的制度。在过去几年中，已经加强了防治医院感染的工作。关于全面接种疫苗运动，由国家统一购买疫苗并且为公民免费接种。</w:t>
      </w:r>
    </w:p>
    <w:p w:rsidR="00000000" w:rsidRDefault="00000000">
      <w:pPr>
        <w:rPr>
          <w:rFonts w:hint="eastAsia"/>
        </w:rPr>
      </w:pPr>
      <w:r>
        <w:rPr>
          <w:rFonts w:hint="eastAsia"/>
        </w:rPr>
        <w:tab/>
        <w:t xml:space="preserve">546.  </w:t>
      </w:r>
      <w:r>
        <w:rPr>
          <w:rFonts w:hint="eastAsia"/>
        </w:rPr>
        <w:t>在传染病方面的形势大好，没有发生过重大疫情。艾滋病毒</w:t>
      </w:r>
      <w:r>
        <w:rPr>
          <w:rFonts w:hint="eastAsia"/>
        </w:rPr>
        <w:t>/</w:t>
      </w:r>
      <w:r>
        <w:rPr>
          <w:rFonts w:hint="eastAsia"/>
        </w:rPr>
        <w:t>艾滋病的发病率要低于大多数西欧工业化国家。有关</w:t>
      </w:r>
      <w:r>
        <w:rPr>
          <w:rFonts w:hint="eastAsia"/>
        </w:rPr>
        <w:t>MRSA</w:t>
      </w:r>
      <w:r>
        <w:rPr>
          <w:rFonts w:hint="eastAsia"/>
        </w:rPr>
        <w:t>感染的情况也是如此。尽管在一些邻国出现了抗药性肺结核的高发病率，但是至今尚未曼延到芬兰。</w:t>
      </w:r>
    </w:p>
    <w:p w:rsidR="00000000" w:rsidRDefault="00000000">
      <w:pPr>
        <w:spacing w:after="320"/>
        <w:rPr>
          <w:rFonts w:hint="eastAsia"/>
        </w:rPr>
      </w:pPr>
      <w:r>
        <w:rPr>
          <w:rFonts w:hint="eastAsia"/>
        </w:rPr>
        <w:tab/>
        <w:t xml:space="preserve">547.  </w:t>
      </w:r>
      <w:r>
        <w:rPr>
          <w:rFonts w:hint="eastAsia"/>
        </w:rPr>
        <w:t>在保健领域，芬兰积极参加了欧盟所组织的早期警戒和迅速反应活动。</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b/>
          <w:u w:val="none"/>
        </w:rPr>
        <w:t>h</w:t>
      </w:r>
      <w:r>
        <w:rPr>
          <w:rFonts w:ascii="Time New Roman" w:eastAsia="SimHei" w:hAnsi="Time New Roman" w:hint="eastAsia"/>
          <w:u w:val="none"/>
        </w:rPr>
        <w:t xml:space="preserve">)  </w:t>
      </w:r>
      <w:r>
        <w:rPr>
          <w:rFonts w:ascii="Time New Roman" w:eastAsia="SimHei" w:hAnsi="Time New Roman" w:hint="eastAsia"/>
          <w:u w:val="none"/>
        </w:rPr>
        <w:t>为确保所有人都能获得医疗服务和关心而采取的措施</w:t>
      </w:r>
    </w:p>
    <w:p w:rsidR="00000000" w:rsidRDefault="00000000">
      <w:pPr>
        <w:rPr>
          <w:rFonts w:hint="eastAsia"/>
        </w:rPr>
      </w:pPr>
      <w:r>
        <w:rPr>
          <w:rFonts w:hint="eastAsia"/>
        </w:rPr>
        <w:tab/>
        <w:t xml:space="preserve">548.  </w:t>
      </w:r>
      <w:r>
        <w:rPr>
          <w:rFonts w:hint="eastAsia"/>
        </w:rPr>
        <w:t>有关实施新的法律规定以确保获得医疗服务的法律</w:t>
      </w:r>
      <w:r>
        <w:rPr>
          <w:rFonts w:hint="eastAsia"/>
        </w:rPr>
        <w:t>(855-858/2004)</w:t>
      </w:r>
      <w:r>
        <w:rPr>
          <w:rFonts w:hint="eastAsia"/>
        </w:rPr>
        <w:t>于</w:t>
      </w:r>
      <w:r>
        <w:rPr>
          <w:rFonts w:hint="eastAsia"/>
        </w:rPr>
        <w:t>2005</w:t>
      </w:r>
      <w:r>
        <w:rPr>
          <w:rFonts w:hint="eastAsia"/>
        </w:rPr>
        <w:t>年</w:t>
      </w:r>
      <w:r>
        <w:rPr>
          <w:rFonts w:hint="eastAsia"/>
        </w:rPr>
        <w:t>3</w:t>
      </w:r>
      <w:r>
        <w:rPr>
          <w:rFonts w:hint="eastAsia"/>
        </w:rPr>
        <w:t>月</w:t>
      </w:r>
      <w:r>
        <w:rPr>
          <w:rFonts w:hint="eastAsia"/>
        </w:rPr>
        <w:t>1</w:t>
      </w:r>
      <w:r>
        <w:rPr>
          <w:rFonts w:hint="eastAsia"/>
        </w:rPr>
        <w:t>日正式生效。经过修订的《公共健康法》</w:t>
      </w:r>
      <w:r>
        <w:rPr>
          <w:rFonts w:hint="eastAsia"/>
        </w:rPr>
        <w:t>(66/1972)</w:t>
      </w:r>
      <w:r>
        <w:rPr>
          <w:rFonts w:hint="eastAsia"/>
        </w:rPr>
        <w:t>以及《特别医疗服务法》</w:t>
      </w:r>
      <w:r>
        <w:rPr>
          <w:rFonts w:hint="eastAsia"/>
        </w:rPr>
        <w:t>(1062/1989)</w:t>
      </w:r>
      <w:r>
        <w:rPr>
          <w:rFonts w:hint="eastAsia"/>
        </w:rPr>
        <w:t>规定了必须要对医疗服务的必要性作出评估的实现。除此以外，还对《病人法》和《社会福利和医疗服务收费办法》</w:t>
      </w:r>
      <w:r>
        <w:rPr>
          <w:rFonts w:hint="eastAsia"/>
        </w:rPr>
        <w:t>(734/1992)</w:t>
      </w:r>
      <w:r>
        <w:rPr>
          <w:rFonts w:hint="eastAsia"/>
        </w:rPr>
        <w:t>进行了修订。</w:t>
      </w:r>
    </w:p>
    <w:p w:rsidR="00000000" w:rsidRDefault="00000000">
      <w:pPr>
        <w:rPr>
          <w:rFonts w:hint="eastAsia"/>
        </w:rPr>
      </w:pPr>
      <w:r>
        <w:rPr>
          <w:rFonts w:hint="eastAsia"/>
        </w:rPr>
        <w:tab/>
        <w:t xml:space="preserve">549.  </w:t>
      </w:r>
      <w:r>
        <w:rPr>
          <w:rFonts w:hint="eastAsia"/>
        </w:rPr>
        <w:t>上述的法律修订更加明确地规定了地方当局和市级联合委员会在提供医疗服务方面的义务。修订之目的是为了要确保提供必要的医疗服务、缩短在医疗服务方面的差别、提高排队等候方面的透明度以及加强在提供医疗服务方面的公平和平等。除其他外，可以通过提供有关医疗服务的国家准则以改革提供服务的结构和形式来达到这些目标。</w:t>
      </w:r>
    </w:p>
    <w:p w:rsidR="00000000" w:rsidRDefault="00000000">
      <w:pPr>
        <w:rPr>
          <w:rFonts w:hint="eastAsia"/>
        </w:rPr>
      </w:pPr>
      <w:r>
        <w:rPr>
          <w:rFonts w:hint="eastAsia"/>
        </w:rPr>
        <w:tab/>
        <w:t xml:space="preserve">550.  </w:t>
      </w:r>
      <w:r>
        <w:rPr>
          <w:rFonts w:hint="eastAsia"/>
        </w:rPr>
        <w:t>等候的时限。之所以要修订法律确保对医疗服务必要性的评估，是为了使得这些服务更为有效。根据新的规定，在工作日的上班时间必须保证病人能够立即同医疗服务中心取得联系。除非可以通过电话进行评估，否则医疗服务中心必须在联系之日起的三个工作日内就非紧急的医疗服务必要性作出评估。如果评估认为医疗服务或者牙医服务是必要的，就必须在合理时间内予以提供。</w:t>
      </w:r>
    </w:p>
    <w:p w:rsidR="00000000" w:rsidRDefault="00000000">
      <w:pPr>
        <w:rPr>
          <w:rFonts w:hint="eastAsia"/>
        </w:rPr>
      </w:pPr>
      <w:r>
        <w:rPr>
          <w:rFonts w:hint="eastAsia"/>
        </w:rPr>
        <w:tab/>
        <w:t xml:space="preserve">551.  </w:t>
      </w:r>
      <w:r>
        <w:rPr>
          <w:rFonts w:hint="eastAsia"/>
        </w:rPr>
        <w:t>关于特别医疗服务，医疗服务单位</w:t>
      </w:r>
      <w:r>
        <w:rPr>
          <w:rFonts w:hint="eastAsia"/>
        </w:rPr>
        <w:t>(</w:t>
      </w:r>
      <w:r>
        <w:rPr>
          <w:rFonts w:hint="eastAsia"/>
        </w:rPr>
        <w:t>例如，医院的门诊部</w:t>
      </w:r>
      <w:r>
        <w:rPr>
          <w:rFonts w:hint="eastAsia"/>
        </w:rPr>
        <w:t>)</w:t>
      </w:r>
      <w:r>
        <w:rPr>
          <w:rFonts w:hint="eastAsia"/>
        </w:rPr>
        <w:t>必须在收到转诊通知之日起的三周内开始对医疗服务的必要性作出评估。如果评估认为有必要进行治疗，则必须在评估之日起的六个月内提供有关的医疗服务。有关向儿童和青年提供精神治疗服务的新的规定同《精神卫生法》</w:t>
      </w:r>
      <w:r>
        <w:rPr>
          <w:rFonts w:hint="eastAsia"/>
        </w:rPr>
        <w:t>(1247/1990)</w:t>
      </w:r>
      <w:r>
        <w:rPr>
          <w:rFonts w:hint="eastAsia"/>
        </w:rPr>
        <w:t>中的规定相同。除非同医疗有关的事实支持取消这项目原则，否则，考虑到治疗的紧迫性，必须在</w:t>
      </w:r>
      <w:r>
        <w:rPr>
          <w:rFonts w:hint="eastAsia"/>
        </w:rPr>
        <w:t>3</w:t>
      </w:r>
      <w:r>
        <w:rPr>
          <w:rFonts w:hint="eastAsia"/>
        </w:rPr>
        <w:t>个月内提供必要的医疗服务。</w:t>
      </w:r>
    </w:p>
    <w:p w:rsidR="00000000" w:rsidRDefault="00000000">
      <w:pPr>
        <w:rPr>
          <w:rFonts w:hint="eastAsia"/>
        </w:rPr>
      </w:pPr>
      <w:r>
        <w:rPr>
          <w:rFonts w:hint="eastAsia"/>
        </w:rPr>
        <w:tab/>
        <w:t xml:space="preserve">552.  </w:t>
      </w:r>
      <w:r>
        <w:rPr>
          <w:rFonts w:hint="eastAsia"/>
        </w:rPr>
        <w:t>如果医疗服务单位本身无法在规定时间内提供有关治疗，地方当局或者市级联合委员会必须从其他的医疗机构</w:t>
      </w:r>
      <w:r>
        <w:rPr>
          <w:rFonts w:hint="eastAsia"/>
        </w:rPr>
        <w:t>(</w:t>
      </w:r>
      <w:r>
        <w:rPr>
          <w:rFonts w:hint="eastAsia"/>
        </w:rPr>
        <w:t>例如，另外一家公共医院或者私营部门</w:t>
      </w:r>
      <w:r>
        <w:rPr>
          <w:rFonts w:hint="eastAsia"/>
        </w:rPr>
        <w:t>)</w:t>
      </w:r>
      <w:r>
        <w:rPr>
          <w:rFonts w:hint="eastAsia"/>
        </w:rPr>
        <w:t>购买必要的医疗服务，但是不得因此而加重病人的经济负担。</w:t>
      </w:r>
    </w:p>
    <w:p w:rsidR="00000000" w:rsidRDefault="00000000">
      <w:pPr>
        <w:rPr>
          <w:rFonts w:hint="eastAsia"/>
        </w:rPr>
      </w:pPr>
      <w:r>
        <w:rPr>
          <w:rFonts w:hint="eastAsia"/>
        </w:rPr>
        <w:tab/>
        <w:t xml:space="preserve">553.  </w:t>
      </w:r>
      <w:r>
        <w:rPr>
          <w:rFonts w:hint="eastAsia"/>
        </w:rPr>
        <w:t>法律修订进一步澄清了卫生局、地方当局以及市级联合委员会在提供医疗服务方面的职责分工，因此卫生局应当负责为转诊病人提供医疗服务。所提供的医疗服务应当等同于所在城市卫生局为当地居民提供的服务，因此这项改革消除了各个地方在病人等待医疗服务方面的障碍。由于规定医疗服务单位有义务公布有关等待治疗的信息，病人就更加容易了解何时可获得治疗。</w:t>
      </w:r>
    </w:p>
    <w:p w:rsidR="00000000" w:rsidRDefault="00000000">
      <w:pPr>
        <w:rPr>
          <w:rFonts w:hint="eastAsia"/>
        </w:rPr>
      </w:pPr>
      <w:r>
        <w:rPr>
          <w:rFonts w:hint="eastAsia"/>
        </w:rPr>
        <w:tab/>
        <w:t xml:space="preserve">554.  </w:t>
      </w:r>
      <w:r>
        <w:rPr>
          <w:rFonts w:hint="eastAsia"/>
        </w:rPr>
        <w:t>提供服务的共同标准。各个地区的卫生局负责根据共同的医疗和牙医服务标准提供所在地区的特别医疗服务。考虑到提供医疗服务的保证措施的执行，社会事务和卫生部所成立的专家组拟定了有关非紧急医疗服务的国家标准，就提供服务的标准提出了建议。其目的是为了要减少各个地区在提供非紧急医疗服务方面的巨大差别，这样无论居住地点，居民都能根据比较统一的标准获得医疗服务。这些标准是根据常见病及其治疗方法而编制的。</w:t>
      </w:r>
    </w:p>
    <w:p w:rsidR="00000000" w:rsidRDefault="00000000">
      <w:pPr>
        <w:rPr>
          <w:rFonts w:hint="eastAsia"/>
        </w:rPr>
      </w:pPr>
      <w:r>
        <w:rPr>
          <w:rFonts w:hint="eastAsia"/>
        </w:rPr>
        <w:tab/>
        <w:t xml:space="preserve">555.  </w:t>
      </w:r>
      <w:r>
        <w:rPr>
          <w:rFonts w:hint="eastAsia"/>
        </w:rPr>
        <w:t>优先为某些病人提供了必要服务。然而，在这种情况下，必须要考虑到《宪法》禁止歧视并且规定同等待遇，以及有义务对病人的状况和因此而对医疗服务的需求作出逐个个案的评估。</w:t>
      </w:r>
    </w:p>
    <w:p w:rsidR="00000000" w:rsidRDefault="00000000">
      <w:pPr>
        <w:spacing w:after="320"/>
        <w:rPr>
          <w:rFonts w:hint="eastAsia"/>
        </w:rPr>
      </w:pPr>
      <w:r>
        <w:rPr>
          <w:rFonts w:hint="eastAsia"/>
        </w:rPr>
        <w:tab/>
        <w:t xml:space="preserve">556.  </w:t>
      </w:r>
      <w:r>
        <w:rPr>
          <w:rFonts w:hint="eastAsia"/>
        </w:rPr>
        <w:t>国家福利和健康研究与发展中心</w:t>
      </w:r>
      <w:r>
        <w:rPr>
          <w:rFonts w:hint="eastAsia"/>
        </w:rPr>
        <w:t>(ATAKES)</w:t>
      </w:r>
      <w:r>
        <w:rPr>
          <w:rFonts w:hint="eastAsia"/>
        </w:rPr>
        <w:t>以及芬兰地区和地方当局协会共同开展了一些调查，根据这些调查可以得出结论：芬兰已经比较成功地确保了医疗服务的提供。某些地区缺乏医生的问题有可能会得到更加妥善的解决，因为目前刚从医学院毕业的医生要超过离职的医生人数。在牙医方面，情况有些不同。离职牙医的人数要比刚从医学院毕业的牙医多</w:t>
      </w:r>
      <w:r>
        <w:rPr>
          <w:rFonts w:hint="eastAsia"/>
        </w:rPr>
        <w:t>50</w:t>
      </w:r>
      <w:r>
        <w:rPr>
          <w:rFonts w:hint="eastAsia"/>
        </w:rPr>
        <w:t>名。</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十三</w:t>
      </w:r>
      <w:r>
        <w:rPr>
          <w:rFonts w:ascii="Time New Roman" w:eastAsia="SimHei" w:hAnsi="Time New Roman"/>
          <w:u w:val="none"/>
        </w:rPr>
        <w:t xml:space="preserve"> </w:t>
      </w:r>
      <w:r>
        <w:rPr>
          <w:rFonts w:ascii="Time New Roman" w:eastAsia="SimHei" w:hAnsi="Time New Roman" w:hint="eastAsia"/>
          <w:u w:val="none"/>
        </w:rPr>
        <w:t>条</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人人获得教育的权利</w:t>
      </w:r>
    </w:p>
    <w:p w:rsidR="00000000" w:rsidRDefault="00000000">
      <w:pPr>
        <w:rPr>
          <w:rFonts w:hint="eastAsia"/>
        </w:rPr>
      </w:pPr>
      <w:r>
        <w:rPr>
          <w:rFonts w:hint="eastAsia"/>
        </w:rPr>
        <w:tab/>
        <w:t xml:space="preserve">557.  </w:t>
      </w:r>
      <w:r>
        <w:rPr>
          <w:rFonts w:hint="eastAsia"/>
        </w:rPr>
        <w:t>在以前的两份定期报告中已经说明了《宪法》中有关保障在芬兰境内居住的所有人都有权免费获得基本教育的规定。</w:t>
      </w:r>
    </w:p>
    <w:p w:rsidR="00000000" w:rsidRDefault="00000000">
      <w:pPr>
        <w:rPr>
          <w:rFonts w:hint="eastAsia"/>
        </w:rPr>
      </w:pPr>
      <w:r>
        <w:rPr>
          <w:rFonts w:hint="eastAsia"/>
        </w:rPr>
        <w:tab/>
        <w:t xml:space="preserve">558.  </w:t>
      </w:r>
      <w:r>
        <w:rPr>
          <w:rFonts w:hint="eastAsia"/>
        </w:rPr>
        <w:t>在芬兰长期居留的儿童必须上学。免费接受基本教育的权利包括学前教育。地方当局有义务向居住在本地区的学龄儿童提供基本教育，并且在上小学前一年提供学前教育。儿童也可在非永久性住所的地方接受基本教育或者学前教育。</w:t>
      </w:r>
    </w:p>
    <w:p w:rsidR="00000000" w:rsidRDefault="00000000">
      <w:pPr>
        <w:rPr>
          <w:rFonts w:hint="eastAsia"/>
        </w:rPr>
      </w:pPr>
      <w:r>
        <w:rPr>
          <w:rFonts w:hint="eastAsia"/>
        </w:rPr>
        <w:tab/>
        <w:t xml:space="preserve">559.  </w:t>
      </w:r>
      <w:r>
        <w:rPr>
          <w:rFonts w:hint="eastAsia"/>
        </w:rPr>
        <w:t>教育方面的平等。经过全面改革的教育法于</w:t>
      </w:r>
      <w:r>
        <w:rPr>
          <w:rFonts w:hint="eastAsia"/>
        </w:rPr>
        <w:t>1999</w:t>
      </w:r>
      <w:r>
        <w:rPr>
          <w:rFonts w:hint="eastAsia"/>
        </w:rPr>
        <w:t>年</w:t>
      </w:r>
      <w:r>
        <w:rPr>
          <w:rFonts w:hint="eastAsia"/>
        </w:rPr>
        <w:t>1</w:t>
      </w:r>
      <w:r>
        <w:rPr>
          <w:rFonts w:hint="eastAsia"/>
        </w:rPr>
        <w:t>月</w:t>
      </w:r>
      <w:r>
        <w:rPr>
          <w:rFonts w:hint="eastAsia"/>
        </w:rPr>
        <w:t>1</w:t>
      </w:r>
      <w:r>
        <w:rPr>
          <w:rFonts w:hint="eastAsia"/>
        </w:rPr>
        <w:t>日正式生效，其中特别注意到确保教育方面的平等以及在没有歧视的情况下享受教育服务。</w:t>
      </w:r>
    </w:p>
    <w:p w:rsidR="00000000" w:rsidRDefault="00000000">
      <w:pPr>
        <w:rPr>
          <w:rFonts w:hint="eastAsia"/>
        </w:rPr>
      </w:pPr>
      <w:r>
        <w:rPr>
          <w:rFonts w:hint="eastAsia"/>
        </w:rPr>
        <w:tab/>
        <w:t xml:space="preserve">560.  </w:t>
      </w:r>
      <w:r>
        <w:rPr>
          <w:rFonts w:hint="eastAsia"/>
        </w:rPr>
        <w:t>在</w:t>
      </w:r>
      <w:r>
        <w:rPr>
          <w:rFonts w:hint="eastAsia"/>
        </w:rPr>
        <w:t>2001</w:t>
      </w:r>
      <w:r>
        <w:rPr>
          <w:rFonts w:hint="eastAsia"/>
        </w:rPr>
        <w:t>年，教育部首次拟定了移民政策准则。这些准则于</w:t>
      </w:r>
      <w:r>
        <w:rPr>
          <w:rFonts w:hint="eastAsia"/>
        </w:rPr>
        <w:t>2003</w:t>
      </w:r>
      <w:r>
        <w:rPr>
          <w:rFonts w:hint="eastAsia"/>
        </w:rPr>
        <w:t>年修订。制定准则之目的是为了要澄清移民政策以及旨在培养教育部门良好种族关系的活动。旨在预防种族主义和提倡容忍的行动是教育部以及其他有关教育机构的日常工作的一部分。</w:t>
      </w:r>
    </w:p>
    <w:p w:rsidR="00000000" w:rsidRDefault="00000000">
      <w:pPr>
        <w:rPr>
          <w:rFonts w:hint="eastAsia"/>
        </w:rPr>
      </w:pPr>
      <w:r>
        <w:rPr>
          <w:rFonts w:hint="eastAsia"/>
        </w:rPr>
        <w:tab/>
        <w:t xml:space="preserve">561.  </w:t>
      </w:r>
      <w:r>
        <w:rPr>
          <w:rFonts w:hint="eastAsia"/>
        </w:rPr>
        <w:t>男女平等是教育政策的基本原则之一。</w:t>
      </w:r>
      <w:r>
        <w:rPr>
          <w:rFonts w:hint="eastAsia"/>
        </w:rPr>
        <w:t>2003</w:t>
      </w:r>
      <w:r>
        <w:rPr>
          <w:rFonts w:hint="eastAsia"/>
        </w:rPr>
        <w:t>年至</w:t>
      </w:r>
      <w:r>
        <w:rPr>
          <w:rFonts w:hint="eastAsia"/>
        </w:rPr>
        <w:t>2008</w:t>
      </w:r>
      <w:r>
        <w:rPr>
          <w:rFonts w:hint="eastAsia"/>
        </w:rPr>
        <w:t>年发展教育和研究的计划包括了旨在提高各种教育的质量的准则。根据这些准则，政府部门应当确保所有人都能获得教育。根据这项发展计划，将特别推动移民女孩和妇女接受教育。</w:t>
      </w:r>
    </w:p>
    <w:p w:rsidR="00000000" w:rsidRDefault="00000000">
      <w:pPr>
        <w:rPr>
          <w:rFonts w:hint="eastAsia"/>
        </w:rPr>
      </w:pPr>
      <w:r>
        <w:rPr>
          <w:rFonts w:hint="eastAsia"/>
        </w:rPr>
        <w:tab/>
        <w:t xml:space="preserve">562.  </w:t>
      </w:r>
      <w:r>
        <w:rPr>
          <w:rFonts w:hint="eastAsia"/>
        </w:rPr>
        <w:t>此外，还在</w:t>
      </w:r>
      <w:r>
        <w:rPr>
          <w:rFonts w:hint="eastAsia"/>
        </w:rPr>
        <w:t>2004</w:t>
      </w:r>
      <w:r>
        <w:rPr>
          <w:rFonts w:hint="eastAsia"/>
        </w:rPr>
        <w:t>年实施了一个项目，其目的是要缩小男孩和女孩在学习方面的差别、在考虑到学生的个人需求情况下发展教育、加强各个教育机构工作人员的合作以及支持各个政府部门所提供的服务和各个北欧国家研究工作者之间的合作。</w:t>
      </w:r>
    </w:p>
    <w:p w:rsidR="00000000" w:rsidRDefault="00000000">
      <w:pPr>
        <w:rPr>
          <w:rFonts w:hint="eastAsia"/>
        </w:rPr>
      </w:pPr>
      <w:r>
        <w:rPr>
          <w:rFonts w:hint="eastAsia"/>
        </w:rPr>
        <w:tab/>
        <w:t xml:space="preserve">563.  </w:t>
      </w:r>
      <w:r>
        <w:rPr>
          <w:rFonts w:hint="eastAsia"/>
        </w:rPr>
        <w:t>在第</w:t>
      </w:r>
      <w:r>
        <w:rPr>
          <w:rFonts w:hint="eastAsia"/>
        </w:rPr>
        <w:t>3</w:t>
      </w:r>
      <w:r>
        <w:rPr>
          <w:rFonts w:hint="eastAsia"/>
        </w:rPr>
        <w:t>条第</w:t>
      </w:r>
      <w:r>
        <w:rPr>
          <w:rFonts w:hint="eastAsia"/>
        </w:rPr>
        <w:t>2</w:t>
      </w:r>
      <w:r>
        <w:rPr>
          <w:rFonts w:hint="eastAsia"/>
        </w:rPr>
        <w:t>款项下说明了对于《男女平等法》的修订以及因此而引起的教育质量的提高。然而，这些规定并不适用于《基本教育法》所指的教育机构。</w:t>
      </w:r>
    </w:p>
    <w:p w:rsidR="00000000" w:rsidRDefault="00000000">
      <w:pPr>
        <w:rPr>
          <w:rFonts w:hint="eastAsia"/>
        </w:rPr>
      </w:pPr>
      <w:r>
        <w:rPr>
          <w:rFonts w:hint="eastAsia"/>
        </w:rPr>
        <w:tab/>
        <w:t xml:space="preserve">564.  </w:t>
      </w:r>
      <w:r>
        <w:rPr>
          <w:rFonts w:hint="eastAsia"/>
        </w:rPr>
        <w:t>大学教育的改革。</w:t>
      </w:r>
      <w:r>
        <w:rPr>
          <w:rFonts w:hint="eastAsia"/>
        </w:rPr>
        <w:t>2004</w:t>
      </w:r>
      <w:r>
        <w:rPr>
          <w:rFonts w:hint="eastAsia"/>
        </w:rPr>
        <w:t>年</w:t>
      </w:r>
      <w:r>
        <w:rPr>
          <w:rFonts w:hint="eastAsia"/>
        </w:rPr>
        <w:t>8</w:t>
      </w:r>
      <w:r>
        <w:rPr>
          <w:rFonts w:hint="eastAsia"/>
        </w:rPr>
        <w:t>月</w:t>
      </w:r>
      <w:r>
        <w:rPr>
          <w:rFonts w:hint="eastAsia"/>
        </w:rPr>
        <w:t>19</w:t>
      </w:r>
      <w:r>
        <w:rPr>
          <w:rFonts w:hint="eastAsia"/>
        </w:rPr>
        <w:t>日，政府发布了一项有关大学学位的法令。除其他外，这项法令还规定了大学学位的目标和内容以及可在不同大学获得的各种学位。这项新的法令取代了以前的有关依据欧洲学分转换体制来决定大学学位内容的制度。这项改革改进了芬兰的大学学位同欧洲其他国家大学学位之间的可比性，这也是欧洲博罗尼亚进程的一部分。而这个进程的最终目标就是要在</w:t>
      </w:r>
      <w:r>
        <w:rPr>
          <w:rFonts w:hint="eastAsia"/>
        </w:rPr>
        <w:t>2010</w:t>
      </w:r>
      <w:r>
        <w:rPr>
          <w:rFonts w:hint="eastAsia"/>
        </w:rPr>
        <w:t>年以前成立一个共同的欧洲高等教育地区。博罗尼亚进程的一个基本目标是要提高各个国家大学学分的等同性，从而加强学生的流动，使他们能够在国外求学。这项法令于</w:t>
      </w:r>
      <w:r>
        <w:rPr>
          <w:rFonts w:hint="eastAsia"/>
        </w:rPr>
        <w:t>2005</w:t>
      </w:r>
      <w:r>
        <w:rPr>
          <w:rFonts w:hint="eastAsia"/>
        </w:rPr>
        <w:t>年</w:t>
      </w:r>
      <w:r>
        <w:rPr>
          <w:rFonts w:hint="eastAsia"/>
        </w:rPr>
        <w:t>8</w:t>
      </w:r>
      <w:r>
        <w:rPr>
          <w:rFonts w:hint="eastAsia"/>
        </w:rPr>
        <w:t>月</w:t>
      </w:r>
      <w:r>
        <w:rPr>
          <w:rFonts w:hint="eastAsia"/>
        </w:rPr>
        <w:t>1</w:t>
      </w:r>
      <w:r>
        <w:rPr>
          <w:rFonts w:hint="eastAsia"/>
        </w:rPr>
        <w:t>日正式生效。</w:t>
      </w:r>
    </w:p>
    <w:p w:rsidR="00000000" w:rsidRDefault="00000000">
      <w:pPr>
        <w:rPr>
          <w:rFonts w:hint="eastAsia"/>
        </w:rPr>
      </w:pPr>
      <w:r>
        <w:rPr>
          <w:rFonts w:hint="eastAsia"/>
        </w:rPr>
        <w:tab/>
        <w:t xml:space="preserve">565.  </w:t>
      </w:r>
      <w:r>
        <w:rPr>
          <w:rFonts w:hint="eastAsia"/>
        </w:rPr>
        <w:t>上述法令涉及对于在</w:t>
      </w:r>
      <w:r>
        <w:rPr>
          <w:rFonts w:hint="eastAsia"/>
        </w:rPr>
        <w:t>2004</w:t>
      </w:r>
      <w:r>
        <w:rPr>
          <w:rFonts w:hint="eastAsia"/>
        </w:rPr>
        <w:t>年</w:t>
      </w:r>
      <w:r>
        <w:rPr>
          <w:rFonts w:hint="eastAsia"/>
        </w:rPr>
        <w:t>7</w:t>
      </w:r>
      <w:r>
        <w:rPr>
          <w:rFonts w:hint="eastAsia"/>
        </w:rPr>
        <w:t>月</w:t>
      </w:r>
      <w:r>
        <w:rPr>
          <w:rFonts w:hint="eastAsia"/>
        </w:rPr>
        <w:t>30</w:t>
      </w:r>
      <w:r>
        <w:rPr>
          <w:rFonts w:hint="eastAsia"/>
        </w:rPr>
        <w:t>日通过的《大学法》的修订，从而引进了大学学位的双层结构。这项经过修订的法律于</w:t>
      </w:r>
      <w:r>
        <w:rPr>
          <w:rFonts w:hint="eastAsia"/>
        </w:rPr>
        <w:t>2005</w:t>
      </w:r>
      <w:r>
        <w:rPr>
          <w:rFonts w:hint="eastAsia"/>
        </w:rPr>
        <w:t>年</w:t>
      </w:r>
      <w:r>
        <w:rPr>
          <w:rFonts w:hint="eastAsia"/>
        </w:rPr>
        <w:t>8</w:t>
      </w:r>
      <w:r>
        <w:rPr>
          <w:rFonts w:hint="eastAsia"/>
        </w:rPr>
        <w:t>月</w:t>
      </w:r>
      <w:r>
        <w:rPr>
          <w:rFonts w:hint="eastAsia"/>
        </w:rPr>
        <w:t>1</w:t>
      </w:r>
      <w:r>
        <w:rPr>
          <w:rFonts w:hint="eastAsia"/>
        </w:rPr>
        <w:t>日正式生效。根据新的规定，高级大学学位的基础通常是低级大学学位或者相关的教育。经过修订的法律适用于除了医学院以外的所有其他领域。</w:t>
      </w:r>
    </w:p>
    <w:p w:rsidR="00000000" w:rsidRDefault="00000000">
      <w:pPr>
        <w:spacing w:after="320"/>
        <w:rPr>
          <w:rFonts w:hint="eastAsia"/>
        </w:rPr>
      </w:pPr>
      <w:r>
        <w:rPr>
          <w:rFonts w:hint="eastAsia"/>
        </w:rPr>
        <w:tab/>
        <w:t xml:space="preserve">566.  </w:t>
      </w:r>
      <w:r>
        <w:rPr>
          <w:rFonts w:hint="eastAsia"/>
        </w:rPr>
        <w:t>大学学位改革的目标之一是要缩短学制。学位的内容也将改变，使他们能够更加符合研究和工作的需要。教育必须改革，从而使得全日制的学生能在三年之内完成大专的学业。除此以外，还必须在两年之内完成为取得高级大学学位所必须的学业。</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w:t>
      </w:r>
      <w:r>
        <w:rPr>
          <w:rFonts w:ascii="Time New Roman" w:eastAsia="SimHei" w:hAnsi="Time New Roman"/>
          <w:b/>
          <w:u w:val="none"/>
        </w:rPr>
        <w:t>a</w:t>
      </w:r>
      <w:r>
        <w:rPr>
          <w:rFonts w:ascii="Time New Roman" w:eastAsia="SimHei" w:hAnsi="Time New Roman" w:hint="eastAsia"/>
          <w:u w:val="none"/>
        </w:rPr>
        <w:t xml:space="preserve">)  </w:t>
      </w:r>
      <w:r>
        <w:rPr>
          <w:rFonts w:ascii="Time New Roman" w:eastAsia="SimHei" w:hAnsi="Time New Roman" w:hint="eastAsia"/>
          <w:u w:val="none"/>
        </w:rPr>
        <w:t>初级教育</w:t>
      </w:r>
    </w:p>
    <w:p w:rsidR="00000000" w:rsidRDefault="00000000">
      <w:pPr>
        <w:rPr>
          <w:rFonts w:hint="eastAsia"/>
        </w:rPr>
      </w:pPr>
      <w:r>
        <w:rPr>
          <w:rFonts w:hint="eastAsia"/>
        </w:rPr>
        <w:tab/>
        <w:t xml:space="preserve">567.  </w:t>
      </w:r>
      <w:r>
        <w:rPr>
          <w:rFonts w:hint="eastAsia"/>
        </w:rPr>
        <w:t>新的有关综合学校课程的国家准则。</w:t>
      </w:r>
      <w:r>
        <w:rPr>
          <w:rFonts w:hint="eastAsia"/>
        </w:rPr>
        <w:t>2004</w:t>
      </w:r>
      <w:r>
        <w:rPr>
          <w:rFonts w:hint="eastAsia"/>
        </w:rPr>
        <w:t>年</w:t>
      </w:r>
      <w:r>
        <w:rPr>
          <w:rFonts w:hint="eastAsia"/>
        </w:rPr>
        <w:t>1</w:t>
      </w:r>
      <w:r>
        <w:rPr>
          <w:rFonts w:hint="eastAsia"/>
        </w:rPr>
        <w:t>月</w:t>
      </w:r>
      <w:r>
        <w:rPr>
          <w:rFonts w:hint="eastAsia"/>
        </w:rPr>
        <w:t>16</w:t>
      </w:r>
      <w:r>
        <w:rPr>
          <w:rFonts w:hint="eastAsia"/>
        </w:rPr>
        <w:t>日，国家教育委员会确定了新的有关综合学校课程的国家准则</w:t>
      </w:r>
      <w:r>
        <w:rPr>
          <w:rFonts w:hint="eastAsia"/>
        </w:rPr>
        <w:t>(</w:t>
      </w:r>
      <w:r>
        <w:rPr>
          <w:rFonts w:hint="eastAsia"/>
        </w:rPr>
        <w:t>一年级至九年级</w:t>
      </w:r>
      <w:r>
        <w:rPr>
          <w:rFonts w:hint="eastAsia"/>
        </w:rPr>
        <w:t>)</w:t>
      </w:r>
      <w:r>
        <w:rPr>
          <w:rFonts w:hint="eastAsia"/>
        </w:rPr>
        <w:t>。必须在</w:t>
      </w:r>
      <w:r>
        <w:rPr>
          <w:rFonts w:hint="eastAsia"/>
        </w:rPr>
        <w:t>2006</w:t>
      </w:r>
      <w:r>
        <w:rPr>
          <w:rFonts w:hint="eastAsia"/>
        </w:rPr>
        <w:t>年</w:t>
      </w:r>
      <w:r>
        <w:rPr>
          <w:rFonts w:hint="eastAsia"/>
        </w:rPr>
        <w:t>8</w:t>
      </w:r>
      <w:r>
        <w:rPr>
          <w:rFonts w:hint="eastAsia"/>
        </w:rPr>
        <w:t>月</w:t>
      </w:r>
      <w:r>
        <w:rPr>
          <w:rFonts w:hint="eastAsia"/>
        </w:rPr>
        <w:t>1</w:t>
      </w:r>
      <w:r>
        <w:rPr>
          <w:rFonts w:hint="eastAsia"/>
        </w:rPr>
        <w:t>日之前在所有综合性学校中使用根据这些准则拟定的学校课程。这些准则是根据《基本教育法》第</w:t>
      </w:r>
      <w:r>
        <w:rPr>
          <w:rFonts w:hint="eastAsia"/>
        </w:rPr>
        <w:t>14</w:t>
      </w:r>
      <w:r>
        <w:rPr>
          <w:rFonts w:hint="eastAsia"/>
        </w:rPr>
        <w:t>节的规定拟定的，比以前的准则更为明确。这些准则规定了学校课程的目标和有关内容，并且提供了有关评估学生的指示。拟定准则之目的是要确保所有的综合性学校都能提供统一的基本教育。除此以外，学校课程将首次包括有关学校同家庭合作以及确保学生福利的规定。这些国家准则是通常由地方当局负责拟定的地方学校课程的基础。</w:t>
      </w:r>
    </w:p>
    <w:p w:rsidR="00000000" w:rsidRDefault="00000000">
      <w:pPr>
        <w:rPr>
          <w:rFonts w:hint="eastAsia"/>
        </w:rPr>
      </w:pPr>
      <w:r>
        <w:rPr>
          <w:rFonts w:hint="eastAsia"/>
        </w:rPr>
        <w:tab/>
        <w:t xml:space="preserve">568.  </w:t>
      </w:r>
      <w:r>
        <w:rPr>
          <w:rFonts w:hint="eastAsia"/>
        </w:rPr>
        <w:t>“人人获得教育”的国家计划。为了确保所有人都能获得高质量的教育，教科文组织“人人获得教育”方案提出了六个目标。其中两个目标</w:t>
      </w:r>
      <w:r>
        <w:rPr>
          <w:rFonts w:hint="eastAsia"/>
          <w:spacing w:val="-50"/>
        </w:rPr>
        <w:t>―</w:t>
      </w:r>
      <w:r>
        <w:rPr>
          <w:rFonts w:hint="eastAsia"/>
        </w:rPr>
        <w:t>―在</w:t>
      </w:r>
      <w:r>
        <w:rPr>
          <w:rFonts w:hint="eastAsia"/>
        </w:rPr>
        <w:t>2015</w:t>
      </w:r>
      <w:r>
        <w:rPr>
          <w:rFonts w:hint="eastAsia"/>
        </w:rPr>
        <w:t>年以前为所有儿童提供义务制教育以及在</w:t>
      </w:r>
      <w:r>
        <w:rPr>
          <w:rFonts w:hint="eastAsia"/>
        </w:rPr>
        <w:t>2015</w:t>
      </w:r>
      <w:r>
        <w:rPr>
          <w:rFonts w:hint="eastAsia"/>
        </w:rPr>
        <w:t>年以前实现教育方面的男女平等</w:t>
      </w:r>
      <w:r>
        <w:rPr>
          <w:rFonts w:hint="eastAsia"/>
          <w:spacing w:val="-50"/>
        </w:rPr>
        <w:t>―</w:t>
      </w:r>
      <w:r>
        <w:rPr>
          <w:rFonts w:hint="eastAsia"/>
        </w:rPr>
        <w:t>―也是《联合国千年宣言》所规定的目标之一。为了在国内实现上述目标，教育部、国家教育委员会以及外交部同教科文组织芬兰委员会合作，拟定了“人人获得教育”国家计划，其中涉及：早期教育、移民教育、为青年人提供资助、成年人培训以及提高教育质量和加强教育方面平等的必要性。这项计划主要是在现有机制的框架内执行的，计划中所提到的挑战也已列入旨在发展教育和研究的上述计划。</w:t>
      </w:r>
    </w:p>
    <w:p w:rsidR="00000000" w:rsidRDefault="00000000">
      <w:pPr>
        <w:rPr>
          <w:rFonts w:hint="eastAsia"/>
        </w:rPr>
      </w:pPr>
      <w:r>
        <w:rPr>
          <w:rFonts w:hint="eastAsia"/>
        </w:rPr>
        <w:tab/>
        <w:t xml:space="preserve">569.  </w:t>
      </w:r>
      <w:r>
        <w:rPr>
          <w:rFonts w:hint="eastAsia"/>
        </w:rPr>
        <w:t>罗姆人事务咨询委员会已经要求教育部为国家教育委员会下属的罗姆人培训股于</w:t>
      </w:r>
      <w:r>
        <w:rPr>
          <w:rFonts w:hint="eastAsia"/>
        </w:rPr>
        <w:t>2004</w:t>
      </w:r>
      <w:r>
        <w:rPr>
          <w:rFonts w:hint="eastAsia"/>
        </w:rPr>
        <w:t>年所开展的调查的结果承担责任，并且同国家教育委员会以及地方当局合作采取综合措施，以便提高罗姆人的入学率。特别应该注意帮助那些刚开始基本教育的儿童、准备升入中学的儿童以及已经完成学校教育的儿童。</w:t>
      </w:r>
    </w:p>
    <w:p w:rsidR="00000000" w:rsidRDefault="00000000">
      <w:pPr>
        <w:rPr>
          <w:rFonts w:hint="eastAsia"/>
        </w:rPr>
      </w:pPr>
      <w:r>
        <w:rPr>
          <w:rFonts w:hint="eastAsia"/>
        </w:rPr>
        <w:tab/>
        <w:t xml:space="preserve">570.  </w:t>
      </w:r>
      <w:r>
        <w:rPr>
          <w:rFonts w:hint="eastAsia"/>
        </w:rPr>
        <w:t>在</w:t>
      </w:r>
      <w:r>
        <w:rPr>
          <w:rFonts w:hint="eastAsia"/>
        </w:rPr>
        <w:t>2004</w:t>
      </w:r>
      <w:r>
        <w:rPr>
          <w:rFonts w:hint="eastAsia"/>
        </w:rPr>
        <w:t>年，国家教育委员会实施了一项旨在发展教育指导服务，特别是为综合性小学七年级至九年级的学生提供的服务的国家项目。同时也注意到了必须加强学校同家庭的合作以及确保学生的福利。提供这些服务是为了要鼓励和支持小学生升学。</w:t>
      </w:r>
    </w:p>
    <w:p w:rsidR="00000000" w:rsidRDefault="00000000">
      <w:pPr>
        <w:rPr>
          <w:rFonts w:hint="eastAsia"/>
        </w:rPr>
      </w:pPr>
      <w:r>
        <w:rPr>
          <w:rFonts w:hint="eastAsia"/>
        </w:rPr>
        <w:tab/>
        <w:t xml:space="preserve">571.  </w:t>
      </w:r>
      <w:r>
        <w:rPr>
          <w:rFonts w:hint="eastAsia"/>
        </w:rPr>
        <w:t>在</w:t>
      </w:r>
      <w:r>
        <w:rPr>
          <w:rFonts w:hint="eastAsia"/>
        </w:rPr>
        <w:t>2001</w:t>
      </w:r>
      <w:r>
        <w:rPr>
          <w:rFonts w:hint="eastAsia"/>
        </w:rPr>
        <w:t>年和</w:t>
      </w:r>
      <w:r>
        <w:rPr>
          <w:rFonts w:hint="eastAsia"/>
        </w:rPr>
        <w:t>2002</w:t>
      </w:r>
      <w:r>
        <w:rPr>
          <w:rFonts w:hint="eastAsia"/>
        </w:rPr>
        <w:t>年，国家教育委员会就罗姆人儿童的基本教育状况开展了一项调查。除其他外，调查报告指出，从长期来说，罗姆人的教育水平有所提高，他们也以更为积极的态度投入教育。然而，只有</w:t>
      </w:r>
      <w:r>
        <w:rPr>
          <w:rFonts w:hint="eastAsia"/>
        </w:rPr>
        <w:t>2%</w:t>
      </w:r>
      <w:r>
        <w:rPr>
          <w:rFonts w:hint="eastAsia"/>
        </w:rPr>
        <w:t>的罗姆人儿童接受学前教育，每年有五分之一的罗姆人儿童留级。</w:t>
      </w:r>
    </w:p>
    <w:p w:rsidR="00000000" w:rsidRDefault="00000000">
      <w:pPr>
        <w:rPr>
          <w:rFonts w:hint="eastAsia"/>
        </w:rPr>
      </w:pPr>
      <w:r>
        <w:rPr>
          <w:rFonts w:hint="eastAsia"/>
        </w:rPr>
        <w:tab/>
        <w:t xml:space="preserve">572.  </w:t>
      </w:r>
      <w:r>
        <w:rPr>
          <w:rFonts w:hint="eastAsia"/>
        </w:rPr>
        <w:t>国家教育委员会的职责之一是要为评估和发展教育与管理提供服务，同时为学校、教育部门以及其他教育机构提供所需的支助服务。国家教育委员会的一个科负责处理罗姆人的教育问题、编写有关的教育材料、提供信息以及参加在这个领域中的国际合作。</w:t>
      </w:r>
    </w:p>
    <w:p w:rsidR="00000000" w:rsidRDefault="00000000">
      <w:pPr>
        <w:spacing w:after="320"/>
        <w:rPr>
          <w:rFonts w:hint="eastAsia"/>
        </w:rPr>
      </w:pPr>
      <w:r>
        <w:rPr>
          <w:rFonts w:hint="eastAsia"/>
        </w:rPr>
        <w:tab/>
        <w:t xml:space="preserve">573.  </w:t>
      </w:r>
      <w:r>
        <w:rPr>
          <w:rFonts w:hint="eastAsia"/>
        </w:rPr>
        <w:t>国家教育委员会还有一个工作组负责研究发展罗姆人儿童教育的方法。委员会计划根据工作组报告中所指出的缺点实施一项旨在发展罗姆人教育的项目。工作组的成员包括学前教育、变通教育、教育指导、学生福利服务、教师培训、学生上下午活动以及学校同家庭之间合作等不同领域中的专家。目前，除其他外，该工作组正在评估是否可能请儿童保健医院确认幼儿的学习困难，是否通过日托支持儿童的发展以及是否通过增加学校中的个人助理和辅导员人数来发展罗姆人儿童的教育。</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w:t>
      </w:r>
      <w:r>
        <w:rPr>
          <w:rFonts w:ascii="Time New Roman" w:eastAsia="SimHei" w:hAnsi="Time New Roman"/>
          <w:b/>
          <w:u w:val="none"/>
        </w:rPr>
        <w:t>b</w:t>
      </w:r>
      <w:r>
        <w:rPr>
          <w:rFonts w:ascii="Time New Roman" w:eastAsia="SimHei" w:hAnsi="Time New Roman" w:hint="eastAsia"/>
          <w:u w:val="none"/>
        </w:rPr>
        <w:t xml:space="preserve">)  </w:t>
      </w:r>
      <w:r>
        <w:rPr>
          <w:rFonts w:ascii="Time New Roman" w:eastAsia="SimHei" w:hAnsi="Time New Roman" w:hint="eastAsia"/>
          <w:u w:val="none"/>
        </w:rPr>
        <w:t>中等教育</w:t>
      </w:r>
    </w:p>
    <w:p w:rsidR="00000000" w:rsidRDefault="00000000">
      <w:pPr>
        <w:rPr>
          <w:rFonts w:hint="eastAsia"/>
        </w:rPr>
      </w:pPr>
      <w:r>
        <w:rPr>
          <w:rFonts w:hint="eastAsia"/>
        </w:rPr>
        <w:tab/>
        <w:t xml:space="preserve">574.  </w:t>
      </w:r>
      <w:r>
        <w:rPr>
          <w:rFonts w:hint="eastAsia"/>
        </w:rPr>
        <w:t>经过全面改革的教育法已经于</w:t>
      </w:r>
      <w:r>
        <w:rPr>
          <w:rFonts w:hint="eastAsia"/>
        </w:rPr>
        <w:t>1999</w:t>
      </w:r>
      <w:r>
        <w:rPr>
          <w:rFonts w:hint="eastAsia"/>
        </w:rPr>
        <w:t>年</w:t>
      </w:r>
      <w:r>
        <w:rPr>
          <w:rFonts w:hint="eastAsia"/>
        </w:rPr>
        <w:t>1</w:t>
      </w:r>
      <w:r>
        <w:rPr>
          <w:rFonts w:hint="eastAsia"/>
        </w:rPr>
        <w:t>月正式生效。《职业教育法》中载有一些关于变通教育和其他特别教育安排的规定，例如：预备性和康复性教育、向残疾人提供咨询、支助服务以及为希望接受基本职业教育的移民提供预备性培训。</w:t>
      </w:r>
    </w:p>
    <w:p w:rsidR="00000000" w:rsidRDefault="00000000">
      <w:pPr>
        <w:rPr>
          <w:rFonts w:hint="eastAsia"/>
        </w:rPr>
      </w:pPr>
      <w:r>
        <w:rPr>
          <w:rFonts w:hint="eastAsia"/>
        </w:rPr>
        <w:tab/>
        <w:t xml:space="preserve">575.  </w:t>
      </w:r>
      <w:r>
        <w:rPr>
          <w:rFonts w:hint="eastAsia"/>
        </w:rPr>
        <w:t>所有教育都是根据平等对待学生的原则进行的。凡是希望接受中等教育的人均可自由申请入学。在基本职业教育方面，教育、伙食以及住宿均由教育机构免费提供。接受变通教育的学生也可免费获得教科书和其他必要的教材、每周一次往返学校和家庭的交通、住宿、伙食以及所需的个人用品。</w:t>
      </w:r>
    </w:p>
    <w:p w:rsidR="00000000" w:rsidRDefault="00000000">
      <w:pPr>
        <w:rPr>
          <w:rFonts w:hint="eastAsia"/>
        </w:rPr>
      </w:pPr>
      <w:r>
        <w:rPr>
          <w:rFonts w:hint="eastAsia"/>
        </w:rPr>
        <w:tab/>
        <w:t xml:space="preserve">576.  </w:t>
      </w:r>
      <w:r>
        <w:rPr>
          <w:rFonts w:hint="eastAsia"/>
        </w:rPr>
        <w:t>基本职业教育的授课语言可能是芬兰语、瑞典语、萨米语、罗姆语或者手语。除此以外，也可能以非学生母语的其他语言授课，但是不得影响学生的学习。</w:t>
      </w:r>
    </w:p>
    <w:p w:rsidR="00000000" w:rsidRDefault="00000000">
      <w:pPr>
        <w:rPr>
          <w:rFonts w:hint="eastAsia"/>
        </w:rPr>
      </w:pPr>
      <w:r>
        <w:rPr>
          <w:rFonts w:hint="eastAsia"/>
        </w:rPr>
        <w:tab/>
        <w:t xml:space="preserve">577.  </w:t>
      </w:r>
      <w:r>
        <w:rPr>
          <w:rFonts w:hint="eastAsia"/>
        </w:rPr>
        <w:t>对于接受基本职业教育的学生以及参加职业技能考试辅导班学习的学生，没有年龄限制。各个教育部门在学生的年龄方面没有多大差别，有</w:t>
      </w:r>
      <w:r>
        <w:rPr>
          <w:rFonts w:hint="eastAsia"/>
        </w:rPr>
        <w:t>15</w:t>
      </w:r>
      <w:r>
        <w:rPr>
          <w:rFonts w:hint="eastAsia"/>
        </w:rPr>
        <w:t>岁的学生，也有成年人学生。学生的平均年龄为</w:t>
      </w:r>
      <w:r>
        <w:rPr>
          <w:rFonts w:hint="eastAsia"/>
        </w:rPr>
        <w:t>19</w:t>
      </w:r>
      <w:r>
        <w:rPr>
          <w:rFonts w:hint="eastAsia"/>
        </w:rPr>
        <w:t>岁。其中大多数人</w:t>
      </w:r>
      <w:r>
        <w:rPr>
          <w:rFonts w:hint="eastAsia"/>
        </w:rPr>
        <w:t>(</w:t>
      </w:r>
      <w:r>
        <w:rPr>
          <w:rFonts w:hint="eastAsia"/>
        </w:rPr>
        <w:t>大约</w:t>
      </w:r>
      <w:r>
        <w:rPr>
          <w:rFonts w:hint="eastAsia"/>
        </w:rPr>
        <w:t>70%)</w:t>
      </w:r>
      <w:r>
        <w:rPr>
          <w:rFonts w:hint="eastAsia"/>
        </w:rPr>
        <w:t>在</w:t>
      </w:r>
      <w:r>
        <w:rPr>
          <w:rFonts w:hint="eastAsia"/>
        </w:rPr>
        <w:t>15</w:t>
      </w:r>
      <w:r>
        <w:rPr>
          <w:rFonts w:hint="eastAsia"/>
        </w:rPr>
        <w:t>岁和</w:t>
      </w:r>
      <w:r>
        <w:rPr>
          <w:rFonts w:hint="eastAsia"/>
        </w:rPr>
        <w:t>19</w:t>
      </w:r>
      <w:r>
        <w:rPr>
          <w:rFonts w:hint="eastAsia"/>
        </w:rPr>
        <w:t>岁之间，其次是年龄在</w:t>
      </w:r>
      <w:r>
        <w:rPr>
          <w:rFonts w:hint="eastAsia"/>
        </w:rPr>
        <w:t>20</w:t>
      </w:r>
      <w:r>
        <w:rPr>
          <w:rFonts w:hint="eastAsia"/>
        </w:rPr>
        <w:t>岁和</w:t>
      </w:r>
      <w:r>
        <w:rPr>
          <w:rFonts w:hint="eastAsia"/>
        </w:rPr>
        <w:t>24</w:t>
      </w:r>
      <w:r>
        <w:rPr>
          <w:rFonts w:hint="eastAsia"/>
        </w:rPr>
        <w:t>岁之间的学生</w:t>
      </w:r>
      <w:r>
        <w:rPr>
          <w:rFonts w:hint="eastAsia"/>
        </w:rPr>
        <w:t>(20%)</w:t>
      </w:r>
      <w:r>
        <w:rPr>
          <w:rFonts w:hint="eastAsia"/>
        </w:rPr>
        <w:t>，还有就是年龄超过</w:t>
      </w:r>
      <w:r>
        <w:rPr>
          <w:rFonts w:hint="eastAsia"/>
        </w:rPr>
        <w:t>25</w:t>
      </w:r>
      <w:r>
        <w:rPr>
          <w:rFonts w:hint="eastAsia"/>
        </w:rPr>
        <w:t>岁的学生</w:t>
      </w:r>
      <w:r>
        <w:rPr>
          <w:rFonts w:hint="eastAsia"/>
        </w:rPr>
        <w:t>(10%)</w:t>
      </w:r>
      <w:r>
        <w:rPr>
          <w:rFonts w:hint="eastAsia"/>
        </w:rPr>
        <w:t>。其他年龄组学生的人数各有不同，年龄最大的为</w:t>
      </w:r>
      <w:r>
        <w:rPr>
          <w:rFonts w:hint="eastAsia"/>
        </w:rPr>
        <w:t>55</w:t>
      </w:r>
      <w:r>
        <w:rPr>
          <w:rFonts w:hint="eastAsia"/>
        </w:rPr>
        <w:t>岁。接受基本职业教育的男子和妇女人数大致相同。</w:t>
      </w:r>
    </w:p>
    <w:p w:rsidR="00000000" w:rsidRDefault="00000000">
      <w:pPr>
        <w:rPr>
          <w:rFonts w:hint="eastAsia"/>
        </w:rPr>
      </w:pPr>
      <w:r>
        <w:rPr>
          <w:rFonts w:hint="eastAsia"/>
        </w:rPr>
        <w:tab/>
        <w:t xml:space="preserve">578.  </w:t>
      </w:r>
      <w:r>
        <w:rPr>
          <w:rFonts w:hint="eastAsia"/>
        </w:rPr>
        <w:t>有关基本职业教育的学生入学标准以及收费办法并没有为外国学生接受职业教育设置任何障碍。因此，移民可以自由申请入学。然而，移民和外国人必须要有充分的语言技能，并且为入学作好全面准备。尽管如此，他们仍然有权保持其语言和文化，而且在必要时有权要求在教育方面作出特殊安排。对于芬兰学生和外国学生提出了同样的职业技能要求。然而，必须考虑到在入学程序、教育安排以及学生表现评估等方面对于语言技能的特别要求。移民教育也必须以同等待遇的原则为基础。</w:t>
      </w:r>
    </w:p>
    <w:p w:rsidR="00000000" w:rsidRDefault="00000000">
      <w:pPr>
        <w:rPr>
          <w:rFonts w:hint="eastAsia"/>
        </w:rPr>
      </w:pPr>
      <w:r>
        <w:rPr>
          <w:rFonts w:hint="eastAsia"/>
        </w:rPr>
        <w:tab/>
        <w:t xml:space="preserve">579.  </w:t>
      </w:r>
      <w:r>
        <w:rPr>
          <w:rFonts w:hint="eastAsia"/>
        </w:rPr>
        <w:t>国家教育委员会每年都为移民的职业教育拨出经费，用以发展移民教育。目前，这项经费的数额为每年</w:t>
      </w:r>
      <w:r>
        <w:rPr>
          <w:rFonts w:hint="eastAsia"/>
        </w:rPr>
        <w:t>15</w:t>
      </w:r>
      <w:r>
        <w:rPr>
          <w:rFonts w:hint="eastAsia"/>
        </w:rPr>
        <w:t>万欧元。根据上述</w:t>
      </w:r>
      <w:r>
        <w:rPr>
          <w:rFonts w:hint="eastAsia"/>
        </w:rPr>
        <w:t>2003</w:t>
      </w:r>
      <w:r>
        <w:rPr>
          <w:rFonts w:hint="eastAsia"/>
        </w:rPr>
        <w:t>年至</w:t>
      </w:r>
      <w:r>
        <w:rPr>
          <w:rFonts w:hint="eastAsia"/>
        </w:rPr>
        <w:t>2008</w:t>
      </w:r>
      <w:r>
        <w:rPr>
          <w:rFonts w:hint="eastAsia"/>
        </w:rPr>
        <w:t>年的发展计划，为调拨款项而规定的标准包括教育机构为提高和支持移民女孩和妇女的职业教育而采取的措施。</w:t>
      </w:r>
    </w:p>
    <w:p w:rsidR="00000000" w:rsidRDefault="00000000">
      <w:pPr>
        <w:rPr>
          <w:rFonts w:hint="eastAsia"/>
        </w:rPr>
      </w:pPr>
      <w:r>
        <w:rPr>
          <w:rFonts w:hint="eastAsia"/>
        </w:rPr>
        <w:tab/>
        <w:t xml:space="preserve">580.  </w:t>
      </w:r>
      <w:r>
        <w:rPr>
          <w:rFonts w:hint="eastAsia"/>
        </w:rPr>
        <w:t>为移民提供了培训，使他们能够接受基本职业教育，其目的是要在语言、文化以及其他方面为他们接受职业教育作好准备。从</w:t>
      </w:r>
      <w:r>
        <w:rPr>
          <w:rFonts w:hint="eastAsia"/>
        </w:rPr>
        <w:t>1999</w:t>
      </w:r>
      <w:r>
        <w:rPr>
          <w:rFonts w:hint="eastAsia"/>
        </w:rPr>
        <w:t>年开始已经提供这种培训。参加这种预备性培训的还有成年人，特别是在一些大学为成年人的进修作出安排时。参加预备性培训的男子和妇女人数几乎相等。</w:t>
      </w:r>
    </w:p>
    <w:p w:rsidR="00000000" w:rsidRDefault="00000000">
      <w:pPr>
        <w:rPr>
          <w:rFonts w:hint="eastAsia"/>
        </w:rPr>
      </w:pPr>
      <w:r>
        <w:rPr>
          <w:rFonts w:hint="eastAsia"/>
        </w:rPr>
        <w:tab/>
        <w:t xml:space="preserve">581.  </w:t>
      </w:r>
      <w:r>
        <w:rPr>
          <w:rFonts w:hint="eastAsia"/>
        </w:rPr>
        <w:t>罗姆人的学生接受了中等教育，但是同人口中的大多数相比，他们的学生人数仍然是较少的。在向七年级至九年级小学生所提供的教育指导和福利服务方面，应该向那些希望继续其学业的罗姆学生提供特别支助和指导。罗姆人学生通常在中学阶段退学，因此在这个时期继续向他们提供上述服务是十分重要的。国家教育委员会所开展的一项调查，除其他外，提供了有关接受中等教育以及影响这种情况的因素的以下数据</w:t>
      </w:r>
      <w:r>
        <w:rPr>
          <w:rFonts w:hint="eastAsia"/>
        </w:rPr>
        <w:t>(</w:t>
      </w:r>
      <w:r>
        <w:rPr>
          <w:rFonts w:hint="eastAsia"/>
        </w:rPr>
        <w:t>在调查过程中所询问的人数较少，但是仍然能说明大致的趋势</w:t>
      </w:r>
      <w:r>
        <w:rPr>
          <w:rFonts w:hint="eastAsia"/>
        </w:rPr>
        <w:t>)</w:t>
      </w:r>
      <w:r>
        <w:rPr>
          <w:rFonts w:hint="eastAsia"/>
        </w:rPr>
        <w:t>：</w:t>
      </w:r>
    </w:p>
    <w:p w:rsidR="00000000" w:rsidRDefault="00000000">
      <w:pPr>
        <w:spacing w:after="320"/>
        <w:rPr>
          <w:rFonts w:hint="eastAsia"/>
        </w:rPr>
      </w:pPr>
      <w:r>
        <w:rPr>
          <w:rFonts w:hint="eastAsia"/>
        </w:rPr>
        <w:tab/>
        <w:t xml:space="preserve">582.  </w:t>
      </w:r>
      <w:r>
        <w:rPr>
          <w:rFonts w:hint="eastAsia"/>
        </w:rPr>
        <w:t>大多数申请升入中学的罗姆青年人是男孩</w:t>
      </w:r>
      <w:r>
        <w:rPr>
          <w:rFonts w:hint="eastAsia"/>
        </w:rPr>
        <w:t>(59%)</w:t>
      </w:r>
      <w:r>
        <w:rPr>
          <w:rFonts w:hint="eastAsia"/>
        </w:rPr>
        <w:t>，而在申请升入高中的罗姆学生之中，</w:t>
      </w:r>
      <w:r>
        <w:rPr>
          <w:rFonts w:hint="eastAsia"/>
        </w:rPr>
        <w:t>90%</w:t>
      </w:r>
      <w:r>
        <w:rPr>
          <w:rFonts w:hint="eastAsia"/>
        </w:rPr>
        <w:t>是女生。在所有调查对象之中，</w:t>
      </w:r>
      <w:r>
        <w:rPr>
          <w:rFonts w:hint="eastAsia"/>
        </w:rPr>
        <w:t>54%</w:t>
      </w:r>
      <w:r>
        <w:rPr>
          <w:rFonts w:hint="eastAsia"/>
        </w:rPr>
        <w:t>的人认为，之所以决定不再升学，是出于文化上的原因，而只有</w:t>
      </w:r>
      <w:r>
        <w:rPr>
          <w:rFonts w:hint="eastAsia"/>
        </w:rPr>
        <w:t>7%</w:t>
      </w:r>
      <w:r>
        <w:rPr>
          <w:rFonts w:hint="eastAsia"/>
        </w:rPr>
        <w:t>的罗姆人家庭认为，这种决定可能是出于文化原因。他们认为，使得他们很难继续升学的因素也包括社会原因和经济原因。</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w:t>
      </w:r>
      <w:r>
        <w:rPr>
          <w:rFonts w:ascii="Time New Roman" w:eastAsia="SimHei" w:hAnsi="Time New Roman"/>
          <w:b/>
          <w:u w:val="none"/>
        </w:rPr>
        <w:t>c</w:t>
      </w:r>
      <w:r>
        <w:rPr>
          <w:rFonts w:ascii="Time New Roman" w:eastAsia="SimHei" w:hAnsi="Time New Roman" w:hint="eastAsia"/>
          <w:u w:val="none"/>
        </w:rPr>
        <w:t xml:space="preserve">)  </w:t>
      </w:r>
      <w:r>
        <w:rPr>
          <w:rFonts w:ascii="Time New Roman" w:eastAsia="SimHei" w:hAnsi="Time New Roman" w:hint="eastAsia"/>
          <w:u w:val="none"/>
        </w:rPr>
        <w:t>高等教育</w:t>
      </w:r>
    </w:p>
    <w:p w:rsidR="00000000" w:rsidRDefault="00000000">
      <w:pPr>
        <w:rPr>
          <w:rFonts w:hint="eastAsia"/>
        </w:rPr>
      </w:pPr>
      <w:r>
        <w:rPr>
          <w:rFonts w:hint="eastAsia"/>
        </w:rPr>
        <w:tab/>
        <w:t xml:space="preserve">583.  </w:t>
      </w:r>
      <w:r>
        <w:rPr>
          <w:rFonts w:hint="eastAsia"/>
        </w:rPr>
        <w:t>《大学法》</w:t>
      </w:r>
      <w:r>
        <w:rPr>
          <w:rFonts w:hint="eastAsia"/>
        </w:rPr>
        <w:t>(645/1997)</w:t>
      </w:r>
      <w:r>
        <w:rPr>
          <w:rFonts w:hint="eastAsia"/>
        </w:rPr>
        <w:t>的适用范围包括这项法律中所提到的</w:t>
      </w:r>
      <w:r>
        <w:rPr>
          <w:rFonts w:hint="eastAsia"/>
        </w:rPr>
        <w:t>20</w:t>
      </w:r>
      <w:r>
        <w:rPr>
          <w:rFonts w:hint="eastAsia"/>
        </w:rPr>
        <w:t>所大学。根据这项法律第</w:t>
      </w:r>
      <w:r>
        <w:rPr>
          <w:rFonts w:hint="eastAsia"/>
        </w:rPr>
        <w:t>8</w:t>
      </w:r>
      <w:r>
        <w:rPr>
          <w:rFonts w:hint="eastAsia"/>
        </w:rPr>
        <w:t>节第</w:t>
      </w:r>
      <w:r>
        <w:rPr>
          <w:rFonts w:hint="eastAsia"/>
        </w:rPr>
        <w:t>1</w:t>
      </w:r>
      <w:r>
        <w:rPr>
          <w:rFonts w:hint="eastAsia"/>
        </w:rPr>
        <w:t>分节的规定，学生在这些教育机构中攻读学位是免费的。在提交上次定期报告时仍然生效的《理工学校法》</w:t>
      </w:r>
      <w:r>
        <w:rPr>
          <w:rFonts w:hint="eastAsia"/>
        </w:rPr>
        <w:t>(255/1995)</w:t>
      </w:r>
      <w:r>
        <w:rPr>
          <w:rFonts w:hint="eastAsia"/>
        </w:rPr>
        <w:t>已被一项新的法律</w:t>
      </w:r>
      <w:r>
        <w:rPr>
          <w:rFonts w:hint="eastAsia"/>
        </w:rPr>
        <w:t>(351/2003)</w:t>
      </w:r>
      <w:r>
        <w:rPr>
          <w:rFonts w:hint="eastAsia"/>
        </w:rPr>
        <w:t>所取代，其适用范围包括</w:t>
      </w:r>
      <w:r>
        <w:rPr>
          <w:rFonts w:hint="eastAsia"/>
        </w:rPr>
        <w:t>29</w:t>
      </w:r>
      <w:r>
        <w:rPr>
          <w:rFonts w:hint="eastAsia"/>
        </w:rPr>
        <w:t>所理工学校。根据这项法律，学生攻读学位也是免费的。</w:t>
      </w:r>
    </w:p>
    <w:p w:rsidR="00000000" w:rsidRDefault="00000000">
      <w:pPr>
        <w:rPr>
          <w:rFonts w:hint="eastAsia"/>
        </w:rPr>
      </w:pPr>
      <w:r>
        <w:rPr>
          <w:rFonts w:hint="eastAsia"/>
        </w:rPr>
        <w:tab/>
        <w:t xml:space="preserve">584.  </w:t>
      </w:r>
      <w:r>
        <w:rPr>
          <w:rFonts w:hint="eastAsia"/>
        </w:rPr>
        <w:t>不幸的是，只有极少量的罗姆人接受高等教育。是有一些罗姆人大学生，但是没有因为其背景而区别对待。</w:t>
      </w:r>
    </w:p>
    <w:p w:rsidR="00000000" w:rsidRDefault="00000000">
      <w:pPr>
        <w:spacing w:after="320"/>
        <w:rPr>
          <w:rFonts w:hint="eastAsia"/>
        </w:rPr>
      </w:pPr>
      <w:r>
        <w:rPr>
          <w:rFonts w:hint="eastAsia"/>
        </w:rPr>
        <w:tab/>
        <w:t xml:space="preserve">585.  </w:t>
      </w:r>
      <w:r>
        <w:rPr>
          <w:rFonts w:hint="eastAsia"/>
        </w:rPr>
        <w:t>一些对接受高等教育有兴趣的罗姆人可能会怀疑他们是否有经济能力完成学业。他们还可能怀疑自己在毕业以后是否能找到工作。然而，高等教育是免费的，在学习阶段学生有权根据其经济状况而获得国家补助。除此以外，罗姆人还希望能够向他们发放一种奖学金类型的资助以攻读高级学位。</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w:t>
      </w:r>
      <w:r>
        <w:rPr>
          <w:rFonts w:ascii="Time New Roman" w:eastAsia="SimHei" w:hAnsi="Time New Roman"/>
          <w:b/>
          <w:u w:val="none"/>
        </w:rPr>
        <w:t>d</w:t>
      </w:r>
      <w:r>
        <w:rPr>
          <w:rFonts w:ascii="Time New Roman" w:eastAsia="SimHei" w:hAnsi="Time New Roman" w:hint="eastAsia"/>
          <w:u w:val="none"/>
        </w:rPr>
        <w:t xml:space="preserve">)  </w:t>
      </w:r>
      <w:r>
        <w:rPr>
          <w:rFonts w:ascii="Time New Roman" w:eastAsia="SimHei" w:hAnsi="Time New Roman" w:hint="eastAsia"/>
          <w:u w:val="none"/>
        </w:rPr>
        <w:t>为推动完成初级教育而建立基本教育制度的努力</w:t>
      </w:r>
    </w:p>
    <w:p w:rsidR="00000000" w:rsidRDefault="00000000">
      <w:pPr>
        <w:spacing w:after="320"/>
      </w:pPr>
      <w:r>
        <w:rPr>
          <w:rFonts w:hint="eastAsia"/>
        </w:rPr>
        <w:tab/>
        <w:t xml:space="preserve">586.  </w:t>
      </w:r>
      <w:r>
        <w:rPr>
          <w:rFonts w:hint="eastAsia"/>
        </w:rPr>
        <w:t>各个政府部门共同为青年人组织了实习活动，从而提高了一些年青人的自信，这些人因为某种原因而难以找到适当的进修机会和争取前途。特别是在树立人生目标和寻找本身优点方面提供了资助。那些没有完成初级教育、准备留学或者需要提高成绩才能拿到学校毕业文凭的年青人都参加了实习活动。资助是根据每个参加活动的青年人的个别需求和生活状况而提供的。</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 xml:space="preserve">.  </w:t>
      </w:r>
      <w:r>
        <w:rPr>
          <w:rFonts w:ascii="Time New Roman" w:eastAsia="SimHei" w:hAnsi="Time New Roman" w:hint="eastAsia"/>
          <w:u w:val="none"/>
        </w:rPr>
        <w:t>用于教育的预算</w:t>
      </w:r>
    </w:p>
    <w:p w:rsidR="00000000" w:rsidRDefault="00000000">
      <w:pPr>
        <w:spacing w:after="320"/>
        <w:rPr>
          <w:rFonts w:hint="eastAsia"/>
        </w:rPr>
      </w:pPr>
      <w:r>
        <w:rPr>
          <w:rFonts w:hint="eastAsia"/>
        </w:rPr>
        <w:tab/>
        <w:t xml:space="preserve">587.  </w:t>
      </w:r>
      <w:r>
        <w:rPr>
          <w:rFonts w:hint="eastAsia"/>
        </w:rPr>
        <w:t>在</w:t>
      </w:r>
      <w:r>
        <w:rPr>
          <w:rFonts w:hint="eastAsia"/>
        </w:rPr>
        <w:t>1999</w:t>
      </w:r>
      <w:r>
        <w:rPr>
          <w:rFonts w:hint="eastAsia"/>
        </w:rPr>
        <w:t>年至</w:t>
      </w:r>
      <w:r>
        <w:rPr>
          <w:rFonts w:hint="eastAsia"/>
        </w:rPr>
        <w:t>2004</w:t>
      </w:r>
      <w:r>
        <w:rPr>
          <w:rFonts w:hint="eastAsia"/>
        </w:rPr>
        <w:t>年期间，教育部在国家预算中所占的份额</w:t>
      </w:r>
      <w:r>
        <w:rPr>
          <w:rFonts w:hint="eastAsia"/>
        </w:rPr>
        <w:t>(</w:t>
      </w:r>
      <w:r>
        <w:rPr>
          <w:rFonts w:hint="eastAsia"/>
        </w:rPr>
        <w:t>还包括文化、运动、青年工作和科学</w:t>
      </w:r>
      <w:r>
        <w:rPr>
          <w:rFonts w:hint="eastAsia"/>
        </w:rPr>
        <w:t>)</w:t>
      </w:r>
      <w:r>
        <w:rPr>
          <w:rFonts w:hint="eastAsia"/>
        </w:rPr>
        <w:t>在</w:t>
      </w:r>
      <w:r>
        <w:rPr>
          <w:rFonts w:hint="eastAsia"/>
        </w:rPr>
        <w:t>500</w:t>
      </w:r>
      <w:r>
        <w:rPr>
          <w:rFonts w:hint="eastAsia"/>
        </w:rPr>
        <w:t>万至</w:t>
      </w:r>
      <w:r>
        <w:rPr>
          <w:rFonts w:hint="eastAsia"/>
        </w:rPr>
        <w:t>600</w:t>
      </w:r>
      <w:r>
        <w:rPr>
          <w:rFonts w:hint="eastAsia"/>
        </w:rPr>
        <w:t>万欧元之间。在</w:t>
      </w:r>
      <w:r>
        <w:rPr>
          <w:rFonts w:hint="eastAsia"/>
        </w:rPr>
        <w:t>2005</w:t>
      </w:r>
      <w:r>
        <w:rPr>
          <w:rFonts w:hint="eastAsia"/>
        </w:rPr>
        <w:t>年，占国家预算的份额为</w:t>
      </w:r>
      <w:r>
        <w:rPr>
          <w:rFonts w:hint="eastAsia"/>
        </w:rPr>
        <w:t>16%</w:t>
      </w:r>
      <w:r>
        <w:rPr>
          <w:rFonts w:hint="eastAsia"/>
        </w:rPr>
        <w:t>。</w:t>
      </w:r>
    </w:p>
    <w:p w:rsidR="00000000" w:rsidRDefault="00000000">
      <w:pPr>
        <w:pStyle w:val="Heading4"/>
        <w:jc w:val="center"/>
        <w:rPr>
          <w:rFonts w:ascii="Time New Roman" w:eastAsia="SimHei" w:hAnsi="Time New Roman" w:hint="eastAsia"/>
          <w:u w:val="none"/>
        </w:rPr>
      </w:pP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b/>
          <w:u w:val="none"/>
        </w:rPr>
        <w:t>a</w:t>
      </w:r>
      <w:r>
        <w:rPr>
          <w:rFonts w:ascii="Time New Roman" w:eastAsia="SimHei" w:hAnsi="Time New Roman" w:hint="eastAsia"/>
          <w:u w:val="none"/>
        </w:rPr>
        <w:t xml:space="preserve">)  </w:t>
      </w:r>
      <w:r>
        <w:rPr>
          <w:rFonts w:ascii="Time New Roman" w:eastAsia="SimHei" w:hAnsi="Time New Roman" w:hint="eastAsia"/>
          <w:u w:val="none"/>
        </w:rPr>
        <w:t>在各级教育机构中男生和女生的比例</w:t>
      </w:r>
    </w:p>
    <w:p w:rsidR="00000000" w:rsidRDefault="00000000">
      <w:pPr>
        <w:spacing w:after="320"/>
        <w:rPr>
          <w:rFonts w:hint="eastAsia"/>
        </w:rPr>
      </w:pPr>
      <w:r>
        <w:rPr>
          <w:rFonts w:hint="eastAsia"/>
        </w:rPr>
        <w:tab/>
        <w:t xml:space="preserve">588.  </w:t>
      </w:r>
      <w:r>
        <w:rPr>
          <w:rFonts w:hint="eastAsia"/>
        </w:rPr>
        <w:t>在</w:t>
      </w:r>
      <w:r>
        <w:rPr>
          <w:rFonts w:hint="eastAsia"/>
        </w:rPr>
        <w:t>2003</w:t>
      </w:r>
      <w:r>
        <w:rPr>
          <w:rFonts w:hint="eastAsia"/>
        </w:rPr>
        <w:t>年，综合学校中的女生占学生总数的</w:t>
      </w:r>
      <w:r>
        <w:rPr>
          <w:rFonts w:hint="eastAsia"/>
        </w:rPr>
        <w:t>48.8%</w:t>
      </w:r>
      <w:r>
        <w:rPr>
          <w:rFonts w:hint="eastAsia"/>
        </w:rPr>
        <w:t>，在高中里的比例为</w:t>
      </w:r>
      <w:r>
        <w:rPr>
          <w:rFonts w:hint="eastAsia"/>
        </w:rPr>
        <w:t>57.3%</w:t>
      </w:r>
      <w:r>
        <w:rPr>
          <w:rFonts w:hint="eastAsia"/>
        </w:rPr>
        <w:t>，在职业学校中的比例为</w:t>
      </w:r>
      <w:r>
        <w:rPr>
          <w:rFonts w:hint="eastAsia"/>
        </w:rPr>
        <w:t>49%</w:t>
      </w:r>
      <w:r>
        <w:rPr>
          <w:rFonts w:hint="eastAsia"/>
        </w:rPr>
        <w:t>。在理工学校的学生之中，女学生的比例为</w:t>
      </w:r>
      <w:r>
        <w:rPr>
          <w:rFonts w:hint="eastAsia"/>
        </w:rPr>
        <w:t>53.3%</w:t>
      </w:r>
      <w:r>
        <w:rPr>
          <w:rFonts w:hint="eastAsia"/>
        </w:rPr>
        <w:t>，在大学中的比例为</w:t>
      </w:r>
      <w:r>
        <w:rPr>
          <w:rFonts w:hint="eastAsia"/>
        </w:rPr>
        <w:t>53.5%(</w:t>
      </w:r>
      <w:r>
        <w:rPr>
          <w:rFonts w:hint="eastAsia"/>
        </w:rPr>
        <w:t>芬兰统计局，</w:t>
      </w:r>
      <w:r>
        <w:rPr>
          <w:rFonts w:hint="eastAsia"/>
        </w:rPr>
        <w:t>2004</w:t>
      </w:r>
      <w:r>
        <w:rPr>
          <w:rFonts w:hint="eastAsia"/>
        </w:rPr>
        <w:t>年</w:t>
      </w:r>
      <w:r>
        <w:rPr>
          <w:rFonts w:hint="eastAsia"/>
        </w:rPr>
        <w:t>)</w:t>
      </w:r>
      <w:r>
        <w:rPr>
          <w:rFonts w:hint="eastAsia"/>
        </w:rPr>
        <w:t>。</w:t>
      </w:r>
    </w:p>
    <w:p w:rsidR="00000000" w:rsidRDefault="00000000">
      <w:pPr>
        <w:pStyle w:val="Heading4"/>
        <w:ind w:left="14" w:hanging="14"/>
        <w:jc w:val="center"/>
        <w:rPr>
          <w:rFonts w:ascii="Time New Roman" w:eastAsia="SimHei" w:hAnsi="Time New Roman" w:hint="eastAsia"/>
          <w:u w:val="none"/>
        </w:rPr>
      </w:pPr>
      <w:r>
        <w:rPr>
          <w:rFonts w:ascii="Time New Roman" w:eastAsia="SimHei" w:hAnsi="Time New Roman"/>
          <w:b/>
          <w:u w:val="none"/>
        </w:rPr>
        <w:t xml:space="preserve"> </w:t>
      </w:r>
      <w:r>
        <w:rPr>
          <w:rFonts w:ascii="Time New Roman" w:eastAsia="SimHei" w:hAnsi="Time New Roman" w:hint="eastAsia"/>
          <w:b/>
          <w:u w:val="none"/>
        </w:rPr>
        <w:t>5</w:t>
      </w:r>
      <w:r>
        <w:rPr>
          <w:rFonts w:ascii="Time New Roman" w:eastAsia="SimHei" w:hAnsi="Time New Roman" w:hint="eastAsia"/>
          <w:u w:val="none"/>
        </w:rPr>
        <w:t>.(</w:t>
      </w:r>
      <w:r>
        <w:rPr>
          <w:rFonts w:ascii="Time New Roman" w:eastAsia="SimHei" w:hAnsi="Time New Roman"/>
          <w:b/>
          <w:u w:val="none"/>
        </w:rPr>
        <w:t>b</w:t>
      </w:r>
      <w:r>
        <w:rPr>
          <w:rFonts w:ascii="Time New Roman" w:eastAsia="SimHei" w:hAnsi="Time New Roman" w:hint="eastAsia"/>
          <w:u w:val="none"/>
        </w:rPr>
        <w:t>)</w:t>
      </w:r>
      <w:r>
        <w:rPr>
          <w:rFonts w:ascii="Time New Roman" w:eastAsia="SimHei" w:hAnsi="Time New Roman" w:hint="eastAsia"/>
          <w:u w:val="none"/>
        </w:rPr>
        <w:t>和</w:t>
      </w:r>
      <w:r>
        <w:rPr>
          <w:rFonts w:ascii="Time New Roman" w:eastAsia="SimHei" w:hAnsi="Time New Roman" w:hint="eastAsia"/>
          <w:u w:val="none"/>
        </w:rPr>
        <w:t>(</w:t>
      </w:r>
      <w:r>
        <w:rPr>
          <w:rFonts w:ascii="Time New Roman" w:eastAsia="SimHei" w:hAnsi="Time New Roman"/>
          <w:b/>
          <w:u w:val="none"/>
        </w:rPr>
        <w:t>c</w:t>
      </w:r>
      <w:r>
        <w:rPr>
          <w:rFonts w:ascii="Time New Roman" w:eastAsia="SimHei" w:hAnsi="Time New Roman" w:hint="eastAsia"/>
          <w:u w:val="none"/>
        </w:rPr>
        <w:t xml:space="preserve">)  </w:t>
      </w:r>
      <w:r>
        <w:rPr>
          <w:rFonts w:ascii="Time New Roman" w:eastAsia="SimHei" w:hAnsi="Time New Roman" w:hint="eastAsia"/>
          <w:u w:val="none"/>
        </w:rPr>
        <w:t>弱势群体实际享受受教育权利的情况；</w:t>
      </w:r>
      <w:r>
        <w:rPr>
          <w:rFonts w:ascii="Time New Roman" w:eastAsia="SimHei" w:hAnsi="Time New Roman"/>
          <w:u w:val="none"/>
        </w:rPr>
        <w:br/>
      </w:r>
      <w:r>
        <w:rPr>
          <w:rFonts w:ascii="Time New Roman" w:eastAsia="SimHei" w:hAnsi="Time New Roman" w:hint="eastAsia"/>
          <w:u w:val="none"/>
        </w:rPr>
        <w:t>为在教育方面实施平等原则而采取的行动</w:t>
      </w:r>
    </w:p>
    <w:p w:rsidR="00000000" w:rsidRDefault="00000000">
      <w:pPr>
        <w:rPr>
          <w:rFonts w:hint="eastAsia"/>
        </w:rPr>
      </w:pPr>
      <w:r>
        <w:rPr>
          <w:rFonts w:hint="eastAsia"/>
        </w:rPr>
        <w:tab/>
        <w:t xml:space="preserve">589.  </w:t>
      </w:r>
      <w:r>
        <w:rPr>
          <w:rFonts w:hint="eastAsia"/>
        </w:rPr>
        <w:t>确保和发展需要特别资助人士的教育一直是过去一些年中职业教育的重点工作。教育部在</w:t>
      </w:r>
      <w:r>
        <w:rPr>
          <w:rFonts w:hint="eastAsia"/>
        </w:rPr>
        <w:t>2002</w:t>
      </w:r>
      <w:r>
        <w:rPr>
          <w:rFonts w:hint="eastAsia"/>
        </w:rPr>
        <w:t>年同许多伙伴合作拟定了一项有关变通职业教育的全国战略；在</w:t>
      </w:r>
      <w:r>
        <w:rPr>
          <w:rFonts w:hint="eastAsia"/>
        </w:rPr>
        <w:t>2004</w:t>
      </w:r>
      <w:r>
        <w:rPr>
          <w:rFonts w:hint="eastAsia"/>
        </w:rPr>
        <w:t>年又制定了一项关于这项战略的行动计划。已经作出努力增加教育和培训的投入，特别在有关严重残疾人士的教育和培训以及康复性教育和咨询。在</w:t>
      </w:r>
      <w:r>
        <w:rPr>
          <w:rFonts w:hint="eastAsia"/>
        </w:rPr>
        <w:t>2003</w:t>
      </w:r>
      <w:r>
        <w:rPr>
          <w:rFonts w:hint="eastAsia"/>
        </w:rPr>
        <w:t>年，共有</w:t>
      </w:r>
      <w:r>
        <w:rPr>
          <w:rFonts w:hint="eastAsia"/>
        </w:rPr>
        <w:t>12,065</w:t>
      </w:r>
      <w:r>
        <w:rPr>
          <w:rFonts w:hint="eastAsia"/>
        </w:rPr>
        <w:t>名学生接受了变通职业教育。据估计，有关学生人数在</w:t>
      </w:r>
      <w:r>
        <w:rPr>
          <w:rFonts w:hint="eastAsia"/>
        </w:rPr>
        <w:t>2005</w:t>
      </w:r>
      <w:r>
        <w:rPr>
          <w:rFonts w:hint="eastAsia"/>
        </w:rPr>
        <w:t>年将增加到</w:t>
      </w:r>
      <w:r>
        <w:rPr>
          <w:rFonts w:hint="eastAsia"/>
        </w:rPr>
        <w:t>14,500</w:t>
      </w:r>
      <w:r>
        <w:rPr>
          <w:rFonts w:hint="eastAsia"/>
        </w:rPr>
        <w:t>。</w:t>
      </w:r>
    </w:p>
    <w:p w:rsidR="00000000" w:rsidRDefault="00000000">
      <w:pPr>
        <w:rPr>
          <w:rFonts w:hint="eastAsia"/>
        </w:rPr>
      </w:pPr>
      <w:r>
        <w:rPr>
          <w:rFonts w:hint="eastAsia"/>
        </w:rPr>
        <w:tab/>
        <w:t xml:space="preserve">590.  </w:t>
      </w:r>
      <w:r>
        <w:rPr>
          <w:rFonts w:hint="eastAsia"/>
        </w:rPr>
        <w:t>残疾人的教育水平要低于社会的平均水平。残疾人接受中等教育、职业教育或者高等教育的人数要低于同龄的平均数。一般来说，教育水平越高，残疾学生就越少。</w:t>
      </w:r>
    </w:p>
    <w:p w:rsidR="00000000" w:rsidRDefault="00000000">
      <w:pPr>
        <w:rPr>
          <w:rFonts w:hint="eastAsia"/>
        </w:rPr>
      </w:pPr>
      <w:r>
        <w:rPr>
          <w:rFonts w:hint="eastAsia"/>
        </w:rPr>
        <w:tab/>
        <w:t xml:space="preserve">591.  </w:t>
      </w:r>
      <w:r>
        <w:rPr>
          <w:rFonts w:hint="eastAsia"/>
        </w:rPr>
        <w:t>根据芬兰政府的残疾政策方案，目标是要让残疾人进入普通教育机构。必须向所有残疾人以及有学习障碍的人提供教育和培训，而无论其残疾的性质或者程度、疾病或者学习障碍。同时还必须向严重残疾人士提供教育机会。</w:t>
      </w:r>
    </w:p>
    <w:p w:rsidR="00000000" w:rsidRDefault="00000000">
      <w:pPr>
        <w:rPr>
          <w:rFonts w:hint="eastAsia"/>
        </w:rPr>
      </w:pPr>
      <w:r>
        <w:tab/>
        <w:t xml:space="preserve">592.  </w:t>
      </w:r>
      <w:r>
        <w:rPr>
          <w:rFonts w:hint="eastAsia"/>
        </w:rPr>
        <w:t>芬兰对所有儿童实行义务制基本教育，而无论其性别或者是否有残疾。受教育权利是所有儿童的一项基本权利。根据《宪法》第</w:t>
      </w:r>
      <w:r>
        <w:rPr>
          <w:rFonts w:hint="eastAsia"/>
        </w:rPr>
        <w:t>16</w:t>
      </w:r>
      <w:r>
        <w:rPr>
          <w:rFonts w:hint="eastAsia"/>
        </w:rPr>
        <w:t>节第</w:t>
      </w:r>
      <w:r>
        <w:rPr>
          <w:rFonts w:hint="eastAsia"/>
        </w:rPr>
        <w:t>2</w:t>
      </w:r>
      <w:r>
        <w:rPr>
          <w:rFonts w:hint="eastAsia"/>
        </w:rPr>
        <w:t>分节的规定，政府部门应当按照一项法律的详细规定，保证所有人都有同等机会获得针对其能力和特别需要而提供的其他教育服务，同时还有机会在不受经济困难影响的情况下充分自我发展。这项规定涉及所有教育形式，其中包括：学前教育、高等教育以及为成年人提供的进修教育。从个人角度来看，这就意味着承认终身教育的原则。</w:t>
      </w:r>
    </w:p>
    <w:p w:rsidR="00000000" w:rsidRDefault="00000000">
      <w:pPr>
        <w:rPr>
          <w:rFonts w:hint="eastAsia"/>
        </w:rPr>
      </w:pPr>
      <w:r>
        <w:rPr>
          <w:rFonts w:hint="eastAsia"/>
        </w:rPr>
        <w:tab/>
        <w:t xml:space="preserve">593.  </w:t>
      </w:r>
      <w:r>
        <w:rPr>
          <w:rFonts w:hint="eastAsia"/>
        </w:rPr>
        <w:t>芬兰政府机构已经采取措施，以便确保向所有残疾人、慢性病患者以及有学习障碍的儿童、青年和成年人提供同等机会，让他们能够在正常的环境中接受初级、中等和高等教育以及进修教育。</w:t>
      </w:r>
    </w:p>
    <w:p w:rsidR="00000000" w:rsidRDefault="00000000">
      <w:pPr>
        <w:rPr>
          <w:rFonts w:hint="eastAsia"/>
        </w:rPr>
      </w:pPr>
      <w:r>
        <w:rPr>
          <w:rFonts w:hint="eastAsia"/>
        </w:rPr>
        <w:tab/>
        <w:t xml:space="preserve">594.  </w:t>
      </w:r>
      <w:r>
        <w:rPr>
          <w:rFonts w:hint="eastAsia"/>
        </w:rPr>
        <w:t>芬兰已经确保使得残疾人教育成为国家教育规划、发展教育内容以及普通教育体制中的一个固有组成部分。为了使得残疾人教育成为变通教育体制的一部分，教育部门已经：</w:t>
      </w:r>
    </w:p>
    <w:p w:rsidR="00000000" w:rsidRDefault="00000000">
      <w:pPr>
        <w:pStyle w:val="a"/>
        <w:numPr>
          <w:ilvl w:val="0"/>
          <w:numId w:val="125"/>
        </w:numPr>
        <w:tabs>
          <w:tab w:val="num" w:pos="1527"/>
        </w:tabs>
        <w:ind w:left="1527"/>
        <w:rPr>
          <w:rFonts w:hint="eastAsia"/>
        </w:rPr>
      </w:pPr>
      <w:r>
        <w:rPr>
          <w:rFonts w:hint="eastAsia"/>
        </w:rPr>
        <w:t>确定了学校和整个社会都能理解和接受的教育方针；</w:t>
      </w:r>
    </w:p>
    <w:p w:rsidR="00000000" w:rsidRDefault="00000000">
      <w:pPr>
        <w:pStyle w:val="a"/>
        <w:numPr>
          <w:ilvl w:val="0"/>
          <w:numId w:val="125"/>
        </w:numPr>
        <w:tabs>
          <w:tab w:val="num" w:pos="1527"/>
        </w:tabs>
        <w:ind w:left="1527"/>
        <w:rPr>
          <w:rFonts w:hint="eastAsia"/>
        </w:rPr>
      </w:pPr>
      <w:r>
        <w:rPr>
          <w:rFonts w:hint="eastAsia"/>
        </w:rPr>
        <w:t>通过提高灵活性，引进其他因素以及修改学习方案让学生根据个人需要开展学习；</w:t>
      </w:r>
    </w:p>
    <w:p w:rsidR="00000000" w:rsidRDefault="00000000">
      <w:pPr>
        <w:pStyle w:val="a"/>
        <w:numPr>
          <w:ilvl w:val="0"/>
          <w:numId w:val="125"/>
        </w:numPr>
        <w:tabs>
          <w:tab w:val="num" w:pos="1527"/>
        </w:tabs>
        <w:ind w:left="1527"/>
        <w:rPr>
          <w:rFonts w:hint="eastAsia"/>
        </w:rPr>
      </w:pPr>
      <w:r>
        <w:rPr>
          <w:rFonts w:hint="eastAsia"/>
        </w:rPr>
        <w:t>向教师提供高质量的进修教育和资助；</w:t>
      </w:r>
    </w:p>
    <w:p w:rsidR="00000000" w:rsidRDefault="00000000">
      <w:pPr>
        <w:pStyle w:val="a"/>
        <w:numPr>
          <w:ilvl w:val="0"/>
          <w:numId w:val="125"/>
        </w:numPr>
        <w:tabs>
          <w:tab w:val="num" w:pos="1527"/>
        </w:tabs>
        <w:ind w:left="1527"/>
        <w:rPr>
          <w:rFonts w:hint="eastAsia"/>
        </w:rPr>
      </w:pPr>
      <w:r>
        <w:rPr>
          <w:rFonts w:hint="eastAsia"/>
        </w:rPr>
        <w:t>提请注意学校同家庭进行合作的重要性；</w:t>
      </w:r>
    </w:p>
    <w:p w:rsidR="00000000" w:rsidRDefault="00000000">
      <w:pPr>
        <w:pStyle w:val="a"/>
        <w:numPr>
          <w:ilvl w:val="0"/>
          <w:numId w:val="125"/>
        </w:numPr>
        <w:tabs>
          <w:tab w:val="num" w:pos="1527"/>
        </w:tabs>
        <w:ind w:left="1527"/>
        <w:rPr>
          <w:rFonts w:hint="eastAsia"/>
        </w:rPr>
      </w:pPr>
      <w:r>
        <w:rPr>
          <w:rFonts w:hint="eastAsia"/>
        </w:rPr>
        <w:t>评估法律的执行情况以及是否必须修订法律以满足教育需要；</w:t>
      </w:r>
    </w:p>
    <w:p w:rsidR="00000000" w:rsidRDefault="00000000">
      <w:pPr>
        <w:pStyle w:val="a"/>
        <w:numPr>
          <w:ilvl w:val="0"/>
          <w:numId w:val="125"/>
        </w:numPr>
        <w:tabs>
          <w:tab w:val="num" w:pos="1527"/>
        </w:tabs>
        <w:ind w:left="1527"/>
        <w:rPr>
          <w:rFonts w:hint="eastAsia"/>
        </w:rPr>
      </w:pPr>
      <w:r>
        <w:rPr>
          <w:rFonts w:hint="eastAsia"/>
        </w:rPr>
        <w:t>注意提供充足的研究资源；以及</w:t>
      </w:r>
    </w:p>
    <w:p w:rsidR="00000000" w:rsidRDefault="00000000">
      <w:pPr>
        <w:pStyle w:val="a"/>
        <w:numPr>
          <w:ilvl w:val="0"/>
          <w:numId w:val="125"/>
        </w:numPr>
        <w:tabs>
          <w:tab w:val="num" w:pos="1527"/>
        </w:tabs>
        <w:ind w:left="1527"/>
        <w:rPr>
          <w:rFonts w:hint="eastAsia"/>
        </w:rPr>
      </w:pPr>
      <w:r>
        <w:rPr>
          <w:rFonts w:hint="eastAsia"/>
        </w:rPr>
        <w:t>加强同各个政府部门、例如福利和医疗服务部门、劳工部门、残疾人组织以及其他合作伙伴和有关各方的合作。</w:t>
      </w:r>
    </w:p>
    <w:p w:rsidR="00000000" w:rsidRDefault="00000000">
      <w:pPr>
        <w:rPr>
          <w:rFonts w:hint="eastAsia"/>
        </w:rPr>
      </w:pPr>
      <w:r>
        <w:rPr>
          <w:rFonts w:hint="eastAsia"/>
        </w:rPr>
        <w:tab/>
        <w:t xml:space="preserve">595.  </w:t>
      </w:r>
      <w:r>
        <w:rPr>
          <w:rFonts w:hint="eastAsia"/>
        </w:rPr>
        <w:t>即使已经对有特殊需要的学生的教育和培训作出了规划和安排，其目的仍然应当是为他们作好准备，让他们进入有充足资助措施的普通教育机构。</w:t>
      </w:r>
    </w:p>
    <w:p w:rsidR="00000000" w:rsidRDefault="00000000">
      <w:pPr>
        <w:rPr>
          <w:rFonts w:hint="eastAsia"/>
        </w:rPr>
      </w:pPr>
      <w:r>
        <w:rPr>
          <w:rFonts w:hint="eastAsia"/>
        </w:rPr>
        <w:tab/>
        <w:t xml:space="preserve">596.  </w:t>
      </w:r>
      <w:r>
        <w:rPr>
          <w:rFonts w:hint="eastAsia"/>
        </w:rPr>
        <w:t>所有需要特别资助的学生都必须要有主要是在正常的环境中接受基本教育和职业培训的同等机会，同其他学生一样接受普通教育体制的培养。</w:t>
      </w:r>
    </w:p>
    <w:p w:rsidR="00000000" w:rsidRDefault="00000000">
      <w:pPr>
        <w:rPr>
          <w:rFonts w:hint="eastAsia"/>
        </w:rPr>
      </w:pPr>
      <w:r>
        <w:rPr>
          <w:rFonts w:hint="eastAsia"/>
        </w:rPr>
        <w:tab/>
        <w:t xml:space="preserve">597.  </w:t>
      </w:r>
      <w:r>
        <w:rPr>
          <w:rFonts w:hint="eastAsia"/>
        </w:rPr>
        <w:t>残疾人组织已经指出，尽管适合残疾人的职业越来越多，但是他们仍然会最终从事已经部分过时的传统职业。</w:t>
      </w:r>
    </w:p>
    <w:p w:rsidR="00000000" w:rsidRDefault="00000000">
      <w:pPr>
        <w:spacing w:after="240"/>
        <w:rPr>
          <w:rFonts w:hint="eastAsia"/>
        </w:rPr>
      </w:pPr>
      <w:r>
        <w:rPr>
          <w:rFonts w:hint="eastAsia"/>
        </w:rPr>
        <w:tab/>
        <w:t xml:space="preserve">598.  </w:t>
      </w:r>
      <w:r>
        <w:rPr>
          <w:rFonts w:hint="eastAsia"/>
        </w:rPr>
        <w:t>资助全日制学生的主要形式是《学生补助法》</w:t>
      </w:r>
      <w:r>
        <w:rPr>
          <w:rFonts w:hint="eastAsia"/>
        </w:rPr>
        <w:t>(65/1994)</w:t>
      </w:r>
      <w:r>
        <w:rPr>
          <w:rFonts w:hint="eastAsia"/>
        </w:rPr>
        <w:t>中所提到的国家补助。为了提高学生的社会地位和加强国家补助的作用，于</w:t>
      </w:r>
      <w:r>
        <w:rPr>
          <w:rFonts w:hint="eastAsia"/>
        </w:rPr>
        <w:t>2005</w:t>
      </w:r>
      <w:r>
        <w:rPr>
          <w:rFonts w:hint="eastAsia"/>
        </w:rPr>
        <w:t>年</w:t>
      </w:r>
      <w:r>
        <w:rPr>
          <w:rFonts w:hint="eastAsia"/>
        </w:rPr>
        <w:t>2</w:t>
      </w:r>
      <w:r>
        <w:rPr>
          <w:rFonts w:hint="eastAsia"/>
        </w:rPr>
        <w:t>月</w:t>
      </w:r>
      <w:r>
        <w:rPr>
          <w:rFonts w:hint="eastAsia"/>
        </w:rPr>
        <w:t>18</w:t>
      </w:r>
      <w:r>
        <w:rPr>
          <w:rFonts w:hint="eastAsia"/>
        </w:rPr>
        <w:t>日向议会提出了一项旨在修订《学生补助法》和有关税法规定的政府法案</w:t>
      </w:r>
      <w:r>
        <w:rPr>
          <w:rFonts w:hint="eastAsia"/>
        </w:rPr>
        <w:t>(HE 11/2005)</w:t>
      </w:r>
      <w:r>
        <w:rPr>
          <w:rFonts w:hint="eastAsia"/>
        </w:rPr>
        <w:t>。议会在</w:t>
      </w:r>
      <w:r>
        <w:rPr>
          <w:rFonts w:hint="eastAsia"/>
        </w:rPr>
        <w:t>2005</w:t>
      </w:r>
      <w:r>
        <w:rPr>
          <w:rFonts w:hint="eastAsia"/>
        </w:rPr>
        <w:t>年</w:t>
      </w:r>
      <w:r>
        <w:rPr>
          <w:rFonts w:hint="eastAsia"/>
        </w:rPr>
        <w:t>6</w:t>
      </w:r>
      <w:r>
        <w:rPr>
          <w:rFonts w:hint="eastAsia"/>
        </w:rPr>
        <w:t>月</w:t>
      </w:r>
      <w:r>
        <w:rPr>
          <w:rFonts w:hint="eastAsia"/>
        </w:rPr>
        <w:t>10</w:t>
      </w:r>
      <w:r>
        <w:rPr>
          <w:rFonts w:hint="eastAsia"/>
        </w:rPr>
        <w:t>日通过了这项法案，有关法律在</w:t>
      </w:r>
      <w:r>
        <w:rPr>
          <w:rFonts w:hint="eastAsia"/>
        </w:rPr>
        <w:t>2005</w:t>
      </w:r>
      <w:r>
        <w:rPr>
          <w:rFonts w:hint="eastAsia"/>
        </w:rPr>
        <w:t>年</w:t>
      </w:r>
      <w:r>
        <w:rPr>
          <w:rFonts w:hint="eastAsia"/>
        </w:rPr>
        <w:t>8</w:t>
      </w:r>
      <w:r>
        <w:rPr>
          <w:rFonts w:hint="eastAsia"/>
        </w:rPr>
        <w:t>月</w:t>
      </w:r>
      <w:r>
        <w:rPr>
          <w:rFonts w:hint="eastAsia"/>
        </w:rPr>
        <w:t>1</w:t>
      </w:r>
      <w:r>
        <w:rPr>
          <w:rFonts w:hint="eastAsia"/>
        </w:rPr>
        <w:t>日正式生效。根据新的法律规定，学生贷款国家担保的最高金额已经提高；在规定时间内取得大学学位的学生有权根据其学生贷款扣税。同时，也提高了在发放住房补助时必须考虑的每月住房开支的金额。</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5</w:t>
      </w:r>
      <w:r>
        <w:rPr>
          <w:rFonts w:ascii="Time New Roman" w:eastAsia="SimHei" w:hAnsi="Time New Roman" w:hint="eastAsia"/>
          <w:bCs/>
          <w:u w:val="none"/>
        </w:rPr>
        <w:t>.</w:t>
      </w:r>
      <w:r>
        <w:rPr>
          <w:rFonts w:ascii="Time New Roman" w:eastAsia="SimHei" w:hAnsi="Time New Roman"/>
          <w:bCs/>
          <w:u w:val="none"/>
        </w:rPr>
        <w:t>(</w:t>
      </w:r>
      <w:r>
        <w:rPr>
          <w:rFonts w:ascii="Time New Roman" w:eastAsia="SimHei" w:hAnsi="Time New Roman"/>
          <w:b/>
          <w:bCs/>
          <w:u w:val="none"/>
        </w:rPr>
        <w:t>d</w:t>
      </w:r>
      <w:r>
        <w:rPr>
          <w:rFonts w:ascii="Time New Roman" w:eastAsia="SimHei" w:hAnsi="Time New Roman"/>
          <w:bCs/>
          <w:u w:val="none"/>
        </w:rPr>
        <w:t>)</w:t>
      </w:r>
      <w:r>
        <w:rPr>
          <w:rFonts w:ascii="Time New Roman" w:eastAsia="SimHei" w:hAnsi="Time New Roman" w:hint="eastAsia"/>
          <w:bCs/>
          <w:u w:val="none"/>
        </w:rPr>
        <w:t xml:space="preserve">  </w:t>
      </w:r>
      <w:r>
        <w:rPr>
          <w:rFonts w:ascii="Time New Roman" w:eastAsia="SimHei" w:hAnsi="Time New Roman" w:hint="eastAsia"/>
          <w:u w:val="none"/>
        </w:rPr>
        <w:t>语言设施</w:t>
      </w:r>
    </w:p>
    <w:p w:rsidR="00000000" w:rsidRDefault="00000000">
      <w:pPr>
        <w:rPr>
          <w:rFonts w:hint="eastAsia"/>
        </w:rPr>
      </w:pPr>
      <w:r>
        <w:rPr>
          <w:rFonts w:hint="eastAsia"/>
        </w:rPr>
        <w:tab/>
        <w:t xml:space="preserve">599.  </w:t>
      </w:r>
      <w:r>
        <w:rPr>
          <w:rFonts w:hint="eastAsia"/>
        </w:rPr>
        <w:t>根据《基本教育法》，学校的授课语言为芬兰语或者瑞典语。也可用萨米语、罗姆语或者手语。也可选择罗姆人担任儿童的监护人，可将手语或者学生所说的其他语言作为学生母语来教授。</w:t>
      </w:r>
    </w:p>
    <w:p w:rsidR="00000000" w:rsidRDefault="00000000">
      <w:pPr>
        <w:spacing w:after="240"/>
        <w:rPr>
          <w:rFonts w:hint="eastAsia"/>
        </w:rPr>
      </w:pPr>
      <w:r>
        <w:rPr>
          <w:rFonts w:hint="eastAsia"/>
        </w:rPr>
        <w:tab/>
        <w:t xml:space="preserve">600.  </w:t>
      </w:r>
      <w:r>
        <w:rPr>
          <w:rFonts w:hint="eastAsia"/>
        </w:rPr>
        <w:t>在</w:t>
      </w:r>
      <w:r>
        <w:rPr>
          <w:rFonts w:hint="eastAsia"/>
        </w:rPr>
        <w:t>2000</w:t>
      </w:r>
      <w:r>
        <w:rPr>
          <w:rFonts w:hint="eastAsia"/>
        </w:rPr>
        <w:t>年至</w:t>
      </w:r>
      <w:r>
        <w:rPr>
          <w:rFonts w:hint="eastAsia"/>
        </w:rPr>
        <w:t>2001</w:t>
      </w:r>
      <w:r>
        <w:rPr>
          <w:rFonts w:hint="eastAsia"/>
        </w:rPr>
        <w:t>年的学年中，在芬兰</w:t>
      </w:r>
      <w:r>
        <w:rPr>
          <w:rFonts w:hint="eastAsia"/>
        </w:rPr>
        <w:t>5%</w:t>
      </w:r>
      <w:r>
        <w:rPr>
          <w:rFonts w:hint="eastAsia"/>
        </w:rPr>
        <w:t>的有罗姆人学生的学校中教授罗姆语。总共有</w:t>
      </w:r>
      <w:r>
        <w:rPr>
          <w:rFonts w:hint="eastAsia"/>
        </w:rPr>
        <w:t>8.5%</w:t>
      </w:r>
      <w:r>
        <w:rPr>
          <w:rFonts w:hint="eastAsia"/>
        </w:rPr>
        <w:t>的罗姆人学生有机会在综合性学校中学习本族的文化和语言。由于缺乏教师以及学生人数太少，产生了一些问题。罗姆人家长并不总是明白自己有权要求教授罗姆语，或者他们并不愿意这样做。</w:t>
      </w:r>
    </w:p>
    <w:p w:rsidR="00000000" w:rsidRDefault="00000000">
      <w:pPr>
        <w:pStyle w:val="Heading3"/>
        <w:rPr>
          <w:rFonts w:ascii="Time New Roman" w:eastAsia="SimHei" w:hAnsi="Time New Roman" w:hint="eastAsia"/>
          <w:b/>
          <w:u w:val="none"/>
        </w:rPr>
      </w:pPr>
      <w:r>
        <w:rPr>
          <w:rFonts w:ascii="Time New Roman" w:eastAsia="SimHei" w:hAnsi="Time New Roman" w:hint="eastAsia"/>
          <w:b/>
          <w:bCs/>
          <w:u w:val="none"/>
        </w:rPr>
        <w:t>6</w:t>
      </w:r>
      <w:r>
        <w:rPr>
          <w:rFonts w:ascii="Time New Roman" w:eastAsia="SimHei" w:hAnsi="Time New Roman" w:hint="eastAsia"/>
          <w:bCs/>
          <w:u w:val="none"/>
        </w:rPr>
        <w:t xml:space="preserve">.  </w:t>
      </w:r>
      <w:r>
        <w:rPr>
          <w:rFonts w:ascii="Time New Roman" w:eastAsia="SimHei" w:hAnsi="Time New Roman" w:hint="eastAsia"/>
          <w:u w:val="none"/>
        </w:rPr>
        <w:t>改善教员的条件</w:t>
      </w:r>
    </w:p>
    <w:p w:rsidR="00000000" w:rsidRDefault="00000000">
      <w:pPr>
        <w:spacing w:after="320"/>
        <w:rPr>
          <w:rFonts w:hint="eastAsia"/>
        </w:rPr>
      </w:pPr>
      <w:r>
        <w:rPr>
          <w:rFonts w:hint="eastAsia"/>
        </w:rPr>
        <w:tab/>
        <w:t xml:space="preserve">601.  </w:t>
      </w:r>
      <w:r>
        <w:rPr>
          <w:rFonts w:hint="eastAsia"/>
        </w:rPr>
        <w:t>由于《公约》第</w:t>
      </w:r>
      <w:r>
        <w:rPr>
          <w:rFonts w:hint="eastAsia"/>
        </w:rPr>
        <w:t>13</w:t>
      </w:r>
      <w:r>
        <w:rPr>
          <w:rFonts w:hint="eastAsia"/>
        </w:rPr>
        <w:t>条第</w:t>
      </w:r>
      <w:r>
        <w:rPr>
          <w:rFonts w:hint="eastAsia"/>
        </w:rPr>
        <w:t>2</w:t>
      </w:r>
      <w:r>
        <w:rPr>
          <w:rFonts w:hint="eastAsia"/>
        </w:rPr>
        <w:t>款</w:t>
      </w:r>
      <w:r>
        <w:rPr>
          <w:rFonts w:hint="eastAsia"/>
        </w:rPr>
        <w:t>(</w:t>
      </w:r>
      <w:r>
        <w:rPr>
          <w:rFonts w:hint="eastAsia"/>
        </w:rPr>
        <w:t>戊</w:t>
      </w:r>
      <w:r>
        <w:rPr>
          <w:rFonts w:hint="eastAsia"/>
        </w:rPr>
        <w:t>)</w:t>
      </w:r>
      <w:r>
        <w:rPr>
          <w:rFonts w:hint="eastAsia"/>
        </w:rPr>
        <w:t>项规定缔约国有义务不断改善教员的物质条件，因此应当指出，教员的工作条件和工作福利受到其提高专业技能机会的很大影响。教员是否能够通过进修教育保持其专业技能对于发展教学是十分重要的。雇主负有提供进修教育机会的主要责任。向教育机构提供了培训开支的国家补助。此外，每年从国家预算中拨出</w:t>
      </w:r>
      <w:r>
        <w:rPr>
          <w:rFonts w:hint="eastAsia"/>
        </w:rPr>
        <w:t>800</w:t>
      </w:r>
      <w:r>
        <w:rPr>
          <w:rFonts w:hint="eastAsia"/>
        </w:rPr>
        <w:t>万至</w:t>
      </w:r>
      <w:r>
        <w:rPr>
          <w:rFonts w:hint="eastAsia"/>
        </w:rPr>
        <w:t>1,000</w:t>
      </w:r>
      <w:r>
        <w:rPr>
          <w:rFonts w:hint="eastAsia"/>
        </w:rPr>
        <w:t>万欧元用于教师的进修教育。教师免费参加利用这些经费安排的教育和培训。每年有</w:t>
      </w:r>
      <w:r>
        <w:rPr>
          <w:rFonts w:hint="eastAsia"/>
        </w:rPr>
        <w:t>1,200</w:t>
      </w:r>
      <w:r>
        <w:rPr>
          <w:rFonts w:hint="eastAsia"/>
        </w:rPr>
        <w:t>名至</w:t>
      </w:r>
      <w:r>
        <w:rPr>
          <w:rFonts w:hint="eastAsia"/>
        </w:rPr>
        <w:t>1,500</w:t>
      </w:r>
      <w:r>
        <w:rPr>
          <w:rFonts w:hint="eastAsia"/>
        </w:rPr>
        <w:t>名教员参加。这种教育和培训的主要内容是：信息和通信技术、有关学校课程的问题、提供咨询的准备以及有关学校的社会问题。</w:t>
      </w:r>
    </w:p>
    <w:p w:rsidR="00000000" w:rsidRDefault="00000000">
      <w:pPr>
        <w:pStyle w:val="Heading2"/>
        <w:spacing w:after="240"/>
        <w:rPr>
          <w:rFonts w:ascii="Time New Roman" w:eastAsia="SimHei" w:hAnsi="Time New Roman" w:hint="eastAsia"/>
          <w:sz w:val="24"/>
        </w:rPr>
      </w:pPr>
      <w:r>
        <w:rPr>
          <w:rFonts w:ascii="Time New Roman" w:eastAsia="SimHei" w:hAnsi="Time New Roman" w:hint="eastAsia"/>
          <w:sz w:val="24"/>
        </w:rPr>
        <w:t>第</w:t>
      </w:r>
      <w:r>
        <w:rPr>
          <w:rFonts w:ascii="Time New Roman" w:eastAsia="SimHei" w:hAnsi="Time New Roman" w:hint="eastAsia"/>
          <w:sz w:val="24"/>
        </w:rPr>
        <w:t xml:space="preserve"> </w:t>
      </w:r>
      <w:r>
        <w:rPr>
          <w:rFonts w:ascii="Time New Roman" w:eastAsia="SimHei" w:hAnsi="Time New Roman" w:hint="eastAsia"/>
          <w:sz w:val="24"/>
        </w:rPr>
        <w:t>十五</w:t>
      </w:r>
      <w:r>
        <w:rPr>
          <w:rFonts w:ascii="Time New Roman" w:eastAsia="SimHei" w:hAnsi="Time New Roman" w:hint="eastAsia"/>
          <w:sz w:val="24"/>
        </w:rPr>
        <w:t xml:space="preserve"> </w:t>
      </w:r>
      <w:r>
        <w:rPr>
          <w:rFonts w:ascii="Time New Roman" w:eastAsia="SimHei" w:hAnsi="Time New Roman" w:hint="eastAsia"/>
          <w:sz w:val="24"/>
        </w:rPr>
        <w:t>条</w:t>
      </w:r>
    </w:p>
    <w:p w:rsidR="00000000" w:rsidRDefault="00000000">
      <w:pPr>
        <w:pStyle w:val="Heading3"/>
        <w:spacing w:after="240"/>
        <w:rPr>
          <w:rFonts w:ascii="Time New Roman" w:eastAsia="SimHei" w:hAnsi="Time New Roman" w:hint="eastAsia"/>
          <w:b/>
          <w:u w:val="none"/>
        </w:rPr>
      </w:pPr>
      <w:r>
        <w:rPr>
          <w:rFonts w:ascii="Time New Roman" w:eastAsia="SimHei" w:hAnsi="Time New Roman" w:hint="eastAsia"/>
          <w:b/>
          <w:bCs/>
          <w:u w:val="none"/>
        </w:rPr>
        <w:t>1</w:t>
      </w:r>
      <w:r>
        <w:rPr>
          <w:rFonts w:ascii="Time New Roman" w:eastAsia="SimHei" w:hAnsi="Time New Roman" w:hint="eastAsia"/>
          <w:bCs/>
          <w:u w:val="none"/>
        </w:rPr>
        <w:t xml:space="preserve">.  </w:t>
      </w:r>
      <w:r>
        <w:rPr>
          <w:rFonts w:ascii="Time New Roman" w:eastAsia="SimHei" w:hAnsi="Time New Roman" w:hint="eastAsia"/>
          <w:u w:val="none"/>
        </w:rPr>
        <w:t>参加文化生活的权利</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b/>
          <w:u w:val="none"/>
        </w:rPr>
        <w:t>1</w:t>
      </w:r>
      <w:r>
        <w:rPr>
          <w:rFonts w:ascii="Time New Roman" w:eastAsia="SimHei" w:hAnsi="Time New Roman" w:hint="eastAsia"/>
          <w:u w:val="none"/>
        </w:rPr>
        <w:t>.</w:t>
      </w:r>
      <w:r>
        <w:rPr>
          <w:rFonts w:ascii="Time New Roman" w:eastAsia="SimHei" w:hAnsi="Time New Roman"/>
          <w:u w:val="none"/>
        </w:rPr>
        <w:t>(</w:t>
      </w:r>
      <w:r>
        <w:rPr>
          <w:rFonts w:ascii="Time New Roman" w:eastAsia="SimHei" w:hAnsi="Time New Roman"/>
          <w:b/>
          <w:u w:val="none"/>
        </w:rPr>
        <w:t>a)</w:t>
      </w:r>
      <w:r>
        <w:rPr>
          <w:rFonts w:ascii="Time New Roman" w:eastAsia="SimHei" w:hAnsi="Time New Roman" w:hint="eastAsia"/>
          <w:u w:val="none"/>
        </w:rPr>
        <w:t>至</w:t>
      </w:r>
      <w:r>
        <w:rPr>
          <w:rFonts w:ascii="Time New Roman" w:eastAsia="SimHei" w:hAnsi="Time New Roman"/>
          <w:u w:val="none"/>
        </w:rPr>
        <w:t>(</w:t>
      </w:r>
      <w:r>
        <w:rPr>
          <w:rFonts w:ascii="Time New Roman" w:eastAsia="SimHei" w:hAnsi="Time New Roman"/>
          <w:b/>
          <w:u w:val="none"/>
        </w:rPr>
        <w:t>c</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推动文化发展和民众参加文化活动</w:t>
      </w:r>
    </w:p>
    <w:p w:rsidR="00000000" w:rsidRDefault="00000000">
      <w:pPr>
        <w:rPr>
          <w:rFonts w:hint="eastAsia"/>
        </w:rPr>
      </w:pPr>
      <w:r>
        <w:rPr>
          <w:rFonts w:hint="eastAsia"/>
        </w:rPr>
        <w:tab/>
        <w:t xml:space="preserve">602.  </w:t>
      </w:r>
      <w:r>
        <w:rPr>
          <w:rFonts w:hint="eastAsia"/>
        </w:rPr>
        <w:t>在</w:t>
      </w:r>
      <w:r>
        <w:rPr>
          <w:rFonts w:hint="eastAsia"/>
        </w:rPr>
        <w:t>2001</w:t>
      </w:r>
      <w:r>
        <w:rPr>
          <w:rFonts w:hint="eastAsia"/>
        </w:rPr>
        <w:t>年公布了“芬兰图书馆政策方案”</w:t>
      </w:r>
      <w:r>
        <w:rPr>
          <w:rFonts w:hint="eastAsia"/>
        </w:rPr>
        <w:t>(2001</w:t>
      </w:r>
      <w:r>
        <w:rPr>
          <w:rFonts w:hint="eastAsia"/>
        </w:rPr>
        <w:t>年至</w:t>
      </w:r>
      <w:r>
        <w:rPr>
          <w:rFonts w:hint="eastAsia"/>
        </w:rPr>
        <w:t>2004</w:t>
      </w:r>
      <w:r>
        <w:rPr>
          <w:rFonts w:hint="eastAsia"/>
        </w:rPr>
        <w:t>年</w:t>
      </w:r>
      <w:r>
        <w:rPr>
          <w:rFonts w:hint="eastAsia"/>
        </w:rPr>
        <w:t>)</w:t>
      </w:r>
      <w:r>
        <w:rPr>
          <w:rFonts w:hint="eastAsia"/>
        </w:rPr>
        <w:t>；在</w:t>
      </w:r>
      <w:r>
        <w:rPr>
          <w:rFonts w:hint="eastAsia"/>
        </w:rPr>
        <w:t>2003</w:t>
      </w:r>
      <w:r>
        <w:rPr>
          <w:rFonts w:hint="eastAsia"/>
        </w:rPr>
        <w:t>年又公布了“图书馆战略</w:t>
      </w:r>
      <w:r>
        <w:rPr>
          <w:rFonts w:hint="eastAsia"/>
        </w:rPr>
        <w:t>2010</w:t>
      </w:r>
      <w:r>
        <w:rPr>
          <w:rFonts w:hint="eastAsia"/>
        </w:rPr>
        <w:t>”</w:t>
      </w:r>
      <w:r>
        <w:rPr>
          <w:rFonts w:hint="eastAsia"/>
        </w:rPr>
        <w:t>(</w:t>
      </w:r>
      <w:r>
        <w:rPr>
          <w:rFonts w:hint="eastAsia"/>
        </w:rPr>
        <w:t>有关获得知识和文化的政策</w:t>
      </w:r>
      <w:r>
        <w:rPr>
          <w:rFonts w:hint="eastAsia"/>
        </w:rPr>
        <w:t>)</w:t>
      </w:r>
      <w:r>
        <w:rPr>
          <w:rFonts w:hint="eastAsia"/>
        </w:rPr>
        <w:t>。这两项文件使得芬兰的公共图书馆能够更好地履行其职责：确保提供信息和文化知识和支持学习信息社会所需的技能。芬兰拥有广泛的公共图书馆网络，每个城市都能提供高质量的图书馆服务。全国总共有</w:t>
      </w:r>
      <w:r>
        <w:rPr>
          <w:rFonts w:hint="eastAsia"/>
        </w:rPr>
        <w:t>968</w:t>
      </w:r>
      <w:r>
        <w:rPr>
          <w:rFonts w:hint="eastAsia"/>
        </w:rPr>
        <w:t>所公共图书馆和</w:t>
      </w:r>
      <w:r>
        <w:rPr>
          <w:rFonts w:hint="eastAsia"/>
        </w:rPr>
        <w:t>191</w:t>
      </w:r>
      <w:r>
        <w:rPr>
          <w:rFonts w:hint="eastAsia"/>
        </w:rPr>
        <w:t>部流动借书车。为了缩小各个地区在图书馆服务方面的差别，教育部每年提供</w:t>
      </w:r>
      <w:r>
        <w:rPr>
          <w:rFonts w:hint="eastAsia"/>
        </w:rPr>
        <w:t>150</w:t>
      </w:r>
      <w:r>
        <w:rPr>
          <w:rFonts w:hint="eastAsia"/>
        </w:rPr>
        <w:t>万欧元的财政资助，作为提供全国性的互联网服务以及地方和地区项目的无条件补助。</w:t>
      </w:r>
    </w:p>
    <w:p w:rsidR="00000000" w:rsidRDefault="00000000">
      <w:pPr>
        <w:rPr>
          <w:rFonts w:hint="eastAsia"/>
        </w:rPr>
      </w:pPr>
      <w:r>
        <w:rPr>
          <w:rFonts w:hint="eastAsia"/>
        </w:rPr>
        <w:tab/>
        <w:t xml:space="preserve">603.  </w:t>
      </w:r>
      <w:r>
        <w:rPr>
          <w:rFonts w:hint="eastAsia"/>
        </w:rPr>
        <w:t>尽管已经增加互联网服务，但是去图书馆借书和音像制品的人数还是略有增多。在</w:t>
      </w:r>
      <w:r>
        <w:rPr>
          <w:rFonts w:hint="eastAsia"/>
        </w:rPr>
        <w:t>2003</w:t>
      </w:r>
      <w:r>
        <w:rPr>
          <w:rFonts w:hint="eastAsia"/>
        </w:rPr>
        <w:t>年，每个居民平均借书和音像制品为</w:t>
      </w:r>
      <w:r>
        <w:rPr>
          <w:rFonts w:hint="eastAsia"/>
        </w:rPr>
        <w:t>21</w:t>
      </w:r>
      <w:r>
        <w:rPr>
          <w:rFonts w:hint="eastAsia"/>
        </w:rPr>
        <w:t>件，全国共借</w:t>
      </w:r>
      <w:r>
        <w:rPr>
          <w:rFonts w:hint="eastAsia"/>
        </w:rPr>
        <w:t>108,400,000</w:t>
      </w:r>
      <w:r>
        <w:rPr>
          <w:rFonts w:hint="eastAsia"/>
        </w:rPr>
        <w:t>件。大约</w:t>
      </w:r>
      <w:r>
        <w:rPr>
          <w:rFonts w:hint="eastAsia"/>
        </w:rPr>
        <w:t>25%</w:t>
      </w:r>
      <w:r>
        <w:rPr>
          <w:rFonts w:hint="eastAsia"/>
        </w:rPr>
        <w:t>的所借物品是录相带、</w:t>
      </w:r>
      <w:r>
        <w:rPr>
          <w:rFonts w:hint="eastAsia"/>
        </w:rPr>
        <w:t>DVD</w:t>
      </w:r>
      <w:r>
        <w:rPr>
          <w:rFonts w:hint="eastAsia"/>
        </w:rPr>
        <w:t>、光盘以及杂志。平均每个居民去图书馆</w:t>
      </w:r>
      <w:r>
        <w:rPr>
          <w:rFonts w:hint="eastAsia"/>
        </w:rPr>
        <w:t>13</w:t>
      </w:r>
      <w:r>
        <w:rPr>
          <w:rFonts w:hint="eastAsia"/>
        </w:rPr>
        <w:t>次，全国总数为</w:t>
      </w:r>
      <w:r>
        <w:rPr>
          <w:rFonts w:hint="eastAsia"/>
        </w:rPr>
        <w:t>6,600</w:t>
      </w:r>
      <w:r>
        <w:rPr>
          <w:rFonts w:hint="eastAsia"/>
        </w:rPr>
        <w:t>万人次。此外，还有</w:t>
      </w:r>
      <w:r>
        <w:rPr>
          <w:rFonts w:hint="eastAsia"/>
        </w:rPr>
        <w:t>3,500</w:t>
      </w:r>
      <w:r>
        <w:rPr>
          <w:rFonts w:hint="eastAsia"/>
        </w:rPr>
        <w:t>万人次上网登记访问。</w:t>
      </w:r>
    </w:p>
    <w:p w:rsidR="00000000" w:rsidRDefault="00000000">
      <w:pPr>
        <w:rPr>
          <w:rFonts w:hint="eastAsia"/>
        </w:rPr>
      </w:pPr>
      <w:r>
        <w:rPr>
          <w:rFonts w:hint="eastAsia"/>
        </w:rPr>
        <w:tab/>
        <w:t xml:space="preserve">604.  </w:t>
      </w:r>
      <w:r>
        <w:rPr>
          <w:rFonts w:hint="eastAsia"/>
        </w:rPr>
        <w:t>教育部有关信息社会中文化遗产的一项战略致力于将目前保存在博物馆、档案馆以及图书馆中有关文化遗产的资料转变成数码形式，并且通过互联网加以提供。一个国家的文化遗产是研究工作者、教员以及数码材料制作人的重要资源。以数码形式传递信息加强了各个地区之间的平等，并且提供了最新的可靠资料。教育部为将信息转化成数码形式和发展共同研究体制提供了资助，每年的金额约为</w:t>
      </w:r>
      <w:r>
        <w:rPr>
          <w:rFonts w:hint="eastAsia"/>
        </w:rPr>
        <w:t>60</w:t>
      </w:r>
      <w:r>
        <w:rPr>
          <w:rFonts w:hint="eastAsia"/>
        </w:rPr>
        <w:t>万欧元。教育部还在欧洲联盟的框架内参加了有关数码作品制作方面的合作，从而扩大了数字作品的生产。</w:t>
      </w:r>
    </w:p>
    <w:p w:rsidR="00000000" w:rsidRDefault="00000000">
      <w:pPr>
        <w:rPr>
          <w:rFonts w:hint="eastAsia"/>
        </w:rPr>
      </w:pPr>
      <w:r>
        <w:rPr>
          <w:rFonts w:hint="eastAsia"/>
        </w:rPr>
        <w:tab/>
        <w:t xml:space="preserve">605.  </w:t>
      </w:r>
      <w:r>
        <w:rPr>
          <w:rFonts w:hint="eastAsia"/>
        </w:rPr>
        <w:t>政府的文化和艺术政策致力于为各种文化工作者创造有利条件，确保公民能够欣赏到各种高质量的文艺作品，同时加强国内和国际的联网。教育部为文化和艺术的多样性、丰富的文化遗产、文化机构和服务以及创造性作品提供了资助。在这一方面，人们认为建立一种覆盖全国各个地区的广泛的文化和艺术机构的网络是十分重要的。</w:t>
      </w:r>
    </w:p>
    <w:p w:rsidR="00000000" w:rsidRDefault="00000000">
      <w:pPr>
        <w:rPr>
          <w:rFonts w:hint="eastAsia"/>
        </w:rPr>
      </w:pPr>
      <w:r>
        <w:rPr>
          <w:rFonts w:hint="eastAsia"/>
        </w:rPr>
        <w:tab/>
        <w:t xml:space="preserve">606.  </w:t>
      </w:r>
      <w:r>
        <w:rPr>
          <w:rFonts w:hint="eastAsia"/>
        </w:rPr>
        <w:t>在</w:t>
      </w:r>
      <w:r>
        <w:rPr>
          <w:rFonts w:hint="eastAsia"/>
        </w:rPr>
        <w:t>2003</w:t>
      </w:r>
      <w:r>
        <w:rPr>
          <w:rFonts w:hint="eastAsia"/>
        </w:rPr>
        <w:t>年，共有</w:t>
      </w:r>
      <w:r>
        <w:rPr>
          <w:rFonts w:hint="eastAsia"/>
        </w:rPr>
        <w:t>253</w:t>
      </w:r>
      <w:r>
        <w:rPr>
          <w:rFonts w:hint="eastAsia"/>
        </w:rPr>
        <w:t>万人上戏院看戏，还有大约</w:t>
      </w:r>
      <w:r>
        <w:rPr>
          <w:rFonts w:hint="eastAsia"/>
        </w:rPr>
        <w:t>95</w:t>
      </w:r>
      <w:r>
        <w:rPr>
          <w:rFonts w:hint="eastAsia"/>
        </w:rPr>
        <w:t>万人去听音乐会。参观博物馆的人数大约</w:t>
      </w:r>
      <w:r>
        <w:rPr>
          <w:rFonts w:hint="eastAsia"/>
        </w:rPr>
        <w:t>450</w:t>
      </w:r>
      <w:r>
        <w:rPr>
          <w:rFonts w:hint="eastAsia"/>
        </w:rPr>
        <w:t>万。</w:t>
      </w:r>
    </w:p>
    <w:p w:rsidR="00000000" w:rsidRDefault="00000000">
      <w:pPr>
        <w:rPr>
          <w:rFonts w:hint="eastAsia"/>
        </w:rPr>
      </w:pPr>
      <w:r>
        <w:rPr>
          <w:rFonts w:hint="eastAsia"/>
        </w:rPr>
        <w:tab/>
        <w:t xml:space="preserve">607.  </w:t>
      </w:r>
      <w:r>
        <w:rPr>
          <w:rFonts w:hint="eastAsia"/>
        </w:rPr>
        <w:t>政府为各地的文化活动提供了资助，地方当局为各种组织大量文化活动的组织和团体提供了经费，并且根据法律规定开展了基本艺术教育。</w:t>
      </w:r>
    </w:p>
    <w:p w:rsidR="00000000" w:rsidRDefault="00000000">
      <w:pPr>
        <w:rPr>
          <w:rFonts w:hint="eastAsia"/>
          <w:lang w:val="en-GB"/>
        </w:rPr>
      </w:pPr>
      <w:r>
        <w:rPr>
          <w:rFonts w:hint="eastAsia"/>
        </w:rPr>
        <w:tab/>
        <w:t xml:space="preserve">608.  </w:t>
      </w:r>
      <w:r>
        <w:rPr>
          <w:rFonts w:hint="eastAsia"/>
        </w:rPr>
        <w:t>加强文化服务。在首相</w:t>
      </w:r>
      <w:r>
        <w:rPr>
          <w:lang w:val="en-GB"/>
        </w:rPr>
        <w:t>Matti Vanhanen</w:t>
      </w:r>
      <w:r>
        <w:rPr>
          <w:rFonts w:hint="eastAsia"/>
          <w:lang w:val="en-GB"/>
        </w:rPr>
        <w:t>政府的政治纲领中</w:t>
      </w:r>
      <w:r>
        <w:rPr>
          <w:rFonts w:hint="eastAsia"/>
          <w:lang w:val="en-GB"/>
        </w:rPr>
        <w:t>(2003</w:t>
      </w:r>
      <w:r>
        <w:rPr>
          <w:rFonts w:hint="eastAsia"/>
          <w:lang w:val="en-GB"/>
        </w:rPr>
        <w:t>年</w:t>
      </w:r>
      <w:r>
        <w:rPr>
          <w:rFonts w:hint="eastAsia"/>
          <w:lang w:val="en-GB"/>
        </w:rPr>
        <w:t>6</w:t>
      </w:r>
      <w:r>
        <w:rPr>
          <w:rFonts w:hint="eastAsia"/>
          <w:lang w:val="en-GB"/>
        </w:rPr>
        <w:t>月</w:t>
      </w:r>
      <w:r>
        <w:rPr>
          <w:rFonts w:hint="eastAsia"/>
          <w:lang w:val="en-GB"/>
        </w:rPr>
        <w:t>24</w:t>
      </w:r>
      <w:r>
        <w:rPr>
          <w:rFonts w:hint="eastAsia"/>
          <w:lang w:val="en-GB"/>
        </w:rPr>
        <w:t>日</w:t>
      </w:r>
      <w:r>
        <w:rPr>
          <w:rFonts w:hint="eastAsia"/>
          <w:lang w:val="en-GB"/>
        </w:rPr>
        <w:t>)</w:t>
      </w:r>
      <w:r>
        <w:rPr>
          <w:rFonts w:hint="eastAsia"/>
          <w:lang w:val="en-GB"/>
        </w:rPr>
        <w:t>，政府承诺支持儿童、残疾人以及少数人团体的文化权利。</w:t>
      </w:r>
    </w:p>
    <w:p w:rsidR="00000000" w:rsidRDefault="00000000">
      <w:pPr>
        <w:rPr>
          <w:rFonts w:hint="eastAsia"/>
          <w:lang w:val="en-GB"/>
        </w:rPr>
      </w:pPr>
      <w:r>
        <w:rPr>
          <w:rFonts w:hint="eastAsia"/>
          <w:lang w:val="en-GB"/>
        </w:rPr>
        <w:tab/>
        <w:t xml:space="preserve">609.  </w:t>
      </w:r>
      <w:r>
        <w:rPr>
          <w:rFonts w:hint="eastAsia"/>
          <w:lang w:val="en-GB"/>
        </w:rPr>
        <w:t>除其他外，教育部十分重视向所有群体提供文化服务。在政府目前有关艺术、艺术家和儿童文化的方案中已经考虑到了残疾人、文化方面的少数人团体以及其他有特殊需要的群体的需求。</w:t>
      </w:r>
    </w:p>
    <w:p w:rsidR="00000000" w:rsidRDefault="00000000">
      <w:pPr>
        <w:rPr>
          <w:rFonts w:hint="eastAsia"/>
          <w:lang w:val="en-GB"/>
        </w:rPr>
      </w:pPr>
      <w:r>
        <w:rPr>
          <w:rFonts w:hint="eastAsia"/>
          <w:lang w:val="en-GB"/>
        </w:rPr>
        <w:tab/>
        <w:t xml:space="preserve">610.  </w:t>
      </w:r>
      <w:r>
        <w:rPr>
          <w:rFonts w:hint="eastAsia"/>
          <w:lang w:val="en-GB"/>
        </w:rPr>
        <w:t>为了加强文化服务，作为教育部下属一个磋商机构的残疾人文化委员会于</w:t>
      </w:r>
      <w:r>
        <w:rPr>
          <w:rFonts w:hint="eastAsia"/>
          <w:lang w:val="en-GB"/>
        </w:rPr>
        <w:t>2004</w:t>
      </w:r>
      <w:r>
        <w:rPr>
          <w:rFonts w:hint="eastAsia"/>
          <w:lang w:val="en-GB"/>
        </w:rPr>
        <w:t>年秋天提出了一项行动方案</w:t>
      </w:r>
      <w:r>
        <w:rPr>
          <w:rFonts w:hint="eastAsia"/>
          <w:lang w:val="en-GB"/>
        </w:rPr>
        <w:t>(</w:t>
      </w:r>
      <w:r>
        <w:rPr>
          <w:rFonts w:hint="eastAsia"/>
          <w:lang w:val="en-GB"/>
        </w:rPr>
        <w:t>教育部第</w:t>
      </w:r>
      <w:r>
        <w:rPr>
          <w:rFonts w:hint="eastAsia"/>
          <w:lang w:val="en-GB"/>
        </w:rPr>
        <w:t>2004</w:t>
      </w:r>
      <w:r>
        <w:rPr>
          <w:rFonts w:hint="eastAsia"/>
          <w:lang w:val="en-GB"/>
        </w:rPr>
        <w:t>：</w:t>
      </w:r>
      <w:r>
        <w:rPr>
          <w:rFonts w:hint="eastAsia"/>
          <w:lang w:val="en-GB"/>
        </w:rPr>
        <w:t>29</w:t>
      </w:r>
      <w:r>
        <w:rPr>
          <w:rFonts w:hint="eastAsia"/>
          <w:lang w:val="en-GB"/>
        </w:rPr>
        <w:t>号出版物</w:t>
      </w:r>
      <w:r>
        <w:rPr>
          <w:rFonts w:hint="eastAsia"/>
          <w:lang w:val="en-GB"/>
        </w:rPr>
        <w:t>)</w:t>
      </w:r>
      <w:r>
        <w:rPr>
          <w:rFonts w:hint="eastAsia"/>
          <w:lang w:val="en-GB"/>
        </w:rPr>
        <w:t>。这个出版物还载有关于加强残疾人创造能力的建议，并且提请有关部门注意加强文化艺术和相关教育的方法。这项出版物已在文化工作者和有关部门中广为散发。关于今后向文化和艺术机构发放国家补助的问题，教育部准备更加重视这些机构所提供服务的实际效果。</w:t>
      </w:r>
    </w:p>
    <w:p w:rsidR="00000000" w:rsidRDefault="00000000">
      <w:pPr>
        <w:rPr>
          <w:rFonts w:hint="eastAsia"/>
          <w:lang w:val="en-GB"/>
        </w:rPr>
      </w:pPr>
      <w:r>
        <w:rPr>
          <w:rFonts w:hint="eastAsia"/>
          <w:lang w:val="en-GB"/>
        </w:rPr>
        <w:tab/>
        <w:t xml:space="preserve">611.  </w:t>
      </w:r>
      <w:r>
        <w:rPr>
          <w:rFonts w:hint="eastAsia"/>
          <w:lang w:val="en-GB"/>
        </w:rPr>
        <w:t>教育部将在</w:t>
      </w:r>
      <w:r>
        <w:rPr>
          <w:rFonts w:hint="eastAsia"/>
          <w:lang w:val="en-GB"/>
        </w:rPr>
        <w:t>2005</w:t>
      </w:r>
      <w:r>
        <w:rPr>
          <w:rFonts w:hint="eastAsia"/>
          <w:lang w:val="en-GB"/>
        </w:rPr>
        <w:t>年年底拟定一项旨在加强文化和艺术的方案。教育部的这个方案计划使用一种综合性的方法来解决提供服务的问题，同时注意不仅让残疾人，而且让其他有特殊需要的群体</w:t>
      </w:r>
      <w:r>
        <w:rPr>
          <w:rFonts w:hint="eastAsia"/>
          <w:lang w:val="en-GB"/>
        </w:rPr>
        <w:t>(</w:t>
      </w:r>
      <w:r>
        <w:rPr>
          <w:rFonts w:hint="eastAsia"/>
          <w:lang w:val="en-GB"/>
        </w:rPr>
        <w:t>例如，移民、少数民族以及老年人</w:t>
      </w:r>
      <w:r>
        <w:rPr>
          <w:rFonts w:hint="eastAsia"/>
          <w:lang w:val="en-GB"/>
        </w:rPr>
        <w:t>)</w:t>
      </w:r>
      <w:r>
        <w:rPr>
          <w:rFonts w:hint="eastAsia"/>
          <w:lang w:val="en-GB"/>
        </w:rPr>
        <w:t>享受文化服务。</w:t>
      </w:r>
    </w:p>
    <w:p w:rsidR="00000000" w:rsidRDefault="00000000">
      <w:pPr>
        <w:rPr>
          <w:rFonts w:hint="eastAsia"/>
          <w:lang w:val="en-GB"/>
        </w:rPr>
      </w:pPr>
      <w:r>
        <w:rPr>
          <w:rFonts w:hint="eastAsia"/>
          <w:lang w:val="en-GB"/>
        </w:rPr>
        <w:tab/>
        <w:t xml:space="preserve">612.  </w:t>
      </w:r>
      <w:r>
        <w:rPr>
          <w:rFonts w:hint="eastAsia"/>
          <w:lang w:val="en-GB"/>
        </w:rPr>
        <w:t>从</w:t>
      </w:r>
      <w:r>
        <w:rPr>
          <w:rFonts w:hint="eastAsia"/>
          <w:lang w:val="en-GB"/>
        </w:rPr>
        <w:t>2003</w:t>
      </w:r>
      <w:r>
        <w:rPr>
          <w:rFonts w:hint="eastAsia"/>
          <w:lang w:val="en-GB"/>
        </w:rPr>
        <w:t>年至今，为了加强这些服务，芬兰国家艺术馆在教育部的资助下，一直在向文化服务机构提供咨询。</w:t>
      </w:r>
    </w:p>
    <w:p w:rsidR="00000000" w:rsidRDefault="00000000">
      <w:pPr>
        <w:rPr>
          <w:rFonts w:hint="eastAsia"/>
          <w:lang w:val="en-GB"/>
        </w:rPr>
      </w:pPr>
      <w:r>
        <w:rPr>
          <w:rFonts w:hint="eastAsia"/>
          <w:lang w:val="en-GB"/>
        </w:rPr>
        <w:tab/>
        <w:t xml:space="preserve">613.  </w:t>
      </w:r>
      <w:r>
        <w:rPr>
          <w:rFonts w:hint="eastAsia"/>
          <w:lang w:val="en-GB"/>
        </w:rPr>
        <w:t>支持残疾人的文化活动。为了将国家补助用于加强残疾人的文化活动以及使他们能够享受到文化服务，教育部保留了专门经费。这些经费在</w:t>
      </w:r>
      <w:r>
        <w:rPr>
          <w:rFonts w:hint="eastAsia"/>
          <w:lang w:val="en-GB"/>
        </w:rPr>
        <w:t>2005</w:t>
      </w:r>
      <w:r>
        <w:rPr>
          <w:rFonts w:hint="eastAsia"/>
          <w:lang w:val="en-GB"/>
        </w:rPr>
        <w:t>年增加了一倍</w:t>
      </w:r>
      <w:r>
        <w:rPr>
          <w:rFonts w:hint="eastAsia"/>
          <w:lang w:val="en-GB"/>
        </w:rPr>
        <w:t>(</w:t>
      </w:r>
      <w:r>
        <w:rPr>
          <w:rFonts w:hint="eastAsia"/>
          <w:lang w:val="en-GB"/>
        </w:rPr>
        <w:t>目前相当于</w:t>
      </w:r>
      <w:r>
        <w:rPr>
          <w:rFonts w:hint="eastAsia"/>
          <w:lang w:val="en-GB"/>
        </w:rPr>
        <w:t>25</w:t>
      </w:r>
      <w:r>
        <w:rPr>
          <w:rFonts w:hint="eastAsia"/>
          <w:lang w:val="en-GB"/>
        </w:rPr>
        <w:t>万欧元</w:t>
      </w:r>
      <w:r>
        <w:rPr>
          <w:rFonts w:hint="eastAsia"/>
          <w:lang w:val="en-GB"/>
        </w:rPr>
        <w:t>)</w:t>
      </w:r>
      <w:r>
        <w:rPr>
          <w:rFonts w:hint="eastAsia"/>
          <w:lang w:val="en-GB"/>
        </w:rPr>
        <w:t>。此外，教育部还拨出经费用于为残疾人、老年人、有阅读障碍的人以及移民编写和出版简明读物。</w:t>
      </w:r>
    </w:p>
    <w:p w:rsidR="00000000" w:rsidRDefault="00000000">
      <w:pPr>
        <w:rPr>
          <w:rFonts w:hint="eastAsia"/>
          <w:lang w:val="en-GB"/>
        </w:rPr>
      </w:pPr>
      <w:r>
        <w:rPr>
          <w:rFonts w:hint="eastAsia"/>
          <w:lang w:val="en-GB"/>
        </w:rPr>
        <w:tab/>
        <w:t xml:space="preserve">614.  </w:t>
      </w:r>
      <w:r>
        <w:rPr>
          <w:rFonts w:hint="eastAsia"/>
          <w:lang w:val="en-GB"/>
        </w:rPr>
        <w:t>芬兰视力受损人士图书馆是一家由国家经营的图书馆，专门为视力受损人士制作和提供特别材料，例如，录音带、盲文书籍以及触摸书籍。这家图书馆的服务对象是因为各种原因而使得视力受到不同程度损害的人士，其中包括：盲人、视力差的人、失明的聋哑人、有精神障碍的人以及患有肌肉疾病的人和有严重阅读障碍的人。</w:t>
      </w:r>
    </w:p>
    <w:p w:rsidR="00000000" w:rsidRDefault="00000000">
      <w:pPr>
        <w:rPr>
          <w:rFonts w:hint="eastAsia"/>
          <w:lang w:val="en-GB"/>
        </w:rPr>
      </w:pPr>
      <w:r>
        <w:rPr>
          <w:rFonts w:hint="eastAsia"/>
          <w:lang w:val="en-GB"/>
        </w:rPr>
        <w:tab/>
        <w:t xml:space="preserve">615.  </w:t>
      </w:r>
      <w:r>
        <w:rPr>
          <w:rFonts w:hint="eastAsia"/>
          <w:lang w:val="en-GB"/>
        </w:rPr>
        <w:t>支持儿童和青年的创造能力。教育部为支持儿童和青年的创造能力提供了资助，并且在地方、地区和全国各级组织了青年艺术节，让年轻的艺术家和表演者显示其从各种业余爱好中所学到的技能。其中最好的表演者有机会参加国际活动和竞赛。青年艺术节向所有人开放。每年所表演的艺术形式各有所不同，参加艺术节的儿童和青年有机会见到在这个领域中的专业工作者，从而鼓励他们继续其业余爱好。</w:t>
      </w:r>
    </w:p>
    <w:p w:rsidR="00000000" w:rsidRDefault="00000000">
      <w:pPr>
        <w:rPr>
          <w:rFonts w:hint="eastAsia"/>
          <w:lang w:val="en-GB"/>
        </w:rPr>
      </w:pPr>
      <w:r>
        <w:rPr>
          <w:rFonts w:hint="eastAsia"/>
          <w:lang w:val="en-GB"/>
        </w:rPr>
        <w:tab/>
        <w:t xml:space="preserve">616.  </w:t>
      </w:r>
      <w:r>
        <w:rPr>
          <w:rFonts w:hint="eastAsia"/>
          <w:lang w:val="en-GB"/>
        </w:rPr>
        <w:t>支持青年政策研究。教育部下属的青年司向有关青年政策和青年工作的研究提供了资助。这种接受资助的研究首先是在独立的研究员网络中开展的，这种网络充当了青年研究工作者进行讨论和合作的论坛。同时还在理工学校中开展有关青年活动的研究。教育部制定了描述青年人的态度和生活条件的气压计和指标。</w:t>
      </w:r>
    </w:p>
    <w:p w:rsidR="00000000" w:rsidRDefault="00000000">
      <w:pPr>
        <w:rPr>
          <w:rFonts w:hint="eastAsia"/>
          <w:lang w:val="en-GB"/>
        </w:rPr>
      </w:pPr>
      <w:r>
        <w:rPr>
          <w:rFonts w:hint="eastAsia"/>
          <w:lang w:val="en-GB"/>
        </w:rPr>
        <w:tab/>
        <w:t xml:space="preserve">617.  </w:t>
      </w:r>
      <w:r>
        <w:rPr>
          <w:rFonts w:hint="eastAsia"/>
          <w:lang w:val="en-GB"/>
        </w:rPr>
        <w:t>有关基本青年政策的研究正在大学一级开展，目前正在</w:t>
      </w:r>
      <w:r>
        <w:rPr>
          <w:lang w:val="en-GB"/>
        </w:rPr>
        <w:t>Kuopio</w:t>
      </w:r>
      <w:r>
        <w:rPr>
          <w:rFonts w:hint="eastAsia"/>
          <w:lang w:val="en-GB"/>
        </w:rPr>
        <w:t>大学和</w:t>
      </w:r>
      <w:r>
        <w:rPr>
          <w:lang w:val="en-GB"/>
        </w:rPr>
        <w:t>Mikkeli</w:t>
      </w:r>
      <w:r>
        <w:rPr>
          <w:rFonts w:hint="eastAsia"/>
          <w:lang w:val="en-GB"/>
        </w:rPr>
        <w:t>理工学校于</w:t>
      </w:r>
      <w:r>
        <w:rPr>
          <w:rFonts w:hint="eastAsia"/>
          <w:lang w:val="en-GB"/>
        </w:rPr>
        <w:t>2005</w:t>
      </w:r>
      <w:r>
        <w:rPr>
          <w:rFonts w:hint="eastAsia"/>
          <w:lang w:val="en-GB"/>
        </w:rPr>
        <w:t>年</w:t>
      </w:r>
      <w:r>
        <w:rPr>
          <w:rFonts w:hint="eastAsia"/>
          <w:lang w:val="en-GB"/>
        </w:rPr>
        <w:t>1</w:t>
      </w:r>
      <w:r>
        <w:rPr>
          <w:rFonts w:hint="eastAsia"/>
          <w:lang w:val="en-GB"/>
        </w:rPr>
        <w:t>月开始执行的为期两年的研究项目的框架内进行。</w:t>
      </w:r>
      <w:r>
        <w:rPr>
          <w:lang w:val="en-GB"/>
        </w:rPr>
        <w:t>Tampere</w:t>
      </w:r>
      <w:r>
        <w:rPr>
          <w:rFonts w:hint="eastAsia"/>
          <w:lang w:val="en-GB"/>
        </w:rPr>
        <w:t>大学计划在</w:t>
      </w:r>
      <w:r>
        <w:rPr>
          <w:rFonts w:hint="eastAsia"/>
          <w:lang w:val="en-GB"/>
        </w:rPr>
        <w:t>2005</w:t>
      </w:r>
      <w:r>
        <w:rPr>
          <w:rFonts w:hint="eastAsia"/>
          <w:lang w:val="en-GB"/>
        </w:rPr>
        <w:t>年开始规划一项研究方案，从而加强在这个领域中的基本研究。</w:t>
      </w:r>
    </w:p>
    <w:p w:rsidR="00000000" w:rsidRDefault="00000000">
      <w:pPr>
        <w:spacing w:after="240"/>
        <w:rPr>
          <w:rFonts w:hint="eastAsia"/>
          <w:lang w:val="en-GB"/>
        </w:rPr>
      </w:pPr>
      <w:r>
        <w:rPr>
          <w:rFonts w:hint="eastAsia"/>
          <w:lang w:val="en-GB"/>
        </w:rPr>
        <w:tab/>
        <w:t xml:space="preserve">618.  </w:t>
      </w:r>
      <w:r>
        <w:rPr>
          <w:rFonts w:hint="eastAsia"/>
          <w:lang w:val="en-GB"/>
        </w:rPr>
        <w:t>目前其他各种组织和个人也都在开展有关青年文化、青年人的生活条件以及有关青年人其他问题的研究。可从国家以及其他方面获得对于这种研究的资助。</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1</w:t>
      </w:r>
      <w:r>
        <w:rPr>
          <w:rFonts w:ascii="Time New Roman" w:eastAsia="SimHei" w:hAnsi="Time New Roman" w:hint="eastAsia"/>
          <w:bCs/>
          <w:u w:val="none"/>
        </w:rPr>
        <w:t>.</w:t>
      </w:r>
      <w:r>
        <w:rPr>
          <w:rFonts w:ascii="Time New Roman" w:eastAsia="SimHei" w:hAnsi="Time New Roman"/>
          <w:bCs/>
          <w:u w:val="none"/>
        </w:rPr>
        <w:t>(</w:t>
      </w:r>
      <w:r>
        <w:rPr>
          <w:rFonts w:ascii="Time New Roman" w:eastAsia="SimHei" w:hAnsi="Time New Roman"/>
          <w:b/>
          <w:bCs/>
          <w:u w:val="none"/>
        </w:rPr>
        <w:t>d</w:t>
      </w:r>
      <w:r>
        <w:rPr>
          <w:rFonts w:ascii="Time New Roman" w:eastAsia="SimHei" w:hAnsi="Time New Roman"/>
          <w:bCs/>
          <w:u w:val="none"/>
        </w:rPr>
        <w:t>)</w:t>
      </w:r>
      <w:r>
        <w:rPr>
          <w:rFonts w:ascii="Time New Roman" w:eastAsia="SimHei" w:hAnsi="Time New Roman" w:hint="eastAsia"/>
          <w:u w:val="none"/>
        </w:rPr>
        <w:t xml:space="preserve">  </w:t>
      </w:r>
      <w:r>
        <w:rPr>
          <w:rFonts w:ascii="Time New Roman" w:eastAsia="SimHei" w:hAnsi="Time New Roman" w:hint="eastAsia"/>
          <w:u w:val="none"/>
        </w:rPr>
        <w:t>种族族群、少数民族以及土著人的文化遗产</w:t>
      </w:r>
    </w:p>
    <w:p w:rsidR="00000000" w:rsidRDefault="00000000">
      <w:pPr>
        <w:rPr>
          <w:rFonts w:hint="eastAsia"/>
        </w:rPr>
      </w:pPr>
      <w:r>
        <w:rPr>
          <w:rFonts w:hint="eastAsia"/>
        </w:rPr>
        <w:tab/>
        <w:t xml:space="preserve">619.  </w:t>
      </w:r>
      <w:r>
        <w:rPr>
          <w:rFonts w:hint="eastAsia"/>
        </w:rPr>
        <w:t>支持少数民族的文化。无论种族族裔，各个民族都有其独特的文化和艺术形式。然而，移民或者其他在文化方面处于少数地位的人可能认为自己很难利用某些服务或者申请补助。因此，教育部专门为支持文化多样性和反对种族主义的行动保留了经费。</w:t>
      </w:r>
    </w:p>
    <w:p w:rsidR="00000000" w:rsidRDefault="00000000">
      <w:pPr>
        <w:rPr>
          <w:rFonts w:hint="eastAsia"/>
        </w:rPr>
      </w:pPr>
      <w:r>
        <w:rPr>
          <w:rFonts w:hint="eastAsia"/>
        </w:rPr>
        <w:tab/>
        <w:t xml:space="preserve">620.  </w:t>
      </w:r>
      <w:r>
        <w:rPr>
          <w:rFonts w:hint="eastAsia"/>
        </w:rPr>
        <w:t>除此以外，教育部还每年拨出专用经费，用于支持以萨米语开展的文化活动以及萨米人组织的活动。根据萨米人文化自治的原则，由萨米人议会决定这种经费的使用办法。拨出专用经费确保了至少每年有一定数额的经费用于这个目的。</w:t>
      </w:r>
    </w:p>
    <w:p w:rsidR="00000000" w:rsidRDefault="00000000">
      <w:pPr>
        <w:rPr>
          <w:rFonts w:hint="eastAsia"/>
        </w:rPr>
      </w:pPr>
      <w:r>
        <w:rPr>
          <w:rFonts w:hint="eastAsia"/>
        </w:rPr>
        <w:tab/>
        <w:t xml:space="preserve">621.  </w:t>
      </w:r>
      <w:r>
        <w:rPr>
          <w:rFonts w:hint="eastAsia"/>
        </w:rPr>
        <w:t>在</w:t>
      </w:r>
      <w:r>
        <w:rPr>
          <w:rFonts w:hint="eastAsia"/>
        </w:rPr>
        <w:t>1996</w:t>
      </w:r>
      <w:r>
        <w:rPr>
          <w:rFonts w:hint="eastAsia"/>
        </w:rPr>
        <w:t>年对于法律进行了修订，委派了芬兰语言研究所负责研究和发展罗姆语。在</w:t>
      </w:r>
      <w:r>
        <w:rPr>
          <w:rFonts w:hint="eastAsia"/>
        </w:rPr>
        <w:t>2005</w:t>
      </w:r>
      <w:r>
        <w:rPr>
          <w:rFonts w:hint="eastAsia"/>
        </w:rPr>
        <w:t>年，有两名专职人员研究罗姆语。在该研究所主持下开展活动的罗姆语委员会是一个磋商机构，其职责是确定有关使用罗姆语的原则和一般性建议。罗姆语委员会的大多数成员都是罗姆人。罗姆语发展侧重于词汇和术语，以满足现代社会的需要。此外，芬兰语言研究所还提供了有关罗姆语的发音、词法、句法以及词汇的基本资料。在</w:t>
      </w:r>
      <w:r>
        <w:rPr>
          <w:rFonts w:hint="eastAsia"/>
        </w:rPr>
        <w:t>2001</w:t>
      </w:r>
      <w:r>
        <w:rPr>
          <w:rFonts w:hint="eastAsia"/>
        </w:rPr>
        <w:t>年出版了一本芬兰语</w:t>
      </w:r>
      <w:r>
        <w:rPr>
          <w:rFonts w:hint="eastAsia"/>
          <w:spacing w:val="-50"/>
        </w:rPr>
        <w:t>―</w:t>
      </w:r>
      <w:r>
        <w:rPr>
          <w:rFonts w:hint="eastAsia"/>
        </w:rPr>
        <w:t>―罗姆语</w:t>
      </w:r>
      <w:r>
        <w:rPr>
          <w:rFonts w:hint="eastAsia"/>
          <w:spacing w:val="-50"/>
        </w:rPr>
        <w:t>―</w:t>
      </w:r>
      <w:r>
        <w:rPr>
          <w:rFonts w:hint="eastAsia"/>
        </w:rPr>
        <w:t>―芬兰语词典，在此以后，该语言研究所又实施了一些比较小型的研究项目，并且编辑了有关书面语和口头语的资料。语言研究所经常同旨在加强罗姆语和罗姆文化的组织和机构联系。这项工作的目的是要将研究成果更好地用于教授罗姆语和其他教育方面。</w:t>
      </w:r>
    </w:p>
    <w:p w:rsidR="00000000" w:rsidRDefault="00000000">
      <w:pPr>
        <w:widowControl w:val="0"/>
        <w:rPr>
          <w:rFonts w:hint="eastAsia"/>
        </w:rPr>
      </w:pPr>
      <w:r>
        <w:rPr>
          <w:rFonts w:hint="eastAsia"/>
        </w:rPr>
        <w:tab/>
        <w:t xml:space="preserve">622.  </w:t>
      </w:r>
      <w:r>
        <w:rPr>
          <w:rFonts w:hint="eastAsia"/>
        </w:rPr>
        <w:t>少数民族的语言。在</w:t>
      </w:r>
      <w:r>
        <w:rPr>
          <w:rFonts w:hint="eastAsia"/>
        </w:rPr>
        <w:t>2002</w:t>
      </w:r>
      <w:r>
        <w:rPr>
          <w:rFonts w:hint="eastAsia"/>
        </w:rPr>
        <w:t>年，关于向作者和翻译发放某些补助和津贴的法律</w:t>
      </w:r>
      <w:r>
        <w:rPr>
          <w:rFonts w:hint="eastAsia"/>
        </w:rPr>
        <w:t>(236/1961)</w:t>
      </w:r>
      <w:r>
        <w:rPr>
          <w:rFonts w:hint="eastAsia"/>
        </w:rPr>
        <w:t>进行了修订，从而完全取消了有关发放补助和津贴的语言标准</w:t>
      </w:r>
      <w:r>
        <w:rPr>
          <w:rFonts w:hint="eastAsia"/>
        </w:rPr>
        <w:t>(</w:t>
      </w:r>
      <w:r>
        <w:rPr>
          <w:rFonts w:hint="eastAsia"/>
        </w:rPr>
        <w:t>使用芬兰语、瑞典语或者萨米语的技能</w:t>
      </w:r>
      <w:r>
        <w:rPr>
          <w:rFonts w:hint="eastAsia"/>
        </w:rPr>
        <w:t>)</w:t>
      </w:r>
      <w:r>
        <w:rPr>
          <w:rFonts w:hint="eastAsia"/>
        </w:rPr>
        <w:t>。修订法律便于少数民族申请和领取补助。</w:t>
      </w:r>
    </w:p>
    <w:p w:rsidR="00000000" w:rsidRDefault="00000000">
      <w:pPr>
        <w:rPr>
          <w:rFonts w:hint="eastAsia"/>
        </w:rPr>
      </w:pPr>
      <w:r>
        <w:rPr>
          <w:rFonts w:hint="eastAsia"/>
        </w:rPr>
        <w:tab/>
        <w:t xml:space="preserve">623.  </w:t>
      </w:r>
      <w:r>
        <w:rPr>
          <w:rFonts w:hint="eastAsia"/>
        </w:rPr>
        <w:t>残疾人论坛希望指出，芬兰《宪法》也保护那些使用手语的人以及因为残疾而需要口译或者笔译的人的权利。残疾人论坛认为，应该监测和推动这些权利的落实。</w:t>
      </w:r>
    </w:p>
    <w:p w:rsidR="00000000" w:rsidRDefault="00000000">
      <w:pPr>
        <w:spacing w:after="240"/>
        <w:rPr>
          <w:rFonts w:hint="eastAsia"/>
        </w:rPr>
      </w:pPr>
      <w:r>
        <w:rPr>
          <w:rFonts w:hint="eastAsia"/>
        </w:rPr>
        <w:tab/>
        <w:t xml:space="preserve">624.  </w:t>
      </w:r>
      <w:r>
        <w:rPr>
          <w:rFonts w:hint="eastAsia"/>
        </w:rPr>
        <w:t>少数人事务监察员认为，种族关系咨询委员会继续其工作并且建立地区咨询委员会是十分重要的。</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2</w:t>
      </w:r>
      <w:r>
        <w:rPr>
          <w:rFonts w:ascii="Time New Roman" w:eastAsia="SimHei" w:hAnsi="Time New Roman" w:hint="eastAsia"/>
          <w:bCs/>
          <w:u w:val="none"/>
        </w:rPr>
        <w:t xml:space="preserve">.  </w:t>
      </w:r>
      <w:r>
        <w:rPr>
          <w:rFonts w:ascii="Time New Roman" w:eastAsia="SimHei" w:hAnsi="Time New Roman" w:hint="eastAsia"/>
          <w:u w:val="none"/>
        </w:rPr>
        <w:t>所有人都享用科学进步及其应用的成果的权利</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2</w:t>
      </w:r>
      <w:r>
        <w:rPr>
          <w:rFonts w:ascii="Time New Roman" w:eastAsia="SimHei" w:hAnsi="Time New Roman" w:hint="eastAsia"/>
          <w:bCs/>
          <w:u w:val="none"/>
        </w:rPr>
        <w:t>.</w:t>
      </w:r>
      <w:r>
        <w:rPr>
          <w:rFonts w:ascii="Time New Roman" w:eastAsia="SimHei" w:hAnsi="Time New Roman"/>
          <w:bCs/>
          <w:u w:val="none"/>
        </w:rPr>
        <w:t>(</w:t>
      </w:r>
      <w:r>
        <w:rPr>
          <w:rFonts w:ascii="Time New Roman" w:eastAsia="SimHei" w:hAnsi="Time New Roman"/>
          <w:b/>
          <w:bCs/>
          <w:u w:val="none"/>
        </w:rPr>
        <w:t>a)</w:t>
      </w:r>
      <w:r>
        <w:rPr>
          <w:rFonts w:ascii="Time New Roman" w:eastAsia="SimHei" w:hAnsi="Time New Roman" w:hint="eastAsia"/>
          <w:bCs/>
          <w:u w:val="none"/>
        </w:rPr>
        <w:t>和</w:t>
      </w:r>
      <w:r>
        <w:rPr>
          <w:rFonts w:ascii="Time New Roman" w:eastAsia="SimHei" w:hAnsi="Time New Roman"/>
          <w:bCs/>
          <w:u w:val="none"/>
        </w:rPr>
        <w:t>(</w:t>
      </w:r>
      <w:r>
        <w:rPr>
          <w:rFonts w:ascii="Time New Roman" w:eastAsia="SimHei" w:hAnsi="Time New Roman"/>
          <w:b/>
          <w:bCs/>
          <w:u w:val="none"/>
        </w:rPr>
        <w:t>b</w:t>
      </w:r>
      <w:r>
        <w:rPr>
          <w:rFonts w:ascii="Time New Roman" w:eastAsia="SimHei" w:hAnsi="Time New Roman"/>
          <w:bCs/>
          <w:u w:val="none"/>
        </w:rPr>
        <w:t>)</w:t>
      </w:r>
      <w:r>
        <w:rPr>
          <w:rFonts w:ascii="Time New Roman" w:eastAsia="SimHei" w:hAnsi="Time New Roman" w:hint="eastAsia"/>
          <w:u w:val="none"/>
        </w:rPr>
        <w:t xml:space="preserve">  </w:t>
      </w:r>
      <w:r>
        <w:rPr>
          <w:rFonts w:ascii="Time New Roman" w:eastAsia="SimHei" w:hAnsi="Time New Roman" w:hint="eastAsia"/>
          <w:u w:val="none"/>
        </w:rPr>
        <w:t>为确保科学进步的应用有利于所有人以及为推动传播</w:t>
      </w:r>
      <w:r>
        <w:rPr>
          <w:rFonts w:ascii="Time New Roman" w:eastAsia="SimHei" w:hAnsi="Time New Roman"/>
          <w:u w:val="none"/>
        </w:rPr>
        <w:br/>
      </w:r>
      <w:r>
        <w:rPr>
          <w:rFonts w:ascii="Time New Roman" w:eastAsia="SimHei" w:hAnsi="Time New Roman" w:hint="eastAsia"/>
          <w:u w:val="none"/>
        </w:rPr>
        <w:t>关于科学进步的信息而采取的措施</w:t>
      </w:r>
    </w:p>
    <w:p w:rsidR="00000000" w:rsidRDefault="00000000">
      <w:pPr>
        <w:rPr>
          <w:rFonts w:hint="eastAsia"/>
        </w:rPr>
      </w:pPr>
      <w:r>
        <w:rPr>
          <w:rFonts w:hint="eastAsia"/>
        </w:rPr>
        <w:tab/>
        <w:t xml:space="preserve">625.  </w:t>
      </w:r>
      <w:r>
        <w:rPr>
          <w:rFonts w:hint="eastAsia"/>
        </w:rPr>
        <w:t>政府科学政策的目的是要加强科学研究和确保积极提高科学研究的质量以及扩大其影响和国际表现。在</w:t>
      </w:r>
      <w:r>
        <w:rPr>
          <w:rFonts w:hint="eastAsia"/>
        </w:rPr>
        <w:t>2004</w:t>
      </w:r>
      <w:r>
        <w:rPr>
          <w:rFonts w:hint="eastAsia"/>
        </w:rPr>
        <w:t>年，政府对科学研究的结构进行了一次全面评估。</w:t>
      </w:r>
    </w:p>
    <w:p w:rsidR="00000000" w:rsidRDefault="00000000">
      <w:pPr>
        <w:rPr>
          <w:rFonts w:hint="eastAsia"/>
        </w:rPr>
      </w:pPr>
      <w:r>
        <w:rPr>
          <w:rFonts w:hint="eastAsia"/>
        </w:rPr>
        <w:tab/>
        <w:t xml:space="preserve">626.  </w:t>
      </w:r>
      <w:r>
        <w:rPr>
          <w:rFonts w:hint="eastAsia"/>
        </w:rPr>
        <w:t>根据政府的政治纲领，在</w:t>
      </w:r>
      <w:r>
        <w:rPr>
          <w:rFonts w:hint="eastAsia"/>
        </w:rPr>
        <w:t>2003</w:t>
      </w:r>
      <w:r>
        <w:rPr>
          <w:rFonts w:hint="eastAsia"/>
        </w:rPr>
        <w:t>年至</w:t>
      </w:r>
      <w:r>
        <w:rPr>
          <w:rFonts w:hint="eastAsia"/>
        </w:rPr>
        <w:t>2009</w:t>
      </w:r>
      <w:r>
        <w:rPr>
          <w:rFonts w:hint="eastAsia"/>
        </w:rPr>
        <w:t>年，将逐步增加研究和发展的经费。增加经费之目的是为了要加强基本研究及其基础设施，推动对于研究人员的培训及其国际化以及加强研究人员的流动性。从占国民生产总值的比例来说，在经合发组织的成员国中，芬兰是研究和发展经费最多的国家之一</w:t>
      </w:r>
      <w:r>
        <w:rPr>
          <w:rFonts w:hint="eastAsia"/>
        </w:rPr>
        <w:t>(2004</w:t>
      </w:r>
      <w:r>
        <w:rPr>
          <w:rFonts w:hint="eastAsia"/>
        </w:rPr>
        <w:t>年的比例为</w:t>
      </w:r>
      <w:r>
        <w:rPr>
          <w:rFonts w:hint="eastAsia"/>
        </w:rPr>
        <w:t>3.4%)</w:t>
      </w:r>
      <w:r>
        <w:rPr>
          <w:rFonts w:hint="eastAsia"/>
        </w:rPr>
        <w:t>。芬兰的研究和发展经费占公共开支的比例在国际一级也是非常高的。</w:t>
      </w:r>
    </w:p>
    <w:p w:rsidR="00000000" w:rsidRDefault="00000000">
      <w:pPr>
        <w:spacing w:after="240"/>
        <w:rPr>
          <w:rFonts w:hint="eastAsia"/>
        </w:rPr>
      </w:pPr>
      <w:r>
        <w:rPr>
          <w:rFonts w:hint="eastAsia"/>
        </w:rPr>
        <w:tab/>
        <w:t xml:space="preserve">627.  </w:t>
      </w:r>
      <w:r>
        <w:rPr>
          <w:rFonts w:hint="eastAsia"/>
        </w:rPr>
        <w:t>在</w:t>
      </w:r>
      <w:r>
        <w:rPr>
          <w:rFonts w:hint="eastAsia"/>
        </w:rPr>
        <w:t>2004</w:t>
      </w:r>
      <w:r>
        <w:rPr>
          <w:rFonts w:hint="eastAsia"/>
        </w:rPr>
        <w:t>年向议会提出了一项有关在大学中所作出发明的政府法案</w:t>
      </w:r>
      <w:r>
        <w:rPr>
          <w:rFonts w:hint="eastAsia"/>
        </w:rPr>
        <w:t>(HE 259/2004)</w:t>
      </w:r>
      <w:r>
        <w:rPr>
          <w:rFonts w:hint="eastAsia"/>
        </w:rPr>
        <w:t>，其目的是为了要加强研究成果的使用。通过一项专门的行动方案加强了科学同社会的关系、同时已经开展拟定一项有关晋升研究工作者职务的战略。由于有关的建议，人们现在能够更加容易地读到科学出版物。</w:t>
      </w:r>
    </w:p>
    <w:p w:rsidR="00000000" w:rsidRDefault="00000000">
      <w:pPr>
        <w:pStyle w:val="Heading3"/>
        <w:rPr>
          <w:rFonts w:ascii="Time New Roman" w:eastAsia="SimHei" w:hAnsi="Time New Roman" w:hint="eastAsia"/>
          <w:u w:val="none"/>
        </w:rPr>
      </w:pPr>
      <w:r>
        <w:rPr>
          <w:rFonts w:ascii="Time New Roman" w:eastAsia="SimHei" w:hAnsi="Time New Roman" w:hint="eastAsia"/>
          <w:b/>
          <w:bCs/>
          <w:u w:val="none"/>
        </w:rPr>
        <w:t>6</w:t>
      </w:r>
      <w:r>
        <w:rPr>
          <w:rFonts w:ascii="Time New Roman" w:eastAsia="SimHei" w:hAnsi="Time New Roman" w:hint="eastAsia"/>
          <w:bCs/>
          <w:u w:val="none"/>
        </w:rPr>
        <w:t xml:space="preserve">.  </w:t>
      </w:r>
      <w:r>
        <w:rPr>
          <w:rFonts w:ascii="Time New Roman" w:eastAsia="SimHei" w:hAnsi="Time New Roman" w:hint="eastAsia"/>
          <w:u w:val="none"/>
        </w:rPr>
        <w:t>国际联系与合作</w:t>
      </w:r>
    </w:p>
    <w:p w:rsidR="00000000" w:rsidRDefault="00000000">
      <w:pPr>
        <w:rPr>
          <w:rFonts w:hint="eastAsia"/>
          <w:lang w:val="en-GB"/>
        </w:rPr>
      </w:pPr>
      <w:r>
        <w:rPr>
          <w:rFonts w:hint="eastAsia"/>
        </w:rPr>
        <w:tab/>
        <w:t xml:space="preserve">628.  </w:t>
      </w:r>
      <w:r>
        <w:rPr>
          <w:rFonts w:hint="eastAsia"/>
        </w:rPr>
        <w:t>教育部向芬兰的一家独立的文化研究所</w:t>
      </w:r>
      <w:r>
        <w:rPr>
          <w:rFonts w:hint="eastAsia"/>
        </w:rPr>
        <w:t>(</w:t>
      </w:r>
      <w:r>
        <w:rPr>
          <w:lang w:val="en-GB"/>
        </w:rPr>
        <w:t>Hanasaari in Espoo)</w:t>
      </w:r>
      <w:r>
        <w:rPr>
          <w:rFonts w:hint="eastAsia"/>
          <w:lang w:val="en-GB"/>
        </w:rPr>
        <w:t>以及</w:t>
      </w:r>
      <w:r>
        <w:rPr>
          <w:rFonts w:hint="eastAsia"/>
          <w:lang w:val="en-GB"/>
        </w:rPr>
        <w:t>11</w:t>
      </w:r>
      <w:r>
        <w:rPr>
          <w:rFonts w:hint="eastAsia"/>
          <w:lang w:val="en-GB"/>
        </w:rPr>
        <w:t>家外国的研究所</w:t>
      </w:r>
      <w:r>
        <w:rPr>
          <w:rFonts w:hint="eastAsia"/>
          <w:lang w:val="en-GB"/>
        </w:rPr>
        <w:t>(</w:t>
      </w:r>
      <w:r>
        <w:rPr>
          <w:rFonts w:hint="eastAsia"/>
          <w:lang w:val="en-GB"/>
        </w:rPr>
        <w:t>巴黎、伦敦、柏林、塔林、哥本哈根、安特卫普、斯德哥尔摩、圣彼得堡、马德里、奥斯陆以及布达佩斯</w:t>
      </w:r>
      <w:r>
        <w:rPr>
          <w:rFonts w:hint="eastAsia"/>
          <w:lang w:val="en-GB"/>
        </w:rPr>
        <w:t>)</w:t>
      </w:r>
      <w:r>
        <w:rPr>
          <w:rFonts w:hint="eastAsia"/>
          <w:lang w:val="en-GB"/>
        </w:rPr>
        <w:t>提供了资助，其目的是为了要在芬兰的文化和科学界同其外国同行之间建立联系和加强合作。一些研究所还致力于宣传到芬兰留学的事宜。</w:t>
      </w:r>
    </w:p>
    <w:p w:rsidR="00000000" w:rsidRDefault="00000000">
      <w:pPr>
        <w:rPr>
          <w:rFonts w:hint="eastAsia"/>
          <w:lang w:val="en-GB"/>
        </w:rPr>
      </w:pPr>
      <w:r>
        <w:rPr>
          <w:rFonts w:hint="eastAsia"/>
          <w:lang w:val="en-GB"/>
        </w:rPr>
        <w:tab/>
        <w:t xml:space="preserve">629.  </w:t>
      </w:r>
      <w:r>
        <w:rPr>
          <w:rFonts w:hint="eastAsia"/>
          <w:lang w:val="en-GB"/>
        </w:rPr>
        <w:t>芬兰同其他北欧国家、欧盟成员国以及其他国家之间的联系是积极的，而且还在不断扩大。政府的科学和技术政策委员会于</w:t>
      </w:r>
      <w:r>
        <w:rPr>
          <w:rFonts w:hint="eastAsia"/>
          <w:lang w:val="en-GB"/>
        </w:rPr>
        <w:t>2004</w:t>
      </w:r>
      <w:r>
        <w:rPr>
          <w:rFonts w:hint="eastAsia"/>
          <w:lang w:val="en-GB"/>
        </w:rPr>
        <w:t>年</w:t>
      </w:r>
      <w:r>
        <w:rPr>
          <w:rFonts w:hint="eastAsia"/>
          <w:lang w:val="en-GB"/>
        </w:rPr>
        <w:t>11</w:t>
      </w:r>
      <w:r>
        <w:rPr>
          <w:rFonts w:hint="eastAsia"/>
          <w:lang w:val="en-GB"/>
        </w:rPr>
        <w:t>月通过了一项关于将芬兰科学和技术国际化的战略准则。</w:t>
      </w:r>
    </w:p>
    <w:p w:rsidR="00000000" w:rsidRDefault="00000000">
      <w:pPr>
        <w:rPr>
          <w:rFonts w:hint="eastAsia"/>
          <w:lang w:val="en-GB"/>
        </w:rPr>
      </w:pPr>
      <w:r>
        <w:rPr>
          <w:rFonts w:hint="eastAsia"/>
          <w:lang w:val="en-GB"/>
        </w:rPr>
        <w:tab/>
        <w:t xml:space="preserve">630.  </w:t>
      </w:r>
      <w:r>
        <w:rPr>
          <w:rFonts w:hint="eastAsia"/>
          <w:lang w:val="en-GB"/>
        </w:rPr>
        <w:t>有关芬兰参加《南半球天文台议定书》的协议于</w:t>
      </w:r>
      <w:r>
        <w:rPr>
          <w:rFonts w:hint="eastAsia"/>
          <w:lang w:val="en-GB"/>
        </w:rPr>
        <w:t>2004</w:t>
      </w:r>
      <w:r>
        <w:rPr>
          <w:rFonts w:hint="eastAsia"/>
          <w:lang w:val="en-GB"/>
        </w:rPr>
        <w:t>年</w:t>
      </w:r>
      <w:r>
        <w:rPr>
          <w:rFonts w:hint="eastAsia"/>
          <w:lang w:val="en-GB"/>
        </w:rPr>
        <w:t>7</w:t>
      </w:r>
      <w:r>
        <w:rPr>
          <w:rFonts w:hint="eastAsia"/>
          <w:lang w:val="en-GB"/>
        </w:rPr>
        <w:t>月正式生效。从此，芬兰的研究工作者就有可能使用先进的设备和仪器，并且能够更好地影响和参加高级别的国际合作。</w:t>
      </w:r>
    </w:p>
    <w:p w:rsidR="00000000" w:rsidRDefault="00000000">
      <w:pPr>
        <w:pStyle w:val="Heading2"/>
        <w:ind w:right="397"/>
        <w:rPr>
          <w:lang w:val="en-GB"/>
        </w:rPr>
        <w:sectPr w:rsidR="00000000">
          <w:headerReference w:type="even" r:id="rId12"/>
          <w:headerReference w:type="first" r:id="rId13"/>
          <w:endnotePr>
            <w:numFmt w:val="decimal"/>
            <w:numRestart w:val="eachSect"/>
          </w:endnotePr>
          <w:pgSz w:w="11906" w:h="16838"/>
          <w:pgMar w:top="1985" w:right="1276" w:bottom="1985" w:left="1276" w:header="794" w:footer="1588" w:gutter="0"/>
          <w:cols w:space="425"/>
          <w:docGrid w:type="lines" w:linePitch="360"/>
        </w:sectPr>
      </w:pPr>
    </w:p>
    <w:p w:rsidR="00000000" w:rsidRDefault="00000000">
      <w:pPr>
        <w:pStyle w:val="Heading2"/>
        <w:rPr>
          <w:rFonts w:hint="eastAsia"/>
          <w:lang w:val="en-GB"/>
        </w:rPr>
      </w:pPr>
      <w:r>
        <w:rPr>
          <w:rFonts w:hint="eastAsia"/>
          <w:lang w:val="en-GB"/>
        </w:rPr>
        <w:t>附</w:t>
      </w:r>
      <w:r>
        <w:rPr>
          <w:rFonts w:hint="eastAsia"/>
          <w:lang w:val="en-GB"/>
        </w:rPr>
        <w:t xml:space="preserve">  </w:t>
      </w:r>
      <w:r>
        <w:rPr>
          <w:rFonts w:hint="eastAsia"/>
          <w:lang w:val="en-GB"/>
        </w:rPr>
        <w:t>件</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lang w:val="en-GB"/>
        </w:rPr>
        <w:t>1</w:t>
      </w:r>
      <w:r>
        <w:rPr>
          <w:rFonts w:ascii="Time New Roman" w:eastAsia="SimHei" w:hAnsi="Time New Roman" w:hint="eastAsia"/>
          <w:lang w:val="en-GB"/>
        </w:rPr>
        <w:t>至附件</w:t>
      </w:r>
      <w:r>
        <w:rPr>
          <w:rFonts w:ascii="Time New Roman" w:eastAsia="SimHei" w:hAnsi="Time New Roman" w:hint="eastAsia"/>
          <w:b/>
          <w:lang w:val="en-GB"/>
        </w:rPr>
        <w:t>3</w:t>
      </w:r>
      <w:r>
        <w:rPr>
          <w:rFonts w:hint="eastAsia"/>
          <w:lang w:val="en-GB"/>
        </w:rPr>
        <w:t>：芬兰政府于</w:t>
      </w:r>
      <w:r>
        <w:rPr>
          <w:rFonts w:hint="eastAsia"/>
          <w:lang w:val="en-GB"/>
        </w:rPr>
        <w:t>1999</w:t>
      </w:r>
      <w:r>
        <w:rPr>
          <w:rFonts w:hint="eastAsia"/>
          <w:lang w:val="en-GB"/>
        </w:rPr>
        <w:t>年、</w:t>
      </w:r>
      <w:r>
        <w:rPr>
          <w:rFonts w:hint="eastAsia"/>
          <w:lang w:val="en-GB"/>
        </w:rPr>
        <w:t>2001</w:t>
      </w:r>
      <w:r>
        <w:rPr>
          <w:rFonts w:hint="eastAsia"/>
          <w:lang w:val="en-GB"/>
        </w:rPr>
        <w:t>年和</w:t>
      </w:r>
      <w:r>
        <w:rPr>
          <w:rFonts w:hint="eastAsia"/>
          <w:lang w:val="en-GB"/>
        </w:rPr>
        <w:t>2003</w:t>
      </w:r>
      <w:r>
        <w:rPr>
          <w:rFonts w:hint="eastAsia"/>
          <w:lang w:val="en-GB"/>
        </w:rPr>
        <w:t>年提交的关于为执行劳工组织《</w:t>
      </w:r>
      <w:r>
        <w:rPr>
          <w:rFonts w:hint="eastAsia"/>
          <w:lang w:val="en-GB"/>
        </w:rPr>
        <w:t>(</w:t>
      </w:r>
      <w:r>
        <w:rPr>
          <w:rFonts w:hint="eastAsia"/>
          <w:lang w:val="en-GB"/>
        </w:rPr>
        <w:t>就业和职业</w:t>
      </w:r>
      <w:r>
        <w:rPr>
          <w:rFonts w:hint="eastAsia"/>
          <w:lang w:val="en-GB"/>
        </w:rPr>
        <w:t>)</w:t>
      </w:r>
      <w:r>
        <w:rPr>
          <w:rFonts w:hint="eastAsia"/>
          <w:lang w:val="en-GB"/>
        </w:rPr>
        <w:t>歧视公约》</w:t>
      </w:r>
      <w:r>
        <w:rPr>
          <w:rFonts w:hint="eastAsia"/>
          <w:lang w:val="en-GB"/>
        </w:rPr>
        <w:t>(</w:t>
      </w:r>
      <w:r>
        <w:rPr>
          <w:rFonts w:hint="eastAsia"/>
          <w:lang w:val="en-GB"/>
        </w:rPr>
        <w:t>第</w:t>
      </w:r>
      <w:r>
        <w:rPr>
          <w:rFonts w:hint="eastAsia"/>
          <w:lang w:val="en-GB"/>
        </w:rPr>
        <w:t>111</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4</w:t>
      </w:r>
      <w:r>
        <w:rPr>
          <w:rFonts w:ascii="Time New Roman" w:eastAsia="SimHei" w:hAnsi="Time New Roman" w:hint="eastAsia"/>
          <w:lang w:val="en-GB"/>
        </w:rPr>
        <w:t>至附件</w:t>
      </w:r>
      <w:r>
        <w:rPr>
          <w:rFonts w:ascii="Time New Roman" w:eastAsia="SimHei" w:hAnsi="Time New Roman" w:hint="eastAsia"/>
          <w:b/>
          <w:bCs/>
          <w:lang w:val="en-GB"/>
        </w:rPr>
        <w:t>6</w:t>
      </w:r>
      <w:r>
        <w:rPr>
          <w:rFonts w:hint="eastAsia"/>
          <w:lang w:val="en-GB"/>
        </w:rPr>
        <w:t>：芬兰政府于</w:t>
      </w:r>
      <w:r>
        <w:rPr>
          <w:rFonts w:hint="eastAsia"/>
          <w:lang w:val="en-GB"/>
        </w:rPr>
        <w:t>2000</w:t>
      </w:r>
      <w:r>
        <w:rPr>
          <w:rFonts w:hint="eastAsia"/>
          <w:lang w:val="en-GB"/>
        </w:rPr>
        <w:t>年、</w:t>
      </w:r>
      <w:r>
        <w:rPr>
          <w:rFonts w:hint="eastAsia"/>
          <w:lang w:val="en-GB"/>
        </w:rPr>
        <w:t>2002</w:t>
      </w:r>
      <w:r>
        <w:rPr>
          <w:rFonts w:hint="eastAsia"/>
          <w:lang w:val="en-GB"/>
        </w:rPr>
        <w:t>年以及</w:t>
      </w:r>
      <w:r>
        <w:rPr>
          <w:rFonts w:hint="eastAsia"/>
          <w:lang w:val="en-GB"/>
        </w:rPr>
        <w:t>2003</w:t>
      </w:r>
      <w:r>
        <w:rPr>
          <w:rFonts w:hint="eastAsia"/>
          <w:lang w:val="en-GB"/>
        </w:rPr>
        <w:t>年提交的关于为执行劳工组织《就业政策公约》</w:t>
      </w:r>
      <w:r>
        <w:rPr>
          <w:rFonts w:hint="eastAsia"/>
          <w:lang w:val="en-GB"/>
        </w:rPr>
        <w:t>(</w:t>
      </w:r>
      <w:r>
        <w:rPr>
          <w:rFonts w:hint="eastAsia"/>
          <w:lang w:val="en-GB"/>
        </w:rPr>
        <w:t>第</w:t>
      </w:r>
      <w:r>
        <w:rPr>
          <w:rFonts w:hint="eastAsia"/>
          <w:lang w:val="en-GB"/>
        </w:rPr>
        <w:t>122</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7</w:t>
      </w:r>
      <w:r>
        <w:rPr>
          <w:rFonts w:ascii="Time New Roman" w:eastAsia="SimHei" w:hAnsi="Time New Roman" w:hint="eastAsia"/>
          <w:lang w:val="en-GB"/>
        </w:rPr>
        <w:t>至附件</w:t>
      </w:r>
      <w:r>
        <w:rPr>
          <w:rFonts w:ascii="Time New Roman" w:eastAsia="SimHei" w:hAnsi="Time New Roman" w:hint="eastAsia"/>
          <w:b/>
          <w:bCs/>
          <w:lang w:val="en-GB"/>
        </w:rPr>
        <w:t>9</w:t>
      </w:r>
      <w:r>
        <w:rPr>
          <w:rFonts w:hint="eastAsia"/>
          <w:lang w:val="en-GB"/>
        </w:rPr>
        <w:t>：芬兰政府于</w:t>
      </w:r>
      <w:r>
        <w:rPr>
          <w:rFonts w:hint="eastAsia"/>
          <w:lang w:val="en-GB"/>
        </w:rPr>
        <w:t>2000</w:t>
      </w:r>
      <w:r>
        <w:rPr>
          <w:rFonts w:hint="eastAsia"/>
          <w:lang w:val="en-GB"/>
        </w:rPr>
        <w:t>年、</w:t>
      </w:r>
      <w:r>
        <w:rPr>
          <w:rFonts w:hint="eastAsia"/>
          <w:lang w:val="en-GB"/>
        </w:rPr>
        <w:t>2002</w:t>
      </w:r>
      <w:r>
        <w:rPr>
          <w:rFonts w:hint="eastAsia"/>
          <w:lang w:val="en-GB"/>
        </w:rPr>
        <w:t>年以及</w:t>
      </w:r>
      <w:r>
        <w:rPr>
          <w:rFonts w:hint="eastAsia"/>
          <w:lang w:val="en-GB"/>
        </w:rPr>
        <w:t>2003</w:t>
      </w:r>
      <w:r>
        <w:rPr>
          <w:rFonts w:hint="eastAsia"/>
          <w:lang w:val="en-GB"/>
        </w:rPr>
        <w:t>年提交的关于为执行劳工组织《同酬公约》</w:t>
      </w:r>
      <w:r>
        <w:rPr>
          <w:rFonts w:hint="eastAsia"/>
          <w:lang w:val="en-GB"/>
        </w:rPr>
        <w:t>(</w:t>
      </w:r>
      <w:r>
        <w:rPr>
          <w:rFonts w:hint="eastAsia"/>
          <w:lang w:val="en-GB"/>
        </w:rPr>
        <w:t>第</w:t>
      </w:r>
      <w:r>
        <w:rPr>
          <w:rFonts w:hint="eastAsia"/>
          <w:lang w:val="en-GB"/>
        </w:rPr>
        <w:t>100</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10</w:t>
      </w:r>
      <w:r>
        <w:rPr>
          <w:rFonts w:ascii="Time New Roman" w:eastAsia="SimHei" w:hAnsi="Time New Roman" w:hint="eastAsia"/>
          <w:lang w:val="en-GB"/>
        </w:rPr>
        <w:t>至附件</w:t>
      </w:r>
      <w:r>
        <w:rPr>
          <w:rFonts w:ascii="Time New Roman" w:eastAsia="SimHei" w:hAnsi="Time New Roman" w:hint="eastAsia"/>
          <w:b/>
          <w:bCs/>
          <w:lang w:val="en-GB"/>
        </w:rPr>
        <w:t>11</w:t>
      </w:r>
      <w:r>
        <w:rPr>
          <w:rFonts w:hint="eastAsia"/>
          <w:lang w:val="en-GB"/>
        </w:rPr>
        <w:t>：芬兰政府于</w:t>
      </w:r>
      <w:r>
        <w:rPr>
          <w:rFonts w:hint="eastAsia"/>
          <w:lang w:val="en-GB"/>
        </w:rPr>
        <w:t>2000</w:t>
      </w:r>
      <w:r>
        <w:rPr>
          <w:rFonts w:hint="eastAsia"/>
          <w:lang w:val="en-GB"/>
        </w:rPr>
        <w:t>年、</w:t>
      </w:r>
      <w:r>
        <w:rPr>
          <w:rFonts w:hint="eastAsia"/>
          <w:lang w:val="en-GB"/>
        </w:rPr>
        <w:t>2002</w:t>
      </w:r>
      <w:r>
        <w:rPr>
          <w:rFonts w:hint="eastAsia"/>
          <w:lang w:val="en-GB"/>
        </w:rPr>
        <w:t>年以及</w:t>
      </w:r>
      <w:r>
        <w:rPr>
          <w:rFonts w:hint="eastAsia"/>
          <w:lang w:val="en-GB"/>
        </w:rPr>
        <w:t>2003</w:t>
      </w:r>
      <w:r>
        <w:rPr>
          <w:rFonts w:hint="eastAsia"/>
          <w:lang w:val="en-GB"/>
        </w:rPr>
        <w:t>年提交的关于为执行劳工组织《带酬休假公约》</w:t>
      </w:r>
      <w:r>
        <w:rPr>
          <w:rFonts w:hint="eastAsia"/>
          <w:lang w:val="en-GB"/>
        </w:rPr>
        <w:t>(</w:t>
      </w:r>
      <w:r>
        <w:rPr>
          <w:rFonts w:hint="eastAsia"/>
          <w:lang w:val="en-GB"/>
        </w:rPr>
        <w:t>第</w:t>
      </w:r>
      <w:r>
        <w:rPr>
          <w:rFonts w:hint="eastAsia"/>
          <w:lang w:val="en-GB"/>
        </w:rPr>
        <w:t>132</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12</w:t>
      </w:r>
      <w:r>
        <w:rPr>
          <w:rFonts w:hint="eastAsia"/>
          <w:lang w:val="en-GB"/>
        </w:rPr>
        <w:t>：芬兰政府于</w:t>
      </w:r>
      <w:r>
        <w:rPr>
          <w:rFonts w:hint="eastAsia"/>
          <w:lang w:val="en-GB"/>
        </w:rPr>
        <w:t>2004</w:t>
      </w:r>
      <w:r>
        <w:rPr>
          <w:rFonts w:hint="eastAsia"/>
          <w:lang w:val="en-GB"/>
        </w:rPr>
        <w:t>年提交的关于为执行劳工组织《劳动监察公约》</w:t>
      </w:r>
      <w:r>
        <w:rPr>
          <w:rFonts w:hint="eastAsia"/>
          <w:lang w:val="en-GB"/>
        </w:rPr>
        <w:t>(</w:t>
      </w:r>
      <w:r>
        <w:rPr>
          <w:rFonts w:hint="eastAsia"/>
          <w:lang w:val="en-GB"/>
        </w:rPr>
        <w:t>第</w:t>
      </w:r>
      <w:r>
        <w:rPr>
          <w:rFonts w:hint="eastAsia"/>
          <w:lang w:val="en-GB"/>
        </w:rPr>
        <w:t>81</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13</w:t>
      </w:r>
      <w:r>
        <w:rPr>
          <w:rFonts w:ascii="Time New Roman" w:eastAsia="SimHei" w:hAnsi="Time New Roman" w:hint="eastAsia"/>
          <w:lang w:val="en-GB"/>
        </w:rPr>
        <w:t>至附件</w:t>
      </w:r>
      <w:r>
        <w:rPr>
          <w:rFonts w:ascii="Time New Roman" w:eastAsia="SimHei" w:hAnsi="Time New Roman" w:hint="eastAsia"/>
          <w:b/>
          <w:bCs/>
          <w:lang w:val="en-GB"/>
        </w:rPr>
        <w:t>15</w:t>
      </w:r>
      <w:r>
        <w:rPr>
          <w:rFonts w:hint="eastAsia"/>
          <w:lang w:val="en-GB"/>
        </w:rPr>
        <w:t>：芬兰政府于</w:t>
      </w:r>
      <w:r>
        <w:rPr>
          <w:rFonts w:hint="eastAsia"/>
          <w:lang w:val="en-GB"/>
        </w:rPr>
        <w:t>2000</w:t>
      </w:r>
      <w:r>
        <w:rPr>
          <w:rFonts w:hint="eastAsia"/>
          <w:lang w:val="en-GB"/>
        </w:rPr>
        <w:t>年、</w:t>
      </w:r>
      <w:r>
        <w:rPr>
          <w:rFonts w:hint="eastAsia"/>
          <w:lang w:val="en-GB"/>
        </w:rPr>
        <w:t>2002</w:t>
      </w:r>
      <w:r>
        <w:rPr>
          <w:rFonts w:hint="eastAsia"/>
          <w:lang w:val="en-GB"/>
        </w:rPr>
        <w:t>年以及</w:t>
      </w:r>
      <w:r>
        <w:rPr>
          <w:rFonts w:hint="eastAsia"/>
          <w:lang w:val="en-GB"/>
        </w:rPr>
        <w:t>2003</w:t>
      </w:r>
      <w:r>
        <w:rPr>
          <w:rFonts w:hint="eastAsia"/>
          <w:lang w:val="en-GB"/>
        </w:rPr>
        <w:t>年提交的关于为执行劳工组织</w:t>
      </w:r>
      <w:r>
        <w:rPr>
          <w:rFonts w:hint="eastAsia"/>
          <w:lang w:val="en-GB"/>
        </w:rPr>
        <w:t>(</w:t>
      </w:r>
      <w:r>
        <w:rPr>
          <w:rFonts w:hint="eastAsia"/>
          <w:lang w:val="en-GB"/>
        </w:rPr>
        <w:t>农业</w:t>
      </w:r>
      <w:r>
        <w:rPr>
          <w:rFonts w:hint="eastAsia"/>
          <w:lang w:val="en-GB"/>
        </w:rPr>
        <w:t>)</w:t>
      </w:r>
      <w:r>
        <w:rPr>
          <w:rFonts w:hint="eastAsia"/>
          <w:lang w:val="en-GB"/>
        </w:rPr>
        <w:t>《劳动监察公约》</w:t>
      </w:r>
      <w:r>
        <w:rPr>
          <w:rFonts w:hint="eastAsia"/>
          <w:lang w:val="en-GB"/>
        </w:rPr>
        <w:t>(</w:t>
      </w:r>
      <w:r>
        <w:rPr>
          <w:rFonts w:hint="eastAsia"/>
          <w:lang w:val="en-GB"/>
        </w:rPr>
        <w:t>第</w:t>
      </w:r>
      <w:r>
        <w:rPr>
          <w:rFonts w:hint="eastAsia"/>
          <w:lang w:val="en-GB"/>
        </w:rPr>
        <w:t>129</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16</w:t>
      </w:r>
      <w:r>
        <w:rPr>
          <w:rFonts w:ascii="Time New Roman" w:eastAsia="SimHei" w:hAnsi="Time New Roman" w:hint="eastAsia"/>
          <w:lang w:val="en-GB"/>
        </w:rPr>
        <w:t>至附件</w:t>
      </w:r>
      <w:r>
        <w:rPr>
          <w:rFonts w:ascii="Time New Roman" w:eastAsia="SimHei" w:hAnsi="Time New Roman" w:hint="eastAsia"/>
          <w:b/>
          <w:bCs/>
          <w:lang w:val="en-GB"/>
        </w:rPr>
        <w:t>18</w:t>
      </w:r>
      <w:r>
        <w:rPr>
          <w:rFonts w:hint="eastAsia"/>
          <w:lang w:val="en-GB"/>
        </w:rPr>
        <w:t>：芬兰政府于</w:t>
      </w:r>
      <w:r>
        <w:rPr>
          <w:rFonts w:hint="eastAsia"/>
          <w:lang w:val="en-GB"/>
        </w:rPr>
        <w:t>2000</w:t>
      </w:r>
      <w:r>
        <w:rPr>
          <w:rFonts w:hint="eastAsia"/>
          <w:lang w:val="en-GB"/>
        </w:rPr>
        <w:t>年、</w:t>
      </w:r>
      <w:r>
        <w:rPr>
          <w:rFonts w:hint="eastAsia"/>
          <w:lang w:val="en-GB"/>
        </w:rPr>
        <w:t>2002</w:t>
      </w:r>
      <w:r>
        <w:rPr>
          <w:rFonts w:hint="eastAsia"/>
          <w:lang w:val="en-GB"/>
        </w:rPr>
        <w:t>年以及</w:t>
      </w:r>
      <w:r>
        <w:rPr>
          <w:rFonts w:hint="eastAsia"/>
          <w:lang w:val="en-GB"/>
        </w:rPr>
        <w:t>2003</w:t>
      </w:r>
      <w:r>
        <w:rPr>
          <w:rFonts w:hint="eastAsia"/>
          <w:lang w:val="en-GB"/>
        </w:rPr>
        <w:t>年提交的关于为执行劳工组织《结社自由和保护组织权利公约》</w:t>
      </w:r>
      <w:r>
        <w:rPr>
          <w:rFonts w:hint="eastAsia"/>
          <w:lang w:val="en-GB"/>
        </w:rPr>
        <w:t>(</w:t>
      </w:r>
      <w:r>
        <w:rPr>
          <w:rFonts w:hint="eastAsia"/>
          <w:lang w:val="en-GB"/>
        </w:rPr>
        <w:t>第</w:t>
      </w:r>
      <w:r>
        <w:rPr>
          <w:rFonts w:hint="eastAsia"/>
          <w:lang w:val="en-GB"/>
        </w:rPr>
        <w:t>87</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19</w:t>
      </w:r>
      <w:r>
        <w:rPr>
          <w:rFonts w:ascii="Time New Roman" w:eastAsia="SimHei" w:hAnsi="Time New Roman" w:hint="eastAsia"/>
          <w:lang w:val="en-GB"/>
        </w:rPr>
        <w:t>至附件</w:t>
      </w:r>
      <w:r>
        <w:rPr>
          <w:rFonts w:ascii="Time New Roman" w:eastAsia="SimHei" w:hAnsi="Time New Roman" w:hint="eastAsia"/>
          <w:b/>
          <w:bCs/>
          <w:lang w:val="en-GB"/>
        </w:rPr>
        <w:t>20</w:t>
      </w:r>
      <w:r>
        <w:rPr>
          <w:rFonts w:hint="eastAsia"/>
          <w:lang w:val="en-GB"/>
        </w:rPr>
        <w:t>：芬兰政府于</w:t>
      </w:r>
      <w:r>
        <w:rPr>
          <w:rFonts w:hint="eastAsia"/>
          <w:lang w:val="en-GB"/>
        </w:rPr>
        <w:t>2002</w:t>
      </w:r>
      <w:r>
        <w:rPr>
          <w:rFonts w:hint="eastAsia"/>
          <w:lang w:val="en-GB"/>
        </w:rPr>
        <w:t>年和</w:t>
      </w:r>
      <w:r>
        <w:rPr>
          <w:rFonts w:hint="eastAsia"/>
          <w:lang w:val="en-GB"/>
        </w:rPr>
        <w:t>2004</w:t>
      </w:r>
      <w:r>
        <w:rPr>
          <w:rFonts w:hint="eastAsia"/>
          <w:lang w:val="en-GB"/>
        </w:rPr>
        <w:t>年提交的关于为执行劳工组织《最恶劣形式的童工劳动公约》</w:t>
      </w:r>
      <w:r>
        <w:rPr>
          <w:rFonts w:hint="eastAsia"/>
          <w:lang w:val="en-GB"/>
        </w:rPr>
        <w:t>(</w:t>
      </w:r>
      <w:r>
        <w:rPr>
          <w:rFonts w:hint="eastAsia"/>
          <w:lang w:val="en-GB"/>
        </w:rPr>
        <w:t>第</w:t>
      </w:r>
      <w:r>
        <w:rPr>
          <w:rFonts w:hint="eastAsia"/>
          <w:lang w:val="en-GB"/>
        </w:rPr>
        <w:t>182</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21</w:t>
      </w:r>
      <w:r>
        <w:rPr>
          <w:rFonts w:ascii="Time New Roman" w:eastAsia="SimHei" w:hAnsi="Time New Roman" w:hint="eastAsia"/>
          <w:lang w:val="en-GB"/>
        </w:rPr>
        <w:t>至附件</w:t>
      </w:r>
      <w:r>
        <w:rPr>
          <w:rFonts w:ascii="Time New Roman" w:eastAsia="SimHei" w:hAnsi="Time New Roman" w:hint="eastAsia"/>
          <w:b/>
          <w:bCs/>
          <w:lang w:val="en-GB"/>
        </w:rPr>
        <w:t>23</w:t>
      </w:r>
      <w:r>
        <w:rPr>
          <w:rFonts w:hint="eastAsia"/>
          <w:lang w:val="en-GB"/>
        </w:rPr>
        <w:t>：芬兰政府于</w:t>
      </w:r>
      <w:r>
        <w:rPr>
          <w:rFonts w:hint="eastAsia"/>
          <w:lang w:val="en-GB"/>
        </w:rPr>
        <w:t>2000</w:t>
      </w:r>
      <w:r>
        <w:rPr>
          <w:rFonts w:hint="eastAsia"/>
          <w:lang w:val="en-GB"/>
        </w:rPr>
        <w:t>年、</w:t>
      </w:r>
      <w:r>
        <w:rPr>
          <w:rFonts w:hint="eastAsia"/>
          <w:lang w:val="en-GB"/>
        </w:rPr>
        <w:t>2002</w:t>
      </w:r>
      <w:r>
        <w:rPr>
          <w:rFonts w:hint="eastAsia"/>
          <w:lang w:val="en-GB"/>
        </w:rPr>
        <w:t>年以及</w:t>
      </w:r>
      <w:r>
        <w:rPr>
          <w:rFonts w:hint="eastAsia"/>
          <w:lang w:val="en-GB"/>
        </w:rPr>
        <w:t>2004</w:t>
      </w:r>
      <w:r>
        <w:rPr>
          <w:rFonts w:hint="eastAsia"/>
          <w:lang w:val="en-GB"/>
        </w:rPr>
        <w:t>年提交的关于为执行劳工组织《最低年龄公约》</w:t>
      </w:r>
      <w:r>
        <w:rPr>
          <w:rFonts w:hint="eastAsia"/>
          <w:lang w:val="en-GB"/>
        </w:rPr>
        <w:t>(</w:t>
      </w:r>
      <w:r>
        <w:rPr>
          <w:rFonts w:hint="eastAsia"/>
          <w:lang w:val="en-GB"/>
        </w:rPr>
        <w:t>第</w:t>
      </w:r>
      <w:r>
        <w:rPr>
          <w:rFonts w:hint="eastAsia"/>
          <w:lang w:val="en-GB"/>
        </w:rPr>
        <w:t>138</w:t>
      </w:r>
      <w:r>
        <w:rPr>
          <w:rFonts w:hint="eastAsia"/>
          <w:lang w:val="en-GB"/>
        </w:rPr>
        <w:t>号公约</w:t>
      </w:r>
      <w:r>
        <w:rPr>
          <w:rFonts w:hint="eastAsia"/>
          <w:lang w:val="en-GB"/>
        </w:rPr>
        <w:t>)</w:t>
      </w:r>
      <w:r>
        <w:rPr>
          <w:rFonts w:hint="eastAsia"/>
          <w:lang w:val="en-GB"/>
        </w:rPr>
        <w:t>的有关规定而采取的措施的定期报告</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24</w:t>
      </w:r>
      <w:r>
        <w:rPr>
          <w:rFonts w:hint="eastAsia"/>
          <w:lang w:val="en-GB"/>
        </w:rPr>
        <w:t>：《芬兰的工业意外和职业病》</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25</w:t>
      </w:r>
      <w:r>
        <w:rPr>
          <w:rFonts w:hint="eastAsia"/>
          <w:lang w:val="en-GB"/>
        </w:rPr>
        <w:t>：《</w:t>
      </w:r>
      <w:r>
        <w:rPr>
          <w:rFonts w:hint="eastAsia"/>
          <w:lang w:val="en-GB"/>
        </w:rPr>
        <w:t>2003</w:t>
      </w:r>
      <w:r>
        <w:rPr>
          <w:rFonts w:hint="eastAsia"/>
          <w:lang w:val="en-GB"/>
        </w:rPr>
        <w:t>年芬兰的社会保护趋势》；社会事务和卫生部；第</w:t>
      </w:r>
      <w:r>
        <w:rPr>
          <w:rFonts w:hint="eastAsia"/>
          <w:lang w:val="en-GB"/>
        </w:rPr>
        <w:t>2003</w:t>
      </w:r>
      <w:r>
        <w:rPr>
          <w:rFonts w:hint="eastAsia"/>
          <w:lang w:val="en-GB"/>
        </w:rPr>
        <w:t>：</w:t>
      </w:r>
      <w:r>
        <w:rPr>
          <w:rFonts w:hint="eastAsia"/>
          <w:lang w:val="en-GB"/>
        </w:rPr>
        <w:t>17</w:t>
      </w:r>
      <w:r>
        <w:rPr>
          <w:rFonts w:hint="eastAsia"/>
          <w:lang w:val="en-GB"/>
        </w:rPr>
        <w:t>号出版物</w:t>
      </w:r>
    </w:p>
    <w:p w:rsidR="00000000" w:rsidRDefault="00000000">
      <w:pPr>
        <w:rPr>
          <w:rFonts w:hint="eastAsia"/>
          <w:lang w:val="en-GB"/>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26</w:t>
      </w:r>
      <w:r>
        <w:rPr>
          <w:rFonts w:hint="eastAsia"/>
          <w:lang w:val="en-GB"/>
        </w:rPr>
        <w:t>：《芬兰国家退休金战略报告》；更新版，</w:t>
      </w:r>
      <w:r>
        <w:rPr>
          <w:rFonts w:hint="eastAsia"/>
          <w:lang w:val="en-GB"/>
        </w:rPr>
        <w:t>2002</w:t>
      </w:r>
      <w:r>
        <w:rPr>
          <w:rFonts w:hint="eastAsia"/>
          <w:lang w:val="en-GB"/>
        </w:rPr>
        <w:t>年</w:t>
      </w:r>
      <w:r>
        <w:rPr>
          <w:rFonts w:hint="eastAsia"/>
          <w:lang w:val="en-GB"/>
        </w:rPr>
        <w:t>10</w:t>
      </w:r>
      <w:r>
        <w:rPr>
          <w:rFonts w:hint="eastAsia"/>
          <w:lang w:val="en-GB"/>
        </w:rPr>
        <w:t>月；社会事务和卫生部</w:t>
      </w:r>
    </w:p>
    <w:p w:rsidR="00000000" w:rsidRDefault="00000000">
      <w:pPr>
        <w:rPr>
          <w:rFonts w:hint="eastAsia"/>
        </w:rPr>
      </w:pPr>
      <w:r>
        <w:rPr>
          <w:rFonts w:hint="eastAsia"/>
          <w:lang w:val="en-GB"/>
        </w:rPr>
        <w:tab/>
      </w:r>
      <w:r>
        <w:rPr>
          <w:rFonts w:ascii="Time New Roman" w:eastAsia="SimHei" w:hAnsi="Time New Roman" w:hint="eastAsia"/>
          <w:lang w:val="en-GB"/>
        </w:rPr>
        <w:t>附件</w:t>
      </w:r>
      <w:r>
        <w:rPr>
          <w:rFonts w:ascii="Time New Roman" w:eastAsia="SimHei" w:hAnsi="Time New Roman" w:hint="eastAsia"/>
          <w:b/>
          <w:bCs/>
          <w:lang w:val="en-GB"/>
        </w:rPr>
        <w:t>27</w:t>
      </w:r>
      <w:r>
        <w:rPr>
          <w:rFonts w:ascii="Time New Roman" w:eastAsia="SimHei" w:hAnsi="Time New Roman" w:hint="eastAsia"/>
          <w:lang w:val="en-GB"/>
        </w:rPr>
        <w:t>至附件</w:t>
      </w:r>
      <w:r>
        <w:rPr>
          <w:rFonts w:ascii="Time New Roman" w:eastAsia="SimHei" w:hAnsi="Time New Roman" w:hint="eastAsia"/>
          <w:b/>
          <w:bCs/>
          <w:lang w:val="en-GB"/>
        </w:rPr>
        <w:t>31</w:t>
      </w:r>
      <w:r>
        <w:rPr>
          <w:rFonts w:hint="eastAsia"/>
          <w:lang w:val="en-GB"/>
        </w:rPr>
        <w:t>：社会事务和卫生部于</w:t>
      </w:r>
      <w:r>
        <w:rPr>
          <w:rFonts w:hint="eastAsia"/>
          <w:lang w:val="en-GB"/>
        </w:rPr>
        <w:t>2000</w:t>
      </w:r>
      <w:r>
        <w:rPr>
          <w:rFonts w:hint="eastAsia"/>
          <w:lang w:val="en-GB"/>
        </w:rPr>
        <w:t>年、</w:t>
      </w:r>
      <w:r>
        <w:rPr>
          <w:rFonts w:hint="eastAsia"/>
          <w:lang w:val="en-GB"/>
        </w:rPr>
        <w:t>2001</w:t>
      </w:r>
      <w:r>
        <w:rPr>
          <w:rFonts w:hint="eastAsia"/>
          <w:lang w:val="en-GB"/>
        </w:rPr>
        <w:t>年、</w:t>
      </w:r>
      <w:r>
        <w:rPr>
          <w:rFonts w:hint="eastAsia"/>
          <w:lang w:val="en-GB"/>
        </w:rPr>
        <w:t>2002</w:t>
      </w:r>
      <w:r>
        <w:rPr>
          <w:rFonts w:hint="eastAsia"/>
          <w:lang w:val="en-GB"/>
        </w:rPr>
        <w:t>年、</w:t>
      </w:r>
      <w:r>
        <w:rPr>
          <w:rFonts w:hint="eastAsia"/>
          <w:lang w:val="en-GB"/>
        </w:rPr>
        <w:t>2003</w:t>
      </w:r>
      <w:r>
        <w:rPr>
          <w:rFonts w:hint="eastAsia"/>
          <w:lang w:val="en-GB"/>
        </w:rPr>
        <w:t>年以及</w:t>
      </w:r>
      <w:r>
        <w:rPr>
          <w:rFonts w:hint="eastAsia"/>
          <w:lang w:val="en-GB"/>
        </w:rPr>
        <w:t>2004</w:t>
      </w:r>
      <w:r>
        <w:rPr>
          <w:rFonts w:hint="eastAsia"/>
          <w:lang w:val="en-GB"/>
        </w:rPr>
        <w:t>年提交的</w:t>
      </w:r>
      <w:r>
        <w:t>MISSOC</w:t>
      </w:r>
      <w:r>
        <w:rPr>
          <w:rFonts w:hint="eastAsia"/>
        </w:rPr>
        <w:t>国家报告</w:t>
      </w:r>
    </w:p>
    <w:p w:rsidR="00000000" w:rsidRDefault="00000000">
      <w:pPr>
        <w:rPr>
          <w:rFonts w:hint="eastAsia"/>
          <w:lang w:val="en-GB"/>
        </w:rPr>
      </w:pPr>
      <w:r>
        <w:rPr>
          <w:rFonts w:hint="eastAsia"/>
        </w:rPr>
        <w:tab/>
      </w:r>
      <w:r>
        <w:rPr>
          <w:rFonts w:ascii="Time New Roman" w:eastAsia="SimHei" w:hAnsi="Time New Roman" w:hint="eastAsia"/>
          <w:lang w:val="en-GB"/>
        </w:rPr>
        <w:t>附件</w:t>
      </w:r>
      <w:r>
        <w:rPr>
          <w:rFonts w:ascii="Time New Roman" w:eastAsia="SimHei" w:hAnsi="Time New Roman" w:hint="eastAsia"/>
          <w:b/>
          <w:bCs/>
          <w:lang w:val="en-GB"/>
        </w:rPr>
        <w:t>32</w:t>
      </w:r>
      <w:r>
        <w:rPr>
          <w:rFonts w:hint="eastAsia"/>
        </w:rPr>
        <w:t>：</w:t>
      </w:r>
      <w:r>
        <w:rPr>
          <w:rFonts w:hint="eastAsia"/>
        </w:rPr>
        <w:t>2003</w:t>
      </w:r>
      <w:r>
        <w:rPr>
          <w:rFonts w:hint="eastAsia"/>
        </w:rPr>
        <w:t>年至</w:t>
      </w:r>
      <w:r>
        <w:rPr>
          <w:rFonts w:hint="eastAsia"/>
        </w:rPr>
        <w:t>2007</w:t>
      </w:r>
      <w:r>
        <w:rPr>
          <w:rFonts w:hint="eastAsia"/>
        </w:rPr>
        <w:t>年的否决方案；社会事务和卫生部第</w:t>
      </w:r>
      <w:r>
        <w:rPr>
          <w:rFonts w:hint="eastAsia"/>
        </w:rPr>
        <w:t>2003</w:t>
      </w:r>
      <w:r>
        <w:rPr>
          <w:rFonts w:hint="eastAsia"/>
        </w:rPr>
        <w:t>：</w:t>
      </w:r>
      <w:r>
        <w:rPr>
          <w:rFonts w:hint="eastAsia"/>
        </w:rPr>
        <w:t>18</w:t>
      </w:r>
      <w:r>
        <w:rPr>
          <w:rFonts w:hint="eastAsia"/>
        </w:rPr>
        <w:t>号复印资料。</w:t>
      </w:r>
    </w:p>
    <w:p w:rsidR="00000000" w:rsidRDefault="00000000">
      <w:pPr>
        <w:rPr>
          <w:rFonts w:hint="eastAsia"/>
          <w:lang w:val="en-GB"/>
        </w:rPr>
      </w:pPr>
    </w:p>
    <w:p w:rsidR="00000000" w:rsidRDefault="00000000">
      <w:pPr>
        <w:rPr>
          <w:lang w:val="en-GB"/>
        </w:rPr>
      </w:pPr>
    </w:p>
    <w:p w:rsidR="00000000" w:rsidRDefault="00000000">
      <w:pPr>
        <w:jc w:val="center"/>
      </w:pPr>
      <w:r>
        <w:t>--  --  --  --  --</w:t>
      </w:r>
    </w:p>
    <w:p w:rsidR="00000000" w:rsidRDefault="00000000"/>
    <w:sectPr w:rsidR="00000000">
      <w:headerReference w:type="default" r:id="rId14"/>
      <w:headerReference w:type="first" r:id="rId15"/>
      <w:endnotePr>
        <w:numFmt w:val="decimal"/>
        <w:numRestart w:val="eachSect"/>
      </w:endnotePr>
      <w:pgSz w:w="11906" w:h="16838"/>
      <w:pgMar w:top="1985" w:right="1276" w:bottom="1985" w:left="1276" w:header="794" w:footer="15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line="240" w:lineRule="auto"/>
      </w:pPr>
      <w:r>
        <w:continuationSeparator/>
      </w:r>
    </w:p>
  </w:endnote>
  <w:endnote w:id="1">
    <w:p w:rsidR="00000000" w:rsidRDefault="00000000">
      <w:pPr>
        <w:pStyle w:val="EndnoteText"/>
        <w:ind w:firstLine="14"/>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p>
    <w:p w:rsidR="00000000" w:rsidRDefault="00000000">
      <w:pPr>
        <w:pStyle w:val="EndnoteText"/>
        <w:spacing w:before="120"/>
        <w:rPr>
          <w:rFonts w:hint="eastAsia"/>
          <w:spacing w:val="0"/>
        </w:rPr>
      </w:pPr>
      <w:r>
        <w:rPr>
          <w:rStyle w:val="EndnoteReference"/>
          <w:position w:val="6"/>
          <w:vertAlign w:val="baseline"/>
        </w:rPr>
        <w:t>*</w:t>
      </w:r>
      <w:r>
        <w:rPr>
          <w:spacing w:val="0"/>
        </w:rPr>
        <w:t xml:space="preserve"> </w:t>
      </w:r>
      <w:r>
        <w:rPr>
          <w:rFonts w:hint="eastAsia"/>
          <w:spacing w:val="0"/>
        </w:rPr>
        <w:t xml:space="preserve"> </w:t>
      </w:r>
      <w:r>
        <w:rPr>
          <w:rFonts w:hint="eastAsia"/>
          <w:spacing w:val="0"/>
        </w:rPr>
        <w:t>关于第</w:t>
      </w:r>
      <w:r>
        <w:rPr>
          <w:rFonts w:hint="eastAsia"/>
          <w:spacing w:val="0"/>
        </w:rPr>
        <w:t>1</w:t>
      </w:r>
      <w:r>
        <w:rPr>
          <w:rFonts w:hint="eastAsia"/>
          <w:spacing w:val="0"/>
        </w:rPr>
        <w:t>至</w:t>
      </w:r>
      <w:r>
        <w:rPr>
          <w:rFonts w:hint="eastAsia"/>
          <w:spacing w:val="0"/>
        </w:rPr>
        <w:t>15</w:t>
      </w:r>
      <w:r>
        <w:rPr>
          <w:rFonts w:hint="eastAsia"/>
          <w:spacing w:val="0"/>
        </w:rPr>
        <w:t>条所述权利的第四次定期报告</w:t>
      </w:r>
      <w:r>
        <w:rPr>
          <w:rFonts w:hint="eastAsia"/>
          <w:spacing w:val="0"/>
        </w:rPr>
        <w:t>(E/C.12/4/</w:t>
      </w:r>
      <w:r>
        <w:rPr>
          <w:spacing w:val="0"/>
        </w:rPr>
        <w:t>Add.1)</w:t>
      </w:r>
      <w:r>
        <w:rPr>
          <w:rFonts w:hint="eastAsia"/>
          <w:spacing w:val="0"/>
        </w:rPr>
        <w:t>由经济、社会及文化权利委员会第二十四届会议于</w:t>
      </w:r>
      <w:r>
        <w:rPr>
          <w:rFonts w:hint="eastAsia"/>
          <w:spacing w:val="0"/>
        </w:rPr>
        <w:t>2000</w:t>
      </w:r>
      <w:r>
        <w:rPr>
          <w:rFonts w:hint="eastAsia"/>
          <w:spacing w:val="0"/>
        </w:rPr>
        <w:t>年</w:t>
      </w:r>
      <w:r>
        <w:rPr>
          <w:rFonts w:hint="eastAsia"/>
          <w:spacing w:val="0"/>
        </w:rPr>
        <w:t>11</w:t>
      </w:r>
      <w:r>
        <w:rPr>
          <w:rFonts w:hint="eastAsia"/>
          <w:spacing w:val="0"/>
        </w:rPr>
        <w:t>月进行了审议。</w:t>
      </w:r>
      <w:r>
        <w:rPr>
          <w:rFonts w:hint="eastAsia"/>
          <w:spacing w:val="0"/>
        </w:rPr>
        <w:t>(</w:t>
      </w:r>
      <w:r>
        <w:rPr>
          <w:rFonts w:hint="eastAsia"/>
          <w:spacing w:val="0"/>
        </w:rPr>
        <w:t>见</w:t>
      </w:r>
      <w:r>
        <w:rPr>
          <w:rFonts w:hint="eastAsia"/>
          <w:spacing w:val="0"/>
        </w:rPr>
        <w:t>E/C.12/2000/SR.61-63,</w:t>
      </w:r>
      <w:r>
        <w:rPr>
          <w:spacing w:val="0"/>
        </w:rPr>
        <w:t xml:space="preserve"> </w:t>
      </w:r>
      <w:r>
        <w:rPr>
          <w:rFonts w:hint="eastAsia"/>
          <w:spacing w:val="0"/>
        </w:rPr>
        <w:t>E/C.12/ 1/</w:t>
      </w:r>
      <w:r>
        <w:rPr>
          <w:spacing w:val="0"/>
        </w:rPr>
        <w:t>Add.52)</w:t>
      </w:r>
      <w:r>
        <w:rPr>
          <w:rFonts w:hint="eastAsia"/>
          <w:spacing w:val="0"/>
        </w:rPr>
        <w:t>。</w:t>
      </w:r>
    </w:p>
  </w:endnote>
  <w:endnote w:id="2">
    <w:p w:rsidR="00000000" w:rsidRDefault="00000000">
      <w:pPr>
        <w:pStyle w:val="EndnoteText"/>
        <w:rPr>
          <w:rFonts w:hint="eastAsia"/>
          <w:spacing w:val="0"/>
        </w:rPr>
      </w:pPr>
      <w:r>
        <w:rPr>
          <w:rStyle w:val="EndnoteReference"/>
          <w:spacing w:val="-12"/>
          <w:position w:val="6"/>
          <w:vertAlign w:val="baseline"/>
        </w:rPr>
        <w:t>**</w:t>
      </w:r>
      <w:r>
        <w:rPr>
          <w:spacing w:val="0"/>
        </w:rPr>
        <w:t xml:space="preserve"> </w:t>
      </w:r>
      <w:r>
        <w:rPr>
          <w:rFonts w:hint="eastAsia"/>
          <w:spacing w:val="0"/>
        </w:rPr>
        <w:t xml:space="preserve"> </w:t>
      </w:r>
      <w:r>
        <w:rPr>
          <w:rFonts w:hint="eastAsia"/>
          <w:spacing w:val="0"/>
        </w:rPr>
        <w:t>芬兰按照关于缔约国初次报告的指导原则提供的信息载于核心文件</w:t>
      </w:r>
      <w:r>
        <w:rPr>
          <w:rFonts w:hint="eastAsia"/>
          <w:spacing w:val="0"/>
        </w:rPr>
        <w:t>(HRI/CORE/ 1/</w:t>
      </w:r>
      <w:r>
        <w:rPr>
          <w:spacing w:val="0"/>
        </w:rPr>
        <w:t>Add.59/Rev.2)</w:t>
      </w:r>
      <w:r>
        <w:rPr>
          <w:rFonts w:hint="eastAsia"/>
          <w:spacing w:val="0"/>
        </w:rPr>
        <w:t>。</w:t>
      </w:r>
    </w:p>
  </w:endnote>
  <w:endnote w:id="3">
    <w:p w:rsidR="00000000" w:rsidRDefault="00000000">
      <w:pPr>
        <w:pStyle w:val="EndnoteText"/>
        <w:spacing w:after="240"/>
        <w:rPr>
          <w:rFonts w:hint="eastAsia"/>
          <w:spacing w:val="0"/>
        </w:rPr>
      </w:pPr>
      <w:r>
        <w:rPr>
          <w:rStyle w:val="EndnoteReference"/>
          <w:spacing w:val="-12"/>
          <w:position w:val="6"/>
          <w:vertAlign w:val="baseline"/>
        </w:rPr>
        <w:t>***</w:t>
      </w:r>
      <w:r>
        <w:rPr>
          <w:spacing w:val="0"/>
        </w:rPr>
        <w:t xml:space="preserve"> </w:t>
      </w:r>
      <w:r>
        <w:rPr>
          <w:rFonts w:hint="eastAsia"/>
          <w:spacing w:val="0"/>
        </w:rPr>
        <w:t xml:space="preserve"> </w:t>
      </w:r>
      <w:r>
        <w:rPr>
          <w:rFonts w:hint="eastAsia"/>
          <w:spacing w:val="0"/>
        </w:rPr>
        <w:t>根据缔约国提交的有关处理其报告的信息，本文件在送交联合国翻译部门前未经正式编辑。</w:t>
      </w:r>
    </w:p>
  </w:endnote>
  <w:endnote w:id="4">
    <w:p w:rsidR="00000000" w:rsidRDefault="00000000">
      <w:pPr>
        <w:pStyle w:val="Heading3"/>
        <w:rPr>
          <w:rFonts w:hint="eastAsia"/>
        </w:rPr>
      </w:pPr>
      <w:r>
        <w:rPr>
          <w:rFonts w:hint="eastAsia"/>
        </w:rPr>
        <w:t>注</w:t>
      </w:r>
    </w:p>
    <w:p w:rsidR="00000000" w:rsidRDefault="00000000">
      <w:pPr>
        <w:pStyle w:val="EndnoteText"/>
        <w:rPr>
          <w:rFonts w:hint="eastAsia"/>
          <w:spacing w:val="0"/>
        </w:rPr>
      </w:pPr>
      <w:r>
        <w:rPr>
          <w:rStyle w:val="EndnoteReference"/>
        </w:rPr>
        <w:endnoteRef/>
      </w:r>
      <w:r>
        <w:rPr>
          <w:spacing w:val="0"/>
        </w:rPr>
        <w:t xml:space="preserve"> </w:t>
      </w:r>
      <w:r>
        <w:rPr>
          <w:rFonts w:hint="eastAsia"/>
          <w:spacing w:val="0"/>
        </w:rPr>
        <w:t xml:space="preserve"> </w:t>
      </w:r>
      <w:r>
        <w:rPr>
          <w:rFonts w:hint="eastAsia"/>
          <w:spacing w:val="0"/>
        </w:rPr>
        <w:t>家庭暴力的概念要比性伙伴暴力的概念宽，因为家庭暴力包括家庭成员之间的所有暴力行为。警方登记家庭暴力的标准可能各有所不同。</w:t>
      </w:r>
    </w:p>
  </w:endnote>
  <w:endnote w:id="5">
    <w:p w:rsidR="00000000" w:rsidRDefault="00000000">
      <w:pPr>
        <w:pStyle w:val="EndnoteText"/>
        <w:rPr>
          <w:rFonts w:hint="eastAsia"/>
          <w:spacing w:val="0"/>
        </w:rPr>
      </w:pPr>
      <w:r>
        <w:rPr>
          <w:rStyle w:val="EndnoteReference"/>
        </w:rPr>
        <w:endnoteRef/>
      </w:r>
      <w:r>
        <w:rPr>
          <w:spacing w:val="0"/>
        </w:rPr>
        <w:t xml:space="preserve"> </w:t>
      </w:r>
      <w:r>
        <w:rPr>
          <w:rFonts w:hint="eastAsia"/>
          <w:spacing w:val="0"/>
        </w:rPr>
        <w:t xml:space="preserve"> 15</w:t>
      </w:r>
      <w:r>
        <w:rPr>
          <w:rFonts w:hint="eastAsia"/>
          <w:spacing w:val="0"/>
        </w:rPr>
        <w:t>岁至</w:t>
      </w:r>
      <w:r>
        <w:rPr>
          <w:rFonts w:hint="eastAsia"/>
          <w:spacing w:val="0"/>
        </w:rPr>
        <w:t>24</w:t>
      </w:r>
      <w:r>
        <w:rPr>
          <w:rFonts w:hint="eastAsia"/>
          <w:spacing w:val="0"/>
        </w:rPr>
        <w:t>岁。</w:t>
      </w:r>
    </w:p>
  </w:endnote>
  <w:endnote w:id="6">
    <w:p w:rsidR="00000000" w:rsidRDefault="00000000">
      <w:pPr>
        <w:pStyle w:val="EndnoteText"/>
        <w:rPr>
          <w:rFonts w:hint="eastAsia"/>
          <w:spacing w:val="0"/>
        </w:rPr>
      </w:pPr>
      <w:r>
        <w:rPr>
          <w:rStyle w:val="EndnoteReference"/>
        </w:rPr>
        <w:endnoteRef/>
      </w:r>
      <w:r>
        <w:rPr>
          <w:spacing w:val="0"/>
        </w:rPr>
        <w:t xml:space="preserve"> </w:t>
      </w:r>
      <w:r>
        <w:rPr>
          <w:rFonts w:hint="eastAsia"/>
          <w:spacing w:val="0"/>
        </w:rPr>
        <w:t xml:space="preserve"> 55</w:t>
      </w:r>
      <w:r>
        <w:rPr>
          <w:rFonts w:hint="eastAsia"/>
          <w:spacing w:val="0"/>
        </w:rPr>
        <w:t>岁至</w:t>
      </w:r>
      <w:r>
        <w:rPr>
          <w:rFonts w:hint="eastAsia"/>
          <w:spacing w:val="0"/>
        </w:rPr>
        <w:t>64</w:t>
      </w:r>
      <w:r>
        <w:rPr>
          <w:rFonts w:hint="eastAsia"/>
          <w:spacing w:val="0"/>
        </w:rPr>
        <w:t>岁。</w:t>
      </w:r>
    </w:p>
  </w:endnote>
  <w:endnote w:id="7">
    <w:p w:rsidR="00000000" w:rsidRDefault="00000000">
      <w:pPr>
        <w:pStyle w:val="EndnoteText"/>
        <w:rPr>
          <w:rFonts w:hint="eastAsia"/>
          <w:spacing w:val="0"/>
        </w:rPr>
      </w:pPr>
      <w:r>
        <w:rPr>
          <w:rStyle w:val="EndnoteReference"/>
        </w:rPr>
        <w:endnoteRef/>
      </w:r>
      <w:r>
        <w:rPr>
          <w:spacing w:val="0"/>
        </w:rPr>
        <w:t xml:space="preserve"> </w:t>
      </w:r>
      <w:r>
        <w:rPr>
          <w:rFonts w:hint="eastAsia"/>
          <w:spacing w:val="0"/>
        </w:rPr>
        <w:t xml:space="preserve"> 25</w:t>
      </w:r>
      <w:r>
        <w:rPr>
          <w:rFonts w:hint="eastAsia"/>
          <w:spacing w:val="0"/>
        </w:rPr>
        <w:t>岁以下的人。</w:t>
      </w:r>
    </w:p>
  </w:endnote>
  <w:endnote w:id="8">
    <w:p w:rsidR="00000000" w:rsidRDefault="00000000">
      <w:pPr>
        <w:pStyle w:val="EndnoteText"/>
        <w:rPr>
          <w:rFonts w:hint="eastAsia"/>
          <w:spacing w:val="0"/>
        </w:rPr>
      </w:pPr>
      <w:r>
        <w:rPr>
          <w:rStyle w:val="EndnoteReference"/>
        </w:rPr>
        <w:endnoteRef/>
      </w:r>
      <w:r>
        <w:rPr>
          <w:spacing w:val="0"/>
        </w:rPr>
        <w:t xml:space="preserve"> </w:t>
      </w:r>
      <w:r>
        <w:rPr>
          <w:rFonts w:hint="eastAsia"/>
          <w:spacing w:val="0"/>
        </w:rPr>
        <w:t xml:space="preserve"> </w:t>
      </w:r>
      <w:r>
        <w:rPr>
          <w:rFonts w:hint="eastAsia"/>
          <w:spacing w:val="0"/>
        </w:rPr>
        <w:t>连续失业超过一年的人。</w:t>
      </w:r>
    </w:p>
  </w:endnote>
  <w:endnote w:id="9">
    <w:p w:rsidR="00000000" w:rsidRDefault="00000000">
      <w:pPr>
        <w:pStyle w:val="EndnoteText"/>
        <w:rPr>
          <w:rFonts w:hint="eastAsia"/>
          <w:spacing w:val="0"/>
        </w:rPr>
      </w:pPr>
      <w:r>
        <w:rPr>
          <w:rStyle w:val="EndnoteReference"/>
        </w:rPr>
        <w:endnoteRef/>
      </w:r>
      <w:r>
        <w:rPr>
          <w:spacing w:val="0"/>
        </w:rPr>
        <w:t xml:space="preserve"> </w:t>
      </w:r>
      <w:r>
        <w:rPr>
          <w:rFonts w:hint="eastAsia"/>
          <w:spacing w:val="0"/>
        </w:rPr>
        <w:t xml:space="preserve"> </w:t>
      </w:r>
      <w:r>
        <w:rPr>
          <w:rFonts w:hint="eastAsia"/>
          <w:spacing w:val="0"/>
        </w:rPr>
        <w:t>确诊为工作能力有障碍的人。</w:t>
      </w:r>
    </w:p>
  </w:endnote>
  <w:endnote w:id="10">
    <w:p w:rsidR="00000000" w:rsidRDefault="00000000">
      <w:pPr>
        <w:pStyle w:val="EndnoteText"/>
        <w:rPr>
          <w:rFonts w:hint="eastAsia"/>
          <w:spacing w:val="0"/>
        </w:rPr>
      </w:pPr>
      <w:r>
        <w:rPr>
          <w:rStyle w:val="EndnoteReference"/>
        </w:rPr>
        <w:endnoteRef/>
      </w:r>
      <w:r>
        <w:rPr>
          <w:spacing w:val="0"/>
        </w:rPr>
        <w:t xml:space="preserve"> </w:t>
      </w:r>
      <w:r>
        <w:rPr>
          <w:rFonts w:hint="eastAsia"/>
          <w:spacing w:val="0"/>
        </w:rPr>
        <w:t xml:space="preserve"> </w:t>
      </w:r>
      <w:r>
        <w:rPr>
          <w:rFonts w:hint="eastAsia"/>
          <w:spacing w:val="0"/>
        </w:rPr>
        <w:t>根据芬兰统计局，至少</w:t>
      </w:r>
      <w:r>
        <w:rPr>
          <w:rFonts w:hint="eastAsia"/>
          <w:spacing w:val="0"/>
        </w:rPr>
        <w:t>70%</w:t>
      </w:r>
      <w:r>
        <w:rPr>
          <w:rFonts w:hint="eastAsia"/>
          <w:spacing w:val="0"/>
        </w:rPr>
        <w:t>的居民住在人口稠密地区的城镇属于城市地区。这种分类与其官方地位无关。</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06-40335 (C)</w:t>
          </w:r>
        </w:p>
      </w:tc>
      <w:tc>
        <w:tcPr>
          <w:tcW w:w="1050" w:type="dxa"/>
        </w:tcPr>
        <w:p w:rsidR="00000000" w:rsidRDefault="00000000">
          <w:pPr>
            <w:pStyle w:val="Footer"/>
          </w:pPr>
          <w:r>
            <w:t>030506</w:t>
          </w:r>
        </w:p>
      </w:tc>
      <w:tc>
        <w:tcPr>
          <w:tcW w:w="6061" w:type="dxa"/>
        </w:tcPr>
        <w:p w:rsidR="00000000" w:rsidRDefault="00000000">
          <w:pPr>
            <w:pStyle w:val="Footer"/>
          </w:pPr>
          <w:r>
            <w:t>180506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E/C.12/FIN/5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rPr>
        <w:rFonts w:hint="eastAsia"/>
      </w:rPr>
      <w:tab/>
    </w:r>
    <w:r>
      <w:t>E/C.12/FIN/5</w:t>
    </w:r>
  </w:p>
  <w:p w:rsidR="00000000" w:rsidRDefault="00000000">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44"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46" style="position:absolute;left:0;text-align:left;margin-left:525.3pt;margin-top:59.05pt;width:26pt;height:36pt;z-index:-4;mso-position-horizontal-relative:page;mso-position-vertical-relative:page" o:allowincell="f" filled="f" stroked="f" strokeweight="0">
          <v:textbox style="mso-next-textbox:#_x0000_s1046"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45" type="#_x0000_t202" style="position:absolute;left:0;text-align:left;margin-left:-19.5pt;margin-top:6.25pt;width:83.35pt;height:66.45pt;z-index:14" strokecolor="white">
          <v:textbox style="mso-next-textbox:#_x0000_s1045">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49" type="#_x0000_t202" style="position:absolute;left:0;text-align:left;margin-left:338pt;margin-top:2.8pt;width:136.5pt;height:108pt;z-index:18"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E/C.12/FIN/5</w:t>
                </w:r>
              </w:p>
              <w:p w:rsidR="00000000" w:rsidRDefault="00000000">
                <w:pPr>
                  <w:pStyle w:val="Header"/>
                </w:pPr>
                <w:r>
                  <w:t>8 February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48"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47"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E/C.12/FIN/5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38" style="position:absolute;left:0;text-align:left;margin-left:-12pt;margin-top:95.45pt;width:492.05pt;height:.95pt;z-index:-12;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40" style="position:absolute;left:0;text-align:left;margin-left:525.3pt;margin-top:59.05pt;width:26pt;height:36pt;z-index:-10;mso-position-horizontal-relative:page;mso-position-vertical-relative:page" o:allowincell="f" filled="f" stroked="f" strokeweight="0">
          <v:textbox style="mso-next-textbox:#_x0000_s1040"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9" type="#_x0000_t202" style="position:absolute;left:0;text-align:left;margin-left:-19.5pt;margin-top:6.25pt;width:83.35pt;height:66.45pt;z-index:8" strokecolor="white">
          <v:textbox style="mso-next-textbox:#_x0000_s1039">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43" type="#_x0000_t202" style="position:absolute;left:0;text-align:left;margin-left:338pt;margin-top:2.8pt;width:136.5pt;height:108pt;z-index:12"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E/C.12/FIN/5</w:t>
                </w:r>
              </w:p>
              <w:p w:rsidR="00000000" w:rsidRDefault="00000000">
                <w:pPr>
                  <w:pStyle w:val="Header"/>
                </w:pPr>
                <w:r>
                  <w:t>8 February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42" style="position:absolute;left:0;text-align:left;margin-left:135.3pt;margin-top:121.45pt;width:201.5pt;height:31.25pt;z-index:-8;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41" style="position:absolute;left:0;text-align:left;margin-left:-12pt;margin-top:235.85pt;width:492.05pt;height:.05pt;z-index:-9;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rPr>
        <w:rFonts w:hint="eastAsia"/>
      </w:rPr>
      <w:tab/>
    </w:r>
    <w:r>
      <w:t>E/C.12/FIN/5</w:t>
    </w:r>
  </w:p>
  <w:p w:rsidR="00000000" w:rsidRDefault="00000000">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125</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32" style="position:absolute;left:0;text-align:left;margin-left:-12pt;margin-top:95.45pt;width:492.05pt;height:.95pt;z-index:-18;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34" style="position:absolute;left:0;text-align:left;margin-left:525.3pt;margin-top:59.05pt;width:26pt;height:36pt;z-index:-16;mso-position-horizontal-relative:page;mso-position-vertical-relative:page" o:allowincell="f" filled="f" stroked="f" strokeweight="0">
          <v:textbox style="mso-next-textbox:#_x0000_s1034"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3" type="#_x0000_t202" style="position:absolute;left:0;text-align:left;margin-left:-19.5pt;margin-top:6.25pt;width:83.35pt;height:66.45pt;z-index:2" strokecolor="white">
          <v:textbox style="mso-next-textbox:#_x0000_s1033">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7" type="#_x0000_t202" style="position:absolute;left:0;text-align:left;margin-left:338pt;margin-top:2.8pt;width:136.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E/C.12/FIN/5</w:t>
                </w:r>
              </w:p>
              <w:p w:rsidR="00000000" w:rsidRDefault="00000000">
                <w:pPr>
                  <w:pStyle w:val="Header"/>
                </w:pPr>
                <w:r>
                  <w:t>8 February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6" style="position:absolute;left:0;text-align:left;margin-left:135.3pt;margin-top:121.45pt;width:201.5pt;height:31.25pt;z-index:-14;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5" style="position:absolute;left:0;text-align:left;margin-left:-12pt;margin-top:235.85pt;width:492.05pt;height:.05pt;z-index:-15;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441FA"/>
    <w:multiLevelType w:val="hybridMultilevel"/>
    <w:tmpl w:val="8B3CF686"/>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4">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17">
    <w:nsid w:val="0923380D"/>
    <w:multiLevelType w:val="hybridMultilevel"/>
    <w:tmpl w:val="0C58F4E4"/>
    <w:lvl w:ilvl="0" w:tplc="27EE314E">
      <w:start w:val="1"/>
      <w:numFmt w:val="decimal"/>
      <w:lvlRestart w:val="0"/>
      <w:lvlText w:val="(%1)"/>
      <w:lvlJc w:val="right"/>
      <w:pPr>
        <w:tabs>
          <w:tab w:val="num" w:pos="227"/>
        </w:tabs>
        <w:ind w:left="227" w:hanging="227"/>
      </w:pPr>
      <w:rPr>
        <w:rFonts w:ascii="Times New Roman" w:hAnsi="Times New Roman"/>
        <w:b w:val="0"/>
        <w:i w:val="0"/>
        <w:sz w:val="22"/>
      </w:rPr>
    </w:lvl>
    <w:lvl w:ilvl="1" w:tplc="04090019" w:tentative="1">
      <w:start w:val="1"/>
      <w:numFmt w:val="ideographTraditional"/>
      <w:lvlText w:val="%2、"/>
      <w:lvlJc w:val="left"/>
      <w:pPr>
        <w:tabs>
          <w:tab w:val="num" w:pos="-401"/>
        </w:tabs>
        <w:ind w:left="-401" w:hanging="480"/>
      </w:pPr>
    </w:lvl>
    <w:lvl w:ilvl="2" w:tplc="0409001B" w:tentative="1">
      <w:start w:val="1"/>
      <w:numFmt w:val="lowerRoman"/>
      <w:lvlText w:val="%3."/>
      <w:lvlJc w:val="right"/>
      <w:pPr>
        <w:tabs>
          <w:tab w:val="num" w:pos="79"/>
        </w:tabs>
        <w:ind w:left="79" w:hanging="480"/>
      </w:pPr>
    </w:lvl>
    <w:lvl w:ilvl="3" w:tplc="0409000F" w:tentative="1">
      <w:start w:val="1"/>
      <w:numFmt w:val="decimal"/>
      <w:lvlText w:val="%4."/>
      <w:lvlJc w:val="left"/>
      <w:pPr>
        <w:tabs>
          <w:tab w:val="num" w:pos="559"/>
        </w:tabs>
        <w:ind w:left="559" w:hanging="480"/>
      </w:pPr>
    </w:lvl>
    <w:lvl w:ilvl="4" w:tplc="04090019" w:tentative="1">
      <w:start w:val="1"/>
      <w:numFmt w:val="ideographTraditional"/>
      <w:lvlText w:val="%5、"/>
      <w:lvlJc w:val="left"/>
      <w:pPr>
        <w:tabs>
          <w:tab w:val="num" w:pos="1039"/>
        </w:tabs>
        <w:ind w:left="1039" w:hanging="480"/>
      </w:pPr>
    </w:lvl>
    <w:lvl w:ilvl="5" w:tplc="0409001B" w:tentative="1">
      <w:start w:val="1"/>
      <w:numFmt w:val="lowerRoman"/>
      <w:lvlText w:val="%6."/>
      <w:lvlJc w:val="right"/>
      <w:pPr>
        <w:tabs>
          <w:tab w:val="num" w:pos="1519"/>
        </w:tabs>
        <w:ind w:left="1519" w:hanging="480"/>
      </w:pPr>
    </w:lvl>
    <w:lvl w:ilvl="6" w:tplc="0409000F" w:tentative="1">
      <w:start w:val="1"/>
      <w:numFmt w:val="decimal"/>
      <w:lvlText w:val="%7."/>
      <w:lvlJc w:val="left"/>
      <w:pPr>
        <w:tabs>
          <w:tab w:val="num" w:pos="1999"/>
        </w:tabs>
        <w:ind w:left="1999" w:hanging="480"/>
      </w:pPr>
    </w:lvl>
    <w:lvl w:ilvl="7" w:tplc="04090019" w:tentative="1">
      <w:start w:val="1"/>
      <w:numFmt w:val="ideographTraditional"/>
      <w:lvlText w:val="%8、"/>
      <w:lvlJc w:val="left"/>
      <w:pPr>
        <w:tabs>
          <w:tab w:val="num" w:pos="2479"/>
        </w:tabs>
        <w:ind w:left="2479" w:hanging="480"/>
      </w:pPr>
    </w:lvl>
    <w:lvl w:ilvl="8" w:tplc="0409001B" w:tentative="1">
      <w:start w:val="1"/>
      <w:numFmt w:val="lowerRoman"/>
      <w:lvlText w:val="%9."/>
      <w:lvlJc w:val="right"/>
      <w:pPr>
        <w:tabs>
          <w:tab w:val="num" w:pos="2959"/>
        </w:tabs>
        <w:ind w:left="2959" w:hanging="480"/>
      </w:pPr>
    </w:lvl>
  </w:abstractNum>
  <w:abstractNum w:abstractNumId="18">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9">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0FD80370"/>
    <w:multiLevelType w:val="hybridMultilevel"/>
    <w:tmpl w:val="CC00B4D4"/>
    <w:lvl w:ilvl="0" w:tplc="73807CC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1CD0D22"/>
    <w:multiLevelType w:val="hybridMultilevel"/>
    <w:tmpl w:val="2A661892"/>
    <w:lvl w:ilvl="0" w:tplc="CF28B26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30">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1">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170C549E"/>
    <w:multiLevelType w:val="singleLevel"/>
    <w:tmpl w:val="01325DD6"/>
    <w:lvl w:ilvl="0">
      <w:start w:val="1"/>
      <w:numFmt w:val="lowerLetter"/>
      <w:lvlText w:val="(%1)"/>
      <w:lvlJc w:val="left"/>
      <w:pPr>
        <w:tabs>
          <w:tab w:val="num" w:pos="720"/>
        </w:tabs>
        <w:ind w:left="720" w:hanging="720"/>
      </w:pPr>
    </w:lvl>
  </w:abstractNum>
  <w:abstractNum w:abstractNumId="33">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5">
    <w:nsid w:val="190A4ABC"/>
    <w:multiLevelType w:val="hybridMultilevel"/>
    <w:tmpl w:val="858A6176"/>
    <w:lvl w:ilvl="0" w:tplc="A516C5DC">
      <w:start w:val="1"/>
      <w:numFmt w:val="decimal"/>
      <w:lvlRestart w:val="0"/>
      <w:lvlText w:val="(%1)"/>
      <w:lvlJc w:val="right"/>
      <w:pPr>
        <w:tabs>
          <w:tab w:val="num" w:pos="1588"/>
        </w:tabs>
        <w:ind w:left="1588" w:hanging="227"/>
      </w:pPr>
      <w:rPr>
        <w:rFonts w:ascii="Times New Roman" w:hAnsi="Times New Roman" w:hint="eastAsia"/>
        <w:b w:val="0"/>
        <w:i w:val="0"/>
        <w:sz w:val="22"/>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3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2">
    <w:nsid w:val="25E620F0"/>
    <w:multiLevelType w:val="hybridMultilevel"/>
    <w:tmpl w:val="96A229CE"/>
    <w:lvl w:ilvl="0" w:tplc="3EC20D8E">
      <w:start w:val="1"/>
      <w:numFmt w:val="decimal"/>
      <w:lvlRestart w:val="0"/>
      <w:lvlText w:val="(%1)"/>
      <w:lvlJc w:val="right"/>
      <w:pPr>
        <w:tabs>
          <w:tab w:val="num" w:pos="1531"/>
        </w:tabs>
        <w:ind w:left="1531" w:hanging="227"/>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27A11119"/>
    <w:multiLevelType w:val="hybridMultilevel"/>
    <w:tmpl w:val="3C8AFB40"/>
    <w:lvl w:ilvl="0" w:tplc="A516C5DC">
      <w:start w:val="1"/>
      <w:numFmt w:val="decimal"/>
      <w:lvlRestart w:val="0"/>
      <w:lvlText w:val="(%1)"/>
      <w:lvlJc w:val="right"/>
      <w:pPr>
        <w:tabs>
          <w:tab w:val="num" w:pos="1588"/>
        </w:tabs>
        <w:ind w:left="1588" w:hanging="227"/>
      </w:pPr>
      <w:rPr>
        <w:rFonts w:ascii="Times New Roman" w:hAnsi="Times New Roman" w:hint="eastAsia"/>
        <w:b w:val="0"/>
        <w:i w:val="0"/>
        <w:sz w:val="22"/>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45">
    <w:nsid w:val="28904D5F"/>
    <w:multiLevelType w:val="hybridMultilevel"/>
    <w:tmpl w:val="E228B970"/>
    <w:lvl w:ilvl="0" w:tplc="A516C5DC">
      <w:start w:val="1"/>
      <w:numFmt w:val="decimal"/>
      <w:lvlRestart w:val="0"/>
      <w:lvlText w:val="(%1)"/>
      <w:lvlJc w:val="right"/>
      <w:pPr>
        <w:tabs>
          <w:tab w:val="num" w:pos="1588"/>
        </w:tabs>
        <w:ind w:left="1588" w:hanging="227"/>
      </w:pPr>
      <w:rPr>
        <w:rFonts w:ascii="Times New Roman" w:hAnsi="Times New Roman" w:hint="eastAsia"/>
        <w:b w:val="0"/>
        <w:i w:val="0"/>
        <w:sz w:val="22"/>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4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2B3F49C6"/>
    <w:multiLevelType w:val="singleLevel"/>
    <w:tmpl w:val="E94C9216"/>
    <w:lvl w:ilvl="0">
      <w:start w:val="1"/>
      <w:numFmt w:val="lowerRoman"/>
      <w:lvlText w:val="(%1)"/>
      <w:lvlJc w:val="right"/>
      <w:pPr>
        <w:tabs>
          <w:tab w:val="num" w:pos="2160"/>
        </w:tabs>
        <w:ind w:left="2160" w:hanging="516"/>
      </w:pPr>
    </w:lvl>
  </w:abstractNum>
  <w:abstractNum w:abstractNumId="48">
    <w:nsid w:val="302A75A7"/>
    <w:multiLevelType w:val="singleLevel"/>
    <w:tmpl w:val="3496DD40"/>
    <w:lvl w:ilvl="0">
      <w:start w:val="1"/>
      <w:numFmt w:val="decimal"/>
      <w:lvlText w:val="(%1)"/>
      <w:lvlJc w:val="left"/>
      <w:pPr>
        <w:tabs>
          <w:tab w:val="num" w:pos="1440"/>
        </w:tabs>
        <w:ind w:left="1440" w:hanging="720"/>
      </w:pPr>
    </w:lvl>
  </w:abstractNum>
  <w:abstractNum w:abstractNumId="49">
    <w:nsid w:val="30AC6E33"/>
    <w:multiLevelType w:val="hybridMultilevel"/>
    <w:tmpl w:val="2A661892"/>
    <w:lvl w:ilvl="0" w:tplc="EA16F4D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51">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52">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36255761"/>
    <w:multiLevelType w:val="singleLevel"/>
    <w:tmpl w:val="0409000F"/>
    <w:lvl w:ilvl="0">
      <w:start w:val="1"/>
      <w:numFmt w:val="decimal"/>
      <w:lvlText w:val="%1."/>
      <w:lvlJc w:val="left"/>
      <w:pPr>
        <w:tabs>
          <w:tab w:val="num" w:pos="360"/>
        </w:tabs>
        <w:ind w:left="360" w:hanging="360"/>
      </w:pPr>
    </w:lvl>
  </w:abstractNum>
  <w:abstractNum w:abstractNumId="54">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38DD2A97"/>
    <w:multiLevelType w:val="hybridMultilevel"/>
    <w:tmpl w:val="2A661892"/>
    <w:lvl w:ilvl="0" w:tplc="D992745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57">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58">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6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6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40221049"/>
    <w:multiLevelType w:val="singleLevel"/>
    <w:tmpl w:val="04D4B0C4"/>
    <w:lvl w:ilvl="0">
      <w:start w:val="1"/>
      <w:numFmt w:val="decimal"/>
      <w:lvlText w:val="%1."/>
      <w:lvlJc w:val="left"/>
      <w:pPr>
        <w:tabs>
          <w:tab w:val="num" w:pos="360"/>
        </w:tabs>
        <w:ind w:left="360" w:hanging="360"/>
      </w:pPr>
    </w:lvl>
  </w:abstractNum>
  <w:abstractNum w:abstractNumId="6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65">
    <w:nsid w:val="452D144C"/>
    <w:multiLevelType w:val="singleLevel"/>
    <w:tmpl w:val="7C4C0A7C"/>
    <w:lvl w:ilvl="0">
      <w:start w:val="1"/>
      <w:numFmt w:val="decimal"/>
      <w:lvlText w:val="(%1)"/>
      <w:lvlJc w:val="left"/>
      <w:pPr>
        <w:tabs>
          <w:tab w:val="num" w:pos="720"/>
        </w:tabs>
        <w:ind w:left="720" w:hanging="720"/>
      </w:pPr>
    </w:lvl>
  </w:abstractNum>
  <w:abstractNum w:abstractNumId="66">
    <w:nsid w:val="46031AAF"/>
    <w:multiLevelType w:val="hybridMultilevel"/>
    <w:tmpl w:val="BB16DC70"/>
    <w:lvl w:ilvl="0" w:tplc="A516C5DC">
      <w:start w:val="1"/>
      <w:numFmt w:val="decimal"/>
      <w:lvlRestart w:val="0"/>
      <w:lvlText w:val="(%1)"/>
      <w:lvlJc w:val="right"/>
      <w:pPr>
        <w:tabs>
          <w:tab w:val="num" w:pos="1588"/>
        </w:tabs>
        <w:ind w:left="1588" w:hanging="227"/>
      </w:pPr>
      <w:rPr>
        <w:rFonts w:ascii="Times New Roman" w:hAnsi="Times New Roman" w:hint="eastAsia"/>
        <w:b w:val="0"/>
        <w:i w:val="0"/>
        <w:sz w:val="22"/>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6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1">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74">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76">
    <w:nsid w:val="4EFA2598"/>
    <w:multiLevelType w:val="singleLevel"/>
    <w:tmpl w:val="0409000F"/>
    <w:lvl w:ilvl="0">
      <w:start w:val="1"/>
      <w:numFmt w:val="decimal"/>
      <w:lvlText w:val="%1."/>
      <w:lvlJc w:val="left"/>
      <w:pPr>
        <w:tabs>
          <w:tab w:val="num" w:pos="360"/>
        </w:tabs>
        <w:ind w:left="360" w:hanging="360"/>
      </w:pPr>
    </w:lvl>
  </w:abstractNum>
  <w:abstractNum w:abstractNumId="77">
    <w:nsid w:val="4EFE1E0E"/>
    <w:multiLevelType w:val="hybridMultilevel"/>
    <w:tmpl w:val="E5FE08E6"/>
    <w:lvl w:ilvl="0" w:tplc="73807CC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81">
    <w:nsid w:val="51283F52"/>
    <w:multiLevelType w:val="hybridMultilevel"/>
    <w:tmpl w:val="BADE44E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83">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85">
    <w:nsid w:val="555B42D2"/>
    <w:multiLevelType w:val="hybridMultilevel"/>
    <w:tmpl w:val="745A0A4E"/>
    <w:lvl w:ilvl="0" w:tplc="A516C5DC">
      <w:start w:val="1"/>
      <w:numFmt w:val="decimal"/>
      <w:lvlRestart w:val="0"/>
      <w:lvlText w:val="(%1)"/>
      <w:lvlJc w:val="right"/>
      <w:pPr>
        <w:tabs>
          <w:tab w:val="num" w:pos="1588"/>
        </w:tabs>
        <w:ind w:left="1588" w:hanging="227"/>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87">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8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0">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91">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3">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95">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96">
    <w:nsid w:val="60707C51"/>
    <w:multiLevelType w:val="hybridMultilevel"/>
    <w:tmpl w:val="ADC28D5C"/>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15F3A4F"/>
    <w:multiLevelType w:val="hybridMultilevel"/>
    <w:tmpl w:val="ADC28D5C"/>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9">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0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01">
    <w:nsid w:val="65D15DFE"/>
    <w:multiLevelType w:val="singleLevel"/>
    <w:tmpl w:val="475E6D3C"/>
    <w:lvl w:ilvl="0">
      <w:start w:val="1"/>
      <w:numFmt w:val="decimal"/>
      <w:lvlText w:val="%1."/>
      <w:lvlJc w:val="left"/>
      <w:pPr>
        <w:tabs>
          <w:tab w:val="num" w:pos="360"/>
        </w:tabs>
        <w:ind w:left="360" w:hanging="360"/>
      </w:pPr>
    </w:lvl>
  </w:abstractNum>
  <w:abstractNum w:abstractNumId="102">
    <w:nsid w:val="65F52D6F"/>
    <w:multiLevelType w:val="hybridMultilevel"/>
    <w:tmpl w:val="8660BBD8"/>
    <w:lvl w:ilvl="0" w:tplc="E3CEF336">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nsid w:val="674514DF"/>
    <w:multiLevelType w:val="hybridMultilevel"/>
    <w:tmpl w:val="ADC28D5C"/>
    <w:lvl w:ilvl="0" w:tplc="73807CC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05">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07">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6AD82DDE"/>
    <w:multiLevelType w:val="hybridMultilevel"/>
    <w:tmpl w:val="BADE44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1">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3">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15">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7">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18">
    <w:nsid w:val="7ACA643D"/>
    <w:multiLevelType w:val="singleLevel"/>
    <w:tmpl w:val="0409000F"/>
    <w:lvl w:ilvl="0">
      <w:start w:val="1"/>
      <w:numFmt w:val="decimal"/>
      <w:lvlText w:val="%1."/>
      <w:lvlJc w:val="left"/>
      <w:pPr>
        <w:tabs>
          <w:tab w:val="num" w:pos="360"/>
        </w:tabs>
        <w:ind w:left="360" w:hanging="360"/>
      </w:pPr>
    </w:lvl>
  </w:abstractNum>
  <w:abstractNum w:abstractNumId="11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2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21">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122">
    <w:nsid w:val="7DBF6B58"/>
    <w:multiLevelType w:val="singleLevel"/>
    <w:tmpl w:val="0409000F"/>
    <w:lvl w:ilvl="0">
      <w:start w:val="1"/>
      <w:numFmt w:val="decimal"/>
      <w:lvlText w:val="%1."/>
      <w:lvlJc w:val="left"/>
      <w:pPr>
        <w:tabs>
          <w:tab w:val="num" w:pos="360"/>
        </w:tabs>
        <w:ind w:left="360" w:hanging="360"/>
      </w:pPr>
    </w:lvl>
  </w:abstractNum>
  <w:abstractNum w:abstractNumId="12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25">
    <w:nsid w:val="7FE36A9F"/>
    <w:multiLevelType w:val="hybridMultilevel"/>
    <w:tmpl w:val="68CE3564"/>
    <w:lvl w:ilvl="0" w:tplc="EA7C425A">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0"/>
  </w:num>
  <w:num w:numId="2">
    <w:abstractNumId w:val="57"/>
  </w:num>
  <w:num w:numId="3">
    <w:abstractNumId w:val="50"/>
  </w:num>
  <w:num w:numId="4">
    <w:abstractNumId w:val="51"/>
  </w:num>
  <w:num w:numId="5">
    <w:abstractNumId w:val="116"/>
  </w:num>
  <w:num w:numId="6">
    <w:abstractNumId w:val="11"/>
  </w:num>
  <w:num w:numId="7">
    <w:abstractNumId w:val="71"/>
  </w:num>
  <w:num w:numId="8">
    <w:abstractNumId w:val="43"/>
  </w:num>
  <w:num w:numId="9">
    <w:abstractNumId w:val="24"/>
  </w:num>
  <w:num w:numId="10">
    <w:abstractNumId w:val="31"/>
  </w:num>
  <w:num w:numId="11">
    <w:abstractNumId w:val="110"/>
  </w:num>
  <w:num w:numId="12">
    <w:abstractNumId w:val="36"/>
  </w:num>
  <w:num w:numId="13">
    <w:abstractNumId w:val="114"/>
  </w:num>
  <w:num w:numId="14">
    <w:abstractNumId w:val="75"/>
  </w:num>
  <w:num w:numId="15">
    <w:abstractNumId w:val="82"/>
  </w:num>
  <w:num w:numId="16">
    <w:abstractNumId w:val="18"/>
  </w:num>
  <w:num w:numId="17">
    <w:abstractNumId w:val="123"/>
  </w:num>
  <w:num w:numId="18">
    <w:abstractNumId w:val="109"/>
  </w:num>
  <w:num w:numId="19">
    <w:abstractNumId w:val="105"/>
  </w:num>
  <w:num w:numId="20">
    <w:abstractNumId w:val="20"/>
  </w:num>
  <w:num w:numId="21">
    <w:abstractNumId w:val="79"/>
  </w:num>
  <w:num w:numId="22">
    <w:abstractNumId w:val="84"/>
  </w:num>
  <w:num w:numId="23">
    <w:abstractNumId w:val="119"/>
  </w:num>
  <w:num w:numId="24">
    <w:abstractNumId w:val="94"/>
  </w:num>
  <w:num w:numId="25">
    <w:abstractNumId w:val="92"/>
  </w:num>
  <w:num w:numId="26">
    <w:abstractNumId w:val="69"/>
  </w:num>
  <w:num w:numId="27">
    <w:abstractNumId w:val="27"/>
  </w:num>
  <w:num w:numId="28">
    <w:abstractNumId w:val="23"/>
  </w:num>
  <w:num w:numId="29">
    <w:abstractNumId w:val="124"/>
  </w:num>
  <w:num w:numId="30">
    <w:abstractNumId w:val="13"/>
  </w:num>
  <w:num w:numId="31">
    <w:abstractNumId w:val="34"/>
  </w:num>
  <w:num w:numId="32">
    <w:abstractNumId w:val="113"/>
  </w:num>
  <w:num w:numId="33">
    <w:abstractNumId w:val="46"/>
  </w:num>
  <w:num w:numId="34">
    <w:abstractNumId w:val="104"/>
  </w:num>
  <w:num w:numId="35">
    <w:abstractNumId w:val="100"/>
  </w:num>
  <w:num w:numId="36">
    <w:abstractNumId w:val="58"/>
  </w:num>
  <w:num w:numId="37">
    <w:abstractNumId w:val="86"/>
  </w:num>
  <w:num w:numId="38">
    <w:abstractNumId w:val="91"/>
  </w:num>
  <w:num w:numId="39">
    <w:abstractNumId w:val="111"/>
  </w:num>
  <w:num w:numId="40">
    <w:abstractNumId w:val="19"/>
  </w:num>
  <w:num w:numId="41">
    <w:abstractNumId w:val="54"/>
  </w:num>
  <w:num w:numId="42">
    <w:abstractNumId w:val="120"/>
  </w:num>
  <w:num w:numId="43">
    <w:abstractNumId w:val="90"/>
  </w:num>
  <w:num w:numId="44">
    <w:abstractNumId w:val="106"/>
  </w:num>
  <w:num w:numId="45">
    <w:abstractNumId w:val="41"/>
  </w:num>
  <w:num w:numId="46">
    <w:abstractNumId w:val="56"/>
  </w:num>
  <w:num w:numId="47">
    <w:abstractNumId w:val="30"/>
  </w:num>
  <w:num w:numId="48">
    <w:abstractNumId w:val="95"/>
  </w:num>
  <w:num w:numId="49">
    <w:abstractNumId w:val="87"/>
  </w:num>
  <w:num w:numId="50">
    <w:abstractNumId w:val="61"/>
  </w:num>
  <w:num w:numId="51">
    <w:abstractNumId w:val="33"/>
  </w:num>
  <w:num w:numId="52">
    <w:abstractNumId w:val="88"/>
  </w:num>
  <w:num w:numId="53">
    <w:abstractNumId w:val="29"/>
  </w:num>
  <w:num w:numId="54">
    <w:abstractNumId w:val="60"/>
  </w:num>
  <w:num w:numId="55">
    <w:abstractNumId w:val="73"/>
  </w:num>
  <w:num w:numId="56">
    <w:abstractNumId w:val="117"/>
  </w:num>
  <w:num w:numId="57">
    <w:abstractNumId w:val="83"/>
  </w:num>
  <w:num w:numId="58">
    <w:abstractNumId w:val="63"/>
  </w:num>
  <w:num w:numId="59">
    <w:abstractNumId w:val="52"/>
  </w:num>
  <w:num w:numId="60">
    <w:abstractNumId w:val="16"/>
  </w:num>
  <w:num w:numId="61">
    <w:abstractNumId w:val="74"/>
  </w:num>
  <w:num w:numId="62">
    <w:abstractNumId w:val="38"/>
  </w:num>
  <w:num w:numId="63">
    <w:abstractNumId w:val="99"/>
  </w:num>
  <w:num w:numId="64">
    <w:abstractNumId w:val="98"/>
  </w:num>
  <w:num w:numId="65">
    <w:abstractNumId w:val="14"/>
  </w:num>
  <w:num w:numId="66">
    <w:abstractNumId w:val="78"/>
  </w:num>
  <w:num w:numId="67">
    <w:abstractNumId w:val="37"/>
  </w:num>
  <w:num w:numId="68">
    <w:abstractNumId w:val="72"/>
  </w:num>
  <w:num w:numId="69">
    <w:abstractNumId w:val="25"/>
  </w:num>
  <w:num w:numId="70">
    <w:abstractNumId w:val="93"/>
  </w:num>
  <w:num w:numId="71">
    <w:abstractNumId w:val="68"/>
  </w:num>
  <w:num w:numId="72">
    <w:abstractNumId w:val="112"/>
  </w:num>
  <w:num w:numId="73">
    <w:abstractNumId w:val="107"/>
  </w:num>
  <w:num w:numId="74">
    <w:abstractNumId w:val="39"/>
  </w:num>
  <w:num w:numId="75">
    <w:abstractNumId w:val="64"/>
  </w:num>
  <w:num w:numId="76">
    <w:abstractNumId w:val="67"/>
  </w:num>
  <w:num w:numId="77">
    <w:abstractNumId w:val="40"/>
  </w:num>
  <w:num w:numId="78">
    <w:abstractNumId w:val="115"/>
  </w:num>
  <w:num w:numId="79">
    <w:abstractNumId w:val="102"/>
  </w:num>
  <w:num w:numId="80">
    <w:abstractNumId w:val="85"/>
  </w:num>
  <w:num w:numId="81">
    <w:abstractNumId w:val="35"/>
  </w:num>
  <w:num w:numId="82">
    <w:abstractNumId w:val="44"/>
  </w:num>
  <w:num w:numId="83">
    <w:abstractNumId w:val="45"/>
  </w:num>
  <w:num w:numId="84">
    <w:abstractNumId w:val="66"/>
  </w:num>
  <w:num w:numId="85">
    <w:abstractNumId w:val="59"/>
  </w:num>
  <w:num w:numId="86">
    <w:abstractNumId w:val="125"/>
  </w:num>
  <w:num w:numId="87">
    <w:abstractNumId w:val="121"/>
  </w:num>
  <w:num w:numId="88">
    <w:abstractNumId w:val="47"/>
  </w:num>
  <w:num w:numId="89">
    <w:abstractNumId w:val="15"/>
  </w:num>
  <w:num w:numId="90">
    <w:abstractNumId w:val="53"/>
  </w:num>
  <w:num w:numId="91">
    <w:abstractNumId w:val="62"/>
  </w:num>
  <w:num w:numId="92">
    <w:abstractNumId w:val="118"/>
  </w:num>
  <w:num w:numId="93">
    <w:abstractNumId w:val="76"/>
  </w:num>
  <w:num w:numId="94">
    <w:abstractNumId w:val="122"/>
  </w:num>
  <w:num w:numId="95">
    <w:abstractNumId w:val="70"/>
  </w:num>
  <w:num w:numId="96">
    <w:abstractNumId w:val="101"/>
  </w:num>
  <w:num w:numId="97">
    <w:abstractNumId w:val="0"/>
  </w:num>
  <w:num w:numId="98">
    <w:abstractNumId w:val="28"/>
  </w:num>
  <w:num w:numId="99">
    <w:abstractNumId w:val="49"/>
  </w:num>
  <w:num w:numId="100">
    <w:abstractNumId w:val="55"/>
  </w:num>
  <w:num w:numId="101">
    <w:abstractNumId w:val="1"/>
  </w:num>
  <w:num w:numId="102">
    <w:abstractNumId w:val="48"/>
  </w:num>
  <w:num w:numId="103">
    <w:abstractNumId w:val="12"/>
  </w:num>
  <w:num w:numId="104">
    <w:abstractNumId w:val="32"/>
  </w:num>
  <w:num w:numId="105">
    <w:abstractNumId w:val="21"/>
  </w:num>
  <w:num w:numId="106">
    <w:abstractNumId w:val="65"/>
  </w:num>
  <w:num w:numId="107">
    <w:abstractNumId w:val="89"/>
  </w:num>
  <w:num w:numId="108">
    <w:abstractNumId w:val="2"/>
  </w:num>
  <w:num w:numId="109">
    <w:abstractNumId w:val="3"/>
  </w:num>
  <w:num w:numId="110">
    <w:abstractNumId w:val="8"/>
  </w:num>
  <w:num w:numId="111">
    <w:abstractNumId w:val="9"/>
  </w:num>
  <w:num w:numId="112">
    <w:abstractNumId w:val="7"/>
  </w:num>
  <w:num w:numId="113">
    <w:abstractNumId w:val="6"/>
  </w:num>
  <w:num w:numId="114">
    <w:abstractNumId w:val="5"/>
  </w:num>
  <w:num w:numId="115">
    <w:abstractNumId w:val="4"/>
  </w:num>
  <w:num w:numId="116">
    <w:abstractNumId w:val="22"/>
  </w:num>
  <w:num w:numId="117">
    <w:abstractNumId w:val="108"/>
  </w:num>
  <w:num w:numId="118">
    <w:abstractNumId w:val="81"/>
  </w:num>
  <w:num w:numId="119">
    <w:abstractNumId w:val="10"/>
  </w:num>
  <w:num w:numId="120">
    <w:abstractNumId w:val="26"/>
  </w:num>
  <w:num w:numId="121">
    <w:abstractNumId w:val="103"/>
  </w:num>
  <w:num w:numId="122">
    <w:abstractNumId w:val="77"/>
  </w:num>
  <w:num w:numId="123">
    <w:abstractNumId w:val="97"/>
  </w:num>
  <w:num w:numId="124">
    <w:abstractNumId w:val="96"/>
  </w:num>
  <w:num w:numId="125">
    <w:abstractNumId w:val="17"/>
  </w:num>
  <w:num w:numId="12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numRestart w:val="eachSect"/>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85"/>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Default">
    <w:name w:val="Default"/>
    <w:pPr>
      <w:autoSpaceDE w:val="0"/>
      <w:autoSpaceDN w:val="0"/>
      <w:adjustRightInd w:val="0"/>
    </w:pPr>
    <w:rPr>
      <w:rFonts w:ascii="TimesNewRoman" w:hAnsi="TimesNewRoman"/>
      <w:lang w:val="en-US" w:eastAsia="en-US"/>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m.fi" TargetMode="Externa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_rels/header7.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15985</Words>
  <Characters>91117</Characters>
  <Application>Microsoft Office Word</Application>
  <DocSecurity>4</DocSecurity>
  <Lines>759</Lines>
  <Paragraphs>182</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经济及社会理事会</vt:lpstr>
      <vt:lpstr>    </vt:lpstr>
      <vt:lpstr>    《经济、社会和文化国际公约》的执行情况</vt:lpstr>
      <vt:lpstr>        缔约国根据《公约》第16和17条 提交的第四次定期报告</vt:lpstr>
      <vt:lpstr>    芬   兰 * ** ***</vt:lpstr>
      <vt:lpstr>    导  言</vt:lpstr>
      <vt:lpstr>        委员会的结论性意见(01/12/2000/E/C.12/1/Add.52)</vt:lpstr>
      <vt:lpstr>        D.  主要的关注问题</vt:lpstr>
      <vt:lpstr>        D 12.  判例法</vt:lpstr>
      <vt:lpstr>        D14.  种族主义态度</vt:lpstr>
      <vt:lpstr>        D15.  所谓“待聘”工人享有的劳动权利</vt:lpstr>
      <vt:lpstr>        D16.  最低工资</vt:lpstr>
      <vt:lpstr>        表  1. 1999-2004年大赫尔辛基地区无家可归者的人数</vt:lpstr>
      <vt:lpstr>        E.  建  议</vt:lpstr>
      <vt:lpstr>        E 31.  公共卫生服务</vt:lpstr>
      <vt:lpstr>        E 32.  适足的卫生服务，特别是向弱势群体提供的卫生服务</vt:lpstr>
      <vt:lpstr>        E 34.  结论性意见的传播</vt:lpstr>
      <vt:lpstr>        第 一 条</vt:lpstr>
      <vt:lpstr>        第 二 条</vt:lpstr>
      <vt:lpstr>        禁止歧视</vt:lpstr>
      <vt:lpstr>        第 三 条</vt:lpstr>
      <vt:lpstr>        1.  法律的修订</vt:lpstr>
      <vt:lpstr>        2.  平等方针</vt:lpstr>
      <vt:lpstr>        第 六 条</vt:lpstr>
      <vt:lpstr>        1.  国际公约</vt:lpstr>
      <vt:lpstr>        2.(a)  就业的状况、水平和趋势</vt:lpstr>
      <vt:lpstr>        表  2. 1994年、1999年和2004年芬兰的劳工分类</vt:lpstr>
      <vt:lpstr>        </vt:lpstr>
      <vt:lpstr>        表  3. 1994年、1999年和2004年就业人员分类</vt:lpstr>
      <vt:lpstr>        表  4.</vt:lpstr>
      <vt:lpstr>        1994年、1999年和2004年从事非全日制工作 (每周工作1-29小时)的人员分类</vt:lpstr>
      <vt:lpstr>        表  5. 1994年、1999年和2004年失业人员分类</vt:lpstr>
      <vt:lpstr>        2.(b)  政策和措施</vt:lpstr>
      <vt:lpstr>        表  6. 1994年、1999年和2004年失业求职者的分类</vt:lpstr>
      <vt:lpstr>        2.	(c) 生产率</vt:lpstr>
      <vt:lpstr>        2.	(d) 选择就业的自由</vt:lpstr>
      <vt:lpstr>        2.(e)  技术和职业培训方案</vt:lpstr>
      <vt:lpstr>        表  7. 1999年至2002年劳工市场培训学员人数</vt:lpstr>
      <vt:lpstr>        表  8. 2002年和2003年参加由国家资助的劳工市场培训班的学员分类</vt:lpstr>
      <vt:lpstr>        表  9. 已经就业或者已经参加培训的外国人</vt:lpstr>
      <vt:lpstr>        表  10.</vt:lpstr>
      <vt:lpstr>        在2000年至2004年期间有权领取融合津贴的移民及其进入 劳动力市场的措施和在公开的劳动力市场就业情况</vt:lpstr>
      <vt:lpstr>        3.(c)  不应将区别、排斥或者特惠视为歧视的情况</vt:lpstr>
      <vt:lpstr>        4.  占有一个以上全职工作的劳动人口</vt:lpstr>
      <vt:lpstr>        5.  在国家立法方面的其他变化</vt:lpstr>
      <vt:lpstr>    第 七 条</vt:lpstr>
      <vt:lpstr>        1.  芬兰批准的劳工组织公约</vt:lpstr>
      <vt:lpstr>        2.(a)  用于确定工资的主要办法</vt:lpstr>
      <vt:lpstr>        2.(b)  最低工资制度</vt:lpstr>
      <vt:lpstr>        2.(c)  同工同酬</vt:lpstr>
      <vt:lpstr>        3.  关于职业卫生和安全的规定</vt:lpstr>
      <vt:lpstr>        4.  有关同等晋升机会原则的执行情况</vt:lpstr>
      <vt:lpstr>        5.  工作时间、照给工资的定期休假以及公共假日的报酬</vt:lpstr>
      <vt:lpstr>        5.(a)  影响实现上述权利的因素和困难</vt:lpstr>
      <vt:lpstr>        5.(b)  无法享受上述权利的职工分类</vt:lpstr>
      <vt:lpstr>        6.  国家法律的改革</vt:lpstr>
      <vt:lpstr>    第 八 条</vt:lpstr>
      <vt:lpstr>        1.  国际公约</vt:lpstr>
      <vt:lpstr>        2.(e)  有关工会及其工会会员的数目和结构的数据</vt:lpstr>
      <vt:lpstr>        3.  罢工的权利</vt:lpstr>
      <vt:lpstr>    第 九 条</vt:lpstr>
      <vt:lpstr>        1.  芬兰所批准的劳工组织公约</vt:lpstr>
      <vt:lpstr>        2.  社会保障部门</vt:lpstr>
      <vt:lpstr>        2.(a)  医疗服务</vt:lpstr>
      <vt:lpstr>        表  11. 2001年、2002年以及2003年医疗服务中心的牙科病人 在2001年和2002年治疗的病人</vt:lpstr>
      <vt:lpstr>        2003年治疗的病人</vt:lpstr>
      <vt:lpstr>        表  12. 2002年医疗服务部门的牙科专业人员</vt:lpstr>
      <vt:lpstr>        表  13. 2001年(作为基本医疗服务一部分的)牙科医疗的业务费用</vt:lpstr>
      <vt:lpstr>        2.(b)  现金疾病补助</vt:lpstr>
      <vt:lpstr>        表  14. 2005年的疾病补助(例子)</vt:lpstr>
      <vt:lpstr>        表  15. 从1999年到2003年报销医药费的平均百分比</vt:lpstr>
      <vt:lpstr>        表  16. 从1999年到2003年报销身体检查和治疗费用的平均百分比</vt:lpstr>
      <vt:lpstr>        表  17. 从1999年到2003年按报销类型分列的报销医药费的平均百分比</vt:lpstr>
      <vt:lpstr>        表  18. 从1999年到2003年报销旅费的平均百分比</vt:lpstr>
      <vt:lpstr>        表  19. 从1999年到2003年报销牙医治疗费用的平均百分比</vt:lpstr>
      <vt:lpstr>        2.(c)  产假津贴</vt:lpstr>
      <vt:lpstr>        2.(d)  老年津贴</vt:lpstr>
      <vt:lpstr>        2.(e)  残疾津贴</vt:lpstr>
      <vt:lpstr>        表  20. 2003年12月31日按年龄分列的残疾津贴的受益人</vt:lpstr>
      <vt:lpstr>        2.(f)  遗属恤金</vt:lpstr>
      <vt:lpstr>        2.(g)  工伤津贴</vt:lpstr>
      <vt:lpstr>        2.(h)  失业补助</vt:lpstr>
      <vt:lpstr>        表  21. 在2000年至2004年期间有权领取失业补助的人数</vt:lpstr>
      <vt:lpstr>        3.  社会保障计划的经费</vt:lpstr>
      <vt:lpstr>        表  22. 从1999年到2004年社会保障的缴款</vt:lpstr>
      <vt:lpstr>        4.  社会保障开支占国民生产总值的百分比</vt:lpstr>
      <vt:lpstr>        表  23. 从1995年到2005年社会保障开支在国民生产总值中所占的比例</vt:lpstr>
      <vt:lpstr>        7.  社会保障制度的改革</vt:lpstr>
      <vt:lpstr>        第 十 条</vt:lpstr>
      <vt:lpstr>        1.  国际条约</vt:lpstr>
      <vt:lpstr>        2.  家  庭</vt:lpstr>
      <vt:lpstr>        4.  为家庭提供的援助和保护</vt:lpstr>
      <vt:lpstr>        5.  为产妇提供的保护</vt:lpstr>
      <vt:lpstr>        6.  保护儿童免受经济剥削和社会剥削</vt:lpstr>
      <vt:lpstr>        表  24. 1994年、1999年和2004年15岁至17岁儿童参加有薪劳动的情况</vt:lpstr>
      <vt:lpstr>        第 十一 条</vt:lpstr>
      <vt:lpstr>        1.  享受适足生活水平的权利</vt:lpstr>
      <vt:lpstr>        3.  享受适足住房的权利</vt:lpstr>
      <vt:lpstr>        表  25. 2001年至2004年无家可归者人数</vt:lpstr>
      <vt:lpstr>        表  26. 2001-2004年利用国家贷款建造的公寓</vt:lpstr>
      <vt:lpstr>        表  27. 国家住房贷款；补助(百万欧元)</vt:lpstr>
    </vt:vector>
  </TitlesOfParts>
  <Company>Chinese Unit - GE</Company>
  <LinksUpToDate>false</LinksUpToDate>
  <CharactersWithSpaces>111898</CharactersWithSpaces>
  <SharedDoc>false</SharedDoc>
  <HLinks>
    <vt:vector size="6" baseType="variant">
      <vt:variant>
        <vt:i4>8126563</vt:i4>
      </vt:variant>
      <vt:variant>
        <vt:i4>0</vt:i4>
      </vt:variant>
      <vt:variant>
        <vt:i4>0</vt:i4>
      </vt:variant>
      <vt:variant>
        <vt:i4>5</vt:i4>
      </vt:variant>
      <vt:variant>
        <vt:lpwstr>http://www.stm.fi/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经济及社会理事会</dc:title>
  <dc:subject/>
  <dc:creator>SI</dc:creator>
  <cp:keywords/>
  <dc:description>经济及社会理事会</dc:description>
  <cp:lastModifiedBy>CSD</cp:lastModifiedBy>
  <cp:revision>2</cp:revision>
  <cp:lastPrinted>2006-05-18T10:35:00Z</cp:lastPrinted>
  <dcterms:created xsi:type="dcterms:W3CDTF">2006-05-18T13:21:00Z</dcterms:created>
  <dcterms:modified xsi:type="dcterms:W3CDTF">2006-05-18T13:21:00Z</dcterms:modified>
  <cp:category>E</cp:category>
</cp:coreProperties>
</file>