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780158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5BE8545" w14:textId="77777777" w:rsidR="002D5AAC" w:rsidRDefault="002D5AAC" w:rsidP="00611E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90BA1AD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E463C32" w14:textId="7ECA5D27" w:rsidR="002D5AAC" w:rsidRDefault="00611E1A" w:rsidP="00611E1A">
            <w:pPr>
              <w:jc w:val="right"/>
            </w:pPr>
            <w:r w:rsidRPr="00611E1A">
              <w:rPr>
                <w:sz w:val="40"/>
              </w:rPr>
              <w:t>CCPR</w:t>
            </w:r>
            <w:r>
              <w:t>/C/TTO/CO/5</w:t>
            </w:r>
          </w:p>
        </w:tc>
      </w:tr>
      <w:tr w:rsidR="002D5AAC" w14:paraId="07CBBC4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C744F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7D3E46" wp14:editId="11CAE61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AEB9C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140E46" w14:textId="77777777" w:rsidR="002D5AAC" w:rsidRDefault="00611E1A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42DAA50E" w14:textId="77777777" w:rsidR="00611E1A" w:rsidRDefault="00611E1A" w:rsidP="00611E1A">
            <w:pPr>
              <w:spacing w:line="240" w:lineRule="exact"/>
            </w:pPr>
            <w:r>
              <w:t xml:space="preserve">1 </w:t>
            </w:r>
            <w:proofErr w:type="spellStart"/>
            <w:r>
              <w:t>December</w:t>
            </w:r>
            <w:proofErr w:type="spellEnd"/>
            <w:r>
              <w:t xml:space="preserve"> 2023</w:t>
            </w:r>
          </w:p>
          <w:p w14:paraId="280E81FB" w14:textId="77777777" w:rsidR="00611E1A" w:rsidRDefault="00611E1A" w:rsidP="00611E1A">
            <w:pPr>
              <w:spacing w:line="240" w:lineRule="exact"/>
            </w:pPr>
            <w:r>
              <w:t>Russian</w:t>
            </w:r>
          </w:p>
          <w:p w14:paraId="7419407C" w14:textId="61AA5BFB" w:rsidR="00611E1A" w:rsidRPr="00375F01" w:rsidRDefault="00611E1A" w:rsidP="00611E1A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1DC788BE" w14:textId="77777777" w:rsidR="00611E1A" w:rsidRPr="00611E1A" w:rsidRDefault="00611E1A" w:rsidP="00611E1A">
      <w:pPr>
        <w:spacing w:before="120"/>
        <w:rPr>
          <w:b/>
          <w:bCs/>
          <w:sz w:val="24"/>
          <w:szCs w:val="24"/>
        </w:rPr>
      </w:pPr>
      <w:r w:rsidRPr="00611E1A">
        <w:rPr>
          <w:b/>
          <w:bCs/>
          <w:sz w:val="24"/>
          <w:szCs w:val="24"/>
        </w:rPr>
        <w:t>Комитет по правам человека</w:t>
      </w:r>
    </w:p>
    <w:p w14:paraId="0AD59541" w14:textId="77777777" w:rsidR="00611E1A" w:rsidRPr="00D7694B" w:rsidRDefault="00611E1A" w:rsidP="00611E1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Тринидада и Тобаго</w:t>
      </w:r>
      <w:r w:rsidRPr="007C1671">
        <w:rPr>
          <w:b w:val="0"/>
          <w:bCs/>
          <w:sz w:val="20"/>
        </w:rPr>
        <w:footnoteReference w:customMarkFollows="1" w:id="1"/>
        <w:t>*</w:t>
      </w:r>
    </w:p>
    <w:p w14:paraId="3ECB82E1" w14:textId="0F7D6D51" w:rsidR="00611E1A" w:rsidRPr="00D7694B" w:rsidRDefault="00611E1A" w:rsidP="00611E1A">
      <w:pPr>
        <w:pStyle w:val="SingleTxtG"/>
      </w:pPr>
      <w:bookmarkStart w:id="0" w:name="_Hlk102133385"/>
      <w:r>
        <w:t>1.</w:t>
      </w:r>
      <w:r>
        <w:tab/>
        <w:t>Комитет рассмотрел пятый периодический доклад Тринидада и Тобаго</w:t>
      </w:r>
      <w:r w:rsidRPr="007C1671">
        <w:rPr>
          <w:rStyle w:val="aa"/>
        </w:rPr>
        <w:footnoteReference w:id="2"/>
      </w:r>
      <w:r>
        <w:t xml:space="preserve"> на своих 4052-м и 4053-м заседаниях</w:t>
      </w:r>
      <w:r w:rsidRPr="007C1671">
        <w:rPr>
          <w:rStyle w:val="aa"/>
        </w:rPr>
        <w:footnoteReference w:id="3"/>
      </w:r>
      <w:r>
        <w:t>, состоявшихся 18 и 19 октября 2023 года. На своем 4068</w:t>
      </w:r>
      <w:r w:rsidR="00F91443">
        <w:t>-м</w:t>
      </w:r>
      <w:r>
        <w:t xml:space="preserve"> заседании, состоявшемся 30 октября 2023 года, он принял следующие заключительные замечания.</w:t>
      </w:r>
    </w:p>
    <w:p w14:paraId="2068C848" w14:textId="431C110E" w:rsidR="00611E1A" w:rsidRPr="00D7694B" w:rsidRDefault="00611E1A" w:rsidP="00611E1A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6ED84420" w14:textId="77777777" w:rsidR="00611E1A" w:rsidRPr="00D7694B" w:rsidRDefault="00611E1A" w:rsidP="00611E1A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7C1671">
        <w:rPr>
          <w:rStyle w:val="aa"/>
        </w:rPr>
        <w:footnoteReference w:id="4"/>
      </w:r>
      <w:r>
        <w:t>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устные ответы, представленные делегацией.</w:t>
      </w:r>
    </w:p>
    <w:p w14:paraId="79BA74E2" w14:textId="26C72B17" w:rsidR="00611E1A" w:rsidRPr="00D7694B" w:rsidRDefault="00611E1A" w:rsidP="00611E1A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01230CA6" w14:textId="77777777" w:rsidR="00611E1A" w:rsidRPr="00D7694B" w:rsidRDefault="00611E1A" w:rsidP="00611E1A">
      <w:pPr>
        <w:pStyle w:val="SingleTxtG"/>
      </w:pPr>
      <w:r>
        <w:t>3.</w:t>
      </w:r>
      <w:r>
        <w:tab/>
        <w:t xml:space="preserve">Комитет приветствует следующие законодательные и политические меры государства-участника: </w:t>
      </w:r>
    </w:p>
    <w:p w14:paraId="38A8EA3D" w14:textId="41CCE580" w:rsidR="00611E1A" w:rsidRPr="00D7694B" w:rsidRDefault="00611E1A" w:rsidP="00611E1A">
      <w:pPr>
        <w:pStyle w:val="SingleTxtG"/>
      </w:pPr>
      <w:r>
        <w:tab/>
      </w:r>
      <w:r>
        <w:t>a)</w:t>
      </w:r>
      <w:r>
        <w:tab/>
        <w:t>Закон о домашнем насилии (поправка), 2020 год;</w:t>
      </w:r>
      <w:bookmarkEnd w:id="0"/>
    </w:p>
    <w:p w14:paraId="432EE6E6" w14:textId="6C8D38AA" w:rsidR="00611E1A" w:rsidRPr="00D7694B" w:rsidRDefault="00611E1A" w:rsidP="00611E1A">
      <w:pPr>
        <w:pStyle w:val="SingleTxtG"/>
      </w:pPr>
      <w:r>
        <w:tab/>
      </w:r>
      <w:r>
        <w:t>b)</w:t>
      </w:r>
      <w:r>
        <w:tab/>
        <w:t>Закон об отправлении правосудия (электронный мониторинг) (поправка), 2020 год;</w:t>
      </w:r>
    </w:p>
    <w:p w14:paraId="795CE875" w14:textId="00C3B172" w:rsidR="00611E1A" w:rsidRPr="00D7694B" w:rsidRDefault="00611E1A" w:rsidP="00611E1A">
      <w:pPr>
        <w:pStyle w:val="SingleTxtG"/>
      </w:pPr>
      <w:r>
        <w:tab/>
      </w:r>
      <w:r>
        <w:t>c)</w:t>
      </w:r>
      <w:r>
        <w:tab/>
        <w:t>Закон об усыновлении (поправка), 2017 год;</w:t>
      </w:r>
    </w:p>
    <w:p w14:paraId="7C4EC7B6" w14:textId="6E7B143D" w:rsidR="00611E1A" w:rsidRPr="00D7694B" w:rsidRDefault="00611E1A" w:rsidP="00611E1A">
      <w:pPr>
        <w:pStyle w:val="SingleTxtG"/>
      </w:pPr>
      <w:bookmarkStart w:id="1" w:name="_Hlk149091637"/>
      <w:r>
        <w:tab/>
      </w:r>
      <w:r>
        <w:t>d)</w:t>
      </w:r>
      <w:r>
        <w:tab/>
        <w:t>Закон о прочих положениях (о браке), 2016 год;</w:t>
      </w:r>
    </w:p>
    <w:bookmarkEnd w:id="1"/>
    <w:p w14:paraId="75509104" w14:textId="02C4605A" w:rsidR="00611E1A" w:rsidRPr="00D7694B" w:rsidRDefault="00611E1A" w:rsidP="00611E1A">
      <w:pPr>
        <w:pStyle w:val="SingleTxtG"/>
      </w:pPr>
      <w:r>
        <w:tab/>
      </w:r>
      <w:r>
        <w:t>e)</w:t>
      </w:r>
      <w:r>
        <w:tab/>
        <w:t>Закон о борьбе с торговлей людьми, 2011 год;</w:t>
      </w:r>
    </w:p>
    <w:p w14:paraId="2ED8490E" w14:textId="42B102D5" w:rsidR="00611E1A" w:rsidRPr="00D7694B" w:rsidRDefault="00611E1A" w:rsidP="00611E1A">
      <w:pPr>
        <w:pStyle w:val="SingleTxtG"/>
      </w:pPr>
      <w:r>
        <w:tab/>
      </w:r>
      <w:r>
        <w:t>f)</w:t>
      </w:r>
      <w:r>
        <w:tab/>
        <w:t>Национальные клинические и политические рекомендации по насилию со стороны интимного партнера и сексуальному насилию, 2022 год;</w:t>
      </w:r>
    </w:p>
    <w:p w14:paraId="3A7768A4" w14:textId="1BC690AE" w:rsidR="00611E1A" w:rsidRPr="00D7694B" w:rsidRDefault="00611E1A" w:rsidP="00611E1A">
      <w:pPr>
        <w:pStyle w:val="SingleTxtG"/>
      </w:pPr>
      <w:r>
        <w:tab/>
      </w:r>
      <w:r>
        <w:t>g)</w:t>
      </w:r>
      <w:r>
        <w:tab/>
        <w:t>Национальная политика в отношении детей, 2021 год;</w:t>
      </w:r>
    </w:p>
    <w:p w14:paraId="11F62B28" w14:textId="2BA931E3" w:rsidR="00611E1A" w:rsidRPr="00D7694B" w:rsidRDefault="00611E1A" w:rsidP="00611E1A">
      <w:pPr>
        <w:pStyle w:val="SingleTxtG"/>
      </w:pPr>
      <w:r>
        <w:tab/>
      </w:r>
      <w:r>
        <w:t>h)</w:t>
      </w:r>
      <w:r>
        <w:tab/>
        <w:t>Национальная молодежная политика, 2021 год;</w:t>
      </w:r>
    </w:p>
    <w:p w14:paraId="2BE24D43" w14:textId="28BC136F" w:rsidR="00611E1A" w:rsidRPr="00D7694B" w:rsidRDefault="00611E1A" w:rsidP="00611E1A">
      <w:pPr>
        <w:pStyle w:val="SingleTxtG"/>
      </w:pPr>
      <w:r>
        <w:lastRenderedPageBreak/>
        <w:tab/>
      </w:r>
      <w:r>
        <w:t>i)</w:t>
      </w:r>
      <w:r>
        <w:tab/>
        <w:t>Национальная политика в области сексуального и репродуктивного здоровья, 2020 год.</w:t>
      </w:r>
    </w:p>
    <w:p w14:paraId="23BAD1DE" w14:textId="77777777" w:rsidR="00611E1A" w:rsidRPr="00D7694B" w:rsidRDefault="00611E1A" w:rsidP="00611E1A">
      <w:pPr>
        <w:pStyle w:val="SingleTxtG"/>
      </w:pPr>
      <w:r>
        <w:t>4.</w:t>
      </w:r>
      <w:r>
        <w:tab/>
        <w:t>Комитет также приветствует ратификацию государством-участником Конвенции о правах инвалидов 25 июня 2015 года.</w:t>
      </w:r>
    </w:p>
    <w:p w14:paraId="5111F2E9" w14:textId="5F89276E" w:rsidR="00611E1A" w:rsidRPr="00D7694B" w:rsidRDefault="00611E1A" w:rsidP="00611E1A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38A0B680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08862EE2" w14:textId="4D7E9396" w:rsidR="00611E1A" w:rsidRPr="00D7694B" w:rsidRDefault="00611E1A" w:rsidP="00611E1A">
      <w:pPr>
        <w:pStyle w:val="SingleTxtG"/>
      </w:pPr>
      <w:r>
        <w:t>5.</w:t>
      </w:r>
      <w:r>
        <w:tab/>
        <w:t>Отмечая, что в государстве-участнике действует дуалистическая правовая система и что Пакт был инкорпорирован в ряд законодательных актов, Комитет тем не менее выражает обеспокоенность в связи с тем, что между внутренней правовой системой и Пактом сохраняются несоответствия и что не было приведено ни одного примера судебных решений, в которых делалась бы ссылка на Пакт в контексте применения или толкования внутреннего законодательства. Комитет по-прежнему обеспокоен тем, что государство-участник сохраняет свои оговорки к статьям 4 (п</w:t>
      </w:r>
      <w:r>
        <w:t>ункт </w:t>
      </w:r>
      <w:r>
        <w:t xml:space="preserve">2), 10 </w:t>
      </w:r>
      <w:r>
        <w:t>(</w:t>
      </w:r>
      <w:r>
        <w:t>пункт</w:t>
      </w:r>
      <w:r>
        <w:t>ы</w:t>
      </w:r>
      <w:r>
        <w:t> 2) b) и 3), 12 (пункт 2), 14 (пункт</w:t>
      </w:r>
      <w:r>
        <w:t>ы</w:t>
      </w:r>
      <w:r>
        <w:t> 5 и 6), 15 (пункт 1), 21 и 26 Пакта (статья 2).</w:t>
      </w:r>
    </w:p>
    <w:p w14:paraId="1EC15A89" w14:textId="43F5DD7B" w:rsidR="00611E1A" w:rsidRPr="00D7694B" w:rsidRDefault="00611E1A" w:rsidP="00611E1A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принять эффективные меры для обеспечения всестороннего осуществления всех закрепленных в Пакте прав в рамках его внутренней правовой системы, с тем чтобы национальные суды непосредственно ссылались на Пакт и применяли его.</w:t>
      </w:r>
      <w:r>
        <w:t xml:space="preserve"> </w:t>
      </w:r>
      <w:r>
        <w:rPr>
          <w:b/>
          <w:bCs/>
        </w:rPr>
        <w:t>В частности, государству-участнику следует: a) осуществлять тщательную, доступную и регулярно обновляемую программу специализированной подготовки по Пакту для судей, прокуроров и адвокатов, с тем чтобы они применяли и толковали внутреннее законодательство в свете Пакта;</w:t>
      </w:r>
      <w:r>
        <w:t xml:space="preserve"> </w:t>
      </w:r>
      <w:r>
        <w:rPr>
          <w:b/>
          <w:bCs/>
        </w:rPr>
        <w:t>b) пересмотреть свое конституционное законодательство с целью обеспечения того, чтобы права, защищаемые Пактом, ограничивались только в той мере, в какой это разрешено в Пакте;</w:t>
      </w:r>
      <w:r>
        <w:t xml:space="preserve"> </w:t>
      </w:r>
      <w:r>
        <w:rPr>
          <w:b/>
          <w:bCs/>
        </w:rPr>
        <w:t>и</w:t>
      </w:r>
      <w:r>
        <w:rPr>
          <w:b/>
          <w:bCs/>
        </w:rPr>
        <w:t> </w:t>
      </w:r>
      <w:r>
        <w:rPr>
          <w:b/>
          <w:bCs/>
        </w:rPr>
        <w:t>c)</w:t>
      </w:r>
      <w:r>
        <w:rPr>
          <w:b/>
          <w:bCs/>
        </w:rPr>
        <w:t> </w:t>
      </w:r>
      <w:r>
        <w:rPr>
          <w:b/>
          <w:bCs/>
        </w:rPr>
        <w:t>рассмотреть вопрос о снятии своих оговорок к статьям 4 (</w:t>
      </w:r>
      <w:r w:rsidRPr="00611E1A">
        <w:rPr>
          <w:b/>
          <w:bCs/>
        </w:rPr>
        <w:t>пункт </w:t>
      </w:r>
      <w:r>
        <w:rPr>
          <w:b/>
          <w:bCs/>
        </w:rPr>
        <w:t>2), 10</w:t>
      </w:r>
      <w:r>
        <w:rPr>
          <w:b/>
          <w:bCs/>
        </w:rPr>
        <w:t> (</w:t>
      </w:r>
      <w:r w:rsidRPr="00611E1A">
        <w:rPr>
          <w:b/>
          <w:bCs/>
        </w:rPr>
        <w:t>пункт</w:t>
      </w:r>
      <w:r>
        <w:rPr>
          <w:b/>
          <w:bCs/>
        </w:rPr>
        <w:t xml:space="preserve">ы </w:t>
      </w:r>
      <w:r>
        <w:rPr>
          <w:b/>
          <w:bCs/>
        </w:rPr>
        <w:t>2) b) и 3), 12 (</w:t>
      </w:r>
      <w:r w:rsidRPr="00611E1A">
        <w:rPr>
          <w:b/>
          <w:bCs/>
        </w:rPr>
        <w:t>пункт </w:t>
      </w:r>
      <w:r>
        <w:rPr>
          <w:b/>
          <w:bCs/>
        </w:rPr>
        <w:t>2), 14 (</w:t>
      </w:r>
      <w:r w:rsidRPr="00611E1A">
        <w:rPr>
          <w:b/>
          <w:bCs/>
        </w:rPr>
        <w:t>пункт</w:t>
      </w:r>
      <w:r>
        <w:rPr>
          <w:b/>
          <w:bCs/>
        </w:rPr>
        <w:t>ы</w:t>
      </w:r>
      <w:r w:rsidRPr="00611E1A">
        <w:rPr>
          <w:b/>
          <w:bCs/>
        </w:rPr>
        <w:t> </w:t>
      </w:r>
      <w:r>
        <w:rPr>
          <w:b/>
          <w:bCs/>
        </w:rPr>
        <w:t>5 и 6), 15 (</w:t>
      </w:r>
      <w:r w:rsidRPr="00611E1A">
        <w:rPr>
          <w:b/>
          <w:bCs/>
        </w:rPr>
        <w:t>пункт </w:t>
      </w:r>
      <w:r>
        <w:rPr>
          <w:b/>
          <w:bCs/>
        </w:rPr>
        <w:t>1), 21 и 26 Пакта.</w:t>
      </w:r>
    </w:p>
    <w:p w14:paraId="7ABB09B7" w14:textId="77777777" w:rsidR="00611E1A" w:rsidRPr="00D7694B" w:rsidRDefault="00611E1A" w:rsidP="00611E1A">
      <w:pPr>
        <w:pStyle w:val="SingleTxtG"/>
      </w:pPr>
      <w:r>
        <w:t>7.</w:t>
      </w:r>
      <w:r>
        <w:tab/>
        <w:t>Комитет сожалеет, что государство-участник в настоящее время не рассматривает возможность повторного присоединения к Факультативному протоколу к Пакту и что не было представлено никакой информации о выполнении Соображений, принятых в соответствии с Факультативным протоколом к Пакту в отношении государства-участника до денонсации им Факультативного протокола (статья 2).</w:t>
      </w:r>
    </w:p>
    <w:p w14:paraId="7470AA69" w14:textId="77777777" w:rsidR="00611E1A" w:rsidRPr="00D7694B" w:rsidRDefault="00611E1A" w:rsidP="00611E1A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рассмотреть возможность повторного присоединения к Факультативному протоколу к Пакту, который предусматривает процедуру подачи индивидуальных сообщений, с целью обеспечения прав индивидов на эффективные средства правовой защиты.</w:t>
      </w:r>
      <w:r>
        <w:t xml:space="preserve"> </w:t>
      </w:r>
      <w:r>
        <w:rPr>
          <w:b/>
          <w:bCs/>
        </w:rPr>
        <w:t>Кроме того, ему следует своевременно предоставлять Комитету запрашиваемую информацию о мерах, реализованных во исполнение всех принятых в отношении него Соображений, как это предусмотрено процедурой последующей деятельности в связи с соображениями Комитета.</w:t>
      </w:r>
    </w:p>
    <w:p w14:paraId="214684F1" w14:textId="77777777" w:rsidR="00611E1A" w:rsidRPr="00D7694B" w:rsidRDefault="00611E1A" w:rsidP="00611E1A">
      <w:pPr>
        <w:pStyle w:val="H23G"/>
      </w:pPr>
      <w:r>
        <w:tab/>
      </w:r>
      <w:r>
        <w:tab/>
        <w:t>Национальное правозащитное учреждение</w:t>
      </w:r>
    </w:p>
    <w:p w14:paraId="2966E2B3" w14:textId="77777777" w:rsidR="00611E1A" w:rsidRPr="00D7694B" w:rsidRDefault="00611E1A" w:rsidP="00611E1A">
      <w:pPr>
        <w:pStyle w:val="SingleTxtG"/>
      </w:pPr>
      <w:r>
        <w:t>9.</w:t>
      </w:r>
      <w:r>
        <w:tab/>
        <w:t xml:space="preserve">Отмечая важную роль Управления омбудсмена и Комиссии по обеспечению равных возможностей, Комитет тем не менее обеспокоен тем, что они не в полной мере соответствуют принципам, касающимся статуса национальных учреждений, занимающихся поощрением и защитой прав человека (Парижским принципам). Кроме того, приветствуя тот факт, что, согласно информации, представленной делегацией, государство-участник рассматривает возможность преобразования Комиссии по обеспечению равных возможностей в национальное правозащитное учреждение, соответствующее Парижским принципам, Комитет обеспокоен отсутствием </w:t>
      </w:r>
      <w:r>
        <w:lastRenderedPageBreak/>
        <w:t>информации о конкретных планах и шагах государства-участника по созданию такого учреждения (статья 2).</w:t>
      </w:r>
    </w:p>
    <w:p w14:paraId="6B13BC00" w14:textId="77777777" w:rsidR="00611E1A" w:rsidRPr="00D7694B" w:rsidRDefault="00611E1A" w:rsidP="00611E1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призывает государство-участник создать независимое национальное правозащитное учреждение с всеобъемлющим мандатом и соответствующими полномочиями в полном соответствии с Парижскими принципами и выделить этому учреждению достаточные финансовые и людские ресурсы.</w:t>
      </w:r>
      <w:r>
        <w:t xml:space="preserve"> </w:t>
      </w:r>
      <w:r>
        <w:rPr>
          <w:b/>
          <w:bCs/>
        </w:rPr>
        <w:t>Государству-участнику следует провести прозрачный процесс консультаций по вопросу о создании национального правозащитного учреждения, обеспечив участие широкого круга заинтересованных сторон, включая организации гражданского общества.</w:t>
      </w:r>
    </w:p>
    <w:p w14:paraId="6F203712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41ED9D1C" w14:textId="77777777" w:rsidR="00611E1A" w:rsidRPr="00D7694B" w:rsidRDefault="00611E1A" w:rsidP="00611E1A">
      <w:pPr>
        <w:pStyle w:val="SingleTxtG"/>
      </w:pPr>
      <w:r>
        <w:t>11.</w:t>
      </w:r>
      <w:r>
        <w:tab/>
        <w:t>Комитет приветствует шаги, предпринятые государством-участником для предупреждения коррупции и борьбы с ней среди лиц, выполняющих государственные функции, и подтверждение государством-участником своей приверженности этим целям. Однако он обеспокоен отсутствием информации об эффективности работы Комиссии по профессиональной этике, в частности тем, что менее половины тех, кто должен был представить декларации и заявления о подлежащих регистрации поступлениях за 2017 год, сделали это, а также тем, что на 2019 год осталось 556 нерассмотренных деклараций. Комитет отмечает, что, по данным Комиссии по профессиональной этике, Канцелярия Генерального прокурора не в полной мере сотрудничает с Комиссией в проведении расследований. Кроме того, отмечая меры, принятые для выявления сотрудников полиции, участвующих в деятельности транснациональных банд, занимающихся торговлей наркотиками, оружием и людьми, Комитет обеспокоен отсутствием информации о конкретных мерах, принятых государством-участником для выявления, предупреждения и наказания сотрудников полиции, участвующих в этой деятельности. Комитет выражает сожаление по поводу отсутствия информации о прогрессе, достигнутом государством-участником в принятии законопроекта о защите лиц, сигнализирующих о нарушениях (статьи 2 и 25).</w:t>
      </w:r>
    </w:p>
    <w:p w14:paraId="53B1007B" w14:textId="73E335AE" w:rsidR="00611E1A" w:rsidRPr="00D7694B" w:rsidRDefault="00611E1A" w:rsidP="00611E1A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активизировать усилия для предотвращения и искоренения коррупции и безнаказанности на всех уровнях.</w:t>
      </w:r>
      <w:r>
        <w:t xml:space="preserve"> </w:t>
      </w:r>
      <w:r>
        <w:rPr>
          <w:b/>
          <w:bCs/>
        </w:rPr>
        <w:t>В</w:t>
      </w:r>
      <w:r>
        <w:rPr>
          <w:b/>
          <w:bCs/>
        </w:rPr>
        <w:t> </w:t>
      </w:r>
      <w:r>
        <w:rPr>
          <w:b/>
          <w:bCs/>
        </w:rPr>
        <w:t>частности, ему следует принять все необходимые меры к тому, чтобы:</w:t>
      </w:r>
    </w:p>
    <w:p w14:paraId="486C4932" w14:textId="6E8F3DA2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a)</w:t>
      </w:r>
      <w:r w:rsidRPr="00611E1A">
        <w:rPr>
          <w:b/>
          <w:bCs/>
        </w:rPr>
        <w:tab/>
        <w:t>независимо и беспристрастно расследовать и преследовать в судебном порядке все случаи коррупции и, в случае вынесения обвинительного приговора, применять наказания, соразмерные тяжести совершенного преступления;</w:t>
      </w:r>
    </w:p>
    <w:p w14:paraId="7D40ED2F" w14:textId="083C5F93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b)</w:t>
      </w:r>
      <w:r w:rsidRPr="00611E1A">
        <w:rPr>
          <w:b/>
          <w:bCs/>
        </w:rPr>
        <w:tab/>
        <w:t>обеспечить эффективное обучение сотрудников правоохранительных органов, прокуроров и судей по вопросам выявления, расследования и судебного преследования коррупции;</w:t>
      </w:r>
    </w:p>
    <w:p w14:paraId="3ED8251A" w14:textId="0F2B374A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c)</w:t>
      </w:r>
      <w:r w:rsidRPr="00611E1A">
        <w:rPr>
          <w:b/>
          <w:bCs/>
        </w:rPr>
        <w:tab/>
        <w:t>обеспечить независимость, эффективность, прозрачность и подотчетность всех антикоррупционных органов, включая Комиссию по профессиональной этике;</w:t>
      </w:r>
    </w:p>
    <w:p w14:paraId="05142832" w14:textId="79467814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d)</w:t>
      </w:r>
      <w:r w:rsidRPr="00611E1A">
        <w:rPr>
          <w:b/>
          <w:bCs/>
        </w:rPr>
        <w:tab/>
        <w:t>обеспечить эффективную защиту лиц, сообщающих о нарушениях, в</w:t>
      </w:r>
      <w:r w:rsidR="002200E4">
        <w:rPr>
          <w:b/>
          <w:bCs/>
        </w:rPr>
        <w:t> </w:t>
      </w:r>
      <w:r w:rsidRPr="00611E1A">
        <w:rPr>
          <w:b/>
          <w:bCs/>
        </w:rPr>
        <w:t>частности, путем скорейшего принятия законопроекта о защите лиц, сигнализирующих о нарушениях;</w:t>
      </w:r>
    </w:p>
    <w:p w14:paraId="7156C028" w14:textId="5321D928" w:rsidR="00611E1A" w:rsidRPr="00D7694B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e)</w:t>
      </w:r>
      <w:r>
        <w:tab/>
      </w:r>
      <w:r>
        <w:rPr>
          <w:b/>
          <w:bCs/>
        </w:rPr>
        <w:t>проводить учебно-просветительские кампании в целях информирования государственных служащих, политических деятелей, предпринимателей и населения в целом об экономических и социальных издержках коррупции и механизмах борьбы с ней.</w:t>
      </w:r>
    </w:p>
    <w:p w14:paraId="2816AF00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09445F35" w14:textId="170DC469" w:rsidR="00611E1A" w:rsidRPr="00D7694B" w:rsidRDefault="00611E1A" w:rsidP="00611E1A">
      <w:pPr>
        <w:pStyle w:val="SingleTxtG"/>
      </w:pPr>
      <w:r>
        <w:t>13.</w:t>
      </w:r>
      <w:r>
        <w:tab/>
        <w:t>Принимая к сведению представленную государством-участником информацию о положениях Конституции, регулирующих чрезвычайное положение, Комитет по</w:t>
      </w:r>
      <w:r w:rsidR="002200E4">
        <w:noBreakHyphen/>
      </w:r>
      <w:r>
        <w:t>прежнему обеспокоен оговоркой государства-участника к статье 4 (п</w:t>
      </w:r>
      <w:r>
        <w:t>ункт</w:t>
      </w:r>
      <w:r>
        <w:t xml:space="preserve"> 2), </w:t>
      </w:r>
      <w:r>
        <w:lastRenderedPageBreak/>
        <w:t>которая допускает отступление в период чрезвычайного положения от соблюдения прав, определенных в Пакте как не допускающие отступлений. Комитет обеспокоен применением Закона о борьбе с бандитизмом в период чрезвычайного положения 2011</w:t>
      </w:r>
      <w:r>
        <w:t> </w:t>
      </w:r>
      <w:r>
        <w:t>года, в результате которого было заключено под стражу около 450 человек, и</w:t>
      </w:r>
      <w:r>
        <w:t> </w:t>
      </w:r>
      <w:r>
        <w:t>правовыми положениями, согласно которым лица, обвиняемые в совершении преступления в соответствии с Законом о борьбе с бандитизмом, могут содержаться под стражей без права выхода под залог в течение 120 дней. В этой связи Комитет выражает сожаление по поводу отсутствия информации о гарантиях, необходимых для обеспечения защиты и недопущения ущемления процессуальных прав в период чрезвычайного положения (статья 4).</w:t>
      </w:r>
    </w:p>
    <w:p w14:paraId="1F051D51" w14:textId="156CBB6E" w:rsidR="00611E1A" w:rsidRPr="00D7694B" w:rsidRDefault="00611E1A" w:rsidP="00611E1A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A0F28">
        <w:rPr>
          <w:rStyle w:val="aa"/>
        </w:rPr>
        <w:footnoteReference w:id="5"/>
      </w:r>
      <w:r>
        <w:rPr>
          <w:b/>
          <w:bCs/>
        </w:rPr>
        <w:t xml:space="preserve"> государству-участнику следует обеспечить, чтобы национальная нормативно-правовая база, касающаяся чрезвычайных ситуаций, и применение других законов в чрезвычайных ситуациях были полностью совместимы с положениями Пакта и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29 (2001) Комитета об отступлениях от обязательств по Пакту во время чрезвычайного положения.</w:t>
      </w:r>
      <w:r>
        <w:t xml:space="preserve"> </w:t>
      </w:r>
      <w:r>
        <w:rPr>
          <w:b/>
          <w:bCs/>
        </w:rPr>
        <w:t>Ему также следует обеспечить, чтобы любые меры, принимаемые для защиты населения в условиях чрезвычайной ситуации, включая пандемию, были строго обусловлены и соразмерны чрезвычайным обстоятельствам, а также ограничены по продолжительности, географическому охвату и материальной сфере применения и подлежали судебному пересмотру.</w:t>
      </w:r>
    </w:p>
    <w:p w14:paraId="22427495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6A7F4EE5" w14:textId="0142694A" w:rsidR="00611E1A" w:rsidRPr="00D7694B" w:rsidRDefault="00611E1A" w:rsidP="00611E1A">
      <w:pPr>
        <w:pStyle w:val="SingleTxtG"/>
      </w:pPr>
      <w:r>
        <w:t>15.</w:t>
      </w:r>
      <w:r>
        <w:tab/>
        <w:t xml:space="preserve">Принимая к сведению представленную государством-участником информацию о законодательной базе по борьбе с терроризмом, Комитет обеспокоен тем, что широкие определения понятий </w:t>
      </w:r>
      <w:r>
        <w:t>«</w:t>
      </w:r>
      <w:r>
        <w:t>терроризм</w:t>
      </w:r>
      <w:r>
        <w:t>»</w:t>
      </w:r>
      <w:r>
        <w:t xml:space="preserve"> и </w:t>
      </w:r>
      <w:r>
        <w:t>«</w:t>
      </w:r>
      <w:r>
        <w:t>террористическая деятельность</w:t>
      </w:r>
      <w:r>
        <w:t>»</w:t>
      </w:r>
      <w:r>
        <w:t xml:space="preserve"> в Законе о борьбе с терроризмом 2005 года и Законе о борьбе с терроризмом (поправка) 2018 года привели к ошибочной классификации </w:t>
      </w:r>
      <w:proofErr w:type="spellStart"/>
      <w:r>
        <w:t>некомбатантов</w:t>
      </w:r>
      <w:proofErr w:type="spellEnd"/>
      <w:r>
        <w:t xml:space="preserve"> в качестве иностранных боевиков-террористов. Кроме того, Комитет обеспокоен тем, что ряд граждан государства-участника по-прежнему содержатся под стражей в качестве предполагаемых членов ДАИШ вместе с членами их семей и детьми в суровых условиях в лагере Эль-Холь в Сирийской Арабской Республике. Отмечая приверженность государства-участника делу репатриации своих граждан и его усилия по выполнению этого обязательства, Комитет тем не менее сожалеет об отсутствии конкретной информации о конкретных планах по осуществлению репатриации и о том, была ли осуществлена какая-либо репатриация (статьи 2, 9, 12 и 14).</w:t>
      </w:r>
    </w:p>
    <w:p w14:paraId="31028E12" w14:textId="77777777" w:rsidR="00611E1A" w:rsidRPr="00D7694B" w:rsidRDefault="00611E1A" w:rsidP="00611E1A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4A110B13" w14:textId="1AFE87E8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a)</w:t>
      </w:r>
      <w:r w:rsidRPr="00611E1A">
        <w:rPr>
          <w:b/>
          <w:bCs/>
        </w:rPr>
        <w:tab/>
        <w:t>принять эффективные гарантии и превентивные меры для обеспечения того, чтобы его контртеррористическое законодательство соответствовало Пакту и принципам законности, определенности, предсказуемости и соразмерности, в частности в отношении определений, предоставляемых полномочий и ограничений, устанавливаемых на осуществление этих полномочий, и чтобы лицам, подозреваемым или обвиняемым в совершении террористических актов или связанных с ними преступлений, предоставлялись в законе и на практике все правовые гарантии в соответствии с Пактом;</w:t>
      </w:r>
    </w:p>
    <w:p w14:paraId="0AE2BD22" w14:textId="31B09125" w:rsidR="00611E1A" w:rsidRPr="00D7694B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b)</w:t>
      </w:r>
      <w:r w:rsidRPr="00611E1A">
        <w:rPr>
          <w:b/>
          <w:bCs/>
        </w:rPr>
        <w:tab/>
      </w:r>
      <w:r>
        <w:rPr>
          <w:b/>
          <w:bCs/>
        </w:rPr>
        <w:t>активизировать усилия по скорейшей репатриации всех своих граждан, находящихся в зонах вооруженных конфликтов, а также членов их семей и детей с помощью четкой и справедливой процедуры, которая уважает принцип наилучшего обеспечения интересов ребенка и обеспечивает адекватный доступ к реабилитационным услугам и уходу после репатриации.</w:t>
      </w:r>
    </w:p>
    <w:p w14:paraId="377E840A" w14:textId="77777777" w:rsidR="00611E1A" w:rsidRPr="00D7694B" w:rsidRDefault="00611E1A" w:rsidP="00611E1A">
      <w:pPr>
        <w:pStyle w:val="H23G"/>
      </w:pPr>
      <w:r>
        <w:lastRenderedPageBreak/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0B9C4070" w14:textId="46A78AD9" w:rsidR="00611E1A" w:rsidRPr="00D7694B" w:rsidRDefault="00611E1A" w:rsidP="00611E1A">
      <w:pPr>
        <w:pStyle w:val="SingleTxtG"/>
      </w:pPr>
      <w:r>
        <w:t>17.</w:t>
      </w:r>
      <w:r>
        <w:tab/>
        <w:t>Комитет приветствует представленную государством-участником информацию о полномочиях Управления омбудсмена и Комиссии по обеспечению равных возможностей получать и расследовать жалобы на дискриминацию, а также о полномочиях Суда по равным возможностям выносить решения по вопросам, переданным ему Комиссией, с целью определения возможности предоставления эффективных судебных и административных средств правовой защиты. Однако Комитет по-прежнему обеспокоен тем, что существующая нормативно-правовая база не обеспечивает полной и эффективной защиты от прямой, косвенной и перекрестная дискриминации по всем признакам, запрещенным Пактом, в государственном и частном секторах. В частности, он обеспокоен тем, что: a) в разделе 4 Конституции сексуальная ориентация и гендерная идентичность прямо не упоминаются в качестве запрещенных оснований для дискриминации, а Закон о равных возможностях 2000</w:t>
      </w:r>
      <w:r>
        <w:t> </w:t>
      </w:r>
      <w:r>
        <w:t>года не запрещает дискриминацию по признаку сексуальной ориентации, гендерной идентичности или ВИЧ-статуса; b) однополые отношения между совершеннолетними лицами по обоюдному согласию являются уголовно наказуемыми в соответствии со статьями 13 и 16 Закона о сексуальных преступлениях, несмотря на позицию Высокого суда Тринидада и Тобаго, изложенную в его решении от 12 апреля 2018 года, согласно которому данные положения противоречат Конституции; и c) Закон об иммиграции запрещает свободное передвижение в государство-участник и из него людям с инвалидностью, лесбиянкам, геям, бисексуалам, трансгендерам и интерсексам. Кроме того, отмечая усилия государства-участника по борьбе с дискриминацией, Комитет обеспокоен сохраняющейся дискриминацией, которой подвергаются люди с инвалидностью, лица, живущие с ВИЧ или СПИДом, а также лесбиянки, геи, бисексуалы, трансгендеры и интерсексы, в</w:t>
      </w:r>
      <w:r>
        <w:t> </w:t>
      </w:r>
      <w:r>
        <w:t>частности в области образования, здравоохранения и занятости (статьи 2, 3, 17, 20 и</w:t>
      </w:r>
      <w:r>
        <w:t> </w:t>
      </w:r>
      <w:r>
        <w:t>26).</w:t>
      </w:r>
    </w:p>
    <w:p w14:paraId="0460C323" w14:textId="77777777" w:rsidR="00611E1A" w:rsidRPr="00D7694B" w:rsidRDefault="00611E1A" w:rsidP="00611E1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 принять всеобъемлющее законодательство, запрещающее дискриминацию во всех сферах, в том числе перекрестную, прямую и косвенную дискриминацию как в государственном, так и в частном секторе, по всем признакам, перечисленным в Пакте, таким как сексуальная ориентация и гендерная идентичность.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0F2ABCE8" w14:textId="248676A2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a)</w:t>
      </w:r>
      <w:r w:rsidRPr="00611E1A">
        <w:rPr>
          <w:b/>
          <w:bCs/>
        </w:rPr>
        <w:tab/>
        <w:t>рассмотреть возможность внесения поправок в раздел 4 Конституции и Закон о равных возможностях 2000 года, запрещающих дискриминацию по признаку сексуальной ориентации или гендерной идентичности;</w:t>
      </w:r>
    </w:p>
    <w:p w14:paraId="759DC3AE" w14:textId="5581E97C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b)</w:t>
      </w:r>
      <w:r w:rsidRPr="00611E1A">
        <w:rPr>
          <w:b/>
          <w:bCs/>
        </w:rPr>
        <w:tab/>
        <w:t>пересмотреть соответствующую законодательную базу с целью гарантировать, что все люди, независимо от их фактической или предполагаемой сексуальной ориентации или гендерной идентичности, могут в полной мере пользоваться всеми правами, закрепленными в Пакте, в том числе путем декриминализации сексуальных отношений между взрослыми лицами одного пола по обоюдному согласию;</w:t>
      </w:r>
    </w:p>
    <w:p w14:paraId="4068DB47" w14:textId="73E72292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c)</w:t>
      </w:r>
      <w:r w:rsidRPr="00611E1A">
        <w:rPr>
          <w:b/>
          <w:bCs/>
        </w:rPr>
        <w:tab/>
        <w:t>внести поправки в дискриминационные положения Закона об иммиграции, чтобы в полной мере реализовать принцип равенства, закрепленный в Конституции и Пакте, и обеспечить его соответствие международным стандартам;</w:t>
      </w:r>
    </w:p>
    <w:p w14:paraId="11B11062" w14:textId="2C957B03" w:rsidR="00611E1A" w:rsidRPr="00611E1A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d)</w:t>
      </w:r>
      <w:r w:rsidRPr="00611E1A">
        <w:rPr>
          <w:b/>
          <w:bCs/>
        </w:rPr>
        <w:tab/>
        <w:t>принять эффективные меры по борьбе со стереотипами и негативным отношением к лицам по признаку инвалидности, включая ВИЧ</w:t>
      </w:r>
      <w:r w:rsidR="002200E4">
        <w:rPr>
          <w:b/>
          <w:bCs/>
        </w:rPr>
        <w:noBreakHyphen/>
      </w:r>
      <w:r w:rsidRPr="00611E1A">
        <w:rPr>
          <w:b/>
          <w:bCs/>
        </w:rPr>
        <w:t>статус, сексуальную ориентацию и гендерную идентичность, в законодательстве, государственной политике и программах, как в государственной, так и в частной сферах;</w:t>
      </w:r>
    </w:p>
    <w:p w14:paraId="50CE2E0E" w14:textId="2337D3D4" w:rsidR="00611E1A" w:rsidRPr="00D7694B" w:rsidRDefault="00611E1A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Pr="00611E1A">
        <w:rPr>
          <w:b/>
          <w:bCs/>
        </w:rPr>
        <w:t>e)</w:t>
      </w:r>
      <w:r w:rsidRPr="00611E1A">
        <w:rPr>
          <w:b/>
          <w:bCs/>
        </w:rPr>
        <w:tab/>
        <w:t>обеспечить, чтобы все акты дискриминации и насилия, в частности в отношении людей с инвалидностью, лиц, живущих с ВИЧ или СПИДом, или по признаку фактической или предполагаемой сексуальной ориентации или гендерной</w:t>
      </w:r>
      <w:r>
        <w:rPr>
          <w:b/>
          <w:bCs/>
        </w:rPr>
        <w:t xml:space="preserve"> идентичности человека, оперативно и эффективно расследовались, </w:t>
      </w:r>
      <w:r>
        <w:rPr>
          <w:b/>
          <w:bCs/>
        </w:rPr>
        <w:lastRenderedPageBreak/>
        <w:t>чтобы виновные привлекались к ответственности и, в случае осуждения, подвергались соответствующим наказаниям, а жертвам предоставлялась компенсация;</w:t>
      </w:r>
    </w:p>
    <w:p w14:paraId="10C9C09B" w14:textId="64A34364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f)</w:t>
      </w:r>
      <w:r w:rsidR="00611E1A" w:rsidRPr="00860510">
        <w:rPr>
          <w:b/>
          <w:bCs/>
        </w:rPr>
        <w:tab/>
      </w:r>
      <w:r w:rsidR="00611E1A">
        <w:rPr>
          <w:b/>
          <w:bCs/>
        </w:rPr>
        <w:t>принять конкретные меры по предотвращению актов дискриминации, в том числе путем организации программ обучения и повышения осведомленности для государственных служащих, сотрудников правоохранительных органов, судебной системы и прокуратуры.</w:t>
      </w:r>
    </w:p>
    <w:p w14:paraId="26EEB4E8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2E9EDD68" w14:textId="6803B613" w:rsidR="00611E1A" w:rsidRPr="00D7694B" w:rsidRDefault="00611E1A" w:rsidP="00611E1A">
      <w:pPr>
        <w:pStyle w:val="SingleTxtG"/>
      </w:pPr>
      <w:r>
        <w:t>19.</w:t>
      </w:r>
      <w:r>
        <w:tab/>
        <w:t>Комитет приветствует меры, принятые государством-участником для увеличения представленности женщин в политической жизни. Однако Комитет по</w:t>
      </w:r>
      <w:r w:rsidR="00860510">
        <w:noBreakHyphen/>
      </w:r>
      <w:r>
        <w:t>прежнему обеспокоен недостаточной представленностью женщин на руководящих должностях, в том числе в судебной системе, законодательных и исполнительных органах, особенно на должностях высокого уровня. Кроме того, Комитет обеспокоен сохранением патриархальных стереотипов относительно роли женщин и мужчин в семье и обществе, и гендерной дискриминацией в отношении женщин (ст</w:t>
      </w:r>
      <w:r w:rsidR="00860510">
        <w:t>атьи</w:t>
      </w:r>
      <w:r>
        <w:t xml:space="preserve"> 3, 25 и</w:t>
      </w:r>
      <w:r w:rsidR="00860510">
        <w:t> </w:t>
      </w:r>
      <w:r>
        <w:t>26).</w:t>
      </w:r>
    </w:p>
    <w:p w14:paraId="1FA0B04E" w14:textId="77777777" w:rsidR="00611E1A" w:rsidRPr="00D7694B" w:rsidRDefault="00611E1A" w:rsidP="00611E1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продолжать и активизировать свои усилия по обеспечению полного и равного участия женщин в политической и общественной жизни, в том числе в исполнительных, судебных и законодательных органах на всех уровнях, в частности на руководящих должностях.</w:t>
      </w:r>
      <w:r>
        <w:t xml:space="preserve"> </w:t>
      </w:r>
      <w:r>
        <w:rPr>
          <w:b/>
          <w:bCs/>
        </w:rPr>
        <w:t>Ему следует повышать осведомленность общества о принципе равенства между женщинами и мужчинами и необходимости искоренения гендерных стереотипов, а также содействовать тому, чтобы средства массовой информации пропагандировали позитивный образ женщин как активных участников общественной и политической жизни.</w:t>
      </w:r>
    </w:p>
    <w:p w14:paraId="72986BC9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сексуальное и домашнее насилие</w:t>
      </w:r>
    </w:p>
    <w:p w14:paraId="5C6BFAD9" w14:textId="77777777" w:rsidR="00611E1A" w:rsidRPr="00D7694B" w:rsidRDefault="00611E1A" w:rsidP="00611E1A">
      <w:pPr>
        <w:pStyle w:val="SingleTxtG"/>
      </w:pPr>
      <w:r>
        <w:t>21.</w:t>
      </w:r>
      <w:r>
        <w:tab/>
        <w:t>Комитет приветствует усилия государства-участника по борьбе с насилием в отношении женщин, в том числе принятие Закона о домашнем насилии (поправка) 2020 года, в соответствии с которым определение насилия было расширено и теперь включает эмоциональное и психологическое насилие. Кроме того, хотя Комитет с удовлетворением отмечает различные шаги, предпринятые для оказания специализированной помощи женщинам, ставшим жертвами домашнего насилия , он сожалеет о том, что в случаях домашнего насилия приказы об экстренной защите, как сообщается, не могут быть выданы лицам того же пола, что и правонарушитель, и что государство-участник не представило информацию по этому вопросу. Комитет обеспокоен тем, что фемицид не имеет четкого определения в национальном законодательстве и что не было представлено никакой информации о расследованиях, преследованиях и вынесенных приговорах по случаям домашнего насилия (статьи 2, 3, 6, 7, 23 и 26).</w:t>
      </w:r>
    </w:p>
    <w:p w14:paraId="35834859" w14:textId="77777777" w:rsidR="00611E1A" w:rsidRPr="00D7694B" w:rsidRDefault="00611E1A" w:rsidP="00611E1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продолжать свои усилия по предотвращению, пресечению и искоренению всех форм насилия в отношении женщин и девочек, в том числе путем устранения коренных причин этой проблемы.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087B5F4B" w14:textId="716CEAAA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принять и ввести в действие всеобъемлющее законодательство, предусматривающее уголовную ответственность за все формы насилия в отношении женщин, включая преднамеренные убийства женщин по гендерным мотивам;</w:t>
      </w:r>
    </w:p>
    <w:p w14:paraId="00037560" w14:textId="7A736DF2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активизировать усилия по судебному преследованию и обеспечению осуждения лиц, подозреваемых в насилии в отношении женщин и девочек, а в случае вынесения им обвинительного приговора назначать соответствующие меры наказания;</w:t>
      </w:r>
    </w:p>
    <w:p w14:paraId="1FBA8F09" w14:textId="394DD639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>
        <w:tab/>
      </w:r>
      <w:r w:rsidR="00611E1A">
        <w:rPr>
          <w:b/>
          <w:bCs/>
        </w:rPr>
        <w:t xml:space="preserve">продолжать и расширять подготовку соответствующих государственных служащих, включая судей, прокуроров, адвокатов и </w:t>
      </w:r>
      <w:r w:rsidR="00611E1A">
        <w:rPr>
          <w:b/>
          <w:bCs/>
        </w:rPr>
        <w:lastRenderedPageBreak/>
        <w:t>сотрудников правоохранительных органов, по вопросам выявления и рассмотрения случаев насилия в отношении женщин, включая фемицид и домашнее и сексуальное насилие;</w:t>
      </w:r>
      <w:r w:rsidR="00611E1A">
        <w:t xml:space="preserve"> </w:t>
      </w:r>
    </w:p>
    <w:p w14:paraId="530E17B9" w14:textId="7A20258A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d)</w:t>
      </w:r>
      <w:r w:rsidR="00611E1A" w:rsidRPr="00860510">
        <w:rPr>
          <w:b/>
          <w:bCs/>
        </w:rPr>
        <w:tab/>
        <w:t>поощрять сообщение о случаях насилия в отношении женщин, в том числе путем обеспечения того, чтобы все женщины и девочки имели доступ к множественным каналам сообщения и информирования об их правах и имеющихся средствах правовой защиты;</w:t>
      </w:r>
    </w:p>
    <w:p w14:paraId="5EB0F87F" w14:textId="3E4D215C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e)</w:t>
      </w:r>
      <w:r w:rsidR="00611E1A" w:rsidRPr="00860510">
        <w:rPr>
          <w:b/>
          <w:bCs/>
        </w:rPr>
        <w:tab/>
        <w:t>продолжать усилия по обеспечению того, чтобы все жертвы имели доступ к эффективным средствам правовой защиты, получали полное возмещение, включая адекватную компенсацию, и имели доступ к надлежащей защите и помощи, в том числе в случаях домашнего насилия в отношении партнера того же пола;</w:t>
      </w:r>
    </w:p>
    <w:p w14:paraId="463A1207" w14:textId="30059493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f)</w:t>
      </w:r>
      <w:r w:rsidR="00611E1A">
        <w:tab/>
      </w:r>
      <w:r w:rsidR="00611E1A">
        <w:rPr>
          <w:b/>
          <w:bCs/>
        </w:rPr>
        <w:t>усилить информационно-просветительские кампании для всего общества с целью преодоления социальных и культурных моделей и стереотипов, которые способствуют терпимости к гендерному насилию.</w:t>
      </w:r>
    </w:p>
    <w:p w14:paraId="3CD273FB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  <w:r>
        <w:t xml:space="preserve"> </w:t>
      </w:r>
    </w:p>
    <w:p w14:paraId="70B82B10" w14:textId="75B9F30B" w:rsidR="00611E1A" w:rsidRPr="00D7694B" w:rsidRDefault="00611E1A" w:rsidP="00611E1A">
      <w:pPr>
        <w:pStyle w:val="SingleTxtG"/>
      </w:pPr>
      <w:r>
        <w:t>23.</w:t>
      </w:r>
      <w:r>
        <w:tab/>
        <w:t>Высоко оценивая широкий спектр услуг в области сексуального и репродуктивного здоровья, предоставляемых в государстве-участнике, а также значительное снижение материнской смертности, Комитет тем не менее выражает обеспокоенность тем, что аборты по-прежнему являются уголовно наказуемыми в соответствии со статьями 56 и 57 Закона о преступлениях против личности, за</w:t>
      </w:r>
      <w:r w:rsidR="002200E4">
        <w:t> </w:t>
      </w:r>
      <w:r>
        <w:t>исключением случаев, когда существует прямая угроза для жизни женщины. Он</w:t>
      </w:r>
      <w:r w:rsidR="002200E4">
        <w:t> </w:t>
      </w:r>
      <w:r>
        <w:t>обеспокоен тем, что не допускается никаких других исключений и что государство-участник не намерено изменять законодательство до тех пор, пока право аборт не будет широко признано обществом (статьи 3, 6, 7, 17 и 26).</w:t>
      </w:r>
    </w:p>
    <w:p w14:paraId="6458FE92" w14:textId="040FB818" w:rsidR="00611E1A" w:rsidRPr="00D7694B" w:rsidRDefault="00611E1A" w:rsidP="00611E1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 учетом предыдущих рекомендаций Комитета</w:t>
      </w:r>
      <w:r w:rsidR="002200E4" w:rsidRPr="00A55B0C">
        <w:rPr>
          <w:rStyle w:val="aa"/>
        </w:rPr>
        <w:footnoteReference w:id="6"/>
      </w:r>
      <w:r>
        <w:rPr>
          <w:b/>
          <w:bCs/>
        </w:rPr>
        <w:t xml:space="preserve"> и пункта 8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36 (2018) Комитета о праве на жизнь государству-участнику следует:</w:t>
      </w:r>
    </w:p>
    <w:p w14:paraId="452B0752" w14:textId="70A50ABE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принять конкретные шаги по внесению поправок в свое законодательство, политику и руководящие принципы, чтобы гарантировать безопасный, законный и реальный доступ к аборту, когда жизнь или здоровье беременной женщины или девушки находится в опасности и когда вынашивание плода может вызвать сильную боль или страдания и, в частности, когда беременность наступила в результате изнасилования или инцеста или плод нежизнеспособен;</w:t>
      </w:r>
    </w:p>
    <w:p w14:paraId="1EC4BE4A" w14:textId="25CDAE49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обеспечить неприменение уголовных наказаний к женщинам и девочкам, прибегающим к аборту, или к специалистам, оказывающим им медицинскую помощь;</w:t>
      </w:r>
    </w:p>
    <w:p w14:paraId="7CC4ED21" w14:textId="5EA3F545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</w:r>
      <w:r w:rsidR="00611E1A">
        <w:rPr>
          <w:b/>
          <w:bCs/>
        </w:rPr>
        <w:t>укреплять политику информирования и просвещения женщин, мужчин и подростков в области сексуального и репродуктивного здоровья и соответствующих прав, предотвращать стигматизацию женщин и девочек, прибегающих к аборту, и обеспечивать доступ к надлежащим и доступным средствам контрацепции и услугам по охране репродуктивного здоровья.</w:t>
      </w:r>
    </w:p>
    <w:p w14:paraId="29C9F96F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Право на жизнь</w:t>
      </w:r>
    </w:p>
    <w:p w14:paraId="4472E746" w14:textId="53052E3C" w:rsidR="00611E1A" w:rsidRPr="00D7694B" w:rsidRDefault="00611E1A" w:rsidP="00611E1A">
      <w:pPr>
        <w:pStyle w:val="SingleTxtG"/>
      </w:pPr>
      <w:r>
        <w:t>25.</w:t>
      </w:r>
      <w:r>
        <w:tab/>
        <w:t xml:space="preserve">Комитет приветствует усилия государства-участника по борьбе с неправомерными действиями полиции. Однако он обеспокоен сообщениями о том, что с 2020 года значительно возросло число казней без надлежащего судебного разбирательства и применения смертоносной силы сотрудниками полиции. Кроме того, Комитет отмечает, что расследования серьезных неправомерных действий полиции, проводимые Управлением по рассмотрению жалоб на действия полиции, как </w:t>
      </w:r>
      <w:r>
        <w:lastRenderedPageBreak/>
        <w:t xml:space="preserve">сообщается, значительно затягиваются и дают ограниченные результаты по причине усеченных полномочий этого Управления проводить осмотр мест преступлений и сбор доказательств (статья 6). </w:t>
      </w:r>
    </w:p>
    <w:p w14:paraId="071F3B01" w14:textId="77777777" w:rsidR="00611E1A" w:rsidRPr="00D7694B" w:rsidRDefault="00611E1A" w:rsidP="00611E1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предотвращения чрезмерного применения силы во время операций по поддержанию правопорядка, в частности, путем:</w:t>
      </w:r>
    </w:p>
    <w:p w14:paraId="54274F48" w14:textId="08CB894B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 xml:space="preserve">обеспечения приведения всех законодательных и нормативных положений, регулирующих применение силы, в соответствие с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деятельности, Основным принципам применения силы и огнестрельного оружия должностными лицами по поддержанию правопорядка и замечанием общего порядка </w:t>
      </w:r>
      <w:r w:rsidR="00611E1A" w:rsidRPr="00860510">
        <w:rPr>
          <w:b/>
          <w:bCs/>
        </w:rPr>
        <w:t>№ </w:t>
      </w:r>
      <w:r w:rsidR="00611E1A" w:rsidRPr="00860510">
        <w:rPr>
          <w:b/>
          <w:bCs/>
        </w:rPr>
        <w:t>36 (2018) Комитета, которые устанавливают требование о том, что сотрудники правоохранительных органов должны применять смертоносную силу только в случае строгой необходимости для защиты от неминуемой угрозы смерти или серьезного ранения;</w:t>
      </w:r>
    </w:p>
    <w:p w14:paraId="031966A9" w14:textId="035EBF64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установления процедур, гарантирующих надлежащее планирование мероприятий по поддержанию правопорядка с целью минимизации риска для жизни людей;</w:t>
      </w:r>
    </w:p>
    <w:p w14:paraId="00840B49" w14:textId="64E11B32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  <w:t>обеспечения оперативного, эффективного и беспристрастного расследования всех сообщений о чрезмерном применении силы сотрудниками правоохранительных органов и предоставления возмещения и компенсации жертвам таких нарушений;</w:t>
      </w:r>
    </w:p>
    <w:p w14:paraId="64B1913D" w14:textId="2ADD2C06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d)</w:t>
      </w:r>
      <w:r w:rsidR="00611E1A" w:rsidRPr="00860510">
        <w:rPr>
          <w:b/>
          <w:bCs/>
        </w:rPr>
        <w:tab/>
        <w:t>укрепления потенциала в области проведения расследований Управления по рассмотрению жалоб на действия полиции, в том числе путем выделения ему достаточных финансовых и кадровых ресурсов и расширения его полномочий по расследованию заявлений о серьезных нарушениях со стороны полиции;</w:t>
      </w:r>
    </w:p>
    <w:p w14:paraId="0B1DB7F6" w14:textId="069A20ED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e)</w:t>
      </w:r>
      <w:r w:rsidR="00611E1A">
        <w:tab/>
      </w:r>
      <w:r w:rsidR="00611E1A">
        <w:rPr>
          <w:b/>
          <w:bCs/>
        </w:rPr>
        <w:t xml:space="preserve">обеспечения того, чтобы все сотрудники правоохранительных органов систематически проходили обучение по вопросам применения силы на основе Руководства Организации Объединенных Наций по соблюдению прав человека при применении менее смертоносного оружия в правоохранительной деятельности и Основных принципов применения силы и огнестрельного оружия должностными лицами по поддержанию </w:t>
      </w:r>
      <w:proofErr w:type="gramStart"/>
      <w:r w:rsidR="00611E1A">
        <w:rPr>
          <w:b/>
          <w:bCs/>
        </w:rPr>
        <w:t>правопорядка</w:t>
      </w:r>
      <w:proofErr w:type="gramEnd"/>
      <w:r w:rsidR="00611E1A">
        <w:rPr>
          <w:b/>
          <w:bCs/>
        </w:rPr>
        <w:t xml:space="preserve"> и чтобы принципы законности, необходимости и соразмерности строго соблюдались на практике.</w:t>
      </w:r>
    </w:p>
    <w:p w14:paraId="0E2700D5" w14:textId="7A1E0EF9" w:rsidR="00611E1A" w:rsidRPr="00D7694B" w:rsidRDefault="00611E1A" w:rsidP="00611E1A">
      <w:pPr>
        <w:pStyle w:val="SingleTxtG"/>
      </w:pPr>
      <w:r>
        <w:t>27.</w:t>
      </w:r>
      <w:r>
        <w:tab/>
        <w:t>Комитет, принимая к сведению усилия государства-участника по противодействию участию в бандах, обеспокоен высоким уровнем убийств и ростом насилия, связанного с бандами. Комитет также обеспокоен тем, что законодательная база для борьбы с бандитизмом, включая Закон о борьбе с бандитизмом, по</w:t>
      </w:r>
      <w:r w:rsidR="002200E4">
        <w:t> </w:t>
      </w:r>
      <w:r>
        <w:t>сообщениям, привела к массовым задержаниям и эскалации насилия (статьи 2, 6, 9 и</w:t>
      </w:r>
      <w:r w:rsidR="00860510">
        <w:t> </w:t>
      </w:r>
      <w:r>
        <w:t>24).</w:t>
      </w:r>
    </w:p>
    <w:p w14:paraId="0957A228" w14:textId="77777777" w:rsidR="00611E1A" w:rsidRPr="00D7694B" w:rsidRDefault="00611E1A" w:rsidP="00611E1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продолжать и активизировать свои усилия по снижению высокого уровня насилия и защите права на жизнь своих граждан, в том числе путем:</w:t>
      </w:r>
      <w:r>
        <w:t xml:space="preserve"> </w:t>
      </w:r>
    </w:p>
    <w:p w14:paraId="01F4838B" w14:textId="4E4B023D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 xml:space="preserve">пересмотр законодательной базы по борьбе с насилием, включая Закон о борьбе с бандитизмом, с целью обеспечения его полного соответствия Пакту; </w:t>
      </w:r>
    </w:p>
    <w:p w14:paraId="1C672904" w14:textId="2EA1C7F6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 xml:space="preserve">усиления профилактических и реабилитационных мер, включая программы образования и защиты детей и молодежи, чтобы удержать их от вступления в банды; </w:t>
      </w:r>
    </w:p>
    <w:p w14:paraId="3C9D36CD" w14:textId="0F810522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</w:r>
      <w:r w:rsidR="00611E1A">
        <w:rPr>
          <w:b/>
          <w:bCs/>
        </w:rPr>
        <w:t>проведения оперативных, эффективных и тщательных расследований в отношении всех лиц, подозреваемых в преступлениях с применением насилия и других серьезных правонарушениях.</w:t>
      </w:r>
    </w:p>
    <w:p w14:paraId="764C37BA" w14:textId="77777777" w:rsidR="00611E1A" w:rsidRPr="00D7694B" w:rsidRDefault="00611E1A" w:rsidP="00611E1A">
      <w:pPr>
        <w:pStyle w:val="H23G"/>
      </w:pPr>
      <w:r>
        <w:lastRenderedPageBreak/>
        <w:tab/>
      </w:r>
      <w:r>
        <w:tab/>
      </w:r>
      <w:r>
        <w:rPr>
          <w:bCs/>
        </w:rPr>
        <w:t>Смертная казнь</w:t>
      </w:r>
    </w:p>
    <w:p w14:paraId="6502D1EE" w14:textId="77777777" w:rsidR="00611E1A" w:rsidRPr="00D7694B" w:rsidRDefault="00611E1A" w:rsidP="00611E1A">
      <w:pPr>
        <w:pStyle w:val="SingleTxtG"/>
      </w:pPr>
      <w:r>
        <w:t>29.</w:t>
      </w:r>
      <w:r>
        <w:tab/>
        <w:t>Отмечая длительный мораторий де-факто на применение смертной казни в государстве-участнике, Комитет серьезно обеспокоен тем, что суды продолжают выносить смертные приговоры и что смертная казнь остается обязательным наказанием за убийство, что приводит к большому числу лиц, ожидающих смертной казни. Кроме того, он с обеспокоенностью отмечает, что использование государством-участником смертной казни в качестве сдерживающего фактора в отношении преступлений с применением насилия привело к росту общественной поддержки смертной казни. Комитет сожалеет о том, что государство-участник заявило, что оно не будет рассматривать вопрос об отмене смертной казни или даже о введении официального моратория до тех пор, пока преступления с применением насилия не будут взяты под контроль (статья 6).</w:t>
      </w:r>
    </w:p>
    <w:p w14:paraId="383C7EF0" w14:textId="09941965" w:rsidR="00611E1A" w:rsidRPr="00D7694B" w:rsidRDefault="00611E1A" w:rsidP="00611E1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В свете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36 (2018) Комитета государству-участнику следует принять все необходимые меры, включая законодательные, для обеспечения того, чтобы смертная казнь применялась только за самые тяжкие преступления, связанные с преднамеренным убийством, и никогда не была обязательной, а также безоговорочно следовать по пути полного искоренения смертной казни де-факто и де-юре.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03DE911C" w14:textId="63AE97E1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 xml:space="preserve">заменить все смертные приговоры приговорами к лишению свободы; </w:t>
      </w:r>
    </w:p>
    <w:p w14:paraId="0C71A36F" w14:textId="3C058B39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активизировать усилия по изменению отношения общества к необходимости сохранения смертной казни, в том числе путем вовлечения в конструктивный национальный диалог о желательности отмены смертной казни, в частности, посредством соответствующих мер по повышению осведомленности;</w:t>
      </w:r>
    </w:p>
    <w:p w14:paraId="7E979F01" w14:textId="3BBAE68B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</w:r>
      <w:r w:rsidR="00611E1A">
        <w:rPr>
          <w:b/>
          <w:bCs/>
        </w:rPr>
        <w:t>должным образом изучить вопрос о введении моратория на смертную казнь де юре с целью ее отмены и рассмотреть возможность присоединения ко второму Факультативному протоколу к Пакту, направленному на отмену смертной казни.</w:t>
      </w:r>
    </w:p>
    <w:p w14:paraId="19BBE6B9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и обращение с лицами, лишенными свободы</w:t>
      </w:r>
    </w:p>
    <w:p w14:paraId="588EF656" w14:textId="77777777" w:rsidR="00611E1A" w:rsidRPr="00D7694B" w:rsidRDefault="00611E1A" w:rsidP="00611E1A">
      <w:pPr>
        <w:pStyle w:val="SingleTxtG"/>
      </w:pPr>
      <w:r>
        <w:t>31.</w:t>
      </w:r>
      <w:r>
        <w:tab/>
        <w:t>Комитет приветствует усилия государства-участника по совершенствованию своих исправительных служб и условий содержания в местах лишения свободы, включая его приверженность разработке модели восстановительного правосудия для предоставления услуг по реабилитации и реинтеграции, направленных на повышение уровня образования и профессиональной подготовки заключенных. Вместе с тем Комитет по-прежнему обеспокоен сообщениями о ненадлежащих условиях содержания в местах лишения свободы, в частности об ограниченном доступе к медицинской помощи, плохих санитарных условиях, недостаточном освещении, недостаточной вентиляции и переполненности, и сожалеет об отсутствии представленной государством-участником информации об официальной и фактической вместимости мест лишения свободы. Кроме того, он обеспокоен большим числом лиц, содержащихся под стражей до суда, и заключенных под стражу, которые часто лишены свободы в течение длительного времени (статьи 7, 9, 10 и 24).</w:t>
      </w:r>
    </w:p>
    <w:p w14:paraId="7F8D24BE" w14:textId="176BD0E9" w:rsidR="00611E1A" w:rsidRPr="00D7694B" w:rsidRDefault="00611E1A" w:rsidP="00611E1A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Государству-участнику следует активизировать свои усилия и принять необходимые меры для обеспечения того, чтобы по закону и на практике любое задержанное или содержащееся под стражей лицо пользовалось с момента лишения свободы всеми основными правовыми гарантиями, закрепленными в статьях 9 и 14 Пакта, в соответствии с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35 (2014) Комитета о свободе и личной неприкосновенности, и чтобы содержание под стражей полностью соответствовало Минимальным стандартным правилам обращения с заключенными Организации Объединенных Наций (Правила Нельсона Манделы), включая доступ к адвокату и предоставление медицинской помощи, когда это необходимо.</w:t>
      </w:r>
      <w:r>
        <w:t xml:space="preserve"> </w:t>
      </w:r>
      <w:r>
        <w:rPr>
          <w:b/>
          <w:bCs/>
        </w:rPr>
        <w:t>Кроме того, ему следует:</w:t>
      </w:r>
    </w:p>
    <w:p w14:paraId="64C7959E" w14:textId="0C2B3E5D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продолжить свои усилия по сокращению переполненности мест лишения свободы, в том числе путем осуществления практических шагов по сокращению задержек в судебной системе и путем более широкого применения мер, не связанных с лишением свободы, в качестве альтернативы тюремному заключению, как указано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57C3AD55" w14:textId="72041D6B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обеспечить, чтобы досудебное содержание под стражей носило исключительный характер и назначалось только в случае необходимости и на максимально короткий срок;</w:t>
      </w:r>
    </w:p>
    <w:p w14:paraId="08DD750B" w14:textId="22E99573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>
        <w:tab/>
      </w:r>
      <w:r w:rsidR="00611E1A">
        <w:rPr>
          <w:b/>
          <w:bCs/>
        </w:rPr>
        <w:t>обеспечить независимый, регулярный и беспрепятственный доступ независимых механизмов мониторинга и надзора ко всем местам лишения свободы, включая военные, иммиграционные объекты и объекты национальной безопасности, без предварительного уведомления и какого-либо надзора.</w:t>
      </w:r>
    </w:p>
    <w:p w14:paraId="32DFCE56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4EFB7A94" w14:textId="0C3DCBF5" w:rsidR="00611E1A" w:rsidRPr="00D7694B" w:rsidRDefault="00611E1A" w:rsidP="00611E1A">
      <w:pPr>
        <w:pStyle w:val="SingleTxtG"/>
      </w:pPr>
      <w:r>
        <w:t>33.</w:t>
      </w:r>
      <w:r>
        <w:tab/>
        <w:t>Комитет приветствует усилия государства-участника по предупреждению торговли людьми и борьбе с ней, в частности в рамках Национального плана действий по борьбе с торговлей людьми на 2021–2025</w:t>
      </w:r>
      <w:r>
        <w:t xml:space="preserve"> </w:t>
      </w:r>
      <w:r>
        <w:t>годы. Однако он обеспокоен пробелами в выявлении жертв торговли людьми и малым количеством расследований, осуждений и наказаний виновных. Кроме того, Комитет обеспокоен сообщениями о том, что должностные лица, в том числе сотрудники правоохранительных органов, являются соучастниками преступлений, связанных с торговлей людьми и сексуальной эксплуатацией женщин (статьи 2, 8 и 26).</w:t>
      </w:r>
    </w:p>
    <w:p w14:paraId="209A6898" w14:textId="17F04AED" w:rsidR="00611E1A" w:rsidRPr="00D7694B" w:rsidRDefault="00611E1A" w:rsidP="00611E1A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и далее укреплять свои усилия по борьбе с торговлей людьми, ее предупреждению, искоренению и наказанию за нее, в</w:t>
      </w:r>
      <w:r w:rsidR="002200E4">
        <w:rPr>
          <w:b/>
          <w:bCs/>
        </w:rPr>
        <w:t> </w:t>
      </w:r>
      <w:r>
        <w:rPr>
          <w:b/>
          <w:bCs/>
        </w:rPr>
        <w:t>частности, путем улучшения выявления жертв, обеспечения эффективного преследования и наказания лиц, виновных в торговле людьми, с уделением особого внимания государственным должностным лицам, а также обеспечения возмещения ущерба жертвам.</w:t>
      </w:r>
      <w:r>
        <w:t xml:space="preserve"> </w:t>
      </w:r>
      <w:r>
        <w:rPr>
          <w:b/>
          <w:bCs/>
        </w:rPr>
        <w:t>Государству-участнику следует продолжать и укреплять профилактические и информационно-просветительские кампании и подготовку, ориентированные на государственных служащих и других лиц, ответственных за расследование и преследование этих преступлений, а также обеспечить выделение достаточных финансовых, технических и людских ресурсов всем учреждениям, ответственным за предупреждение, пресечение торговли людьми и наказание за не</w:t>
      </w:r>
      <w:r w:rsidR="002200E4">
        <w:rPr>
          <w:b/>
          <w:bCs/>
        </w:rPr>
        <w:t>е</w:t>
      </w:r>
      <w:r>
        <w:rPr>
          <w:b/>
          <w:bCs/>
        </w:rPr>
        <w:t>.</w:t>
      </w:r>
      <w:bookmarkStart w:id="2" w:name="_Hlk149554417"/>
    </w:p>
    <w:bookmarkEnd w:id="2"/>
    <w:p w14:paraId="5EAB471D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беженцев и просителей убежища</w:t>
      </w:r>
    </w:p>
    <w:p w14:paraId="6BD410B4" w14:textId="77777777" w:rsidR="00611E1A" w:rsidRPr="007C1671" w:rsidRDefault="00611E1A" w:rsidP="00611E1A">
      <w:pPr>
        <w:pStyle w:val="SingleTxtG"/>
      </w:pPr>
      <w:r>
        <w:t>35.</w:t>
      </w:r>
      <w:r>
        <w:tab/>
        <w:t xml:space="preserve">Признавая проблемы, вызванные значительным числом беженцев и просителей убежища, прибывающих в государство-участник, и шаги, предпринятые государством-участником для решения этих проблем, Комитет обеспокоен отсутствием всеобъемлющей законодательной и институциональной базы для защиты беженцев и просителей убежища, прибывающих в страну. Он сожалеет, что Конвенция о статусе беженцев, Протокол к ней и Конвенция о статусе апатридов, участником которых является государство, еще не инкорпорированы во внутреннее законодательство. Кроме того, Комитет обеспокоен сообщениями о том, что лицам, обращающимся за международной защитой, в частности лицам, прибывающим из Боливарианской Республики Венесуэла, все чаще выдаются предписания о депортации. В этой связи Комитет особенно обеспокоен тем, что, согласно информации, предоставленной делегацией, мигранты, прибывающие из Боливарианской Республики Венесуэла, классифицируются как экономические мигранты и, следовательно, могут быть депортированы в соответствии с положениями Закона об иммиграции. Комитет глубоко обеспокоен сообщениями о продолжающейся практике задержания и содержания под стражей просителей убежища и беженцев за нелегальный въезд в государство-участник, а также о том, что отдельные лица, включая детей, содержатся в иммиграционных центрах в течение длительного времени, иногда в тюрьмах вместе с осужденными лицами. Кроме того, </w:t>
      </w:r>
      <w:r>
        <w:lastRenderedPageBreak/>
        <w:t xml:space="preserve">Комитет особенно обеспокоен условиями содержания в иммиграционном центре на вертолетной базе в </w:t>
      </w:r>
      <w:proofErr w:type="spellStart"/>
      <w:r>
        <w:t>Чагуарамасе</w:t>
      </w:r>
      <w:proofErr w:type="spellEnd"/>
      <w:r>
        <w:t>, где женщины и дети, как сообщается, не отделены от мужчин-заключенных и часто подвергаются сексуальному насилию (статьи 2, 6, 7, 9, 10, 13 и 26).</w:t>
      </w:r>
      <w:bookmarkStart w:id="3" w:name="_Hlk149086578"/>
      <w:bookmarkEnd w:id="3"/>
    </w:p>
    <w:p w14:paraId="4191BC2E" w14:textId="77777777" w:rsidR="00611E1A" w:rsidRPr="00D7694B" w:rsidRDefault="00611E1A" w:rsidP="00611E1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принять все необходимые меры для усиления защиты беженцев и просителей убежища.</w:t>
      </w:r>
      <w:r>
        <w:t xml:space="preserve"> </w:t>
      </w:r>
      <w:r>
        <w:rPr>
          <w:b/>
          <w:bCs/>
        </w:rPr>
        <w:t>С этой целью ему следует:</w:t>
      </w:r>
    </w:p>
    <w:p w14:paraId="0EED150B" w14:textId="69519B09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ускорить принятие национального законодательства для защиты прав беженцев и просителей убежища и включения в него соответствующих процедур в соответствии с Пактом и другими международными стандартами, а</w:t>
      </w:r>
      <w:r>
        <w:rPr>
          <w:b/>
          <w:bCs/>
        </w:rPr>
        <w:t> </w:t>
      </w:r>
      <w:r w:rsidR="00611E1A" w:rsidRPr="00860510">
        <w:rPr>
          <w:b/>
          <w:bCs/>
        </w:rPr>
        <w:t>также принять меры, необходимые для обеспечения применения Конвенции о статусе беженцев, Протокола к ней и Конвенции о статусе апатридов во внутренней правовой системе;</w:t>
      </w:r>
    </w:p>
    <w:p w14:paraId="384D02CA" w14:textId="6D9DE1DF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разработать процедуры выявления лиц, нуждающихся в международной защите, а именно просителей убежища и беженцев, включая тех, кто подвергается риску в связи с содержанием под стражей или получением приказа о депортации, в соответствии со своими обязательствами по Пакту, Конвенции о статусе беженцев и Протоколу к ней;</w:t>
      </w:r>
      <w:bookmarkStart w:id="4" w:name="_Hlk149080826"/>
      <w:bookmarkEnd w:id="4"/>
    </w:p>
    <w:p w14:paraId="7D70D745" w14:textId="5CEF073F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  <w:t xml:space="preserve">строго придерживаться принципа </w:t>
      </w:r>
      <w:proofErr w:type="spellStart"/>
      <w:r w:rsidR="00611E1A" w:rsidRPr="00860510">
        <w:rPr>
          <w:b/>
          <w:bCs/>
        </w:rPr>
        <w:t>невыдворения</w:t>
      </w:r>
      <w:proofErr w:type="spellEnd"/>
      <w:r w:rsidR="00611E1A" w:rsidRPr="00860510">
        <w:rPr>
          <w:b/>
          <w:bCs/>
        </w:rPr>
        <w:t xml:space="preserve"> в отношении всех просителей убежища и беженцев, воздерживаться от уголовного преследования лиц, нуждающихся в международной защите, за нелегальный въезд или пребывание в стране и обеспечить всем лицам, обращающимся за международной защитой, доступ к независимому судебному механизму обжалования с приостанавливающим действием; </w:t>
      </w:r>
    </w:p>
    <w:p w14:paraId="6CFF74BD" w14:textId="7AB58D58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d)</w:t>
      </w:r>
      <w:r w:rsidR="00611E1A" w:rsidRPr="00860510">
        <w:rPr>
          <w:b/>
          <w:bCs/>
        </w:rPr>
        <w:tab/>
        <w:t xml:space="preserve">обеспечить, чтобы содержание мигрантов и просителей убежища под стражей было обоснованным, необходимым и соразмерным, в соответствии с замечанием общего порядка </w:t>
      </w:r>
      <w:r w:rsidR="00611E1A" w:rsidRPr="00860510">
        <w:rPr>
          <w:b/>
          <w:bCs/>
        </w:rPr>
        <w:t>№ </w:t>
      </w:r>
      <w:r w:rsidR="00611E1A" w:rsidRPr="00860510">
        <w:rPr>
          <w:b/>
          <w:bCs/>
        </w:rPr>
        <w:t>35 (2014) Комитета о свободе и личной неприкосновенности, чтобы условия жизни и обращение в центрах размещения просителей убежища соответствовали международным стандартам и чтобы на практике использовались альтернативы содержанию под стражей, в частности в отношении детей, с тем чтобы лишение их свободы использовалось только в качестве крайней меры и на максимально короткий срок;</w:t>
      </w:r>
    </w:p>
    <w:p w14:paraId="1F2E6E79" w14:textId="4CCD0406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e)</w:t>
      </w:r>
      <w:r w:rsidR="00611E1A" w:rsidRPr="00860510">
        <w:rPr>
          <w:b/>
          <w:bCs/>
        </w:rPr>
        <w:tab/>
      </w:r>
      <w:r>
        <w:rPr>
          <w:b/>
          <w:bCs/>
        </w:rPr>
        <w:t>гарантировать</w:t>
      </w:r>
      <w:r w:rsidR="00611E1A">
        <w:rPr>
          <w:b/>
          <w:bCs/>
        </w:rPr>
        <w:t xml:space="preserve"> оперативное, тщательное и беспристрастное расследование в связи со всеми сообщениями о дискриминации и насилии в отношении беженцев и просителей убежища, в частности женщин привлекать предполагаемых правонарушителей к ответственности и в случае признания их вины назначать им наказания, а также предоставлять возмещение ущерба жертвам</w:t>
      </w:r>
      <w:r w:rsidR="004A635A">
        <w:rPr>
          <w:b/>
          <w:bCs/>
        </w:rPr>
        <w:t>.</w:t>
      </w:r>
    </w:p>
    <w:p w14:paraId="5350DC84" w14:textId="39EAECA2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Отправление правосудия, право на справедливое судебное разбирательство и</w:t>
      </w:r>
      <w:r w:rsidR="00860510">
        <w:rPr>
          <w:bCs/>
        </w:rPr>
        <w:t> </w:t>
      </w:r>
      <w:r>
        <w:rPr>
          <w:bCs/>
        </w:rPr>
        <w:t>независимость судебной власти</w:t>
      </w:r>
    </w:p>
    <w:p w14:paraId="60289582" w14:textId="0517C3FE" w:rsidR="00611E1A" w:rsidRPr="00D7694B" w:rsidRDefault="00611E1A" w:rsidP="00611E1A">
      <w:pPr>
        <w:pStyle w:val="SingleTxtG"/>
      </w:pPr>
      <w:r>
        <w:t>37.</w:t>
      </w:r>
      <w:r>
        <w:tab/>
        <w:t>Отмечая усилия государства-участника по совершенствованию системы правосудия, Комитет в то же время выражает обеспокоенность по поводу чрезмерных задержек с рассмотрением дел и появления в результате этого большого количества нерассмотренных дел, что приводит к длительным периодам досудебного содержания под стражей многих лиц и переполненности тюрем. Комитет также обеспокоен ограниченностью ресурсов и потенциала Департамента государственных защитников Управления по оказанию правовой помощи и консультаций, а также тем, что гарантии надлежащей правовой процедуры, в частности право быть судимым без неоправданной задержки, защищены не во всех случаях. Приветствуя принятие Заявления о принципах и Руководства по поведению судей, Комитет тем не менее обеспокоен проблемами с обеспечением независимости судебной власти, в частности тем, что Комиссия по судебной и юридической службе была</w:t>
      </w:r>
      <w:r>
        <w:t xml:space="preserve"> </w:t>
      </w:r>
      <w:r>
        <w:t xml:space="preserve">сформирована в 2017 году ненадлежащим образом, а также отсутствием объективных критериев отбора для назначения судей, что привело к значительному уровню недоверия населения к судебной системе и убежденности, что судьи могут подвергаться неправомерному влиянию со стороны государственных чиновников. Кроме того, Комитет с </w:t>
      </w:r>
      <w:r>
        <w:lastRenderedPageBreak/>
        <w:t>обеспокоенностью отмечает утверждения о неправомерном поведении судей и сожалеет об отсутствии информации, предоставленной государством-участником о каналах привлечения к ответственности за неправомерное поведение судей (статьи 2, 10 и 14).</w:t>
      </w:r>
    </w:p>
    <w:p w14:paraId="0FFC891A" w14:textId="0484E7EF" w:rsidR="00611E1A" w:rsidRPr="00D7694B" w:rsidRDefault="00611E1A" w:rsidP="00611E1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Государству-участнику следует продолжать свои усилия и принять все необходимые меры для реформирования системы правосудия и обеспечить, чтобы все судебные разбирательства проводились без неоправданных задержек, при полном соблюдении гарантий надлежащей правовой процедуры, изложенных в статье 14 Пакта, и в свете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32 (2007) Комитета о праве на равенство перед судами и трибуналами и на справедливое судебное разбирательство.</w:t>
      </w:r>
      <w:r>
        <w:t xml:space="preserve"> </w:t>
      </w:r>
      <w:r>
        <w:rPr>
          <w:b/>
          <w:bCs/>
        </w:rPr>
        <w:t>Он также должен продолжать усилия по обеспечению полной независимости и беспристрастности судебной системы и гарантировать защиту их деятельности от ненадлежащего давления или вмешательства любого рода со стороны органов исполнительной и законодательной власти.</w:t>
      </w:r>
      <w:r>
        <w:t xml:space="preserve"> </w:t>
      </w:r>
      <w:r>
        <w:rPr>
          <w:b/>
          <w:bCs/>
        </w:rPr>
        <w:t>При этом ему следует:</w:t>
      </w:r>
    </w:p>
    <w:p w14:paraId="66245AFF" w14:textId="79C27092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принять конкретные меры по сокращению числа нерассмотренных судебных дел, в том числе путем увеличения объема финансовых ресурсов, выделяемых на судебную систему, и увеличения числа квалифицированных судей, прокуроров и государственных защитников;</w:t>
      </w:r>
    </w:p>
    <w:p w14:paraId="1BC3DD74" w14:textId="33658C72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обеспечить своевременное предоставление бесплатной юридической помощи во всех случаях, когда этого требуют интересы правосудия, в том числе путем увеличения объема выделяемых людских и финансовых ресурсов для обеспечения адекватного и эффективного функционирования Департамента государственных защитников Управления по оказанию юридической помощи и консультированию;</w:t>
      </w:r>
    </w:p>
    <w:p w14:paraId="4413656F" w14:textId="59C9D18C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 w:rsidRPr="00860510">
        <w:rPr>
          <w:b/>
          <w:bCs/>
        </w:rPr>
        <w:tab/>
        <w:t>принять все необходимые меры для предотвращения коррупции в судебной системе и гарантировать независимое и беспристрастное расследование всех случаев коррупции, а также привлечение виновных к ответственности и назначение им соответствующего наказания, если они будут признаны виновными;</w:t>
      </w:r>
    </w:p>
    <w:p w14:paraId="3727394D" w14:textId="2E78C36C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d)</w:t>
      </w:r>
      <w:r w:rsidR="00611E1A" w:rsidRPr="00860510">
        <w:rPr>
          <w:b/>
          <w:bCs/>
        </w:rPr>
        <w:tab/>
        <w:t>обеспечить, чтобы процедуры отбора, назначения, отстранения от должности, перевода, смещения и наложения дисциплинарных взысканий на судей и прокуроров соответствовали положениям Пакта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преследование;</w:t>
      </w:r>
    </w:p>
    <w:p w14:paraId="76CE20FA" w14:textId="69EDDEB9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e)</w:t>
      </w:r>
      <w:r w:rsidR="00611E1A">
        <w:tab/>
      </w:r>
      <w:r w:rsidR="00611E1A">
        <w:rPr>
          <w:b/>
          <w:bCs/>
        </w:rPr>
        <w:t>обеспечивать оперативное, тщательное, независимое и беспристрастное расследование всех утверждений в неправомерном вмешательстве</w:t>
      </w:r>
      <w:r w:rsidR="00611E1A">
        <w:rPr>
          <w:b/>
          <w:bCs/>
        </w:rPr>
        <w:t xml:space="preserve"> </w:t>
      </w:r>
      <w:r w:rsidR="00611E1A">
        <w:rPr>
          <w:b/>
          <w:bCs/>
        </w:rPr>
        <w:t>представителей других ветвей власти, а также преследовать и наказывать виновных.</w:t>
      </w:r>
    </w:p>
    <w:p w14:paraId="5CD40723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Правосудие по делам несовершеннолетних</w:t>
      </w:r>
    </w:p>
    <w:p w14:paraId="4D22AE58" w14:textId="77777777" w:rsidR="00611E1A" w:rsidRPr="00D7694B" w:rsidRDefault="00611E1A" w:rsidP="00611E1A">
      <w:pPr>
        <w:pStyle w:val="SingleTxtG"/>
      </w:pPr>
      <w:r>
        <w:t>39.</w:t>
      </w:r>
      <w:r>
        <w:tab/>
        <w:t>Приветствуя усилия, предпринятые для укрепления системы ювенальной юстиции, включая создание Детского суда в феврале 2018 года, Комитет глубоко обеспокоен очень низким возрастом наступления уголовной ответственности (7 лет). Комитет обеспокоен тем, что, несмотря на принятие альтернатив лишению свободы для детей, дети, находящиеся в конфликте с законом, могут, согласно информации, представленной государством-участником, содержаться в учреждениях вместе со взрослыми заключенными, и в исключительных случаях им может быть разрешено общаться со взрослыми заключенными (статьи 9, 14 и 24).</w:t>
      </w:r>
    </w:p>
    <w:p w14:paraId="46873DA3" w14:textId="2D2068A0" w:rsidR="00611E1A" w:rsidRPr="00D7694B" w:rsidRDefault="00611E1A" w:rsidP="00611E1A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Государству-участнику следует продолжать усилия по обеспечению того, чтобы его система правосудия по делам несовершеннолетних соответствовала статье 24 Пакта, замечанию общего порядка </w:t>
      </w:r>
      <w:r>
        <w:rPr>
          <w:b/>
          <w:bCs/>
        </w:rPr>
        <w:t>№ </w:t>
      </w:r>
      <w:r>
        <w:rPr>
          <w:b/>
          <w:bCs/>
        </w:rPr>
        <w:t>35 (2014) Комитета о свободе и личной неприкосновенности и другим международным стандартам, в том числе путем принятия мер с целью:</w:t>
      </w:r>
      <w:r>
        <w:t xml:space="preserve"> </w:t>
      </w:r>
    </w:p>
    <w:p w14:paraId="4D545D9F" w14:textId="65864CE6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11E1A" w:rsidRPr="00860510">
        <w:rPr>
          <w:b/>
          <w:bCs/>
        </w:rPr>
        <w:t>a)</w:t>
      </w:r>
      <w:r w:rsidR="00611E1A" w:rsidRPr="00860510">
        <w:rPr>
          <w:b/>
          <w:bCs/>
        </w:rPr>
        <w:tab/>
        <w:t>существенно повысить возраст наступления уголовной ответственности;</w:t>
      </w:r>
    </w:p>
    <w:p w14:paraId="38987A93" w14:textId="6C4110C2" w:rsidR="00611E1A" w:rsidRPr="00860510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b)</w:t>
      </w:r>
      <w:r w:rsidR="00611E1A" w:rsidRPr="00860510">
        <w:rPr>
          <w:b/>
          <w:bCs/>
        </w:rPr>
        <w:tab/>
        <w:t>обеспечить наличие и применение на практике адекватных альтернатив содержанию под стражей, а также обеспечить, чтобы лишение свободы детей, находящихся в конфликте с законом, использовалось только в качестве крайней меры и на максимально короткий срок;</w:t>
      </w:r>
      <w:bookmarkStart w:id="5" w:name="_Hlk149657609"/>
      <w:bookmarkEnd w:id="5"/>
    </w:p>
    <w:p w14:paraId="4CA31CC3" w14:textId="172CD053" w:rsidR="00611E1A" w:rsidRPr="00D7694B" w:rsidRDefault="00860510" w:rsidP="00611E1A">
      <w:pPr>
        <w:pStyle w:val="SingleTxtG"/>
        <w:rPr>
          <w:b/>
          <w:bCs/>
        </w:rPr>
      </w:pPr>
      <w:r>
        <w:rPr>
          <w:b/>
          <w:bCs/>
        </w:rPr>
        <w:tab/>
      </w:r>
      <w:r w:rsidR="00611E1A" w:rsidRPr="00860510">
        <w:rPr>
          <w:b/>
          <w:bCs/>
        </w:rPr>
        <w:t>c)</w:t>
      </w:r>
      <w:r w:rsidR="00611E1A">
        <w:tab/>
      </w:r>
      <w:r w:rsidR="00611E1A">
        <w:rPr>
          <w:b/>
          <w:bCs/>
        </w:rPr>
        <w:t>обеспечить полностью раздельное содержание несовершеннолетних и взрослых во всех местах лишения свободы и тюрьмах.</w:t>
      </w:r>
    </w:p>
    <w:p w14:paraId="289349FF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358A775B" w14:textId="77777777" w:rsidR="00611E1A" w:rsidRPr="00D7694B" w:rsidRDefault="00611E1A" w:rsidP="00611E1A">
      <w:pPr>
        <w:pStyle w:val="SingleTxtG"/>
      </w:pPr>
      <w:r>
        <w:t>41.</w:t>
      </w:r>
      <w:r>
        <w:tab/>
        <w:t>Принимая к сведению представленную информацию о Законе о клевете и диффамации и тот факт, что никому не было предъявлено обвинение по этому закону, Комитет обеспокоен криминализацией клеветы, которая может затруднить деятельность журналистов и правозащитников и ограничить их свободу выражения мнений. Он также обеспокоен сообщениями о том, что свобода гражданского общества и средств массовой информации выражать мнения, критикующие правительство, не опасаясь возмездия, как представляется, уменьшилась. Комитет также обеспокоен тем, что работникам СМИ, как утверждается, было отказано в доступе на пресс-брифинг, проведенный премьер-министром в 2022 году, и сожалеет об отсутствии комментариев со стороны делегации по поводу критериев допуска журналистов на пресс-конференции (статья 19).</w:t>
      </w:r>
    </w:p>
    <w:p w14:paraId="1C11AEFC" w14:textId="4697E3C1" w:rsidR="00611E1A" w:rsidRPr="00D7694B" w:rsidRDefault="00611E1A" w:rsidP="00611E1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Государству-участнику следует принять необходимые меры для обеспечения того, чтобы по закону и на практике каждый человек мог свободно осуществлять право на свободу выражения мнений в соответствии со статьей 19 Пакта и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34 (2011) Комитета о свободе мнений и их выражения и чтобы любые ограничения на осуществление свободы выражения мнений, в частности в отношении журналистов и работников средств массовой информации, соответствовали строгим требованиям статьи пункта 3 19 Пакта.</w:t>
      </w:r>
      <w:r>
        <w:t xml:space="preserve"> </w:t>
      </w:r>
      <w:r>
        <w:rPr>
          <w:b/>
          <w:bCs/>
        </w:rPr>
        <w:t>В</w:t>
      </w:r>
      <w:r w:rsidR="00860510">
        <w:rPr>
          <w:b/>
          <w:bCs/>
        </w:rPr>
        <w:t> </w:t>
      </w:r>
      <w:r>
        <w:rPr>
          <w:b/>
          <w:bCs/>
        </w:rPr>
        <w:t xml:space="preserve">частности, следует отменить уголовную ответственность за клевету и обеспечить, чтобы тюремное заключение никогда не являлось наказанием за подобные </w:t>
      </w:r>
      <w:r w:rsidR="00860510">
        <w:rPr>
          <w:b/>
          <w:bCs/>
        </w:rPr>
        <w:t>деяния</w:t>
      </w:r>
      <w:r>
        <w:rPr>
          <w:b/>
          <w:bCs/>
        </w:rPr>
        <w:t>, а Закон о клевете и диффамации не использовался неправомерно для ограничения свободы выражения мнений.</w:t>
      </w:r>
      <w:r>
        <w:t xml:space="preserve"> </w:t>
      </w:r>
    </w:p>
    <w:p w14:paraId="6D72B39D" w14:textId="77777777" w:rsidR="00611E1A" w:rsidRPr="00D7694B" w:rsidRDefault="00611E1A" w:rsidP="00611E1A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  <w:r>
        <w:t xml:space="preserve"> </w:t>
      </w:r>
    </w:p>
    <w:p w14:paraId="64618578" w14:textId="77777777" w:rsidR="00611E1A" w:rsidRPr="00D7694B" w:rsidRDefault="00611E1A" w:rsidP="00611E1A">
      <w:pPr>
        <w:pStyle w:val="SingleTxtG"/>
      </w:pPr>
      <w:r>
        <w:t>43.</w:t>
      </w:r>
      <w:r>
        <w:tab/>
        <w:t>Отмечая, что, согласно информации, представленной государством-участником, свобода собраний не ограничивается, Комитет тем не менее обеспокоен тем, что юридическое требование об уведомлении о мирных собраниях может быть равносильно фактическому предварительному разрешению, что несовместимо со статьей 21 Пакта. Он также обеспокоен разделом 111 (1) Закона о преступлениях, преследуемых в порядке суммарного производства, который позволяет полиции разгонять массовые мероприятия. Он также обеспокоен тем, что широкие основания для задержания без постановления, изложенные в Законе о полиции, который позволяет задерживать любого человека в общественном или частном месте, которого сотрудник полиции обоснованно подозревает в совершении или намерении совершить преступление, могут привести к произвольным задержаниям и ограничению мирных собраний (статья 21).</w:t>
      </w:r>
    </w:p>
    <w:p w14:paraId="0C4A3B1E" w14:textId="104D2CB8" w:rsidR="00611E1A" w:rsidRPr="00D7694B" w:rsidRDefault="00611E1A" w:rsidP="00611E1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В свете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37 (2020) Комитета о праве на мирные собрания государству-участнику следует пересмотреть и рассмотреть возможность внесения изменений в свое законодательство и практику для обеспечения того, чтобы люди в полной мере пользовались своим правом на мирные собрания, и гарантировать, чтобы любые ограничения этого права соответствовали строгим требованиям статьи 21 Пакта, в частности требованию о том, чтобы любое обязательство по предоставлению уведомления не использовалось неправомерно для подавления мирных собраний.</w:t>
      </w:r>
    </w:p>
    <w:p w14:paraId="16CA9E4E" w14:textId="77777777" w:rsidR="00611E1A" w:rsidRPr="00D7694B" w:rsidRDefault="00611E1A" w:rsidP="00611E1A">
      <w:pPr>
        <w:pStyle w:val="H23G"/>
      </w:pPr>
      <w:r>
        <w:lastRenderedPageBreak/>
        <w:tab/>
      </w:r>
      <w:r>
        <w:tab/>
      </w:r>
      <w:r>
        <w:rPr>
          <w:bCs/>
        </w:rPr>
        <w:t>Права ребенка</w:t>
      </w:r>
    </w:p>
    <w:p w14:paraId="7627D6D9" w14:textId="76C5BD5D" w:rsidR="00611E1A" w:rsidRPr="00D7694B" w:rsidRDefault="00611E1A" w:rsidP="00611E1A">
      <w:pPr>
        <w:pStyle w:val="SingleTxtG"/>
      </w:pPr>
      <w:r>
        <w:t>45.</w:t>
      </w:r>
      <w:r>
        <w:tab/>
        <w:t xml:space="preserve">Комитет отмечает важные шаги, предпринятые государством-участником для защиты прав детей, включая его усилия по отмене детских браков и увеличение минимального возраста для вступления в брак до 18 лет на основании Закона о прочих положениях (о браке) 2016 года. Отмечая запрет на телесные наказания детей в школах в соответствии с Законом о детях 2012 года, Комитет тем не менее обеспокоен тем, что в соответствии с этим Законом оправдание аргумента о </w:t>
      </w:r>
      <w:r>
        <w:t>«</w:t>
      </w:r>
      <w:r>
        <w:t>разумном телесном наказании</w:t>
      </w:r>
      <w:r>
        <w:t>»</w:t>
      </w:r>
      <w:r>
        <w:t xml:space="preserve"> остается доступным для родителей в отношении телесных наказаний их детей. Кроме того, Комитет обеспокоен сообщениями о продолжающемся жестоком обращении с детьми в их собственных домах и учреждениях (статьи 7, 23 и 24).</w:t>
      </w:r>
    </w:p>
    <w:p w14:paraId="716A2BBB" w14:textId="77777777" w:rsidR="00611E1A" w:rsidRPr="00D7694B" w:rsidRDefault="00611E1A" w:rsidP="00611E1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 принять необходимые меры: a) для защиты несовершеннолетних от всех форм жестокого обращения и принять законодательство, которое прямо и четко запрещает телесные наказания детей в любых условиях и всеми лицами, включая родителей;</w:t>
      </w:r>
      <w:r>
        <w:t xml:space="preserve"> </w:t>
      </w:r>
      <w:r>
        <w:rPr>
          <w:b/>
          <w:bCs/>
        </w:rPr>
        <w:t>b) поощрять ненасильственные формы поддержания дисциплины в качестве альтернативы телесным наказаниям;</w:t>
      </w:r>
      <w:r>
        <w:t xml:space="preserve"> </w:t>
      </w:r>
      <w:r>
        <w:rPr>
          <w:b/>
          <w:bCs/>
        </w:rPr>
        <w:t>и с) проводить информационно-просветительскую работу о негативных последствиях телесных наказаний.</w:t>
      </w:r>
    </w:p>
    <w:p w14:paraId="111C8A2A" w14:textId="4C093EC0" w:rsidR="00611E1A" w:rsidRPr="00D7694B" w:rsidRDefault="00860510" w:rsidP="00611E1A">
      <w:pPr>
        <w:pStyle w:val="H1G"/>
      </w:pPr>
      <w:r>
        <w:rPr>
          <w:bCs/>
        </w:rPr>
        <w:tab/>
      </w:r>
      <w:r w:rsidR="00611E1A">
        <w:rPr>
          <w:bCs/>
        </w:rPr>
        <w:t>D.</w:t>
      </w:r>
      <w:r w:rsidR="00611E1A">
        <w:tab/>
      </w:r>
      <w:r w:rsidR="00611E1A">
        <w:rPr>
          <w:bCs/>
        </w:rPr>
        <w:t>Распространение и процедура последующих действий</w:t>
      </w:r>
      <w:r w:rsidR="00611E1A">
        <w:t xml:space="preserve"> </w:t>
      </w:r>
    </w:p>
    <w:p w14:paraId="0EED3006" w14:textId="77777777" w:rsidR="00611E1A" w:rsidRPr="00D7694B" w:rsidRDefault="00611E1A" w:rsidP="00611E1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пятого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</w:p>
    <w:p w14:paraId="3C580396" w14:textId="6FBB79D3" w:rsidR="00611E1A" w:rsidRPr="00D7694B" w:rsidRDefault="00611E1A" w:rsidP="00611E1A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не позднее 3 ноября 2026 года информацию о выполнении рекомендаций, вынесенных Комитетом в пунктах 36 (обращение с иностранцами, включая беженцев и просителей убежища), 38</w:t>
      </w:r>
      <w:r w:rsidR="00860510">
        <w:rPr>
          <w:b/>
          <w:bCs/>
        </w:rPr>
        <w:t> </w:t>
      </w:r>
      <w:r>
        <w:rPr>
          <w:b/>
          <w:bCs/>
        </w:rPr>
        <w:t>(отправление правосудия, право на справедливое судебное разбирательство и независимость судебной власти) и 40 (правосудие по делам несовершеннолетних) выше.</w:t>
      </w:r>
    </w:p>
    <w:p w14:paraId="178E6E2E" w14:textId="02F96EC3" w:rsidR="00611E1A" w:rsidRPr="00D7694B" w:rsidRDefault="00611E1A" w:rsidP="00611E1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2029 году перечень вопросов Комитета до представления доклада и должно будет представить в течение одного года свои ответы, которые составят его шестой периодический доклад.</w:t>
      </w:r>
      <w:r>
        <w:t xml:space="preserve"> </w:t>
      </w:r>
      <w:r>
        <w:rPr>
          <w:b/>
          <w:bCs/>
        </w:rPr>
        <w:t>Кроме того, Комитет просит государство-участник в процессе подготовки доклада активно консультироваться с гражданским обществом и с неправительственными организациями, которые работают в стране.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860510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2031 году в Женеве.</w:t>
      </w:r>
    </w:p>
    <w:p w14:paraId="5D0362B1" w14:textId="5BE4293E" w:rsidR="00381C24" w:rsidRPr="00611E1A" w:rsidRDefault="00611E1A" w:rsidP="00611E1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11E1A" w:rsidSect="00611E1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250D9" w14:textId="77777777" w:rsidR="00FE3907" w:rsidRPr="00A312BC" w:rsidRDefault="00FE3907" w:rsidP="00A312BC"/>
  </w:endnote>
  <w:endnote w:type="continuationSeparator" w:id="0">
    <w:p w14:paraId="329653FE" w14:textId="77777777" w:rsidR="00FE3907" w:rsidRPr="00A312BC" w:rsidRDefault="00FE390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A5291" w14:textId="13DBBC57" w:rsidR="00611E1A" w:rsidRPr="00611E1A" w:rsidRDefault="00611E1A">
    <w:pPr>
      <w:pStyle w:val="a8"/>
    </w:pPr>
    <w:r w:rsidRPr="00611E1A">
      <w:rPr>
        <w:b/>
        <w:sz w:val="18"/>
      </w:rPr>
      <w:fldChar w:fldCharType="begin"/>
    </w:r>
    <w:r w:rsidRPr="00611E1A">
      <w:rPr>
        <w:b/>
        <w:sz w:val="18"/>
      </w:rPr>
      <w:instrText xml:space="preserve"> PAGE  \* MERGEFORMAT </w:instrText>
    </w:r>
    <w:r w:rsidRPr="00611E1A">
      <w:rPr>
        <w:b/>
        <w:sz w:val="18"/>
      </w:rPr>
      <w:fldChar w:fldCharType="separate"/>
    </w:r>
    <w:r w:rsidRPr="00611E1A">
      <w:rPr>
        <w:b/>
        <w:noProof/>
        <w:sz w:val="18"/>
      </w:rPr>
      <w:t>2</w:t>
    </w:r>
    <w:r w:rsidRPr="00611E1A">
      <w:rPr>
        <w:b/>
        <w:sz w:val="18"/>
      </w:rPr>
      <w:fldChar w:fldCharType="end"/>
    </w:r>
    <w:r>
      <w:rPr>
        <w:b/>
        <w:sz w:val="18"/>
      </w:rPr>
      <w:tab/>
    </w:r>
    <w:r>
      <w:t>GE.23-21967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11722" w14:textId="7265FCC7" w:rsidR="00611E1A" w:rsidRPr="00611E1A" w:rsidRDefault="00611E1A" w:rsidP="00611E1A">
    <w:pPr>
      <w:pStyle w:val="a8"/>
      <w:tabs>
        <w:tab w:val="clear" w:pos="9639"/>
        <w:tab w:val="right" w:pos="9638"/>
      </w:tabs>
      <w:rPr>
        <w:b/>
        <w:sz w:val="18"/>
      </w:rPr>
    </w:pPr>
    <w:r>
      <w:t>GE.23-21967</w:t>
    </w:r>
    <w:r>
      <w:tab/>
    </w:r>
    <w:r w:rsidRPr="00611E1A">
      <w:rPr>
        <w:b/>
        <w:sz w:val="18"/>
      </w:rPr>
      <w:fldChar w:fldCharType="begin"/>
    </w:r>
    <w:r w:rsidRPr="00611E1A">
      <w:rPr>
        <w:b/>
        <w:sz w:val="18"/>
      </w:rPr>
      <w:instrText xml:space="preserve"> PAGE  \* MERGEFORMAT </w:instrText>
    </w:r>
    <w:r w:rsidRPr="00611E1A">
      <w:rPr>
        <w:b/>
        <w:sz w:val="18"/>
      </w:rPr>
      <w:fldChar w:fldCharType="separate"/>
    </w:r>
    <w:r w:rsidRPr="00611E1A">
      <w:rPr>
        <w:b/>
        <w:noProof/>
        <w:sz w:val="18"/>
      </w:rPr>
      <w:t>3</w:t>
    </w:r>
    <w:r w:rsidRPr="00611E1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49778" w14:textId="1F758A31" w:rsidR="00042B72" w:rsidRPr="004A635A" w:rsidRDefault="00611E1A" w:rsidP="00611E1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1443C8" wp14:editId="4D6EF64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23-21967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0B0662" wp14:editId="2844EC0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35A">
      <w:t xml:space="preserve">   </w:t>
    </w:r>
    <w:r w:rsidR="004A635A">
      <w:rPr>
        <w:lang w:val="en-US"/>
      </w:rPr>
      <w:t>111223   080224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AA27B" w14:textId="77777777" w:rsidR="00FE3907" w:rsidRPr="001075E9" w:rsidRDefault="00FE39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0D6DE0" w14:textId="77777777" w:rsidR="00FE3907" w:rsidRDefault="00FE39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25A8A3" w14:textId="77777777" w:rsidR="00611E1A" w:rsidRPr="00D7694B" w:rsidRDefault="00611E1A" w:rsidP="00611E1A">
      <w:pPr>
        <w:pStyle w:val="ad"/>
      </w:pPr>
      <w:r>
        <w:tab/>
      </w:r>
      <w:r w:rsidRPr="00611E1A">
        <w:rPr>
          <w:sz w:val="20"/>
        </w:rPr>
        <w:t>*</w:t>
      </w:r>
      <w:r>
        <w:tab/>
        <w:t>Приняты Комитетом на сто тридцать девятой сессии (9 октября ⸺ 3 ноября 2023 года).</w:t>
      </w:r>
    </w:p>
  </w:footnote>
  <w:footnote w:id="2">
    <w:p w14:paraId="15C34B76" w14:textId="6FB69E27" w:rsidR="00611E1A" w:rsidRPr="00D7694B" w:rsidRDefault="00611E1A" w:rsidP="00611E1A">
      <w:pPr>
        <w:pStyle w:val="ad"/>
      </w:pPr>
      <w:r w:rsidRPr="0039762C">
        <w:tab/>
      </w:r>
      <w:r w:rsidRPr="00116BC5">
        <w:rPr>
          <w:rStyle w:val="aa"/>
        </w:rPr>
        <w:footnoteRef/>
      </w:r>
      <w:r>
        <w:tab/>
      </w:r>
      <w:hyperlink r:id="rId1" w:history="1">
        <w:r w:rsidRPr="00611E1A">
          <w:rPr>
            <w:rStyle w:val="af1"/>
          </w:rPr>
          <w:t>CCPR/C/TTO/5</w:t>
        </w:r>
      </w:hyperlink>
      <w:r>
        <w:t>.</w:t>
      </w:r>
    </w:p>
  </w:footnote>
  <w:footnote w:id="3">
    <w:p w14:paraId="0032A3F8" w14:textId="6E1E8996" w:rsidR="00611E1A" w:rsidRPr="00D7694B" w:rsidRDefault="00611E1A" w:rsidP="00611E1A">
      <w:pPr>
        <w:pStyle w:val="ad"/>
      </w:pPr>
      <w:r w:rsidRPr="00116BC5">
        <w:tab/>
      </w:r>
      <w:r w:rsidRPr="00116BC5">
        <w:rPr>
          <w:rStyle w:val="aa"/>
        </w:rPr>
        <w:footnoteRef/>
      </w:r>
      <w:r>
        <w:tab/>
        <w:t xml:space="preserve">См. </w:t>
      </w:r>
      <w:hyperlink r:id="rId2" w:history="1">
        <w:r w:rsidRPr="00611E1A">
          <w:rPr>
            <w:rStyle w:val="af1"/>
          </w:rPr>
          <w:t>CCPR/C/SR.4052</w:t>
        </w:r>
      </w:hyperlink>
      <w:r>
        <w:t xml:space="preserve"> и </w:t>
      </w:r>
      <w:hyperlink r:id="rId3" w:history="1">
        <w:r w:rsidRPr="00611E1A">
          <w:rPr>
            <w:rStyle w:val="af1"/>
          </w:rPr>
          <w:t>CCPR/C/SR.4053</w:t>
        </w:r>
      </w:hyperlink>
      <w:r>
        <w:t>.</w:t>
      </w:r>
    </w:p>
  </w:footnote>
  <w:footnote w:id="4">
    <w:p w14:paraId="31C91A1E" w14:textId="70B04CC6" w:rsidR="00611E1A" w:rsidRPr="00611E1A" w:rsidRDefault="00611E1A" w:rsidP="00611E1A">
      <w:pPr>
        <w:pStyle w:val="ad"/>
        <w:rPr>
          <w:lang w:val="en-US"/>
        </w:rPr>
      </w:pPr>
      <w:r w:rsidRPr="00116BC5">
        <w:tab/>
      </w:r>
      <w:r w:rsidRPr="00116BC5">
        <w:rPr>
          <w:rStyle w:val="aa"/>
        </w:rPr>
        <w:footnoteRef/>
      </w:r>
      <w:r w:rsidRPr="00D7694B">
        <w:rPr>
          <w:lang w:val="en-US"/>
        </w:rPr>
        <w:t xml:space="preserve"> </w:t>
      </w:r>
      <w:r w:rsidRPr="00D7694B">
        <w:rPr>
          <w:lang w:val="en-US"/>
        </w:rPr>
        <w:tab/>
      </w:r>
      <w:hyperlink r:id="rId4" w:history="1">
        <w:r w:rsidRPr="00611E1A">
          <w:rPr>
            <w:rStyle w:val="af1"/>
            <w:lang w:val="en-US"/>
          </w:rPr>
          <w:t>CCPR/C/TTO/QPR/5</w:t>
        </w:r>
      </w:hyperlink>
      <w:r w:rsidRPr="00D7694B">
        <w:rPr>
          <w:lang w:val="en-US"/>
        </w:rPr>
        <w:t>.</w:t>
      </w:r>
    </w:p>
  </w:footnote>
  <w:footnote w:id="5">
    <w:p w14:paraId="0AFBAD25" w14:textId="4E0B7609" w:rsidR="00611E1A" w:rsidRPr="00611E1A" w:rsidRDefault="00611E1A" w:rsidP="00611E1A">
      <w:pPr>
        <w:pStyle w:val="ad"/>
        <w:rPr>
          <w:lang w:val="en-US"/>
        </w:rPr>
      </w:pPr>
      <w:r w:rsidRPr="00D7694B">
        <w:rPr>
          <w:lang w:val="en-US"/>
        </w:rPr>
        <w:tab/>
      </w:r>
      <w:r w:rsidRPr="00116BC5">
        <w:rPr>
          <w:rStyle w:val="aa"/>
        </w:rPr>
        <w:footnoteRef/>
      </w:r>
      <w:r w:rsidRPr="00D7694B">
        <w:rPr>
          <w:lang w:val="en-US"/>
        </w:rPr>
        <w:t xml:space="preserve"> </w:t>
      </w:r>
      <w:r w:rsidRPr="00D7694B">
        <w:rPr>
          <w:lang w:val="en-US"/>
        </w:rPr>
        <w:tab/>
      </w:r>
      <w:hyperlink r:id="rId5" w:history="1">
        <w:r w:rsidRPr="00611E1A">
          <w:rPr>
            <w:rStyle w:val="af1"/>
            <w:lang w:val="en-US"/>
          </w:rPr>
          <w:t>CCPR/CO/70/TTO</w:t>
        </w:r>
      </w:hyperlink>
      <w:r w:rsidRPr="00D7694B">
        <w:rPr>
          <w:lang w:val="en-US"/>
        </w:rPr>
        <w:t xml:space="preserve">, </w:t>
      </w:r>
      <w:r>
        <w:t>п</w:t>
      </w:r>
      <w:r w:rsidRPr="00D7694B">
        <w:rPr>
          <w:lang w:val="en-US"/>
        </w:rPr>
        <w:t>. 9.</w:t>
      </w:r>
    </w:p>
  </w:footnote>
  <w:footnote w:id="6">
    <w:p w14:paraId="6A1632BA" w14:textId="77777777" w:rsidR="002200E4" w:rsidRPr="00C65B0D" w:rsidRDefault="002200E4" w:rsidP="002200E4">
      <w:pPr>
        <w:pStyle w:val="ad"/>
      </w:pPr>
      <w:r w:rsidRPr="00D7694B">
        <w:rPr>
          <w:lang w:val="en-US"/>
        </w:rPr>
        <w:tab/>
      </w:r>
      <w:r w:rsidRPr="00116BC5">
        <w:rPr>
          <w:rStyle w:val="aa"/>
        </w:rPr>
        <w:footnoteRef/>
      </w:r>
      <w:r>
        <w:t xml:space="preserve"> </w:t>
      </w:r>
      <w:r>
        <w:tab/>
        <w:t>Там же, п. 18.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CF7C2" w14:textId="533343F1" w:rsidR="00611E1A" w:rsidRPr="00611E1A" w:rsidRDefault="00611E1A">
    <w:pPr>
      <w:pStyle w:val="a5"/>
    </w:pPr>
    <w:fldSimple w:instr=" TITLE  \* MERGEFORMAT ">
      <w:r w:rsidR="00023A87">
        <w:t>CCPR/C/TTO/CO/5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3D928" w14:textId="6D1D37C5" w:rsidR="00611E1A" w:rsidRPr="00611E1A" w:rsidRDefault="00611E1A" w:rsidP="00611E1A">
    <w:pPr>
      <w:pStyle w:val="a5"/>
      <w:jc w:val="right"/>
    </w:pPr>
    <w:fldSimple w:instr=" TITLE  \* MERGEFORMAT ">
      <w:r w:rsidR="00023A87">
        <w:t>CCPR/C/TTO/CO/5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07"/>
    <w:rsid w:val="00023A8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00E4"/>
    <w:rsid w:val="00254812"/>
    <w:rsid w:val="002A2EFC"/>
    <w:rsid w:val="002A7D03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A635A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11E1A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553"/>
    <w:rsid w:val="00825F8D"/>
    <w:rsid w:val="00834B71"/>
    <w:rsid w:val="00860510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1443"/>
    <w:rsid w:val="00F94155"/>
    <w:rsid w:val="00F9783F"/>
    <w:rsid w:val="00FC636C"/>
    <w:rsid w:val="00FD2EF7"/>
    <w:rsid w:val="00FE390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D8E15"/>
  <w15:docId w15:val="{7D0E51F2-4B82-4EA1-95E2-0B0E97C88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611E1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611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4053" TargetMode="External"/><Relationship Id="rId2" Type="http://schemas.openxmlformats.org/officeDocument/2006/relationships/hyperlink" Target="http://undocs.org/ru/CCPR/C/SR.4052" TargetMode="External"/><Relationship Id="rId1" Type="http://schemas.openxmlformats.org/officeDocument/2006/relationships/hyperlink" Target="http://undocs.org/ru/CCPR/C/TTO/5" TargetMode="External"/><Relationship Id="rId5" Type="http://schemas.openxmlformats.org/officeDocument/2006/relationships/hyperlink" Target="http://undocs.org/ru/CCPR/CO/70/TTO" TargetMode="External"/><Relationship Id="rId4" Type="http://schemas.openxmlformats.org/officeDocument/2006/relationships/hyperlink" Target="http://undocs.org/ru/CCPR/C/TTO/QPR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49</TotalTime>
  <Pages>14</Pages>
  <Words>5799</Words>
  <Characters>40002</Characters>
  <Application>Microsoft Office Word</Application>
  <DocSecurity>0</DocSecurity>
  <Lines>720</Lines>
  <Paragraphs>139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CCPR/C/TTO/CO/5</vt:lpstr>
      <vt:lpstr>A/</vt:lpstr>
      <vt:lpstr>A/</vt:lpstr>
    </vt:vector>
  </TitlesOfParts>
  <Company>DCM</Company>
  <LinksUpToDate>false</LinksUpToDate>
  <CharactersWithSpaces>45781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CCPR/C/TTO/CO/5</dc:title>
  <dc:subject/>
  <dc:creator>Larisa MAYKOVSKAYA</dc:creator>
  <cp:keywords/>
  <cp:lastModifiedBy>Larisa MAYKOVSKAYA</cp:lastModifiedBy>
  <cp:revision>3</cp:revision>
  <cp:lastPrinted>2024-02-08T16:46:00Z</cp:lastPrinted>
  <dcterms:created xsi:type="dcterms:W3CDTF">2024-02-08T16:46:00Z</dcterms:created>
  <dcterms:modified xsi:type="dcterms:W3CDTF">2024-02-08T16:47:00Z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