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394C45"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394C45" w:rsidRDefault="006B3E27" w:rsidP="00BA5E8B">
            <w:pPr>
              <w:spacing w:after="80" w:line="480" w:lineRule="exact"/>
              <w:jc w:val="left"/>
              <w:rPr>
                <w:sz w:val="40"/>
                <w:szCs w:val="40"/>
                <w:rtl/>
              </w:rPr>
            </w:pPr>
            <w:r w:rsidRPr="00394C45">
              <w:rPr>
                <w:rFonts w:hint="cs"/>
                <w:sz w:val="40"/>
                <w:szCs w:val="40"/>
                <w:rtl/>
              </w:rPr>
              <w:t>الأمم المتحدة</w:t>
            </w:r>
          </w:p>
        </w:tc>
        <w:tc>
          <w:tcPr>
            <w:tcW w:w="3402" w:type="dxa"/>
            <w:tcBorders>
              <w:bottom w:val="single" w:sz="4" w:space="0" w:color="auto"/>
            </w:tcBorders>
            <w:vAlign w:val="bottom"/>
          </w:tcPr>
          <w:p w:rsidR="006B3E27" w:rsidRPr="00394C45" w:rsidRDefault="00C702B6" w:rsidP="00394C45">
            <w:pPr>
              <w:bidi w:val="0"/>
              <w:spacing w:after="20"/>
              <w:jc w:val="left"/>
              <w:rPr>
                <w:szCs w:val="20"/>
              </w:rPr>
            </w:pPr>
            <w:r w:rsidRPr="00394C45">
              <w:rPr>
                <w:sz w:val="40"/>
                <w:szCs w:val="20"/>
              </w:rPr>
              <w:t>A</w:t>
            </w:r>
            <w:r w:rsidRPr="00394C45">
              <w:rPr>
                <w:szCs w:val="20"/>
              </w:rPr>
              <w:t>/HRC/RES/36/6</w:t>
            </w:r>
          </w:p>
        </w:tc>
      </w:tr>
      <w:tr w:rsidR="006B3E27" w:rsidRPr="00394C45" w:rsidTr="00BA5E8B">
        <w:trPr>
          <w:trHeight w:hRule="exact" w:val="2835"/>
        </w:trPr>
        <w:tc>
          <w:tcPr>
            <w:tcW w:w="1274" w:type="dxa"/>
            <w:tcBorders>
              <w:top w:val="single" w:sz="4" w:space="0" w:color="auto"/>
              <w:bottom w:val="single" w:sz="12" w:space="0" w:color="auto"/>
            </w:tcBorders>
          </w:tcPr>
          <w:p w:rsidR="006B3E27" w:rsidRPr="00394C45" w:rsidRDefault="0059622A" w:rsidP="00BA5E8B">
            <w:pPr>
              <w:jc w:val="center"/>
              <w:rPr>
                <w:sz w:val="56"/>
                <w:szCs w:val="56"/>
                <w:rtl/>
              </w:rPr>
            </w:pPr>
            <w:r w:rsidRPr="00394C45">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394C45" w:rsidRDefault="001773DB" w:rsidP="00BA5E8B">
            <w:pPr>
              <w:spacing w:before="120" w:after="40" w:line="640" w:lineRule="exact"/>
              <w:jc w:val="left"/>
              <w:rPr>
                <w:b/>
                <w:bCs/>
                <w:sz w:val="56"/>
                <w:szCs w:val="56"/>
              </w:rPr>
            </w:pPr>
            <w:r w:rsidRPr="00394C45">
              <w:rPr>
                <w:rFonts w:hint="cs"/>
                <w:b/>
                <w:bCs/>
                <w:sz w:val="56"/>
                <w:szCs w:val="56"/>
                <w:rtl/>
              </w:rPr>
              <w:t>الجمعية العامة</w:t>
            </w:r>
          </w:p>
        </w:tc>
        <w:tc>
          <w:tcPr>
            <w:tcW w:w="3402" w:type="dxa"/>
            <w:tcBorders>
              <w:top w:val="single" w:sz="4" w:space="0" w:color="auto"/>
              <w:bottom w:val="single" w:sz="12" w:space="0" w:color="auto"/>
            </w:tcBorders>
          </w:tcPr>
          <w:p w:rsidR="006B3E27" w:rsidRPr="00394C45" w:rsidRDefault="00394C45" w:rsidP="00394C45">
            <w:pPr>
              <w:bidi w:val="0"/>
              <w:spacing w:before="240"/>
              <w:jc w:val="left"/>
              <w:rPr>
                <w:szCs w:val="20"/>
              </w:rPr>
            </w:pPr>
            <w:r w:rsidRPr="00394C45">
              <w:rPr>
                <w:szCs w:val="20"/>
              </w:rPr>
              <w:t>Distr.: General</w:t>
            </w:r>
          </w:p>
          <w:p w:rsidR="00394C45" w:rsidRPr="00394C45" w:rsidRDefault="00394C45" w:rsidP="00394C45">
            <w:pPr>
              <w:bidi w:val="0"/>
              <w:jc w:val="left"/>
              <w:rPr>
                <w:szCs w:val="20"/>
              </w:rPr>
            </w:pPr>
            <w:r w:rsidRPr="00394C45">
              <w:rPr>
                <w:szCs w:val="20"/>
              </w:rPr>
              <w:t>10 October 2017</w:t>
            </w:r>
          </w:p>
          <w:p w:rsidR="00394C45" w:rsidRPr="00394C45" w:rsidRDefault="00394C45" w:rsidP="00394C45">
            <w:pPr>
              <w:bidi w:val="0"/>
              <w:jc w:val="left"/>
              <w:rPr>
                <w:szCs w:val="20"/>
              </w:rPr>
            </w:pPr>
            <w:r w:rsidRPr="00394C45">
              <w:rPr>
                <w:szCs w:val="20"/>
              </w:rPr>
              <w:t>Arabic</w:t>
            </w:r>
          </w:p>
          <w:p w:rsidR="00394C45" w:rsidRPr="00394C45" w:rsidRDefault="00394C45" w:rsidP="00394C45">
            <w:pPr>
              <w:bidi w:val="0"/>
              <w:jc w:val="left"/>
              <w:rPr>
                <w:szCs w:val="20"/>
              </w:rPr>
            </w:pPr>
            <w:r w:rsidRPr="00394C45">
              <w:rPr>
                <w:szCs w:val="20"/>
              </w:rPr>
              <w:t>Original: English</w:t>
            </w:r>
          </w:p>
        </w:tc>
      </w:tr>
    </w:tbl>
    <w:p w:rsidR="00394C45" w:rsidRPr="00394C45" w:rsidRDefault="00394C45" w:rsidP="00394C45">
      <w:pPr>
        <w:pStyle w:val="SingleTxtGA"/>
        <w:spacing w:before="120" w:after="0"/>
        <w:ind w:left="0" w:right="4252"/>
        <w:jc w:val="left"/>
        <w:rPr>
          <w:b/>
          <w:bCs/>
          <w:sz w:val="26"/>
          <w:szCs w:val="36"/>
          <w:rtl/>
        </w:rPr>
      </w:pPr>
      <w:r w:rsidRPr="00394C45">
        <w:rPr>
          <w:rFonts w:hint="cs"/>
          <w:b/>
          <w:bCs/>
          <w:sz w:val="26"/>
          <w:szCs w:val="36"/>
          <w:rtl/>
        </w:rPr>
        <w:t>مجلس حقوق الإنسان</w:t>
      </w:r>
    </w:p>
    <w:p w:rsidR="00394C45" w:rsidRPr="00394C45" w:rsidRDefault="00394C45" w:rsidP="00394C45">
      <w:pPr>
        <w:pStyle w:val="SingleTxtGA"/>
        <w:spacing w:after="0"/>
        <w:ind w:left="0" w:right="4252"/>
        <w:jc w:val="left"/>
        <w:rPr>
          <w:b/>
          <w:bCs/>
          <w:kern w:val="16"/>
          <w:sz w:val="30"/>
          <w:rtl/>
          <w:lang w:val="fr-CH"/>
        </w:rPr>
      </w:pPr>
      <w:r w:rsidRPr="00394C45">
        <w:rPr>
          <w:rFonts w:hint="cs"/>
          <w:b/>
          <w:bCs/>
          <w:kern w:val="16"/>
          <w:sz w:val="30"/>
          <w:rtl/>
          <w:lang w:val="fr-CH"/>
        </w:rPr>
        <w:t>الدورة السادسة والثلاثون</w:t>
      </w:r>
    </w:p>
    <w:p w:rsidR="00394C45" w:rsidRPr="00394C45" w:rsidRDefault="00394C45" w:rsidP="00394C45">
      <w:pPr>
        <w:pStyle w:val="SingleTxtGA"/>
        <w:spacing w:after="0"/>
        <w:ind w:left="0" w:right="4252"/>
        <w:jc w:val="left"/>
        <w:rPr>
          <w:kern w:val="16"/>
          <w:sz w:val="30"/>
          <w:rtl/>
          <w:lang w:val="fr-CH"/>
        </w:rPr>
      </w:pPr>
      <w:r w:rsidRPr="00394C45">
        <w:rPr>
          <w:rFonts w:hint="cs"/>
          <w:kern w:val="16"/>
          <w:sz w:val="30"/>
          <w:rtl/>
          <w:lang w:val="fr-CH"/>
        </w:rPr>
        <w:t>11-29 أيلول/سبتمبر 2017</w:t>
      </w:r>
    </w:p>
    <w:p w:rsidR="00394C45" w:rsidRPr="00394C45" w:rsidRDefault="00394C45" w:rsidP="00394C45">
      <w:pPr>
        <w:pStyle w:val="SingleTxtGA"/>
        <w:spacing w:after="0"/>
        <w:ind w:left="0" w:right="4252"/>
        <w:jc w:val="left"/>
        <w:rPr>
          <w:kern w:val="16"/>
          <w:sz w:val="30"/>
          <w:rtl/>
          <w:lang w:val="fr-CH"/>
        </w:rPr>
      </w:pPr>
      <w:r w:rsidRPr="00394C45">
        <w:rPr>
          <w:rFonts w:hint="cs"/>
          <w:kern w:val="16"/>
          <w:sz w:val="30"/>
          <w:rtl/>
          <w:lang w:val="fr-CH"/>
        </w:rPr>
        <w:t>البند 3 من جدول الأعمال</w:t>
      </w:r>
    </w:p>
    <w:p w:rsidR="00394C45" w:rsidRPr="00394C45" w:rsidRDefault="00394C45" w:rsidP="00394C45">
      <w:pPr>
        <w:pStyle w:val="HChGA"/>
        <w:ind w:firstLine="0"/>
        <w:jc w:val="center"/>
        <w:rPr>
          <w:rtl/>
          <w:lang w:eastAsia="ar-SA" w:bidi="ar-DZ"/>
        </w:rPr>
      </w:pPr>
      <w:r w:rsidRPr="00394C45">
        <w:rPr>
          <w:rtl/>
          <w:lang w:eastAsia="ar-SA"/>
        </w:rPr>
        <w:t>قرار</w:t>
      </w:r>
      <w:r w:rsidRPr="00394C45">
        <w:rPr>
          <w:rFonts w:hint="cs"/>
          <w:rtl/>
          <w:lang w:eastAsia="ar-SA"/>
        </w:rPr>
        <w:t xml:space="preserve"> اعتمده</w:t>
      </w:r>
      <w:r w:rsidRPr="00394C45">
        <w:rPr>
          <w:rtl/>
          <w:lang w:eastAsia="ar-SA"/>
        </w:rPr>
        <w:t xml:space="preserve"> </w:t>
      </w:r>
      <w:r w:rsidRPr="00394C45">
        <w:rPr>
          <w:rFonts w:hint="cs"/>
          <w:rtl/>
          <w:lang w:eastAsia="ar-SA"/>
        </w:rPr>
        <w:t>مجلس</w:t>
      </w:r>
      <w:r w:rsidRPr="00394C45">
        <w:rPr>
          <w:rtl/>
          <w:lang w:eastAsia="ar-SA"/>
        </w:rPr>
        <w:t xml:space="preserve"> </w:t>
      </w:r>
      <w:r w:rsidRPr="00394C45">
        <w:rPr>
          <w:rFonts w:hint="cs"/>
          <w:rtl/>
          <w:lang w:eastAsia="ar-SA"/>
        </w:rPr>
        <w:t>حقوق</w:t>
      </w:r>
      <w:r w:rsidRPr="00394C45">
        <w:rPr>
          <w:rtl/>
          <w:lang w:eastAsia="ar-SA"/>
        </w:rPr>
        <w:t xml:space="preserve"> </w:t>
      </w:r>
      <w:r w:rsidRPr="00394C45">
        <w:rPr>
          <w:rFonts w:hint="cs"/>
          <w:rtl/>
          <w:lang w:eastAsia="ar-SA"/>
        </w:rPr>
        <w:t>الإنسان في 28 أيلو</w:t>
      </w:r>
      <w:bookmarkStart w:id="0" w:name="_GoBack"/>
      <w:bookmarkEnd w:id="0"/>
      <w:r w:rsidRPr="00394C45">
        <w:rPr>
          <w:rFonts w:hint="cs"/>
          <w:rtl/>
          <w:lang w:eastAsia="ar-SA"/>
        </w:rPr>
        <w:t>ل/سبتمبر 2017</w:t>
      </w:r>
    </w:p>
    <w:p w:rsidR="00394C45" w:rsidRPr="00394C45" w:rsidRDefault="00394C45" w:rsidP="00394C45">
      <w:pPr>
        <w:pStyle w:val="H1GA"/>
        <w:tabs>
          <w:tab w:val="left" w:pos="2409"/>
        </w:tabs>
        <w:rPr>
          <w:rtl/>
          <w:lang w:eastAsia="ar-SA"/>
        </w:rPr>
      </w:pPr>
      <w:r w:rsidRPr="00394C45">
        <w:rPr>
          <w:rtl/>
          <w:lang w:eastAsia="ar-SA"/>
        </w:rPr>
        <w:tab/>
      </w:r>
      <w:r w:rsidRPr="00394C45">
        <w:rPr>
          <w:rtl/>
          <w:lang w:eastAsia="ar-SA"/>
        </w:rPr>
        <w:tab/>
      </w:r>
      <w:r w:rsidRPr="00394C45">
        <w:rPr>
          <w:rFonts w:hint="cs"/>
          <w:rtl/>
          <w:lang w:eastAsia="ar-SA"/>
        </w:rPr>
        <w:t>36/6-</w:t>
      </w:r>
      <w:r w:rsidRPr="00394C45">
        <w:rPr>
          <w:rtl/>
          <w:lang w:eastAsia="ar-SA"/>
        </w:rPr>
        <w:tab/>
      </w:r>
      <w:r w:rsidRPr="00394C45">
        <w:rPr>
          <w:rFonts w:hint="cs"/>
          <w:rtl/>
          <w:lang w:eastAsia="ar-SA"/>
        </w:rPr>
        <w:t>الاختفاء القسري أو غير الطوعي</w:t>
      </w:r>
    </w:p>
    <w:p w:rsidR="00394C45" w:rsidRPr="00394C45" w:rsidRDefault="00394C45" w:rsidP="00394C45">
      <w:pPr>
        <w:pStyle w:val="SingleTxtGA"/>
        <w:rPr>
          <w:i/>
          <w:iCs/>
          <w:rtl/>
          <w:lang w:eastAsia="ar-SA"/>
        </w:rPr>
      </w:pPr>
      <w:r w:rsidRPr="00394C45">
        <w:rPr>
          <w:rFonts w:hint="cs"/>
          <w:i/>
          <w:iCs/>
          <w:rtl/>
          <w:lang w:eastAsia="ar-SA"/>
        </w:rPr>
        <w:tab/>
        <w:t>إنّ مجلس حقوق الإنسان،</w:t>
      </w:r>
    </w:p>
    <w:p w:rsidR="00394C45" w:rsidRPr="00394C45" w:rsidRDefault="00394C45" w:rsidP="00394C45">
      <w:pPr>
        <w:pStyle w:val="SingleTxtGA"/>
        <w:rPr>
          <w:i/>
          <w:iCs/>
          <w:lang w:val="en-CA" w:eastAsia="ar-SA"/>
        </w:rPr>
      </w:pPr>
      <w:r w:rsidRPr="00394C45">
        <w:rPr>
          <w:i/>
          <w:iCs/>
          <w:rtl/>
        </w:rPr>
        <w:tab/>
        <w:t>إذ يسترشد</w:t>
      </w:r>
      <w:r w:rsidRPr="00394C45">
        <w:rPr>
          <w:rtl/>
        </w:rPr>
        <w:t xml:space="preserve"> بمقاصد ميثاق الأمم المتحدة ومباد</w:t>
      </w:r>
      <w:r w:rsidRPr="00394C45">
        <w:rPr>
          <w:rFonts w:hint="cs"/>
          <w:rtl/>
        </w:rPr>
        <w:t>ئه</w:t>
      </w:r>
      <w:r w:rsidRPr="00394C45">
        <w:rPr>
          <w:rtl/>
        </w:rPr>
        <w:t>،</w:t>
      </w:r>
    </w:p>
    <w:p w:rsidR="00394C45" w:rsidRPr="00394C45" w:rsidRDefault="00394C45" w:rsidP="00394C45">
      <w:pPr>
        <w:pStyle w:val="SingleTxtGA"/>
        <w:rPr>
          <w:rtl/>
          <w:lang w:eastAsia="ar-SA"/>
        </w:rPr>
      </w:pPr>
      <w:r w:rsidRPr="00394C45">
        <w:rPr>
          <w:rFonts w:hint="cs"/>
          <w:i/>
          <w:iCs/>
          <w:rtl/>
          <w:lang w:eastAsia="ar-SA"/>
        </w:rPr>
        <w:tab/>
        <w:t>وإذ يؤكد من جديد</w:t>
      </w:r>
      <w:r w:rsidRPr="00394C45">
        <w:rPr>
          <w:rFonts w:hint="cs"/>
          <w:rtl/>
          <w:lang w:eastAsia="ar-SA"/>
        </w:rPr>
        <w:t xml:space="preserve"> المواد ذات الصلة بهذا الموضوع من الإعلان العالمي لحقوق الإنسان والعهد الدولي الخاص بالحقوق المدنية والسياسية، وهي المواد التي تحمي الحق في الحياة، والحق في الحرية، والحق في الأمن الشخصي، والحق في عدم التعرض للتعذيب</w:t>
      </w:r>
      <w:r w:rsidRPr="00394C45">
        <w:rPr>
          <w:rFonts w:hint="cs"/>
          <w:rtl/>
          <w:lang w:eastAsia="ar-SA" w:bidi="ar-EG"/>
        </w:rPr>
        <w:t xml:space="preserve"> أو </w:t>
      </w:r>
      <w:r w:rsidRPr="00394C45">
        <w:rPr>
          <w:rtl/>
        </w:rPr>
        <w:t>المعاملة أو العقوبة القاسية أو اللاإنسانية أو المهينة</w:t>
      </w:r>
      <w:r w:rsidRPr="00394C45">
        <w:rPr>
          <w:rFonts w:hint="cs"/>
          <w:rtl/>
          <w:lang w:eastAsia="ar-SA"/>
        </w:rPr>
        <w:t xml:space="preserve">، وحق الفرد في الاعتراف بشخصيته القانونية، </w:t>
      </w:r>
    </w:p>
    <w:p w:rsidR="00394C45" w:rsidRPr="00394C45" w:rsidRDefault="00394C45" w:rsidP="00394C45">
      <w:pPr>
        <w:pStyle w:val="SingleTxtGA"/>
        <w:rPr>
          <w:rtl/>
          <w:lang w:eastAsia="ar-SA"/>
        </w:rPr>
      </w:pPr>
      <w:r w:rsidRPr="00394C45">
        <w:rPr>
          <w:rFonts w:hint="cs"/>
          <w:rtl/>
          <w:lang w:eastAsia="ar-SA"/>
        </w:rPr>
        <w:tab/>
      </w:r>
      <w:r w:rsidRPr="00394C45">
        <w:rPr>
          <w:rFonts w:hint="cs"/>
          <w:i/>
          <w:iCs/>
          <w:rtl/>
          <w:lang w:eastAsia="ar-SA"/>
        </w:rPr>
        <w:t>وإذ يشير</w:t>
      </w:r>
      <w:r w:rsidRPr="00394C45">
        <w:rPr>
          <w:rFonts w:hint="cs"/>
          <w:rtl/>
          <w:lang w:eastAsia="ar-SA"/>
        </w:rPr>
        <w:t xml:space="preserve"> إلى قرار لجنة حقوق الإنسان 20(د-36) المؤرخ 29 </w:t>
      </w:r>
      <w:r w:rsidRPr="00394C45">
        <w:rPr>
          <w:rFonts w:hint="cs"/>
          <w:sz w:val="30"/>
          <w:rtl/>
          <w:lang w:eastAsia="ar-SA"/>
        </w:rPr>
        <w:t>شباط/فبراير</w:t>
      </w:r>
      <w:r w:rsidRPr="00394C45">
        <w:rPr>
          <w:rFonts w:hint="eastAsia"/>
          <w:sz w:val="30"/>
          <w:rtl/>
          <w:lang w:eastAsia="ar-SA"/>
        </w:rPr>
        <w:t> </w:t>
      </w:r>
      <w:r w:rsidRPr="00394C45">
        <w:rPr>
          <w:rFonts w:hint="cs"/>
          <w:rtl/>
          <w:lang w:eastAsia="ar-SA"/>
        </w:rPr>
        <w:t>1980 الذي قررت فيه اللجنة إنشاء فريق عامل يتألف من خمسة أعضاء يعملون بصفتهم الشخصية كخبراء مكلفين ببحث المسائل المتصلة بحالات الاختفاء القسري أو غير الطوعي، وكذلك إلى جميع القرارات السابقة بشأن هذا الموضوع، لا سيما قرار مجلس حقوق الإنسان</w:t>
      </w:r>
      <w:r w:rsidRPr="00394C45">
        <w:rPr>
          <w:rFonts w:hint="eastAsia"/>
          <w:rtl/>
          <w:lang w:eastAsia="ar-SA"/>
        </w:rPr>
        <w:t> </w:t>
      </w:r>
      <w:r w:rsidRPr="00394C45">
        <w:rPr>
          <w:rFonts w:hint="cs"/>
          <w:rtl/>
          <w:lang w:eastAsia="ar-SA"/>
        </w:rPr>
        <w:t>7/12 المؤرخ</w:t>
      </w:r>
      <w:r w:rsidRPr="00394C45">
        <w:rPr>
          <w:rFonts w:hint="eastAsia"/>
          <w:rtl/>
          <w:lang w:eastAsia="ar-SA"/>
        </w:rPr>
        <w:t> </w:t>
      </w:r>
      <w:r w:rsidRPr="00394C45">
        <w:rPr>
          <w:rFonts w:hint="cs"/>
          <w:rtl/>
          <w:lang w:eastAsia="ar-SA"/>
        </w:rPr>
        <w:t xml:space="preserve">27 آذار/مارس 2008 وقراره 16/16 المؤرخ 24 </w:t>
      </w:r>
      <w:r w:rsidRPr="00394C45">
        <w:rPr>
          <w:rFonts w:hint="cs"/>
          <w:sz w:val="30"/>
          <w:rtl/>
          <w:lang w:eastAsia="ar-SA"/>
        </w:rPr>
        <w:t xml:space="preserve">آذار/مارس </w:t>
      </w:r>
      <w:r w:rsidRPr="00394C45">
        <w:rPr>
          <w:rFonts w:hint="cs"/>
          <w:rtl/>
          <w:lang w:eastAsia="ar-SA"/>
        </w:rPr>
        <w:t>2011، اللذان جدد المجلس فيهما بتوافق</w:t>
      </w:r>
      <w:r w:rsidRPr="00394C45">
        <w:rPr>
          <w:rFonts w:hint="eastAsia"/>
          <w:rtl/>
          <w:lang w:eastAsia="ar-SA"/>
        </w:rPr>
        <w:t> </w:t>
      </w:r>
      <w:r w:rsidRPr="00394C45">
        <w:rPr>
          <w:rFonts w:hint="cs"/>
          <w:rtl/>
          <w:lang w:eastAsia="ar-SA"/>
        </w:rPr>
        <w:t>الآراء ولاية الفريق العامل المعني بحالات الاختفاء القسري أو غير الطوعي، فضلاً عن مقرر المجلس 25/116 المؤرخ 27 آذار/مارس 2014 وقراريه 21/4 المؤرخ 27 أيلول/سبتمبر 2012 و27/1 المؤرخ 25 أيلول/سبتمبر 2014،</w:t>
      </w:r>
    </w:p>
    <w:p w:rsidR="00394C45" w:rsidRPr="00394C45" w:rsidRDefault="00394C45" w:rsidP="00394C45">
      <w:pPr>
        <w:pStyle w:val="SingleTxtGA"/>
        <w:rPr>
          <w:spacing w:val="-2"/>
          <w:rtl/>
          <w:lang w:bidi="ar-DZ"/>
        </w:rPr>
      </w:pPr>
      <w:r w:rsidRPr="00394C45">
        <w:rPr>
          <w:rFonts w:hint="cs"/>
          <w:spacing w:val="-2"/>
          <w:rtl/>
          <w:lang w:eastAsia="ar-SA"/>
        </w:rPr>
        <w:tab/>
      </w:r>
      <w:r w:rsidRPr="00394C45">
        <w:rPr>
          <w:rFonts w:hint="cs"/>
          <w:i/>
          <w:iCs/>
          <w:spacing w:val="-2"/>
          <w:rtl/>
          <w:lang w:eastAsia="ar-SA"/>
        </w:rPr>
        <w:t>وإذ يشير أيضاً</w:t>
      </w:r>
      <w:r w:rsidRPr="00394C45">
        <w:rPr>
          <w:rFonts w:hint="cs"/>
          <w:spacing w:val="-2"/>
          <w:rtl/>
          <w:lang w:eastAsia="ar-SA"/>
        </w:rPr>
        <w:t xml:space="preserve"> إلى قرار الجمعية العامة 47/133 المؤرخ 18 </w:t>
      </w:r>
      <w:r w:rsidRPr="00394C45">
        <w:rPr>
          <w:rFonts w:hint="cs"/>
          <w:spacing w:val="-2"/>
          <w:sz w:val="30"/>
          <w:rtl/>
          <w:lang w:eastAsia="ar-SA"/>
        </w:rPr>
        <w:t>كانون الأول/ديسمبر</w:t>
      </w:r>
      <w:r w:rsidRPr="00394C45">
        <w:rPr>
          <w:rFonts w:hint="eastAsia"/>
          <w:spacing w:val="-2"/>
          <w:sz w:val="30"/>
          <w:rtl/>
          <w:lang w:eastAsia="ar-SA"/>
        </w:rPr>
        <w:t> </w:t>
      </w:r>
      <w:r w:rsidRPr="00394C45">
        <w:rPr>
          <w:rFonts w:hint="cs"/>
          <w:spacing w:val="-2"/>
          <w:rtl/>
          <w:lang w:eastAsia="ar-SA"/>
        </w:rPr>
        <w:t xml:space="preserve">1992 الذي اعتمدت الجمعية العامة بموجبه إعلان حماية جميع الأشخاص من الاختفاء القسري باعتباره مجموعة من المبادئ للدول، </w:t>
      </w:r>
      <w:r w:rsidRPr="00394C45">
        <w:rPr>
          <w:rFonts w:hint="cs"/>
          <w:spacing w:val="-2"/>
          <w:rtl/>
        </w:rPr>
        <w:t>و</w:t>
      </w:r>
      <w:r w:rsidRPr="00394C45">
        <w:rPr>
          <w:spacing w:val="-2"/>
          <w:rtl/>
        </w:rPr>
        <w:t>قرار</w:t>
      </w:r>
      <w:r w:rsidRPr="00394C45">
        <w:rPr>
          <w:rFonts w:hint="cs"/>
          <w:spacing w:val="-2"/>
          <w:rtl/>
        </w:rPr>
        <w:t xml:space="preserve"> الجمعية العامة</w:t>
      </w:r>
      <w:r w:rsidRPr="00394C45">
        <w:rPr>
          <w:spacing w:val="-2"/>
          <w:rtl/>
        </w:rPr>
        <w:t xml:space="preserve"> </w:t>
      </w:r>
      <w:r w:rsidRPr="00394C45">
        <w:rPr>
          <w:rFonts w:hint="cs"/>
          <w:spacing w:val="-2"/>
          <w:rtl/>
        </w:rPr>
        <w:t xml:space="preserve">61/177 المؤرخ 20 كانون/ديسمبر 2006، </w:t>
      </w:r>
      <w:r w:rsidRPr="00394C45">
        <w:rPr>
          <w:spacing w:val="-2"/>
          <w:rtl/>
        </w:rPr>
        <w:t>الذي اعتم</w:t>
      </w:r>
      <w:r w:rsidRPr="00394C45">
        <w:rPr>
          <w:rFonts w:hint="cs"/>
          <w:spacing w:val="-2"/>
          <w:rtl/>
        </w:rPr>
        <w:t>َ</w:t>
      </w:r>
      <w:r w:rsidRPr="00394C45">
        <w:rPr>
          <w:spacing w:val="-2"/>
          <w:rtl/>
        </w:rPr>
        <w:t xml:space="preserve">دت بموجبه الاتفاقية الدولية لحماية جميع الأشخاص من </w:t>
      </w:r>
      <w:r w:rsidRPr="00394C45">
        <w:rPr>
          <w:spacing w:val="-2"/>
          <w:rtl/>
        </w:rPr>
        <w:lastRenderedPageBreak/>
        <w:t>الاختفاء</w:t>
      </w:r>
      <w:r w:rsidRPr="00394C45">
        <w:rPr>
          <w:rFonts w:hint="cs"/>
          <w:spacing w:val="-2"/>
          <w:rtl/>
        </w:rPr>
        <w:t> </w:t>
      </w:r>
      <w:r w:rsidRPr="00394C45">
        <w:rPr>
          <w:spacing w:val="-2"/>
          <w:rtl/>
        </w:rPr>
        <w:t>القسري التي دخلت حيز النفاذ في</w:t>
      </w:r>
      <w:r w:rsidRPr="00394C45">
        <w:rPr>
          <w:rFonts w:hint="cs"/>
          <w:spacing w:val="-2"/>
          <w:rtl/>
        </w:rPr>
        <w:t xml:space="preserve"> 23</w:t>
      </w:r>
      <w:r w:rsidRPr="00394C45">
        <w:rPr>
          <w:spacing w:val="-2"/>
          <w:rtl/>
        </w:rPr>
        <w:t xml:space="preserve"> كانون الأول/ديسمبر</w:t>
      </w:r>
      <w:r w:rsidRPr="00394C45">
        <w:rPr>
          <w:rFonts w:hint="cs"/>
          <w:spacing w:val="-2"/>
          <w:rtl/>
        </w:rPr>
        <w:t xml:space="preserve"> 2010، و</w:t>
      </w:r>
      <w:r w:rsidRPr="00394C45">
        <w:rPr>
          <w:spacing w:val="-2"/>
          <w:rtl/>
        </w:rPr>
        <w:t>قرار الجمعية العامة</w:t>
      </w:r>
      <w:r w:rsidRPr="00394C45">
        <w:rPr>
          <w:rFonts w:hint="cs"/>
          <w:spacing w:val="-2"/>
          <w:rtl/>
        </w:rPr>
        <w:t xml:space="preserve"> 70/160 المؤرخ 17</w:t>
      </w:r>
      <w:r w:rsidRPr="00394C45">
        <w:rPr>
          <w:spacing w:val="-2"/>
          <w:rtl/>
        </w:rPr>
        <w:t xml:space="preserve"> كانون الأول/ديسمبر 2015، </w:t>
      </w:r>
    </w:p>
    <w:p w:rsidR="00394C45" w:rsidRPr="00394C45" w:rsidRDefault="00394C45" w:rsidP="00394C45">
      <w:pPr>
        <w:pStyle w:val="SingleTxtGA"/>
        <w:rPr>
          <w:rtl/>
        </w:rPr>
      </w:pPr>
      <w:r w:rsidRPr="00394C45">
        <w:rPr>
          <w:rtl/>
        </w:rPr>
        <w:tab/>
      </w:r>
      <w:r w:rsidRPr="00394C45">
        <w:rPr>
          <w:i/>
          <w:iCs/>
          <w:rtl/>
        </w:rPr>
        <w:t>وإذ يشير كذلك</w:t>
      </w:r>
      <w:r w:rsidRPr="00394C45">
        <w:rPr>
          <w:rtl/>
        </w:rPr>
        <w:t xml:space="preserve"> إلى أنه لا يجوز </w:t>
      </w:r>
      <w:r w:rsidRPr="00394C45">
        <w:rPr>
          <w:rFonts w:hint="cs"/>
          <w:rtl/>
        </w:rPr>
        <w:t>أن يتعرض</w:t>
      </w:r>
      <w:r w:rsidRPr="00394C45">
        <w:rPr>
          <w:rtl/>
        </w:rPr>
        <w:t xml:space="preserve"> أي كان للاختفاء القسري و</w:t>
      </w:r>
      <w:r w:rsidRPr="00394C45">
        <w:rPr>
          <w:rFonts w:hint="cs"/>
          <w:rtl/>
        </w:rPr>
        <w:t>أن يُ</w:t>
      </w:r>
      <w:r w:rsidRPr="00394C45">
        <w:rPr>
          <w:rtl/>
        </w:rPr>
        <w:t>تذر</w:t>
      </w:r>
      <w:r w:rsidRPr="00394C45">
        <w:rPr>
          <w:rFonts w:hint="cs"/>
          <w:rtl/>
        </w:rPr>
        <w:t>ّ</w:t>
      </w:r>
      <w:r w:rsidRPr="00394C45">
        <w:rPr>
          <w:rtl/>
        </w:rPr>
        <w:t>ع بأي ظرف استثنائي كان لتبرير الاختفاء القسري،</w:t>
      </w:r>
    </w:p>
    <w:p w:rsidR="00394C45" w:rsidRPr="00394C45" w:rsidRDefault="00394C45" w:rsidP="00394C45">
      <w:pPr>
        <w:pStyle w:val="SingleTxtGA"/>
        <w:rPr>
          <w:rtl/>
        </w:rPr>
      </w:pPr>
      <w:r w:rsidRPr="00394C45">
        <w:rPr>
          <w:rFonts w:hint="cs"/>
          <w:i/>
          <w:iCs/>
          <w:rtl/>
          <w:lang w:eastAsia="ar-SA"/>
        </w:rPr>
        <w:tab/>
      </w:r>
      <w:r w:rsidRPr="00394C45">
        <w:rPr>
          <w:rFonts w:hint="cs"/>
          <w:i/>
          <w:iCs/>
          <w:rtl/>
        </w:rPr>
        <w:t>وإذ يرحب</w:t>
      </w:r>
      <w:r w:rsidRPr="00394C45">
        <w:rPr>
          <w:rFonts w:hint="cs"/>
          <w:rtl/>
        </w:rPr>
        <w:t xml:space="preserve"> بتوقيع 96 دولة الاتفاقيةَ وتصديق 57 دولة عليها أو انضمامها إليها، وإذ يُقرّ بأن تنفيذها يسهم إسهاماً كبيراً في وضع حد للإفلات من العقاب وفي تعزيز جميع حقوق الإنسان وحمايتها للناس كافة،</w:t>
      </w:r>
    </w:p>
    <w:p w:rsidR="00394C45" w:rsidRPr="00394C45" w:rsidRDefault="00394C45" w:rsidP="00394C45">
      <w:pPr>
        <w:pStyle w:val="SingleTxtGA"/>
        <w:rPr>
          <w:rtl/>
          <w:lang w:eastAsia="ar-SA"/>
        </w:rPr>
      </w:pPr>
      <w:r w:rsidRPr="00394C45">
        <w:rPr>
          <w:rtl/>
        </w:rPr>
        <w:tab/>
      </w:r>
      <w:r w:rsidRPr="00394C45">
        <w:rPr>
          <w:i/>
          <w:iCs/>
          <w:rtl/>
        </w:rPr>
        <w:t>وإذ يشير</w:t>
      </w:r>
      <w:r w:rsidRPr="00394C45">
        <w:rPr>
          <w:rtl/>
        </w:rPr>
        <w:t xml:space="preserve"> إلى الاجتماع الرفيع المستوى </w:t>
      </w:r>
      <w:r w:rsidRPr="00394C45">
        <w:rPr>
          <w:rFonts w:hint="cs"/>
          <w:rtl/>
        </w:rPr>
        <w:t>الذي عقدته ا</w:t>
      </w:r>
      <w:r w:rsidRPr="00394C45">
        <w:rPr>
          <w:rtl/>
        </w:rPr>
        <w:t>لجمعية العامة في 17 شباط/</w:t>
      </w:r>
      <w:r w:rsidRPr="00394C45">
        <w:rPr>
          <w:rFonts w:hint="cs"/>
          <w:rtl/>
        </w:rPr>
        <w:t xml:space="preserve"> </w:t>
      </w:r>
      <w:r w:rsidRPr="00394C45">
        <w:rPr>
          <w:spacing w:val="-4"/>
          <w:rtl/>
        </w:rPr>
        <w:t>فبراير 2017 احتفالاً بالذكرى السنوية العاشرة لاعتماد الاتفاقية الدولية لحماية جميع الأشخاص</w:t>
      </w:r>
      <w:r w:rsidRPr="00394C45">
        <w:rPr>
          <w:rtl/>
        </w:rPr>
        <w:t xml:space="preserve"> من الاختفاء القسري، </w:t>
      </w:r>
      <w:r w:rsidRPr="00394C45">
        <w:rPr>
          <w:rFonts w:hint="cs"/>
          <w:rtl/>
        </w:rPr>
        <w:t xml:space="preserve">وهو ما شكّل </w:t>
      </w:r>
      <w:r w:rsidRPr="00394C45">
        <w:rPr>
          <w:rtl/>
        </w:rPr>
        <w:t xml:space="preserve">فرصة لاستعراض الأثر الإيجابي للاتفاقية ولمناقشة السبل والممارسات الفضلى </w:t>
      </w:r>
      <w:r w:rsidRPr="00394C45">
        <w:rPr>
          <w:rFonts w:hint="cs"/>
          <w:rtl/>
        </w:rPr>
        <w:t>ل</w:t>
      </w:r>
      <w:r w:rsidRPr="00394C45">
        <w:rPr>
          <w:rtl/>
        </w:rPr>
        <w:t xml:space="preserve">منع </w:t>
      </w:r>
      <w:r w:rsidRPr="00394C45">
        <w:rPr>
          <w:rFonts w:hint="cs"/>
          <w:rtl/>
        </w:rPr>
        <w:t xml:space="preserve">وقوع </w:t>
      </w:r>
      <w:r w:rsidRPr="00394C45">
        <w:rPr>
          <w:rtl/>
        </w:rPr>
        <w:t xml:space="preserve">حالات الاختفاء القسري ومكافحة الإفلات من العقاب من خلال جملة أمور منها تعزيز التصديق </w:t>
      </w:r>
      <w:r w:rsidRPr="00394C45">
        <w:rPr>
          <w:rFonts w:hint="cs"/>
          <w:rtl/>
        </w:rPr>
        <w:t xml:space="preserve">العالمي </w:t>
      </w:r>
      <w:r w:rsidRPr="00394C45">
        <w:rPr>
          <w:rtl/>
        </w:rPr>
        <w:t>على الاتفاقية،</w:t>
      </w:r>
    </w:p>
    <w:p w:rsidR="00394C45" w:rsidRPr="00394C45" w:rsidRDefault="00394C45" w:rsidP="00394C45">
      <w:pPr>
        <w:pStyle w:val="SingleTxtGA"/>
        <w:rPr>
          <w:rtl/>
          <w:lang w:bidi="ar-DZ"/>
        </w:rPr>
      </w:pPr>
      <w:r w:rsidRPr="00394C45">
        <w:rPr>
          <w:i/>
          <w:iCs/>
          <w:rtl/>
        </w:rPr>
        <w:tab/>
        <w:t>وإذ يرحب</w:t>
      </w:r>
      <w:r w:rsidRPr="00394C45">
        <w:rPr>
          <w:rtl/>
        </w:rPr>
        <w:t xml:space="preserve"> بإعلان </w:t>
      </w:r>
      <w:r w:rsidRPr="00394C45">
        <w:rPr>
          <w:rFonts w:hint="cs"/>
          <w:rtl/>
        </w:rPr>
        <w:t xml:space="preserve">مفوض </w:t>
      </w:r>
      <w:r w:rsidRPr="00394C45">
        <w:rPr>
          <w:rtl/>
        </w:rPr>
        <w:t>الأمم المتحدة السامي لحقوق الإنسان حملة دولية للتصديق</w:t>
      </w:r>
      <w:r w:rsidRPr="00394C45">
        <w:rPr>
          <w:rFonts w:hint="cs"/>
          <w:rtl/>
        </w:rPr>
        <w:t xml:space="preserve"> العالمي</w:t>
      </w:r>
      <w:r w:rsidRPr="00394C45">
        <w:rPr>
          <w:rtl/>
        </w:rPr>
        <w:t xml:space="preserve"> على الاتفاقية،</w:t>
      </w:r>
    </w:p>
    <w:p w:rsidR="00394C45" w:rsidRPr="00394C45" w:rsidRDefault="00394C45" w:rsidP="00394C45">
      <w:pPr>
        <w:pStyle w:val="SingleTxtGA"/>
        <w:rPr>
          <w:rtl/>
          <w:lang w:eastAsia="ar-SA"/>
        </w:rPr>
      </w:pPr>
      <w:r w:rsidRPr="00394C45">
        <w:rPr>
          <w:rFonts w:hint="cs"/>
          <w:rtl/>
          <w:lang w:eastAsia="ar-SA"/>
        </w:rPr>
        <w:tab/>
      </w:r>
      <w:r w:rsidRPr="00394C45">
        <w:rPr>
          <w:rFonts w:hint="cs"/>
          <w:i/>
          <w:iCs/>
          <w:rtl/>
          <w:lang w:eastAsia="ar-SA"/>
        </w:rPr>
        <w:t xml:space="preserve">وإذ يساوره بالغ القلق </w:t>
      </w:r>
      <w:r w:rsidRPr="001A5E2F">
        <w:rPr>
          <w:rFonts w:hint="cs"/>
          <w:rtl/>
          <w:lang w:eastAsia="ar-SA"/>
        </w:rPr>
        <w:t>بصفة خاصة</w:t>
      </w:r>
      <w:r w:rsidRPr="00394C45">
        <w:rPr>
          <w:rFonts w:hint="cs"/>
          <w:i/>
          <w:iCs/>
          <w:rtl/>
          <w:lang w:eastAsia="ar-SA"/>
        </w:rPr>
        <w:t xml:space="preserve"> </w:t>
      </w:r>
      <w:r w:rsidRPr="00394C45">
        <w:rPr>
          <w:rFonts w:hint="cs"/>
          <w:rtl/>
          <w:lang w:eastAsia="ar-SA"/>
        </w:rPr>
        <w:t>إزاء تزايد حالات الاختفاء القسري أو غير الطوعي في مناطق شتى من العالم، بما فيها حالات الاعتقال والاحتجاز والاختطاف، عندما تشكل هذه الحالات جزءاً من الاختفاء القسري أو تكون بمثابة اختفاء قسري، وإزاء العدد المتزايد من التقارير المتعلقة بأعمال المضايقة وإساءة المعاملة والترهيب التي يتعرض لها الشهود على حالات الاختفاء أو أقارب الأشخاص المختفين،</w:t>
      </w:r>
    </w:p>
    <w:p w:rsidR="00394C45" w:rsidRPr="00394C45" w:rsidRDefault="00394C45" w:rsidP="00394C45">
      <w:pPr>
        <w:pStyle w:val="SingleTxtGA"/>
        <w:rPr>
          <w:rtl/>
          <w:lang w:eastAsia="ar-SA"/>
        </w:rPr>
      </w:pPr>
      <w:r w:rsidRPr="00394C45">
        <w:rPr>
          <w:rFonts w:hint="cs"/>
          <w:rtl/>
          <w:lang w:eastAsia="ar-SA"/>
        </w:rPr>
        <w:tab/>
      </w:r>
      <w:r w:rsidRPr="00394C45">
        <w:rPr>
          <w:rFonts w:hint="cs"/>
          <w:i/>
          <w:iCs/>
          <w:rtl/>
          <w:lang w:eastAsia="ar-SA"/>
        </w:rPr>
        <w:t>وإذ يشير</w:t>
      </w:r>
      <w:r w:rsidRPr="00394C45">
        <w:rPr>
          <w:rFonts w:hint="cs"/>
          <w:rtl/>
          <w:lang w:eastAsia="ar-SA"/>
        </w:rPr>
        <w:t xml:space="preserve"> إلى أن الاتفاقية تنص على حق الضحايا في معرفة الحقيقة فيما يتعلق بملابسات الاختفاء القسري، والتقدم المحرز في التحقيق ونتيجته، ومصير الشخص المختفي، وتقتضي</w:t>
      </w:r>
      <w:r w:rsidRPr="00394C45">
        <w:rPr>
          <w:rFonts w:hint="cs"/>
          <w:rtl/>
        </w:rPr>
        <w:t xml:space="preserve"> </w:t>
      </w:r>
      <w:r w:rsidRPr="00394C45">
        <w:rPr>
          <w:rtl/>
        </w:rPr>
        <w:t xml:space="preserve">ضمان </w:t>
      </w:r>
      <w:r w:rsidRPr="00394C45">
        <w:rPr>
          <w:rFonts w:hint="cs"/>
          <w:rtl/>
        </w:rPr>
        <w:t>إتاحة الوصول إ</w:t>
      </w:r>
      <w:r w:rsidRPr="00394C45">
        <w:rPr>
          <w:rtl/>
        </w:rPr>
        <w:t xml:space="preserve">لى المعلومات </w:t>
      </w:r>
      <w:r w:rsidRPr="00394C45">
        <w:rPr>
          <w:rFonts w:hint="cs"/>
          <w:rtl/>
        </w:rPr>
        <w:t>المتعلقة</w:t>
      </w:r>
      <w:r w:rsidRPr="00394C45">
        <w:rPr>
          <w:rtl/>
        </w:rPr>
        <w:t xml:space="preserve"> </w:t>
      </w:r>
      <w:r w:rsidRPr="00394C45">
        <w:rPr>
          <w:rFonts w:hint="cs"/>
          <w:rtl/>
        </w:rPr>
        <w:t>ب</w:t>
      </w:r>
      <w:r w:rsidRPr="00394C45">
        <w:rPr>
          <w:rtl/>
        </w:rPr>
        <w:t xml:space="preserve">مكان وجود الشخص </w:t>
      </w:r>
      <w:r w:rsidRPr="00394C45">
        <w:rPr>
          <w:rFonts w:hint="cs"/>
          <w:rtl/>
        </w:rPr>
        <w:t>المسلوبة</w:t>
      </w:r>
      <w:r w:rsidRPr="00394C45">
        <w:rPr>
          <w:rtl/>
        </w:rPr>
        <w:t xml:space="preserve"> </w:t>
      </w:r>
      <w:r w:rsidRPr="00394C45">
        <w:rPr>
          <w:rFonts w:hint="cs"/>
          <w:rtl/>
        </w:rPr>
        <w:t>حريته</w:t>
      </w:r>
      <w:r w:rsidRPr="00394C45">
        <w:rPr>
          <w:rtl/>
        </w:rPr>
        <w:t xml:space="preserve"> لأي شخص يثبت أن له مصلحة مشروعة في هذه المعلومات، </w:t>
      </w:r>
      <w:r w:rsidRPr="00394C45">
        <w:rPr>
          <w:rFonts w:hint="cs"/>
          <w:rtl/>
          <w:lang w:eastAsia="ar-SA"/>
        </w:rPr>
        <w:t xml:space="preserve">وتحدد التزامات الدول الأطراف إزاء اتخاذ التدابير اللازمة في هذا الصدد، </w:t>
      </w:r>
    </w:p>
    <w:p w:rsidR="00394C45" w:rsidRPr="00394C45" w:rsidRDefault="00394C45" w:rsidP="00394C45">
      <w:pPr>
        <w:pStyle w:val="SingleTxtGA"/>
        <w:rPr>
          <w:rtl/>
          <w:lang w:eastAsia="ar-SA"/>
        </w:rPr>
      </w:pPr>
      <w:r w:rsidRPr="00394C45">
        <w:rPr>
          <w:rFonts w:hint="cs"/>
          <w:rtl/>
          <w:lang w:eastAsia="ar-SA"/>
        </w:rPr>
        <w:tab/>
      </w:r>
      <w:r w:rsidRPr="00394C45">
        <w:rPr>
          <w:rFonts w:hint="cs"/>
          <w:i/>
          <w:iCs/>
          <w:rtl/>
          <w:lang w:eastAsia="ar-SA"/>
        </w:rPr>
        <w:t>وإذ يحيط علماً باهتمامٍ</w:t>
      </w:r>
      <w:r w:rsidRPr="00394C45">
        <w:rPr>
          <w:rFonts w:hint="cs"/>
          <w:rtl/>
          <w:lang w:eastAsia="ar-SA"/>
        </w:rPr>
        <w:t xml:space="preserve"> بتوصية الفريق العامل </w:t>
      </w:r>
      <w:r w:rsidRPr="00394C45">
        <w:rPr>
          <w:rStyle w:val="preferred"/>
          <w:rtl/>
        </w:rPr>
        <w:t>المعني بحالات الاختفاء القسري أو غير الطوعي</w:t>
      </w:r>
      <w:r w:rsidRPr="00394C45">
        <w:rPr>
          <w:rFonts w:hint="cs"/>
          <w:rtl/>
          <w:lang w:eastAsia="ar-SA"/>
        </w:rPr>
        <w:t xml:space="preserve"> التي تدعو إلى تقديم المزيد من المساعدة إلى أفراد الأسر وأعضاء المجتمع المدني بغية تمكينهم من إبلاغ الفريق العامل بحالات الاختفاء القسري المزعومة، نظراً إلى أن نقص الإبلاغ عن حالات الاختفاء القسري يظل، في عدد كبير من الحالات، مشكلة مستعصية لأسباب مختلفة منها الخوف من الانتقام وضعف إقامة العدل والفقر والأمية،</w:t>
      </w:r>
    </w:p>
    <w:p w:rsidR="00394C45" w:rsidRPr="00394C45" w:rsidRDefault="00394C45" w:rsidP="00394C45">
      <w:pPr>
        <w:pStyle w:val="SingleTxtGA"/>
        <w:rPr>
          <w:rtl/>
          <w:lang w:eastAsia="ar-SA"/>
        </w:rPr>
      </w:pPr>
      <w:r w:rsidRPr="00394C45">
        <w:rPr>
          <w:rFonts w:hint="cs"/>
          <w:i/>
          <w:iCs/>
          <w:rtl/>
          <w:lang w:eastAsia="ar-SA"/>
        </w:rPr>
        <w:tab/>
        <w:t xml:space="preserve">وإذ يحيط علماً باهتمامٍ أيضاً </w:t>
      </w:r>
      <w:r w:rsidRPr="00394C45">
        <w:rPr>
          <w:rFonts w:hint="cs"/>
          <w:rtl/>
          <w:lang w:eastAsia="ar-SA"/>
        </w:rPr>
        <w:t xml:space="preserve">بأحدث التقارير </w:t>
      </w:r>
      <w:proofErr w:type="spellStart"/>
      <w:r w:rsidRPr="00394C45">
        <w:rPr>
          <w:rFonts w:hint="cs"/>
          <w:rtl/>
          <w:lang w:eastAsia="ar-SA"/>
        </w:rPr>
        <w:t>المواضيعية</w:t>
      </w:r>
      <w:proofErr w:type="spellEnd"/>
      <w:r w:rsidRPr="00394C45">
        <w:rPr>
          <w:rFonts w:hint="cs"/>
          <w:rtl/>
          <w:lang w:eastAsia="ar-SA"/>
        </w:rPr>
        <w:t xml:space="preserve"> التي أعدها الفريق العامل، بما في ذلك الدراسة المتعلقة بالاختفاء القسري أو غير الطوعي والحقوق الاقتصادية والاجتماعية والثقافية</w:t>
      </w:r>
      <w:r w:rsidRPr="00394C45">
        <w:rPr>
          <w:rStyle w:val="FootnoteReference"/>
          <w:sz w:val="20"/>
          <w:szCs w:val="30"/>
          <w:rtl/>
          <w:lang w:eastAsia="ar-SA"/>
        </w:rPr>
        <w:t>(</w:t>
      </w:r>
      <w:r w:rsidRPr="00394C45">
        <w:rPr>
          <w:rStyle w:val="FootnoteReference"/>
          <w:sz w:val="20"/>
          <w:szCs w:val="30"/>
          <w:rtl/>
          <w:lang w:eastAsia="ar-SA"/>
        </w:rPr>
        <w:footnoteReference w:id="1"/>
      </w:r>
      <w:r w:rsidRPr="00394C45">
        <w:rPr>
          <w:rStyle w:val="FootnoteReference"/>
          <w:sz w:val="20"/>
          <w:szCs w:val="30"/>
          <w:rtl/>
          <w:lang w:eastAsia="ar-SA"/>
        </w:rPr>
        <w:t>)</w:t>
      </w:r>
      <w:r w:rsidRPr="00394C45">
        <w:rPr>
          <w:rFonts w:hint="cs"/>
          <w:rtl/>
          <w:lang w:eastAsia="ar-SA"/>
        </w:rPr>
        <w:t>، وتقريره بشأن حالات الاختفاء القسري في سياق الهجرة</w:t>
      </w:r>
      <w:r w:rsidRPr="00394C45">
        <w:rPr>
          <w:rStyle w:val="FootnoteReference"/>
          <w:sz w:val="20"/>
          <w:szCs w:val="30"/>
          <w:rtl/>
          <w:lang w:eastAsia="ar-SA"/>
        </w:rPr>
        <w:t>(</w:t>
      </w:r>
      <w:r w:rsidRPr="00394C45">
        <w:rPr>
          <w:rStyle w:val="FootnoteReference"/>
          <w:sz w:val="20"/>
          <w:szCs w:val="30"/>
          <w:rtl/>
          <w:lang w:eastAsia="ar-SA"/>
        </w:rPr>
        <w:footnoteReference w:id="2"/>
      </w:r>
      <w:r w:rsidRPr="00394C45">
        <w:rPr>
          <w:rStyle w:val="FootnoteReference"/>
          <w:sz w:val="20"/>
          <w:szCs w:val="30"/>
          <w:rtl/>
          <w:lang w:eastAsia="ar-SA"/>
        </w:rPr>
        <w:t>)</w:t>
      </w:r>
      <w:r w:rsidRPr="00394C45">
        <w:rPr>
          <w:rFonts w:hint="cs"/>
          <w:rtl/>
          <w:lang w:eastAsia="ar-SA"/>
        </w:rPr>
        <w:t xml:space="preserve">، </w:t>
      </w:r>
    </w:p>
    <w:p w:rsidR="00394C45" w:rsidRPr="00394C45" w:rsidRDefault="00394C45" w:rsidP="00394C45">
      <w:pPr>
        <w:pStyle w:val="SingleTxtGA"/>
        <w:rPr>
          <w:rtl/>
          <w:lang w:eastAsia="ar-SA" w:bidi="ar-DZ"/>
        </w:rPr>
      </w:pPr>
      <w:r w:rsidRPr="00394C45">
        <w:rPr>
          <w:rFonts w:hint="cs"/>
          <w:i/>
          <w:iCs/>
          <w:rtl/>
        </w:rPr>
        <w:lastRenderedPageBreak/>
        <w:tab/>
      </w:r>
      <w:r w:rsidRPr="00394C45">
        <w:rPr>
          <w:i/>
          <w:iCs/>
          <w:rtl/>
        </w:rPr>
        <w:t xml:space="preserve">وإذ </w:t>
      </w:r>
      <w:r w:rsidRPr="00394C45">
        <w:rPr>
          <w:rFonts w:hint="cs"/>
          <w:i/>
          <w:iCs/>
          <w:rtl/>
        </w:rPr>
        <w:t>يسلِّم</w:t>
      </w:r>
      <w:r w:rsidRPr="00394C45">
        <w:rPr>
          <w:rtl/>
        </w:rPr>
        <w:t xml:space="preserve"> بأن </w:t>
      </w:r>
      <w:r w:rsidRPr="00394C45">
        <w:rPr>
          <w:rFonts w:hint="cs"/>
          <w:rtl/>
        </w:rPr>
        <w:t xml:space="preserve">أعمال </w:t>
      </w:r>
      <w:r w:rsidRPr="00394C45">
        <w:rPr>
          <w:rtl/>
        </w:rPr>
        <w:t xml:space="preserve">الاختفاء القسري قد </w:t>
      </w:r>
      <w:r w:rsidRPr="00394C45">
        <w:rPr>
          <w:rFonts w:hint="cs"/>
          <w:rtl/>
        </w:rPr>
        <w:t xml:space="preserve">تشكل </w:t>
      </w:r>
      <w:r w:rsidRPr="00394C45">
        <w:rPr>
          <w:rtl/>
        </w:rPr>
        <w:t xml:space="preserve">جرائم </w:t>
      </w:r>
      <w:r w:rsidRPr="00394C45">
        <w:rPr>
          <w:rFonts w:hint="cs"/>
          <w:rtl/>
        </w:rPr>
        <w:t>ضد</w:t>
      </w:r>
      <w:r w:rsidRPr="00394C45">
        <w:rPr>
          <w:rtl/>
        </w:rPr>
        <w:t xml:space="preserve"> الإنسانية </w:t>
      </w:r>
      <w:r w:rsidRPr="00394C45">
        <w:rPr>
          <w:rFonts w:hint="cs"/>
          <w:rtl/>
        </w:rPr>
        <w:t>استناداً إلى التعريف الوارد</w:t>
      </w:r>
      <w:r w:rsidRPr="00394C45">
        <w:rPr>
          <w:rtl/>
        </w:rPr>
        <w:t xml:space="preserve"> في نظام روما الأساسي للمحكمة الجنائية الدولية،</w:t>
      </w:r>
    </w:p>
    <w:p w:rsidR="00394C45" w:rsidRPr="00394C45" w:rsidRDefault="00394C45" w:rsidP="00394C45">
      <w:pPr>
        <w:pStyle w:val="SingleTxtGA"/>
        <w:rPr>
          <w:rtl/>
          <w:lang w:eastAsia="ar-SA"/>
        </w:rPr>
      </w:pPr>
      <w:r w:rsidRPr="00394C45">
        <w:rPr>
          <w:rFonts w:hint="cs"/>
          <w:i/>
          <w:iCs/>
          <w:rtl/>
        </w:rPr>
        <w:tab/>
        <w:t xml:space="preserve">وإذ يرحب </w:t>
      </w:r>
      <w:r w:rsidRPr="00394C45">
        <w:rPr>
          <w:rFonts w:hint="cs"/>
          <w:rtl/>
        </w:rPr>
        <w:t>بقرار الجمعية العامة إعلان يوم 30 آب/أغسطس يوماً دولياً لضحايا الاختفاء القسري، وقرارها 65/196 المؤرخ 21 كانون الأول/ديسمبر</w:t>
      </w:r>
      <w:r w:rsidRPr="00394C45">
        <w:rPr>
          <w:rFonts w:hint="eastAsia"/>
          <w:rtl/>
        </w:rPr>
        <w:t> </w:t>
      </w:r>
      <w:r w:rsidRPr="00394C45">
        <w:rPr>
          <w:rFonts w:hint="cs"/>
          <w:rtl/>
        </w:rPr>
        <w:t xml:space="preserve">2010، الذي أعلنت بموجبه، عملاً بتوصية مجلس حقوق الإنسان في قراره 14/7 المؤرخ 17 </w:t>
      </w:r>
      <w:r w:rsidRPr="00394C45">
        <w:rPr>
          <w:rFonts w:hint="cs"/>
          <w:sz w:val="30"/>
          <w:rtl/>
        </w:rPr>
        <w:t xml:space="preserve">حزيران/يونيه </w:t>
      </w:r>
      <w:r w:rsidRPr="00394C45">
        <w:rPr>
          <w:rFonts w:hint="cs"/>
          <w:rtl/>
        </w:rPr>
        <w:t xml:space="preserve">2010، </w:t>
      </w:r>
      <w:r w:rsidRPr="00394C45">
        <w:rPr>
          <w:rFonts w:hint="cs"/>
          <w:rtl/>
          <w:lang w:eastAsia="ar-SA"/>
        </w:rPr>
        <w:t xml:space="preserve">يوم 24 آذار/مارس يوماً دولياً للحق في معرفة الحقيقة فيما يتعلق بالانتهاكات الجسيمة لحقوق الإنسان ولاحترام كرامة الضحايا، ومناشدتها الدول الأعضاء، ومنظومة الأمم المتحدة والمنظمات الدولية والإقليمية الأخرى، والمؤسسات الوطنية لحقوق الإنسان، والمجتمع المدني وأصحاب المصلحة الآخرين الاحتفاء </w:t>
      </w:r>
      <w:proofErr w:type="spellStart"/>
      <w:r w:rsidRPr="00394C45">
        <w:rPr>
          <w:rFonts w:hint="cs"/>
          <w:rtl/>
          <w:lang w:eastAsia="ar-SA"/>
        </w:rPr>
        <w:t>بهذين</w:t>
      </w:r>
      <w:proofErr w:type="spellEnd"/>
      <w:r w:rsidRPr="00394C45">
        <w:rPr>
          <w:rFonts w:hint="cs"/>
          <w:rtl/>
          <w:lang w:eastAsia="ar-SA"/>
        </w:rPr>
        <w:t xml:space="preserve"> اليومين،</w:t>
      </w:r>
    </w:p>
    <w:p w:rsidR="00394C45" w:rsidRPr="00394C45" w:rsidRDefault="00394C45" w:rsidP="00394C45">
      <w:pPr>
        <w:pStyle w:val="SingleTxtGA"/>
        <w:rPr>
          <w:rtl/>
          <w:lang w:eastAsia="ar-SA" w:bidi="ar-DZ"/>
        </w:rPr>
      </w:pPr>
      <w:r w:rsidRPr="00394C45">
        <w:rPr>
          <w:rFonts w:hint="cs"/>
          <w:i/>
          <w:iCs/>
          <w:rtl/>
        </w:rPr>
        <w:tab/>
        <w:t xml:space="preserve">وإذ يقرّ </w:t>
      </w:r>
      <w:r w:rsidRPr="00394C45">
        <w:rPr>
          <w:rFonts w:hint="cs"/>
          <w:rtl/>
        </w:rPr>
        <w:t>بتعاون دول كثيرة مع الفريق العامل، بما يشمل استجابتها لما يقدمه الفريق من طلبات لزيارة بلدانها،</w:t>
      </w:r>
      <w:r w:rsidRPr="00394C45">
        <w:rPr>
          <w:rFonts w:hint="cs"/>
          <w:rtl/>
          <w:lang w:eastAsia="ar-SA"/>
        </w:rPr>
        <w:t xml:space="preserve"> </w:t>
      </w:r>
    </w:p>
    <w:p w:rsidR="00394C45" w:rsidRPr="00394C45" w:rsidRDefault="00394C45" w:rsidP="00394C45">
      <w:pPr>
        <w:pStyle w:val="SingleTxtGA"/>
        <w:rPr>
          <w:rtl/>
        </w:rPr>
      </w:pPr>
      <w:r w:rsidRPr="00394C45">
        <w:rPr>
          <w:rFonts w:hint="cs"/>
          <w:b/>
          <w:i/>
          <w:iCs/>
          <w:spacing w:val="-2"/>
          <w:rtl/>
        </w:rPr>
        <w:tab/>
      </w:r>
      <w:r w:rsidRPr="00394C45">
        <w:rPr>
          <w:rFonts w:hint="cs"/>
          <w:i/>
          <w:iCs/>
          <w:rtl/>
        </w:rPr>
        <w:t xml:space="preserve">وإذ يشير </w:t>
      </w:r>
      <w:r w:rsidRPr="00394C45">
        <w:rPr>
          <w:rFonts w:hint="cs"/>
          <w:rtl/>
        </w:rPr>
        <w:t>إلى قراري مجلس حقوق الإنسان 5</w:t>
      </w:r>
      <w:r w:rsidRPr="00394C45">
        <w:rPr>
          <w:rFonts w:hint="cs"/>
          <w:rtl/>
          <w:lang w:bidi="ar"/>
        </w:rPr>
        <w:t>/</w:t>
      </w:r>
      <w:r w:rsidRPr="00394C45">
        <w:rPr>
          <w:rFonts w:hint="cs"/>
          <w:rtl/>
        </w:rPr>
        <w:t>1</w:t>
      </w:r>
      <w:r w:rsidRPr="00394C45">
        <w:rPr>
          <w:rFonts w:hint="cs"/>
          <w:rtl/>
          <w:lang w:bidi="ar"/>
        </w:rPr>
        <w:t xml:space="preserve"> </w:t>
      </w:r>
      <w:r w:rsidRPr="00394C45">
        <w:rPr>
          <w:rFonts w:hint="cs"/>
          <w:rtl/>
        </w:rPr>
        <w:t>بشأن بناء مؤسسات المجلس، و5</w:t>
      </w:r>
      <w:r w:rsidRPr="00394C45">
        <w:rPr>
          <w:rFonts w:hint="cs"/>
          <w:rtl/>
          <w:lang w:bidi="ar"/>
        </w:rPr>
        <w:t>/</w:t>
      </w:r>
      <w:r w:rsidRPr="00394C45">
        <w:rPr>
          <w:rFonts w:hint="cs"/>
          <w:rtl/>
        </w:rPr>
        <w:t>2</w:t>
      </w:r>
      <w:r w:rsidRPr="00394C45">
        <w:rPr>
          <w:rFonts w:hint="cs"/>
          <w:rtl/>
          <w:lang w:bidi="ar"/>
        </w:rPr>
        <w:t xml:space="preserve"> </w:t>
      </w:r>
      <w:r w:rsidRPr="00394C45">
        <w:rPr>
          <w:rFonts w:hint="cs"/>
          <w:spacing w:val="-4"/>
          <w:rtl/>
        </w:rPr>
        <w:t>بشأن مدونة قواعد السلوك لأصحاب الولايات في إطار الإجراءات الخاصة للمجلس، المؤرخين</w:t>
      </w:r>
      <w:r w:rsidRPr="00394C45">
        <w:rPr>
          <w:rFonts w:hint="eastAsia"/>
          <w:spacing w:val="-4"/>
          <w:rtl/>
          <w:lang w:bidi="ar"/>
        </w:rPr>
        <w:t> </w:t>
      </w:r>
      <w:r w:rsidRPr="00394C45">
        <w:rPr>
          <w:rFonts w:hint="cs"/>
          <w:spacing w:val="-4"/>
          <w:rtl/>
        </w:rPr>
        <w:t>18</w:t>
      </w:r>
      <w:r w:rsidRPr="00394C45">
        <w:rPr>
          <w:rFonts w:hint="cs"/>
          <w:rtl/>
        </w:rPr>
        <w:t xml:space="preserve"> حزيران</w:t>
      </w:r>
      <w:r w:rsidRPr="00394C45">
        <w:rPr>
          <w:rFonts w:hint="cs"/>
          <w:rtl/>
          <w:lang w:bidi="ar"/>
        </w:rPr>
        <w:t>/</w:t>
      </w:r>
      <w:proofErr w:type="gramStart"/>
      <w:r w:rsidRPr="00394C45">
        <w:rPr>
          <w:rFonts w:hint="cs"/>
          <w:rtl/>
        </w:rPr>
        <w:t>يونيه</w:t>
      </w:r>
      <w:proofErr w:type="gramEnd"/>
      <w:r w:rsidRPr="00394C45">
        <w:rPr>
          <w:rFonts w:hint="cs"/>
          <w:rtl/>
        </w:rPr>
        <w:t xml:space="preserve"> 2007، وإذ يؤكد أن على المكلفين بولايات أن يؤدوا واجباتهم وفقاً لهذين القرارين ومرفقيهما،</w:t>
      </w:r>
    </w:p>
    <w:p w:rsidR="00394C45" w:rsidRPr="00394C45" w:rsidRDefault="00394C45" w:rsidP="00394C45">
      <w:pPr>
        <w:pStyle w:val="SingleTxtGA"/>
        <w:rPr>
          <w:rtl/>
          <w:lang w:eastAsia="ar-SA"/>
        </w:rPr>
      </w:pPr>
      <w:r w:rsidRPr="00394C45">
        <w:rPr>
          <w:rFonts w:hint="cs"/>
          <w:rtl/>
        </w:rPr>
        <w:tab/>
        <w:t>1-</w:t>
      </w:r>
      <w:r w:rsidRPr="00394C45">
        <w:rPr>
          <w:rFonts w:hint="cs"/>
          <w:i/>
          <w:iCs/>
          <w:rtl/>
        </w:rPr>
        <w:tab/>
        <w:t>يهيب</w:t>
      </w:r>
      <w:r w:rsidRPr="00394C45">
        <w:rPr>
          <w:rFonts w:hint="cs"/>
          <w:rtl/>
        </w:rPr>
        <w:t xml:space="preserve"> بجميع الدول التي لم توقع بعد الاتفاقية الدولية لحماية جميع الأشخاص من الاختفاء القسري أو تصدق عليها أو تنضم إليها أن تنظر في فعل ذلك على سبيل الأولوية، وأن تنظر أيضاً في الخيار المنصوص عليه في المادتين 31 و32 من الاتفاقية والمتعلق باللجنة المعنية بحالات الاختفاء القسري؛</w:t>
      </w:r>
    </w:p>
    <w:p w:rsidR="00394C45" w:rsidRPr="00394C45" w:rsidRDefault="00394C45" w:rsidP="00394C45">
      <w:pPr>
        <w:pStyle w:val="SingleTxtGA"/>
        <w:rPr>
          <w:rtl/>
          <w:lang w:eastAsia="ar-SA"/>
        </w:rPr>
      </w:pPr>
      <w:r w:rsidRPr="00394C45">
        <w:rPr>
          <w:rtl/>
          <w:lang w:eastAsia="ar-SA"/>
        </w:rPr>
        <w:tab/>
      </w:r>
      <w:r w:rsidRPr="00394C45">
        <w:rPr>
          <w:rFonts w:hint="cs"/>
          <w:rtl/>
          <w:lang w:eastAsia="ar-SA"/>
        </w:rPr>
        <w:t>2-</w:t>
      </w:r>
      <w:r w:rsidRPr="00394C45">
        <w:rPr>
          <w:rFonts w:hint="cs"/>
          <w:rtl/>
        </w:rPr>
        <w:tab/>
      </w:r>
      <w:r w:rsidRPr="00394C45">
        <w:rPr>
          <w:i/>
          <w:iCs/>
          <w:rtl/>
        </w:rPr>
        <w:t>يهيب</w:t>
      </w:r>
      <w:r w:rsidRPr="00394C45">
        <w:rPr>
          <w:rtl/>
        </w:rPr>
        <w:t xml:space="preserve"> بالدول أن تتعاون مع الفريق العامل المعني بحالات الاختفاء القسري</w:t>
      </w:r>
      <w:r w:rsidRPr="00394C45">
        <w:rPr>
          <w:rFonts w:hint="cs"/>
          <w:rtl/>
        </w:rPr>
        <w:t xml:space="preserve"> أو </w:t>
      </w:r>
      <w:r w:rsidRPr="00394C45">
        <w:rPr>
          <w:rtl/>
        </w:rPr>
        <w:t>غير الطوعي والاستجابة لما </w:t>
      </w:r>
      <w:r w:rsidRPr="00394C45">
        <w:rPr>
          <w:rFonts w:hint="cs"/>
          <w:rtl/>
        </w:rPr>
        <w:t>يقدمه من طلبات ل</w:t>
      </w:r>
      <w:r w:rsidRPr="00394C45">
        <w:rPr>
          <w:rtl/>
        </w:rPr>
        <w:t>زيار</w:t>
      </w:r>
      <w:r w:rsidRPr="00394C45">
        <w:rPr>
          <w:rFonts w:hint="cs"/>
          <w:rtl/>
        </w:rPr>
        <w:t>ة بلدانها</w:t>
      </w:r>
      <w:r w:rsidRPr="00394C45">
        <w:rPr>
          <w:rtl/>
        </w:rPr>
        <w:t>؛</w:t>
      </w:r>
    </w:p>
    <w:p w:rsidR="00394C45" w:rsidRPr="00394C45" w:rsidRDefault="00394C45" w:rsidP="00394C45">
      <w:pPr>
        <w:pStyle w:val="SingleTxtGA"/>
        <w:rPr>
          <w:rtl/>
        </w:rPr>
      </w:pPr>
      <w:r w:rsidRPr="00394C45">
        <w:rPr>
          <w:rtl/>
        </w:rPr>
        <w:tab/>
      </w:r>
      <w:r w:rsidRPr="00394C45">
        <w:rPr>
          <w:rFonts w:hint="cs"/>
          <w:rtl/>
        </w:rPr>
        <w:t>3-</w:t>
      </w:r>
      <w:r w:rsidRPr="00394C45">
        <w:rPr>
          <w:rFonts w:hint="cs"/>
          <w:rtl/>
        </w:rPr>
        <w:tab/>
      </w:r>
      <w:r w:rsidRPr="00394C45">
        <w:rPr>
          <w:i/>
          <w:iCs/>
          <w:rtl/>
        </w:rPr>
        <w:t>يطلب</w:t>
      </w:r>
      <w:r w:rsidRPr="00394C45">
        <w:rPr>
          <w:rtl/>
        </w:rPr>
        <w:t xml:space="preserve"> إلى الأمين العام ومفوض الأمم المتحدة السامي لحقوق الإنسان أن يواصلا جهودهما المكثَّفة من أجل مساعدة الدول </w:t>
      </w:r>
      <w:r w:rsidRPr="00394C45">
        <w:rPr>
          <w:rFonts w:hint="cs"/>
          <w:rtl/>
        </w:rPr>
        <w:t>المهتمة بأن تصبح أطرافاً في الاتفاقية، تسليماً بأن عدداً كبيراً من الدول يدعم التصديق العالمي على الاتفاقية</w:t>
      </w:r>
      <w:r w:rsidRPr="00394C45">
        <w:rPr>
          <w:rtl/>
        </w:rPr>
        <w:t>؛</w:t>
      </w:r>
    </w:p>
    <w:p w:rsidR="00394C45" w:rsidRPr="00394C45" w:rsidRDefault="00394C45" w:rsidP="00394C45">
      <w:pPr>
        <w:pStyle w:val="SingleTxtGA"/>
        <w:rPr>
          <w:rtl/>
        </w:rPr>
      </w:pPr>
      <w:r w:rsidRPr="00394C45">
        <w:rPr>
          <w:rFonts w:hint="cs"/>
          <w:rtl/>
        </w:rPr>
        <w:tab/>
        <w:t>4-</w:t>
      </w:r>
      <w:r w:rsidRPr="00394C45">
        <w:rPr>
          <w:rFonts w:hint="cs"/>
          <w:rtl/>
        </w:rPr>
        <w:tab/>
      </w:r>
      <w:r w:rsidRPr="00394C45">
        <w:rPr>
          <w:rFonts w:hint="cs"/>
          <w:i/>
          <w:iCs/>
          <w:rtl/>
        </w:rPr>
        <w:t>يحيط علماً بتقدير</w:t>
      </w:r>
      <w:r w:rsidRPr="00394C45">
        <w:rPr>
          <w:rFonts w:hint="cs"/>
          <w:rtl/>
        </w:rPr>
        <w:t xml:space="preserve"> بتقريري الفريق العامل</w:t>
      </w:r>
      <w:r w:rsidRPr="00394C45">
        <w:rPr>
          <w:rStyle w:val="FootnoteReference"/>
          <w:spacing w:val="-4"/>
          <w:sz w:val="20"/>
          <w:szCs w:val="30"/>
          <w:rtl/>
        </w:rPr>
        <w:t>(</w:t>
      </w:r>
      <w:r w:rsidRPr="00394C45">
        <w:rPr>
          <w:rStyle w:val="FootnoteReference"/>
          <w:spacing w:val="-4"/>
          <w:sz w:val="20"/>
          <w:szCs w:val="30"/>
          <w:rtl/>
        </w:rPr>
        <w:footnoteReference w:id="3"/>
      </w:r>
      <w:r w:rsidRPr="00394C45">
        <w:rPr>
          <w:rStyle w:val="FootnoteReference"/>
          <w:spacing w:val="-4"/>
          <w:sz w:val="20"/>
          <w:szCs w:val="30"/>
          <w:rtl/>
        </w:rPr>
        <w:t>)</w:t>
      </w:r>
      <w:r w:rsidRPr="00394C45">
        <w:rPr>
          <w:rFonts w:hint="cs"/>
          <w:rtl/>
        </w:rPr>
        <w:t>، ويشجع الدول على إيلاء الاعتبار الواجب للتعليقات والتوصيات الواردة فيهما؛</w:t>
      </w:r>
    </w:p>
    <w:p w:rsidR="00394C45" w:rsidRPr="00394C45" w:rsidRDefault="00394C45" w:rsidP="00394C45">
      <w:pPr>
        <w:pStyle w:val="SingleTxtGA"/>
        <w:rPr>
          <w:rtl/>
        </w:rPr>
      </w:pPr>
      <w:r w:rsidRPr="00394C45">
        <w:rPr>
          <w:rFonts w:hint="cs"/>
          <w:rtl/>
        </w:rPr>
        <w:tab/>
        <w:t>5-</w:t>
      </w:r>
      <w:r w:rsidRPr="00394C45">
        <w:rPr>
          <w:rFonts w:hint="cs"/>
          <w:rtl/>
        </w:rPr>
        <w:tab/>
      </w:r>
      <w:r w:rsidRPr="00394C45">
        <w:rPr>
          <w:rFonts w:hint="cs"/>
          <w:i/>
          <w:iCs/>
          <w:rtl/>
        </w:rPr>
        <w:t>يرحب</w:t>
      </w:r>
      <w:r w:rsidRPr="00394C45">
        <w:rPr>
          <w:rFonts w:hint="cs"/>
          <w:rtl/>
        </w:rPr>
        <w:t xml:space="preserve"> بالعمل الهام الذي يضطلع به الفريق العامل لمعالجة جميع حالات الاختفاء القسري؛</w:t>
      </w:r>
    </w:p>
    <w:p w:rsidR="00394C45" w:rsidRPr="00394C45" w:rsidRDefault="00394C45" w:rsidP="00394C45">
      <w:pPr>
        <w:pStyle w:val="SingleTxtGA"/>
        <w:rPr>
          <w:rtl/>
        </w:rPr>
      </w:pPr>
      <w:r w:rsidRPr="00394C45">
        <w:rPr>
          <w:rtl/>
        </w:rPr>
        <w:tab/>
      </w:r>
      <w:r w:rsidRPr="00394C45">
        <w:rPr>
          <w:rFonts w:hint="cs"/>
          <w:rtl/>
        </w:rPr>
        <w:t>6-</w:t>
      </w:r>
      <w:r w:rsidRPr="00394C45">
        <w:rPr>
          <w:rFonts w:hint="cs"/>
          <w:rtl/>
        </w:rPr>
        <w:tab/>
      </w:r>
      <w:r w:rsidRPr="00394C45">
        <w:rPr>
          <w:i/>
          <w:iCs/>
          <w:rtl/>
        </w:rPr>
        <w:t>يشجع</w:t>
      </w:r>
      <w:r w:rsidRPr="00394C45">
        <w:rPr>
          <w:rtl/>
        </w:rPr>
        <w:t xml:space="preserve"> الفريق العامل على أن يواصل </w:t>
      </w:r>
      <w:r w:rsidRPr="00394C45">
        <w:rPr>
          <w:rFonts w:hint="cs"/>
          <w:rtl/>
        </w:rPr>
        <w:t>دراسة</w:t>
      </w:r>
      <w:r w:rsidRPr="00394C45">
        <w:rPr>
          <w:rtl/>
        </w:rPr>
        <w:t xml:space="preserve"> القضايا المتعلقة بحالات الاختفاء القسري وأن يواصل تقديم تقارير إلى مجلس حقوق الإنسان، وفقا</w:t>
      </w:r>
      <w:r w:rsidRPr="00394C45">
        <w:rPr>
          <w:rFonts w:hint="cs"/>
          <w:rtl/>
        </w:rPr>
        <w:t>ً</w:t>
      </w:r>
      <w:r w:rsidRPr="00394C45">
        <w:rPr>
          <w:rtl/>
        </w:rPr>
        <w:t xml:space="preserve"> للولاية المنوطة به؛</w:t>
      </w:r>
    </w:p>
    <w:p w:rsidR="00394C45" w:rsidRPr="00394C45" w:rsidRDefault="00394C45" w:rsidP="00394C45">
      <w:pPr>
        <w:pStyle w:val="SingleTxtGA"/>
        <w:rPr>
          <w:rtl/>
          <w:lang w:bidi="ar-DZ"/>
        </w:rPr>
      </w:pPr>
      <w:r w:rsidRPr="00394C45">
        <w:rPr>
          <w:rFonts w:hint="cs"/>
          <w:rtl/>
        </w:rPr>
        <w:lastRenderedPageBreak/>
        <w:tab/>
        <w:t>7-</w:t>
      </w:r>
      <w:r w:rsidRPr="00394C45">
        <w:rPr>
          <w:rFonts w:hint="cs"/>
          <w:rtl/>
        </w:rPr>
        <w:tab/>
      </w:r>
      <w:r w:rsidRPr="00394C45">
        <w:rPr>
          <w:rFonts w:hint="cs"/>
          <w:i/>
          <w:iCs/>
          <w:rtl/>
        </w:rPr>
        <w:t xml:space="preserve">يرحّب </w:t>
      </w:r>
      <w:r w:rsidRPr="00394C45">
        <w:rPr>
          <w:rFonts w:hint="cs"/>
          <w:rtl/>
        </w:rPr>
        <w:t>بالتعاون القائم بين الفريق العامل واللجنة المعنيّة بحالات الاختفاء القسري، وكذلك بتعاون الفريق مع الإجراءات الخاصة وهيئات المعاهدات المعنية الأخرى، كل في إطار ولايته، ويشجع هذه الجهات على مواصلة تعاونها في المستقبل؛</w:t>
      </w:r>
    </w:p>
    <w:p w:rsidR="00394C45" w:rsidRPr="00394C45" w:rsidRDefault="00394C45" w:rsidP="00394C45">
      <w:pPr>
        <w:pStyle w:val="SingleTxtGA"/>
        <w:rPr>
          <w:rtl/>
        </w:rPr>
      </w:pPr>
      <w:r w:rsidRPr="00394C45">
        <w:rPr>
          <w:rFonts w:hint="cs"/>
          <w:rtl/>
        </w:rPr>
        <w:tab/>
        <w:t>8-</w:t>
      </w:r>
      <w:r w:rsidRPr="00394C45">
        <w:rPr>
          <w:rFonts w:hint="cs"/>
          <w:rtl/>
        </w:rPr>
        <w:tab/>
      </w:r>
      <w:r w:rsidRPr="00394C45">
        <w:rPr>
          <w:rFonts w:hint="cs"/>
          <w:i/>
          <w:iCs/>
          <w:rtl/>
        </w:rPr>
        <w:t>يقرر</w:t>
      </w:r>
      <w:r w:rsidRPr="00394C45">
        <w:rPr>
          <w:rFonts w:hint="cs"/>
          <w:rtl/>
        </w:rPr>
        <w:t xml:space="preserve"> تمديد ولاية الفريق العامل لمدة ثلاث سنوات إضافية طبقاً للشروط المنصوص عليها في قرار مجلس حقوق الإنسان 7/12؛</w:t>
      </w:r>
    </w:p>
    <w:p w:rsidR="00394C45" w:rsidRPr="00394C45" w:rsidRDefault="00394C45" w:rsidP="00394C45">
      <w:pPr>
        <w:pStyle w:val="SingleTxtGA"/>
        <w:rPr>
          <w:rtl/>
        </w:rPr>
      </w:pPr>
      <w:r w:rsidRPr="00394C45">
        <w:rPr>
          <w:rFonts w:hint="cs"/>
          <w:rtl/>
        </w:rPr>
        <w:tab/>
        <w:t>9-</w:t>
      </w:r>
      <w:r w:rsidRPr="00394C45">
        <w:rPr>
          <w:rFonts w:hint="cs"/>
          <w:rtl/>
        </w:rPr>
        <w:tab/>
      </w:r>
      <w:r w:rsidRPr="00394C45">
        <w:rPr>
          <w:rFonts w:hint="cs"/>
          <w:i/>
          <w:iCs/>
          <w:rtl/>
        </w:rPr>
        <w:t xml:space="preserve">يهيب </w:t>
      </w:r>
      <w:r w:rsidRPr="00394C45">
        <w:rPr>
          <w:rFonts w:hint="cs"/>
          <w:rtl/>
        </w:rPr>
        <w:t>بالدول التي لم تقدم ردوداً موضوعية بشأن ادّعاءات وقوع حالات اختفاء قسري في بلدانها أن تفعل ذلك وتولي الاعتبار الواجب للتوصيات ذات الصلة المتعلقة بهذه المسألة والمقدمة من الفريق العامل في تقاريره؛</w:t>
      </w:r>
    </w:p>
    <w:p w:rsidR="00394C45" w:rsidRPr="00394C45" w:rsidRDefault="00394C45" w:rsidP="00394C45">
      <w:pPr>
        <w:pStyle w:val="SingleTxtGA"/>
        <w:rPr>
          <w:rtl/>
        </w:rPr>
      </w:pPr>
      <w:r w:rsidRPr="00394C45">
        <w:rPr>
          <w:rFonts w:hint="cs"/>
          <w:rtl/>
        </w:rPr>
        <w:tab/>
        <w:t>10-</w:t>
      </w:r>
      <w:r w:rsidRPr="00394C45">
        <w:rPr>
          <w:rFonts w:hint="cs"/>
          <w:rtl/>
        </w:rPr>
        <w:tab/>
      </w:r>
      <w:r w:rsidRPr="00394C45">
        <w:rPr>
          <w:rFonts w:hint="cs"/>
          <w:i/>
          <w:iCs/>
          <w:rtl/>
        </w:rPr>
        <w:t>يشجّع</w:t>
      </w:r>
      <w:r w:rsidRPr="00394C45">
        <w:rPr>
          <w:rFonts w:hint="cs"/>
          <w:rtl/>
        </w:rPr>
        <w:t xml:space="preserve"> الفريق العامل على الاستمرار، وفقاً لأساليب عمله، في تزويد الدول المعنية بمعلومات مفصلة وذات صلة بشأن ادّعاءات الاختفاء القسري تيسيراً للتجاوب الفوري والجوهري مع هذه البلاغات من دون المساس بضرورة تعاون الدول المعنية مع الفريق العامل؛</w:t>
      </w:r>
    </w:p>
    <w:p w:rsidR="00394C45" w:rsidRPr="00394C45" w:rsidRDefault="00394C45" w:rsidP="00394C45">
      <w:pPr>
        <w:pStyle w:val="SingleTxtGA"/>
      </w:pPr>
      <w:r w:rsidRPr="00394C45">
        <w:rPr>
          <w:rFonts w:hint="cs"/>
          <w:rtl/>
        </w:rPr>
        <w:tab/>
        <w:t>11-</w:t>
      </w:r>
      <w:r w:rsidRPr="00394C45">
        <w:rPr>
          <w:rFonts w:hint="cs"/>
          <w:rtl/>
        </w:rPr>
        <w:tab/>
      </w:r>
      <w:r w:rsidRPr="00394C45">
        <w:rPr>
          <w:rFonts w:hint="cs"/>
          <w:i/>
          <w:iCs/>
          <w:rtl/>
        </w:rPr>
        <w:t xml:space="preserve">يطلب </w:t>
      </w:r>
      <w:r w:rsidRPr="00394C45">
        <w:rPr>
          <w:rFonts w:hint="cs"/>
          <w:rtl/>
        </w:rPr>
        <w:t>إلى الأمين العام مواصلة تزويد الفريق العامل بكل ما يلزمه من موارد بشرية ومادية تتيح له الاضطلاع التام بولايته؛</w:t>
      </w:r>
    </w:p>
    <w:p w:rsidR="00394C45" w:rsidRPr="00394C45" w:rsidRDefault="00394C45" w:rsidP="00394C45">
      <w:pPr>
        <w:pStyle w:val="SingleTxtGA"/>
        <w:rPr>
          <w:u w:val="single"/>
          <w:rtl/>
          <w:lang w:val="en-CA" w:bidi="ar-EG"/>
        </w:rPr>
      </w:pPr>
      <w:r w:rsidRPr="00394C45">
        <w:rPr>
          <w:rFonts w:hint="cs"/>
          <w:rtl/>
        </w:rPr>
        <w:tab/>
        <w:t>12-</w:t>
      </w:r>
      <w:r w:rsidRPr="00394C45">
        <w:rPr>
          <w:i/>
          <w:iCs/>
          <w:rtl/>
        </w:rPr>
        <w:tab/>
      </w:r>
      <w:r w:rsidRPr="00394C45">
        <w:rPr>
          <w:rFonts w:hint="cs"/>
          <w:i/>
          <w:iCs/>
          <w:rtl/>
        </w:rPr>
        <w:t xml:space="preserve">يقرر </w:t>
      </w:r>
      <w:r w:rsidRPr="00394C45">
        <w:rPr>
          <w:rFonts w:hint="cs"/>
          <w:rtl/>
        </w:rPr>
        <w:t>مواصلة النظر في مسألة حالات الاختفاء القسري وفقاً لبرنامج عمله.</w:t>
      </w:r>
    </w:p>
    <w:p w:rsidR="00394C45" w:rsidRPr="00394C45" w:rsidRDefault="00394C45" w:rsidP="00394C45">
      <w:pPr>
        <w:pStyle w:val="SingleTxtGA"/>
        <w:jc w:val="right"/>
        <w:rPr>
          <w:i/>
          <w:iCs/>
          <w:rtl/>
        </w:rPr>
      </w:pPr>
      <w:r w:rsidRPr="00394C45">
        <w:rPr>
          <w:rFonts w:hint="cs"/>
          <w:i/>
          <w:iCs/>
          <w:rtl/>
        </w:rPr>
        <w:t>الجلسة 39</w:t>
      </w:r>
      <w:r w:rsidRPr="00394C45">
        <w:rPr>
          <w:i/>
          <w:iCs/>
          <w:rtl/>
        </w:rPr>
        <w:br/>
      </w:r>
      <w:r w:rsidRPr="00394C45">
        <w:rPr>
          <w:rFonts w:hint="cs"/>
          <w:i/>
          <w:iCs/>
          <w:rtl/>
        </w:rPr>
        <w:t>28 أيلول/سبتمبر</w:t>
      </w:r>
      <w:r w:rsidRPr="00394C45">
        <w:rPr>
          <w:i/>
          <w:iCs/>
          <w:rtl/>
        </w:rPr>
        <w:t xml:space="preserve"> 201</w:t>
      </w:r>
      <w:r w:rsidRPr="00394C45">
        <w:rPr>
          <w:rFonts w:hint="cs"/>
          <w:i/>
          <w:iCs/>
          <w:rtl/>
        </w:rPr>
        <w:t>7</w:t>
      </w:r>
    </w:p>
    <w:p w:rsidR="00394C45" w:rsidRDefault="00394C45" w:rsidP="00394C45">
      <w:pPr>
        <w:pStyle w:val="SingleTxtGA"/>
        <w:rPr>
          <w:rtl/>
          <w:lang w:bidi="ar-DZ"/>
        </w:rPr>
      </w:pPr>
      <w:r w:rsidRPr="00394C45">
        <w:rPr>
          <w:rtl/>
        </w:rPr>
        <w:t>[</w:t>
      </w:r>
      <w:r w:rsidRPr="00394C45">
        <w:rPr>
          <w:rFonts w:hint="cs"/>
          <w:rtl/>
        </w:rPr>
        <w:t>اعتُمد</w:t>
      </w:r>
      <w:r w:rsidRPr="00394C45">
        <w:rPr>
          <w:rtl/>
        </w:rPr>
        <w:t xml:space="preserve"> </w:t>
      </w:r>
      <w:r w:rsidRPr="00394C45">
        <w:rPr>
          <w:rFonts w:hint="cs"/>
          <w:rtl/>
        </w:rPr>
        <w:t>بدون</w:t>
      </w:r>
      <w:r w:rsidRPr="00394C45">
        <w:rPr>
          <w:rtl/>
        </w:rPr>
        <w:t xml:space="preserve"> </w:t>
      </w:r>
      <w:r w:rsidRPr="00394C45">
        <w:rPr>
          <w:rFonts w:hint="cs"/>
          <w:rtl/>
        </w:rPr>
        <w:t>تصويت</w:t>
      </w:r>
      <w:r w:rsidRPr="00394C45">
        <w:rPr>
          <w:rtl/>
        </w:rPr>
        <w:t>.]</w:t>
      </w:r>
    </w:p>
    <w:p w:rsidR="00B54045" w:rsidRPr="003E159A" w:rsidRDefault="00394C45" w:rsidP="00394C45">
      <w:pPr>
        <w:pStyle w:val="SingleTxtGA"/>
        <w:jc w:val="center"/>
        <w:rPr>
          <w:sz w:val="30"/>
          <w:rtl/>
          <w:lang w:bidi="ar-DZ"/>
        </w:rPr>
      </w:pPr>
      <w:r>
        <w:rPr>
          <w:u w:val="single"/>
          <w:rtl/>
          <w:lang w:bidi="ar-DZ"/>
        </w:rPr>
        <w:tab/>
      </w:r>
      <w:r>
        <w:rPr>
          <w:u w:val="single"/>
          <w:rtl/>
          <w:lang w:bidi="ar-DZ"/>
        </w:rPr>
        <w:tab/>
      </w:r>
      <w:r>
        <w:rPr>
          <w:u w:val="single"/>
          <w:rtl/>
          <w:lang w:bidi="ar-DZ"/>
        </w:rPr>
        <w:tab/>
      </w:r>
    </w:p>
    <w:sectPr w:rsidR="00B54045" w:rsidRPr="003E159A" w:rsidSect="00C702B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406F" w:rsidRPr="002901D9" w:rsidRDefault="00A6406F" w:rsidP="002901D9">
      <w:pPr>
        <w:spacing w:after="60" w:line="240" w:lineRule="auto"/>
        <w:rPr>
          <w:i/>
          <w:iCs/>
        </w:rPr>
      </w:pPr>
      <w:r>
        <w:rPr>
          <w:rFonts w:hint="cs"/>
          <w:i/>
          <w:iCs/>
          <w:rtl/>
        </w:rPr>
        <w:t>الحواشي</w:t>
      </w:r>
    </w:p>
  </w:endnote>
  <w:endnote w:type="continuationSeparator" w:id="0">
    <w:p w:rsidR="00A6406F" w:rsidRDefault="00A6406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2B6" w:rsidRPr="00394C45" w:rsidRDefault="00394C45" w:rsidP="00394C45">
    <w:pPr>
      <w:pStyle w:val="Footer"/>
      <w:tabs>
        <w:tab w:val="right" w:pos="9598"/>
      </w:tabs>
      <w:rPr>
        <w:sz w:val="17"/>
      </w:rPr>
    </w:pPr>
    <w:r>
      <w:rPr>
        <w:sz w:val="17"/>
      </w:rPr>
      <w:t>GE.17-17810</w:t>
    </w:r>
    <w:r>
      <w:rPr>
        <w:sz w:val="17"/>
      </w:rPr>
      <w:tab/>
    </w:r>
    <w:r w:rsidRPr="00394C45">
      <w:rPr>
        <w:b/>
        <w:sz w:val="18"/>
      </w:rPr>
      <w:fldChar w:fldCharType="begin"/>
    </w:r>
    <w:r w:rsidRPr="00394C45">
      <w:rPr>
        <w:b/>
        <w:sz w:val="18"/>
      </w:rPr>
      <w:instrText xml:space="preserve"> PAGE  \* MERGEFORMAT </w:instrText>
    </w:r>
    <w:r w:rsidRPr="00394C45">
      <w:rPr>
        <w:b/>
        <w:sz w:val="18"/>
      </w:rPr>
      <w:fldChar w:fldCharType="separate"/>
    </w:r>
    <w:r w:rsidR="00D97486">
      <w:rPr>
        <w:b/>
        <w:noProof/>
        <w:sz w:val="18"/>
      </w:rPr>
      <w:t>4</w:t>
    </w:r>
    <w:r w:rsidRPr="00394C4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94C45" w:rsidRDefault="00394C45" w:rsidP="006959B0">
    <w:pPr>
      <w:pStyle w:val="Footer"/>
      <w:tabs>
        <w:tab w:val="right" w:pos="9599"/>
      </w:tabs>
      <w:jc w:val="left"/>
      <w:rPr>
        <w:b/>
        <w:sz w:val="18"/>
        <w:lang w:val="en-US"/>
      </w:rPr>
    </w:pPr>
    <w:r w:rsidRPr="00394C45">
      <w:rPr>
        <w:b/>
        <w:sz w:val="18"/>
        <w:lang w:val="en-US"/>
      </w:rPr>
      <w:fldChar w:fldCharType="begin"/>
    </w:r>
    <w:r w:rsidRPr="00394C45">
      <w:rPr>
        <w:b/>
        <w:sz w:val="18"/>
        <w:lang w:val="en-US"/>
      </w:rPr>
      <w:instrText xml:space="preserve"> PAGE  \* MERGEFORMAT </w:instrText>
    </w:r>
    <w:r w:rsidRPr="00394C45">
      <w:rPr>
        <w:b/>
        <w:sz w:val="18"/>
        <w:lang w:val="en-US"/>
      </w:rPr>
      <w:fldChar w:fldCharType="separate"/>
    </w:r>
    <w:r w:rsidR="00D97486">
      <w:rPr>
        <w:b/>
        <w:noProof/>
        <w:sz w:val="18"/>
        <w:lang w:val="en-US"/>
      </w:rPr>
      <w:t>3</w:t>
    </w:r>
    <w:r w:rsidRPr="00394C45">
      <w:rPr>
        <w:b/>
        <w:sz w:val="18"/>
        <w:lang w:val="en-US"/>
      </w:rPr>
      <w:fldChar w:fldCharType="end"/>
    </w:r>
    <w:r>
      <w:rPr>
        <w:b/>
        <w:sz w:val="18"/>
        <w:lang w:val="en-US"/>
      </w:rPr>
      <w:tab/>
    </w:r>
    <w:r>
      <w:rPr>
        <w:sz w:val="17"/>
        <w:lang w:val="en-US"/>
      </w:rPr>
      <w:t>GE.17-17810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702B6" w:rsidP="00F6741C">
    <w:pPr>
      <w:pStyle w:val="Footer"/>
      <w:spacing w:before="360"/>
      <w:jc w:val="right"/>
      <w:rPr>
        <w:sz w:val="20"/>
        <w:szCs w:val="20"/>
      </w:rPr>
    </w:pPr>
    <w:r>
      <w:rPr>
        <w:sz w:val="20"/>
        <w:szCs w:val="20"/>
      </w:rPr>
      <w:t>GE.17-17810</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702B6" w:rsidRPr="00C702B6" w:rsidRDefault="00C702B6" w:rsidP="00C702B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406F" w:rsidRPr="0054762C" w:rsidRDefault="00A6406F" w:rsidP="000E524A">
      <w:pPr>
        <w:pStyle w:val="Footer"/>
        <w:bidi/>
        <w:spacing w:after="80" w:line="200" w:lineRule="exact"/>
        <w:ind w:left="680"/>
      </w:pPr>
      <w:r>
        <w:rPr>
          <w:rtl/>
        </w:rPr>
        <w:t>__________</w:t>
      </w:r>
    </w:p>
  </w:footnote>
  <w:footnote w:type="continuationSeparator" w:id="0">
    <w:p w:rsidR="00A6406F" w:rsidRDefault="00A6406F" w:rsidP="00656392">
      <w:pPr>
        <w:spacing w:line="240" w:lineRule="auto"/>
      </w:pPr>
      <w:r>
        <w:continuationSeparator/>
      </w:r>
    </w:p>
  </w:footnote>
  <w:footnote w:id="1">
    <w:p w:rsidR="00394C45" w:rsidRPr="00D01CA6" w:rsidRDefault="00394C45" w:rsidP="00394C45">
      <w:pPr>
        <w:pStyle w:val="SingleTxtGA"/>
        <w:tabs>
          <w:tab w:val="clear" w:pos="1928"/>
          <w:tab w:val="clear" w:pos="2608"/>
          <w:tab w:val="clear" w:pos="3289"/>
          <w:tab w:val="clear" w:pos="3969"/>
          <w:tab w:val="clear" w:pos="4649"/>
          <w:tab w:val="clear" w:pos="5330"/>
        </w:tabs>
        <w:spacing w:after="60" w:line="300" w:lineRule="exact"/>
        <w:ind w:hanging="567"/>
        <w:rPr>
          <w:sz w:val="18"/>
          <w:szCs w:val="26"/>
          <w:rtl/>
        </w:rPr>
      </w:pPr>
      <w:r w:rsidRPr="00D01CA6">
        <w:rPr>
          <w:rStyle w:val="FootnoteReference"/>
          <w:szCs w:val="26"/>
          <w:vertAlign w:val="baseline"/>
          <w:rtl/>
          <w:lang w:eastAsia="ar-SA"/>
        </w:rPr>
        <w:t>(</w:t>
      </w:r>
      <w:r w:rsidRPr="00D01CA6">
        <w:rPr>
          <w:rStyle w:val="FootnoteReference"/>
          <w:szCs w:val="26"/>
          <w:vertAlign w:val="baseline"/>
          <w:rtl/>
          <w:lang w:eastAsia="ar-SA"/>
        </w:rPr>
        <w:footnoteRef/>
      </w:r>
      <w:r w:rsidRPr="00D01CA6">
        <w:rPr>
          <w:rStyle w:val="FootnoteReference"/>
          <w:szCs w:val="26"/>
          <w:vertAlign w:val="baseline"/>
          <w:rtl/>
          <w:lang w:eastAsia="ar-SA"/>
        </w:rPr>
        <w:t>)</w:t>
      </w:r>
      <w:r w:rsidRPr="00D01CA6">
        <w:rPr>
          <w:rStyle w:val="FootnoteReference"/>
          <w:szCs w:val="26"/>
          <w:vertAlign w:val="baseline"/>
          <w:rtl/>
          <w:lang w:eastAsia="ar-SA"/>
        </w:rPr>
        <w:tab/>
      </w:r>
      <w:r w:rsidRPr="00D01CA6">
        <w:rPr>
          <w:rFonts w:hint="cs"/>
          <w:sz w:val="18"/>
          <w:szCs w:val="26"/>
          <w:rtl/>
        </w:rPr>
        <w:t xml:space="preserve">انظر </w:t>
      </w:r>
      <w:r w:rsidRPr="00D01CA6">
        <w:rPr>
          <w:sz w:val="18"/>
          <w:szCs w:val="26"/>
          <w:lang w:val="en-CA"/>
        </w:rPr>
        <w:t>A/HRC/30/38/Add.5</w:t>
      </w:r>
      <w:r w:rsidRPr="00D01CA6">
        <w:rPr>
          <w:rFonts w:hint="cs"/>
          <w:sz w:val="18"/>
          <w:szCs w:val="26"/>
          <w:rtl/>
        </w:rPr>
        <w:t>.</w:t>
      </w:r>
    </w:p>
  </w:footnote>
  <w:footnote w:id="2">
    <w:p w:rsidR="00394C45" w:rsidRPr="00D01CA6" w:rsidRDefault="00394C45" w:rsidP="00394C45">
      <w:pPr>
        <w:pStyle w:val="SingleTxtGA"/>
        <w:tabs>
          <w:tab w:val="clear" w:pos="1928"/>
          <w:tab w:val="clear" w:pos="2608"/>
          <w:tab w:val="clear" w:pos="3289"/>
          <w:tab w:val="clear" w:pos="3969"/>
          <w:tab w:val="clear" w:pos="4649"/>
          <w:tab w:val="clear" w:pos="5330"/>
        </w:tabs>
        <w:spacing w:after="60" w:line="300" w:lineRule="exact"/>
        <w:ind w:hanging="567"/>
        <w:rPr>
          <w:sz w:val="18"/>
          <w:szCs w:val="26"/>
          <w:rtl/>
        </w:rPr>
      </w:pPr>
      <w:r w:rsidRPr="00D01CA6">
        <w:rPr>
          <w:rStyle w:val="FootnoteReference"/>
          <w:szCs w:val="26"/>
          <w:vertAlign w:val="baseline"/>
          <w:rtl/>
          <w:lang w:eastAsia="ar-SA"/>
        </w:rPr>
        <w:t>(</w:t>
      </w:r>
      <w:r w:rsidRPr="00D01CA6">
        <w:rPr>
          <w:rStyle w:val="FootnoteReference"/>
          <w:szCs w:val="26"/>
          <w:vertAlign w:val="baseline"/>
          <w:rtl/>
          <w:lang w:eastAsia="ar-SA"/>
        </w:rPr>
        <w:footnoteRef/>
      </w:r>
      <w:r w:rsidRPr="00D01CA6">
        <w:rPr>
          <w:rStyle w:val="FootnoteReference"/>
          <w:szCs w:val="26"/>
          <w:vertAlign w:val="baseline"/>
          <w:rtl/>
          <w:lang w:eastAsia="ar-SA"/>
        </w:rPr>
        <w:t>)</w:t>
      </w:r>
      <w:r w:rsidRPr="00D01CA6">
        <w:rPr>
          <w:rStyle w:val="FootnoteReference"/>
          <w:szCs w:val="26"/>
          <w:vertAlign w:val="baseline"/>
          <w:rtl/>
          <w:lang w:eastAsia="ar-SA"/>
        </w:rPr>
        <w:tab/>
      </w:r>
      <w:r w:rsidRPr="00D01CA6">
        <w:rPr>
          <w:sz w:val="18"/>
          <w:szCs w:val="26"/>
          <w:lang w:val="en-CA"/>
        </w:rPr>
        <w:t>A/HRC/36/39/Add.2</w:t>
      </w:r>
      <w:r w:rsidRPr="00D01CA6">
        <w:rPr>
          <w:rFonts w:hint="cs"/>
          <w:sz w:val="18"/>
          <w:szCs w:val="26"/>
          <w:rtl/>
        </w:rPr>
        <w:t>.</w:t>
      </w:r>
    </w:p>
  </w:footnote>
  <w:footnote w:id="3">
    <w:p w:rsidR="00394C45" w:rsidRPr="005E68C7" w:rsidRDefault="00394C45" w:rsidP="00394C45">
      <w:pPr>
        <w:pStyle w:val="SingleTxtGA"/>
        <w:tabs>
          <w:tab w:val="clear" w:pos="1928"/>
          <w:tab w:val="clear" w:pos="2608"/>
          <w:tab w:val="clear" w:pos="3289"/>
          <w:tab w:val="clear" w:pos="3969"/>
          <w:tab w:val="clear" w:pos="4649"/>
          <w:tab w:val="clear" w:pos="5330"/>
        </w:tabs>
        <w:spacing w:after="60" w:line="300" w:lineRule="exact"/>
        <w:ind w:hanging="567"/>
        <w:rPr>
          <w:sz w:val="18"/>
          <w:szCs w:val="26"/>
        </w:rPr>
      </w:pPr>
      <w:r w:rsidRPr="00D01CA6">
        <w:rPr>
          <w:rStyle w:val="FootnoteReference"/>
          <w:szCs w:val="26"/>
          <w:vertAlign w:val="baseline"/>
          <w:rtl/>
          <w:lang w:eastAsia="ar-SA"/>
        </w:rPr>
        <w:t>(</w:t>
      </w:r>
      <w:r w:rsidRPr="00D01CA6">
        <w:rPr>
          <w:rStyle w:val="FootnoteReference"/>
          <w:szCs w:val="26"/>
          <w:vertAlign w:val="baseline"/>
          <w:rtl/>
          <w:lang w:eastAsia="ar-SA"/>
        </w:rPr>
        <w:footnoteRef/>
      </w:r>
      <w:r w:rsidRPr="00D01CA6">
        <w:rPr>
          <w:rStyle w:val="FootnoteReference"/>
          <w:szCs w:val="26"/>
          <w:vertAlign w:val="baseline"/>
          <w:rtl/>
          <w:lang w:eastAsia="ar-SA"/>
        </w:rPr>
        <w:t>)</w:t>
      </w:r>
      <w:r w:rsidRPr="00D01CA6">
        <w:rPr>
          <w:rStyle w:val="FootnoteReference"/>
          <w:szCs w:val="26"/>
          <w:vertAlign w:val="baseline"/>
          <w:rtl/>
          <w:lang w:eastAsia="ar-SA"/>
        </w:rPr>
        <w:tab/>
      </w:r>
      <w:r w:rsidRPr="00D01CA6">
        <w:rPr>
          <w:sz w:val="18"/>
          <w:szCs w:val="26"/>
        </w:rPr>
        <w:t>A/HRC/33/51</w:t>
      </w:r>
      <w:r w:rsidRPr="00D01CA6">
        <w:rPr>
          <w:rFonts w:hint="cs"/>
          <w:sz w:val="18"/>
          <w:szCs w:val="26"/>
          <w:rtl/>
        </w:rPr>
        <w:t xml:space="preserve"> و</w:t>
      </w:r>
      <w:r w:rsidRPr="00D01CA6">
        <w:rPr>
          <w:sz w:val="18"/>
          <w:szCs w:val="26"/>
        </w:rPr>
        <w:t>A/HRC/36/39</w:t>
      </w:r>
      <w:r w:rsidRPr="00D01CA6">
        <w:rPr>
          <w:rFonts w:hint="cs"/>
          <w:sz w:val="18"/>
          <w:szCs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2B6" w:rsidRPr="00394C45" w:rsidRDefault="00394C45" w:rsidP="00394C45">
    <w:pPr>
      <w:pStyle w:val="Header"/>
      <w:jc w:val="right"/>
    </w:pPr>
    <w:r w:rsidRPr="00394C45">
      <w:t>A/HRC/RES/36/6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2B6" w:rsidRPr="00394C45" w:rsidRDefault="00394C45" w:rsidP="00394C45">
    <w:pPr>
      <w:pStyle w:val="Header"/>
      <w:jc w:val="left"/>
    </w:pPr>
    <w:r w:rsidRPr="00394C45">
      <w:t>A/HRC/RES/36/6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6406F"/>
    <w:rsid w:val="000076D5"/>
    <w:rsid w:val="00043663"/>
    <w:rsid w:val="000505CF"/>
    <w:rsid w:val="000D701C"/>
    <w:rsid w:val="000E2A71"/>
    <w:rsid w:val="000E524A"/>
    <w:rsid w:val="00160263"/>
    <w:rsid w:val="001773DB"/>
    <w:rsid w:val="00181F96"/>
    <w:rsid w:val="001A1371"/>
    <w:rsid w:val="001A5E2F"/>
    <w:rsid w:val="001B346A"/>
    <w:rsid w:val="001E1CAD"/>
    <w:rsid w:val="001E290D"/>
    <w:rsid w:val="002144FA"/>
    <w:rsid w:val="0023469A"/>
    <w:rsid w:val="00243C8A"/>
    <w:rsid w:val="00267A0E"/>
    <w:rsid w:val="002901D9"/>
    <w:rsid w:val="002976C2"/>
    <w:rsid w:val="00325CC1"/>
    <w:rsid w:val="003260FF"/>
    <w:rsid w:val="00343D95"/>
    <w:rsid w:val="00374341"/>
    <w:rsid w:val="00394C45"/>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6406F"/>
    <w:rsid w:val="00A74331"/>
    <w:rsid w:val="00AB6758"/>
    <w:rsid w:val="00B13763"/>
    <w:rsid w:val="00B477A4"/>
    <w:rsid w:val="00B54045"/>
    <w:rsid w:val="00BA5E8B"/>
    <w:rsid w:val="00C022F5"/>
    <w:rsid w:val="00C438D7"/>
    <w:rsid w:val="00C53FE8"/>
    <w:rsid w:val="00C702B6"/>
    <w:rsid w:val="00C81B50"/>
    <w:rsid w:val="00CA655B"/>
    <w:rsid w:val="00CB3C3C"/>
    <w:rsid w:val="00CD1801"/>
    <w:rsid w:val="00D01CA6"/>
    <w:rsid w:val="00D10EF1"/>
    <w:rsid w:val="00D42810"/>
    <w:rsid w:val="00D914A7"/>
    <w:rsid w:val="00D97486"/>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B35D6C0F-A591-4A4C-918F-5065CBEC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preferred">
    <w:name w:val="preferred"/>
    <w:rsid w:val="00394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F62B6-201E-419E-B4DE-3E5DC62EF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1045</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A/HRC/RES/36/6</dc:title>
  <dc:subject>GE.1717810A</dc:subject>
  <dc:creator>J.KAH - MBOU</dc:creator>
  <cp:keywords>ODS No. 1729595A</cp:keywords>
  <dc:description>Original: English _x000d_
Distribution: General_x000d_
Date: 10 October 2017</dc:description>
  <cp:lastModifiedBy>Admin</cp:lastModifiedBy>
  <cp:revision>2</cp:revision>
  <cp:lastPrinted>2017-10-13T09:08:00Z</cp:lastPrinted>
  <dcterms:created xsi:type="dcterms:W3CDTF">2017-10-13T13:23:00Z</dcterms:created>
  <dcterms:modified xsi:type="dcterms:W3CDTF">2017-10-13T13:23:00Z</dcterms:modified>
  <cp:category>Final</cp:category>
</cp:coreProperties>
</file>