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E75AF5C" w14:textId="77777777" w:rsidTr="00C30959">
        <w:trPr>
          <w:trHeight w:hRule="exact" w:val="851"/>
        </w:trPr>
        <w:tc>
          <w:tcPr>
            <w:tcW w:w="1280" w:type="dxa"/>
            <w:tcBorders>
              <w:bottom w:val="single" w:sz="4" w:space="0" w:color="auto"/>
            </w:tcBorders>
          </w:tcPr>
          <w:p w14:paraId="3135FECB" w14:textId="77777777" w:rsidR="002D5AAC" w:rsidRPr="001359DC" w:rsidRDefault="002D5AAC" w:rsidP="00C40643">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F7C8A75"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7D8AD1A" w14:textId="1D4F1B67" w:rsidR="002D5AAC" w:rsidRPr="001359DC" w:rsidRDefault="00C40643" w:rsidP="00C40643">
            <w:pPr>
              <w:jc w:val="right"/>
              <w:rPr>
                <w:lang w:val="es-ES"/>
              </w:rPr>
            </w:pPr>
            <w:r w:rsidRPr="00C40643">
              <w:rPr>
                <w:sz w:val="40"/>
                <w:lang w:val="es-ES"/>
              </w:rPr>
              <w:t>A</w:t>
            </w:r>
            <w:r>
              <w:rPr>
                <w:lang w:val="es-ES"/>
              </w:rPr>
              <w:t>/</w:t>
            </w:r>
            <w:proofErr w:type="spellStart"/>
            <w:r>
              <w:rPr>
                <w:lang w:val="es-ES"/>
              </w:rPr>
              <w:t>HRC</w:t>
            </w:r>
            <w:proofErr w:type="spellEnd"/>
            <w:r>
              <w:rPr>
                <w:lang w:val="es-ES"/>
              </w:rPr>
              <w:t>/RES/55/5</w:t>
            </w:r>
          </w:p>
        </w:tc>
      </w:tr>
      <w:tr w:rsidR="002D5AAC" w:rsidRPr="001359DC" w14:paraId="0A4AF2BB" w14:textId="77777777" w:rsidTr="00C30959">
        <w:trPr>
          <w:trHeight w:hRule="exact" w:val="2835"/>
        </w:trPr>
        <w:tc>
          <w:tcPr>
            <w:tcW w:w="1280" w:type="dxa"/>
            <w:tcBorders>
              <w:top w:val="single" w:sz="4" w:space="0" w:color="auto"/>
              <w:bottom w:val="single" w:sz="12" w:space="0" w:color="auto"/>
            </w:tcBorders>
          </w:tcPr>
          <w:p w14:paraId="03D5525D" w14:textId="77777777" w:rsidR="002D5AAC" w:rsidRPr="001359DC" w:rsidRDefault="002E5067" w:rsidP="0008244E">
            <w:pPr>
              <w:spacing w:before="120"/>
              <w:jc w:val="center"/>
              <w:rPr>
                <w:lang w:val="es-ES"/>
              </w:rPr>
            </w:pPr>
            <w:r w:rsidRPr="001359DC">
              <w:rPr>
                <w:noProof/>
              </w:rPr>
              <w:drawing>
                <wp:inline distT="0" distB="0" distL="0" distR="0" wp14:anchorId="7D3015AF" wp14:editId="38BCC49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C569AB"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4051190E" w14:textId="77777777" w:rsidR="002D5AAC" w:rsidRDefault="00C40643" w:rsidP="0008244E">
            <w:pPr>
              <w:spacing w:before="240"/>
              <w:rPr>
                <w:lang w:val="es-ES"/>
              </w:rPr>
            </w:pPr>
            <w:r>
              <w:rPr>
                <w:lang w:val="es-ES"/>
              </w:rPr>
              <w:t>Distr. general</w:t>
            </w:r>
          </w:p>
          <w:p w14:paraId="517420B5" w14:textId="77777777" w:rsidR="00C40643" w:rsidRDefault="00C40643" w:rsidP="00C40643">
            <w:pPr>
              <w:spacing w:line="240" w:lineRule="exact"/>
              <w:rPr>
                <w:lang w:val="es-ES"/>
              </w:rPr>
            </w:pPr>
            <w:r>
              <w:rPr>
                <w:lang w:val="es-ES"/>
              </w:rPr>
              <w:t>5 de abril de 2024</w:t>
            </w:r>
          </w:p>
          <w:p w14:paraId="0FF72580" w14:textId="77777777" w:rsidR="00C40643" w:rsidRDefault="00C40643" w:rsidP="00C40643">
            <w:pPr>
              <w:spacing w:line="240" w:lineRule="exact"/>
              <w:rPr>
                <w:lang w:val="es-ES"/>
              </w:rPr>
            </w:pPr>
            <w:r>
              <w:rPr>
                <w:lang w:val="es-ES"/>
              </w:rPr>
              <w:t>Español</w:t>
            </w:r>
          </w:p>
          <w:p w14:paraId="15737B39" w14:textId="4A312203" w:rsidR="00C40643" w:rsidRPr="001359DC" w:rsidRDefault="00C40643" w:rsidP="00C40643">
            <w:pPr>
              <w:spacing w:line="240" w:lineRule="exact"/>
              <w:rPr>
                <w:lang w:val="es-ES"/>
              </w:rPr>
            </w:pPr>
            <w:r>
              <w:rPr>
                <w:lang w:val="es-ES"/>
              </w:rPr>
              <w:t>Original: inglés</w:t>
            </w:r>
          </w:p>
        </w:tc>
      </w:tr>
    </w:tbl>
    <w:p w14:paraId="6882D7EC" w14:textId="77777777" w:rsidR="00C30959" w:rsidRPr="005F22FD" w:rsidRDefault="00C30959" w:rsidP="005F22FD">
      <w:pPr>
        <w:spacing w:before="120"/>
        <w:rPr>
          <w:b/>
          <w:bCs/>
          <w:sz w:val="24"/>
          <w:szCs w:val="24"/>
        </w:rPr>
      </w:pPr>
      <w:r w:rsidRPr="005F22FD">
        <w:rPr>
          <w:b/>
          <w:bCs/>
          <w:sz w:val="24"/>
          <w:szCs w:val="24"/>
        </w:rPr>
        <w:t>Consejo de Derechos Humanos</w:t>
      </w:r>
    </w:p>
    <w:p w14:paraId="7EA270FE" w14:textId="77777777" w:rsidR="00C30959" w:rsidRPr="005F22FD" w:rsidRDefault="00C30959" w:rsidP="005F22FD">
      <w:pPr>
        <w:rPr>
          <w:b/>
          <w:bCs/>
        </w:rPr>
      </w:pPr>
      <w:r w:rsidRPr="005F22FD">
        <w:rPr>
          <w:b/>
          <w:bCs/>
        </w:rPr>
        <w:t>55º período de sesiones</w:t>
      </w:r>
    </w:p>
    <w:p w14:paraId="38D5AE92" w14:textId="77777777" w:rsidR="00C30959" w:rsidRPr="00C30959" w:rsidRDefault="00C30959" w:rsidP="005F22FD">
      <w:r w:rsidRPr="00C30959">
        <w:t>26 de febrero a 5 de abril de 2024</w:t>
      </w:r>
    </w:p>
    <w:p w14:paraId="7896D8E6" w14:textId="77777777" w:rsidR="00C30959" w:rsidRPr="00C30959" w:rsidRDefault="00C30959" w:rsidP="005F22FD">
      <w:r w:rsidRPr="00C30959">
        <w:t>Tema 3 de la agenda</w:t>
      </w:r>
    </w:p>
    <w:p w14:paraId="4E0BE2CB" w14:textId="7996D2B8" w:rsidR="00C30959" w:rsidRPr="005F22FD" w:rsidRDefault="00C30959" w:rsidP="005F22FD">
      <w:pPr>
        <w:rPr>
          <w:b/>
          <w:bCs/>
        </w:rPr>
      </w:pPr>
      <w:r w:rsidRPr="005F22FD">
        <w:rPr>
          <w:b/>
          <w:bCs/>
        </w:rPr>
        <w:t>Promoción y protección de todos los derechos humanos,</w:t>
      </w:r>
      <w:r w:rsidRPr="005F22FD">
        <w:rPr>
          <w:b/>
          <w:bCs/>
        </w:rPr>
        <w:br/>
        <w:t>civiles, políticos, económicos, sociales y culturales,</w:t>
      </w:r>
      <w:r w:rsidRPr="005F22FD">
        <w:rPr>
          <w:b/>
          <w:bCs/>
        </w:rPr>
        <w:br/>
        <w:t>incluido el derecho al desarrollo</w:t>
      </w:r>
    </w:p>
    <w:p w14:paraId="39086DAC" w14:textId="5CBB2CD7" w:rsidR="00C30959" w:rsidRPr="00C30959" w:rsidRDefault="00C30959" w:rsidP="005F22FD">
      <w:pPr>
        <w:pStyle w:val="HChG"/>
      </w:pPr>
      <w:r w:rsidRPr="00C30959">
        <w:tab/>
      </w:r>
      <w:r w:rsidRPr="00C30959">
        <w:tab/>
        <w:t>Resolución aprobada por el Consejo de Derechos Humanos</w:t>
      </w:r>
      <w:r w:rsidR="005F22FD">
        <w:br/>
      </w:r>
      <w:r w:rsidRPr="00C30959">
        <w:t>el 3 de abril de 2024</w:t>
      </w:r>
    </w:p>
    <w:p w14:paraId="136436DB" w14:textId="35C997E4" w:rsidR="00C30959" w:rsidRPr="00C30959" w:rsidRDefault="005F22FD" w:rsidP="005F22FD">
      <w:pPr>
        <w:pStyle w:val="H1G"/>
      </w:pPr>
      <w:r>
        <w:tab/>
      </w:r>
      <w:r w:rsidR="00C30959" w:rsidRPr="00C30959">
        <w:t>55/5</w:t>
      </w:r>
      <w:r>
        <w:t>.</w:t>
      </w:r>
      <w:r w:rsidR="00C30959" w:rsidRPr="00C30959">
        <w:tab/>
        <w:t>Mandato de la Relatoría Especial sobre los</w:t>
      </w:r>
      <w:r>
        <w:t xml:space="preserve"> </w:t>
      </w:r>
      <w:r w:rsidR="00C30959" w:rsidRPr="00C30959">
        <w:t>derechos culturales</w:t>
      </w:r>
    </w:p>
    <w:p w14:paraId="06991B19" w14:textId="77777777" w:rsidR="00C30959" w:rsidRPr="00C30959" w:rsidRDefault="00C30959" w:rsidP="00C30959">
      <w:pPr>
        <w:pStyle w:val="SingleTxtG"/>
      </w:pPr>
      <w:r w:rsidRPr="00C30959">
        <w:tab/>
      </w:r>
      <w:r w:rsidRPr="00C30959">
        <w:rPr>
          <w:i/>
          <w:iCs/>
        </w:rPr>
        <w:t>El Consejo de Derechos Humanos</w:t>
      </w:r>
      <w:r w:rsidRPr="00C30959">
        <w:t>,</w:t>
      </w:r>
    </w:p>
    <w:p w14:paraId="3AB12FA7" w14:textId="77777777" w:rsidR="00C30959" w:rsidRPr="00C30959" w:rsidRDefault="00C30959" w:rsidP="00C30959">
      <w:pPr>
        <w:pStyle w:val="SingleTxtG"/>
      </w:pPr>
      <w:r w:rsidRPr="00C30959">
        <w:tab/>
      </w:r>
      <w:r w:rsidRPr="00C30959">
        <w:rPr>
          <w:i/>
          <w:iCs/>
        </w:rPr>
        <w:t xml:space="preserve">Guiado </w:t>
      </w:r>
      <w:r w:rsidRPr="00C30959">
        <w:t>por los propósitos y principios de la Carta de las Naciones Unidas,</w:t>
      </w:r>
    </w:p>
    <w:p w14:paraId="3A7DDB88" w14:textId="77777777" w:rsidR="00C30959" w:rsidRPr="00C30959" w:rsidRDefault="00C30959" w:rsidP="00C30959">
      <w:pPr>
        <w:pStyle w:val="SingleTxtG"/>
      </w:pPr>
      <w:r w:rsidRPr="00C30959">
        <w:tab/>
      </w:r>
      <w:r w:rsidRPr="00C30959">
        <w:rPr>
          <w:i/>
          <w:iCs/>
        </w:rPr>
        <w:t>Recordando</w:t>
      </w:r>
      <w:r w:rsidRPr="00C30959">
        <w:t xml:space="preserve"> sus resoluciones 5/1, relativa a la construcción institucional del Consejo de Derechos Humanos, y 5/2, relativa al Código de Conducta para los Titulares de Mandatos de los Procedimientos Especiales del Consejo de Derechos Humanos, de 18 de junio de 2007, y destacando que todos los titulares de mandatos han de desempeñar sus funciones de conformidad con esas resoluciones y sus anexos,</w:t>
      </w:r>
    </w:p>
    <w:p w14:paraId="095BBD49" w14:textId="77777777" w:rsidR="00C30959" w:rsidRPr="00C30959" w:rsidRDefault="00C30959" w:rsidP="00C30959">
      <w:pPr>
        <w:pStyle w:val="SingleTxtG"/>
      </w:pPr>
      <w:r w:rsidRPr="00C30959">
        <w:tab/>
      </w:r>
      <w:r w:rsidRPr="00C30959">
        <w:rPr>
          <w:i/>
          <w:iCs/>
        </w:rPr>
        <w:t>Recordando también</w:t>
      </w:r>
      <w:r w:rsidRPr="00C30959">
        <w:t xml:space="preserve"> todas las resoluciones anteriores del Consejo de Derechos Humanos relativas al mandato de la Relatoría Especial sobre los derechos culturales,</w:t>
      </w:r>
    </w:p>
    <w:p w14:paraId="1F795AEF" w14:textId="77777777" w:rsidR="00C30959" w:rsidRPr="00C30959" w:rsidRDefault="00C30959" w:rsidP="00C30959">
      <w:pPr>
        <w:pStyle w:val="SingleTxtG"/>
      </w:pPr>
      <w:r w:rsidRPr="00C30959">
        <w:tab/>
        <w:t>1.</w:t>
      </w:r>
      <w:r w:rsidRPr="00C30959">
        <w:tab/>
      </w:r>
      <w:r w:rsidRPr="00C30959">
        <w:rPr>
          <w:i/>
          <w:iCs/>
        </w:rPr>
        <w:t xml:space="preserve">Decide </w:t>
      </w:r>
      <w:r w:rsidRPr="00C30959">
        <w:t>renovar, por un período de tres años, el mandato de la Relatoría Especial sobre los derechos culturales para que su titular pueda proseguir su labor con arreglo al mandato establecido por el Consejo de Derechos Humanos en su resolución 10/23, de 26 de marzo de 2009;</w:t>
      </w:r>
    </w:p>
    <w:p w14:paraId="0DA24C42" w14:textId="77777777" w:rsidR="00C30959" w:rsidRPr="00C30959" w:rsidRDefault="00C30959" w:rsidP="00C30959">
      <w:pPr>
        <w:pStyle w:val="SingleTxtG"/>
      </w:pPr>
      <w:r w:rsidRPr="00C30959">
        <w:tab/>
        <w:t>2.</w:t>
      </w:r>
      <w:r w:rsidRPr="00C30959">
        <w:tab/>
      </w:r>
      <w:r w:rsidRPr="00C30959">
        <w:rPr>
          <w:i/>
          <w:iCs/>
        </w:rPr>
        <w:t>Decide también</w:t>
      </w:r>
      <w:r w:rsidRPr="00C30959">
        <w:t xml:space="preserve"> seguir examinando esta cuestión en relación con el mismo tema de la agenda de conformidad con su programa de trabajo.</w:t>
      </w:r>
    </w:p>
    <w:p w14:paraId="265433C1" w14:textId="77777777" w:rsidR="00C30959" w:rsidRPr="00C30959" w:rsidRDefault="00C30959" w:rsidP="00C30959">
      <w:pPr>
        <w:pStyle w:val="SingleTxtG"/>
        <w:spacing w:after="0"/>
        <w:jc w:val="right"/>
        <w:rPr>
          <w:i/>
          <w:iCs/>
        </w:rPr>
      </w:pPr>
      <w:r w:rsidRPr="00C30959">
        <w:rPr>
          <w:i/>
          <w:iCs/>
        </w:rPr>
        <w:t>53ª sesión</w:t>
      </w:r>
    </w:p>
    <w:p w14:paraId="07523A4D" w14:textId="77777777" w:rsidR="00C30959" w:rsidRPr="00C30959" w:rsidRDefault="00C30959" w:rsidP="00C30959">
      <w:pPr>
        <w:pStyle w:val="SingleTxtG"/>
        <w:jc w:val="right"/>
        <w:rPr>
          <w:i/>
          <w:iCs/>
        </w:rPr>
      </w:pPr>
      <w:r w:rsidRPr="00C30959">
        <w:rPr>
          <w:i/>
          <w:iCs/>
        </w:rPr>
        <w:t>3 de abril de 2024</w:t>
      </w:r>
    </w:p>
    <w:p w14:paraId="1CC76481" w14:textId="78933E83" w:rsidR="00381C24" w:rsidRDefault="00C30959" w:rsidP="00C30959">
      <w:pPr>
        <w:pStyle w:val="SingleTxtG"/>
      </w:pPr>
      <w:r w:rsidRPr="00C84612">
        <w:t>[Aprobada sin votación.]</w:t>
      </w:r>
    </w:p>
    <w:p w14:paraId="6DDF80FA" w14:textId="3263EA96" w:rsidR="00C30959" w:rsidRPr="00C30959" w:rsidRDefault="00C30959" w:rsidP="00C30959">
      <w:pPr>
        <w:pStyle w:val="SingleTxtG"/>
        <w:suppressAutoHyphens/>
        <w:spacing w:before="240" w:after="0"/>
        <w:jc w:val="center"/>
        <w:rPr>
          <w:u w:val="single"/>
        </w:rPr>
      </w:pPr>
      <w:r>
        <w:rPr>
          <w:u w:val="single"/>
        </w:rPr>
        <w:tab/>
      </w:r>
      <w:r>
        <w:rPr>
          <w:u w:val="single"/>
        </w:rPr>
        <w:tab/>
      </w:r>
      <w:r>
        <w:rPr>
          <w:u w:val="single"/>
        </w:rPr>
        <w:tab/>
      </w:r>
    </w:p>
    <w:sectPr w:rsidR="00C30959" w:rsidRPr="00C30959" w:rsidSect="00C4064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4FE2C" w14:textId="77777777" w:rsidR="00BD2A6F" w:rsidRPr="00A312BC" w:rsidRDefault="00BD2A6F" w:rsidP="00A312BC">
      <w:pPr>
        <w:pStyle w:val="Piedepgina"/>
      </w:pPr>
    </w:p>
  </w:endnote>
  <w:endnote w:type="continuationSeparator" w:id="0">
    <w:p w14:paraId="3FB2A7D9" w14:textId="77777777" w:rsidR="00BD2A6F" w:rsidRPr="00A312BC" w:rsidRDefault="00BD2A6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4E3E7" w14:textId="53CEE1C2" w:rsidR="00C40643" w:rsidRPr="00C40643" w:rsidRDefault="00C40643" w:rsidP="00C40643">
    <w:pPr>
      <w:pStyle w:val="Piedepgina"/>
      <w:tabs>
        <w:tab w:val="right" w:pos="9638"/>
      </w:tabs>
    </w:pPr>
    <w:r w:rsidRPr="00C40643">
      <w:rPr>
        <w:b/>
        <w:sz w:val="18"/>
      </w:rPr>
      <w:fldChar w:fldCharType="begin"/>
    </w:r>
    <w:r w:rsidRPr="00C40643">
      <w:rPr>
        <w:b/>
        <w:sz w:val="18"/>
      </w:rPr>
      <w:instrText xml:space="preserve"> PAGE  \* MERGEFORMAT </w:instrText>
    </w:r>
    <w:r w:rsidRPr="00C40643">
      <w:rPr>
        <w:b/>
        <w:sz w:val="18"/>
      </w:rPr>
      <w:fldChar w:fldCharType="separate"/>
    </w:r>
    <w:r w:rsidRPr="00C40643">
      <w:rPr>
        <w:b/>
        <w:noProof/>
        <w:sz w:val="18"/>
      </w:rPr>
      <w:t>2</w:t>
    </w:r>
    <w:r w:rsidRPr="00C40643">
      <w:rPr>
        <w:b/>
        <w:sz w:val="18"/>
      </w:rPr>
      <w:fldChar w:fldCharType="end"/>
    </w:r>
    <w:r>
      <w:rPr>
        <w:b/>
        <w:sz w:val="18"/>
      </w:rPr>
      <w:tab/>
    </w:r>
    <w:proofErr w:type="spellStart"/>
    <w:r>
      <w:t>GE.24</w:t>
    </w:r>
    <w:proofErr w:type="spellEnd"/>
    <w:r>
      <w:t>-06212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FB779" w14:textId="71568AEE" w:rsidR="00C40643" w:rsidRPr="00C40643" w:rsidRDefault="00C40643" w:rsidP="00C40643">
    <w:pPr>
      <w:pStyle w:val="Piedepgina"/>
      <w:tabs>
        <w:tab w:val="right" w:pos="9638"/>
      </w:tabs>
      <w:rPr>
        <w:b/>
        <w:sz w:val="18"/>
      </w:rPr>
    </w:pPr>
    <w:proofErr w:type="spellStart"/>
    <w:r>
      <w:t>GE.24</w:t>
    </w:r>
    <w:proofErr w:type="spellEnd"/>
    <w:r>
      <w:t>-06212</w:t>
    </w:r>
    <w:r>
      <w:tab/>
    </w:r>
    <w:r w:rsidRPr="00C40643">
      <w:rPr>
        <w:b/>
        <w:sz w:val="18"/>
      </w:rPr>
      <w:fldChar w:fldCharType="begin"/>
    </w:r>
    <w:r w:rsidRPr="00C40643">
      <w:rPr>
        <w:b/>
        <w:sz w:val="18"/>
      </w:rPr>
      <w:instrText xml:space="preserve"> PAGE  \* MERGEFORMAT </w:instrText>
    </w:r>
    <w:r w:rsidRPr="00C40643">
      <w:rPr>
        <w:b/>
        <w:sz w:val="18"/>
      </w:rPr>
      <w:fldChar w:fldCharType="separate"/>
    </w:r>
    <w:r w:rsidRPr="00C40643">
      <w:rPr>
        <w:b/>
        <w:noProof/>
        <w:sz w:val="18"/>
      </w:rPr>
      <w:t>3</w:t>
    </w:r>
    <w:r w:rsidRPr="00C406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39402" w14:textId="0211E543" w:rsidR="00042B72" w:rsidRPr="00C40643" w:rsidRDefault="00C40643" w:rsidP="00C40643">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1A645E3B" wp14:editId="0BD06D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-06212  (S)</w:t>
    </w:r>
    <w:r>
      <w:rPr>
        <w:noProof/>
        <w:sz w:val="20"/>
      </w:rPr>
      <w:drawing>
        <wp:anchor distT="0" distB="0" distL="114300" distR="114300" simplePos="0" relativeHeight="251658752" behindDoc="0" locked="0" layoutInCell="1" allowOverlap="1" wp14:anchorId="446B4674" wp14:editId="7716BE1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120424    240424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EFC52" w14:textId="77777777" w:rsidR="00BD2A6F" w:rsidRPr="001075E9" w:rsidRDefault="00BD2A6F" w:rsidP="001075E9">
      <w:pPr>
        <w:tabs>
          <w:tab w:val="right" w:pos="2155"/>
        </w:tabs>
        <w:spacing w:after="80" w:line="240" w:lineRule="auto"/>
        <w:ind w:left="680"/>
        <w:rPr>
          <w:u w:val="single"/>
        </w:rPr>
      </w:pPr>
      <w:r>
        <w:rPr>
          <w:u w:val="single"/>
        </w:rPr>
        <w:tab/>
      </w:r>
    </w:p>
  </w:footnote>
  <w:footnote w:type="continuationSeparator" w:id="0">
    <w:p w14:paraId="40D7A75C" w14:textId="77777777" w:rsidR="00BD2A6F" w:rsidRDefault="00BD2A6F"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0CD65" w14:textId="1A705355" w:rsidR="00C40643" w:rsidRPr="00C40643" w:rsidRDefault="00C40643">
    <w:pPr>
      <w:pStyle w:val="Encabezado"/>
    </w:pPr>
    <w:r>
      <w:fldChar w:fldCharType="begin"/>
    </w:r>
    <w:r>
      <w:instrText xml:space="preserve"> TITLE  \* MERGEFORMAT </w:instrText>
    </w:r>
    <w:r>
      <w:fldChar w:fldCharType="separate"/>
    </w:r>
    <w:r w:rsidR="008403B0">
      <w:t>A/</w:t>
    </w:r>
    <w:proofErr w:type="spellStart"/>
    <w:r w:rsidR="008403B0">
      <w:t>HRC</w:t>
    </w:r>
    <w:proofErr w:type="spellEnd"/>
    <w:r w:rsidR="008403B0">
      <w:t>/RES/55/5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6240C" w14:textId="589B16C5" w:rsidR="00C40643" w:rsidRPr="00C40643" w:rsidRDefault="00C40643" w:rsidP="00C40643">
    <w:pPr>
      <w:pStyle w:val="Encabezado"/>
      <w:jc w:val="right"/>
    </w:pPr>
    <w:r>
      <w:fldChar w:fldCharType="begin"/>
    </w:r>
    <w:r>
      <w:instrText xml:space="preserve"> TITLE  \* MERGEFORMAT </w:instrText>
    </w:r>
    <w:r>
      <w:fldChar w:fldCharType="separate"/>
    </w:r>
    <w:r w:rsidR="008403B0">
      <w:t>A/</w:t>
    </w:r>
    <w:proofErr w:type="spellStart"/>
    <w:r w:rsidR="008403B0">
      <w:t>HRC</w:t>
    </w:r>
    <w:proofErr w:type="spellEnd"/>
    <w:r w:rsidR="008403B0">
      <w:t>/RES/55/5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2036341">
    <w:abstractNumId w:val="14"/>
  </w:num>
  <w:num w:numId="2" w16cid:durableId="255869907">
    <w:abstractNumId w:val="11"/>
  </w:num>
  <w:num w:numId="3" w16cid:durableId="54861273">
    <w:abstractNumId w:val="16"/>
  </w:num>
  <w:num w:numId="4" w16cid:durableId="1384597875">
    <w:abstractNumId w:val="15"/>
  </w:num>
  <w:num w:numId="5" w16cid:durableId="1199703295">
    <w:abstractNumId w:val="13"/>
  </w:num>
  <w:num w:numId="6" w16cid:durableId="1294485019">
    <w:abstractNumId w:val="8"/>
  </w:num>
  <w:num w:numId="7" w16cid:durableId="1469587606">
    <w:abstractNumId w:val="3"/>
  </w:num>
  <w:num w:numId="8" w16cid:durableId="1437866682">
    <w:abstractNumId w:val="2"/>
  </w:num>
  <w:num w:numId="9" w16cid:durableId="1091390081">
    <w:abstractNumId w:val="1"/>
  </w:num>
  <w:num w:numId="10" w16cid:durableId="1973778934">
    <w:abstractNumId w:val="0"/>
  </w:num>
  <w:num w:numId="11" w16cid:durableId="2107074901">
    <w:abstractNumId w:val="9"/>
  </w:num>
  <w:num w:numId="12" w16cid:durableId="291717616">
    <w:abstractNumId w:val="7"/>
  </w:num>
  <w:num w:numId="13" w16cid:durableId="620646364">
    <w:abstractNumId w:val="6"/>
  </w:num>
  <w:num w:numId="14" w16cid:durableId="110591335">
    <w:abstractNumId w:val="5"/>
  </w:num>
  <w:num w:numId="15" w16cid:durableId="760292705">
    <w:abstractNumId w:val="4"/>
  </w:num>
  <w:num w:numId="16" w16cid:durableId="1707099927">
    <w:abstractNumId w:val="10"/>
  </w:num>
  <w:num w:numId="17" w16cid:durableId="1667198650">
    <w:abstractNumId w:val="14"/>
  </w:num>
  <w:num w:numId="18" w16cid:durableId="1381829397">
    <w:abstractNumId w:val="11"/>
  </w:num>
  <w:num w:numId="19" w16cid:durableId="1271165103">
    <w:abstractNumId w:val="10"/>
  </w:num>
  <w:num w:numId="20" w16cid:durableId="1805805437">
    <w:abstractNumId w:val="16"/>
  </w:num>
  <w:num w:numId="21" w16cid:durableId="138619601">
    <w:abstractNumId w:val="15"/>
  </w:num>
  <w:num w:numId="22" w16cid:durableId="213472712">
    <w:abstractNumId w:val="12"/>
  </w:num>
  <w:num w:numId="23" w16cid:durableId="128599782">
    <w:abstractNumId w:val="12"/>
  </w:num>
  <w:num w:numId="24" w16cid:durableId="21709362">
    <w:abstractNumId w:val="13"/>
  </w:num>
  <w:num w:numId="25" w16cid:durableId="980187746">
    <w:abstractNumId w:val="9"/>
  </w:num>
  <w:num w:numId="26" w16cid:durableId="2036997317">
    <w:abstractNumId w:val="7"/>
  </w:num>
  <w:num w:numId="27" w16cid:durableId="557744098">
    <w:abstractNumId w:val="6"/>
  </w:num>
  <w:num w:numId="28" w16cid:durableId="890730223">
    <w:abstractNumId w:val="5"/>
  </w:num>
  <w:num w:numId="29" w16cid:durableId="1812863592">
    <w:abstractNumId w:val="4"/>
  </w:num>
  <w:num w:numId="30" w16cid:durableId="345447355">
    <w:abstractNumId w:val="8"/>
  </w:num>
  <w:num w:numId="31" w16cid:durableId="1748964628">
    <w:abstractNumId w:val="3"/>
  </w:num>
  <w:num w:numId="32" w16cid:durableId="1564026619">
    <w:abstractNumId w:val="2"/>
  </w:num>
  <w:num w:numId="33" w16cid:durableId="1490902009">
    <w:abstractNumId w:val="1"/>
  </w:num>
  <w:num w:numId="34" w16cid:durableId="95186544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6F"/>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5F22FD"/>
    <w:rsid w:val="00681A10"/>
    <w:rsid w:val="006A1ED8"/>
    <w:rsid w:val="006A4F89"/>
    <w:rsid w:val="006C2031"/>
    <w:rsid w:val="006D461A"/>
    <w:rsid w:val="006F35EE"/>
    <w:rsid w:val="007021FF"/>
    <w:rsid w:val="00712895"/>
    <w:rsid w:val="00757357"/>
    <w:rsid w:val="00817CD1"/>
    <w:rsid w:val="00825F8D"/>
    <w:rsid w:val="00834B71"/>
    <w:rsid w:val="008403B0"/>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85CB5"/>
    <w:rsid w:val="00BC18B2"/>
    <w:rsid w:val="00BD2A6F"/>
    <w:rsid w:val="00BD33EE"/>
    <w:rsid w:val="00C106D6"/>
    <w:rsid w:val="00C144ED"/>
    <w:rsid w:val="00C30959"/>
    <w:rsid w:val="00C40643"/>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C8220"/>
  <w15:docId w15:val="{47D7684F-1102-4A32-A8C0-14E75D7C3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Pages>
  <Words>263</Words>
  <Characters>1375</Characters>
  <Application>Microsoft Office Word</Application>
  <DocSecurity>0</DocSecurity>
  <Lines>38</Lines>
  <Paragraphs>23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A/HRC/RES/55/5</dc:title>
  <dc:subject/>
  <dc:creator>Angel ANGEL-MORENO-TORRES</dc:creator>
  <cp:keywords/>
  <cp:lastModifiedBy>Angel Moreno Torres</cp:lastModifiedBy>
  <cp:revision>3</cp:revision>
  <cp:lastPrinted>2024-04-24T09:29:00Z</cp:lastPrinted>
  <dcterms:created xsi:type="dcterms:W3CDTF">2024-04-24T09:29:00Z</dcterms:created>
  <dcterms:modified xsi:type="dcterms:W3CDTF">2024-04-24T09:29:00Z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