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428ª sesión</w:t>
      </w:r>
    </w:p>
    <w:p w:rsidR="00000000" w:rsidRDefault="00000000">
      <w:r>
        <w:t>Celebrada en la Sede, Nueva York, el miércoles 9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Schöpp-Schilling (Vicepresidenta)</w:t>
      </w:r>
    </w:p>
    <w:p w:rsidR="00000000" w:rsidRDefault="00000000">
      <w:pPr>
        <w:tabs>
          <w:tab w:val="right" w:pos="950"/>
          <w:tab w:val="left" w:pos="1267"/>
          <w:tab w:val="right" w:leader="dot" w:pos="8568"/>
        </w:tabs>
        <w:ind w:right="1267"/>
      </w:pPr>
      <w:r>
        <w:t xml:space="preserve"> </w:t>
      </w:r>
      <w:r>
        <w:rPr>
          <w:i/>
        </w:rPr>
        <w:t>más tarde</w:t>
      </w:r>
      <w:r>
        <w:t>:</w:t>
      </w:r>
      <w:r>
        <w:tab/>
        <w:t>Sra. González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pPr>
      <w:r>
        <w:tab/>
      </w:r>
      <w:r>
        <w:rPr>
          <w:i/>
        </w:rPr>
        <w:t>Informe inicial de Georgia</w:t>
      </w:r>
      <w:r>
        <w:t xml:space="preserve"> (</w:t>
      </w:r>
      <w:r>
        <w:rPr>
          <w:i/>
        </w:rPr>
        <w:t>continuación</w:t>
      </w:r>
      <w:r>
        <w:t>)</w:t>
      </w:r>
    </w:p>
    <w:p w:rsidR="00000000" w:rsidRDefault="00000000">
      <w:pPr>
        <w:pStyle w:val="SingleTxt"/>
        <w:suppressAutoHyphens/>
        <w:spacing w:after="0" w:line="240" w:lineRule="auto"/>
        <w:jc w:val="left"/>
        <w:rPr>
          <w:sz w:val="2"/>
        </w:rPr>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En ausencia de la Sra. González, la Sra. Schöpp-Schilling,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Georgia (continuación) </w:t>
      </w:r>
      <w:r>
        <w:rPr>
          <w:i w:val="0"/>
        </w:rPr>
        <w:t>(CEDAW/C/GEO/1 y Add.1)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A invitación de la Presidenta, la Sra. Beridze (Georgia) ocupa un asiento en la mesa del C</w:t>
      </w:r>
      <w:r>
        <w:t>o</w:t>
      </w:r>
      <w:r>
        <w:t>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Khan</w:t>
      </w:r>
      <w:r>
        <w:t xml:space="preserve"> señala con interés que las mujeres representan el 53% de la población activa en Georgia y elogia las amplias medidas de protección de la mate</w:t>
      </w:r>
      <w:r>
        <w:t>r</w:t>
      </w:r>
      <w:r>
        <w:t>nidad y otras prestaciones establecidas en virtud del Código Laboral. Haciendo referencia al párrafo 81, d</w:t>
      </w:r>
      <w:r>
        <w:t>i</w:t>
      </w:r>
      <w:r>
        <w:t>ce que en el informe no se examina realmente la di</w:t>
      </w:r>
      <w:r>
        <w:t>s</w:t>
      </w:r>
      <w:r>
        <w:t>criminación en el empleo, en particular en lo que re</w:t>
      </w:r>
      <w:r>
        <w:t>s</w:t>
      </w:r>
      <w:r>
        <w:t>pecta a la remuneración, ni se proporcionan datos suf</w:t>
      </w:r>
      <w:r>
        <w:t>i</w:t>
      </w:r>
      <w:r>
        <w:t>cientes al respecto, y pregunta sobre la incidencia de este problema en Georgia. Señala que las mujeres oc</w:t>
      </w:r>
      <w:r>
        <w:t>u</w:t>
      </w:r>
      <w:r>
        <w:t>pan el 52% de los puestos de baja remuneración (el 81,3% está empleado en el sector agrícola) y que, i</w:t>
      </w:r>
      <w:r>
        <w:t>n</w:t>
      </w:r>
      <w:r>
        <w:t>cluso las profesionales altamente calificadas, tienen menos oportunidades de empleo en el sector privado. Dice que teme que la notable presencia de las mujeres en el mercado laboral podría deberse a su disposición para aceptar salarios más bajos. Pregunta si el sector agrícola y el recién creado sector privado están c</w:t>
      </w:r>
      <w:r>
        <w:t>u</w:t>
      </w:r>
      <w:r>
        <w:t>biertos por la legislación lab</w:t>
      </w:r>
      <w:r>
        <w:t>o</w:t>
      </w:r>
      <w:r>
        <w:t>ral.</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Dice que sería interesante saber si la globaliz</w:t>
      </w:r>
      <w:r>
        <w:t>a</w:t>
      </w:r>
      <w:r>
        <w:t>ción económica ha creado oportunidades de empleo p</w:t>
      </w:r>
      <w:r>
        <w:t>a</w:t>
      </w:r>
      <w:r>
        <w:t>ra las mujeres de Georgia y si el Gobierno ha elaborado programas para reducir al mínimo las repercusiones negativas del ajuste estructural mediante un aumento de los servicios sociales, en particular de los servicios de guardería. Pregunta si ha habido una disminución del número de guarderías desde que desapareció el r</w:t>
      </w:r>
      <w:r>
        <w:t>é</w:t>
      </w:r>
      <w:r>
        <w:t>gimen soviético y si las guarderías del sector privado cobran precios asequibles. Pregunta sobre la legisl</w:t>
      </w:r>
      <w:r>
        <w:t>a</w:t>
      </w:r>
      <w:r>
        <w:t>ción relativa al acoso sexual en el lugar de trabajo y sobre la existencia de programas de readiestramiento, inspirados en los de algunos otros países en transición de Europa oriental, para preparar a empleadas del se</w:t>
      </w:r>
      <w:r>
        <w:t>c</w:t>
      </w:r>
      <w:r>
        <w:t>tor público para su ingreso en el sector privado.</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w w:val="102"/>
        </w:rPr>
      </w:pPr>
      <w:r>
        <w:rPr>
          <w:b/>
          <w:w w:val="102"/>
        </w:rPr>
        <w:t>La Sra. Abaka</w:t>
      </w:r>
      <w:r>
        <w:rPr>
          <w:w w:val="102"/>
        </w:rPr>
        <w:t>, haciendo referencia al párrafo 74, dice estar preocupada por las limitaciones impuestas al trabajo nocturno, las horas extraordinarias y los viajes por motivo de trabajo en el caso de las mujeres, que p</w:t>
      </w:r>
      <w:r>
        <w:rPr>
          <w:w w:val="102"/>
        </w:rPr>
        <w:t>a</w:t>
      </w:r>
      <w:r>
        <w:rPr>
          <w:w w:val="102"/>
        </w:rPr>
        <w:t>recen contravenir tanto la Convención sobre la elimin</w:t>
      </w:r>
      <w:r>
        <w:rPr>
          <w:w w:val="102"/>
        </w:rPr>
        <w:t>a</w:t>
      </w:r>
      <w:r>
        <w:rPr>
          <w:w w:val="102"/>
        </w:rPr>
        <w:t>ción de todas las formas de discriminación contra la mujer como los convenios de la Organización Intern</w:t>
      </w:r>
      <w:r>
        <w:rPr>
          <w:w w:val="102"/>
        </w:rPr>
        <w:t>a</w:t>
      </w:r>
      <w:r>
        <w:rPr>
          <w:w w:val="102"/>
        </w:rPr>
        <w:t>cional del Trabajo. Además, señala que la representante de Georgia debería asegurar al Comité que la prohib</w:t>
      </w:r>
      <w:r>
        <w:rPr>
          <w:w w:val="102"/>
        </w:rPr>
        <w:t>i</w:t>
      </w:r>
      <w:r>
        <w:rPr>
          <w:w w:val="102"/>
        </w:rPr>
        <w:t>ción de la utilización de mano de obra femenina en condiciones peligrosas o perjudiciales y en trabajos demasiado pesados (párr. 75) no se está utilizando c</w:t>
      </w:r>
      <w:r>
        <w:rPr>
          <w:w w:val="102"/>
        </w:rPr>
        <w:t>o</w:t>
      </w:r>
      <w:r>
        <w:rPr>
          <w:w w:val="102"/>
        </w:rPr>
        <w:t>mo pretexto para negar el empleo a las mujeres.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Shalev</w:t>
      </w:r>
      <w:r>
        <w:t xml:space="preserve"> felicita a Georgia por la aprob</w:t>
      </w:r>
      <w:r>
        <w:t>a</w:t>
      </w:r>
      <w:r>
        <w:t>ción de la Ley de los derechos del paciente y pide una explicación de su contenido. Sería interesante saber si los principios consagrados en la Ley concuerdan con la recomendación general del Comité en relación con el artículo 12, que, entre otras cosas, defiende el derecho a adoptar decisiones con conocimiento de causa, el d</w:t>
      </w:r>
      <w:r>
        <w:t>e</w:t>
      </w:r>
      <w:r>
        <w:t>recho a la confidencialidad y el derecho a la intimidad. Expresa preocupación por el aumento de las tasas de mortalidad materna e infantil (párrs. 102 y 108), sobre todo teniendo en cuenta que en 1997 se aprobó una Ley del seguro médico, y pregunta si la transición a un si</w:t>
      </w:r>
      <w:r>
        <w:t>s</w:t>
      </w:r>
      <w:r>
        <w:t>tema de pago de los servicios de hospital, como cons</w:t>
      </w:r>
      <w:r>
        <w:t>e</w:t>
      </w:r>
      <w:r>
        <w:t>cuencia de la privatización, es la causa del problema. La representante de Georgia debería describir los serv</w:t>
      </w:r>
      <w:r>
        <w:t>i</w:t>
      </w:r>
      <w:r>
        <w:t>cios comunitarios de atención prenatal a los que tienen acceso las mujeres, incluidos los que abarca la Ley del seguro médico. A este respecto, señala a la atención del Comité el párrafo 2 del artículo 12 de la Convención, en el que se menciona la necesidad de proporcionar servicios gratuitos cuando fuere neces</w:t>
      </w:r>
      <w:r>
        <w:t>a</w:t>
      </w:r>
      <w:r>
        <w:t>rio.</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Haciendo referencia a la cuestión del aborto, el</w:t>
      </w:r>
      <w:r>
        <w:t>o</w:t>
      </w:r>
      <w:r>
        <w:t>gia a Georgia por su colaboración con el Fondo de P</w:t>
      </w:r>
      <w:r>
        <w:t>o</w:t>
      </w:r>
      <w:r>
        <w:t>blación de las Naciones Unidas para la promoción del uso de anticonceptivos modernos y subraya la neces</w:t>
      </w:r>
      <w:r>
        <w:t>i</w:t>
      </w:r>
      <w:r>
        <w:t>dad de educar a los jóvenes sobre las alternativas al aborto. Pide aclaraciones sobre la legislación relativa al aborto en Georgia y más detalles sobre los casos de aborto ilícito mencionados en el informe (párr. 101). En relación con el párrafo 44, advierte que centrarse en las prostitutas como método para contener la propag</w:t>
      </w:r>
      <w:r>
        <w:t>a</w:t>
      </w:r>
      <w:r>
        <w:t>ción de las enfermedades de transmisión sexual resulta ineficaz. El Comité ha recibido información sobre la alta incidencia de enfermedades de transmisión sexual entre los jóvenes georgianos de 19 a 25 años de edad, incluidos los heterosexuales. El Estado parte debería describir los programas existentes en materia de salud sexual dirigidos a las personas que pertenecen a esa categoría de edad.</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Pregunta si las autoridades de Georgia tienen pr</w:t>
      </w:r>
      <w:r>
        <w:t>e</w:t>
      </w:r>
      <w:r>
        <w:t>visto imponer a los profesionales de la salud la oblig</w:t>
      </w:r>
      <w:r>
        <w:t>a</w:t>
      </w:r>
      <w:r>
        <w:t>ción de informar a la policía sobre los casos de viole</w:t>
      </w:r>
      <w:r>
        <w:t>n</w:t>
      </w:r>
      <w:r>
        <w:t>cia contra la mujer. Por último, agradecería que se le proporcionarán más detalles sobre el programa de pr</w:t>
      </w:r>
      <w:r>
        <w:t>o</w:t>
      </w:r>
      <w:r>
        <w:t>moción de la salud de la m</w:t>
      </w:r>
      <w:r>
        <w:t>u</w:t>
      </w:r>
      <w:r>
        <w:t>jer vigente hasta 2010.</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spacing w:val="2"/>
          <w:w w:val="102"/>
        </w:rPr>
      </w:pPr>
      <w:r>
        <w:rPr>
          <w:spacing w:val="2"/>
          <w:w w:val="102"/>
        </w:rPr>
        <w:t>La Sra. González, Presidenta, ocupa la Preside</w:t>
      </w:r>
      <w:r>
        <w:rPr>
          <w:spacing w:val="2"/>
          <w:w w:val="102"/>
        </w:rPr>
        <w:t>n</w:t>
      </w:r>
      <w:r>
        <w:rPr>
          <w:spacing w:val="2"/>
          <w:w w:val="102"/>
        </w:rPr>
        <w:t>cia.</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Abaka</w:t>
      </w:r>
      <w:r>
        <w:t xml:space="preserve"> pregunta sobre el consumo de n</w:t>
      </w:r>
      <w:r>
        <w:t>i</w:t>
      </w:r>
      <w:r>
        <w:t>cotina entre las mujeres, en particular dada la difícil situación económica que atraviesa Georgia, y sobre el vínculo entre el hábito de fumar y el alto índice de mortalidad maternoinfantil. Agradecería que se le pr</w:t>
      </w:r>
      <w:r>
        <w:t>o</w:t>
      </w:r>
      <w:r>
        <w:t>porcionara información adicional sobre la política del Estado parte en lo que respecta al tabaco y, en partic</w:t>
      </w:r>
      <w:r>
        <w:t>u</w:t>
      </w:r>
      <w:r>
        <w:t>lar, sobre si se han puesto en marcha programas para combatir el uso indebido del tabaco por las mujeres y los jóv</w:t>
      </w:r>
      <w:r>
        <w:t>e</w:t>
      </w:r>
      <w:r>
        <w:t>nes.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Schöpp-Schilling</w:t>
      </w:r>
      <w:r>
        <w:t xml:space="preserve"> dice que, al leer el i</w:t>
      </w:r>
      <w:r>
        <w:t>n</w:t>
      </w:r>
      <w:r>
        <w:t>forme del Estado parte al Comité de Derechos Econ</w:t>
      </w:r>
      <w:r>
        <w:t>ó</w:t>
      </w:r>
      <w:r>
        <w:t>micos, Sociales y Culturales, ha sabido que como co</w:t>
      </w:r>
      <w:r>
        <w:t>n</w:t>
      </w:r>
      <w:r>
        <w:t>secuencia de la privatización de los servicios de salud se ha producido una notable reducción del número de hospitales en Georgia. El Estado parte debería explicar su decisión de abandonar su eficaz sistema anterior, y las repercusiones de la privatización sobre la salud de las mujeres, incluso sobre su salud reproductiva. La r</w:t>
      </w:r>
      <w:r>
        <w:t>e</w:t>
      </w:r>
      <w:r>
        <w:t>ducción de los servicios médicos resulta particula</w:t>
      </w:r>
      <w:r>
        <w:t>r</w:t>
      </w:r>
      <w:r>
        <w:t>mente perturbadora en un momento en que la crisis de la producción agrícola está afectando al abastecimiento de al</w:t>
      </w:r>
      <w:r>
        <w:t>i</w:t>
      </w:r>
      <w:r>
        <w:t>mentos.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s>
        <w:rPr>
          <w:w w:val="104"/>
        </w:rPr>
      </w:pPr>
      <w:r>
        <w:rPr>
          <w:b/>
          <w:w w:val="104"/>
        </w:rPr>
        <w:t>La Sra. Feng Cui</w:t>
      </w:r>
      <w:r>
        <w:rPr>
          <w:w w:val="104"/>
        </w:rPr>
        <w:t>, señala que las mujeres rurales comprenden una cuarta parte de la población del país y que el 81,3% de las mujeres georgianas trabajan en el sector agrícola. Pide más detalles sobre la situación de las mujeres rurales, y sobre las repercusiones de la reforma agraria; la existencia de facto, si no de jure, de discriminación; el porcentaje de mujeres rurales pobres; y su situación en lo que respecta a la salud y la educación. Pregunta si el plan de acción destinado a mejorar la situación de la mujer en el período 1998</w:t>
      </w:r>
      <w:r>
        <w:rPr>
          <w:w w:val="104"/>
        </w:rPr>
        <w:noBreakHyphen/>
        <w:t>2000 (CEDAW/C/GEO/1/Add.1, párr. 6) conti</w:t>
      </w:r>
      <w:r>
        <w:rPr>
          <w:w w:val="104"/>
        </w:rPr>
        <w:t>e</w:t>
      </w:r>
      <w:r>
        <w:rPr>
          <w:w w:val="104"/>
        </w:rPr>
        <w:t>ne objetivos específicos relacionados con las mujeres rurales y expresa la esperanza de que en el próximo i</w:t>
      </w:r>
      <w:r>
        <w:rPr>
          <w:w w:val="104"/>
        </w:rPr>
        <w:t>n</w:t>
      </w:r>
      <w:r>
        <w:rPr>
          <w:w w:val="104"/>
        </w:rPr>
        <w:t>forme del Estado parte se proporcionen datos más e</w:t>
      </w:r>
      <w:r>
        <w:rPr>
          <w:w w:val="104"/>
        </w:rPr>
        <w:t>s</w:t>
      </w:r>
      <w:r>
        <w:rPr>
          <w:w w:val="104"/>
        </w:rPr>
        <w:t>tadísticos sobre ellas.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w w:val="104"/>
        </w:rPr>
      </w:pPr>
      <w:r>
        <w:rPr>
          <w:b/>
          <w:w w:val="104"/>
        </w:rPr>
        <w:t>La Sra. Ouedraogo</w:t>
      </w:r>
      <w:r>
        <w:rPr>
          <w:w w:val="104"/>
        </w:rPr>
        <w:t xml:space="preserve"> señala que faltan detalles o estadísticas para apoyar la afirmación de que no existe discriminación contra las mujeres rurales (párr. 121). En el informe se debía haber proporcionado inform</w:t>
      </w:r>
      <w:r>
        <w:rPr>
          <w:w w:val="104"/>
        </w:rPr>
        <w:t>a</w:t>
      </w:r>
      <w:r>
        <w:rPr>
          <w:w w:val="104"/>
        </w:rPr>
        <w:t>ción sobre el acceso de las mujeres rurales a los serv</w:t>
      </w:r>
      <w:r>
        <w:rPr>
          <w:w w:val="104"/>
        </w:rPr>
        <w:t>i</w:t>
      </w:r>
      <w:r>
        <w:rPr>
          <w:w w:val="104"/>
        </w:rPr>
        <w:t>cios de salud y planificación de la familia y sobre las tasas de alfabetismo. Cabe esperar que en el segundo informe periódico del Estado parte se examinen todos los aspectos relacionados con la situación de las muj</w:t>
      </w:r>
      <w:r>
        <w:rPr>
          <w:w w:val="104"/>
        </w:rPr>
        <w:t>e</w:t>
      </w:r>
      <w:r>
        <w:rPr>
          <w:w w:val="104"/>
        </w:rPr>
        <w:t>res rurales, entre ellos la propiedad de la tierra, y el acceso a la capacitación profesional y a la inform</w:t>
      </w:r>
      <w:r>
        <w:rPr>
          <w:w w:val="104"/>
        </w:rPr>
        <w:t>a</w:t>
      </w:r>
      <w:r>
        <w:rPr>
          <w:w w:val="104"/>
        </w:rPr>
        <w:t>ción. También se debe indicar si la Convención se ha difundido entre las mujeres rurales y si éstas pueden ejercer los mismos derechos que las mujeres urbanas.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Goonesekere</w:t>
      </w:r>
      <w:r>
        <w:t>, señalando las frecuentes referencias en el informe a la existencia de estereotipos y discriminación por motivo de género dentro de la f</w:t>
      </w:r>
      <w:r>
        <w:t>a</w:t>
      </w:r>
      <w:r>
        <w:t>milia, pregunta qué fuerzas hicieron posible la aprob</w:t>
      </w:r>
      <w:r>
        <w:t>a</w:t>
      </w:r>
      <w:r>
        <w:t>ción del Código de la familia de 1997, en el que se e</w:t>
      </w:r>
      <w:r>
        <w:t>s</w:t>
      </w:r>
      <w:r>
        <w:t>tablece la absoluta igualdad entre hombres y mujeres en las relaciones familiares. La oradora dice que dese</w:t>
      </w:r>
      <w:r>
        <w:t>a</w:t>
      </w:r>
      <w:r>
        <w:t>ría recibir información sobre las medidas de aplicación del Código de la familia y de difusión de éste entre las mujeres. Dado el alto porcentaje de magistradas en Georgia, sería interesante saber si se presta atención especial al Código de la familia ocupa un lugar dest</w:t>
      </w:r>
      <w:r>
        <w:t>a</w:t>
      </w:r>
      <w:r>
        <w:t>cado en los programas de capacitación judicial. Agr</w:t>
      </w:r>
      <w:r>
        <w:t>a</w:t>
      </w:r>
      <w:r>
        <w:t>decería que se le aclararan los conceptos de “patrim</w:t>
      </w:r>
      <w:r>
        <w:t>o</w:t>
      </w:r>
      <w:r>
        <w:t>niales” y “no patrimoniales” mencionados en el párrafo 125. Por último, pregunta cómo se concilian en la práctica los conceptos de sostén de la familia mascul</w:t>
      </w:r>
      <w:r>
        <w:t>i</w:t>
      </w:r>
      <w:r>
        <w:t>no e igualdad de responsabilidad por la manutención de los h</w:t>
      </w:r>
      <w:r>
        <w:t>i</w:t>
      </w:r>
      <w:r>
        <w:t>jos.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Aouij</w:t>
      </w:r>
      <w:r>
        <w:t xml:space="preserve"> pide información adicional sobre el número y la situación de los matrimonios religiosos y sobre las leyes matrimoniales aplicables a la comun</w:t>
      </w:r>
      <w:r>
        <w:t>i</w:t>
      </w:r>
      <w:r>
        <w:t>dad musulmana. Elogia la aprobación de un régimen de bienes comunes. Con respecto al divorcio, pregunta si éste lo concede un magistrado y cómo se resuelve el asunto de la custodia de los hijos. Expresa preocup</w:t>
      </w:r>
      <w:r>
        <w:t>a</w:t>
      </w:r>
      <w:r>
        <w:t>ción acerca de la protección de los intereses del niño en los casos en que las decisiones sobre la custodia las toman los magistrados.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Beridze</w:t>
      </w:r>
      <w:r>
        <w:t xml:space="preserve"> (Georgia) agradece a los mie</w:t>
      </w:r>
      <w:r>
        <w:t>m</w:t>
      </w:r>
      <w:r>
        <w:t>bros del Comité por sus preguntas interesantes y su</w:t>
      </w:r>
      <w:r>
        <w:t>s</w:t>
      </w:r>
      <w:r>
        <w:t>tantivas, a las que su delegación contestará durante la sesión de respuestas prevista. Las cuestiones plante</w:t>
      </w:r>
      <w:r>
        <w:t>a</w:t>
      </w:r>
      <w:r>
        <w:t>das durante el actual período de sesiones se tendrán en cuenta a la hora de preparar el segundo informe peri</w:t>
      </w:r>
      <w:r>
        <w:t>ó</w:t>
      </w:r>
      <w:r>
        <w:t>dico del país.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15.50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NO&gt;&gt;N0155432S&lt;&lt;ODS JOB NO&gt;&gt;</w:t>
      </w:r>
    </w:p>
    <w:p w:rsidR="00000000" w:rsidRDefault="00000000">
      <w:pPr>
        <w:pStyle w:val="CommentText"/>
      </w:pPr>
      <w:r>
        <w:t>&lt;&lt;ODS DOC SYMBOL1&gt;&gt;CEDAW/C/SR.428&lt;&lt;ODS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0155432s.doc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0155432s.doc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01-55432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*0155432*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noviembre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940E2"/>
    <w:multiLevelType w:val="singleLevel"/>
    <w:tmpl w:val="C69844D2"/>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1/2003 19:46:03"/>
    <w:docVar w:name="DocCategory" w:val="SROthers"/>
    <w:docVar w:name="DocType" w:val="Final"/>
    <w:docVar w:name="JobNo" w:val="0155432S"/>
    <w:docVar w:name="OandT" w:val="M Guerrero"/>
    <w:docVar w:name="Symbol1" w:val="CEDAW/C/SR.42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1610</Words>
  <Characters>8373</Characters>
  <Application>Microsoft Office Word</Application>
  <DocSecurity>4</DocSecurity>
  <Lines>226</Lines>
  <Paragraphs>31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11271</CharactersWithSpaces>
  <SharedDoc>false</SharedDoc>
  <HLinks>
    <vt:vector size="6" baseType="variant">
      <vt:variant>
        <vt:i4>4522087</vt:i4>
      </vt:variant>
      <vt:variant>
        <vt:i4>11594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Guerrero, Miryam</dc:creator>
  <cp:keywords/>
  <dc:description/>
  <cp:lastModifiedBy>Guerrero, Miryam</cp:lastModifiedBy>
  <cp:revision>22</cp:revision>
  <cp:lastPrinted>2003-11-05T18:01:00Z</cp:lastPrinted>
  <dcterms:created xsi:type="dcterms:W3CDTF">2003-11-05T17:46:00Z</dcterms:created>
  <dcterms:modified xsi:type="dcterms:W3CDTF">2003-11-05T18:04:00Z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0155432</vt:lpwstr>
  </property>
  <property fmtid="{D5CDD505-2E9C-101B-9397-08002B2CF9AE}" pid="3" name="Symbol1">
    <vt:lpwstr>CEDAW/C/SR.428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4</vt:lpwstr>
  </property>
  <property fmtid="{D5CDD505-2E9C-101B-9397-08002B2CF9AE}" pid="8" name="Operator">
    <vt:lpwstr>Rachel/M Guerrero</vt:lpwstr>
  </property>
</Properties>
</file>