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F6C783" w14:textId="77777777" w:rsidR="00DC27A5" w:rsidRPr="00DC27A5" w:rsidRDefault="00DC27A5" w:rsidP="00DC27A5">
      <w:pPr>
        <w:spacing w:before="120"/>
        <w:rPr>
          <w:b/>
          <w:sz w:val="24"/>
          <w:szCs w:val="24"/>
        </w:rPr>
      </w:pPr>
      <w:r w:rsidRPr="00DC27A5">
        <w:rPr>
          <w:b/>
          <w:bCs/>
          <w:sz w:val="24"/>
          <w:szCs w:val="24"/>
        </w:rPr>
        <w:t>Комитет против пыток</w:t>
      </w:r>
    </w:p>
    <w:p w14:paraId="0050F0EB" w14:textId="77777777" w:rsidR="00DC27A5" w:rsidRPr="007F3DC4" w:rsidRDefault="00DC27A5" w:rsidP="00DC27A5">
      <w:pPr>
        <w:rPr>
          <w:b/>
          <w:bCs/>
        </w:rPr>
      </w:pPr>
      <w:r>
        <w:rPr>
          <w:b/>
          <w:bCs/>
        </w:rPr>
        <w:t>Шестьдесят девятая сессия</w:t>
      </w:r>
    </w:p>
    <w:p w14:paraId="3C371275" w14:textId="77777777" w:rsidR="00DC27A5" w:rsidRPr="007F3DC4" w:rsidRDefault="00DC27A5" w:rsidP="00DC27A5">
      <w:r>
        <w:t xml:space="preserve">20 апреля </w:t>
      </w:r>
      <w:r w:rsidRPr="00DD0E72">
        <w:t>–</w:t>
      </w:r>
      <w:r>
        <w:t xml:space="preserve"> 15 мая 2020 года</w:t>
      </w:r>
    </w:p>
    <w:p w14:paraId="27CBD6FE" w14:textId="77777777" w:rsidR="00DC27A5" w:rsidRPr="007F3DC4" w:rsidRDefault="00DC27A5" w:rsidP="00DC27A5">
      <w:r>
        <w:t>Пункт 2 предварительной повестки дня</w:t>
      </w:r>
    </w:p>
    <w:p w14:paraId="520390E2" w14:textId="77777777" w:rsidR="00DC27A5" w:rsidRPr="007F3DC4" w:rsidRDefault="00DC27A5" w:rsidP="00DC27A5">
      <w:pPr>
        <w:rPr>
          <w:b/>
          <w:bCs/>
        </w:rPr>
      </w:pPr>
      <w:r>
        <w:rPr>
          <w:b/>
          <w:bCs/>
        </w:rPr>
        <w:t>Организационные и другие вопросы</w:t>
      </w:r>
    </w:p>
    <w:p w14:paraId="6DDA1A4C" w14:textId="77777777" w:rsidR="00DC27A5" w:rsidRDefault="00DC27A5" w:rsidP="00DC27A5">
      <w:pPr>
        <w:pStyle w:val="HChG"/>
        <w:rPr>
          <w:bCs/>
        </w:rPr>
      </w:pPr>
      <w:r>
        <w:tab/>
      </w:r>
      <w:r>
        <w:tab/>
      </w:r>
      <w:r>
        <w:rPr>
          <w:bCs/>
        </w:rPr>
        <w:t>Тринадцатый ежегодный доклад Подкомитета по</w:t>
      </w:r>
      <w:r>
        <w:rPr>
          <w:bCs/>
          <w:lang w:val="en-US"/>
        </w:rPr>
        <w:t> </w:t>
      </w:r>
      <w:r>
        <w:rPr>
          <w:bCs/>
        </w:rPr>
        <w:t>предупреждению пыток и других жестоких, бесчеловечных или унижающих достоинство видов обращения и наказания</w:t>
      </w:r>
      <w:bookmarkStart w:id="0" w:name="_Toc534899831"/>
      <w:bookmarkEnd w:id="0"/>
    </w:p>
    <w:tbl>
      <w:tblPr>
        <w:tblStyle w:val="TableGrid"/>
        <w:tblW w:w="0" w:type="auto"/>
        <w:jc w:val="center"/>
        <w:tblLook w:val="05E0" w:firstRow="1" w:lastRow="1" w:firstColumn="1" w:lastColumn="1" w:noHBand="0" w:noVBand="1"/>
      </w:tblPr>
      <w:tblGrid>
        <w:gridCol w:w="9628"/>
      </w:tblGrid>
      <w:tr w:rsidR="00DD0E72" w:rsidRPr="00075685" w14:paraId="39140D62" w14:textId="77777777" w:rsidTr="00091B66">
        <w:trPr>
          <w:jc w:val="center"/>
        </w:trPr>
        <w:tc>
          <w:tcPr>
            <w:tcW w:w="9637" w:type="dxa"/>
            <w:tcBorders>
              <w:bottom w:val="nil"/>
            </w:tcBorders>
          </w:tcPr>
          <w:p w14:paraId="632FBA89" w14:textId="77777777" w:rsidR="00DD0E72" w:rsidRPr="00075685" w:rsidRDefault="00DD0E72" w:rsidP="00091B66">
            <w:pPr>
              <w:tabs>
                <w:tab w:val="left" w:pos="255"/>
              </w:tabs>
              <w:spacing w:before="240" w:after="120"/>
              <w:rPr>
                <w:rFonts w:cs="Times New Roman"/>
                <w:sz w:val="24"/>
              </w:rPr>
            </w:pPr>
            <w:r w:rsidRPr="00075685">
              <w:rPr>
                <w:rFonts w:cs="Times New Roman"/>
              </w:rPr>
              <w:tab/>
            </w:r>
            <w:r w:rsidRPr="00075685">
              <w:rPr>
                <w:rFonts w:cs="Times New Roman"/>
                <w:i/>
                <w:sz w:val="24"/>
              </w:rPr>
              <w:t>Резюме</w:t>
            </w:r>
          </w:p>
        </w:tc>
      </w:tr>
      <w:tr w:rsidR="00DD0E72" w:rsidRPr="00075685" w14:paraId="5D5B48BF" w14:textId="77777777" w:rsidTr="00091B66">
        <w:trPr>
          <w:jc w:val="center"/>
        </w:trPr>
        <w:tc>
          <w:tcPr>
            <w:tcW w:w="9637" w:type="dxa"/>
            <w:tcBorders>
              <w:top w:val="nil"/>
              <w:bottom w:val="nil"/>
            </w:tcBorders>
            <w:shd w:val="clear" w:color="auto" w:fill="auto"/>
          </w:tcPr>
          <w:p w14:paraId="51524CDB" w14:textId="77777777" w:rsidR="00DD0E72" w:rsidRPr="00075685" w:rsidRDefault="00DD0E72" w:rsidP="00091B66">
            <w:pPr>
              <w:pStyle w:val="SingleTxtG"/>
              <w:ind w:firstLine="567"/>
            </w:pPr>
            <w:r w:rsidRPr="00075685">
              <w:tab/>
              <w:t>В настоящем докладе Подкомитет по предупреждению пыток и других жестоких, бесчеловечных или унижающих достоинство видов обращения и наказания описывает свою работу, проделанную в 2019 году.</w:t>
            </w:r>
          </w:p>
        </w:tc>
      </w:tr>
      <w:tr w:rsidR="00DD0E72" w:rsidRPr="00075685" w14:paraId="0A435BFF" w14:textId="77777777" w:rsidTr="00091B66">
        <w:trPr>
          <w:jc w:val="center"/>
        </w:trPr>
        <w:tc>
          <w:tcPr>
            <w:tcW w:w="9637" w:type="dxa"/>
            <w:tcBorders>
              <w:top w:val="nil"/>
              <w:bottom w:val="nil"/>
            </w:tcBorders>
            <w:shd w:val="clear" w:color="auto" w:fill="auto"/>
          </w:tcPr>
          <w:p w14:paraId="1202A367" w14:textId="77777777" w:rsidR="00DD0E72" w:rsidRPr="00075685" w:rsidRDefault="00DD0E72" w:rsidP="00091B66">
            <w:pPr>
              <w:pStyle w:val="SingleTxtG"/>
              <w:ind w:firstLine="567"/>
            </w:pPr>
            <w:r w:rsidRPr="00075685">
              <w:tab/>
              <w:t>После краткого введения Подкомитет приводит новую информацию о функционировании системы Факультативного протокола к Конвенции против пыток и других жестоких, бесчеловечных или унижающих достоинство видов обращения и наказания, включая сведения о посещениях, увеличении числа государств-участников и назначении новых национальных превентивных механизмов, а также сообщает о деятельности Специального фонда, учрежденного в соответствии с Факультативным протоколом.</w:t>
            </w:r>
          </w:p>
        </w:tc>
      </w:tr>
      <w:tr w:rsidR="00DD0E72" w:rsidRPr="00075685" w14:paraId="38A2C79D" w14:textId="77777777" w:rsidTr="00091B66">
        <w:trPr>
          <w:jc w:val="center"/>
        </w:trPr>
        <w:tc>
          <w:tcPr>
            <w:tcW w:w="9637" w:type="dxa"/>
            <w:tcBorders>
              <w:top w:val="nil"/>
              <w:bottom w:val="nil"/>
            </w:tcBorders>
            <w:shd w:val="clear" w:color="auto" w:fill="auto"/>
          </w:tcPr>
          <w:p w14:paraId="552CF43E" w14:textId="77777777" w:rsidR="00DD0E72" w:rsidRPr="00075685" w:rsidRDefault="00DD0E72" w:rsidP="00091B66">
            <w:pPr>
              <w:pStyle w:val="SingleTxtG"/>
              <w:ind w:firstLine="567"/>
            </w:pPr>
            <w:r w:rsidRPr="00075685">
              <w:t>В разделе III Подкомитет представляет конкретную информацию об изменениях в своих методах работы и замечания по тем или иным вопросам, с которыми он сталкивался в своей деятельности в течение отчетного года.</w:t>
            </w:r>
          </w:p>
        </w:tc>
      </w:tr>
      <w:tr w:rsidR="00DD0E72" w:rsidRPr="00075685" w14:paraId="7B3363FC" w14:textId="77777777" w:rsidTr="00091B66">
        <w:trPr>
          <w:jc w:val="center"/>
        </w:trPr>
        <w:tc>
          <w:tcPr>
            <w:tcW w:w="9637" w:type="dxa"/>
            <w:tcBorders>
              <w:top w:val="nil"/>
              <w:bottom w:val="nil"/>
            </w:tcBorders>
            <w:shd w:val="clear" w:color="auto" w:fill="auto"/>
          </w:tcPr>
          <w:p w14:paraId="57D0AAC0" w14:textId="77777777" w:rsidR="00DD0E72" w:rsidRPr="00075685" w:rsidRDefault="00DD0E72" w:rsidP="00091B66">
            <w:pPr>
              <w:pStyle w:val="SingleTxtG"/>
              <w:ind w:firstLine="567"/>
            </w:pPr>
            <w:r w:rsidRPr="00075685">
              <w:t>В заключительных разделах IV и V Подкомитет приводит анализ будущих вызовов и описание своего плана работы.</w:t>
            </w:r>
          </w:p>
        </w:tc>
      </w:tr>
      <w:tr w:rsidR="00DD0E72" w:rsidRPr="00075685" w14:paraId="0BAEE416" w14:textId="77777777" w:rsidTr="00091B66">
        <w:trPr>
          <w:jc w:val="center"/>
        </w:trPr>
        <w:tc>
          <w:tcPr>
            <w:tcW w:w="9637" w:type="dxa"/>
            <w:tcBorders>
              <w:top w:val="nil"/>
              <w:bottom w:val="nil"/>
            </w:tcBorders>
            <w:shd w:val="clear" w:color="auto" w:fill="auto"/>
          </w:tcPr>
          <w:p w14:paraId="7D8FAB63" w14:textId="77777777" w:rsidR="00DD0E72" w:rsidRPr="00075685" w:rsidRDefault="00DD0E72" w:rsidP="00091B66">
            <w:pPr>
              <w:pStyle w:val="SingleTxtG"/>
              <w:ind w:firstLine="567"/>
            </w:pPr>
            <w:r w:rsidRPr="00075685">
              <w:t>В приложении к настоящему докладу содержится заявление по вопросу об обзоре 2020 года, принятое Подкомитетом 22 февраля 2019 года на его тридцать седьмой сессии.</w:t>
            </w:r>
          </w:p>
        </w:tc>
      </w:tr>
      <w:tr w:rsidR="00DD0E72" w:rsidRPr="00075685" w14:paraId="38955B70" w14:textId="77777777" w:rsidTr="00091B66">
        <w:trPr>
          <w:jc w:val="center"/>
        </w:trPr>
        <w:tc>
          <w:tcPr>
            <w:tcW w:w="9637" w:type="dxa"/>
            <w:tcBorders>
              <w:top w:val="nil"/>
            </w:tcBorders>
          </w:tcPr>
          <w:p w14:paraId="4F70E1DB" w14:textId="77777777" w:rsidR="00DD0E72" w:rsidRPr="00075685" w:rsidRDefault="00DD0E72" w:rsidP="00091B66">
            <w:pPr>
              <w:rPr>
                <w:rFonts w:cs="Times New Roman"/>
              </w:rPr>
            </w:pPr>
          </w:p>
        </w:tc>
      </w:tr>
    </w:tbl>
    <w:p w14:paraId="54E19919" w14:textId="77777777" w:rsidR="00D177BB" w:rsidRDefault="00D177BB"/>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66942C7D" w14:textId="77777777" w:rsidTr="00F90E40">
        <w:trPr>
          <w:trHeight w:hRule="exact" w:val="851"/>
        </w:trPr>
        <w:tc>
          <w:tcPr>
            <w:tcW w:w="142" w:type="dxa"/>
            <w:tcBorders>
              <w:bottom w:val="single" w:sz="4" w:space="0" w:color="auto"/>
            </w:tcBorders>
          </w:tcPr>
          <w:p w14:paraId="6DBB43DF" w14:textId="77777777" w:rsidR="002D5AAC" w:rsidRDefault="002D5AAC" w:rsidP="001379CB">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4427C284" w14:textId="77777777" w:rsidR="002D5AAC" w:rsidRPr="00BD33EE" w:rsidRDefault="00DF71B9" w:rsidP="00F90E40">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445E0936" w14:textId="77777777" w:rsidR="002D5AAC" w:rsidRDefault="001379CB" w:rsidP="001379CB">
            <w:pPr>
              <w:jc w:val="right"/>
            </w:pPr>
            <w:r w:rsidRPr="001379CB">
              <w:rPr>
                <w:sz w:val="40"/>
              </w:rPr>
              <w:t>CAT</w:t>
            </w:r>
            <w:r>
              <w:t>/C/69/3</w:t>
            </w:r>
          </w:p>
        </w:tc>
      </w:tr>
      <w:tr w:rsidR="002D5AAC" w:rsidRPr="00D01E71" w14:paraId="7C8E396E" w14:textId="77777777" w:rsidTr="00F90E40">
        <w:trPr>
          <w:trHeight w:hRule="exact" w:val="2835"/>
        </w:trPr>
        <w:tc>
          <w:tcPr>
            <w:tcW w:w="1280" w:type="dxa"/>
            <w:gridSpan w:val="2"/>
            <w:tcBorders>
              <w:top w:val="single" w:sz="4" w:space="0" w:color="auto"/>
              <w:bottom w:val="single" w:sz="12" w:space="0" w:color="auto"/>
            </w:tcBorders>
          </w:tcPr>
          <w:p w14:paraId="5D7BA960" w14:textId="77777777" w:rsidR="002D5AAC" w:rsidRDefault="002E5067" w:rsidP="00F90E40">
            <w:pPr>
              <w:spacing w:before="120"/>
              <w:jc w:val="center"/>
            </w:pPr>
            <w:r>
              <w:rPr>
                <w:noProof/>
                <w:lang w:val="fr-CH" w:eastAsia="fr-CH"/>
              </w:rPr>
              <w:drawing>
                <wp:inline distT="0" distB="0" distL="0" distR="0" wp14:anchorId="65B2EFE8" wp14:editId="1CAA78F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C1DAC47" w14:textId="77777777" w:rsidR="002D5AAC" w:rsidRPr="00C23549" w:rsidRDefault="00C23549" w:rsidP="00F90E40">
            <w:pPr>
              <w:spacing w:before="120" w:line="360" w:lineRule="exact"/>
              <w:rPr>
                <w:b/>
                <w:sz w:val="34"/>
                <w:szCs w:val="34"/>
              </w:rPr>
            </w:pPr>
            <w:r w:rsidRPr="00C23549">
              <w:rPr>
                <w:b/>
                <w:spacing w:val="-4"/>
                <w:sz w:val="34"/>
                <w:szCs w:val="34"/>
              </w:rPr>
              <w:t xml:space="preserve">Конвенция против пыток и </w:t>
            </w:r>
            <w:r w:rsidRPr="00C23549">
              <w:rPr>
                <w:b/>
                <w:spacing w:val="-4"/>
                <w:sz w:val="34"/>
                <w:szCs w:val="34"/>
              </w:rPr>
              <w:br/>
              <w:t xml:space="preserve">других жестоких, бесчеловечных </w:t>
            </w:r>
            <w:r w:rsidRPr="00C23549">
              <w:rPr>
                <w:b/>
                <w:spacing w:val="-4"/>
                <w:sz w:val="34"/>
                <w:szCs w:val="34"/>
              </w:rPr>
              <w:br/>
              <w:t>или унижающих достоинство</w:t>
            </w:r>
            <w:r w:rsidR="00F21B00" w:rsidRPr="00F21B00">
              <w:rPr>
                <w:b/>
                <w:spacing w:val="-4"/>
                <w:sz w:val="34"/>
                <w:szCs w:val="34"/>
              </w:rPr>
              <w:br/>
            </w:r>
            <w:r w:rsidRPr="00C23549">
              <w:rPr>
                <w:b/>
                <w:spacing w:val="-4"/>
                <w:sz w:val="34"/>
                <w:szCs w:val="34"/>
              </w:rPr>
              <w:t>видов обращения и наказания</w:t>
            </w:r>
          </w:p>
        </w:tc>
        <w:tc>
          <w:tcPr>
            <w:tcW w:w="2819" w:type="dxa"/>
            <w:tcBorders>
              <w:top w:val="single" w:sz="4" w:space="0" w:color="auto"/>
              <w:bottom w:val="single" w:sz="12" w:space="0" w:color="auto"/>
            </w:tcBorders>
          </w:tcPr>
          <w:p w14:paraId="496708EB" w14:textId="77777777" w:rsidR="002D5AAC" w:rsidRPr="001379CB" w:rsidRDefault="001379CB" w:rsidP="00F90E40">
            <w:pPr>
              <w:spacing w:before="240"/>
              <w:rPr>
                <w:lang w:val="en-US"/>
              </w:rPr>
            </w:pPr>
            <w:r w:rsidRPr="001379CB">
              <w:rPr>
                <w:lang w:val="en-US"/>
              </w:rPr>
              <w:t>Distr.: General</w:t>
            </w:r>
          </w:p>
          <w:p w14:paraId="10CDF338" w14:textId="77777777" w:rsidR="001379CB" w:rsidRPr="001379CB" w:rsidRDefault="001379CB" w:rsidP="001379CB">
            <w:pPr>
              <w:spacing w:line="240" w:lineRule="exact"/>
              <w:rPr>
                <w:lang w:val="en-US"/>
              </w:rPr>
            </w:pPr>
            <w:r w:rsidRPr="001379CB">
              <w:rPr>
                <w:lang w:val="en-US"/>
              </w:rPr>
              <w:t>16 March 2020</w:t>
            </w:r>
          </w:p>
          <w:p w14:paraId="47F868A3" w14:textId="77777777" w:rsidR="001379CB" w:rsidRPr="001379CB" w:rsidRDefault="001379CB" w:rsidP="001379CB">
            <w:pPr>
              <w:spacing w:line="240" w:lineRule="exact"/>
              <w:rPr>
                <w:lang w:val="en-US"/>
              </w:rPr>
            </w:pPr>
            <w:r w:rsidRPr="001379CB">
              <w:rPr>
                <w:lang w:val="en-US"/>
              </w:rPr>
              <w:t>Russian</w:t>
            </w:r>
          </w:p>
          <w:p w14:paraId="1FD2FF06" w14:textId="77777777" w:rsidR="001379CB" w:rsidRPr="001379CB" w:rsidRDefault="001379CB" w:rsidP="001379CB">
            <w:pPr>
              <w:spacing w:line="240" w:lineRule="exact"/>
              <w:rPr>
                <w:lang w:val="en-US"/>
              </w:rPr>
            </w:pPr>
            <w:r w:rsidRPr="001379CB">
              <w:rPr>
                <w:lang w:val="en-US"/>
              </w:rPr>
              <w:t>Original: English</w:t>
            </w:r>
          </w:p>
        </w:tc>
      </w:tr>
    </w:tbl>
    <w:p w14:paraId="773E3043" w14:textId="77777777" w:rsidR="00381C24" w:rsidRDefault="00381C24" w:rsidP="00DC27A5">
      <w:pPr>
        <w:rPr>
          <w:lang w:val="en-US"/>
        </w:rPr>
      </w:pPr>
    </w:p>
    <w:p w14:paraId="27CE6B8F" w14:textId="77777777" w:rsidR="00DD0E72" w:rsidRDefault="00DD0E72">
      <w:pPr>
        <w:suppressAutoHyphens w:val="0"/>
        <w:spacing w:line="240" w:lineRule="auto"/>
        <w:rPr>
          <w:lang w:val="en-US"/>
        </w:rPr>
      </w:pPr>
      <w:r>
        <w:rPr>
          <w:lang w:val="en-US"/>
        </w:rPr>
        <w:br w:type="page"/>
      </w:r>
    </w:p>
    <w:p w14:paraId="3501121C" w14:textId="77777777" w:rsidR="00DD0E72" w:rsidRDefault="00DD0E72" w:rsidP="00F1583A">
      <w:pPr>
        <w:spacing w:after="120"/>
        <w:rPr>
          <w:sz w:val="28"/>
        </w:rPr>
      </w:pPr>
      <w:r>
        <w:rPr>
          <w:sz w:val="28"/>
        </w:rPr>
        <w:lastRenderedPageBreak/>
        <w:t>Содержание</w:t>
      </w:r>
    </w:p>
    <w:p w14:paraId="052088C1" w14:textId="77777777" w:rsidR="00DD0E72" w:rsidRDefault="00DD0E72" w:rsidP="00F1583A">
      <w:pPr>
        <w:tabs>
          <w:tab w:val="right" w:pos="9638"/>
        </w:tabs>
        <w:spacing w:after="120"/>
        <w:ind w:left="283"/>
        <w:rPr>
          <w:sz w:val="18"/>
        </w:rPr>
      </w:pPr>
      <w:r>
        <w:rPr>
          <w:i/>
          <w:sz w:val="18"/>
        </w:rPr>
        <w:tab/>
        <w:t>Стр.</w:t>
      </w:r>
    </w:p>
    <w:p w14:paraId="4C2AF9A7" w14:textId="77777777" w:rsidR="00DD0E72" w:rsidRPr="009869B6" w:rsidRDefault="00DD0E72" w:rsidP="00F1583A">
      <w:pPr>
        <w:tabs>
          <w:tab w:val="right" w:pos="850"/>
          <w:tab w:val="left" w:pos="1134"/>
          <w:tab w:val="left" w:pos="1559"/>
          <w:tab w:val="left" w:pos="1984"/>
          <w:tab w:val="left" w:leader="dot" w:pos="8787"/>
          <w:tab w:val="right" w:pos="9638"/>
        </w:tabs>
        <w:spacing w:after="120"/>
      </w:pPr>
      <w:r>
        <w:tab/>
      </w:r>
      <w:r w:rsidRPr="00DD0E72">
        <w:t>I.</w:t>
      </w:r>
      <w:r w:rsidRPr="00DD0E72">
        <w:tab/>
        <w:t>Введение</w:t>
      </w:r>
      <w:r w:rsidRPr="009869B6">
        <w:t xml:space="preserve"> </w:t>
      </w:r>
      <w:r w:rsidRPr="009869B6">
        <w:tab/>
      </w:r>
      <w:r w:rsidRPr="009869B6">
        <w:tab/>
      </w:r>
      <w:r w:rsidR="009869B6">
        <w:t>3</w:t>
      </w:r>
    </w:p>
    <w:p w14:paraId="27B85595" w14:textId="77777777" w:rsidR="00DD0E72" w:rsidRPr="009869B6" w:rsidRDefault="00DD0E72" w:rsidP="00F1583A">
      <w:pPr>
        <w:tabs>
          <w:tab w:val="right" w:pos="850"/>
          <w:tab w:val="left" w:pos="1134"/>
          <w:tab w:val="left" w:pos="1559"/>
          <w:tab w:val="left" w:pos="1984"/>
          <w:tab w:val="left" w:leader="dot" w:pos="8787"/>
          <w:tab w:val="right" w:pos="9638"/>
        </w:tabs>
        <w:spacing w:after="120"/>
      </w:pPr>
      <w:r w:rsidRPr="009869B6">
        <w:tab/>
      </w:r>
      <w:r w:rsidRPr="00DD0E72">
        <w:t>II.</w:t>
      </w:r>
      <w:r w:rsidRPr="00DD0E72">
        <w:tab/>
        <w:t>Отчетный год</w:t>
      </w:r>
      <w:r w:rsidRPr="009869B6">
        <w:t xml:space="preserve"> </w:t>
      </w:r>
      <w:r w:rsidRPr="009869B6">
        <w:tab/>
      </w:r>
      <w:r w:rsidRPr="009869B6">
        <w:tab/>
      </w:r>
      <w:r w:rsidR="00FB5318">
        <w:t>3</w:t>
      </w:r>
    </w:p>
    <w:p w14:paraId="65B80DC4" w14:textId="77777777" w:rsidR="00DD0E72" w:rsidRDefault="00DD0E72" w:rsidP="00F1583A">
      <w:pPr>
        <w:tabs>
          <w:tab w:val="right" w:pos="850"/>
          <w:tab w:val="left" w:pos="1134"/>
          <w:tab w:val="left" w:pos="1559"/>
          <w:tab w:val="left" w:pos="1984"/>
          <w:tab w:val="left" w:leader="dot" w:pos="8787"/>
          <w:tab w:val="right" w:pos="9638"/>
        </w:tabs>
        <w:spacing w:after="120"/>
      </w:pPr>
      <w:r w:rsidRPr="009869B6">
        <w:tab/>
      </w:r>
      <w:r w:rsidRPr="009869B6">
        <w:tab/>
      </w:r>
      <w:r w:rsidRPr="00DD0E72">
        <w:t>A.</w:t>
      </w:r>
      <w:r w:rsidRPr="00DD0E72">
        <w:tab/>
        <w:t xml:space="preserve">Участие в системе Факультативного протокола </w:t>
      </w:r>
      <w:r>
        <w:tab/>
      </w:r>
      <w:r>
        <w:tab/>
      </w:r>
      <w:r w:rsidR="00FB5318">
        <w:t>3</w:t>
      </w:r>
    </w:p>
    <w:p w14:paraId="60F513D5" w14:textId="77777777" w:rsidR="00DD0E72" w:rsidRDefault="00DD0E72" w:rsidP="00F1583A">
      <w:pPr>
        <w:tabs>
          <w:tab w:val="right" w:pos="850"/>
          <w:tab w:val="left" w:pos="1134"/>
          <w:tab w:val="left" w:pos="1559"/>
          <w:tab w:val="left" w:pos="1984"/>
          <w:tab w:val="left" w:leader="dot" w:pos="8787"/>
          <w:tab w:val="right" w:pos="9638"/>
        </w:tabs>
        <w:spacing w:after="120"/>
      </w:pPr>
      <w:r>
        <w:tab/>
      </w:r>
      <w:r>
        <w:tab/>
      </w:r>
      <w:r w:rsidRPr="00DD0E72">
        <w:t>B.</w:t>
      </w:r>
      <w:r w:rsidRPr="00DD0E72">
        <w:tab/>
        <w:t xml:space="preserve">Организация работы и членский состав </w:t>
      </w:r>
      <w:r>
        <w:tab/>
      </w:r>
      <w:r>
        <w:tab/>
      </w:r>
      <w:r w:rsidR="00FB5318">
        <w:t>3</w:t>
      </w:r>
    </w:p>
    <w:p w14:paraId="3506C758" w14:textId="77777777" w:rsidR="00DD0E72" w:rsidRDefault="00DD0E72" w:rsidP="00F1583A">
      <w:pPr>
        <w:tabs>
          <w:tab w:val="right" w:pos="850"/>
          <w:tab w:val="left" w:pos="1134"/>
          <w:tab w:val="left" w:pos="1559"/>
          <w:tab w:val="left" w:pos="1984"/>
          <w:tab w:val="left" w:leader="dot" w:pos="8787"/>
          <w:tab w:val="right" w:pos="9638"/>
        </w:tabs>
        <w:spacing w:after="120"/>
      </w:pPr>
      <w:r>
        <w:tab/>
      </w:r>
      <w:r>
        <w:tab/>
      </w:r>
      <w:r w:rsidRPr="00DD0E72">
        <w:t>C.</w:t>
      </w:r>
      <w:r w:rsidRPr="00DD0E72">
        <w:tab/>
        <w:t xml:space="preserve">Посещения, проведенные за отчетный период </w:t>
      </w:r>
      <w:r>
        <w:tab/>
      </w:r>
      <w:r>
        <w:tab/>
      </w:r>
      <w:r w:rsidR="00FB5318">
        <w:t>5</w:t>
      </w:r>
    </w:p>
    <w:p w14:paraId="601A4333" w14:textId="77777777" w:rsidR="00DD0E72" w:rsidRDefault="00DD0E72" w:rsidP="00DD0E72">
      <w:pPr>
        <w:tabs>
          <w:tab w:val="right" w:pos="850"/>
          <w:tab w:val="left" w:pos="1134"/>
          <w:tab w:val="left" w:pos="1559"/>
          <w:tab w:val="left" w:pos="1984"/>
          <w:tab w:val="left" w:leader="dot" w:pos="8787"/>
          <w:tab w:val="right" w:pos="9638"/>
        </w:tabs>
        <w:spacing w:after="120"/>
        <w:ind w:left="1559" w:hanging="1559"/>
      </w:pPr>
      <w:r>
        <w:tab/>
      </w:r>
      <w:r>
        <w:tab/>
      </w:r>
      <w:r w:rsidRPr="00DD0E72">
        <w:t>D.</w:t>
      </w:r>
      <w:r w:rsidRPr="00DD0E72">
        <w:tab/>
        <w:t>Диалог, вытекающий из посещений, включая публикацию докладов Подкомитета по</w:t>
      </w:r>
      <w:r>
        <w:rPr>
          <w:lang w:val="en-US"/>
        </w:rPr>
        <w:t> </w:t>
      </w:r>
      <w:r w:rsidRPr="00DD0E72">
        <w:t>предупреждению пыток государствами-участниками и национальными</w:t>
      </w:r>
      <w:r>
        <w:br/>
      </w:r>
      <w:r w:rsidRPr="00DD0E72">
        <w:t xml:space="preserve">превентивными механизмами </w:t>
      </w:r>
      <w:r>
        <w:tab/>
      </w:r>
      <w:r>
        <w:tab/>
      </w:r>
      <w:r w:rsidR="00FB5318">
        <w:t>5</w:t>
      </w:r>
    </w:p>
    <w:p w14:paraId="6A90D943" w14:textId="77777777" w:rsidR="00DD0E72" w:rsidRDefault="00DD0E72" w:rsidP="00F1583A">
      <w:pPr>
        <w:tabs>
          <w:tab w:val="right" w:pos="850"/>
          <w:tab w:val="left" w:pos="1134"/>
          <w:tab w:val="left" w:pos="1559"/>
          <w:tab w:val="left" w:pos="1984"/>
          <w:tab w:val="left" w:leader="dot" w:pos="8787"/>
          <w:tab w:val="right" w:pos="9638"/>
        </w:tabs>
        <w:spacing w:after="120"/>
      </w:pPr>
      <w:r>
        <w:tab/>
      </w:r>
      <w:r>
        <w:tab/>
      </w:r>
      <w:r w:rsidRPr="00DD0E72">
        <w:t>E.</w:t>
      </w:r>
      <w:r w:rsidRPr="00DD0E72">
        <w:tab/>
        <w:t xml:space="preserve">Положение дел с национальными превентивными механизмами </w:t>
      </w:r>
      <w:r>
        <w:tab/>
      </w:r>
      <w:r>
        <w:tab/>
      </w:r>
      <w:r w:rsidR="00FB5318">
        <w:t>6</w:t>
      </w:r>
    </w:p>
    <w:p w14:paraId="51EBC218" w14:textId="77777777" w:rsidR="00DD0E72" w:rsidRPr="009869B6" w:rsidRDefault="00DD0E72" w:rsidP="00F1583A">
      <w:pPr>
        <w:tabs>
          <w:tab w:val="right" w:pos="850"/>
          <w:tab w:val="left" w:pos="1134"/>
          <w:tab w:val="left" w:pos="1559"/>
          <w:tab w:val="left" w:pos="1984"/>
          <w:tab w:val="left" w:leader="dot" w:pos="8787"/>
          <w:tab w:val="right" w:pos="9638"/>
        </w:tabs>
        <w:spacing w:after="120"/>
      </w:pPr>
      <w:r>
        <w:tab/>
      </w:r>
      <w:r>
        <w:tab/>
      </w:r>
      <w:r w:rsidRPr="00DD0E72">
        <w:t>F.</w:t>
      </w:r>
      <w:r w:rsidRPr="00DD0E72">
        <w:tab/>
        <w:t>Существенное несоблюдение статьи 17</w:t>
      </w:r>
      <w:r w:rsidRPr="009869B6">
        <w:t xml:space="preserve"> </w:t>
      </w:r>
      <w:bookmarkStart w:id="1" w:name="_GoBack"/>
      <w:bookmarkEnd w:id="1"/>
      <w:r w:rsidRPr="009869B6">
        <w:tab/>
      </w:r>
      <w:r w:rsidRPr="009869B6">
        <w:tab/>
      </w:r>
      <w:r w:rsidR="00FB5318">
        <w:t>7</w:t>
      </w:r>
    </w:p>
    <w:p w14:paraId="5C81FBFE" w14:textId="77777777" w:rsidR="00DD0E72" w:rsidRDefault="00DD0E72" w:rsidP="00F1583A">
      <w:pPr>
        <w:tabs>
          <w:tab w:val="right" w:pos="850"/>
          <w:tab w:val="left" w:pos="1134"/>
          <w:tab w:val="left" w:pos="1559"/>
          <w:tab w:val="left" w:pos="1984"/>
          <w:tab w:val="left" w:leader="dot" w:pos="8787"/>
          <w:tab w:val="right" w:pos="9638"/>
        </w:tabs>
        <w:spacing w:after="120"/>
      </w:pPr>
      <w:r w:rsidRPr="009869B6">
        <w:tab/>
      </w:r>
      <w:r w:rsidRPr="009869B6">
        <w:tab/>
      </w:r>
      <w:r w:rsidRPr="00DD0E72">
        <w:t>G.</w:t>
      </w:r>
      <w:r w:rsidRPr="00DD0E72">
        <w:tab/>
        <w:t xml:space="preserve">Специальный фонд, учрежденный согласно Факультативному протоколу </w:t>
      </w:r>
      <w:r>
        <w:tab/>
      </w:r>
      <w:r>
        <w:tab/>
      </w:r>
      <w:r w:rsidR="00FB5318">
        <w:t>7</w:t>
      </w:r>
    </w:p>
    <w:p w14:paraId="01AD20FC" w14:textId="77777777" w:rsidR="00DD0E72" w:rsidRDefault="00DD0E72" w:rsidP="00F1583A">
      <w:pPr>
        <w:tabs>
          <w:tab w:val="right" w:pos="850"/>
          <w:tab w:val="left" w:pos="1134"/>
          <w:tab w:val="left" w:pos="1559"/>
          <w:tab w:val="left" w:pos="1984"/>
          <w:tab w:val="left" w:leader="dot" w:pos="8787"/>
          <w:tab w:val="right" w:pos="9638"/>
        </w:tabs>
        <w:spacing w:after="120"/>
      </w:pPr>
      <w:r>
        <w:tab/>
      </w:r>
      <w:r w:rsidRPr="00DD0E72">
        <w:t>III.</w:t>
      </w:r>
      <w:r w:rsidRPr="00DD0E72">
        <w:tab/>
        <w:t xml:space="preserve">Взаимодействие с другими органами в области предупреждения пыток </w:t>
      </w:r>
      <w:r>
        <w:tab/>
      </w:r>
      <w:r>
        <w:tab/>
      </w:r>
      <w:r w:rsidR="00FB5318">
        <w:t>8</w:t>
      </w:r>
    </w:p>
    <w:p w14:paraId="69D711A0" w14:textId="77777777" w:rsidR="00DD0E72" w:rsidRPr="009869B6" w:rsidRDefault="00DD0E72" w:rsidP="00F1583A">
      <w:pPr>
        <w:tabs>
          <w:tab w:val="right" w:pos="850"/>
          <w:tab w:val="left" w:pos="1134"/>
          <w:tab w:val="left" w:pos="1559"/>
          <w:tab w:val="left" w:pos="1984"/>
          <w:tab w:val="left" w:leader="dot" w:pos="8787"/>
          <w:tab w:val="right" w:pos="9638"/>
        </w:tabs>
        <w:spacing w:after="120"/>
      </w:pPr>
      <w:r>
        <w:tab/>
      </w:r>
      <w:r>
        <w:tab/>
      </w:r>
      <w:r w:rsidRPr="00DD0E72">
        <w:t>A.</w:t>
      </w:r>
      <w:r w:rsidRPr="00DD0E72">
        <w:tab/>
        <w:t>Международное сотрудничество</w:t>
      </w:r>
      <w:r w:rsidRPr="009869B6">
        <w:t xml:space="preserve"> </w:t>
      </w:r>
      <w:r w:rsidRPr="009869B6">
        <w:tab/>
      </w:r>
      <w:r w:rsidRPr="009869B6">
        <w:tab/>
      </w:r>
      <w:r w:rsidR="00FB5318">
        <w:t>8</w:t>
      </w:r>
    </w:p>
    <w:p w14:paraId="7ACC1C29" w14:textId="77777777" w:rsidR="00DD0E72" w:rsidRPr="009869B6" w:rsidRDefault="00DD0E72" w:rsidP="00F1583A">
      <w:pPr>
        <w:tabs>
          <w:tab w:val="right" w:pos="850"/>
          <w:tab w:val="left" w:pos="1134"/>
          <w:tab w:val="left" w:pos="1559"/>
          <w:tab w:val="left" w:pos="1984"/>
          <w:tab w:val="left" w:leader="dot" w:pos="8787"/>
          <w:tab w:val="right" w:pos="9638"/>
        </w:tabs>
        <w:spacing w:after="120"/>
      </w:pPr>
      <w:r w:rsidRPr="009869B6">
        <w:tab/>
      </w:r>
      <w:r w:rsidRPr="009869B6">
        <w:tab/>
      </w:r>
      <w:r w:rsidRPr="00DD0E72">
        <w:t>B.</w:t>
      </w:r>
      <w:r w:rsidRPr="00DD0E72">
        <w:tab/>
        <w:t>Региональное сотрудничество</w:t>
      </w:r>
      <w:r w:rsidRPr="009869B6">
        <w:t xml:space="preserve"> </w:t>
      </w:r>
      <w:r w:rsidRPr="009869B6">
        <w:tab/>
      </w:r>
      <w:r w:rsidRPr="009869B6">
        <w:tab/>
      </w:r>
      <w:r w:rsidR="00FB5318">
        <w:t>9</w:t>
      </w:r>
    </w:p>
    <w:p w14:paraId="03615D77" w14:textId="77777777" w:rsidR="00DD0E72" w:rsidRPr="009869B6" w:rsidRDefault="00DD0E72" w:rsidP="00F1583A">
      <w:pPr>
        <w:tabs>
          <w:tab w:val="right" w:pos="850"/>
          <w:tab w:val="left" w:pos="1134"/>
          <w:tab w:val="left" w:pos="1559"/>
          <w:tab w:val="left" w:pos="1984"/>
          <w:tab w:val="left" w:leader="dot" w:pos="8787"/>
          <w:tab w:val="right" w:pos="9638"/>
        </w:tabs>
        <w:spacing w:after="120"/>
      </w:pPr>
      <w:r w:rsidRPr="009869B6">
        <w:tab/>
      </w:r>
      <w:r w:rsidRPr="009869B6">
        <w:tab/>
      </w:r>
      <w:r w:rsidRPr="00DD0E72">
        <w:t>C.</w:t>
      </w:r>
      <w:r w:rsidRPr="00DD0E72">
        <w:tab/>
        <w:t>Гражданское общество</w:t>
      </w:r>
      <w:r w:rsidRPr="009869B6">
        <w:t xml:space="preserve"> </w:t>
      </w:r>
      <w:r w:rsidRPr="009869B6">
        <w:tab/>
      </w:r>
      <w:r w:rsidRPr="009869B6">
        <w:tab/>
      </w:r>
      <w:r w:rsidR="00FB5318">
        <w:t>9</w:t>
      </w:r>
    </w:p>
    <w:p w14:paraId="494B486A" w14:textId="77777777" w:rsidR="00DD0E72" w:rsidRDefault="00DD0E72" w:rsidP="00F1583A">
      <w:pPr>
        <w:tabs>
          <w:tab w:val="right" w:pos="850"/>
          <w:tab w:val="left" w:pos="1134"/>
          <w:tab w:val="left" w:pos="1559"/>
          <w:tab w:val="left" w:pos="1984"/>
          <w:tab w:val="left" w:leader="dot" w:pos="8787"/>
          <w:tab w:val="right" w:pos="9638"/>
        </w:tabs>
        <w:spacing w:after="120"/>
      </w:pPr>
      <w:r w:rsidRPr="009869B6">
        <w:tab/>
      </w:r>
      <w:r w:rsidRPr="00DD0E72">
        <w:t>IV.</w:t>
      </w:r>
      <w:r w:rsidRPr="00DD0E72">
        <w:tab/>
        <w:t xml:space="preserve">Изменения, касающиеся практических методов работы </w:t>
      </w:r>
      <w:r>
        <w:tab/>
      </w:r>
      <w:r>
        <w:tab/>
      </w:r>
      <w:r w:rsidR="00FB5318">
        <w:t>9</w:t>
      </w:r>
    </w:p>
    <w:p w14:paraId="6825EE76" w14:textId="77777777" w:rsidR="00DD0E72" w:rsidRPr="009869B6" w:rsidRDefault="00DD0E72" w:rsidP="00F1583A">
      <w:pPr>
        <w:tabs>
          <w:tab w:val="right" w:pos="850"/>
          <w:tab w:val="left" w:pos="1134"/>
          <w:tab w:val="left" w:pos="1559"/>
          <w:tab w:val="left" w:pos="1984"/>
          <w:tab w:val="left" w:leader="dot" w:pos="8787"/>
          <w:tab w:val="right" w:pos="9638"/>
        </w:tabs>
        <w:spacing w:after="120"/>
      </w:pPr>
      <w:r>
        <w:tab/>
      </w:r>
      <w:r>
        <w:tab/>
      </w:r>
      <w:r w:rsidRPr="00DD0E72">
        <w:t>A.</w:t>
      </w:r>
      <w:r w:rsidRPr="00DD0E72">
        <w:tab/>
        <w:t>Посещения</w:t>
      </w:r>
      <w:r w:rsidRPr="009869B6">
        <w:t xml:space="preserve"> </w:t>
      </w:r>
      <w:r w:rsidRPr="009869B6">
        <w:tab/>
      </w:r>
      <w:r w:rsidRPr="009869B6">
        <w:tab/>
      </w:r>
      <w:r w:rsidR="00FB5318">
        <w:t>9</w:t>
      </w:r>
    </w:p>
    <w:p w14:paraId="123A0A8C" w14:textId="77777777" w:rsidR="00DD0E72" w:rsidRPr="009869B6" w:rsidRDefault="00DD0E72" w:rsidP="00F1583A">
      <w:pPr>
        <w:tabs>
          <w:tab w:val="right" w:pos="850"/>
          <w:tab w:val="left" w:pos="1134"/>
          <w:tab w:val="left" w:pos="1559"/>
          <w:tab w:val="left" w:pos="1984"/>
          <w:tab w:val="left" w:leader="dot" w:pos="8787"/>
          <w:tab w:val="right" w:pos="9638"/>
        </w:tabs>
        <w:spacing w:after="120"/>
      </w:pPr>
      <w:r w:rsidRPr="009869B6">
        <w:tab/>
      </w:r>
      <w:r w:rsidRPr="009869B6">
        <w:tab/>
      </w:r>
      <w:r w:rsidRPr="00DD0E72">
        <w:t>B.</w:t>
      </w:r>
      <w:r w:rsidRPr="00DD0E72">
        <w:tab/>
        <w:t>Рабочие группы</w:t>
      </w:r>
      <w:r w:rsidRPr="009869B6">
        <w:t xml:space="preserve"> </w:t>
      </w:r>
      <w:r w:rsidRPr="009869B6">
        <w:tab/>
      </w:r>
      <w:r w:rsidRPr="009869B6">
        <w:tab/>
      </w:r>
      <w:r w:rsidR="00FB5318">
        <w:t>10</w:t>
      </w:r>
    </w:p>
    <w:p w14:paraId="57B362FE" w14:textId="77777777" w:rsidR="00DD0E72" w:rsidRPr="009869B6" w:rsidRDefault="00DD0E72" w:rsidP="00F1583A">
      <w:pPr>
        <w:tabs>
          <w:tab w:val="right" w:pos="850"/>
          <w:tab w:val="left" w:pos="1134"/>
          <w:tab w:val="left" w:pos="1559"/>
          <w:tab w:val="left" w:pos="1984"/>
          <w:tab w:val="left" w:leader="dot" w:pos="8787"/>
          <w:tab w:val="right" w:pos="9638"/>
        </w:tabs>
        <w:spacing w:after="120"/>
      </w:pPr>
      <w:r w:rsidRPr="009869B6">
        <w:tab/>
      </w:r>
      <w:r w:rsidRPr="009869B6">
        <w:tab/>
      </w:r>
      <w:r w:rsidRPr="00DD0E72">
        <w:t>C.</w:t>
      </w:r>
      <w:r w:rsidRPr="00DD0E72">
        <w:tab/>
        <w:t>Региональные группы</w:t>
      </w:r>
      <w:r w:rsidRPr="009869B6">
        <w:t xml:space="preserve"> </w:t>
      </w:r>
      <w:r w:rsidRPr="009869B6">
        <w:tab/>
      </w:r>
      <w:r w:rsidRPr="009869B6">
        <w:tab/>
      </w:r>
      <w:r w:rsidR="00FB5318">
        <w:t>10</w:t>
      </w:r>
    </w:p>
    <w:p w14:paraId="17E984B7" w14:textId="77777777" w:rsidR="00DD0E72" w:rsidRPr="00E2488C" w:rsidRDefault="00DD0E72" w:rsidP="00E2488C">
      <w:pPr>
        <w:tabs>
          <w:tab w:val="right" w:pos="850"/>
          <w:tab w:val="left" w:pos="1134"/>
          <w:tab w:val="left" w:pos="1559"/>
          <w:tab w:val="left" w:pos="1984"/>
          <w:tab w:val="left" w:leader="dot" w:pos="8787"/>
          <w:tab w:val="right" w:pos="9638"/>
        </w:tabs>
        <w:spacing w:after="120"/>
        <w:ind w:left="1559" w:hanging="1559"/>
      </w:pPr>
      <w:r w:rsidRPr="009869B6">
        <w:tab/>
      </w:r>
      <w:r w:rsidRPr="009869B6">
        <w:tab/>
      </w:r>
      <w:r w:rsidRPr="00DD0E72">
        <w:t>D.</w:t>
      </w:r>
      <w:r w:rsidRPr="00DD0E72">
        <w:tab/>
        <w:t>Мнения относительно функционирования национального превентивного</w:t>
      </w:r>
      <w:r w:rsidR="00E2488C">
        <w:br/>
      </w:r>
      <w:r w:rsidRPr="00DD0E72">
        <w:t>механизма</w:t>
      </w:r>
      <w:r w:rsidR="00E2488C" w:rsidRPr="00E2488C">
        <w:t xml:space="preserve"> </w:t>
      </w:r>
      <w:r w:rsidR="00E2488C">
        <w:tab/>
      </w:r>
      <w:r w:rsidR="00E2488C">
        <w:tab/>
      </w:r>
      <w:r w:rsidR="00FB5318">
        <w:t>10</w:t>
      </w:r>
    </w:p>
    <w:p w14:paraId="74951D2B" w14:textId="77777777" w:rsidR="00E2488C" w:rsidRPr="009869B6" w:rsidRDefault="00E2488C" w:rsidP="00F1583A">
      <w:pPr>
        <w:tabs>
          <w:tab w:val="right" w:pos="850"/>
          <w:tab w:val="left" w:pos="1134"/>
          <w:tab w:val="left" w:pos="1559"/>
          <w:tab w:val="left" w:pos="1984"/>
          <w:tab w:val="left" w:leader="dot" w:pos="8787"/>
          <w:tab w:val="right" w:pos="9638"/>
        </w:tabs>
        <w:spacing w:after="120"/>
      </w:pPr>
      <w:r>
        <w:tab/>
      </w:r>
      <w:r w:rsidRPr="00E2488C">
        <w:t>V.</w:t>
      </w:r>
      <w:r w:rsidRPr="00E2488C">
        <w:tab/>
        <w:t>Перспективы на будущее</w:t>
      </w:r>
      <w:r w:rsidRPr="009869B6">
        <w:t xml:space="preserve"> </w:t>
      </w:r>
      <w:r w:rsidRPr="009869B6">
        <w:tab/>
      </w:r>
      <w:r w:rsidRPr="009869B6">
        <w:tab/>
      </w:r>
      <w:r w:rsidR="00FB5318">
        <w:t>10</w:t>
      </w:r>
    </w:p>
    <w:p w14:paraId="178CFFC5" w14:textId="77777777" w:rsidR="00E2488C" w:rsidRPr="009869B6" w:rsidRDefault="00E2488C" w:rsidP="00F1583A">
      <w:pPr>
        <w:tabs>
          <w:tab w:val="right" w:pos="850"/>
          <w:tab w:val="left" w:pos="1134"/>
          <w:tab w:val="left" w:pos="1559"/>
          <w:tab w:val="left" w:pos="1984"/>
          <w:tab w:val="left" w:leader="dot" w:pos="8787"/>
          <w:tab w:val="right" w:pos="9638"/>
        </w:tabs>
        <w:spacing w:after="120"/>
      </w:pPr>
      <w:r w:rsidRPr="009869B6">
        <w:tab/>
      </w:r>
      <w:r w:rsidRPr="00E2488C">
        <w:t>VI.</w:t>
      </w:r>
      <w:r w:rsidRPr="00E2488C">
        <w:tab/>
        <w:t>План работы</w:t>
      </w:r>
      <w:r w:rsidRPr="009869B6">
        <w:t xml:space="preserve"> </w:t>
      </w:r>
      <w:r w:rsidRPr="009869B6">
        <w:tab/>
      </w:r>
      <w:r w:rsidRPr="009869B6">
        <w:tab/>
      </w:r>
      <w:r w:rsidR="00FB5318">
        <w:t>12</w:t>
      </w:r>
    </w:p>
    <w:p w14:paraId="173CF9DE" w14:textId="074C82B4" w:rsidR="00E2488C" w:rsidRDefault="00E2488C" w:rsidP="00F1583A">
      <w:pPr>
        <w:tabs>
          <w:tab w:val="right" w:pos="850"/>
          <w:tab w:val="left" w:pos="1134"/>
          <w:tab w:val="left" w:pos="1559"/>
          <w:tab w:val="left" w:pos="1984"/>
          <w:tab w:val="left" w:leader="dot" w:pos="8787"/>
          <w:tab w:val="right" w:pos="9638"/>
        </w:tabs>
        <w:spacing w:after="120"/>
      </w:pPr>
      <w:r>
        <w:t>Приложени</w:t>
      </w:r>
      <w:r w:rsidR="009D033C">
        <w:t>е</w:t>
      </w:r>
    </w:p>
    <w:p w14:paraId="194A7033" w14:textId="77777777" w:rsidR="00E2488C" w:rsidRDefault="00E2488C" w:rsidP="00F1583A">
      <w:pPr>
        <w:tabs>
          <w:tab w:val="right" w:pos="850"/>
          <w:tab w:val="left" w:pos="1134"/>
          <w:tab w:val="left" w:pos="1559"/>
          <w:tab w:val="left" w:pos="1984"/>
          <w:tab w:val="left" w:leader="dot" w:pos="8787"/>
          <w:tab w:val="right" w:pos="9638"/>
        </w:tabs>
        <w:spacing w:after="120"/>
      </w:pPr>
      <w:r>
        <w:tab/>
      </w:r>
      <w:r>
        <w:tab/>
      </w:r>
      <w:r w:rsidRPr="00E2488C">
        <w:t>Подкомитет по предупреждению и обзор 2020 года</w:t>
      </w:r>
      <w:r>
        <w:t xml:space="preserve"> </w:t>
      </w:r>
      <w:r>
        <w:tab/>
      </w:r>
      <w:r>
        <w:tab/>
      </w:r>
      <w:r w:rsidR="00FB5318">
        <w:t>13</w:t>
      </w:r>
    </w:p>
    <w:p w14:paraId="57BF10FE" w14:textId="77777777" w:rsidR="00DD0E72" w:rsidRDefault="00DD0E72" w:rsidP="00DD0E72">
      <w:pPr>
        <w:suppressAutoHyphens w:val="0"/>
        <w:spacing w:after="200" w:line="276" w:lineRule="auto"/>
      </w:pPr>
      <w:r>
        <w:br w:type="page"/>
      </w:r>
    </w:p>
    <w:p w14:paraId="57FBD084" w14:textId="77777777" w:rsidR="00DD0E72" w:rsidRPr="007F3DC4" w:rsidRDefault="00E2488C" w:rsidP="00E2488C">
      <w:pPr>
        <w:pStyle w:val="HChG"/>
        <w:rPr>
          <w:szCs w:val="28"/>
        </w:rPr>
      </w:pPr>
      <w:r>
        <w:lastRenderedPageBreak/>
        <w:tab/>
      </w:r>
      <w:r w:rsidR="00DD0E72">
        <w:t>I.</w:t>
      </w:r>
      <w:r w:rsidR="00DD0E72">
        <w:tab/>
        <w:t>Введение</w:t>
      </w:r>
      <w:bookmarkStart w:id="2" w:name="_Toc534899833"/>
      <w:bookmarkEnd w:id="2"/>
    </w:p>
    <w:p w14:paraId="727B3589" w14:textId="77777777" w:rsidR="00DD0E72" w:rsidRPr="007F3DC4" w:rsidRDefault="00DD0E72" w:rsidP="00DD0E72">
      <w:pPr>
        <w:pStyle w:val="SingleTxtG"/>
      </w:pPr>
      <w:r>
        <w:t>1.</w:t>
      </w:r>
      <w:r>
        <w:tab/>
        <w:t>С учетом пункта 3 статьи 16 Факультативного протокола к Конвенции против пыток и других жестоких, бесчеловечных или унижающих достоинство видов обращения и наказания и в соответствии с правилом 33 своих правил процедуры Подкомитет готовит годовой доклад о своей деятельности в виде открытого документа. В соответствии с этими положениями Подкомитет в настоящем докладе рассматривает свою деятельность за период с 1 января по 31 декабря 2019 года. Доклад был рассмотрен и утвержден Подкомитетом на его сороковой сессии в феврале 2020</w:t>
      </w:r>
      <w:r w:rsidR="00E2488C">
        <w:t> </w:t>
      </w:r>
      <w:r>
        <w:t>года.</w:t>
      </w:r>
    </w:p>
    <w:p w14:paraId="7BC1C3F3" w14:textId="77777777" w:rsidR="00DD0E72" w:rsidRPr="007F3DC4" w:rsidRDefault="00DD0E72" w:rsidP="00DD0E72">
      <w:pPr>
        <w:pStyle w:val="HChG"/>
      </w:pPr>
      <w:r>
        <w:tab/>
        <w:t>II.</w:t>
      </w:r>
      <w:r>
        <w:tab/>
      </w:r>
      <w:r>
        <w:rPr>
          <w:bCs/>
        </w:rPr>
        <w:t>Отчетный год</w:t>
      </w:r>
      <w:bookmarkStart w:id="3" w:name="_Toc534899834"/>
      <w:bookmarkEnd w:id="3"/>
    </w:p>
    <w:p w14:paraId="538732CB" w14:textId="77777777" w:rsidR="00DD0E72" w:rsidRPr="007F3DC4" w:rsidRDefault="00DD0E72" w:rsidP="00DD0E72">
      <w:pPr>
        <w:pStyle w:val="H1G"/>
      </w:pPr>
      <w:r>
        <w:tab/>
        <w:t>A.</w:t>
      </w:r>
      <w:r>
        <w:tab/>
      </w:r>
      <w:r>
        <w:rPr>
          <w:bCs/>
        </w:rPr>
        <w:t>Участие в системе Факультативного протокола</w:t>
      </w:r>
      <w:r>
        <w:t xml:space="preserve"> </w:t>
      </w:r>
      <w:bookmarkStart w:id="4" w:name="_Toc534899835"/>
      <w:bookmarkEnd w:id="4"/>
    </w:p>
    <w:p w14:paraId="04B476C8" w14:textId="77777777" w:rsidR="00DD0E72" w:rsidRPr="007F3DC4" w:rsidRDefault="00DD0E72" w:rsidP="00DD0E72">
      <w:pPr>
        <w:pStyle w:val="SingleTxtG"/>
      </w:pPr>
      <w:r>
        <w:t>2.</w:t>
      </w:r>
      <w:r>
        <w:tab/>
        <w:t xml:space="preserve">По состоянию на 31 декабря 2019 года участниками Факультативного протокола являлись 90 государств и 13 государств его подписали. В 2019 году Факультативный протокол был ратифицирован Исландией (20 февраля 2019 года) и Южной Африкой (20 июня 2019 года). </w:t>
      </w:r>
    </w:p>
    <w:p w14:paraId="1A3D92C0" w14:textId="77777777" w:rsidR="00DD0E72" w:rsidRPr="007F3DC4" w:rsidRDefault="00DD0E72" w:rsidP="00DD0E72">
      <w:pPr>
        <w:pStyle w:val="SingleTxtG"/>
      </w:pPr>
      <w:r>
        <w:t>Разбивка участников по регионам выглядела следующим образом:</w:t>
      </w:r>
    </w:p>
    <w:p w14:paraId="47339D27" w14:textId="77777777" w:rsidR="00DD0E72" w:rsidRPr="007F3DC4" w:rsidRDefault="00DD0E72" w:rsidP="00DD0E72">
      <w:pPr>
        <w:pStyle w:val="SingleTxtG"/>
        <w:tabs>
          <w:tab w:val="left" w:pos="5529"/>
        </w:tabs>
        <w:ind w:left="1701"/>
      </w:pPr>
      <w:r>
        <w:t>Государства Африки</w:t>
      </w:r>
      <w:r>
        <w:tab/>
      </w:r>
      <w:r w:rsidR="00E2488C">
        <w:tab/>
      </w:r>
      <w:r w:rsidR="00E2488C">
        <w:tab/>
      </w:r>
      <w:r>
        <w:t>23</w:t>
      </w:r>
    </w:p>
    <w:p w14:paraId="2220ACFF" w14:textId="77777777" w:rsidR="00DD0E72" w:rsidRPr="007F3DC4" w:rsidRDefault="00DD0E72" w:rsidP="00DD0E72">
      <w:pPr>
        <w:pStyle w:val="SingleTxtG"/>
        <w:tabs>
          <w:tab w:val="left" w:pos="5529"/>
        </w:tabs>
        <w:ind w:left="1701"/>
      </w:pPr>
      <w:r>
        <w:t>Государства Азии и Тихого океана</w:t>
      </w:r>
      <w:r>
        <w:tab/>
      </w:r>
      <w:r w:rsidR="00E2488C">
        <w:tab/>
      </w:r>
      <w:r w:rsidR="00E2488C">
        <w:tab/>
      </w:r>
      <w:r>
        <w:t>12</w:t>
      </w:r>
    </w:p>
    <w:p w14:paraId="5A998595" w14:textId="77777777" w:rsidR="00DD0E72" w:rsidRPr="007F3DC4" w:rsidRDefault="00DD0E72" w:rsidP="00DD0E72">
      <w:pPr>
        <w:pStyle w:val="SingleTxtG"/>
        <w:tabs>
          <w:tab w:val="left" w:pos="5529"/>
        </w:tabs>
        <w:ind w:left="1701"/>
      </w:pPr>
      <w:r>
        <w:t>Государства Восточной Европы</w:t>
      </w:r>
      <w:r>
        <w:tab/>
      </w:r>
      <w:r w:rsidR="00E2488C">
        <w:tab/>
      </w:r>
      <w:r w:rsidR="00E2488C">
        <w:tab/>
      </w:r>
      <w:r>
        <w:t>19</w:t>
      </w:r>
    </w:p>
    <w:p w14:paraId="4EA681E4" w14:textId="77777777" w:rsidR="00DD0E72" w:rsidRPr="007F3DC4" w:rsidRDefault="00DD0E72" w:rsidP="00DD0E72">
      <w:pPr>
        <w:pStyle w:val="SingleTxtG"/>
        <w:tabs>
          <w:tab w:val="left" w:pos="5529"/>
        </w:tabs>
        <w:ind w:left="1701"/>
      </w:pPr>
      <w:r>
        <w:t xml:space="preserve">Латиноамериканские и карибские государства </w:t>
      </w:r>
      <w:r>
        <w:tab/>
        <w:t>15</w:t>
      </w:r>
    </w:p>
    <w:p w14:paraId="64D1DCB8" w14:textId="77777777" w:rsidR="00DD0E72" w:rsidRPr="007F3DC4" w:rsidRDefault="00DD0E72" w:rsidP="00DD0E72">
      <w:pPr>
        <w:pStyle w:val="SingleTxtG"/>
        <w:tabs>
          <w:tab w:val="left" w:pos="5529"/>
        </w:tabs>
        <w:ind w:left="1701"/>
      </w:pPr>
      <w:r>
        <w:t>Западноевропейские и другие государства</w:t>
      </w:r>
      <w:r>
        <w:tab/>
      </w:r>
      <w:r w:rsidR="00E2488C">
        <w:tab/>
      </w:r>
      <w:r w:rsidR="00E2488C">
        <w:tab/>
      </w:r>
      <w:r>
        <w:t>21</w:t>
      </w:r>
    </w:p>
    <w:p w14:paraId="620D7754" w14:textId="77777777" w:rsidR="00DD0E72" w:rsidRPr="007F3DC4" w:rsidRDefault="00DD0E72" w:rsidP="00DD0E72">
      <w:pPr>
        <w:pStyle w:val="SingleTxtG"/>
      </w:pPr>
      <w:r>
        <w:t>Факультативный протокол подписан следующими 13 государствами (представлены в</w:t>
      </w:r>
      <w:r w:rsidR="00E2488C">
        <w:t> </w:t>
      </w:r>
      <w:r>
        <w:t>разбивке по регионам):</w:t>
      </w:r>
    </w:p>
    <w:p w14:paraId="39A7AE5A" w14:textId="77777777" w:rsidR="00DD0E72" w:rsidRPr="007F3DC4" w:rsidRDefault="00DD0E72" w:rsidP="00DD0E72">
      <w:pPr>
        <w:pStyle w:val="SingleTxtG"/>
        <w:tabs>
          <w:tab w:val="left" w:pos="5529"/>
        </w:tabs>
        <w:ind w:left="1701"/>
      </w:pPr>
      <w:r>
        <w:t>Государства Африки</w:t>
      </w:r>
      <w:r>
        <w:tab/>
      </w:r>
      <w:r w:rsidR="00E2488C">
        <w:tab/>
      </w:r>
      <w:r w:rsidR="00E2488C">
        <w:tab/>
      </w:r>
      <w:r>
        <w:t>8</w:t>
      </w:r>
    </w:p>
    <w:p w14:paraId="70D88E8E" w14:textId="77777777" w:rsidR="00DD0E72" w:rsidRPr="007F3DC4" w:rsidRDefault="00DD0E72" w:rsidP="00DD0E72">
      <w:pPr>
        <w:pStyle w:val="SingleTxtG"/>
        <w:tabs>
          <w:tab w:val="left" w:pos="5529"/>
        </w:tabs>
        <w:ind w:left="1701"/>
      </w:pPr>
      <w:r>
        <w:t>Государства Азии и Тихого океана</w:t>
      </w:r>
      <w:r>
        <w:tab/>
      </w:r>
      <w:r w:rsidR="00E2488C">
        <w:tab/>
      </w:r>
      <w:r w:rsidR="00E2488C">
        <w:tab/>
      </w:r>
      <w:r>
        <w:t>1</w:t>
      </w:r>
    </w:p>
    <w:p w14:paraId="3EE1D1F3" w14:textId="77777777" w:rsidR="00DD0E72" w:rsidRPr="007F3DC4" w:rsidRDefault="00DD0E72" w:rsidP="00DD0E72">
      <w:pPr>
        <w:pStyle w:val="SingleTxtG"/>
        <w:tabs>
          <w:tab w:val="left" w:pos="5529"/>
        </w:tabs>
        <w:ind w:left="1701"/>
      </w:pPr>
      <w:r>
        <w:t>Государства Восточной Европы</w:t>
      </w:r>
      <w:r>
        <w:tab/>
      </w:r>
      <w:r w:rsidR="00E2488C">
        <w:tab/>
      </w:r>
      <w:r w:rsidR="00E2488C">
        <w:tab/>
      </w:r>
      <w:r>
        <w:t>1</w:t>
      </w:r>
    </w:p>
    <w:p w14:paraId="7840348F" w14:textId="77777777" w:rsidR="00DD0E72" w:rsidRPr="007F3DC4" w:rsidRDefault="00DD0E72" w:rsidP="00DD0E72">
      <w:pPr>
        <w:pStyle w:val="SingleTxtG"/>
        <w:tabs>
          <w:tab w:val="left" w:pos="5529"/>
        </w:tabs>
        <w:ind w:left="1701"/>
      </w:pPr>
      <w:r>
        <w:t xml:space="preserve">Латиноамериканские и карибские государства </w:t>
      </w:r>
      <w:r>
        <w:tab/>
        <w:t>1</w:t>
      </w:r>
    </w:p>
    <w:p w14:paraId="522D579F" w14:textId="77777777" w:rsidR="00DD0E72" w:rsidRPr="007F3DC4" w:rsidRDefault="00DD0E72" w:rsidP="00DD0E72">
      <w:pPr>
        <w:pStyle w:val="SingleTxtG"/>
        <w:tabs>
          <w:tab w:val="left" w:pos="5529"/>
        </w:tabs>
        <w:ind w:left="1701"/>
      </w:pPr>
      <w:r>
        <w:t>Западноевропейские и другие государства</w:t>
      </w:r>
      <w:r>
        <w:tab/>
      </w:r>
      <w:r w:rsidR="00E2488C">
        <w:tab/>
      </w:r>
      <w:r w:rsidR="00E2488C">
        <w:tab/>
      </w:r>
      <w:r>
        <w:t>2</w:t>
      </w:r>
    </w:p>
    <w:p w14:paraId="30874A66" w14:textId="77777777" w:rsidR="00DD0E72" w:rsidRPr="007F3DC4" w:rsidRDefault="00DD0E72" w:rsidP="00DD0E72">
      <w:pPr>
        <w:pStyle w:val="H1G"/>
      </w:pPr>
      <w:r>
        <w:tab/>
        <w:t>B.</w:t>
      </w:r>
      <w:r>
        <w:tab/>
      </w:r>
      <w:r>
        <w:rPr>
          <w:bCs/>
        </w:rPr>
        <w:t>Организация работы и членский состав</w:t>
      </w:r>
      <w:bookmarkStart w:id="5" w:name="_Toc534899836"/>
      <w:bookmarkEnd w:id="5"/>
    </w:p>
    <w:p w14:paraId="513E0A83" w14:textId="77777777" w:rsidR="00DD0E72" w:rsidRPr="007F3DC4" w:rsidRDefault="00DD0E72" w:rsidP="00DD0E72">
      <w:pPr>
        <w:pStyle w:val="SingleTxtG"/>
      </w:pPr>
      <w:r>
        <w:t>3.</w:t>
      </w:r>
      <w:r>
        <w:tab/>
        <w:t>За отчетный период Подкомитет провел три однонедельные сессии в Женеве: тридцать седьмую сессию (18–22 февраля), тридцать восьмую сессию (17–21 июня) и тридцать девятую сессию (18–22 ноября).</w:t>
      </w:r>
    </w:p>
    <w:p w14:paraId="54262D2A" w14:textId="77777777" w:rsidR="00DD0E72" w:rsidRPr="007F3DC4" w:rsidRDefault="00DD0E72" w:rsidP="00DD0E72">
      <w:pPr>
        <w:pStyle w:val="SingleTxtG"/>
      </w:pPr>
      <w:r>
        <w:t>4.</w:t>
      </w:r>
      <w:r>
        <w:tab/>
        <w:t>В 2018 году членский состав Подкомитета изменился</w:t>
      </w:r>
      <w:r w:rsidRPr="008835A6">
        <w:rPr>
          <w:rStyle w:val="FootnoteReference"/>
        </w:rPr>
        <w:footnoteReference w:id="1"/>
      </w:r>
      <w:r>
        <w:t>. В соответствии с правилом 9 правил процедуры Подкомитета после принятия присяги на его тридцать седьмой сессии к исполнению своих обязанностей</w:t>
      </w:r>
      <w:r w:rsidRPr="00815387">
        <w:t xml:space="preserve"> </w:t>
      </w:r>
      <w:r>
        <w:t>приступили</w:t>
      </w:r>
      <w:r w:rsidRPr="00815387">
        <w:t xml:space="preserve"> </w:t>
      </w:r>
      <w:r>
        <w:t>следующие восемь новоизбранных членов Подкомитета: Патрисия Ариас, Кармен Комас-Мата Мира, Амет Салум Диакате, Сюзанна Джаббур</w:t>
      </w:r>
      <w:r w:rsidRPr="008835A6">
        <w:rPr>
          <w:rStyle w:val="FootnoteReference"/>
        </w:rPr>
        <w:footnoteReference w:id="2"/>
      </w:r>
      <w:r>
        <w:t>, Ника Кварацхелия, Мария Луиса Ромер, Хуан Пабло Вегас и София Видали.</w:t>
      </w:r>
    </w:p>
    <w:p w14:paraId="579F7B79" w14:textId="77777777" w:rsidR="00DD0E72" w:rsidRPr="007F3DC4" w:rsidRDefault="00DD0E72" w:rsidP="00E2488C">
      <w:pPr>
        <w:pStyle w:val="SingleTxtG"/>
        <w:pageBreakBefore/>
      </w:pPr>
      <w:r>
        <w:lastRenderedPageBreak/>
        <w:t>5.</w:t>
      </w:r>
      <w:r>
        <w:tab/>
        <w:t>Также на своей тридцать седьмой сессии Подкомитет вновь избрал своим Председателем сэра Малькольма Эванса и избрал следующих членов в качестве заместителей Председателя и членов Бюро: Сюзанну Джаббур (заместитель Председателя по внешним сношениям), Абдаллу Уннира (правоприменительная практика и докладчик Подкомитета), Нору Свеосс (заместитель Председателя по посещениям) и Виктора Захарию (заместитель Председателя по национальным превентивным механизмам). Подкомитет назначил Сатиябхушуна Гупта Домаха на двухлетний срок докладчиком по вопросу о репрессиях.</w:t>
      </w:r>
    </w:p>
    <w:p w14:paraId="1C50BB48" w14:textId="77777777" w:rsidR="00DD0E72" w:rsidRPr="007F3DC4" w:rsidRDefault="00DD0E72" w:rsidP="00DD0E72">
      <w:pPr>
        <w:pStyle w:val="SingleTxtG"/>
      </w:pPr>
      <w:r>
        <w:t>6.</w:t>
      </w:r>
      <w:r>
        <w:tab/>
        <w:t>7 октября Хаймуд Рамдан вышел из состава Подкомитета после своего назначения на пост Министра юстиции Мавритании. В соответствии с процедурой, предусмотренной в статье 8 Факультативного протокола,</w:t>
      </w:r>
      <w:r w:rsidRPr="00EA79C6">
        <w:t xml:space="preserve"> </w:t>
      </w:r>
      <w:r>
        <w:t xml:space="preserve">государство-участник выдвинуло кандидатуру Шейха Турада Абдель Малика для замены г-на Рамдана на оставшийся срок его полномочий. Поскольку ни одно из государств-участников не отреагировало отрицательно на выдвижение кандидатуры в течение шестинедельного периода после того, как Генеральный секретарь сообщил об этом, г-н Малик приступил к исполнению своих обязанностей 30 ноября и будет приведен к присяге на сороковой сессии. </w:t>
      </w:r>
    </w:p>
    <w:p w14:paraId="602D8954" w14:textId="77777777" w:rsidR="00DD0E72" w:rsidRPr="007F3DC4" w:rsidRDefault="00DD0E72" w:rsidP="00DD0E72">
      <w:pPr>
        <w:pStyle w:val="SingleTxtG"/>
      </w:pPr>
      <w:r>
        <w:t>7.</w:t>
      </w:r>
      <w:r>
        <w:tab/>
        <w:t>На тридцать девятой сессии Маргарет Остерфельд вышла из состава Подкомитета по личным причинам. Германия выдвинула кандидатуру Марины Лангфельдт для замены г-жи Остерфельд на оставшийся срок ее полномочий в соответствии с процедурой, предусмотренной в статье 8 Факультативного протокола. Поскольку ни одно из государств-участников не отреагировало отрицательно на выдвижение кандидатуры в течение шестинедельного периода после того, как Генеральный секретарь сообщил об этом, г-жа Лангфельдт приступила к исполнению своих обязанностей 8 января 2020 года и будет приведена к присяге на сороковой сессии.</w:t>
      </w:r>
    </w:p>
    <w:p w14:paraId="4DFA42FE" w14:textId="77777777" w:rsidR="00DD0E72" w:rsidRPr="007F3DC4" w:rsidRDefault="00DD0E72" w:rsidP="00DD0E72">
      <w:pPr>
        <w:pStyle w:val="SingleTxtG"/>
      </w:pPr>
      <w:r>
        <w:t>8.</w:t>
      </w:r>
      <w:r>
        <w:tab/>
        <w:t>С учетом увеличения числа государств – участников Факультативного протокола Подкомитет принял решение о реструктуризации членского состава своих региональных групп, а также о реструктуризации и реорганизации состава своих рабочих групп.</w:t>
      </w:r>
    </w:p>
    <w:p w14:paraId="14E8DE32" w14:textId="77777777" w:rsidR="00DD0E72" w:rsidRPr="007F3DC4" w:rsidRDefault="00DD0E72" w:rsidP="00DD0E72">
      <w:pPr>
        <w:pStyle w:val="SingleTxtG"/>
      </w:pPr>
      <w:r>
        <w:t>9.</w:t>
      </w:r>
      <w:r>
        <w:tab/>
        <w:t xml:space="preserve">Региональные группы анализируют осуществление Факультативного протокола в своем регионе, представляют Подкомитету доклад на его пленарном заседании и при необходимости выносят рекомендации. По состоянию на 31 декабря 2019 года руководителями региональных групп назначены следующие лица: для Африки </w:t>
      </w:r>
      <w:r w:rsidR="00E2488C">
        <w:t>–</w:t>
      </w:r>
      <w:r>
        <w:t xml:space="preserve"> Гнамби Гарба Коджо (заменит Абдаллу Уннира после тридцать седьмой сессии), для Азии и Тихого океана – Джун Каридад Пагадуан Лопес, для Европы </w:t>
      </w:r>
      <w:r w:rsidR="00FB5318">
        <w:t>–</w:t>
      </w:r>
      <w:r>
        <w:t xml:space="preserve"> Дэниел Финк и для Латинской Америки </w:t>
      </w:r>
      <w:r w:rsidR="00E2488C">
        <w:t>–</w:t>
      </w:r>
      <w:r>
        <w:t xml:space="preserve"> Мария Долорес Гомес (вместо Роберто Феера Переса после тридцать восьмой сессии). Состав региональных групп размещен на веб-сайте Подкомитета</w:t>
      </w:r>
      <w:r w:rsidRPr="008835A6">
        <w:rPr>
          <w:rStyle w:val="FootnoteReference"/>
        </w:rPr>
        <w:footnoteReference w:id="3"/>
      </w:r>
      <w:r>
        <w:t>.</w:t>
      </w:r>
    </w:p>
    <w:p w14:paraId="44A0E86C" w14:textId="77777777" w:rsidR="00DD0E72" w:rsidRPr="007F3DC4" w:rsidRDefault="00DD0E72" w:rsidP="00DD0E72">
      <w:pPr>
        <w:pStyle w:val="SingleTxtG"/>
      </w:pPr>
      <w:r>
        <w:t>10.</w:t>
      </w:r>
      <w:r>
        <w:tab/>
        <w:t xml:space="preserve">Постоянные и специальные рабочие группы Подкомитета в течение 2019 года заседали по мере необходимости и по мере своей возможности. На своей тридцать восьмой сессии Подкомитет постановил учредить две рабочие группы: одну </w:t>
      </w:r>
      <w:r w:rsidR="00E2488C">
        <w:t>–</w:t>
      </w:r>
      <w:r>
        <w:t xml:space="preserve"> по юриспруденции и практике, а другую </w:t>
      </w:r>
      <w:r w:rsidR="00E2488C">
        <w:t>–</w:t>
      </w:r>
      <w:r>
        <w:t xml:space="preserve"> по медицинским аспектам предупреждения пыток (см. также раздел IV ниже). Подкомитет считает, что совещания в формате подгрупп и рабочих групп способствуют эффективному, целенаправленному и основанному на участии обсуждению широкого круга вопросов.</w:t>
      </w:r>
    </w:p>
    <w:p w14:paraId="6C016347" w14:textId="77777777" w:rsidR="00DD0E72" w:rsidRPr="007F3DC4" w:rsidRDefault="00DD0E72" w:rsidP="00DD0E72">
      <w:pPr>
        <w:pStyle w:val="SingleTxtG"/>
      </w:pPr>
      <w:r>
        <w:t>11.</w:t>
      </w:r>
      <w:r>
        <w:tab/>
        <w:t>В ходе тридцать восьмой сессии Подкомитет впервые провел заседания в формате двух секций: один день для заседаний региональных групп и один день для заседаний рабочих групп. Это значительно облегчило работу Подкомитета, позволив членам обеих рабочих групп получить устный перевод на три рабочих языка Подкомитета. Такой порядок работы был также возможен на тридцать девятой сессии.</w:t>
      </w:r>
    </w:p>
    <w:p w14:paraId="0C4A9827" w14:textId="77777777" w:rsidR="00DD0E72" w:rsidRPr="007F3DC4" w:rsidRDefault="00DD0E72" w:rsidP="00E2488C">
      <w:pPr>
        <w:pStyle w:val="SingleTxtG"/>
        <w:pageBreakBefore/>
      </w:pPr>
      <w:r>
        <w:lastRenderedPageBreak/>
        <w:t>12.</w:t>
      </w:r>
      <w:r>
        <w:tab/>
        <w:t>На своей тридцать седьмой сессии Подкомитет провел совещание с представителями Совета Европы по проекту дополнительного протокола к Конвенции о защите прав человека и человеческого достоинства в связи с применением биологии и медицины; Бюро и руководители региональных групп встретились с Ассоциацией за предотвращение пыток.</w:t>
      </w:r>
    </w:p>
    <w:p w14:paraId="24BBBF4D" w14:textId="77777777" w:rsidR="00DD0E72" w:rsidRPr="007F3DC4" w:rsidRDefault="00DD0E72" w:rsidP="00DD0E72">
      <w:pPr>
        <w:pStyle w:val="SingleTxtG"/>
      </w:pPr>
      <w:r>
        <w:t>13.</w:t>
      </w:r>
      <w:r>
        <w:tab/>
        <w:t xml:space="preserve">На своей тридцать восьмой сессии Подкомитет провел совещание с представителями Европейского комитета по предупреждению пыток и бесчеловечных или унижающих достоинство видов обращения и наказания для рассмотрения вопроса об осуществлении обмена письмами между Подкомитетом и Европейским комитетом в рамках статьи 31 Факультативного протокола к Конвенции против пыток. Бюро и руководители региональных групп встретились с Ассоциацией за предотвращение пыток. </w:t>
      </w:r>
    </w:p>
    <w:p w14:paraId="51A6AA1D" w14:textId="77777777" w:rsidR="00DD0E72" w:rsidRPr="007F3DC4" w:rsidRDefault="00DD0E72" w:rsidP="00DD0E72">
      <w:pPr>
        <w:pStyle w:val="SingleTxtG"/>
      </w:pPr>
      <w:r>
        <w:t>14.</w:t>
      </w:r>
      <w:r>
        <w:tab/>
        <w:t xml:space="preserve">На тридцать девятой сессии Бюро и руководители региональных групп провели совещание с представителями Ассоциации за предотвращение пыток. </w:t>
      </w:r>
    </w:p>
    <w:p w14:paraId="01D8FCC5" w14:textId="77777777" w:rsidR="00DD0E72" w:rsidRPr="007F3DC4" w:rsidRDefault="00DD0E72" w:rsidP="00DD0E72">
      <w:pPr>
        <w:pStyle w:val="SingleTxtG"/>
      </w:pPr>
      <w:r>
        <w:t>15.</w:t>
      </w:r>
      <w:r>
        <w:tab/>
        <w:t>На своей тридцать девятой сессии Подкомитет встретился с представителями Комитета против пыток для обсуждения вопросов, представляющих общий интерес.</w:t>
      </w:r>
    </w:p>
    <w:p w14:paraId="7C65CA0F" w14:textId="77777777" w:rsidR="00DD0E72" w:rsidRPr="007F3DC4" w:rsidRDefault="00DD0E72" w:rsidP="00DD0E72">
      <w:pPr>
        <w:pStyle w:val="H1G"/>
      </w:pPr>
      <w:r>
        <w:tab/>
        <w:t>C.</w:t>
      </w:r>
      <w:r>
        <w:tab/>
      </w:r>
      <w:r>
        <w:rPr>
          <w:bCs/>
        </w:rPr>
        <w:t>Посещения, проведенные за отчетный период</w:t>
      </w:r>
      <w:bookmarkStart w:id="6" w:name="_Toc534899837"/>
      <w:bookmarkEnd w:id="6"/>
    </w:p>
    <w:p w14:paraId="6805A001" w14:textId="77777777" w:rsidR="00DD0E72" w:rsidRPr="007F3DC4" w:rsidRDefault="00DD0E72" w:rsidP="00DD0E72">
      <w:pPr>
        <w:pStyle w:val="SingleTxtG"/>
      </w:pPr>
      <w:r>
        <w:t>16.</w:t>
      </w:r>
      <w:r>
        <w:tab/>
        <w:t>Хотя в соответствии со своим мандатом, предусмотренным в статьях 11</w:t>
      </w:r>
      <w:r w:rsidR="00E2488C">
        <w:t>–</w:t>
      </w:r>
      <w:r>
        <w:t xml:space="preserve">13 Факультативного протокола Подкомитет планировал в 2019 году провести десять официальных посещений, он смог осуществить лишь семь: в Швейцарию (27 января </w:t>
      </w:r>
      <w:r w:rsidR="00E2488C">
        <w:t>–</w:t>
      </w:r>
      <w:r>
        <w:t xml:space="preserve"> 7 февраля), Коста-Рику (3</w:t>
      </w:r>
      <w:r w:rsidR="00E2488C">
        <w:t>–</w:t>
      </w:r>
      <w:r>
        <w:t>14 марта), Шри-Ланку (2</w:t>
      </w:r>
      <w:r w:rsidR="00E2488C">
        <w:t>–</w:t>
      </w:r>
      <w:r>
        <w:t>12 апреля), Сенегал (5</w:t>
      </w:r>
      <w:r w:rsidR="00E2488C">
        <w:t>–</w:t>
      </w:r>
      <w:r>
        <w:t xml:space="preserve">16 мая), Гану (26 мая </w:t>
      </w:r>
      <w:r w:rsidR="00E2488C">
        <w:t>–</w:t>
      </w:r>
      <w:r>
        <w:t xml:space="preserve"> 1 июня), Соединенное Королевство Великобритании и Северной Ирландии (8</w:t>
      </w:r>
      <w:r w:rsidR="00E2488C">
        <w:t>–</w:t>
      </w:r>
      <w:r>
        <w:t xml:space="preserve">19 сентября) и Кабо-Верде (29 сентября </w:t>
      </w:r>
      <w:r w:rsidR="00E2488C">
        <w:t>–</w:t>
      </w:r>
      <w:r>
        <w:t xml:space="preserve"> 10 октября). Из-за финансовых трудностей Организации Объединенных Наций запланированные поездки в Болгарию</w:t>
      </w:r>
      <w:r w:rsidR="00E2488C">
        <w:t> </w:t>
      </w:r>
      <w:r>
        <w:t>(13</w:t>
      </w:r>
      <w:r w:rsidR="00E2488C">
        <w:t>–</w:t>
      </w:r>
      <w:r>
        <w:t>24 октября) и Парагвай пришлось отложить до 2020 года. Запланированное посещение Государства Палестина (5</w:t>
      </w:r>
      <w:r w:rsidR="00E2488C">
        <w:t>–</w:t>
      </w:r>
      <w:r>
        <w:t>12 апреля) оказалось невозможным по административным причинам, не связанным с государством-участником или Подкомитетом, и было отложено на неопределенный срок. Тот факт, что Подкомитет не смог осуществить три посещения, объясняет уменьшение числа поездок за 2019 год.</w:t>
      </w:r>
    </w:p>
    <w:p w14:paraId="3AD82F30" w14:textId="77777777" w:rsidR="00DD0E72" w:rsidRPr="00815387" w:rsidRDefault="00DD0E72" w:rsidP="00DD0E72">
      <w:pPr>
        <w:pStyle w:val="SingleTxtG"/>
      </w:pPr>
      <w:r>
        <w:t>17.</w:t>
      </w:r>
      <w:r>
        <w:tab/>
        <w:t>В ходе своих официальных посещений в 2019 году Подкомитет провел более 950 индивидуальных или коллективных бесед с более чем 1</w:t>
      </w:r>
      <w:r w:rsidR="00E2488C">
        <w:t xml:space="preserve"> </w:t>
      </w:r>
      <w:r>
        <w:t>500 лиц</w:t>
      </w:r>
      <w:r w:rsidR="00FB5318">
        <w:t>ами</w:t>
      </w:r>
      <w:r>
        <w:t>, главным образом с лицами, содержащимися под стражей, а также с должностными лицами, сотрудниками правоохранительных органов и медицинским персоналом. Он посетил, в частности, 45 тюрем, включая женские учреждения, 57 полицейских участков, 4</w:t>
      </w:r>
      <w:r w:rsidR="00E2488C">
        <w:t> </w:t>
      </w:r>
      <w:r>
        <w:t xml:space="preserve">центра содержания под стражей несовершеннолетних, 8 психиатрических и медицинских учреждений, 10 закрытых центров для не имеющих документов мигрантов и 10 других мест лишения свободы, таких как закрытые реабилитационные центры, судебные камеры, молитвенные лагеря и закрытые коранические школы. </w:t>
      </w:r>
    </w:p>
    <w:p w14:paraId="129722B3" w14:textId="77777777" w:rsidR="00DD0E72" w:rsidRPr="007F3DC4" w:rsidRDefault="00DD0E72" w:rsidP="00DD0E72">
      <w:pPr>
        <w:pStyle w:val="SingleTxtG"/>
      </w:pPr>
      <w:r>
        <w:t>18.</w:t>
      </w:r>
      <w:r>
        <w:tab/>
        <w:t>Дополнительная фактическая информация содержится в пресс-релизах, выпускаемых после каждой поездки и сессии Подкомитета</w:t>
      </w:r>
      <w:r w:rsidRPr="008835A6">
        <w:rPr>
          <w:rStyle w:val="FootnoteReference"/>
        </w:rPr>
        <w:footnoteReference w:id="4"/>
      </w:r>
      <w:r>
        <w:t>.</w:t>
      </w:r>
    </w:p>
    <w:p w14:paraId="4B1AF3D6" w14:textId="77777777" w:rsidR="00DD0E72" w:rsidRPr="007F3DC4" w:rsidRDefault="00DD0E72" w:rsidP="00DD0E72">
      <w:pPr>
        <w:pStyle w:val="H1G"/>
      </w:pPr>
      <w:r>
        <w:tab/>
        <w:t>D.</w:t>
      </w:r>
      <w:r>
        <w:tab/>
        <w:t>Диалог, вытекающий из посещений, включая публикацию докладов Подкомитета по предупреждению пыток государствами-участниками и национальными превентивными механизмами</w:t>
      </w:r>
      <w:r>
        <w:rPr>
          <w:bCs/>
        </w:rPr>
        <w:t xml:space="preserve"> </w:t>
      </w:r>
      <w:bookmarkStart w:id="7" w:name="_Toc534899838"/>
      <w:bookmarkEnd w:id="7"/>
    </w:p>
    <w:p w14:paraId="6409252B" w14:textId="77777777" w:rsidR="00DD0E72" w:rsidRPr="007F3DC4" w:rsidRDefault="00DD0E72" w:rsidP="00DD0E72">
      <w:pPr>
        <w:pStyle w:val="SingleTxtG"/>
      </w:pPr>
      <w:r>
        <w:t>19.</w:t>
      </w:r>
      <w:r>
        <w:tab/>
        <w:t xml:space="preserve">Основные аспекты диалога в связи с поездками носят конфиденциальный характер. Доклады публично распространяются только с согласия получателя. К концу 2019 года Подкомитет препроводил государствам в общей сложности 87 докладов по итогам посещений, в том числе за отчетный период Белизу, Буркина-Фасо, Коста-Рике (включая национальный превентивный механизм), Кыргызстану (включая </w:t>
      </w:r>
      <w:r>
        <w:lastRenderedPageBreak/>
        <w:t xml:space="preserve">национальный превентивный механизм), Либерии, Марокко и Польше (включая национальный превентивный механизм). </w:t>
      </w:r>
    </w:p>
    <w:p w14:paraId="4DE3C6F3" w14:textId="77777777" w:rsidR="00DD0E72" w:rsidRPr="007F3DC4" w:rsidRDefault="00DD0E72" w:rsidP="00DD0E72">
      <w:pPr>
        <w:pStyle w:val="SingleTxtG"/>
      </w:pPr>
      <w:r>
        <w:t>20.</w:t>
      </w:r>
      <w:r>
        <w:tab/>
        <w:t>По просьбе государств-участников или национальных превентивных механизмов в соответствии с пунктом 2 статьи 16 Факультативного протокола был опубликован в общей сложности 51 доклад о посещениях, в том числе 7 докладов в 2019 году, а именно доклады в связи с посещением, адресованные Португалии, Испании, Турции и Уругваю, а также доклады, адресованные национальным превентивным механизмам Коста-Рики, Кыргызстана и Португалии. Соблюдая в полной мере закрепленные в Факультативном протоколе принцип конфиденциальности и право на конфиденциальность, Подкомитет приветствует увеличение числа публикуемых докладов о посещениях, полагая, что это соответствует духу прозрачности, лежащему в основе превентивных посещений, и способствует более действенному выполнению соответствующих рекомендаций. Подкомитет призывает получателей докладов направлять запросы об их опубликовании.</w:t>
      </w:r>
    </w:p>
    <w:p w14:paraId="36543A6F" w14:textId="77777777" w:rsidR="00DD0E72" w:rsidRPr="007F3DC4" w:rsidRDefault="00DD0E72" w:rsidP="00DD0E72">
      <w:pPr>
        <w:pStyle w:val="SingleTxtG"/>
      </w:pPr>
      <w:r>
        <w:t>21.</w:t>
      </w:r>
      <w:r>
        <w:tab/>
        <w:t xml:space="preserve">В соответствии с установившейся практикой получателям докладов предлагается в течение шести месяцев с момента препровождения доклада представить на него письменные ответы, сообщив подробную информацию о принятых и запланированных мерах по выполнению содержащихся в докладе рекомендаций. В отчетный период Подкомитет получил такие ответы от Португалии, Турции и Уругвая. </w:t>
      </w:r>
    </w:p>
    <w:p w14:paraId="58528C37" w14:textId="77777777" w:rsidR="00DD0E72" w:rsidRPr="007F3DC4" w:rsidRDefault="00DD0E72" w:rsidP="00DD0E72">
      <w:pPr>
        <w:pStyle w:val="SingleTxtG"/>
      </w:pPr>
      <w:r>
        <w:t>22.</w:t>
      </w:r>
      <w:r>
        <w:tab/>
        <w:t xml:space="preserve">В соответствии с установившейся практикой в течение отчетного периода Подкомитет провел предварительные подготовительные совещания с каждым из государств-участников, которое планировалось посетить, предложив каждому из них провести в ходе следующей сессии встречу для обсуждения оптимальных путей развития диалога после посещения. </w:t>
      </w:r>
    </w:p>
    <w:p w14:paraId="71D9F64A" w14:textId="77777777" w:rsidR="00DD0E72" w:rsidRPr="007F3DC4" w:rsidRDefault="00DD0E72" w:rsidP="00DD0E72">
      <w:pPr>
        <w:pStyle w:val="H1G"/>
      </w:pPr>
      <w:r>
        <w:tab/>
        <w:t>E.</w:t>
      </w:r>
      <w:r>
        <w:tab/>
      </w:r>
      <w:r>
        <w:rPr>
          <w:bCs/>
        </w:rPr>
        <w:t>Положение дел с национальными превентивными механизмами</w:t>
      </w:r>
      <w:bookmarkStart w:id="8" w:name="_Toc534899839"/>
      <w:bookmarkEnd w:id="8"/>
    </w:p>
    <w:p w14:paraId="51CA6CB1" w14:textId="77777777" w:rsidR="00DD0E72" w:rsidRPr="007F3DC4" w:rsidRDefault="00DD0E72" w:rsidP="00DD0E72">
      <w:pPr>
        <w:pStyle w:val="SingleTxtG"/>
      </w:pPr>
      <w:r>
        <w:t>23.</w:t>
      </w:r>
      <w:r>
        <w:tab/>
        <w:t xml:space="preserve">На своих сессиях Подкомитет продолжал поддерживать диалог с государствами-участниками и подписавшими Факультативный протокол государствами по вопросам назначения или функционирования их национальных превентивных механизмов. На своих тридцать седьмой, тридцать восьмой и тридцать девятой сессиях он провел совещания или телеконференции с представителями следующих стран: Австралия, Аргентина, Белиз, Бенин, </w:t>
      </w:r>
      <w:r w:rsidR="00FB5318">
        <w:t xml:space="preserve">Боливарианская Республика Венесуэла, </w:t>
      </w:r>
      <w:r>
        <w:t>Босния и Герцеговина, Бразилия, Бурунди, Габон, Гватемала (национальный превентивный механизм), Гондурас (национальный превентивный механизм), Дания (национальный превентивный механизм), Демократическая Республика Конго, Кипр (национальный превентивный механизм), Колумбия (как страна, подписавшая протокол), Мадагаскар, Мальдивские Острова, Марокко, Мексика, Монголия,</w:t>
      </w:r>
      <w:r w:rsidR="00FB5318" w:rsidRPr="00FB5318">
        <w:t xml:space="preserve"> </w:t>
      </w:r>
      <w:r w:rsidR="00FB5318">
        <w:t>Многонациональное государство Боливия,</w:t>
      </w:r>
      <w:r>
        <w:t xml:space="preserve"> Нигер, Нигерия, Никарагуа, Новая Зеландия (национальный превентивный механизм), Панама (национальный превентивный механизм), Перу (национальный превентивный механизм), Польша, Португалия, Сальвадор, Соединенное Королевство Великобритании и Северной Ирландии (национальный превентивный механизм), Уругвай (национальный превентивный механизм), Чили, Эквадор</w:t>
      </w:r>
      <w:r w:rsidR="00FB5318">
        <w:t xml:space="preserve">, </w:t>
      </w:r>
      <w:r>
        <w:t>Южный Судан</w:t>
      </w:r>
      <w:r w:rsidR="00FB5318">
        <w:t xml:space="preserve"> и Государство Палестина</w:t>
      </w:r>
      <w:r>
        <w:t>.</w:t>
      </w:r>
    </w:p>
    <w:p w14:paraId="5DB8AD39" w14:textId="77777777" w:rsidR="00DD0E72" w:rsidRPr="007F3DC4" w:rsidRDefault="00DD0E72" w:rsidP="00DD0E72">
      <w:pPr>
        <w:pStyle w:val="SingleTxtG"/>
      </w:pPr>
      <w:r>
        <w:t>24.</w:t>
      </w:r>
      <w:r>
        <w:tab/>
        <w:t>В соответствии со своим мандатом, предусмотренным в пункте b) ii) статьи 11 Факультативного протокола, Подкомитет по предупреждению пыток установил и поддерживал прямые контакты с национальными превентивными механизмами. В</w:t>
      </w:r>
      <w:r w:rsidR="00E2488C">
        <w:t> </w:t>
      </w:r>
      <w:r>
        <w:t xml:space="preserve">ходе своих сессий в 2019 году, помимо встреч с ними в ходе посещений, Подкомитет встречался или проводил видеоконференции с национальными превентивными механизмами Гватемалы, Гондураса, Дании, Кипра, Новой Зеландии, Панамы, Перу, Соединенного Королевства Великобритании и Северной Ирландии и Уругвая. </w:t>
      </w:r>
    </w:p>
    <w:p w14:paraId="10DA4544" w14:textId="77777777" w:rsidR="00DD0E72" w:rsidRPr="007F3DC4" w:rsidRDefault="00DD0E72" w:rsidP="00FB5318">
      <w:pPr>
        <w:pStyle w:val="SingleTxtG"/>
        <w:pageBreakBefore/>
      </w:pPr>
      <w:r>
        <w:lastRenderedPageBreak/>
        <w:t>25.</w:t>
      </w:r>
      <w:r>
        <w:tab/>
        <w:t>Подкомитет и его члены продолжают получать приглашения к участию в многочисленных национальных, региональных и международных совещаниях, в частности по вопросам назначения, учреждения и развития национальных превентивных механизмов и в целом по Факультативному протоколу. Подкомитет выражает признательность организаторам этих и всех других мероприятий, на которые он был приглашен. Он выражает сожаление по поводу того, что его участие по-прежнему зависит от финансовой поддержки других сторон, поскольку он не обладает бюджетными средствами для финансирования участия своих членов в таких мероприятиях. Подкомитет был бы также признателен, если бы все приглашения на официальные мероприятия и обсуждения направлялись через секретариат Подкомитета Управлению Верховного комиссара Организации Объединенных Наций по правам человека (УВКПЧ).</w:t>
      </w:r>
    </w:p>
    <w:p w14:paraId="20A00836" w14:textId="77777777" w:rsidR="00DD0E72" w:rsidRPr="007F3DC4" w:rsidRDefault="00DD0E72" w:rsidP="00DD0E72">
      <w:pPr>
        <w:pStyle w:val="H1G"/>
      </w:pPr>
      <w:r>
        <w:tab/>
        <w:t>F.</w:t>
      </w:r>
      <w:r>
        <w:tab/>
      </w:r>
      <w:r>
        <w:rPr>
          <w:bCs/>
        </w:rPr>
        <w:t>Существенное несоблюдение статьи 17</w:t>
      </w:r>
      <w:bookmarkStart w:id="9" w:name="_Toc534899840"/>
      <w:bookmarkEnd w:id="9"/>
    </w:p>
    <w:p w14:paraId="3667D689" w14:textId="77777777" w:rsidR="00DD0E72" w:rsidRPr="007F3DC4" w:rsidRDefault="00DD0E72" w:rsidP="00DD0E72">
      <w:pPr>
        <w:pStyle w:val="SingleTxtG"/>
      </w:pPr>
      <w:r>
        <w:t>26.</w:t>
      </w:r>
      <w:r>
        <w:tab/>
        <w:t>На своей двадцать седьмой сессии Подкомитет решил определить государства-участники, которые существенно запаздывают с созданием своих национальных превентивных механизмов, и включить их в список</w:t>
      </w:r>
      <w:r w:rsidRPr="008835A6">
        <w:rPr>
          <w:rStyle w:val="FootnoteReference"/>
        </w:rPr>
        <w:footnoteReference w:id="5"/>
      </w:r>
      <w:r>
        <w:t>. Этот список пересматривается на каждой сессии Подкомитета, и государства-участники исключаются из него после достижения порогового уровня для такого исключения, а именно после того, как Подкомитет получает: a) уведомление об официальном назначении национального превентивного механизма и b) копии документации, обеспечивающей его создание и реальное функционирование. По состоянию на 31 декабря 2019 года в список были включены 13 государств-участников: Бенин,</w:t>
      </w:r>
      <w:r>
        <w:tab/>
        <w:t>Босния и Герцеговина, Буркина-Фасо, Бурунди, Габон, Демократическая Республика Конго, Либерия, Монголия, Науру, Нигер, Нигерия, Филиппины и Чили.</w:t>
      </w:r>
    </w:p>
    <w:p w14:paraId="489E1438" w14:textId="77777777" w:rsidR="00DD0E72" w:rsidRPr="007F3DC4" w:rsidRDefault="00DD0E72" w:rsidP="00DD0E72">
      <w:pPr>
        <w:pStyle w:val="SingleTxtG"/>
      </w:pPr>
      <w:r>
        <w:t>27.</w:t>
      </w:r>
      <w:r>
        <w:tab/>
        <w:t>Это по-прежнему вызывает серьезную обеспокоенность Подкомитета, особенно в свете того, что некоторые государства-участники, как представляется, не достигли существенного прогресса в выполнении своих обязательств.</w:t>
      </w:r>
    </w:p>
    <w:p w14:paraId="737A8900" w14:textId="77777777" w:rsidR="00DD0E72" w:rsidRPr="007F3DC4" w:rsidRDefault="00DD0E72" w:rsidP="00DD0E72">
      <w:pPr>
        <w:pStyle w:val="H1G"/>
      </w:pPr>
      <w:r>
        <w:tab/>
        <w:t>G.</w:t>
      </w:r>
      <w:r>
        <w:tab/>
      </w:r>
      <w:r>
        <w:rPr>
          <w:bCs/>
        </w:rPr>
        <w:t>Специальный фонд, учрежденный согласно Факультативному протоколу</w:t>
      </w:r>
      <w:r>
        <w:t xml:space="preserve"> </w:t>
      </w:r>
      <w:bookmarkStart w:id="10" w:name="_Toc534899841"/>
      <w:bookmarkEnd w:id="10"/>
    </w:p>
    <w:p w14:paraId="3EE6AAFA" w14:textId="77777777" w:rsidR="00DD0E72" w:rsidRPr="007F3DC4" w:rsidRDefault="00DD0E72" w:rsidP="00DD0E72">
      <w:pPr>
        <w:pStyle w:val="SingleTxtG"/>
      </w:pPr>
      <w:r>
        <w:t>28.</w:t>
      </w:r>
      <w:r>
        <w:tab/>
        <w:t>Средства Специального фонда, учрежденного в соответствии с пунктом 1 статьи 26 Факультативного протокола, направляются на поддержку проектов, имеющих целью создание или укрепление национальных превентивных механизмов, т. е. содействуют осуществлению соответствующих рекомендаций, препровожденных Подкомитетом государству-участнику по итогам его посещения. В 2019 году через Специальный фонд были выделены гранты в размере 276 494 долл. для поддержки 12</w:t>
      </w:r>
      <w:r w:rsidR="00E2488C">
        <w:t> </w:t>
      </w:r>
      <w:r>
        <w:t>проектов по предупреждению пыток в 10 государствах-участниках в ходе их осуществления в 2020 году. Подкомитет оказывает поддержку в оценке предложений по проектам и рекомендаций о предоставлении грантов.</w:t>
      </w:r>
    </w:p>
    <w:p w14:paraId="323A1AE7" w14:textId="77777777" w:rsidR="00DD0E72" w:rsidRPr="007F3DC4" w:rsidRDefault="00DD0E72" w:rsidP="00DD0E72">
      <w:pPr>
        <w:pStyle w:val="SingleTxtG"/>
      </w:pPr>
      <w:r w:rsidRPr="0078196D">
        <w:rPr>
          <w:spacing w:val="-2"/>
        </w:rPr>
        <w:t>29.</w:t>
      </w:r>
      <w:r w:rsidRPr="0078196D">
        <w:rPr>
          <w:spacing w:val="-2"/>
        </w:rPr>
        <w:tab/>
        <w:t xml:space="preserve">Подкомитет выражает глубокую признательность за взносы </w:t>
      </w:r>
      <w:r w:rsidR="00FB5318">
        <w:rPr>
          <w:spacing w:val="-2"/>
        </w:rPr>
        <w:t xml:space="preserve">в </w:t>
      </w:r>
      <w:r w:rsidRPr="0078196D">
        <w:rPr>
          <w:spacing w:val="-2"/>
        </w:rPr>
        <w:t>Специальный фонд, внесенные за отчетный период</w:t>
      </w:r>
      <w:r w:rsidR="00FB5318" w:rsidRPr="00FB5318">
        <w:rPr>
          <w:spacing w:val="-2"/>
        </w:rPr>
        <w:t xml:space="preserve"> </w:t>
      </w:r>
      <w:r w:rsidR="00FB5318" w:rsidRPr="0078196D">
        <w:rPr>
          <w:spacing w:val="-2"/>
        </w:rPr>
        <w:t>Германией (85 227 долл.)</w:t>
      </w:r>
      <w:r w:rsidR="00FB5318">
        <w:t>,</w:t>
      </w:r>
      <w:r w:rsidRPr="0078196D">
        <w:rPr>
          <w:spacing w:val="-2"/>
        </w:rPr>
        <w:t xml:space="preserve"> Испанией (32 822 долл.), </w:t>
      </w:r>
      <w:r>
        <w:t>Норвегией (108 318 долл.), Францией (55 741 долл.) и Чехией (8 703 долл.). Вместе с тем он по-прежнему осознает, что потребуются дополнительные взносы для поддержки проектов в течение цикла предоставления грантов в 2020–2021 годах и в последующий период. Специальный фонд является важным инструментом для поддержки и дополнения деятельности по выполнению рекомендаций Подкомитета, направленных на предупреждение пыток и жестокого обращения; поэтому Подкомитет настоятельно призывает государства и далее оказывать Специальному фонду необходимую финансовую поддержку.</w:t>
      </w:r>
    </w:p>
    <w:p w14:paraId="7A26E0D6" w14:textId="77777777" w:rsidR="00DD0E72" w:rsidRPr="007F3DC4" w:rsidRDefault="00DD0E72" w:rsidP="00DD0E72">
      <w:pPr>
        <w:pStyle w:val="HChG"/>
      </w:pPr>
      <w:r>
        <w:lastRenderedPageBreak/>
        <w:tab/>
        <w:t>III.</w:t>
      </w:r>
      <w:r>
        <w:tab/>
      </w:r>
      <w:r>
        <w:rPr>
          <w:bCs/>
        </w:rPr>
        <w:t>Взаимодействие с другими органами в области предупреждения пыток</w:t>
      </w:r>
      <w:bookmarkStart w:id="11" w:name="_Toc534899842"/>
      <w:bookmarkEnd w:id="11"/>
    </w:p>
    <w:p w14:paraId="408C788A" w14:textId="77777777" w:rsidR="00DD0E72" w:rsidRPr="007F3DC4" w:rsidRDefault="00DD0E72" w:rsidP="00DD0E72">
      <w:pPr>
        <w:pStyle w:val="H1G"/>
      </w:pPr>
      <w:r>
        <w:tab/>
        <w:t>A.</w:t>
      </w:r>
      <w:r>
        <w:tab/>
      </w:r>
      <w:r>
        <w:rPr>
          <w:bCs/>
        </w:rPr>
        <w:t>Международное сотрудничество</w:t>
      </w:r>
      <w:bookmarkStart w:id="12" w:name="_Toc534899843"/>
      <w:bookmarkEnd w:id="12"/>
    </w:p>
    <w:p w14:paraId="67F91747" w14:textId="77777777" w:rsidR="00DD0E72" w:rsidRPr="007F3DC4" w:rsidRDefault="00DD0E72" w:rsidP="00DD0E72">
      <w:pPr>
        <w:pStyle w:val="H23G"/>
      </w:pPr>
      <w:r>
        <w:tab/>
        <w:t>1.</w:t>
      </w:r>
      <w:r>
        <w:tab/>
      </w:r>
      <w:r>
        <w:rPr>
          <w:bCs/>
        </w:rPr>
        <w:t>Сотрудничество с другими органами Организации Объединенных Наций</w:t>
      </w:r>
    </w:p>
    <w:p w14:paraId="59FEF421" w14:textId="77777777" w:rsidR="00DD0E72" w:rsidRPr="007F3DC4" w:rsidRDefault="00DD0E72" w:rsidP="00DD0E72">
      <w:pPr>
        <w:pStyle w:val="SingleTxtG"/>
      </w:pPr>
      <w:r>
        <w:t>30.</w:t>
      </w:r>
      <w:r>
        <w:tab/>
        <w:t xml:space="preserve">Председатель Подкомитета обсудил двенадцатый ежегодный доклад Подкомитета (CAT/C/66/2) с Комитетом против пыток на пленарном заседании в ходе его шестьдесят шестой сессии. </w:t>
      </w:r>
    </w:p>
    <w:p w14:paraId="24E88110" w14:textId="77777777" w:rsidR="00DD0E72" w:rsidRPr="007F3DC4" w:rsidRDefault="00DD0E72" w:rsidP="00DD0E72">
      <w:pPr>
        <w:pStyle w:val="SingleTxtG"/>
      </w:pPr>
      <w:r>
        <w:t>31.</w:t>
      </w:r>
      <w:r>
        <w:tab/>
        <w:t xml:space="preserve">В соответствии с резолюцией 70/146 Генеральной Ассамблеи Председатель Подкомитета вместе с Председателем Комитета против пыток и Специальным докладчиком по вопросу о пытках представили Ассамблее на ее семьдесят четвертой сессии двенадцатый ежегодный доклад Подкомитета. </w:t>
      </w:r>
    </w:p>
    <w:p w14:paraId="06AC0BF2" w14:textId="77777777" w:rsidR="00DD0E72" w:rsidRPr="007F3DC4" w:rsidRDefault="00DD0E72" w:rsidP="00DD0E72">
      <w:pPr>
        <w:pStyle w:val="SingleTxtG"/>
      </w:pPr>
      <w:r>
        <w:t>32.</w:t>
      </w:r>
      <w:r>
        <w:tab/>
        <w:t>В качестве члена совещания председателей договорных органов по правам человека Председатель Подкомитета принял участие в тридцать первом совещании председателей договорных органов по правам человека, которое состоялось</w:t>
      </w:r>
      <w:r w:rsidR="00FB5318">
        <w:br/>
      </w:r>
      <w:r>
        <w:t>в Нью-Йорке 24</w:t>
      </w:r>
      <w:r w:rsidR="0078196D">
        <w:t>–</w:t>
      </w:r>
      <w:r>
        <w:t>28 июня 2019 года.</w:t>
      </w:r>
    </w:p>
    <w:p w14:paraId="1153012F" w14:textId="77777777" w:rsidR="00DD0E72" w:rsidRPr="007F3DC4" w:rsidRDefault="00DD0E72" w:rsidP="00DD0E72">
      <w:pPr>
        <w:pStyle w:val="SingleTxtG"/>
      </w:pPr>
      <w:r>
        <w:t>33.</w:t>
      </w:r>
      <w:r>
        <w:tab/>
        <w:t>26 июня, в Международный день Организации Объединенных Наций в поддержку жертв пыток, Подкомитет по предупреждению пыток, Комитет против пыток, Фонд добровольных взносов Организации Объединенных Наций для жертв пыток и Специальный докладчик по вопросу о пытках и других жестоких, бесчеловечных или унижающих достоинство видах обращения и наказания опубликовали совместное заявление</w:t>
      </w:r>
      <w:r w:rsidRPr="008835A6">
        <w:rPr>
          <w:rStyle w:val="FootnoteReference"/>
        </w:rPr>
        <w:footnoteReference w:id="6"/>
      </w:r>
      <w:r>
        <w:t>, в котором они подчеркнули необходимость обеспечения правосудия и реабилитации для жертв пыток и, в частности, значение Руководства по действенному расследованию и документированию пыток и других жестоких, бесчеловечных или унижающих достоинство видов обращения и наказания (Стамбульского протокола).</w:t>
      </w:r>
    </w:p>
    <w:p w14:paraId="38611961" w14:textId="77777777" w:rsidR="00DD0E72" w:rsidRPr="007F3DC4" w:rsidRDefault="00DD0E72" w:rsidP="00DD0E72">
      <w:pPr>
        <w:pStyle w:val="SingleTxtG"/>
      </w:pPr>
      <w:r>
        <w:t>34.</w:t>
      </w:r>
      <w:r>
        <w:tab/>
        <w:t>Подкомитет продолжал на систематической основе сотрудничать с другими механизмами, в частности путем препровождения на рассмотрение Комитета против пыток предложений относительно государств – участников Факультативного протокола, доклады которых планируется рассмотреть на предстоящих сессиях Комитета, а также вопросов, которые тот мог бы поставить перед государствами-участниками по упрощенной процедуре представления докладов. На своем совместном заседании в ноябре 2019 года в рамках тридцать восьмой сессии Подкомитета и шестьдесят восьмой сессии Комитета против пыток Подкомитет и Комитет против пыток обсудили вопрос об осуществлении обязательств по Конвенции и Факультативному протоколу к ней в ряде государств, представляющих в настоящее время взаимный интерес.</w:t>
      </w:r>
    </w:p>
    <w:p w14:paraId="001765A6" w14:textId="77777777" w:rsidR="00DD0E72" w:rsidRPr="007F3DC4" w:rsidRDefault="00DD0E72" w:rsidP="00DD0E72">
      <w:pPr>
        <w:pStyle w:val="SingleTxtG"/>
      </w:pPr>
      <w:r>
        <w:t>35.</w:t>
      </w:r>
      <w:r>
        <w:tab/>
        <w:t xml:space="preserve">Подкомитет продолжал сотрудничать с программой создания потенциала договорных органов. </w:t>
      </w:r>
    </w:p>
    <w:p w14:paraId="1CA348C1" w14:textId="77777777" w:rsidR="00DD0E72" w:rsidRPr="007F3DC4" w:rsidRDefault="00DD0E72" w:rsidP="00DD0E72">
      <w:pPr>
        <w:pStyle w:val="SingleTxtG"/>
      </w:pPr>
      <w:r>
        <w:t>36.</w:t>
      </w:r>
      <w:r>
        <w:tab/>
        <w:t>Подкомитет также продолжал сотрудничать с региональными отделениями УВКПЧ, страновыми группами Организации Объединенных Наций и Управлением Верховного комиссара Организации Объединенных Наций по делам беженцев, в частности в контексте своих поездок на места.</w:t>
      </w:r>
    </w:p>
    <w:p w14:paraId="3F2AD77A" w14:textId="77777777" w:rsidR="00DD0E72" w:rsidRPr="007F3DC4" w:rsidRDefault="00DD0E72" w:rsidP="00DD0E72">
      <w:pPr>
        <w:pStyle w:val="H23G"/>
      </w:pPr>
      <w:r>
        <w:tab/>
        <w:t>2.</w:t>
      </w:r>
      <w:r>
        <w:tab/>
      </w:r>
      <w:r>
        <w:rPr>
          <w:bCs/>
        </w:rPr>
        <w:t>Сотрудничество с другими соответствующими международными организациями</w:t>
      </w:r>
    </w:p>
    <w:p w14:paraId="69992FBF" w14:textId="77777777" w:rsidR="00DD0E72" w:rsidRPr="007F3DC4" w:rsidRDefault="00DD0E72" w:rsidP="00DD0E72">
      <w:pPr>
        <w:pStyle w:val="SingleTxtG"/>
      </w:pPr>
      <w:r>
        <w:t>37.</w:t>
      </w:r>
      <w:r>
        <w:tab/>
        <w:t>Подкомитет продолжал сотрудничество с Международным комитетом Красного Креста, в частности в контексте поездок на места.</w:t>
      </w:r>
    </w:p>
    <w:p w14:paraId="34C996B7" w14:textId="77777777" w:rsidR="00DD0E72" w:rsidRPr="007F3DC4" w:rsidRDefault="00DD0E72" w:rsidP="00DD0E72">
      <w:pPr>
        <w:pStyle w:val="H1G"/>
      </w:pPr>
      <w:r>
        <w:lastRenderedPageBreak/>
        <w:tab/>
        <w:t>B.</w:t>
      </w:r>
      <w:r>
        <w:tab/>
      </w:r>
      <w:r>
        <w:rPr>
          <w:bCs/>
        </w:rPr>
        <w:t>Региональное сотрудничество</w:t>
      </w:r>
      <w:r>
        <w:t xml:space="preserve"> </w:t>
      </w:r>
      <w:bookmarkStart w:id="13" w:name="_Toc534899844"/>
      <w:bookmarkEnd w:id="13"/>
    </w:p>
    <w:p w14:paraId="34A7CCA3" w14:textId="77777777" w:rsidR="00DD0E72" w:rsidRPr="007F3DC4" w:rsidRDefault="00DD0E72" w:rsidP="00DD0E72">
      <w:pPr>
        <w:pStyle w:val="SingleTxtG"/>
      </w:pPr>
      <w:r>
        <w:t>38.</w:t>
      </w:r>
      <w:r>
        <w:tab/>
        <w:t>Подкомитет продолжал сотрудничество с региональными организациями, в том числе с Европейским комитетом по предупреждению пыток и бесчеловечных или унижающих достоинство видов обращения и наказания, которое включало взаимный обмен письмами в целях введения в действие статьи 31 Факультативного протокола, с тем чтобы усилить взаимодополняемость и иерархическую структурированность. Подкомитет также встретился с представителями Совета Европы и секретариата Конвенции о защите прав человека и достоинства человека в связи с применением достижений биологии и медицины для обмена мнениями относительно предложений по протоколу к Конвенции. Подкомитет выразил обеспокоенность по поводу некоторых аспектов этих предложений. Подкомитет осознает, что после широко распространенных высказываний, вызывающих озабоченность, вероятно, появятся новые предложения. Он приветствует возможность внести вклад в будущие дискуссии, опираясь на свои экспертные знания и опыт по рассматриваемым вопросам.</w:t>
      </w:r>
    </w:p>
    <w:p w14:paraId="2462611C" w14:textId="77777777" w:rsidR="00DD0E72" w:rsidRPr="007F3DC4" w:rsidRDefault="00DD0E72" w:rsidP="00DD0E72">
      <w:pPr>
        <w:pStyle w:val="H1G"/>
      </w:pPr>
      <w:r>
        <w:tab/>
        <w:t>C.</w:t>
      </w:r>
      <w:r>
        <w:tab/>
      </w:r>
      <w:r>
        <w:rPr>
          <w:bCs/>
        </w:rPr>
        <w:t>Гражданское общество</w:t>
      </w:r>
      <w:bookmarkStart w:id="14" w:name="_Toc534899845"/>
      <w:bookmarkEnd w:id="14"/>
    </w:p>
    <w:p w14:paraId="6D34251E" w14:textId="77777777" w:rsidR="00DD0E72" w:rsidRPr="007F3DC4" w:rsidRDefault="00DD0E72" w:rsidP="00DD0E72">
      <w:pPr>
        <w:pStyle w:val="SingleTxtG"/>
      </w:pPr>
      <w:r>
        <w:t>39.</w:t>
      </w:r>
      <w:r>
        <w:tab/>
        <w:t>Подкомитет продолжал пользоваться поддержкой гражданского общества, включая Ассоциацию за предотвращение пыток и ряд научных учреждений, таких как Центр по осуществлению прав человека при Бристольском университете. Он также поддерживал полезные контакты с организациями гражданского общества во время посещения стран и благодарит их за всю проделанную ими работу по пропаганде и поддержке Факультативного протокола. Подкомитет выражает особую признательность Женевскому центру управления сектором безопасности за содействие в организации встреч с делегацией Государства Палестина на его тридцать восьмой сессии по вопросу о создании государством-участником национального превентивного механизма.</w:t>
      </w:r>
    </w:p>
    <w:p w14:paraId="0480E7B6" w14:textId="77777777" w:rsidR="00DD0E72" w:rsidRPr="007F3DC4" w:rsidRDefault="00DD0E72" w:rsidP="00DD0E72">
      <w:pPr>
        <w:pStyle w:val="SingleTxtG"/>
      </w:pPr>
      <w:r>
        <w:t>40.</w:t>
      </w:r>
      <w:r>
        <w:tab/>
        <w:t>Подкомитет также приветствует пересмотр Руководства по эффективному расследованию и документированию пыток и других жестоких, бесчеловечных или унижающих достоинство видов обращения и наказания (Стамбульского протокола), в котором он был рад принять участие.</w:t>
      </w:r>
    </w:p>
    <w:p w14:paraId="6045F5AD" w14:textId="77777777" w:rsidR="00DD0E72" w:rsidRPr="007F3DC4" w:rsidRDefault="00DD0E72" w:rsidP="00DD0E72">
      <w:pPr>
        <w:pStyle w:val="HChG"/>
      </w:pPr>
      <w:r>
        <w:tab/>
        <w:t>IV.</w:t>
      </w:r>
      <w:r>
        <w:tab/>
      </w:r>
      <w:r>
        <w:rPr>
          <w:bCs/>
        </w:rPr>
        <w:t xml:space="preserve">Изменения, касающиеся </w:t>
      </w:r>
      <w:r w:rsidR="00FB5318">
        <w:rPr>
          <w:bCs/>
        </w:rPr>
        <w:t xml:space="preserve">практических </w:t>
      </w:r>
      <w:r>
        <w:rPr>
          <w:bCs/>
        </w:rPr>
        <w:t>методов работы</w:t>
      </w:r>
      <w:bookmarkStart w:id="15" w:name="_Toc534899846"/>
      <w:bookmarkEnd w:id="15"/>
    </w:p>
    <w:p w14:paraId="76EECF67" w14:textId="77777777" w:rsidR="00DD0E72" w:rsidRPr="007F3DC4" w:rsidRDefault="00DD0E72" w:rsidP="0078196D">
      <w:pPr>
        <w:pStyle w:val="H1G"/>
        <w:rPr>
          <w:szCs w:val="24"/>
        </w:rPr>
      </w:pPr>
      <w:r>
        <w:tab/>
        <w:t>A.</w:t>
      </w:r>
      <w:r>
        <w:tab/>
        <w:t>Посещения</w:t>
      </w:r>
    </w:p>
    <w:p w14:paraId="42978F4A" w14:textId="77777777" w:rsidR="00DD0E72" w:rsidRPr="007F3DC4" w:rsidRDefault="00DD0E72" w:rsidP="00DD0E72">
      <w:pPr>
        <w:pStyle w:val="SingleTxtG"/>
      </w:pPr>
      <w:r>
        <w:t>41.</w:t>
      </w:r>
      <w:r>
        <w:tab/>
        <w:t xml:space="preserve">Подкомитет планировал возобновить программу десяти посещений в 2019 году, поскольку в 2018 году он смог провести только шесть посещений. Вместе с тем он смог посетить лишь семь государств-участников (Кабо-Верде, Коста-Рику, Гану, Сенегал, Шри-Ланку, Швейцарию и Соединенное Королевство Великобритании и Северной Ирландии). Запланированный визит в Государство Палестина был отложен на неопределенный срок (см. пункт 16 выше). Было также объявлено о двух других поездках </w:t>
      </w:r>
      <w:r w:rsidR="0078196D">
        <w:t>–</w:t>
      </w:r>
      <w:r>
        <w:t xml:space="preserve"> в Болгарию и Парагвай, но они не могут быть осуществлены, как планировалось, в связи с бюджетными ограничениями. Впервые в истории Подкомитета по этим причинам запланированные и объявленные посещения пришлось</w:t>
      </w:r>
      <w:r w:rsidRPr="00F00D70">
        <w:t xml:space="preserve"> </w:t>
      </w:r>
      <w:r>
        <w:t xml:space="preserve">отложить. </w:t>
      </w:r>
    </w:p>
    <w:p w14:paraId="4B60E0E0" w14:textId="77777777" w:rsidR="00DD0E72" w:rsidRPr="007F3DC4" w:rsidRDefault="00DD0E72" w:rsidP="00DD0E72">
      <w:pPr>
        <w:pStyle w:val="SingleTxtG"/>
      </w:pPr>
      <w:r>
        <w:t>42.</w:t>
      </w:r>
      <w:r>
        <w:tab/>
        <w:t>Подкомитет вновь напоминает о том, что в своем одиннадцатом ежегодном докладе о работе, проделанной в 2017 году (CAT/C/63/4), он отметил, что неспособность Подкомитета проводить как минимум 10 посещений в год существенно снижает превентивное воздействие Факультативного протокола и подрывает инициативный характер создаваемой им системы предупреждения. Крайне важно, чтобы Подкомитету были выделены ресурсы, необходимые для того, чтобы он мог осуществить полную программу посещений.</w:t>
      </w:r>
    </w:p>
    <w:p w14:paraId="5E9FC6CB" w14:textId="77777777" w:rsidR="00DD0E72" w:rsidRPr="007F3DC4" w:rsidRDefault="00DD0E72" w:rsidP="0078196D">
      <w:pPr>
        <w:pStyle w:val="H1G"/>
        <w:rPr>
          <w:szCs w:val="24"/>
        </w:rPr>
      </w:pPr>
      <w:r>
        <w:lastRenderedPageBreak/>
        <w:tab/>
        <w:t>B.</w:t>
      </w:r>
      <w:r>
        <w:tab/>
        <w:t>Рабочие группы</w:t>
      </w:r>
    </w:p>
    <w:p w14:paraId="329A3649" w14:textId="77777777" w:rsidR="00DD0E72" w:rsidRPr="007F3DC4" w:rsidRDefault="00DD0E72" w:rsidP="00DD0E72">
      <w:pPr>
        <w:pStyle w:val="SingleTxtG"/>
      </w:pPr>
      <w:r>
        <w:t>43.</w:t>
      </w:r>
      <w:r>
        <w:tab/>
        <w:t xml:space="preserve">В июне и ноябре 2019 года Подкомитет воспользовался возможностями дополнительного устного перевода в ходе своих сессий. Это позволило всем членам более действенным образом вносить вклад в деятельность рабочих групп и региональных групп Подкомитета, что способствовало ускорению рассмотрения им ряда важных вопросов. Приветствуя это позитивное развитие событий, Подкомитет по-прежнему считает, что для эффективного выполнения возложенных на него функций необходимо провести дополнительное пленарное заседание, сопровождающееся соответствующим увеличением людских и финансовых ресурсов секретариата. </w:t>
      </w:r>
    </w:p>
    <w:p w14:paraId="61214E82" w14:textId="77777777" w:rsidR="00DD0E72" w:rsidRPr="007F3DC4" w:rsidRDefault="00DD0E72" w:rsidP="0078196D">
      <w:pPr>
        <w:pStyle w:val="H1G"/>
        <w:rPr>
          <w:szCs w:val="24"/>
        </w:rPr>
      </w:pPr>
      <w:r>
        <w:tab/>
        <w:t>C.</w:t>
      </w:r>
      <w:r>
        <w:tab/>
        <w:t xml:space="preserve">Региональные группы </w:t>
      </w:r>
    </w:p>
    <w:p w14:paraId="55CDAFB6" w14:textId="77777777" w:rsidR="00DD0E72" w:rsidRPr="007F3DC4" w:rsidRDefault="00DD0E72" w:rsidP="00DD0E72">
      <w:pPr>
        <w:pStyle w:val="SingleTxtG"/>
      </w:pPr>
      <w:r>
        <w:t>44.</w:t>
      </w:r>
      <w:r>
        <w:tab/>
        <w:t>Региональные группы и соответствующие страновые докладчики продолжали активно взаимодействовать с национальными превентивными механизмами, включая, в частности, представление откликов на ежегодные доклады и ответов на запросы национальных превентивных механизмов и направление им содержательной и практической информации в контексте конкретных стран. Широкое использование видеоконференций в ходе совещаний региональных групп позволило им взаимодействовать со значительным числом государств-участников и национальных превентивных механизмов на каждой сессии. Расширение возможностей проведения видеоконференций будет способствовать дальнейшему повышению качества таких обменов.</w:t>
      </w:r>
    </w:p>
    <w:p w14:paraId="4EDAB4D4" w14:textId="77777777" w:rsidR="00DD0E72" w:rsidRPr="007F3DC4" w:rsidRDefault="00DD0E72" w:rsidP="0078196D">
      <w:pPr>
        <w:pStyle w:val="H1G"/>
      </w:pPr>
      <w:r>
        <w:tab/>
        <w:t>D.</w:t>
      </w:r>
      <w:r>
        <w:tab/>
        <w:t xml:space="preserve">Мнения относительно функционирования национального превентивного механизма </w:t>
      </w:r>
    </w:p>
    <w:p w14:paraId="37580F72" w14:textId="77777777" w:rsidR="00DD0E72" w:rsidRPr="007F3DC4" w:rsidRDefault="00DD0E72" w:rsidP="00DD0E72">
      <w:pPr>
        <w:pStyle w:val="SingleTxtG"/>
      </w:pPr>
      <w:r>
        <w:t>45.</w:t>
      </w:r>
      <w:r>
        <w:tab/>
        <w:t>В 2019 году были подняты вопросы, касающиеся предлагаемых структурных изменений в национальном превентивном механизме Бразилии. В ответ на просьбы о руководящих указаниях Подкомитет выпустил документ, озаглавленный «Мнения Подкомитета по предупреждению пыток относительно совместимости Указа Президента № 9.831/2019 с Факультативным протоколом к Конвенции против пыток». Подкомитет приветствует позитивную реакцию на представление этих мнений и надеется на дальнейший диалог как с механизмом, так и с государством-участником по затронутым вопросам. Этот документ был издан в качестве общеодоступного документа Подкомитета и размещен на его веб</w:t>
      </w:r>
      <w:r w:rsidR="00FB5318">
        <w:t>-</w:t>
      </w:r>
      <w:r>
        <w:t>сайте</w:t>
      </w:r>
      <w:r w:rsidRPr="008835A6">
        <w:rPr>
          <w:rStyle w:val="FootnoteReference"/>
        </w:rPr>
        <w:footnoteReference w:id="7"/>
      </w:r>
      <w:r>
        <w:t xml:space="preserve"> с учетом того, что в нем излагаются мнения, имеющие общее значение для всех государств-участников и национальных превентивных механизмов.</w:t>
      </w:r>
    </w:p>
    <w:p w14:paraId="48554781" w14:textId="77777777" w:rsidR="00DD0E72" w:rsidRPr="007F3DC4" w:rsidRDefault="00DD0E72" w:rsidP="0078196D">
      <w:pPr>
        <w:pStyle w:val="HChG"/>
        <w:rPr>
          <w:szCs w:val="28"/>
        </w:rPr>
      </w:pPr>
      <w:r>
        <w:tab/>
        <w:t>V.</w:t>
      </w:r>
      <w:r>
        <w:tab/>
        <w:t xml:space="preserve">Перспективы на будущее </w:t>
      </w:r>
      <w:bookmarkStart w:id="16" w:name="_Toc534899849"/>
      <w:bookmarkEnd w:id="16"/>
    </w:p>
    <w:p w14:paraId="0AA4F775" w14:textId="77777777" w:rsidR="00DD0E72" w:rsidRPr="007F3DC4" w:rsidRDefault="00DD0E72" w:rsidP="00DD0E72">
      <w:pPr>
        <w:pStyle w:val="SingleTxtG"/>
      </w:pPr>
      <w:r>
        <w:t>46.</w:t>
      </w:r>
      <w:r>
        <w:tab/>
        <w:t>В 2019 году на работе Подкомитета серьезно сказалась ограниченность ресурсов; так, даже тридцать девятая сессия Подкомитета в течение определенного периода времени находилась под угрозой отмены. Запланированные посещения теперь должны быть проведены в 2020 году, что сократит возможности Подкомитета посещать другие государства-участники, что он надеялся сделать. Подкомитету хорошо известно, что финансовый кризис, затронувший систему договорных органов, не миновал и что его план работы на 2020 год не может быть гарантирован. Необходимо еще раз подчеркнуть, что настоящие жертвы такой ситуации</w:t>
      </w:r>
      <w:r w:rsidR="0078196D">
        <w:t xml:space="preserve"> –</w:t>
      </w:r>
      <w:r>
        <w:t xml:space="preserve"> это те, кому угрожают пытк</w:t>
      </w:r>
      <w:r w:rsidR="003A0B9A">
        <w:t>и</w:t>
      </w:r>
      <w:r w:rsidR="00FB5318">
        <w:t>,</w:t>
      </w:r>
      <w:r>
        <w:t xml:space="preserve"> и заключенные во всем мире, многие из которых содержатся в абсолютно бесчеловечных условиях. </w:t>
      </w:r>
    </w:p>
    <w:p w14:paraId="75B603F0" w14:textId="77777777" w:rsidR="00DD0E72" w:rsidRPr="007F3DC4" w:rsidRDefault="00DD0E72" w:rsidP="0078196D">
      <w:pPr>
        <w:pStyle w:val="SingleTxtG"/>
        <w:pageBreakBefore/>
      </w:pPr>
      <w:r>
        <w:lastRenderedPageBreak/>
        <w:t>47.</w:t>
      </w:r>
      <w:r>
        <w:tab/>
        <w:t xml:space="preserve">Подкомитет также осознает, что ему необходимо поддерживать создание национальных превентивных механизмов во все большем числе государств-участников, поскольку не все из них выполнили свое обязательство по созданию таких механизмов. Все государства обязаны создать свои национальные превентивные механизмы в течение года после ратификации, если только они не задержали выполнение этого обязательства, сделав заявление, предусмотренное в статье 26 Факультативного протокола. На настоящий момент 22 государства не выполнили это обязательство. Существуют также значительные региональные различия: 13 из них </w:t>
      </w:r>
      <w:r w:rsidR="0078196D">
        <w:t>–</w:t>
      </w:r>
      <w:r>
        <w:t xml:space="preserve"> в Африке (55% всех государств-участников в регионе), </w:t>
      </w:r>
      <w:r w:rsidR="00FB5318">
        <w:t>4</w:t>
      </w:r>
      <w:r>
        <w:t xml:space="preserve"> </w:t>
      </w:r>
      <w:r w:rsidR="0078196D">
        <w:t>–</w:t>
      </w:r>
      <w:r>
        <w:t xml:space="preserve"> в Азиатско-Тихоокеанском регионе (33% всех государств-участников в регионе), </w:t>
      </w:r>
      <w:r w:rsidR="00FB5318">
        <w:t>4</w:t>
      </w:r>
      <w:r>
        <w:t xml:space="preserve"> </w:t>
      </w:r>
      <w:r w:rsidR="0078196D">
        <w:t>–</w:t>
      </w:r>
      <w:r>
        <w:t xml:space="preserve"> в Латинской Америке и Карибском бассейне (25% всех государств-участников в регионе) и </w:t>
      </w:r>
      <w:r w:rsidR="00FB5318">
        <w:t>1</w:t>
      </w:r>
      <w:r>
        <w:t xml:space="preserve"> </w:t>
      </w:r>
      <w:r w:rsidR="0078196D">
        <w:t>–</w:t>
      </w:r>
      <w:r>
        <w:t xml:space="preserve"> в Восточной Европе (5% государств-участников в регионе). Все</w:t>
      </w:r>
      <w:r w:rsidR="0078196D">
        <w:t> </w:t>
      </w:r>
      <w:r>
        <w:t>государства-участники из Группы западноевропейских и других государств выполнили это обязательство. Поэтому многое еще предстоит сделать для обеспечения глобальной культуры соблюдения. Подкомитет привержен этой задаче и стремится оказывать всем государствам всяческое содействие в создании и функционировании национального превентивного механизма в соответствии с Факультативным протоколом. Однако для этого необходимо, чтобы государства-участники обладали соответствующей волей; Подкомитет сомневается в том, что во все большем числе государств-участников дело обстоит именно так.</w:t>
      </w:r>
    </w:p>
    <w:p w14:paraId="62C2167B" w14:textId="77777777" w:rsidR="00DD0E72" w:rsidRPr="007F3DC4" w:rsidRDefault="00DD0E72" w:rsidP="00DD0E72">
      <w:pPr>
        <w:pStyle w:val="SingleTxtG"/>
      </w:pPr>
      <w:r>
        <w:t>48.</w:t>
      </w:r>
      <w:r>
        <w:tab/>
        <w:t>В последние годы Подкомитет составил список государств, в которых создание национального превентивного механизма просрочено более чем на три года (см.</w:t>
      </w:r>
      <w:r w:rsidR="0078196D">
        <w:t> </w:t>
      </w:r>
      <w:r>
        <w:t>пункт</w:t>
      </w:r>
      <w:r w:rsidR="0078196D">
        <w:t> </w:t>
      </w:r>
      <w:r>
        <w:t xml:space="preserve">26 выше). У этих государств имеется четыре года с момента ратификации Факультативного протокола на то, чтобы сделать это. Список явно слишком длинный; однако, к сожалению, вполне вероятно, что в следующем году он станет значительно длиннее. </w:t>
      </w:r>
    </w:p>
    <w:p w14:paraId="4AE5561B" w14:textId="77777777" w:rsidR="00DD0E72" w:rsidRPr="007F3DC4" w:rsidRDefault="00DD0E72" w:rsidP="00DD0E72">
      <w:pPr>
        <w:pStyle w:val="SingleTxtG"/>
      </w:pPr>
      <w:r>
        <w:t>49.</w:t>
      </w:r>
      <w:r>
        <w:tab/>
        <w:t>Подкомитет хотел бы также отметить, что все государства, включенные в список, составленный в соответствии со статьей 17, значительно задержали создание национального превентивного механизма, в некоторых государствах-участниках эта задержка является вопиющей; например, в Бенине, Боснии и Герцеговине, Либерии, Нигерии и Чили задержка в создании такого механизма превысила 10 лет. Эти</w:t>
      </w:r>
      <w:r w:rsidR="0078196D">
        <w:t> </w:t>
      </w:r>
      <w:r>
        <w:t>государства, как представляется, не обладают волей к выполнению этого обязательства, тем самым нарушая не только букву, но и дух Факультативного протокола. Хотя Факультативный протокол действительно носит факультативный характер, этого нельзя сказать об обязательстве по созданию национального превентивного механизма, поскольку это один из основополагающих элементов протокола. Всем государствам-участникам предлагаются консультации и техническая помощь в этом процессе. В ходе своих поездок в страны Подкомитет изучил ситуацию во многих из этих государств и пришел к выводу о том, что они, как представляется, не придают приоритетного значения созданию этого механизма, а следовательно, и предупреждению пыток и жестокого обращения. Некоторые из этих государств посещались представителями Подкомитета дважды, но никакого прогресса в этом вопросе достигнуто не было. Подкомитет часто обращается к таким государствам, но некоторые из них редко отвечают ему. Все государства-участники должны взять на себя ответственность за принятые обязательства и выполнить их, создав национальный превентивный механизм, как это было ими обещано.</w:t>
      </w:r>
    </w:p>
    <w:p w14:paraId="5B253973" w14:textId="77777777" w:rsidR="00DD0E72" w:rsidRPr="007F3DC4" w:rsidRDefault="00DD0E72" w:rsidP="00DD0E72">
      <w:pPr>
        <w:pStyle w:val="SingleTxtG"/>
      </w:pPr>
      <w:r>
        <w:t>50.</w:t>
      </w:r>
      <w:r>
        <w:tab/>
        <w:t>Подкомитет также помнит о том, что в 2020 году Генеральная Ассамблея должна провести обзор своей поддержки системы договорных органов в соответствии с условиями, изложенными Ассамблеей в ее резолюции 68/268. Подкомитет следит за ходом обсуждений в преддверии этого обзора и, в частности, внес свой вклад в обсуждени</w:t>
      </w:r>
      <w:r w:rsidR="00FB5318">
        <w:t>я</w:t>
      </w:r>
      <w:r>
        <w:t xml:space="preserve">, в результате которых председатели договорных органов на совещании председателей, состоявшемся в июне 2019 года, одобрили видение будущего системы договорных органов. Подкомитет поддерживает эту концепцию и отмечает, что некоторые из предложений основаны на практике и опыте Подкомитета как договорного органа, взаимодействующего с государствами-участниками в странах и регионах. </w:t>
      </w:r>
    </w:p>
    <w:p w14:paraId="3E19E358" w14:textId="77777777" w:rsidR="00DD0E72" w:rsidRPr="007F3DC4" w:rsidRDefault="00DD0E72" w:rsidP="00DD0E72">
      <w:pPr>
        <w:pStyle w:val="SingleTxtG"/>
      </w:pPr>
      <w:r>
        <w:lastRenderedPageBreak/>
        <w:t>51.</w:t>
      </w:r>
      <w:r>
        <w:tab/>
        <w:t xml:space="preserve">Вместе с тем Подкомитет весьма обеспокоен тем, что процесс обзора 2020 года, возможно, не в полной мере отвечает потребностям Подкомитета в свете его уникального мандата среди договорных органов. Более того, эта озабоченность усугубляется тем, что финансовых решений, найденных в связи с кризисом финансирования договорных органов в 2019 году, было достаточно для защиты работы всех договорных органов, за исключением Подкомитета, чьи потребности в проведении посещений не были удовлетворены. </w:t>
      </w:r>
    </w:p>
    <w:p w14:paraId="02337666" w14:textId="77777777" w:rsidR="00DD0E72" w:rsidRPr="007F3DC4" w:rsidRDefault="00DD0E72" w:rsidP="00DD0E72">
      <w:pPr>
        <w:pStyle w:val="SingleTxtG"/>
      </w:pPr>
      <w:r>
        <w:t>52.</w:t>
      </w:r>
      <w:r>
        <w:tab/>
        <w:t>На своей тридцать седьмой сессии Подкомитет принял заявление об обзоре 2020</w:t>
      </w:r>
      <w:r w:rsidR="0078196D">
        <w:t> </w:t>
      </w:r>
      <w:r>
        <w:t>года (см. приложение). Подкомитет подчеркивает важность того, чтобы его работа была должным образом отражена в обзоре 2020 года, и обращает внимание на его заявление о своих потребностях.</w:t>
      </w:r>
    </w:p>
    <w:p w14:paraId="0B51C8DA" w14:textId="77777777" w:rsidR="00DD0E72" w:rsidRPr="007F3DC4" w:rsidRDefault="00DD0E72" w:rsidP="00DD0E72">
      <w:pPr>
        <w:pStyle w:val="HChG"/>
      </w:pPr>
      <w:r>
        <w:tab/>
        <w:t>VI.</w:t>
      </w:r>
      <w:r>
        <w:tab/>
      </w:r>
      <w:r>
        <w:rPr>
          <w:bCs/>
        </w:rPr>
        <w:t>План работы</w:t>
      </w:r>
      <w:bookmarkStart w:id="17" w:name="_Toc534899850"/>
      <w:bookmarkEnd w:id="17"/>
    </w:p>
    <w:p w14:paraId="5B93039A" w14:textId="77777777" w:rsidR="00DD0E72" w:rsidRDefault="00DD0E72" w:rsidP="00DD0E72">
      <w:pPr>
        <w:pStyle w:val="SingleTxtG"/>
      </w:pPr>
      <w:r>
        <w:t>53.</w:t>
      </w:r>
      <w:r>
        <w:tab/>
        <w:t>Подкомитет уже объявил о посещении в ближайшие месяцы Австралии, Аргентины, Болгарии, Ливана, Мадагаскара, Науру, Парагвая,</w:t>
      </w:r>
      <w:r w:rsidR="00FB5318" w:rsidRPr="00FB5318">
        <w:t xml:space="preserve"> </w:t>
      </w:r>
      <w:r w:rsidR="00FB5318">
        <w:t>Хорватии,</w:t>
      </w:r>
      <w:r>
        <w:t xml:space="preserve"> </w:t>
      </w:r>
      <w:r w:rsidR="00FB5318">
        <w:t xml:space="preserve">Центральноафриканской Республики и </w:t>
      </w:r>
      <w:r>
        <w:t>Государства Палестина. В соответствии со сложившейся практикой объявления о последующих поездках будут сделаны по итогам его будущих сессий.</w:t>
      </w:r>
    </w:p>
    <w:p w14:paraId="31FE0274" w14:textId="77777777" w:rsidR="00DD0E72" w:rsidRPr="007F3DC4" w:rsidRDefault="00DD0E72" w:rsidP="00DD0E72">
      <w:pPr>
        <w:suppressAutoHyphens w:val="0"/>
        <w:spacing w:after="200" w:line="276" w:lineRule="auto"/>
        <w:rPr>
          <w:rFonts w:eastAsia="SimSun"/>
          <w:u w:val="single"/>
          <w:lang w:eastAsia="zh-CN"/>
        </w:rPr>
      </w:pPr>
      <w:r w:rsidRPr="007F3DC4">
        <w:rPr>
          <w:u w:val="single"/>
        </w:rPr>
        <w:br w:type="page"/>
      </w:r>
    </w:p>
    <w:p w14:paraId="78B0ECAF" w14:textId="77777777" w:rsidR="00DD0E72" w:rsidRPr="007F3DC4" w:rsidRDefault="00DD0E72" w:rsidP="00DD0E72">
      <w:pPr>
        <w:pStyle w:val="HChG"/>
        <w:rPr>
          <w:u w:val="single"/>
        </w:rPr>
      </w:pPr>
      <w:r>
        <w:rPr>
          <w:bCs/>
        </w:rPr>
        <w:lastRenderedPageBreak/>
        <w:t>Приложение</w:t>
      </w:r>
    </w:p>
    <w:p w14:paraId="3674FFE5" w14:textId="77777777" w:rsidR="00DD0E72" w:rsidRPr="007F3DC4" w:rsidRDefault="00DD0E72" w:rsidP="00DD0E72">
      <w:pPr>
        <w:pStyle w:val="H1G"/>
        <w:rPr>
          <w:rFonts w:eastAsia="Calibri"/>
        </w:rPr>
      </w:pPr>
      <w:r>
        <w:tab/>
      </w:r>
      <w:r>
        <w:tab/>
      </w:r>
      <w:r>
        <w:rPr>
          <w:bCs/>
        </w:rPr>
        <w:t>Подкомитет по предупреждению и обзор 2020 года</w:t>
      </w:r>
      <w:r>
        <w:t xml:space="preserve"> </w:t>
      </w:r>
    </w:p>
    <w:p w14:paraId="4189B3A8" w14:textId="77777777" w:rsidR="00DD0E72" w:rsidRPr="007F3DC4" w:rsidRDefault="00DD0E72" w:rsidP="00DD0E72">
      <w:pPr>
        <w:pStyle w:val="SingleTxtG"/>
      </w:pPr>
      <w:r>
        <w:t>1.</w:t>
      </w:r>
      <w:r>
        <w:tab/>
        <w:t>Подкомитет подходит к обзору 2020 года в позитивном ключе и стремится обеспечить, чтобы этот обзор укрепил потенциал договорных органов, как на индивидуальной, так и на коллективной основе, с тем чтобы поставить правообладателей в центр своей работы путем максимального повышения эффективности системы.</w:t>
      </w:r>
    </w:p>
    <w:p w14:paraId="5ABE0819" w14:textId="77777777" w:rsidR="00DD0E72" w:rsidRPr="007F3DC4" w:rsidRDefault="00DD0E72" w:rsidP="00DD0E72">
      <w:pPr>
        <w:pStyle w:val="SingleTxtG"/>
        <w:rPr>
          <w:rFonts w:eastAsia="Calibri"/>
        </w:rPr>
      </w:pPr>
      <w:r>
        <w:t>2.</w:t>
      </w:r>
      <w:r>
        <w:tab/>
        <w:t xml:space="preserve">Вдохновленные принципами и подходами, сформулированными на конференции по укреплению системы договорных органов, состоявшейся в Уилтон-парке в марте 2018 года, председатели договорных органов на своем тридцатом совещании в Нью-Йорке в мае 2018 года приняли решение обобщить мнения всех договорных органов по ряду вопросов, касающихся их практики работы, а также предложения о внесении изменений. В частности, это касается продолжительности цикла представления докладов, </w:t>
      </w:r>
      <w:r w:rsidR="00FB5318">
        <w:t>т. е.</w:t>
      </w:r>
      <w:r>
        <w:t xml:space="preserve"> следует ли рассматривать доклады государств-участников на одной сессии, в которой принимают участие представители договорных органов, вместо того чтобы государства приезжали на сессии договорных органов, как это происходит в настоящее время, и могут ли доклады государств-участников рассматриваться на месте, а не в Женеве. </w:t>
      </w:r>
    </w:p>
    <w:p w14:paraId="47499FA4" w14:textId="77777777" w:rsidR="00DD0E72" w:rsidRPr="007F3DC4" w:rsidRDefault="00DD0E72" w:rsidP="0078196D">
      <w:pPr>
        <w:pStyle w:val="SingleTxtG"/>
        <w:rPr>
          <w:rFonts w:eastAsia="Calibri"/>
        </w:rPr>
      </w:pPr>
      <w:r>
        <w:t>3.</w:t>
      </w:r>
      <w:r>
        <w:tab/>
        <w:t>Поскольку в настоящее время ведется подготовка материалов для обзора 2020</w:t>
      </w:r>
      <w:r w:rsidR="0078196D">
        <w:t> </w:t>
      </w:r>
      <w:r>
        <w:t>года, Подкомитет считает важным высказать следующие соображения:</w:t>
      </w:r>
    </w:p>
    <w:p w14:paraId="6E7E3A61" w14:textId="77777777" w:rsidR="00DD0E72" w:rsidRPr="007F3DC4" w:rsidRDefault="0078196D" w:rsidP="0078196D">
      <w:pPr>
        <w:pStyle w:val="SingleTxtG"/>
        <w:rPr>
          <w:rFonts w:eastAsia="Calibri"/>
        </w:rPr>
      </w:pPr>
      <w:r>
        <w:tab/>
      </w:r>
      <w:r>
        <w:tab/>
      </w:r>
      <w:r w:rsidR="00DD0E72">
        <w:t>a)</w:t>
      </w:r>
      <w:r w:rsidR="00DD0E72">
        <w:tab/>
        <w:t>Подкомитет постоянно подчеркивает, что он должен иметь возможность взаимодействовать с государствами в рамках своего мандата на проведение посещений с периодичностью, сходной с периодичностью цикла представления докладов других договорных органов по правам человека. Это отражает его опыт, согласно которому периоды продолжительностью около четырех лет подходят как для посещений, так и для представления докладов. Он не считает целесообразным устанавливать для посещений и для представления докладов периоды, значительно превышающие четыре года;</w:t>
      </w:r>
    </w:p>
    <w:p w14:paraId="7B929957" w14:textId="77777777" w:rsidR="00DD0E72" w:rsidRPr="007F3DC4" w:rsidRDefault="0078196D" w:rsidP="0078196D">
      <w:pPr>
        <w:pStyle w:val="SingleTxtG"/>
        <w:rPr>
          <w:rFonts w:eastAsia="Calibri"/>
        </w:rPr>
      </w:pPr>
      <w:r>
        <w:tab/>
      </w:r>
      <w:r>
        <w:tab/>
      </w:r>
      <w:r w:rsidR="00DD0E72">
        <w:t>b)</w:t>
      </w:r>
      <w:r w:rsidR="00DD0E72">
        <w:tab/>
        <w:t>учитывая свой опыт работы на местах, Подкомитет считает, что взаимодействие на местах имеет много преимуществ по сравнению с процедурами, которые ориентированы исключительно на Женеву. Он всячески поддерживает целенаправленное взаимодействие договорных органов как на местах, так и в Женеве и будет поощрять участников обзора к тому, чтобы они приняли это и способствовали этому, приблизили свою работу к правообладателям, носителям обязанностей, пользователям и поставщикам услуг и гражданск</w:t>
      </w:r>
      <w:r w:rsidR="00FB5318">
        <w:t>ому</w:t>
      </w:r>
      <w:r w:rsidR="00DD0E72">
        <w:t xml:space="preserve"> обществ</w:t>
      </w:r>
      <w:r w:rsidR="00FB5318">
        <w:t>у</w:t>
      </w:r>
      <w:r w:rsidR="00DD0E72">
        <w:t xml:space="preserve"> в целом.</w:t>
      </w:r>
    </w:p>
    <w:p w14:paraId="4211936B" w14:textId="77777777" w:rsidR="00DD0E72" w:rsidRPr="007F3DC4" w:rsidRDefault="0078196D" w:rsidP="0078196D">
      <w:pPr>
        <w:pStyle w:val="SingleTxtG"/>
        <w:rPr>
          <w:rFonts w:eastAsia="Calibri"/>
        </w:rPr>
      </w:pPr>
      <w:r>
        <w:tab/>
      </w:r>
      <w:r w:rsidR="00DD0E72">
        <w:t>4.</w:t>
      </w:r>
      <w:r w:rsidR="00DD0E72">
        <w:tab/>
        <w:t xml:space="preserve">Кроме того, Подкомитет сознает, что </w:t>
      </w:r>
      <w:r>
        <w:t>–</w:t>
      </w:r>
      <w:r w:rsidR="00DD0E72">
        <w:t xml:space="preserve"> как и в процессе, предшествовавшем принятию резолюции 68/268 Генеральной Ассамблеи, </w:t>
      </w:r>
      <w:r>
        <w:t>–</w:t>
      </w:r>
      <w:r w:rsidR="00DD0E72">
        <w:t xml:space="preserve"> его работе по конкретному мандату не уделялось достаточного внимания. Он глубоко обеспокоен тем, что обзор 2020 года не сможет исправить этот просчет. Поэтому он считает важным подчеркнуть, что в соответствии со своим мандатом, предусмотренным в статье 11 Факультативного протокола, Подкомитет должен как минимум:</w:t>
      </w:r>
    </w:p>
    <w:p w14:paraId="3751509B" w14:textId="77777777" w:rsidR="00DD0E72" w:rsidRPr="007F3DC4" w:rsidRDefault="0078196D" w:rsidP="0078196D">
      <w:pPr>
        <w:pStyle w:val="SingleTxtG"/>
      </w:pPr>
      <w:r>
        <w:tab/>
      </w:r>
      <w:r>
        <w:tab/>
      </w:r>
      <w:r w:rsidR="00DD0E72">
        <w:t>a)</w:t>
      </w:r>
      <w:r w:rsidR="00DD0E72">
        <w:tab/>
        <w:t>иметь возможность совершать от 10 до 12 официальных посещений в год в соответствии с пунктом а) статьи 11 Факультативного протокола;</w:t>
      </w:r>
    </w:p>
    <w:p w14:paraId="458E10E4" w14:textId="77777777" w:rsidR="00DD0E72" w:rsidRPr="007F3DC4" w:rsidRDefault="0078196D" w:rsidP="0078196D">
      <w:pPr>
        <w:pStyle w:val="SingleTxtG"/>
      </w:pPr>
      <w:r>
        <w:tab/>
      </w:r>
      <w:r>
        <w:tab/>
      </w:r>
      <w:r w:rsidR="00DD0E72">
        <w:t>b)</w:t>
      </w:r>
      <w:r w:rsidR="00DD0E72">
        <w:tab/>
        <w:t>иметь ресурсы для осуществления своего мандата по консультированию государств и оказанию им помощи в создании национальных превентивных механизмов и консультированию механизмов по вопросам их работы и практики в соответствии с пунктом b) статьи 11 Факультативного протокола (в прошлом этого не делалось);</w:t>
      </w:r>
    </w:p>
    <w:p w14:paraId="762AD8B6" w14:textId="77777777" w:rsidR="00DD0E72" w:rsidRPr="007F3DC4" w:rsidRDefault="0078196D" w:rsidP="0078196D">
      <w:pPr>
        <w:pStyle w:val="SingleTxtG"/>
      </w:pPr>
      <w:r>
        <w:tab/>
      </w:r>
      <w:r>
        <w:tab/>
      </w:r>
      <w:r w:rsidR="00DD0E72">
        <w:t>c)</w:t>
      </w:r>
      <w:r w:rsidR="00DD0E72">
        <w:tab/>
        <w:t>располагать необходимыми ресурсами для эффективного взаимодействия с другими международными органами, работающими в области предупреждения пыток, в соответствии с пунктом с) статьи 11 Факультативного протокола;</w:t>
      </w:r>
    </w:p>
    <w:p w14:paraId="64C8AECF" w14:textId="77777777" w:rsidR="00DD0E72" w:rsidRPr="007F3DC4" w:rsidRDefault="0078196D" w:rsidP="0078196D">
      <w:pPr>
        <w:pStyle w:val="SingleTxtG"/>
      </w:pPr>
      <w:r>
        <w:lastRenderedPageBreak/>
        <w:tab/>
      </w:r>
      <w:r>
        <w:tab/>
      </w:r>
      <w:r w:rsidR="00DD0E72">
        <w:t>d)</w:t>
      </w:r>
      <w:r w:rsidR="00DD0E72">
        <w:tab/>
        <w:t>обладать необходимыми потенциалом и ресурсами, чтобы взаимодействовать с государствами по вопросам осуществления его рекомендаций в различных форматах.</w:t>
      </w:r>
    </w:p>
    <w:p w14:paraId="01E71C3C" w14:textId="77777777" w:rsidR="00DD0E72" w:rsidRPr="007F3DC4" w:rsidRDefault="00DD0E72" w:rsidP="0078196D">
      <w:pPr>
        <w:pStyle w:val="SingleTxtG"/>
        <w:rPr>
          <w:rFonts w:eastAsia="Calibri"/>
        </w:rPr>
      </w:pPr>
      <w:r>
        <w:t>5.</w:t>
      </w:r>
      <w:r>
        <w:tab/>
        <w:t>В практическом плане это также означает, что</w:t>
      </w:r>
      <w:r w:rsidR="00FB5318">
        <w:t>,</w:t>
      </w:r>
      <w:r>
        <w:t xml:space="preserve"> для того чтобы Подкомитет мог выполнять свою работу, ему будет необходима еще одна неделя пленарных заседаний в год и, кроме того, он должен иметь возможность работать в секциях (отделениях/рабочих группах) с обеспечением возможностей перевода как минимум в течение половины каждой из своих сессий.</w:t>
      </w:r>
    </w:p>
    <w:p w14:paraId="1A32E5E4" w14:textId="77777777" w:rsidR="00DD0E72" w:rsidRPr="007F3DC4" w:rsidRDefault="00DD0E72" w:rsidP="0078196D">
      <w:pPr>
        <w:pStyle w:val="SingleTxtG"/>
        <w:rPr>
          <w:rFonts w:eastAsia="Calibri"/>
        </w:rPr>
      </w:pPr>
      <w:r>
        <w:t>6.</w:t>
      </w:r>
      <w:r>
        <w:tab/>
        <w:t>Важную роль играет также расширение возможностей проведения видеоконференций для его секций/рабочих групп, чтобы Подкомитет мог поддерживать регулярные контакты на своих сессиях с национальными превентивными механизмами и должностными лицами, с которыми он работает в целях оказания помощи в выполнении обязательств, вытекающих из Факультативного протокола.</w:t>
      </w:r>
    </w:p>
    <w:p w14:paraId="2DAA293C" w14:textId="77777777" w:rsidR="00DD0E72" w:rsidRPr="007F3DC4" w:rsidRDefault="00DD0E72" w:rsidP="0078196D">
      <w:pPr>
        <w:pStyle w:val="SingleTxtG"/>
        <w:rPr>
          <w:rFonts w:eastAsia="Calibri"/>
        </w:rPr>
      </w:pPr>
      <w:r>
        <w:t>7.</w:t>
      </w:r>
      <w:r>
        <w:tab/>
        <w:t xml:space="preserve">Наконец, важно, чтобы параллельно с этими мерами был значительно увеличен штат сотрудников секретариата (как минимум на двух сотрудников категории специалистов и одного сотрудника категории общего обслуживания), чтобы они могли работать в Подкомитете на постоянной основе. Характер работы Подкомитета предполагает выстраивание долгосрочных отношений, что требует стабильного кадрового состава заинтересованных сотрудников. </w:t>
      </w:r>
    </w:p>
    <w:p w14:paraId="73FC9F43" w14:textId="77777777" w:rsidR="00DD0E72" w:rsidRPr="007F3DC4" w:rsidRDefault="00DD0E72" w:rsidP="0078196D">
      <w:pPr>
        <w:pStyle w:val="SingleTxtG"/>
        <w:rPr>
          <w:rFonts w:eastAsia="Calibri"/>
        </w:rPr>
      </w:pPr>
      <w:r>
        <w:t>8.</w:t>
      </w:r>
      <w:r>
        <w:tab/>
        <w:t xml:space="preserve">Цель настоящего документа состоит не в том, чтобы определить объем этих потребностей, а в том, чтобы донести информацию о конкретных ресурсных потребностях Подкомитета и чтобы эта информация была должным образом учтена наряду с потребностями других договорных органов в ходе обзора 2020 года. </w:t>
      </w:r>
    </w:p>
    <w:p w14:paraId="3D76BD95" w14:textId="77777777" w:rsidR="00DD0E72" w:rsidRPr="007F3DC4" w:rsidRDefault="00DD0E72" w:rsidP="0078196D">
      <w:pPr>
        <w:pStyle w:val="SingleTxtG"/>
        <w:rPr>
          <w:rFonts w:eastAsia="Calibri"/>
        </w:rPr>
      </w:pPr>
      <w:r>
        <w:t>9.</w:t>
      </w:r>
      <w:r>
        <w:tab/>
        <w:t xml:space="preserve">Подкомитет полностью согласен с важностью регулярного и своевременного мониторинга выполнения государствами своих обязательств в области прав человека специализированными договорными органами. Вместе с тем не следует забывать о лицах, которым угрожает опасность подвергнуться пыткам, поэтому важно, чтобы работа этого механизма, созданного Организацией Объединенных Наций для обеспечения защиты этих лиц, была должным образом отмечена, получила надлежащее внимание и отражение в ходе обзора 2020 года. </w:t>
      </w:r>
    </w:p>
    <w:p w14:paraId="0F53DADE" w14:textId="77777777" w:rsidR="00DD0E72" w:rsidRPr="007F3DC4" w:rsidRDefault="00DD0E72" w:rsidP="00DD0E72">
      <w:pPr>
        <w:pStyle w:val="SingleTxtG"/>
        <w:spacing w:before="240"/>
        <w:jc w:val="center"/>
        <w:rPr>
          <w:u w:val="single"/>
        </w:rPr>
      </w:pPr>
      <w:r w:rsidRPr="007F3DC4">
        <w:rPr>
          <w:u w:val="single"/>
        </w:rPr>
        <w:tab/>
      </w:r>
      <w:r w:rsidRPr="007F3DC4">
        <w:rPr>
          <w:u w:val="single"/>
        </w:rPr>
        <w:tab/>
      </w:r>
      <w:r w:rsidRPr="007F3DC4">
        <w:rPr>
          <w:u w:val="single"/>
        </w:rPr>
        <w:tab/>
      </w:r>
      <w:r w:rsidRPr="007F3DC4">
        <w:rPr>
          <w:u w:val="single"/>
        </w:rPr>
        <w:tab/>
      </w:r>
    </w:p>
    <w:p w14:paraId="1F00330B" w14:textId="77777777" w:rsidR="00DD0E72" w:rsidRPr="00DD0E72" w:rsidRDefault="00DD0E72" w:rsidP="00DC27A5"/>
    <w:sectPr w:rsidR="00DD0E72" w:rsidRPr="00DD0E72" w:rsidSect="001379CB">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2FA928" w14:textId="77777777" w:rsidR="001414BE" w:rsidRPr="00A312BC" w:rsidRDefault="001414BE" w:rsidP="00A312BC"/>
  </w:endnote>
  <w:endnote w:type="continuationSeparator" w:id="0">
    <w:p w14:paraId="6659EC85" w14:textId="77777777" w:rsidR="001414BE" w:rsidRPr="00A312BC" w:rsidRDefault="001414BE"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AF2C2" w14:textId="77777777" w:rsidR="001379CB" w:rsidRPr="001379CB" w:rsidRDefault="001379CB">
    <w:pPr>
      <w:pStyle w:val="Footer"/>
    </w:pPr>
    <w:r w:rsidRPr="001379CB">
      <w:rPr>
        <w:b/>
        <w:sz w:val="18"/>
      </w:rPr>
      <w:fldChar w:fldCharType="begin"/>
    </w:r>
    <w:r w:rsidRPr="001379CB">
      <w:rPr>
        <w:b/>
        <w:sz w:val="18"/>
      </w:rPr>
      <w:instrText xml:space="preserve"> PAGE  \* MERGEFORMAT </w:instrText>
    </w:r>
    <w:r w:rsidRPr="001379CB">
      <w:rPr>
        <w:b/>
        <w:sz w:val="18"/>
      </w:rPr>
      <w:fldChar w:fldCharType="separate"/>
    </w:r>
    <w:r w:rsidRPr="001379CB">
      <w:rPr>
        <w:b/>
        <w:noProof/>
        <w:sz w:val="18"/>
      </w:rPr>
      <w:t>2</w:t>
    </w:r>
    <w:r w:rsidRPr="001379CB">
      <w:rPr>
        <w:b/>
        <w:sz w:val="18"/>
      </w:rPr>
      <w:fldChar w:fldCharType="end"/>
    </w:r>
    <w:r>
      <w:rPr>
        <w:b/>
        <w:sz w:val="18"/>
      </w:rPr>
      <w:tab/>
    </w:r>
    <w:r>
      <w:t>GE.20-03979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839D2" w14:textId="77777777" w:rsidR="001379CB" w:rsidRPr="001379CB" w:rsidRDefault="001379CB" w:rsidP="001379CB">
    <w:pPr>
      <w:pStyle w:val="Footer"/>
      <w:tabs>
        <w:tab w:val="clear" w:pos="9639"/>
        <w:tab w:val="right" w:pos="9638"/>
      </w:tabs>
      <w:rPr>
        <w:b/>
        <w:sz w:val="18"/>
      </w:rPr>
    </w:pPr>
    <w:r>
      <w:t>GE.20-03979</w:t>
    </w:r>
    <w:r>
      <w:tab/>
    </w:r>
    <w:r w:rsidRPr="001379CB">
      <w:rPr>
        <w:b/>
        <w:sz w:val="18"/>
      </w:rPr>
      <w:fldChar w:fldCharType="begin"/>
    </w:r>
    <w:r w:rsidRPr="001379CB">
      <w:rPr>
        <w:b/>
        <w:sz w:val="18"/>
      </w:rPr>
      <w:instrText xml:space="preserve"> PAGE  \* MERGEFORMAT </w:instrText>
    </w:r>
    <w:r w:rsidRPr="001379CB">
      <w:rPr>
        <w:b/>
        <w:sz w:val="18"/>
      </w:rPr>
      <w:fldChar w:fldCharType="separate"/>
    </w:r>
    <w:r w:rsidRPr="001379CB">
      <w:rPr>
        <w:b/>
        <w:noProof/>
        <w:sz w:val="18"/>
      </w:rPr>
      <w:t>3</w:t>
    </w:r>
    <w:r w:rsidRPr="001379C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5E68B6" w14:textId="77777777" w:rsidR="00042B72" w:rsidRPr="001379CB" w:rsidRDefault="001379CB" w:rsidP="001379CB">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769B0E53" wp14:editId="35817892">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20-03979  (R)</w:t>
    </w:r>
    <w:r w:rsidR="00DD0E72">
      <w:rPr>
        <w:lang w:val="en-US"/>
      </w:rPr>
      <w:t xml:space="preserve">  230320  240320</w:t>
    </w:r>
    <w:r>
      <w:br/>
    </w:r>
    <w:r w:rsidRPr="001379CB">
      <w:rPr>
        <w:rFonts w:ascii="C39T30Lfz" w:hAnsi="C39T30Lfz"/>
        <w:kern w:val="14"/>
        <w:sz w:val="56"/>
      </w:rPr>
      <w:t></w:t>
    </w:r>
    <w:r w:rsidRPr="001379CB">
      <w:rPr>
        <w:rFonts w:ascii="C39T30Lfz" w:hAnsi="C39T30Lfz"/>
        <w:kern w:val="14"/>
        <w:sz w:val="56"/>
      </w:rPr>
      <w:t></w:t>
    </w:r>
    <w:r w:rsidRPr="001379CB">
      <w:rPr>
        <w:rFonts w:ascii="C39T30Lfz" w:hAnsi="C39T30Lfz"/>
        <w:kern w:val="14"/>
        <w:sz w:val="56"/>
      </w:rPr>
      <w:t></w:t>
    </w:r>
    <w:r w:rsidRPr="001379CB">
      <w:rPr>
        <w:rFonts w:ascii="C39T30Lfz" w:hAnsi="C39T30Lfz"/>
        <w:kern w:val="14"/>
        <w:sz w:val="56"/>
      </w:rPr>
      <w:t></w:t>
    </w:r>
    <w:r w:rsidRPr="001379CB">
      <w:rPr>
        <w:rFonts w:ascii="C39T30Lfz" w:hAnsi="C39T30Lfz"/>
        <w:kern w:val="14"/>
        <w:sz w:val="56"/>
      </w:rPr>
      <w:t></w:t>
    </w:r>
    <w:r w:rsidRPr="001379CB">
      <w:rPr>
        <w:rFonts w:ascii="C39T30Lfz" w:hAnsi="C39T30Lfz"/>
        <w:kern w:val="14"/>
        <w:sz w:val="56"/>
      </w:rPr>
      <w:t></w:t>
    </w:r>
    <w:r w:rsidRPr="001379CB">
      <w:rPr>
        <w:rFonts w:ascii="C39T30Lfz" w:hAnsi="C39T30Lfz"/>
        <w:kern w:val="14"/>
        <w:sz w:val="56"/>
      </w:rPr>
      <w:t></w:t>
    </w:r>
    <w:r w:rsidRPr="001379CB">
      <w:rPr>
        <w:rFonts w:ascii="C39T30Lfz" w:hAnsi="C39T30Lfz"/>
        <w:kern w:val="14"/>
        <w:sz w:val="56"/>
      </w:rPr>
      <w:t></w:t>
    </w:r>
    <w:r w:rsidRPr="001379CB">
      <w:rPr>
        <w:rFonts w:ascii="C39T30Lfz" w:hAnsi="C39T30Lfz"/>
        <w:kern w:val="14"/>
        <w:sz w:val="56"/>
      </w:rPr>
      <w:t></w:t>
    </w:r>
    <w:r>
      <w:rPr>
        <w:noProof/>
      </w:rPr>
      <w:drawing>
        <wp:anchor distT="0" distB="0" distL="114300" distR="114300" simplePos="0" relativeHeight="251659264" behindDoc="0" locked="0" layoutInCell="1" allowOverlap="1" wp14:anchorId="42FB3A9A" wp14:editId="3B03FD50">
          <wp:simplePos x="0" y="0"/>
          <wp:positionH relativeFrom="margin">
            <wp:posOffset>5489575</wp:posOffset>
          </wp:positionH>
          <wp:positionV relativeFrom="margin">
            <wp:posOffset>8855710</wp:posOffset>
          </wp:positionV>
          <wp:extent cx="561975" cy="561975"/>
          <wp:effectExtent l="0" t="0" r="9525" b="9525"/>
          <wp:wrapNone/>
          <wp:docPr id="1" name="Рисунок 1" descr="https://undocs.org/m2/QRCode.ashx?DS=CAT/C/69/3&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69/3&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047690" w14:textId="77777777" w:rsidR="001414BE" w:rsidRPr="001075E9" w:rsidRDefault="001414BE" w:rsidP="001075E9">
      <w:pPr>
        <w:tabs>
          <w:tab w:val="right" w:pos="2155"/>
        </w:tabs>
        <w:spacing w:after="80" w:line="240" w:lineRule="auto"/>
        <w:ind w:left="680"/>
        <w:rPr>
          <w:u w:val="single"/>
        </w:rPr>
      </w:pPr>
      <w:r>
        <w:rPr>
          <w:u w:val="single"/>
        </w:rPr>
        <w:tab/>
      </w:r>
    </w:p>
  </w:footnote>
  <w:footnote w:type="continuationSeparator" w:id="0">
    <w:p w14:paraId="758F3769" w14:textId="77777777" w:rsidR="001414BE" w:rsidRDefault="001414BE" w:rsidP="00407B78">
      <w:pPr>
        <w:tabs>
          <w:tab w:val="right" w:pos="2155"/>
        </w:tabs>
        <w:spacing w:after="80"/>
        <w:ind w:left="680"/>
        <w:rPr>
          <w:u w:val="single"/>
        </w:rPr>
      </w:pPr>
      <w:r>
        <w:rPr>
          <w:u w:val="single"/>
        </w:rPr>
        <w:tab/>
      </w:r>
    </w:p>
  </w:footnote>
  <w:footnote w:id="1">
    <w:p w14:paraId="2319B7F6" w14:textId="77777777" w:rsidR="00DD0E72" w:rsidRPr="003A0B9A" w:rsidRDefault="00DD0E72" w:rsidP="00DD0E72">
      <w:pPr>
        <w:pStyle w:val="FootnoteText"/>
      </w:pPr>
      <w:r w:rsidRPr="003A0B9A">
        <w:rPr>
          <w:rStyle w:val="FootnoteReference"/>
        </w:rPr>
        <w:tab/>
      </w:r>
      <w:r w:rsidRPr="003A0B9A">
        <w:rPr>
          <w:rStyle w:val="FootnoteReference"/>
        </w:rPr>
        <w:footnoteRef/>
      </w:r>
      <w:r w:rsidRPr="003A0B9A">
        <w:tab/>
        <w:t xml:space="preserve">Со списком членов можно ознакомиться по адресу </w:t>
      </w:r>
      <w:hyperlink r:id="rId1" w:history="1">
        <w:r w:rsidR="00E2488C" w:rsidRPr="003A0B9A">
          <w:rPr>
            <w:rStyle w:val="Hyperlink"/>
            <w:color w:val="auto"/>
          </w:rPr>
          <w:t>www.ohchr.org/EN/HRBodies/OPCAT/Pages/Membership.aspx</w:t>
        </w:r>
      </w:hyperlink>
      <w:r w:rsidRPr="003A0B9A">
        <w:t xml:space="preserve">. </w:t>
      </w:r>
    </w:p>
  </w:footnote>
  <w:footnote w:id="2">
    <w:p w14:paraId="2CB3204D" w14:textId="77777777" w:rsidR="00DD0E72" w:rsidRPr="003A0B9A" w:rsidRDefault="00DD0E72" w:rsidP="00DD0E72">
      <w:pPr>
        <w:pStyle w:val="FootnoteText"/>
      </w:pPr>
      <w:r w:rsidRPr="003A0B9A">
        <w:tab/>
      </w:r>
      <w:r w:rsidRPr="003A0B9A">
        <w:rPr>
          <w:rStyle w:val="FootnoteReference"/>
          <w:szCs w:val="18"/>
        </w:rPr>
        <w:footnoteRef/>
      </w:r>
      <w:r w:rsidRPr="003A0B9A">
        <w:tab/>
        <w:t>Член Подкомитета с 2008 по 2016 год.</w:t>
      </w:r>
    </w:p>
  </w:footnote>
  <w:footnote w:id="3">
    <w:p w14:paraId="6EEAEBD5" w14:textId="77777777" w:rsidR="00DD0E72" w:rsidRPr="003A0B9A" w:rsidRDefault="00DD0E72" w:rsidP="00DD0E72">
      <w:pPr>
        <w:pStyle w:val="FootnoteText"/>
      </w:pPr>
      <w:r w:rsidRPr="003A0B9A">
        <w:tab/>
      </w:r>
      <w:r w:rsidRPr="003A0B9A">
        <w:rPr>
          <w:rStyle w:val="FootnoteReference"/>
        </w:rPr>
        <w:footnoteRef/>
      </w:r>
      <w:r w:rsidR="00E2488C" w:rsidRPr="003A0B9A">
        <w:tab/>
      </w:r>
      <w:r w:rsidR="00FB5318" w:rsidRPr="003A0B9A">
        <w:t xml:space="preserve">См. </w:t>
      </w:r>
      <w:hyperlink r:id="rId2" w:history="1">
        <w:r w:rsidR="00FB5318" w:rsidRPr="003A0B9A">
          <w:rPr>
            <w:rStyle w:val="Hyperlink"/>
            <w:color w:val="auto"/>
          </w:rPr>
          <w:t>www.ohchr.org/EN/HRBodies/OPCAT/Pages/ContactRegionalTeams.aspx</w:t>
        </w:r>
      </w:hyperlink>
      <w:r w:rsidRPr="003A0B9A">
        <w:t>.</w:t>
      </w:r>
    </w:p>
  </w:footnote>
  <w:footnote w:id="4">
    <w:p w14:paraId="45663D9E" w14:textId="77777777" w:rsidR="00DD0E72" w:rsidRPr="00D01E71" w:rsidRDefault="00DD0E72" w:rsidP="00DD0E72">
      <w:pPr>
        <w:pStyle w:val="FootnoteText"/>
      </w:pPr>
      <w:r w:rsidRPr="003A0B9A">
        <w:tab/>
      </w:r>
      <w:r w:rsidRPr="003A0B9A">
        <w:rPr>
          <w:rStyle w:val="FootnoteReference"/>
        </w:rPr>
        <w:footnoteRef/>
      </w:r>
      <w:r w:rsidRPr="003A0B9A">
        <w:tab/>
      </w:r>
      <w:r w:rsidR="00FB5318" w:rsidRPr="003A0B9A">
        <w:t xml:space="preserve">См. </w:t>
      </w:r>
      <w:hyperlink r:id="rId3" w:history="1">
        <w:r w:rsidR="00FB5318" w:rsidRPr="003A0B9A">
          <w:rPr>
            <w:rStyle w:val="Hyperlink"/>
            <w:color w:val="auto"/>
            <w:lang w:val="en-US"/>
          </w:rPr>
          <w:t>www</w:t>
        </w:r>
        <w:r w:rsidR="00FB5318" w:rsidRPr="00D01E71">
          <w:rPr>
            <w:rStyle w:val="Hyperlink"/>
            <w:color w:val="auto"/>
          </w:rPr>
          <w:t>.</w:t>
        </w:r>
        <w:proofErr w:type="spellStart"/>
        <w:r w:rsidR="00FB5318" w:rsidRPr="003A0B9A">
          <w:rPr>
            <w:rStyle w:val="Hyperlink"/>
            <w:color w:val="auto"/>
            <w:lang w:val="en-US"/>
          </w:rPr>
          <w:t>ohchr</w:t>
        </w:r>
        <w:proofErr w:type="spellEnd"/>
        <w:r w:rsidR="00FB5318" w:rsidRPr="00D01E71">
          <w:rPr>
            <w:rStyle w:val="Hyperlink"/>
            <w:color w:val="auto"/>
          </w:rPr>
          <w:t>.</w:t>
        </w:r>
        <w:r w:rsidR="00FB5318" w:rsidRPr="003A0B9A">
          <w:rPr>
            <w:rStyle w:val="Hyperlink"/>
            <w:color w:val="auto"/>
            <w:lang w:val="en-US"/>
          </w:rPr>
          <w:t>org</w:t>
        </w:r>
        <w:r w:rsidR="00FB5318" w:rsidRPr="00D01E71">
          <w:rPr>
            <w:rStyle w:val="Hyperlink"/>
            <w:color w:val="auto"/>
          </w:rPr>
          <w:t>/</w:t>
        </w:r>
        <w:r w:rsidR="00FB5318" w:rsidRPr="003A0B9A">
          <w:rPr>
            <w:rStyle w:val="Hyperlink"/>
            <w:color w:val="auto"/>
            <w:lang w:val="en-US"/>
          </w:rPr>
          <w:t>EN</w:t>
        </w:r>
        <w:r w:rsidR="00FB5318" w:rsidRPr="00D01E71">
          <w:rPr>
            <w:rStyle w:val="Hyperlink"/>
            <w:color w:val="auto"/>
          </w:rPr>
          <w:t>/</w:t>
        </w:r>
        <w:proofErr w:type="spellStart"/>
        <w:r w:rsidR="00FB5318" w:rsidRPr="003A0B9A">
          <w:rPr>
            <w:rStyle w:val="Hyperlink"/>
            <w:color w:val="auto"/>
            <w:lang w:val="en-US"/>
          </w:rPr>
          <w:t>NewsEvents</w:t>
        </w:r>
        <w:proofErr w:type="spellEnd"/>
        <w:r w:rsidR="00FB5318" w:rsidRPr="00D01E71">
          <w:rPr>
            <w:rStyle w:val="Hyperlink"/>
            <w:color w:val="auto"/>
          </w:rPr>
          <w:t>/</w:t>
        </w:r>
        <w:r w:rsidR="00FB5318" w:rsidRPr="003A0B9A">
          <w:rPr>
            <w:rStyle w:val="Hyperlink"/>
            <w:color w:val="auto"/>
            <w:lang w:val="en-US"/>
          </w:rPr>
          <w:t>Pages</w:t>
        </w:r>
        <w:r w:rsidR="00FB5318" w:rsidRPr="00D01E71">
          <w:rPr>
            <w:rStyle w:val="Hyperlink"/>
            <w:color w:val="auto"/>
          </w:rPr>
          <w:t>/</w:t>
        </w:r>
        <w:proofErr w:type="spellStart"/>
        <w:r w:rsidR="00FB5318" w:rsidRPr="003A0B9A">
          <w:rPr>
            <w:rStyle w:val="Hyperlink"/>
            <w:color w:val="auto"/>
            <w:lang w:val="en-US"/>
          </w:rPr>
          <w:t>newssearch</w:t>
        </w:r>
        <w:proofErr w:type="spellEnd"/>
        <w:r w:rsidR="00FB5318" w:rsidRPr="00D01E71">
          <w:rPr>
            <w:rStyle w:val="Hyperlink"/>
            <w:color w:val="auto"/>
          </w:rPr>
          <w:t>.</w:t>
        </w:r>
        <w:proofErr w:type="spellStart"/>
        <w:r w:rsidR="00FB5318" w:rsidRPr="003A0B9A">
          <w:rPr>
            <w:rStyle w:val="Hyperlink"/>
            <w:color w:val="auto"/>
            <w:lang w:val="en-US"/>
          </w:rPr>
          <w:t>aspx</w:t>
        </w:r>
        <w:proofErr w:type="spellEnd"/>
        <w:r w:rsidR="00FB5318" w:rsidRPr="00D01E71">
          <w:rPr>
            <w:rStyle w:val="Hyperlink"/>
            <w:color w:val="auto"/>
          </w:rPr>
          <w:t>?</w:t>
        </w:r>
        <w:r w:rsidR="00FB5318" w:rsidRPr="003A0B9A">
          <w:rPr>
            <w:rStyle w:val="Hyperlink"/>
            <w:color w:val="auto"/>
            <w:lang w:val="en-US"/>
          </w:rPr>
          <w:t>MID</w:t>
        </w:r>
        <w:r w:rsidR="00FB5318" w:rsidRPr="00D01E71">
          <w:rPr>
            <w:rStyle w:val="Hyperlink"/>
            <w:color w:val="auto"/>
          </w:rPr>
          <w:t>=</w:t>
        </w:r>
        <w:r w:rsidR="00FB5318" w:rsidRPr="003A0B9A">
          <w:rPr>
            <w:rStyle w:val="Hyperlink"/>
            <w:color w:val="auto"/>
            <w:lang w:val="en-US"/>
          </w:rPr>
          <w:t>Sub</w:t>
        </w:r>
        <w:r w:rsidR="00FB5318" w:rsidRPr="00D01E71">
          <w:rPr>
            <w:rStyle w:val="Hyperlink"/>
            <w:color w:val="auto"/>
          </w:rPr>
          <w:t>_</w:t>
        </w:r>
        <w:proofErr w:type="spellStart"/>
        <w:r w:rsidR="00FB5318" w:rsidRPr="003A0B9A">
          <w:rPr>
            <w:rStyle w:val="Hyperlink"/>
            <w:color w:val="auto"/>
            <w:lang w:val="en-US"/>
          </w:rPr>
          <w:t>Committ</w:t>
        </w:r>
        <w:proofErr w:type="spellEnd"/>
        <w:r w:rsidR="00FB5318" w:rsidRPr="00D01E71">
          <w:rPr>
            <w:rStyle w:val="Hyperlink"/>
            <w:color w:val="auto"/>
          </w:rPr>
          <w:t>_</w:t>
        </w:r>
        <w:r w:rsidR="00FB5318" w:rsidRPr="003A0B9A">
          <w:rPr>
            <w:rStyle w:val="Hyperlink"/>
            <w:color w:val="auto"/>
            <w:lang w:val="en-US"/>
          </w:rPr>
          <w:t>Torture</w:t>
        </w:r>
      </w:hyperlink>
      <w:r w:rsidRPr="00D01E71">
        <w:t>.</w:t>
      </w:r>
    </w:p>
  </w:footnote>
  <w:footnote w:id="5">
    <w:p w14:paraId="7E56BE52" w14:textId="77777777" w:rsidR="00DD0E72" w:rsidRPr="003A0B9A" w:rsidRDefault="00DD0E72" w:rsidP="00DD0E72">
      <w:pPr>
        <w:pStyle w:val="FootnoteText"/>
      </w:pPr>
      <w:r w:rsidRPr="00D01E71">
        <w:tab/>
      </w:r>
      <w:r w:rsidRPr="003A0B9A">
        <w:rPr>
          <w:rStyle w:val="FootnoteReference"/>
        </w:rPr>
        <w:footnoteRef/>
      </w:r>
      <w:r w:rsidRPr="003A0B9A">
        <w:tab/>
        <w:t xml:space="preserve">См. </w:t>
      </w:r>
      <w:hyperlink r:id="rId4" w:history="1">
        <w:r w:rsidR="0078196D" w:rsidRPr="003A0B9A">
          <w:rPr>
            <w:rStyle w:val="Hyperlink"/>
            <w:color w:val="auto"/>
          </w:rPr>
          <w:t>www.ohchr.org/EN/HRBodies/OPCAT/Pages/Article17.aspx</w:t>
        </w:r>
      </w:hyperlink>
      <w:r w:rsidRPr="003A0B9A">
        <w:t>.</w:t>
      </w:r>
    </w:p>
  </w:footnote>
  <w:footnote w:id="6">
    <w:p w14:paraId="60D04D84" w14:textId="77777777" w:rsidR="00DD0E72" w:rsidRPr="003A0B9A" w:rsidRDefault="00DD0E72" w:rsidP="00DD0E72">
      <w:pPr>
        <w:pStyle w:val="FootnoteText"/>
      </w:pPr>
      <w:r w:rsidRPr="003A0B9A">
        <w:tab/>
      </w:r>
      <w:r w:rsidRPr="003A0B9A">
        <w:rPr>
          <w:rStyle w:val="FootnoteReference"/>
        </w:rPr>
        <w:footnoteRef/>
      </w:r>
      <w:r w:rsidRPr="003A0B9A">
        <w:tab/>
      </w:r>
      <w:hyperlink r:id="rId5" w:history="1">
        <w:r w:rsidR="0078196D" w:rsidRPr="003A0B9A">
          <w:rPr>
            <w:rStyle w:val="Hyperlink"/>
            <w:color w:val="auto"/>
          </w:rPr>
          <w:t>www.ohchr.org/EN/NewsEvents/Pages/DisplayNews.aspx?NewsID=24739&amp;LangID=E</w:t>
        </w:r>
      </w:hyperlink>
      <w:r w:rsidRPr="003A0B9A">
        <w:t>.</w:t>
      </w:r>
    </w:p>
  </w:footnote>
  <w:footnote w:id="7">
    <w:p w14:paraId="323AB95D" w14:textId="77777777" w:rsidR="00DD0E72" w:rsidRPr="003A0B9A" w:rsidRDefault="00DD0E72" w:rsidP="00DD0E72">
      <w:pPr>
        <w:pStyle w:val="FootnoteText"/>
      </w:pPr>
      <w:r w:rsidRPr="003A0B9A">
        <w:tab/>
      </w:r>
      <w:r w:rsidRPr="003A0B9A">
        <w:rPr>
          <w:rStyle w:val="FootnoteReference"/>
        </w:rPr>
        <w:footnoteRef/>
      </w:r>
      <w:r w:rsidRPr="003A0B9A">
        <w:tab/>
      </w:r>
      <w:hyperlink r:id="rId6" w:history="1">
        <w:r w:rsidR="0078196D" w:rsidRPr="003A0B9A">
          <w:rPr>
            <w:rStyle w:val="Hyperlink"/>
            <w:color w:val="auto"/>
          </w:rPr>
          <w:t>www.ohchr.org/EN/HRBodies/OPCAT/Pages/AdvicesToNPMS.aspx</w:t>
        </w:r>
      </w:hyperlink>
      <w:r w:rsidRPr="003A0B9A">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9AF500" w14:textId="42955E23" w:rsidR="001379CB" w:rsidRPr="001379CB" w:rsidRDefault="0005424B">
    <w:pPr>
      <w:pStyle w:val="Header"/>
    </w:pPr>
    <w:r>
      <w:fldChar w:fldCharType="begin"/>
    </w:r>
    <w:r>
      <w:instrText xml:space="preserve"> TITLE  \* MERGEFORMAT </w:instrText>
    </w:r>
    <w:r>
      <w:fldChar w:fldCharType="separate"/>
    </w:r>
    <w:r>
      <w:t>CAT/C/69/3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46A64" w14:textId="5030DC69" w:rsidR="001379CB" w:rsidRPr="001379CB" w:rsidRDefault="0005424B" w:rsidP="001379CB">
    <w:pPr>
      <w:pStyle w:val="Header"/>
      <w:jc w:val="right"/>
    </w:pPr>
    <w:r>
      <w:fldChar w:fldCharType="begin"/>
    </w:r>
    <w:r>
      <w:instrText xml:space="preserve"> TITLE  \* MERGEFORMAT </w:instrText>
    </w:r>
    <w:r>
      <w:fldChar w:fldCharType="separate"/>
    </w:r>
    <w:r>
      <w:t>CAT/C/69/3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1"/>
  </w:num>
  <w:num w:numId="3">
    <w:abstractNumId w:val="15"/>
  </w:num>
  <w:num w:numId="4">
    <w:abstractNumId w:val="10"/>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6"/>
  </w:num>
  <w:num w:numId="17">
    <w:abstractNumId w:val="12"/>
  </w:num>
  <w:num w:numId="18">
    <w:abstractNumId w:val="14"/>
  </w:num>
  <w:num w:numId="19">
    <w:abstractNumId w:val="16"/>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4BE"/>
    <w:rsid w:val="00033EE1"/>
    <w:rsid w:val="00041407"/>
    <w:rsid w:val="00042B72"/>
    <w:rsid w:val="0005424B"/>
    <w:rsid w:val="000558BD"/>
    <w:rsid w:val="000725B5"/>
    <w:rsid w:val="000814CD"/>
    <w:rsid w:val="000B57E7"/>
    <w:rsid w:val="000B6373"/>
    <w:rsid w:val="000F09DF"/>
    <w:rsid w:val="000F61B2"/>
    <w:rsid w:val="001075E9"/>
    <w:rsid w:val="001379CB"/>
    <w:rsid w:val="001414BE"/>
    <w:rsid w:val="00180183"/>
    <w:rsid w:val="0018024D"/>
    <w:rsid w:val="0018649F"/>
    <w:rsid w:val="00196389"/>
    <w:rsid w:val="001B3EF6"/>
    <w:rsid w:val="001C7A89"/>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A0B9A"/>
    <w:rsid w:val="003B00E5"/>
    <w:rsid w:val="004037F0"/>
    <w:rsid w:val="00407B78"/>
    <w:rsid w:val="00424203"/>
    <w:rsid w:val="00452493"/>
    <w:rsid w:val="00454E07"/>
    <w:rsid w:val="00472C5C"/>
    <w:rsid w:val="0050108D"/>
    <w:rsid w:val="00513081"/>
    <w:rsid w:val="00517901"/>
    <w:rsid w:val="00526683"/>
    <w:rsid w:val="00550706"/>
    <w:rsid w:val="005709E0"/>
    <w:rsid w:val="00570A37"/>
    <w:rsid w:val="00572E19"/>
    <w:rsid w:val="0058663C"/>
    <w:rsid w:val="005961C8"/>
    <w:rsid w:val="005D7914"/>
    <w:rsid w:val="005E2B41"/>
    <w:rsid w:val="005F0B42"/>
    <w:rsid w:val="00681A10"/>
    <w:rsid w:val="006A1ED8"/>
    <w:rsid w:val="006C2031"/>
    <w:rsid w:val="006D461A"/>
    <w:rsid w:val="006F35EE"/>
    <w:rsid w:val="007021FF"/>
    <w:rsid w:val="00712895"/>
    <w:rsid w:val="00757357"/>
    <w:rsid w:val="0078196D"/>
    <w:rsid w:val="00825F8D"/>
    <w:rsid w:val="00834B71"/>
    <w:rsid w:val="00834CC0"/>
    <w:rsid w:val="0086445C"/>
    <w:rsid w:val="00894693"/>
    <w:rsid w:val="008A08D7"/>
    <w:rsid w:val="008B6909"/>
    <w:rsid w:val="008E17F9"/>
    <w:rsid w:val="00906890"/>
    <w:rsid w:val="00911BE4"/>
    <w:rsid w:val="00951972"/>
    <w:rsid w:val="00953B7A"/>
    <w:rsid w:val="009569AF"/>
    <w:rsid w:val="009608F3"/>
    <w:rsid w:val="009869B6"/>
    <w:rsid w:val="009A24AC"/>
    <w:rsid w:val="009D033C"/>
    <w:rsid w:val="00A312BC"/>
    <w:rsid w:val="00A478EF"/>
    <w:rsid w:val="00A66C5E"/>
    <w:rsid w:val="00A74D9D"/>
    <w:rsid w:val="00A84021"/>
    <w:rsid w:val="00A84D35"/>
    <w:rsid w:val="00A917B3"/>
    <w:rsid w:val="00AB0B3E"/>
    <w:rsid w:val="00AB4B51"/>
    <w:rsid w:val="00B10CC7"/>
    <w:rsid w:val="00B20CB2"/>
    <w:rsid w:val="00B539E7"/>
    <w:rsid w:val="00B62458"/>
    <w:rsid w:val="00BC18B2"/>
    <w:rsid w:val="00BD33EE"/>
    <w:rsid w:val="00C106D6"/>
    <w:rsid w:val="00C23549"/>
    <w:rsid w:val="00C60F0C"/>
    <w:rsid w:val="00C805C9"/>
    <w:rsid w:val="00C838C6"/>
    <w:rsid w:val="00C92939"/>
    <w:rsid w:val="00C97685"/>
    <w:rsid w:val="00CA1679"/>
    <w:rsid w:val="00CB151C"/>
    <w:rsid w:val="00CE5A1A"/>
    <w:rsid w:val="00CF55F6"/>
    <w:rsid w:val="00D01E71"/>
    <w:rsid w:val="00D177BB"/>
    <w:rsid w:val="00D33D63"/>
    <w:rsid w:val="00D7263B"/>
    <w:rsid w:val="00D90028"/>
    <w:rsid w:val="00D90138"/>
    <w:rsid w:val="00DC27A5"/>
    <w:rsid w:val="00DD0E72"/>
    <w:rsid w:val="00DF71B9"/>
    <w:rsid w:val="00E21169"/>
    <w:rsid w:val="00E2488C"/>
    <w:rsid w:val="00E528D1"/>
    <w:rsid w:val="00E73F76"/>
    <w:rsid w:val="00EA2C9F"/>
    <w:rsid w:val="00ED0BDA"/>
    <w:rsid w:val="00EF1360"/>
    <w:rsid w:val="00EF3220"/>
    <w:rsid w:val="00F21B00"/>
    <w:rsid w:val="00F82DE6"/>
    <w:rsid w:val="00F90E40"/>
    <w:rsid w:val="00F94155"/>
    <w:rsid w:val="00F9783F"/>
    <w:rsid w:val="00FB5318"/>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531AC4A"/>
  <w15:docId w15:val="{49123925-D90A-4BB3-950A-022FD5D296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20CB2"/>
    <w:pPr>
      <w:suppressAutoHyphens/>
      <w:spacing w:line="240" w:lineRule="atLeast"/>
    </w:pPr>
    <w:rPr>
      <w:rFonts w:eastAsiaTheme="minorHAnsi" w:cstheme="minorBidi"/>
      <w:szCs w:val="22"/>
      <w:lang w:val="ru-RU" w:eastAsia="en-US"/>
    </w:rPr>
  </w:style>
  <w:style w:type="paragraph" w:styleId="Heading1">
    <w:name w:val="heading 1"/>
    <w:aliases w:val="Table_G"/>
    <w:basedOn w:val="Normal"/>
    <w:next w:val="Normal"/>
    <w:link w:val="Heading1Char"/>
    <w:qFormat/>
    <w:rsid w:val="00570A37"/>
    <w:pPr>
      <w:keepNext/>
      <w:tabs>
        <w:tab w:val="left" w:pos="567"/>
      </w:tabs>
      <w:jc w:val="both"/>
      <w:outlineLvl w:val="0"/>
    </w:pPr>
    <w:rPr>
      <w:rFonts w:eastAsia="Times New Roman" w:cs="Arial"/>
      <w:b/>
      <w:bCs/>
      <w:szCs w:val="32"/>
      <w:lang w:eastAsia="ru-RU"/>
    </w:rPr>
  </w:style>
  <w:style w:type="paragraph" w:styleId="Heading2">
    <w:name w:val="heading 2"/>
    <w:basedOn w:val="Normal"/>
    <w:next w:val="Normal"/>
    <w:semiHidden/>
    <w:rsid w:val="000814CD"/>
    <w:pPr>
      <w:keepNext/>
      <w:outlineLvl w:val="1"/>
    </w:pPr>
    <w:rPr>
      <w:rFonts w:cs="Arial"/>
      <w:bCs/>
      <w:iCs/>
      <w:szCs w:val="28"/>
    </w:rPr>
  </w:style>
  <w:style w:type="paragraph" w:styleId="Heading3">
    <w:name w:val="heading 3"/>
    <w:basedOn w:val="Normal"/>
    <w:next w:val="Normal"/>
    <w:semiHidden/>
    <w:rsid w:val="000814CD"/>
    <w:pPr>
      <w:keepNext/>
      <w:spacing w:before="240" w:after="60"/>
      <w:outlineLvl w:val="2"/>
    </w:pPr>
    <w:rPr>
      <w:rFonts w:ascii="Arial" w:hAnsi="Arial" w:cs="Arial"/>
      <w:b/>
      <w:bCs/>
      <w:sz w:val="26"/>
      <w:szCs w:val="26"/>
    </w:rPr>
  </w:style>
  <w:style w:type="paragraph" w:styleId="Heading4">
    <w:name w:val="heading 4"/>
    <w:basedOn w:val="Normal"/>
    <w:next w:val="Normal"/>
    <w:semiHidden/>
    <w:rsid w:val="000814CD"/>
    <w:pPr>
      <w:keepNext/>
      <w:spacing w:before="240" w:after="60"/>
      <w:outlineLvl w:val="3"/>
    </w:pPr>
    <w:rPr>
      <w:b/>
      <w:bCs/>
      <w:sz w:val="28"/>
      <w:szCs w:val="28"/>
    </w:rPr>
  </w:style>
  <w:style w:type="paragraph" w:styleId="Heading5">
    <w:name w:val="heading 5"/>
    <w:basedOn w:val="Normal"/>
    <w:next w:val="Normal"/>
    <w:semiHidden/>
    <w:rsid w:val="000814CD"/>
    <w:pPr>
      <w:spacing w:before="240" w:after="60"/>
      <w:outlineLvl w:val="4"/>
    </w:pPr>
    <w:rPr>
      <w:b/>
      <w:bCs/>
      <w:i/>
      <w:iCs/>
      <w:sz w:val="26"/>
      <w:szCs w:val="26"/>
    </w:rPr>
  </w:style>
  <w:style w:type="paragraph" w:styleId="Heading6">
    <w:name w:val="heading 6"/>
    <w:basedOn w:val="Normal"/>
    <w:next w:val="Normal"/>
    <w:semiHidden/>
    <w:rsid w:val="000814CD"/>
    <w:pPr>
      <w:spacing w:before="240" w:after="60"/>
      <w:outlineLvl w:val="5"/>
    </w:pPr>
    <w:rPr>
      <w:b/>
      <w:bCs/>
      <w:sz w:val="22"/>
    </w:rPr>
  </w:style>
  <w:style w:type="paragraph" w:styleId="Heading7">
    <w:name w:val="heading 7"/>
    <w:basedOn w:val="Normal"/>
    <w:next w:val="Normal"/>
    <w:semiHidden/>
    <w:rsid w:val="000814CD"/>
    <w:pPr>
      <w:spacing w:before="240" w:after="60"/>
      <w:outlineLvl w:val="6"/>
    </w:pPr>
    <w:rPr>
      <w:sz w:val="24"/>
      <w:szCs w:val="24"/>
    </w:rPr>
  </w:style>
  <w:style w:type="paragraph" w:styleId="Heading8">
    <w:name w:val="heading 8"/>
    <w:basedOn w:val="Normal"/>
    <w:next w:val="Normal"/>
    <w:semiHidden/>
    <w:rsid w:val="000814CD"/>
    <w:pPr>
      <w:spacing w:before="240" w:after="60"/>
      <w:outlineLvl w:val="7"/>
    </w:pPr>
    <w:rPr>
      <w:i/>
      <w:iCs/>
      <w:sz w:val="24"/>
      <w:szCs w:val="24"/>
    </w:rPr>
  </w:style>
  <w:style w:type="paragraph" w:styleId="Heading9">
    <w:name w:val="heading 9"/>
    <w:basedOn w:val="Normal"/>
    <w:next w:val="Normal"/>
    <w:semiHidden/>
    <w:rsid w:val="000814CD"/>
    <w:pPr>
      <w:spacing w:before="240" w:after="60"/>
      <w:outlineLvl w:val="8"/>
    </w:pPr>
    <w:rPr>
      <w:rFonts w:ascii="Arial"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1"/>
    <w:semiHidden/>
    <w:rsid w:val="000814C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1"/>
    <w:semiHidden/>
    <w:rsid w:val="00A74D9D"/>
    <w:rPr>
      <w:rFonts w:ascii="Tahoma" w:eastAsiaTheme="minorHAnsi" w:hAnsi="Tahoma" w:cs="Tahoma"/>
      <w:sz w:val="16"/>
      <w:szCs w:val="16"/>
      <w:lang w:val="ru-RU" w:eastAsia="en-US"/>
    </w:rPr>
  </w:style>
  <w:style w:type="paragraph" w:customStyle="1" w:styleId="HMG">
    <w:name w:val="_ H __M_G"/>
    <w:basedOn w:val="Normal"/>
    <w:next w:val="Normal"/>
    <w:qFormat/>
    <w:rsid w:val="00570A37"/>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Normal"/>
    <w:next w:val="Normal"/>
    <w:qFormat/>
    <w:rsid w:val="00570A37"/>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Normal"/>
    <w:next w:val="Normal"/>
    <w:qFormat/>
    <w:rsid w:val="00570A37"/>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Normal"/>
    <w:next w:val="Normal"/>
    <w:qFormat/>
    <w:rsid w:val="00570A37"/>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Normal"/>
    <w:next w:val="Normal"/>
    <w:qFormat/>
    <w:rsid w:val="00570A37"/>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Normal"/>
    <w:next w:val="Normal"/>
    <w:qFormat/>
    <w:rsid w:val="00570A37"/>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Normal"/>
    <w:link w:val="SingleTxtGChar"/>
    <w:qFormat/>
    <w:rsid w:val="00A74D9D"/>
    <w:pPr>
      <w:spacing w:after="120"/>
      <w:ind w:left="1134" w:right="1134"/>
      <w:jc w:val="both"/>
    </w:pPr>
    <w:rPr>
      <w:rFonts w:eastAsia="Times New Roman" w:cs="Times New Roman"/>
      <w:szCs w:val="20"/>
    </w:rPr>
  </w:style>
  <w:style w:type="paragraph" w:customStyle="1" w:styleId="SLG">
    <w:name w:val="__S_L_G"/>
    <w:basedOn w:val="Normal"/>
    <w:next w:val="Normal"/>
    <w:qFormat/>
    <w:rsid w:val="00570A37"/>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Normal"/>
    <w:next w:val="Normal"/>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Normal"/>
    <w:next w:val="Normal"/>
    <w:qFormat/>
    <w:rsid w:val="00570A37"/>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Normal"/>
    <w:next w:val="Normal"/>
    <w:qFormat/>
    <w:rsid w:val="00570A37"/>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Normal"/>
    <w:qFormat/>
    <w:rsid w:val="00570A37"/>
    <w:pPr>
      <w:numPr>
        <w:numId w:val="19"/>
      </w:numPr>
      <w:spacing w:after="120"/>
      <w:ind w:right="1134"/>
      <w:jc w:val="both"/>
    </w:pPr>
    <w:rPr>
      <w:rFonts w:eastAsia="Times New Roman" w:cs="Times New Roman"/>
      <w:szCs w:val="20"/>
      <w:lang w:eastAsia="ru-RU"/>
    </w:rPr>
  </w:style>
  <w:style w:type="paragraph" w:customStyle="1" w:styleId="Bullet2G">
    <w:name w:val="_Bullet 2_G"/>
    <w:basedOn w:val="Normal"/>
    <w:qFormat/>
    <w:rsid w:val="00570A37"/>
    <w:pPr>
      <w:numPr>
        <w:numId w:val="20"/>
      </w:numPr>
      <w:spacing w:after="120"/>
      <w:ind w:right="1134"/>
      <w:jc w:val="both"/>
    </w:pPr>
    <w:rPr>
      <w:rFonts w:eastAsia="Times New Roman" w:cs="Times New Roman"/>
      <w:szCs w:val="20"/>
      <w:lang w:eastAsia="ru-RU"/>
    </w:rPr>
  </w:style>
  <w:style w:type="paragraph" w:customStyle="1" w:styleId="ParaNoG">
    <w:name w:val="_ParaNo._G"/>
    <w:basedOn w:val="Normal"/>
    <w:next w:val="Normal"/>
    <w:qFormat/>
    <w:rsid w:val="00A74D9D"/>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TableNormal"/>
    <w:rsid w:val="00570A37"/>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570A37"/>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Header">
    <w:name w:val="header"/>
    <w:aliases w:val="6_G"/>
    <w:basedOn w:val="Normal"/>
    <w:next w:val="Normal"/>
    <w:link w:val="HeaderChar"/>
    <w:qFormat/>
    <w:rsid w:val="00570A37"/>
    <w:pPr>
      <w:pBdr>
        <w:bottom w:val="single" w:sz="4" w:space="4" w:color="auto"/>
      </w:pBdr>
      <w:tabs>
        <w:tab w:val="right" w:pos="9639"/>
      </w:tabs>
    </w:pPr>
    <w:rPr>
      <w:rFonts w:eastAsia="Times New Roman" w:cs="Times New Roman"/>
      <w:b/>
      <w:sz w:val="18"/>
      <w:szCs w:val="20"/>
      <w:lang w:val="en-GB" w:eastAsia="ru-RU"/>
    </w:rPr>
  </w:style>
  <w:style w:type="character" w:customStyle="1" w:styleId="HeaderChar">
    <w:name w:val="Header Char"/>
    <w:aliases w:val="6_G Char"/>
    <w:basedOn w:val="DefaultParagraphFont"/>
    <w:link w:val="Header"/>
    <w:rsid w:val="00570A37"/>
    <w:rPr>
      <w:b/>
      <w:sz w:val="18"/>
      <w:lang w:val="en-GB" w:eastAsia="ru-RU"/>
    </w:rPr>
  </w:style>
  <w:style w:type="character" w:styleId="PageNumber">
    <w:name w:val="page number"/>
    <w:aliases w:val="7_G"/>
    <w:basedOn w:val="DefaultParagraphFont"/>
    <w:qFormat/>
    <w:rsid w:val="00570A37"/>
    <w:rPr>
      <w:rFonts w:ascii="Times New Roman" w:hAnsi="Times New Roman"/>
      <w:b/>
      <w:sz w:val="18"/>
    </w:rPr>
  </w:style>
  <w:style w:type="paragraph" w:styleId="Footer">
    <w:name w:val="footer"/>
    <w:aliases w:val="3_G"/>
    <w:basedOn w:val="Normal"/>
    <w:link w:val="FooterChar"/>
    <w:qFormat/>
    <w:rsid w:val="00570A37"/>
    <w:pPr>
      <w:tabs>
        <w:tab w:val="right" w:pos="9639"/>
      </w:tabs>
    </w:pPr>
    <w:rPr>
      <w:rFonts w:eastAsia="Times New Roman" w:cs="Times New Roman"/>
      <w:sz w:val="16"/>
      <w:szCs w:val="20"/>
      <w:lang w:val="en-GB" w:eastAsia="ru-RU"/>
    </w:rPr>
  </w:style>
  <w:style w:type="character" w:customStyle="1" w:styleId="FooterChar">
    <w:name w:val="Footer Char"/>
    <w:aliases w:val="3_G Char"/>
    <w:basedOn w:val="DefaultParagraphFont"/>
    <w:link w:val="Footer"/>
    <w:rsid w:val="00570A37"/>
    <w:rPr>
      <w:sz w:val="16"/>
      <w:lang w:val="en-GB" w:eastAsia="ru-RU"/>
    </w:rPr>
  </w:style>
  <w:style w:type="character" w:styleId="FootnoteReference">
    <w:name w:val="footnote reference"/>
    <w:aliases w:val="4_G,Footnotes refss,Texto de nota al pie,referencia nota al pie,Appel note de bas de page,Footnote number,callout,Fago Fußnotenzeichen"/>
    <w:basedOn w:val="DefaultParagraphFont"/>
    <w:link w:val="ftrefChar"/>
    <w:qFormat/>
    <w:rsid w:val="00570A37"/>
    <w:rPr>
      <w:rFonts w:ascii="Times New Roman" w:hAnsi="Times New Roman"/>
      <w:dstrike w:val="0"/>
      <w:sz w:val="18"/>
      <w:vertAlign w:val="superscript"/>
    </w:rPr>
  </w:style>
  <w:style w:type="character" w:styleId="EndnoteReference">
    <w:name w:val="endnote reference"/>
    <w:aliases w:val="1_G"/>
    <w:basedOn w:val="FootnoteReference"/>
    <w:qFormat/>
    <w:rsid w:val="00570A37"/>
    <w:rPr>
      <w:rFonts w:ascii="Times New Roman" w:hAnsi="Times New Roman"/>
      <w:dstrike w:val="0"/>
      <w:sz w:val="18"/>
      <w:vertAlign w:val="superscript"/>
    </w:rPr>
  </w:style>
  <w:style w:type="table" w:styleId="TableGrid">
    <w:name w:val="Table Grid"/>
    <w:basedOn w:val="TableNormal"/>
    <w:rsid w:val="00B20CB2"/>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FootnoteText">
    <w:name w:val="footnote text"/>
    <w:aliases w:val="5_G,Footnote Text Char Char Char Char Char,Footnote Text Char Char Char Char,Footnote reference,FA Fu,Footnote Text Char Char Char,Char,Footnote Reference1,Footnote Text Char Char,single space Char,ft Char"/>
    <w:basedOn w:val="Normal"/>
    <w:link w:val="FootnoteTextChar"/>
    <w:qFormat/>
    <w:rsid w:val="00570A37"/>
    <w:pPr>
      <w:tabs>
        <w:tab w:val="right" w:pos="1021"/>
      </w:tabs>
      <w:spacing w:line="220" w:lineRule="exact"/>
      <w:ind w:left="1134" w:right="1134" w:hanging="1134"/>
    </w:pPr>
    <w:rPr>
      <w:rFonts w:eastAsia="Times New Roman" w:cs="Times New Roman"/>
      <w:sz w:val="18"/>
      <w:szCs w:val="20"/>
      <w:lang w:eastAsia="ru-RU"/>
    </w:rPr>
  </w:style>
  <w:style w:type="character" w:customStyle="1" w:styleId="FootnoteTextChar">
    <w:name w:val="Footnote Text Char"/>
    <w:aliases w:val="5_G Char,Footnote Text Char Char Char Char Char Char,Footnote Text Char Char Char Char Char1,Footnote reference Char,FA Fu Char,Footnote Text Char Char Char Char1,Char Char,Footnote Reference1 Char,Footnote Text Char Char Char1"/>
    <w:basedOn w:val="DefaultParagraphFont"/>
    <w:link w:val="FootnoteText"/>
    <w:rsid w:val="00570A37"/>
    <w:rPr>
      <w:sz w:val="18"/>
      <w:lang w:val="ru-RU" w:eastAsia="ru-RU"/>
    </w:rPr>
  </w:style>
  <w:style w:type="paragraph" w:styleId="EndnoteText">
    <w:name w:val="endnote text"/>
    <w:aliases w:val="2_G"/>
    <w:basedOn w:val="FootnoteText"/>
    <w:link w:val="EndnoteTextChar"/>
    <w:qFormat/>
    <w:rsid w:val="00570A37"/>
  </w:style>
  <w:style w:type="character" w:customStyle="1" w:styleId="EndnoteTextChar">
    <w:name w:val="Endnote Text Char"/>
    <w:aliases w:val="2_G Char"/>
    <w:basedOn w:val="DefaultParagraphFont"/>
    <w:link w:val="EndnoteText"/>
    <w:rsid w:val="00570A37"/>
    <w:rPr>
      <w:sz w:val="18"/>
      <w:lang w:val="ru-RU" w:eastAsia="ru-RU"/>
    </w:rPr>
  </w:style>
  <w:style w:type="character" w:customStyle="1" w:styleId="Heading1Char">
    <w:name w:val="Heading 1 Char"/>
    <w:aliases w:val="Table_G Char"/>
    <w:basedOn w:val="DefaultParagraphFont"/>
    <w:link w:val="Heading1"/>
    <w:rsid w:val="00570A37"/>
    <w:rPr>
      <w:rFonts w:cs="Arial"/>
      <w:b/>
      <w:bCs/>
      <w:szCs w:val="32"/>
      <w:lang w:val="ru-RU" w:eastAsia="ru-RU"/>
    </w:rPr>
  </w:style>
  <w:style w:type="character" w:styleId="Hyperlink">
    <w:name w:val="Hyperlink"/>
    <w:basedOn w:val="DefaultParagraphFont"/>
    <w:rsid w:val="00570A37"/>
    <w:rPr>
      <w:color w:val="0000FF" w:themeColor="hyperlink"/>
      <w:u w:val="none"/>
    </w:rPr>
  </w:style>
  <w:style w:type="character" w:styleId="FollowedHyperlink">
    <w:name w:val="FollowedHyperlink"/>
    <w:basedOn w:val="DefaultParagraphFont"/>
    <w:rsid w:val="00570A37"/>
    <w:rPr>
      <w:color w:val="800080" w:themeColor="followedHyperlink"/>
      <w:u w:val="none"/>
    </w:rPr>
  </w:style>
  <w:style w:type="character" w:customStyle="1" w:styleId="SingleTxtGChar">
    <w:name w:val="_ Single Txt_G Char"/>
    <w:basedOn w:val="DefaultParagraphFont"/>
    <w:link w:val="SingleTxtG"/>
    <w:locked/>
    <w:rsid w:val="00DC27A5"/>
    <w:rPr>
      <w:lang w:val="ru-RU" w:eastAsia="en-US"/>
    </w:rPr>
  </w:style>
  <w:style w:type="paragraph" w:customStyle="1" w:styleId="ftrefChar">
    <w:name w:val="ftref Char"/>
    <w:aliases w:val="Footnotes refss Char,BVI fnr Car Char Char1 Char Char Char Char Char,BVI fnr Car Char Char Char Char Char Char Char,BVI fnr Car Car Car Char Char Char Char Char Char Char"/>
    <w:basedOn w:val="Normal"/>
    <w:link w:val="FootnoteReference"/>
    <w:rsid w:val="00DD0E72"/>
    <w:pPr>
      <w:suppressAutoHyphens w:val="0"/>
      <w:spacing w:after="160" w:line="240" w:lineRule="exact"/>
    </w:pPr>
    <w:rPr>
      <w:rFonts w:eastAsia="Times New Roman" w:cs="Times New Roman"/>
      <w:sz w:val="18"/>
      <w:szCs w:val="20"/>
      <w:vertAlign w:val="superscript"/>
      <w:lang w:val="es-ES" w:eastAsia="es-ES"/>
    </w:rPr>
  </w:style>
  <w:style w:type="character" w:styleId="UnresolvedMention">
    <w:name w:val="Unresolved Mention"/>
    <w:basedOn w:val="DefaultParagraphFont"/>
    <w:uiPriority w:val="99"/>
    <w:semiHidden/>
    <w:unhideWhenUsed/>
    <w:rsid w:val="00E248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ohchr.org/EN/NewsEvents/Pages/newssearch.aspx?MID=Sub_Committ_Torture" TargetMode="External"/><Relationship Id="rId2" Type="http://schemas.openxmlformats.org/officeDocument/2006/relationships/hyperlink" Target="http://www.ohchr.org/EN/HRBodies/OPCAT/Pages/ContactRegionalTeams.aspx" TargetMode="External"/><Relationship Id="rId1" Type="http://schemas.openxmlformats.org/officeDocument/2006/relationships/hyperlink" Target="http://www.ohchr.org/EN/HRBodies/OPCAT/Pages/Membership.aspx" TargetMode="External"/><Relationship Id="rId6" Type="http://schemas.openxmlformats.org/officeDocument/2006/relationships/hyperlink" Target="http://www.ohchr.org/EN/HRBodies/OPCAT/Pages/AdvicesToNPMS.aspx" TargetMode="External"/><Relationship Id="rId5" Type="http://schemas.openxmlformats.org/officeDocument/2006/relationships/hyperlink" Target="http://www.ohchr.org/EN/NewsEvents/Pages/DisplayNews.aspx?NewsID=24739&amp;LangID=E" TargetMode="External"/><Relationship Id="rId4" Type="http://schemas.openxmlformats.org/officeDocument/2006/relationships/hyperlink" Target="http://www.ohchr.org/EN/HRBodies/OPCAT/Pages/Article17.asp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14</Pages>
  <Words>4923</Words>
  <Characters>33680</Characters>
  <Application>Microsoft Office Word</Application>
  <DocSecurity>0</DocSecurity>
  <Lines>612</Lines>
  <Paragraphs>169</Paragraphs>
  <ScaleCrop>false</ScaleCrop>
  <HeadingPairs>
    <vt:vector size="8" baseType="variant">
      <vt:variant>
        <vt:lpstr>Title</vt:lpstr>
      </vt:variant>
      <vt:variant>
        <vt:i4>1</vt:i4>
      </vt:variant>
      <vt:variant>
        <vt:lpstr>Название</vt:lpstr>
      </vt:variant>
      <vt:variant>
        <vt:i4>1</vt:i4>
      </vt:variant>
      <vt:variant>
        <vt:lpstr>Titre</vt:lpstr>
      </vt:variant>
      <vt:variant>
        <vt:i4>1</vt:i4>
      </vt:variant>
      <vt:variant>
        <vt:lpstr>Título</vt:lpstr>
      </vt:variant>
      <vt:variant>
        <vt:i4>1</vt:i4>
      </vt:variant>
    </vt:vector>
  </HeadingPairs>
  <TitlesOfParts>
    <vt:vector size="4" baseType="lpstr">
      <vt:lpstr>CAT/C/69/3</vt:lpstr>
      <vt:lpstr>CAT/C/69/3</vt:lpstr>
      <vt:lpstr>A/</vt:lpstr>
      <vt:lpstr>A/</vt:lpstr>
    </vt:vector>
  </TitlesOfParts>
  <Company>DCM</Company>
  <LinksUpToDate>false</LinksUpToDate>
  <CharactersWithSpaces>38434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CAT/C/69/3</dc:title>
  <dc:subject/>
  <dc:creator>Uliana ANTIPOVA</dc:creator>
  <cp:keywords/>
  <cp:lastModifiedBy>Tatiana Chvets</cp:lastModifiedBy>
  <cp:revision>3</cp:revision>
  <cp:lastPrinted>2020-03-24T12:57:00Z</cp:lastPrinted>
  <dcterms:created xsi:type="dcterms:W3CDTF">2020-03-24T12:57:00Z</dcterms:created>
  <dcterms:modified xsi:type="dcterms:W3CDTF">2020-03-24T12:58:00Z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