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经济、社会、文化权利委员会</w:t>
      </w:r>
    </w:p>
    <w:p w:rsidR="00000000" w:rsidRDefault="00000000">
      <w:pPr>
        <w:rPr>
          <w:rFonts w:hint="eastAsia"/>
        </w:rPr>
      </w:pPr>
      <w:r>
        <w:rPr>
          <w:rFonts w:hint="eastAsia"/>
        </w:rPr>
        <w:t>会前工作组</w:t>
      </w:r>
    </w:p>
    <w:p w:rsidR="00000000" w:rsidRDefault="00000000">
      <w:pPr>
        <w:spacing w:after="320"/>
      </w:pPr>
      <w:r>
        <w:rPr>
          <w:rFonts w:hint="eastAsia"/>
        </w:rPr>
        <w:t>2006</w:t>
      </w:r>
      <w:r>
        <w:rPr>
          <w:rFonts w:hint="eastAsia"/>
        </w:rPr>
        <w:t>年</w:t>
      </w:r>
      <w:r>
        <w:rPr>
          <w:rFonts w:hint="eastAsia"/>
        </w:rPr>
        <w:t>11</w:t>
      </w:r>
      <w:r>
        <w:rPr>
          <w:rFonts w:hint="eastAsia"/>
        </w:rPr>
        <w:t>月</w:t>
      </w:r>
      <w:r>
        <w:rPr>
          <w:rFonts w:hint="eastAsia"/>
        </w:rPr>
        <w:t>27</w:t>
      </w:r>
      <w:r>
        <w:rPr>
          <w:rFonts w:hint="eastAsia"/>
        </w:rPr>
        <w:t>日至</w:t>
      </w:r>
      <w:r>
        <w:rPr>
          <w:rFonts w:hint="eastAsia"/>
        </w:rPr>
        <w:t>12</w:t>
      </w:r>
      <w:r>
        <w:rPr>
          <w:rFonts w:hint="eastAsia"/>
        </w:rPr>
        <w:t>月</w:t>
      </w:r>
      <w:r>
        <w:rPr>
          <w:rFonts w:hint="eastAsia"/>
        </w:rPr>
        <w:t>1</w:t>
      </w:r>
      <w:r>
        <w:rPr>
          <w:rFonts w:hint="eastAsia"/>
        </w:rPr>
        <w:t>日</w:t>
      </w:r>
    </w:p>
    <w:p w:rsidR="00000000" w:rsidRDefault="00000000">
      <w:pPr>
        <w:pStyle w:val="Heading2"/>
        <w:rPr>
          <w:rFonts w:ascii="Time New Roman" w:eastAsia="SimHei" w:hAnsi="Time New Roman" w:hint="eastAsia"/>
        </w:rPr>
      </w:pPr>
      <w:r>
        <w:rPr>
          <w:rFonts w:ascii="Time New Roman" w:eastAsia="SimHei" w:hAnsi="Time New Roman" w:hint="eastAsia"/>
        </w:rPr>
        <w:t>《经济、社会、文化权利国际公约》的执行情况</w:t>
      </w:r>
    </w:p>
    <w:p w:rsidR="00000000" w:rsidRDefault="00000000">
      <w:pPr>
        <w:pStyle w:val="Heading3"/>
        <w:rPr>
          <w:rFonts w:ascii="Time New Roman" w:eastAsia="SimHei" w:hAnsi="Time New Roman"/>
          <w:u w:val="none"/>
        </w:rPr>
      </w:pPr>
      <w:r>
        <w:rPr>
          <w:rFonts w:ascii="Time New Roman" w:eastAsia="SimHei" w:hAnsi="Time New Roman" w:hint="eastAsia"/>
          <w:u w:val="none"/>
        </w:rPr>
        <w:t>审议比利时就《经济、社会、文化权利国际公约》</w:t>
      </w:r>
      <w:r>
        <w:rPr>
          <w:rFonts w:ascii="Time New Roman" w:eastAsia="SimHei" w:hAnsi="Time New Roman"/>
          <w:u w:val="none"/>
        </w:rPr>
        <w:br/>
      </w:r>
      <w:r>
        <w:rPr>
          <w:rFonts w:ascii="Time New Roman" w:eastAsia="SimHei" w:hAnsi="Time New Roman" w:hint="eastAsia"/>
          <w:u w:val="none"/>
        </w:rPr>
        <w:t>第一至十五条所述权利执行情况提交的第二至</w:t>
      </w:r>
      <w:r>
        <w:rPr>
          <w:rFonts w:ascii="Time New Roman" w:eastAsia="SimHei" w:hAnsi="Time New Roman"/>
          <w:u w:val="none"/>
        </w:rPr>
        <w:br/>
      </w:r>
      <w:r>
        <w:rPr>
          <w:rFonts w:ascii="Time New Roman" w:eastAsia="SimHei" w:hAnsi="Time New Roman" w:hint="eastAsia"/>
          <w:u w:val="none"/>
        </w:rPr>
        <w:t>第四次定期报告</w:t>
      </w:r>
      <w:r>
        <w:rPr>
          <w:rFonts w:ascii="Time New Roman" w:eastAsia="SimHei" w:hAnsi="Time New Roman"/>
          <w:u w:val="none"/>
        </w:rPr>
        <w:t>(</w:t>
      </w:r>
      <w:r>
        <w:rPr>
          <w:rFonts w:ascii="Time New Roman" w:eastAsia="SimHei" w:hAnsi="Time New Roman"/>
          <w:b/>
          <w:u w:val="none"/>
        </w:rPr>
        <w:t>E</w:t>
      </w:r>
      <w:r>
        <w:rPr>
          <w:rFonts w:ascii="Time New Roman" w:eastAsia="SimHei" w:hAnsi="Time New Roman"/>
          <w:u w:val="none"/>
        </w:rPr>
        <w:t>/</w:t>
      </w:r>
      <w:r>
        <w:rPr>
          <w:rFonts w:ascii="Time New Roman" w:eastAsia="SimHei" w:hAnsi="Time New Roman"/>
          <w:b/>
          <w:u w:val="none"/>
        </w:rPr>
        <w:t>C</w:t>
      </w:r>
      <w:r>
        <w:rPr>
          <w:rFonts w:ascii="Time New Roman" w:eastAsia="SimHei" w:hAnsi="Time New Roman"/>
          <w:u w:val="none"/>
        </w:rPr>
        <w:t>.</w:t>
      </w:r>
      <w:r>
        <w:rPr>
          <w:rFonts w:ascii="Time New Roman" w:eastAsia="SimHei" w:hAnsi="Time New Roman"/>
          <w:b/>
          <w:u w:val="none"/>
        </w:rPr>
        <w:t>12</w:t>
      </w:r>
      <w:r>
        <w:rPr>
          <w:rFonts w:ascii="Time New Roman" w:eastAsia="SimHei" w:hAnsi="Time New Roman"/>
          <w:u w:val="none"/>
        </w:rPr>
        <w:t>/</w:t>
      </w:r>
      <w:r>
        <w:rPr>
          <w:rFonts w:ascii="Time New Roman" w:eastAsia="SimHei" w:hAnsi="Time New Roman"/>
          <w:b/>
          <w:u w:val="none"/>
        </w:rPr>
        <w:t>BEL</w:t>
      </w:r>
      <w:r>
        <w:rPr>
          <w:rFonts w:ascii="Time New Roman" w:eastAsia="SimHei" w:hAnsi="Time New Roman"/>
          <w:u w:val="none"/>
        </w:rPr>
        <w:t>/</w:t>
      </w:r>
      <w:r>
        <w:rPr>
          <w:rFonts w:ascii="Time New Roman" w:eastAsia="SimHei" w:hAnsi="Time New Roman"/>
          <w:b/>
          <w:u w:val="none"/>
        </w:rPr>
        <w:t>3</w:t>
      </w:r>
      <w:r>
        <w:rPr>
          <w:rFonts w:ascii="Time New Roman" w:eastAsia="SimHei" w:hAnsi="Time New Roman"/>
          <w:u w:val="none"/>
        </w:rPr>
        <w:t>)</w:t>
      </w:r>
      <w:r>
        <w:rPr>
          <w:rFonts w:ascii="Time New Roman" w:eastAsia="SimHei" w:hAnsi="Time New Roman" w:hint="eastAsia"/>
          <w:u w:val="none"/>
        </w:rPr>
        <w:t>时</w:t>
      </w:r>
      <w:r>
        <w:rPr>
          <w:rFonts w:ascii="Time New Roman" w:eastAsia="SimHei" w:hAnsi="Time New Roman"/>
          <w:u w:val="none"/>
        </w:rPr>
        <w:br/>
      </w:r>
      <w:r>
        <w:rPr>
          <w:rFonts w:ascii="Time New Roman" w:eastAsia="SimHei" w:hAnsi="Time New Roman" w:hint="eastAsia"/>
          <w:u w:val="none"/>
        </w:rPr>
        <w:t>拟提出的问题</w:t>
      </w:r>
    </w:p>
    <w:p w:rsidR="00000000" w:rsidRDefault="00000000">
      <w:pPr>
        <w:pStyle w:val="Heading2"/>
        <w:rPr>
          <w:rFonts w:hint="eastAsia"/>
        </w:rPr>
      </w:pPr>
      <w:r>
        <w:rPr>
          <w:rFonts w:hint="eastAsia"/>
        </w:rPr>
        <w:t>一、一般性资料</w:t>
      </w:r>
    </w:p>
    <w:p w:rsidR="00000000" w:rsidRDefault="00000000">
      <w:pPr>
        <w:rPr>
          <w:rFonts w:hint="eastAsia"/>
        </w:rPr>
      </w:pPr>
      <w:r>
        <w:tab/>
        <w:t>1.</w:t>
      </w:r>
      <w:r>
        <w:tab/>
      </w:r>
      <w:r>
        <w:rPr>
          <w:rFonts w:hint="eastAsia"/>
        </w:rPr>
        <w:t>请提供补充和最新资料，说明缔约国采取了哪些立法或其他措施，执行委员会对比利时上一次定期报告的结论性意见中提出的意见和建议，尤其是第</w:t>
      </w:r>
      <w:r>
        <w:rPr>
          <w:rFonts w:hint="eastAsia"/>
        </w:rPr>
        <w:t>17</w:t>
      </w:r>
      <w:r>
        <w:rPr>
          <w:rFonts w:hint="eastAsia"/>
        </w:rPr>
        <w:t>、</w:t>
      </w:r>
      <w:r>
        <w:rPr>
          <w:rFonts w:hint="eastAsia"/>
        </w:rPr>
        <w:t>18</w:t>
      </w:r>
      <w:r>
        <w:rPr>
          <w:rFonts w:hint="eastAsia"/>
        </w:rPr>
        <w:t>和</w:t>
      </w:r>
      <w:r>
        <w:rPr>
          <w:rFonts w:hint="eastAsia"/>
        </w:rPr>
        <w:t>19</w:t>
      </w:r>
      <w:r>
        <w:rPr>
          <w:rFonts w:hint="eastAsia"/>
        </w:rPr>
        <w:t>段中包含的相关意见和建议</w:t>
      </w:r>
      <w:r>
        <w:t>(E/C.12/1/Add.54)</w:t>
      </w:r>
      <w:r>
        <w:rPr>
          <w:rFonts w:hint="eastAsia"/>
        </w:rPr>
        <w:t>。</w:t>
      </w:r>
    </w:p>
    <w:p w:rsidR="00000000" w:rsidRDefault="00000000">
      <w:pPr>
        <w:rPr>
          <w:rFonts w:hint="eastAsia"/>
        </w:rPr>
      </w:pPr>
      <w:r>
        <w:rPr>
          <w:rFonts w:hint="eastAsia"/>
        </w:rPr>
        <w:tab/>
      </w:r>
      <w:r>
        <w:t>2.</w:t>
      </w:r>
      <w:r>
        <w:tab/>
      </w:r>
      <w:r>
        <w:rPr>
          <w:rFonts w:hint="eastAsia"/>
        </w:rPr>
        <w:t>请提供资料，说明缔约国计划采取哪些措施，在</w:t>
      </w:r>
      <w:r>
        <w:rPr>
          <w:rFonts w:hint="eastAsia"/>
        </w:rPr>
        <w:t>2010</w:t>
      </w:r>
      <w:r>
        <w:rPr>
          <w:rFonts w:hint="eastAsia"/>
        </w:rPr>
        <w:t>年之前实现</w:t>
      </w:r>
      <w:r>
        <w:rPr>
          <w:rFonts w:hint="eastAsia"/>
        </w:rPr>
        <w:t>0.7%</w:t>
      </w:r>
      <w:r>
        <w:rPr>
          <w:rFonts w:hint="eastAsia"/>
        </w:rPr>
        <w:t>的</w:t>
      </w:r>
      <w:r>
        <w:rPr>
          <w:rFonts w:hint="eastAsia"/>
        </w:rPr>
        <w:t>GDP</w:t>
      </w:r>
      <w:r>
        <w:rPr>
          <w:rFonts w:hint="eastAsia"/>
        </w:rPr>
        <w:t>用于国际开发合作的目标。此外，有关委员会上一次结论性意见的第</w:t>
      </w:r>
      <w:r>
        <w:rPr>
          <w:rFonts w:hint="eastAsia"/>
        </w:rPr>
        <w:t>31</w:t>
      </w:r>
      <w:r>
        <w:rPr>
          <w:rFonts w:hint="eastAsia"/>
        </w:rPr>
        <w:t>段，请汇报缔约国的发展合作政策如何促进了发展中国家经济、社会和文化权力的实现</w:t>
      </w:r>
      <w:r>
        <w:t xml:space="preserve">(E/C.12/BEL/3, </w:t>
      </w:r>
      <w:r>
        <w:rPr>
          <w:rFonts w:hint="eastAsia"/>
        </w:rPr>
        <w:t>第</w:t>
      </w:r>
      <w:r>
        <w:t>19</w:t>
      </w:r>
      <w:r>
        <w:rPr>
          <w:rFonts w:hint="eastAsia"/>
        </w:rPr>
        <w:t>页第</w:t>
      </w:r>
      <w:r>
        <w:rPr>
          <w:rFonts w:hint="eastAsia"/>
        </w:rPr>
        <w:t>3</w:t>
      </w:r>
      <w:r>
        <w:rPr>
          <w:rFonts w:hint="eastAsia"/>
        </w:rPr>
        <w:t>段</w:t>
      </w:r>
      <w:r>
        <w:t>)</w:t>
      </w:r>
      <w:r>
        <w:rPr>
          <w:rFonts w:hint="eastAsia"/>
        </w:rPr>
        <w:t>。</w:t>
      </w:r>
    </w:p>
    <w:p w:rsidR="00000000" w:rsidRDefault="00000000">
      <w:pPr>
        <w:rPr>
          <w:rFonts w:hint="eastAsia"/>
        </w:rPr>
      </w:pPr>
      <w:r>
        <w:rPr>
          <w:rFonts w:hint="eastAsia"/>
        </w:rPr>
        <w:tab/>
      </w:r>
      <w:r>
        <w:t>3.</w:t>
      </w:r>
      <w:r>
        <w:tab/>
      </w:r>
      <w:r>
        <w:rPr>
          <w:rFonts w:hint="eastAsia"/>
        </w:rPr>
        <w:t>请提供资料，说明各级法院、其他法庭或行政部门是否曾援引或直接实施《公约》条款。</w:t>
      </w:r>
    </w:p>
    <w:p w:rsidR="00000000" w:rsidRDefault="00000000">
      <w:pPr>
        <w:rPr>
          <w:rFonts w:hint="eastAsia"/>
        </w:rPr>
      </w:pPr>
      <w:r>
        <w:rPr>
          <w:rFonts w:hint="eastAsia"/>
        </w:rPr>
        <w:tab/>
      </w:r>
      <w:r>
        <w:t>4.</w:t>
      </w:r>
      <w:r>
        <w:tab/>
      </w:r>
      <w:r>
        <w:rPr>
          <w:rFonts w:hint="eastAsia"/>
        </w:rPr>
        <w:t>请进一步详细说明民间社会组织如何参与缔约国定期报告的编写工作</w:t>
      </w:r>
      <w:r>
        <w:t xml:space="preserve">(E/C.12/BEL/3, </w:t>
      </w:r>
      <w:r>
        <w:rPr>
          <w:rFonts w:hint="eastAsia"/>
        </w:rPr>
        <w:t>第</w:t>
      </w:r>
      <w:r>
        <w:t>5</w:t>
      </w:r>
      <w:r>
        <w:rPr>
          <w:rFonts w:hint="eastAsia"/>
        </w:rPr>
        <w:t>段</w:t>
      </w:r>
      <w:r>
        <w:t>)</w:t>
      </w:r>
      <w:r>
        <w:rPr>
          <w:rFonts w:hint="eastAsia"/>
        </w:rPr>
        <w:t>。</w:t>
      </w:r>
    </w:p>
    <w:p w:rsidR="00000000" w:rsidRDefault="00000000">
      <w:pPr>
        <w:spacing w:after="320"/>
        <w:rPr>
          <w:rFonts w:hint="eastAsia"/>
        </w:rPr>
      </w:pPr>
      <w:r>
        <w:rPr>
          <w:rFonts w:hint="eastAsia"/>
        </w:rPr>
        <w:tab/>
      </w:r>
      <w:r>
        <w:t>5.</w:t>
      </w:r>
      <w:r>
        <w:tab/>
      </w:r>
      <w:r>
        <w:rPr>
          <w:rFonts w:hint="eastAsia"/>
        </w:rPr>
        <w:t>请提供资料，说明缔约国的双边和多边贸易政策是否考虑到《公约》规定的各项义务。</w:t>
      </w:r>
    </w:p>
    <w:p w:rsidR="00000000" w:rsidRDefault="00000000">
      <w:pPr>
        <w:pStyle w:val="Heading2"/>
      </w:pPr>
      <w:r>
        <w:rPr>
          <w:rFonts w:hint="eastAsia"/>
        </w:rPr>
        <w:t>二、有关《公约》一般性条款的问题</w:t>
      </w:r>
      <w:r>
        <w:rPr>
          <w:rFonts w:hint="eastAsia"/>
        </w:rPr>
        <w:t>(</w:t>
      </w:r>
      <w:r>
        <w:rPr>
          <w:rFonts w:hint="eastAsia"/>
        </w:rPr>
        <w:t>第一至第五条</w:t>
      </w:r>
      <w:r>
        <w:rPr>
          <w:rFonts w:hint="eastAsia"/>
        </w:rPr>
        <w:t>)</w:t>
      </w:r>
    </w:p>
    <w:p w:rsidR="00000000" w:rsidRDefault="00000000">
      <w:pPr>
        <w:pStyle w:val="Heading3"/>
      </w:pPr>
      <w:r>
        <w:rPr>
          <w:rFonts w:hint="eastAsia"/>
          <w:u w:val="none"/>
        </w:rPr>
        <w:t>第</w:t>
      </w:r>
      <w:r>
        <w:rPr>
          <w:rFonts w:hint="eastAsia"/>
          <w:b/>
          <w:u w:val="none"/>
        </w:rPr>
        <w:t>二</w:t>
      </w:r>
      <w:r>
        <w:rPr>
          <w:rFonts w:hint="eastAsia"/>
          <w:u w:val="none"/>
        </w:rPr>
        <w:t>条</w:t>
      </w:r>
      <w:r>
        <w:rPr>
          <w:rFonts w:hint="eastAsia"/>
          <w:u w:val="none"/>
        </w:rPr>
        <w:t>(</w:t>
      </w:r>
      <w:r>
        <w:rPr>
          <w:rFonts w:hint="eastAsia"/>
          <w:b/>
          <w:u w:val="none"/>
        </w:rPr>
        <w:t>二</w:t>
      </w:r>
      <w:r>
        <w:rPr>
          <w:rFonts w:hint="eastAsia"/>
          <w:u w:val="none"/>
        </w:rPr>
        <w:t>)</w:t>
      </w:r>
      <w:r>
        <w:rPr>
          <w:rFonts w:hint="eastAsia"/>
          <w:u w:val="none"/>
        </w:rPr>
        <w:t>：</w:t>
      </w:r>
      <w:r>
        <w:rPr>
          <w:rFonts w:hint="eastAsia"/>
        </w:rPr>
        <w:t>不歧视</w:t>
      </w:r>
    </w:p>
    <w:p w:rsidR="00000000" w:rsidRDefault="00000000">
      <w:pPr>
        <w:rPr>
          <w:rFonts w:hint="eastAsia"/>
        </w:rPr>
      </w:pPr>
      <w:r>
        <w:rPr>
          <w:rFonts w:hint="eastAsia"/>
        </w:rPr>
        <w:tab/>
      </w:r>
      <w:r>
        <w:t>6.</w:t>
      </w:r>
      <w:r>
        <w:tab/>
      </w:r>
      <w:r>
        <w:rPr>
          <w:rFonts w:hint="eastAsia"/>
        </w:rPr>
        <w:t>根据“机会均等和消除种族主义中心”</w:t>
      </w:r>
      <w:r>
        <w:rPr>
          <w:rFonts w:hint="eastAsia"/>
        </w:rPr>
        <w:t>2005</w:t>
      </w:r>
      <w:r>
        <w:rPr>
          <w:rFonts w:hint="eastAsia"/>
        </w:rPr>
        <w:t>年报告</w:t>
      </w:r>
      <w:r>
        <w:rPr>
          <w:rFonts w:hint="eastAsia"/>
          <w:lang w:val="en-GB"/>
        </w:rPr>
        <w:t>，</w:t>
      </w:r>
      <w:r>
        <w:rPr>
          <w:rFonts w:hint="eastAsia"/>
        </w:rPr>
        <w:t>该国的种族歧视、尤其是基于性别取向、残疾和健康状况的歧视现象不断增多。请提供最新资料，说明</w:t>
      </w:r>
      <w:r>
        <w:rPr>
          <w:rFonts w:hint="eastAsia"/>
        </w:rPr>
        <w:t>2003</w:t>
      </w:r>
      <w:r>
        <w:rPr>
          <w:rFonts w:hint="eastAsia"/>
        </w:rPr>
        <w:t>年</w:t>
      </w:r>
      <w:r>
        <w:rPr>
          <w:rFonts w:hint="eastAsia"/>
        </w:rPr>
        <w:t>2</w:t>
      </w:r>
      <w:r>
        <w:rPr>
          <w:rFonts w:hint="eastAsia"/>
        </w:rPr>
        <w:t>月通过的《反歧视法》的执行情况，包括已提起民事或刑事诉讼的歧视案件等资料</w:t>
      </w:r>
      <w:r>
        <w:t xml:space="preserve">(E/C.12/BEL/3, </w:t>
      </w:r>
      <w:r>
        <w:rPr>
          <w:rFonts w:hint="eastAsia"/>
        </w:rPr>
        <w:t>第</w:t>
      </w:r>
      <w:r>
        <w:t>21 ff</w:t>
      </w:r>
      <w:r>
        <w:rPr>
          <w:rFonts w:hint="eastAsia"/>
        </w:rPr>
        <w:t>段</w:t>
      </w:r>
      <w:r>
        <w:t>)</w:t>
      </w:r>
      <w:r>
        <w:rPr>
          <w:rFonts w:hint="eastAsia"/>
        </w:rPr>
        <w:t>。</w:t>
      </w:r>
    </w:p>
    <w:p w:rsidR="00000000" w:rsidRDefault="00000000">
      <w:pPr>
        <w:spacing w:after="320"/>
      </w:pPr>
      <w:r>
        <w:rPr>
          <w:rFonts w:hint="eastAsia"/>
        </w:rPr>
        <w:tab/>
      </w:r>
      <w:r>
        <w:t>7.</w:t>
      </w:r>
      <w:r>
        <w:tab/>
      </w:r>
      <w:r>
        <w:rPr>
          <w:rFonts w:hint="eastAsia"/>
        </w:rPr>
        <w:t>请说明缔约国是否计划批准《保护所有移徙工人及其家庭成员权利国际公约》。此外，请提供目前居住在缔约国境内的移徙工人的详细资料，包括按性别、年龄和原籍国分类的统计数据。</w:t>
      </w:r>
    </w:p>
    <w:p w:rsidR="00000000" w:rsidRDefault="00000000">
      <w:pPr>
        <w:pStyle w:val="Heading3"/>
      </w:pPr>
      <w:r>
        <w:rPr>
          <w:rFonts w:hint="eastAsia"/>
          <w:u w:val="none"/>
        </w:rPr>
        <w:t>第三条：</w:t>
      </w:r>
      <w:r>
        <w:rPr>
          <w:rFonts w:hint="eastAsia"/>
        </w:rPr>
        <w:t>男女权力平等</w:t>
      </w:r>
    </w:p>
    <w:p w:rsidR="00000000" w:rsidRDefault="00000000">
      <w:pPr>
        <w:rPr>
          <w:rFonts w:hint="eastAsia"/>
        </w:rPr>
      </w:pPr>
      <w:r>
        <w:rPr>
          <w:rFonts w:hint="eastAsia"/>
        </w:rPr>
        <w:tab/>
      </w:r>
      <w:r>
        <w:t>8.</w:t>
      </w:r>
      <w:r>
        <w:tab/>
      </w:r>
      <w:r>
        <w:rPr>
          <w:rFonts w:hint="eastAsia"/>
        </w:rPr>
        <w:t>请提供进一步资料</w:t>
      </w:r>
      <w:r>
        <w:rPr>
          <w:rFonts w:hint="eastAsia"/>
          <w:lang w:val="en-GB"/>
        </w:rPr>
        <w:t>，</w:t>
      </w:r>
      <w:r>
        <w:rPr>
          <w:rFonts w:hint="eastAsia"/>
        </w:rPr>
        <w:t>说明</w:t>
      </w:r>
      <w:r>
        <w:rPr>
          <w:rFonts w:hint="eastAsia"/>
          <w:lang w:val="en-GB"/>
        </w:rPr>
        <w:t>“</w:t>
      </w:r>
      <w:r>
        <w:rPr>
          <w:rFonts w:hint="eastAsia"/>
        </w:rPr>
        <w:t>男女平等研究所</w:t>
      </w:r>
      <w:r>
        <w:rPr>
          <w:rFonts w:hint="eastAsia"/>
          <w:lang w:val="en-GB"/>
        </w:rPr>
        <w:t>”</w:t>
      </w:r>
      <w:r>
        <w:rPr>
          <w:rFonts w:hint="eastAsia"/>
        </w:rPr>
        <w:t>的作用和职能</w:t>
      </w:r>
      <w:r>
        <w:rPr>
          <w:rFonts w:hint="eastAsia"/>
          <w:lang w:val="en-GB"/>
        </w:rPr>
        <w:t>，</w:t>
      </w:r>
      <w:r>
        <w:rPr>
          <w:rFonts w:hint="eastAsia"/>
        </w:rPr>
        <w:t>尤其是当经济、社会和文化权利领域出现违反平权法律的情况时</w:t>
      </w:r>
      <w:r>
        <w:rPr>
          <w:rFonts w:hint="eastAsia"/>
          <w:lang w:val="en-GB"/>
        </w:rPr>
        <w:t>，</w:t>
      </w:r>
      <w:r>
        <w:rPr>
          <w:rFonts w:hint="eastAsia"/>
        </w:rPr>
        <w:t>该研究所负责提起法律诉讼的任务</w:t>
      </w:r>
      <w:r>
        <w:t xml:space="preserve">(E/C.12/BEL/3, </w:t>
      </w:r>
      <w:r>
        <w:rPr>
          <w:rFonts w:hint="eastAsia"/>
        </w:rPr>
        <w:t>第</w:t>
      </w:r>
      <w:r>
        <w:t>57-58</w:t>
      </w:r>
      <w:r>
        <w:rPr>
          <w:rFonts w:hint="eastAsia"/>
        </w:rPr>
        <w:t>段</w:t>
      </w:r>
      <w:r>
        <w:t>)</w:t>
      </w:r>
      <w:r>
        <w:rPr>
          <w:rFonts w:hint="eastAsia"/>
        </w:rPr>
        <w:t>。</w:t>
      </w:r>
    </w:p>
    <w:p w:rsidR="00000000" w:rsidRDefault="00000000">
      <w:pPr>
        <w:spacing w:after="320"/>
        <w:rPr>
          <w:rFonts w:hint="eastAsia"/>
        </w:rPr>
      </w:pPr>
      <w:r>
        <w:rPr>
          <w:rFonts w:hint="eastAsia"/>
        </w:rPr>
        <w:tab/>
      </w:r>
      <w:r>
        <w:t>9.</w:t>
      </w:r>
      <w:r>
        <w:tab/>
      </w:r>
      <w:r>
        <w:rPr>
          <w:rFonts w:hint="eastAsia"/>
        </w:rPr>
        <w:t>请提供最新资料，说明缔约国采取了哪些措施来缩小男女就业率及工资方面长期存在的差距</w:t>
      </w:r>
      <w:r>
        <w:t xml:space="preserve">(E/C.12/BEL/3, </w:t>
      </w:r>
      <w:r>
        <w:rPr>
          <w:rFonts w:hint="eastAsia"/>
        </w:rPr>
        <w:t>第</w:t>
      </w:r>
      <w:r>
        <w:t>113</w:t>
      </w:r>
      <w:r>
        <w:rPr>
          <w:rFonts w:hint="eastAsia"/>
        </w:rPr>
        <w:t>、</w:t>
      </w:r>
      <w:r>
        <w:t>117 ff</w:t>
      </w:r>
      <w:r>
        <w:rPr>
          <w:rFonts w:hint="eastAsia"/>
        </w:rPr>
        <w:t>段</w:t>
      </w:r>
      <w:r>
        <w:t>)</w:t>
      </w:r>
      <w:r>
        <w:rPr>
          <w:rFonts w:hint="eastAsia"/>
        </w:rPr>
        <w:t>。</w:t>
      </w:r>
    </w:p>
    <w:p w:rsidR="00000000" w:rsidRDefault="00000000">
      <w:pPr>
        <w:pStyle w:val="Heading2"/>
      </w:pPr>
      <w:r>
        <w:rPr>
          <w:rFonts w:hint="eastAsia"/>
          <w:caps/>
        </w:rPr>
        <w:t>三</w:t>
      </w:r>
      <w:r>
        <w:rPr>
          <w:rFonts w:hint="eastAsia"/>
        </w:rPr>
        <w:t>、有关《公约》具体条款的问题</w:t>
      </w:r>
      <w:r>
        <w:rPr>
          <w:rFonts w:hint="eastAsia"/>
        </w:rPr>
        <w:t>(</w:t>
      </w:r>
      <w:r>
        <w:rPr>
          <w:rFonts w:hint="eastAsia"/>
        </w:rPr>
        <w:t>第六至十五条</w:t>
      </w:r>
      <w:r>
        <w:rPr>
          <w:rFonts w:hint="eastAsia"/>
        </w:rPr>
        <w:t>)</w:t>
      </w:r>
    </w:p>
    <w:p w:rsidR="00000000" w:rsidRDefault="00000000">
      <w:pPr>
        <w:pStyle w:val="Heading3"/>
      </w:pPr>
      <w:r>
        <w:rPr>
          <w:rFonts w:hint="eastAsia"/>
          <w:u w:val="none"/>
        </w:rPr>
        <w:t>第</w:t>
      </w:r>
      <w:r>
        <w:rPr>
          <w:rFonts w:hint="eastAsia"/>
          <w:bCs/>
          <w:u w:val="none"/>
        </w:rPr>
        <w:t>六</w:t>
      </w:r>
      <w:r>
        <w:rPr>
          <w:rFonts w:hint="eastAsia"/>
          <w:u w:val="none"/>
        </w:rPr>
        <w:t>条：</w:t>
      </w:r>
      <w:r>
        <w:rPr>
          <w:rFonts w:hint="eastAsia"/>
        </w:rPr>
        <w:t>工作权</w:t>
      </w:r>
    </w:p>
    <w:p w:rsidR="00000000" w:rsidRDefault="00000000">
      <w:pPr>
        <w:rPr>
          <w:rFonts w:hint="eastAsia"/>
        </w:rPr>
      </w:pPr>
      <w:r>
        <w:rPr>
          <w:rFonts w:hint="eastAsia"/>
        </w:rPr>
        <w:tab/>
      </w:r>
      <w:r>
        <w:t>10.</w:t>
      </w:r>
      <w:r>
        <w:tab/>
        <w:t>2003</w:t>
      </w:r>
      <w:r>
        <w:rPr>
          <w:rFonts w:hint="eastAsia"/>
        </w:rPr>
        <w:t>年</w:t>
      </w:r>
      <w:r>
        <w:rPr>
          <w:rFonts w:hint="eastAsia"/>
          <w:lang w:val="en-GB"/>
        </w:rPr>
        <w:t>，</w:t>
      </w:r>
      <w:r>
        <w:rPr>
          <w:rFonts w:hint="eastAsia"/>
        </w:rPr>
        <w:t>年轻人</w:t>
      </w:r>
      <w:r>
        <w:rPr>
          <w:rFonts w:hint="eastAsia"/>
          <w:lang w:val="en-GB"/>
        </w:rPr>
        <w:t>(</w:t>
      </w:r>
      <w:r>
        <w:rPr>
          <w:rFonts w:hint="eastAsia"/>
        </w:rPr>
        <w:t>即年龄在</w:t>
      </w:r>
      <w:r>
        <w:rPr>
          <w:rFonts w:hint="eastAsia"/>
        </w:rPr>
        <w:t>15</w:t>
      </w:r>
      <w:r>
        <w:rPr>
          <w:rFonts w:hint="eastAsia"/>
        </w:rPr>
        <w:t>岁到</w:t>
      </w:r>
      <w:r>
        <w:rPr>
          <w:rFonts w:hint="eastAsia"/>
        </w:rPr>
        <w:t>24</w:t>
      </w:r>
      <w:r>
        <w:rPr>
          <w:rFonts w:hint="eastAsia"/>
        </w:rPr>
        <w:t>岁之间的人士</w:t>
      </w:r>
      <w:r>
        <w:rPr>
          <w:rFonts w:hint="eastAsia"/>
          <w:lang w:val="en-GB"/>
        </w:rPr>
        <w:t>)</w:t>
      </w:r>
      <w:r>
        <w:rPr>
          <w:rFonts w:hint="eastAsia"/>
        </w:rPr>
        <w:t>以及</w:t>
      </w:r>
      <w:r>
        <w:rPr>
          <w:rFonts w:hint="eastAsia"/>
        </w:rPr>
        <w:t>55</w:t>
      </w:r>
      <w:r>
        <w:rPr>
          <w:rFonts w:hint="eastAsia"/>
        </w:rPr>
        <w:t>岁以上人士的就业率跟总体就业率相比仍然非常低。请说明缔约国自</w:t>
      </w:r>
      <w:r>
        <w:rPr>
          <w:rFonts w:hint="eastAsia"/>
        </w:rPr>
        <w:t>2003</w:t>
      </w:r>
      <w:r>
        <w:rPr>
          <w:rFonts w:hint="eastAsia"/>
        </w:rPr>
        <w:t>年以来采取了哪些立法或其他措施，为这两个年龄组的人提供更多的就业机会</w:t>
      </w:r>
      <w:r>
        <w:t xml:space="preserve">(E/C.12/BEL/3, </w:t>
      </w:r>
      <w:r>
        <w:rPr>
          <w:rFonts w:hint="eastAsia"/>
        </w:rPr>
        <w:t>第</w:t>
      </w:r>
      <w:r>
        <w:t>118</w:t>
      </w:r>
      <w:r>
        <w:rPr>
          <w:rFonts w:hint="eastAsia"/>
        </w:rPr>
        <w:t>和</w:t>
      </w:r>
      <w:r>
        <w:t>157 ff</w:t>
      </w:r>
      <w:r>
        <w:rPr>
          <w:rFonts w:hint="eastAsia"/>
        </w:rPr>
        <w:t>段</w:t>
      </w:r>
      <w:r>
        <w:t>)</w:t>
      </w:r>
      <w:r>
        <w:rPr>
          <w:rFonts w:hint="eastAsia"/>
        </w:rPr>
        <w:t>。</w:t>
      </w:r>
    </w:p>
    <w:p w:rsidR="00000000" w:rsidRDefault="00000000">
      <w:pPr>
        <w:spacing w:after="320"/>
        <w:rPr>
          <w:rFonts w:hint="eastAsia"/>
        </w:rPr>
      </w:pPr>
      <w:r>
        <w:rPr>
          <w:rFonts w:hint="eastAsia"/>
        </w:rPr>
        <w:tab/>
      </w:r>
      <w:r>
        <w:t>11.</w:t>
      </w:r>
      <w:r>
        <w:tab/>
      </w:r>
      <w:r>
        <w:rPr>
          <w:rFonts w:hint="eastAsia"/>
        </w:rPr>
        <w:t>委员会希望获得相关资料，了解近年来缔约国为清除工作场所歧视、支持少数民族成员就业和职业培训而在国家、地区和社区层面开展各项工作的成果，包含各年度的分类统计数据</w:t>
      </w:r>
      <w:r>
        <w:t>(E/C.12/BEL/3,</w:t>
      </w:r>
      <w:r>
        <w:rPr>
          <w:rFonts w:hint="eastAsia"/>
        </w:rPr>
        <w:t>第</w:t>
      </w:r>
      <w:r>
        <w:t>119</w:t>
      </w:r>
      <w:r>
        <w:rPr>
          <w:rFonts w:hint="eastAsia"/>
        </w:rPr>
        <w:t>、</w:t>
      </w:r>
      <w:r>
        <w:t>164 ff.</w:t>
      </w:r>
      <w:r>
        <w:rPr>
          <w:rFonts w:hint="eastAsia"/>
        </w:rPr>
        <w:t>及</w:t>
      </w:r>
      <w:r>
        <w:t>171 ff.</w:t>
      </w:r>
      <w:r>
        <w:rPr>
          <w:rFonts w:hint="eastAsia"/>
        </w:rPr>
        <w:t>段</w:t>
      </w:r>
      <w:r>
        <w:t>)</w:t>
      </w:r>
      <w:r>
        <w:rPr>
          <w:rFonts w:hint="eastAsia"/>
        </w:rPr>
        <w:t>。</w:t>
      </w:r>
    </w:p>
    <w:p w:rsidR="00000000" w:rsidRDefault="00000000">
      <w:pPr>
        <w:pStyle w:val="Heading3"/>
      </w:pPr>
      <w:r>
        <w:rPr>
          <w:rFonts w:hint="eastAsia"/>
          <w:u w:val="none"/>
        </w:rPr>
        <w:t>条</w:t>
      </w:r>
      <w:r>
        <w:rPr>
          <w:rFonts w:hint="eastAsia"/>
          <w:bCs/>
          <w:u w:val="none"/>
        </w:rPr>
        <w:t>七</w:t>
      </w:r>
      <w:r>
        <w:rPr>
          <w:rFonts w:hint="eastAsia"/>
          <w:u w:val="none"/>
        </w:rPr>
        <w:t>条：</w:t>
      </w:r>
      <w:r>
        <w:rPr>
          <w:rFonts w:hint="eastAsia"/>
        </w:rPr>
        <w:t>享有公平和良好工作条件的权利</w:t>
      </w:r>
    </w:p>
    <w:p w:rsidR="00000000" w:rsidRDefault="00000000">
      <w:pPr>
        <w:spacing w:after="320"/>
        <w:rPr>
          <w:rFonts w:hint="eastAsia"/>
        </w:rPr>
      </w:pPr>
      <w:r>
        <w:rPr>
          <w:rFonts w:hint="eastAsia"/>
        </w:rPr>
        <w:tab/>
      </w:r>
      <w:r>
        <w:t>12.</w:t>
      </w:r>
      <w:r>
        <w:tab/>
      </w:r>
      <w:r>
        <w:rPr>
          <w:rFonts w:hint="eastAsia"/>
        </w:rPr>
        <w:t>根据缔约国提交的报告</w:t>
      </w:r>
      <w:r>
        <w:rPr>
          <w:rFonts w:hint="eastAsia"/>
          <w:lang w:val="en-GB"/>
        </w:rPr>
        <w:t>，该国</w:t>
      </w:r>
      <w:r>
        <w:rPr>
          <w:rFonts w:hint="eastAsia"/>
        </w:rPr>
        <w:t>妇女因怀孕或生育等原因被非法解雇后</w:t>
      </w:r>
      <w:r>
        <w:rPr>
          <w:rFonts w:hint="eastAsia"/>
          <w:lang w:val="en-GB"/>
        </w:rPr>
        <w:t>，</w:t>
      </w:r>
      <w:r>
        <w:rPr>
          <w:rFonts w:hint="eastAsia"/>
        </w:rPr>
        <w:t>就无权重返工作岗位</w:t>
      </w:r>
      <w:r>
        <w:rPr>
          <w:rFonts w:hint="eastAsia"/>
          <w:lang w:val="en-GB"/>
        </w:rPr>
        <w:t>，</w:t>
      </w:r>
      <w:r>
        <w:rPr>
          <w:rFonts w:hint="eastAsia"/>
        </w:rPr>
        <w:t>而且在这种情况下妇女获得的赔偿有一个上限。请说明缔约国是否打算修订有关非法解雇的法律，以确保该国法律符合《公约》第三条、第七条和第十条的规定</w:t>
      </w:r>
      <w:r>
        <w:t xml:space="preserve">(E/C.12/BEL/3, </w:t>
      </w:r>
      <w:r>
        <w:rPr>
          <w:rFonts w:hint="eastAsia"/>
        </w:rPr>
        <w:t>第</w:t>
      </w:r>
      <w:r>
        <w:t>380</w:t>
      </w:r>
      <w:r>
        <w:rPr>
          <w:rFonts w:hint="eastAsia"/>
        </w:rPr>
        <w:t>段</w:t>
      </w:r>
      <w:r>
        <w:t>)</w:t>
      </w:r>
      <w:r>
        <w:rPr>
          <w:rFonts w:hint="eastAsia"/>
        </w:rPr>
        <w:t>。</w:t>
      </w:r>
    </w:p>
    <w:p w:rsidR="00000000" w:rsidRDefault="00000000">
      <w:pPr>
        <w:pStyle w:val="Heading3"/>
        <w:rPr>
          <w:rFonts w:hint="eastAsia"/>
        </w:rPr>
      </w:pPr>
      <w:r>
        <w:rPr>
          <w:rFonts w:hint="eastAsia"/>
          <w:u w:val="none"/>
        </w:rPr>
        <w:t>第八条：</w:t>
      </w:r>
      <w:r>
        <w:rPr>
          <w:rFonts w:hint="eastAsia"/>
        </w:rPr>
        <w:t>工会权利</w:t>
      </w:r>
    </w:p>
    <w:p w:rsidR="00000000" w:rsidRDefault="00000000">
      <w:pPr>
        <w:spacing w:after="320"/>
      </w:pPr>
      <w:r>
        <w:rPr>
          <w:rFonts w:hint="eastAsia"/>
        </w:rPr>
        <w:tab/>
      </w:r>
      <w:r>
        <w:t>13.</w:t>
      </w:r>
      <w:r>
        <w:tab/>
      </w:r>
      <w:r>
        <w:rPr>
          <w:rFonts w:hint="eastAsia"/>
        </w:rPr>
        <w:t>根据委员会获得的相关资料</w:t>
      </w:r>
      <w:r>
        <w:rPr>
          <w:rFonts w:hint="eastAsia"/>
          <w:lang w:val="en-GB"/>
        </w:rPr>
        <w:t>，</w:t>
      </w:r>
      <w:r>
        <w:rPr>
          <w:rFonts w:hint="eastAsia"/>
        </w:rPr>
        <w:t>缔约国尚未修订据说影响工人合法使用罢工权利的法律</w:t>
      </w:r>
      <w:r>
        <w:rPr>
          <w:rFonts w:hint="eastAsia"/>
          <w:lang w:val="en-GB"/>
        </w:rPr>
        <w:t>。请说明该国政府是否计划消除罢工权方面由司法判决产生的各种限制，并确保工人受到保护，不会因为参加罢工而被解雇。</w:t>
      </w:r>
    </w:p>
    <w:p w:rsidR="00000000" w:rsidRDefault="00000000">
      <w:pPr>
        <w:pStyle w:val="Heading3"/>
      </w:pPr>
      <w:r>
        <w:rPr>
          <w:rFonts w:hint="eastAsia"/>
          <w:u w:val="none"/>
        </w:rPr>
        <w:t>第</w:t>
      </w:r>
      <w:r>
        <w:rPr>
          <w:rFonts w:hint="eastAsia"/>
          <w:bCs/>
          <w:u w:val="none"/>
        </w:rPr>
        <w:t>九</w:t>
      </w:r>
      <w:r>
        <w:rPr>
          <w:rFonts w:hint="eastAsia"/>
          <w:u w:val="none"/>
        </w:rPr>
        <w:t>条：</w:t>
      </w:r>
      <w:r>
        <w:rPr>
          <w:rFonts w:hint="eastAsia"/>
        </w:rPr>
        <w:t>社会保障权利</w:t>
      </w:r>
    </w:p>
    <w:p w:rsidR="00000000" w:rsidRDefault="00000000">
      <w:pPr>
        <w:rPr>
          <w:rFonts w:hint="eastAsia"/>
        </w:rPr>
      </w:pPr>
      <w:r>
        <w:rPr>
          <w:rFonts w:hint="eastAsia"/>
        </w:rPr>
        <w:tab/>
      </w:r>
      <w:r>
        <w:t>14.</w:t>
      </w:r>
      <w:r>
        <w:tab/>
      </w:r>
      <w:r>
        <w:rPr>
          <w:rFonts w:hint="eastAsia"/>
        </w:rPr>
        <w:t>请提供详细的年度统计资料</w:t>
      </w:r>
      <w:r>
        <w:rPr>
          <w:rFonts w:hint="eastAsia"/>
          <w:lang w:val="en-GB"/>
        </w:rPr>
        <w:t>，</w:t>
      </w:r>
      <w:r>
        <w:rPr>
          <w:rFonts w:hint="eastAsia"/>
        </w:rPr>
        <w:t>说明</w:t>
      </w:r>
      <w:r>
        <w:rPr>
          <w:rFonts w:hint="eastAsia"/>
        </w:rPr>
        <w:t>2001</w:t>
      </w:r>
      <w:r>
        <w:rPr>
          <w:rFonts w:hint="eastAsia"/>
        </w:rPr>
        <w:t>年成立的</w:t>
      </w:r>
      <w:r>
        <w:rPr>
          <w:rFonts w:hint="eastAsia"/>
          <w:lang w:val="en-GB"/>
        </w:rPr>
        <w:t>“</w:t>
      </w:r>
      <w:r>
        <w:rPr>
          <w:rFonts w:hint="eastAsia"/>
        </w:rPr>
        <w:t>老龄化基金</w:t>
      </w:r>
      <w:r>
        <w:rPr>
          <w:rFonts w:hint="eastAsia"/>
          <w:lang w:val="en-GB"/>
        </w:rPr>
        <w:t>”的筹资情况，并说明缔约国计划采取哪些措施，解决比利时人口老龄化导致的养老金和医疗费用上升的问题</w:t>
      </w:r>
      <w:r>
        <w:t xml:space="preserve"> (E/C.12/BEL/3, </w:t>
      </w:r>
      <w:r>
        <w:rPr>
          <w:rFonts w:hint="eastAsia"/>
        </w:rPr>
        <w:t>第</w:t>
      </w:r>
      <w:r>
        <w:t>305</w:t>
      </w:r>
      <w:r>
        <w:rPr>
          <w:rFonts w:hint="eastAsia"/>
        </w:rPr>
        <w:t>段</w:t>
      </w:r>
      <w:r>
        <w:t>)</w:t>
      </w:r>
      <w:r>
        <w:rPr>
          <w:rFonts w:hint="eastAsia"/>
        </w:rPr>
        <w:t>。</w:t>
      </w:r>
    </w:p>
    <w:p w:rsidR="00000000" w:rsidRDefault="00000000">
      <w:pPr>
        <w:spacing w:after="320"/>
      </w:pPr>
      <w:r>
        <w:rPr>
          <w:rFonts w:hint="eastAsia"/>
        </w:rPr>
        <w:tab/>
      </w:r>
      <w:r>
        <w:t>15.</w:t>
      </w:r>
      <w:r>
        <w:tab/>
      </w:r>
      <w:r>
        <w:rPr>
          <w:rFonts w:hint="eastAsia"/>
        </w:rPr>
        <w:t>请提供相关资料，说明联邦政府和地区政府采取了哪些措施来落实社会保障权利，包括获得社会援助的权利，尤其是来自非欧盟成员国或非欧洲经济区国家的人士。</w:t>
      </w:r>
    </w:p>
    <w:p w:rsidR="00000000" w:rsidRDefault="00000000">
      <w:pPr>
        <w:pStyle w:val="Heading3"/>
      </w:pPr>
      <w:r>
        <w:rPr>
          <w:rFonts w:hint="eastAsia"/>
          <w:u w:val="none"/>
        </w:rPr>
        <w:t>第</w:t>
      </w:r>
      <w:r>
        <w:rPr>
          <w:rFonts w:hint="eastAsia"/>
          <w:bCs/>
          <w:u w:val="none"/>
        </w:rPr>
        <w:t>十</w:t>
      </w:r>
      <w:r>
        <w:rPr>
          <w:rFonts w:hint="eastAsia"/>
          <w:u w:val="none"/>
        </w:rPr>
        <w:t>条：</w:t>
      </w:r>
      <w:r>
        <w:rPr>
          <w:rFonts w:hint="eastAsia"/>
        </w:rPr>
        <w:t>保护家庭、母亲和儿童</w:t>
      </w:r>
    </w:p>
    <w:p w:rsidR="00000000" w:rsidRDefault="00000000">
      <w:pPr>
        <w:rPr>
          <w:rFonts w:hint="eastAsia"/>
        </w:rPr>
      </w:pPr>
      <w:r>
        <w:rPr>
          <w:rFonts w:hint="eastAsia"/>
        </w:rPr>
        <w:tab/>
      </w:r>
      <w:r>
        <w:t>16.</w:t>
      </w:r>
      <w:r>
        <w:tab/>
      </w:r>
      <w:r>
        <w:rPr>
          <w:rFonts w:hint="eastAsia"/>
        </w:rPr>
        <w:t>请提供最新资料</w:t>
      </w:r>
      <w:r>
        <w:rPr>
          <w:rFonts w:hint="eastAsia"/>
          <w:lang w:val="en-GB"/>
        </w:rPr>
        <w:t>，</w:t>
      </w:r>
      <w:r>
        <w:rPr>
          <w:rFonts w:hint="eastAsia"/>
        </w:rPr>
        <w:t>说明缔约国采取了哪些立法或其他措施</w:t>
      </w:r>
      <w:r>
        <w:rPr>
          <w:rFonts w:hint="eastAsia"/>
          <w:lang w:val="en-GB"/>
        </w:rPr>
        <w:t>，</w:t>
      </w:r>
      <w:r>
        <w:rPr>
          <w:rFonts w:hint="eastAsia"/>
        </w:rPr>
        <w:t>将家庭暴力定为刑事犯罪。在该问题上，请提供详细资料，说明“</w:t>
      </w:r>
      <w:r>
        <w:rPr>
          <w:rFonts w:hint="eastAsia"/>
        </w:rPr>
        <w:t>2004-2007</w:t>
      </w:r>
      <w:r>
        <w:rPr>
          <w:rFonts w:hint="eastAsia"/>
        </w:rPr>
        <w:t>年消除家庭暴力现象行动计划”的执行情况，包括已提起刑事诉讼的家庭暴力案件的相关资料以及基于性别的暴力受害者人数的年度分类数据。</w:t>
      </w:r>
      <w:r>
        <w:t xml:space="preserve">(E/C.12/BEL/3, </w:t>
      </w:r>
      <w:r>
        <w:rPr>
          <w:rFonts w:hint="eastAsia"/>
        </w:rPr>
        <w:t>第</w:t>
      </w:r>
      <w:r>
        <w:t>377</w:t>
      </w:r>
      <w:r>
        <w:rPr>
          <w:rFonts w:hint="eastAsia"/>
        </w:rPr>
        <w:t>段</w:t>
      </w:r>
      <w:r>
        <w:t>)</w:t>
      </w:r>
    </w:p>
    <w:p w:rsidR="00000000" w:rsidRDefault="00000000">
      <w:pPr>
        <w:spacing w:after="320"/>
        <w:rPr>
          <w:rFonts w:hint="eastAsia"/>
        </w:rPr>
      </w:pPr>
      <w:r>
        <w:rPr>
          <w:rFonts w:hint="eastAsia"/>
        </w:rPr>
        <w:tab/>
      </w:r>
      <w:r>
        <w:t>17.</w:t>
      </w:r>
      <w:r>
        <w:tab/>
      </w:r>
      <w:r>
        <w:rPr>
          <w:rFonts w:hint="eastAsia"/>
        </w:rPr>
        <w:t>根据委员会在上一次结论性意见第</w:t>
      </w:r>
      <w:r>
        <w:rPr>
          <w:rFonts w:hint="eastAsia"/>
        </w:rPr>
        <w:t>25</w:t>
      </w:r>
      <w:r>
        <w:rPr>
          <w:rFonts w:hint="eastAsia"/>
        </w:rPr>
        <w:t>段中提出的请求，请提供具体资料，说明缔约国采取了哪些具体措施来打击恋童癖、儿童卖淫、儿童色情制品业和儿童暴力。此外，在这方面，请汇报缔约国作出了哪些努力，寻求双边和跨国合作来解决这些问题。</w:t>
      </w:r>
    </w:p>
    <w:p w:rsidR="00000000" w:rsidRDefault="00000000">
      <w:pPr>
        <w:pStyle w:val="Heading3"/>
      </w:pPr>
      <w:r>
        <w:rPr>
          <w:rFonts w:hint="eastAsia"/>
          <w:u w:val="none"/>
        </w:rPr>
        <w:t>第</w:t>
      </w:r>
      <w:r>
        <w:rPr>
          <w:rFonts w:hint="eastAsia"/>
          <w:bCs/>
          <w:u w:val="none"/>
        </w:rPr>
        <w:t>十一</w:t>
      </w:r>
      <w:r>
        <w:rPr>
          <w:rFonts w:hint="eastAsia"/>
          <w:u w:val="none"/>
        </w:rPr>
        <w:t>条：</w:t>
      </w:r>
      <w:r>
        <w:rPr>
          <w:rFonts w:hint="eastAsia"/>
        </w:rPr>
        <w:t>适足生活水准权</w:t>
      </w:r>
    </w:p>
    <w:p w:rsidR="00000000" w:rsidRDefault="00000000">
      <w:r>
        <w:rPr>
          <w:rFonts w:hint="eastAsia"/>
        </w:rPr>
        <w:tab/>
      </w:r>
      <w:r>
        <w:t>18.</w:t>
      </w:r>
      <w:r>
        <w:tab/>
      </w:r>
      <w:r>
        <w:rPr>
          <w:rFonts w:hint="eastAsia"/>
        </w:rPr>
        <w:t>根据委员会在上一次结论性意见第</w:t>
      </w:r>
      <w:r>
        <w:rPr>
          <w:rFonts w:hint="eastAsia"/>
        </w:rPr>
        <w:t>26</w:t>
      </w:r>
      <w:r>
        <w:rPr>
          <w:rFonts w:hint="eastAsia"/>
        </w:rPr>
        <w:t>段中提出的紧急请求，请提供进一步的详细、具体资料，说明社会住房情况，并说明缔约国在多大程度上执行了委员会有关这一问题的具体建议。</w:t>
      </w:r>
    </w:p>
    <w:p w:rsidR="00000000" w:rsidRDefault="00000000">
      <w:pPr>
        <w:spacing w:after="320"/>
      </w:pPr>
      <w:r>
        <w:rPr>
          <w:rFonts w:hint="eastAsia"/>
        </w:rPr>
        <w:tab/>
      </w:r>
      <w:r>
        <w:t>19.</w:t>
      </w:r>
      <w:r>
        <w:tab/>
      </w:r>
      <w:r>
        <w:rPr>
          <w:rFonts w:hint="eastAsia"/>
        </w:rPr>
        <w:t>请提供相关资料，说明缔约国的财产购置政策以及该政策对社会住房产生的影响。</w:t>
      </w:r>
    </w:p>
    <w:p w:rsidR="00000000" w:rsidRDefault="00000000">
      <w:pPr>
        <w:pStyle w:val="Heading3"/>
      </w:pPr>
      <w:r>
        <w:rPr>
          <w:rFonts w:hint="eastAsia"/>
          <w:u w:val="none"/>
        </w:rPr>
        <w:t>第</w:t>
      </w:r>
      <w:r>
        <w:rPr>
          <w:rFonts w:hint="eastAsia"/>
          <w:bCs/>
          <w:u w:val="none"/>
        </w:rPr>
        <w:t>十二</w:t>
      </w:r>
      <w:r>
        <w:rPr>
          <w:rFonts w:hint="eastAsia"/>
          <w:u w:val="none"/>
        </w:rPr>
        <w:t>条：</w:t>
      </w:r>
      <w:r>
        <w:rPr>
          <w:rFonts w:hint="eastAsia"/>
        </w:rPr>
        <w:t>身心健康权利</w:t>
      </w:r>
    </w:p>
    <w:p w:rsidR="00000000" w:rsidRDefault="00000000">
      <w:pPr>
        <w:spacing w:after="320"/>
      </w:pPr>
      <w:r>
        <w:rPr>
          <w:rFonts w:hint="eastAsia"/>
        </w:rPr>
        <w:tab/>
      </w:r>
      <w:r>
        <w:t>20.</w:t>
      </w:r>
      <w:r>
        <w:tab/>
      </w:r>
      <w:r>
        <w:rPr>
          <w:rFonts w:hint="eastAsia"/>
        </w:rPr>
        <w:t>请提供最新资料</w:t>
      </w:r>
      <w:r>
        <w:rPr>
          <w:rFonts w:hint="eastAsia"/>
          <w:lang w:val="en-GB"/>
        </w:rPr>
        <w:t>，</w:t>
      </w:r>
      <w:r>
        <w:rPr>
          <w:rFonts w:hint="eastAsia"/>
        </w:rPr>
        <w:t>说明各地区和各社区在健康教育、宣传健康饮食习惯以及疾病预防方面所投入的卫生保健预算总额</w:t>
      </w:r>
      <w:r>
        <w:rPr>
          <w:rFonts w:hint="eastAsia"/>
          <w:lang w:val="en-GB"/>
        </w:rPr>
        <w:t>，包括政府提供的</w:t>
      </w:r>
      <w:r>
        <w:rPr>
          <w:rFonts w:hint="eastAsia"/>
        </w:rPr>
        <w:t>健康保险计划等资料。</w:t>
      </w:r>
    </w:p>
    <w:p w:rsidR="00000000" w:rsidRDefault="00000000">
      <w:pPr>
        <w:pStyle w:val="Heading3"/>
      </w:pPr>
      <w:r>
        <w:rPr>
          <w:rFonts w:hint="eastAsia"/>
          <w:u w:val="none"/>
        </w:rPr>
        <w:t>条</w:t>
      </w:r>
      <w:r>
        <w:rPr>
          <w:rFonts w:hint="eastAsia"/>
          <w:bCs/>
          <w:u w:val="none"/>
        </w:rPr>
        <w:t>十三</w:t>
      </w:r>
      <w:r>
        <w:rPr>
          <w:rFonts w:hint="eastAsia"/>
          <w:u w:val="none"/>
        </w:rPr>
        <w:t>和第十四条：</w:t>
      </w:r>
      <w:r>
        <w:rPr>
          <w:rFonts w:hint="eastAsia"/>
        </w:rPr>
        <w:t>受教育权利</w:t>
      </w:r>
    </w:p>
    <w:p w:rsidR="00000000" w:rsidRDefault="00000000">
      <w:pPr>
        <w:rPr>
          <w:rFonts w:hint="eastAsia"/>
        </w:rPr>
      </w:pPr>
      <w:r>
        <w:rPr>
          <w:rFonts w:hint="eastAsia"/>
        </w:rPr>
        <w:tab/>
      </w:r>
      <w:r>
        <w:t>21.</w:t>
      </w:r>
      <w:r>
        <w:tab/>
      </w:r>
      <w:r>
        <w:rPr>
          <w:rFonts w:hint="eastAsia"/>
        </w:rPr>
        <w:t>根据委员会获得的资料</w:t>
      </w:r>
      <w:r>
        <w:rPr>
          <w:rFonts w:hint="eastAsia"/>
          <w:lang w:val="en-GB"/>
        </w:rPr>
        <w:t>，</w:t>
      </w:r>
      <w:r>
        <w:rPr>
          <w:rFonts w:hint="eastAsia"/>
        </w:rPr>
        <w:t>比利时的教育系统在业绩上有些差异，这是因为政府已将制定教育政策的专有权力下放到三大语区</w:t>
      </w:r>
      <w:r>
        <w:rPr>
          <w:rFonts w:hint="eastAsia"/>
          <w:lang w:val="en-GB"/>
        </w:rPr>
        <w:t>。</w:t>
      </w:r>
      <w:r>
        <w:rPr>
          <w:rFonts w:hint="eastAsia"/>
        </w:rPr>
        <w:t>根据委员会在上一次结论性意见第</w:t>
      </w:r>
      <w:r>
        <w:rPr>
          <w:rFonts w:hint="eastAsia"/>
        </w:rPr>
        <w:t>27</w:t>
      </w:r>
      <w:r>
        <w:rPr>
          <w:rFonts w:hint="eastAsia"/>
        </w:rPr>
        <w:t>段中提出的请求，请提供具体资料，说明缔约国采取了哪些措施来确保全国教育质量的一致性</w:t>
      </w:r>
      <w:r>
        <w:t xml:space="preserve">(E/C.12/BEL/3, </w:t>
      </w:r>
      <w:r>
        <w:rPr>
          <w:rFonts w:hint="eastAsia"/>
        </w:rPr>
        <w:t>第</w:t>
      </w:r>
      <w:r>
        <w:t>651 ff</w:t>
      </w:r>
      <w:r>
        <w:rPr>
          <w:rFonts w:hint="eastAsia"/>
        </w:rPr>
        <w:t>段</w:t>
      </w:r>
      <w:r>
        <w:t>)</w:t>
      </w:r>
      <w:r>
        <w:rPr>
          <w:rFonts w:hint="eastAsia"/>
        </w:rPr>
        <w:t>。</w:t>
      </w:r>
    </w:p>
    <w:p w:rsidR="00000000" w:rsidRDefault="00000000">
      <w:pPr>
        <w:spacing w:after="320"/>
        <w:rPr>
          <w:rFonts w:hint="eastAsia"/>
          <w:b/>
          <w:bCs/>
        </w:rPr>
      </w:pPr>
      <w:r>
        <w:rPr>
          <w:rFonts w:hint="eastAsia"/>
        </w:rPr>
        <w:tab/>
      </w:r>
      <w:r>
        <w:t>22.</w:t>
      </w:r>
      <w:r>
        <w:tab/>
      </w:r>
      <w:r>
        <w:rPr>
          <w:rFonts w:hint="eastAsia"/>
        </w:rPr>
        <w:t>请提供详细资料，说明缔约国境内</w:t>
      </w:r>
      <w:r>
        <w:t>Manush</w:t>
      </w:r>
      <w:r>
        <w:rPr>
          <w:rFonts w:hint="eastAsia"/>
        </w:rPr>
        <w:t>人、罗姆人和</w:t>
      </w:r>
      <w:r>
        <w:t>Travellers</w:t>
      </w:r>
      <w:r>
        <w:rPr>
          <w:rFonts w:hint="eastAsia"/>
        </w:rPr>
        <w:t>人的小学和中学入学率和出勤率，包括各年度的分类统计数据。此外，请提供相关资料，说明缔约国境内</w:t>
      </w:r>
      <w:r>
        <w:t>Manush</w:t>
      </w:r>
      <w:r>
        <w:rPr>
          <w:rFonts w:hint="eastAsia"/>
        </w:rPr>
        <w:t>人、罗姆人和</w:t>
      </w:r>
      <w:r>
        <w:t>Travellers</w:t>
      </w:r>
      <w:r>
        <w:rPr>
          <w:rFonts w:hint="eastAsia"/>
        </w:rPr>
        <w:t>人的识字率，包括各年度的分类统计数据。</w:t>
      </w:r>
    </w:p>
    <w:p w:rsidR="00000000" w:rsidRDefault="00000000">
      <w:pPr>
        <w:pStyle w:val="Heading3"/>
      </w:pPr>
      <w:r>
        <w:rPr>
          <w:rFonts w:hint="eastAsia"/>
          <w:u w:val="none"/>
        </w:rPr>
        <w:t>第</w:t>
      </w:r>
      <w:r>
        <w:rPr>
          <w:rFonts w:hint="eastAsia"/>
          <w:bCs/>
          <w:u w:val="none"/>
        </w:rPr>
        <w:t>十五</w:t>
      </w:r>
      <w:r>
        <w:rPr>
          <w:rFonts w:hint="eastAsia"/>
          <w:u w:val="none"/>
        </w:rPr>
        <w:t>条：</w:t>
      </w:r>
      <w:r>
        <w:rPr>
          <w:rFonts w:hint="eastAsia"/>
        </w:rPr>
        <w:t>文化权</w:t>
      </w:r>
    </w:p>
    <w:p w:rsidR="00000000" w:rsidRDefault="00000000">
      <w:pPr>
        <w:rPr>
          <w:rFonts w:hint="eastAsia"/>
        </w:rPr>
      </w:pPr>
      <w:r>
        <w:rPr>
          <w:rFonts w:hint="eastAsia"/>
        </w:rPr>
        <w:tab/>
      </w:r>
      <w:r>
        <w:t>23.</w:t>
      </w:r>
      <w:r>
        <w:tab/>
      </w:r>
      <w:r>
        <w:rPr>
          <w:rFonts w:hint="eastAsia"/>
        </w:rPr>
        <w:t>请提供相关资料</w:t>
      </w:r>
      <w:r>
        <w:rPr>
          <w:rFonts w:hint="eastAsia"/>
          <w:lang w:val="en-GB"/>
        </w:rPr>
        <w:t>，</w:t>
      </w:r>
      <w:r>
        <w:rPr>
          <w:rFonts w:hint="eastAsia"/>
        </w:rPr>
        <w:t>说明居住在缔约国的各语言群体在接受法院或其他公共机构审讯时是否有权使用自己的语言</w:t>
      </w:r>
      <w:r>
        <w:rPr>
          <w:rFonts w:hint="eastAsia"/>
          <w:lang w:val="en-GB"/>
        </w:rPr>
        <w:t>，</w:t>
      </w:r>
      <w:r>
        <w:rPr>
          <w:rFonts w:hint="eastAsia"/>
        </w:rPr>
        <w:t>尤其是在其居住区以外的其他地区能否使用母语。</w:t>
      </w:r>
    </w:p>
    <w:p w:rsidR="00000000" w:rsidRDefault="00000000">
      <w:pPr>
        <w:rPr>
          <w:b/>
          <w:bCs/>
        </w:rPr>
      </w:pPr>
    </w:p>
    <w:p w:rsidR="00000000" w:rsidRDefault="00000000">
      <w:pPr>
        <w:rPr>
          <w:b/>
          <w:bCs/>
        </w:rPr>
      </w:pPr>
    </w:p>
    <w:p w:rsidR="00000000" w:rsidRDefault="00000000">
      <w:pPr>
        <w:jc w:val="center"/>
        <w:rPr>
          <w:rFonts w:hint="eastAsia"/>
        </w:rPr>
      </w:pPr>
      <w:r>
        <w:t>--  --  --  --  --</w:t>
      </w:r>
    </w:p>
    <w:sectPr w:rsidR="00000000">
      <w:headerReference w:type="even" r:id="rId7"/>
      <w:headerReference w:type="default" r:id="rId8"/>
      <w:footerReference w:type="even" r:id="rId9"/>
      <w:footerReference w:type="default" r:id="rId10"/>
      <w:headerReference w:type="first" r:id="rId11"/>
      <w:footerReference w:type="first" r:id="rId12"/>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07-41120 (C)</w:t>
          </w:r>
        </w:p>
      </w:tc>
      <w:tc>
        <w:tcPr>
          <w:tcW w:w="1050" w:type="dxa"/>
        </w:tcPr>
        <w:p w:rsidR="00000000" w:rsidRDefault="00000000">
          <w:pPr>
            <w:pStyle w:val="Footer"/>
          </w:pPr>
          <w:r>
            <w:t>190407</w:t>
          </w:r>
        </w:p>
      </w:tc>
      <w:tc>
        <w:tcPr>
          <w:tcW w:w="6061" w:type="dxa"/>
        </w:tcPr>
        <w:p w:rsidR="00000000" w:rsidRDefault="00000000">
          <w:pPr>
            <w:pStyle w:val="Footer"/>
          </w:pPr>
          <w:r>
            <w:t>190407</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t>E/C.12/BEL/Q/3</w:t>
    </w:r>
  </w:p>
  <w:p w:rsidR="00000000" w:rsidRDefault="00000000">
    <w:pPr>
      <w:pStyle w:val="Header"/>
      <w:rPr>
        <w:rStyle w:val="PageNumbe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rPr>
        <w:rFonts w:hint="eastAsia"/>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ab/>
    </w:r>
    <w:r>
      <w:rPr>
        <w:lang w:val="en-US"/>
      </w:rPr>
      <w:tab/>
    </w:r>
    <w:r>
      <w:rPr>
        <w:lang w:val="en-US"/>
      </w:rPr>
      <w:tab/>
    </w:r>
    <w:r>
      <w:rPr>
        <w:lang w:val="en-US"/>
      </w:rPr>
      <w:tab/>
    </w:r>
    <w:r>
      <w:t>E/C.12/BEL/Q/3</w:t>
    </w:r>
  </w:p>
  <w:p w:rsidR="00000000" w:rsidRDefault="00000000">
    <w:pPr>
      <w:pStyle w:val="Header"/>
      <w:rPr>
        <w:rStyle w:val="PageNumbe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rPr>
        <w:rFonts w:hint="eastAsia"/>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5305"/>
      <w:gridCol w:w="2534"/>
    </w:tblGrid>
    <w:tr w:rsidR="00000000">
      <w:tblPrEx>
        <w:tblCellMar>
          <w:top w:w="0" w:type="dxa"/>
          <w:bottom w:w="0" w:type="dxa"/>
        </w:tblCellMar>
      </w:tblPrEx>
      <w:tc>
        <w:tcPr>
          <w:tcW w:w="1625" w:type="dxa"/>
          <w:tcBorders>
            <w:top w:val="nil"/>
            <w:left w:val="nil"/>
            <w:bottom w:val="single" w:sz="4" w:space="0" w:color="auto"/>
            <w:right w:val="nil"/>
          </w:tcBorders>
          <w:vAlign w:val="center"/>
        </w:tcPr>
        <w:p w:rsidR="00000000" w:rsidRDefault="00000000">
          <w:pPr>
            <w:pStyle w:val="1L"/>
            <w:framePr w:w="0" w:hRule="auto" w:hSpace="0" w:wrap="auto" w:vAnchor="margin" w:hAnchor="text" w:yAlign="inline"/>
            <w:rPr>
              <w:rFonts w:ascii="Time New Roman" w:hAnsi="Time New Roman"/>
              <w:b/>
            </w:rPr>
          </w:pPr>
          <w:r>
            <w:rPr>
              <w:rFonts w:hint="eastAsia"/>
            </w:rPr>
            <w:t>联合国</w:t>
          </w:r>
        </w:p>
      </w:tc>
      <w:tc>
        <w:tcPr>
          <w:tcW w:w="5305" w:type="dxa"/>
          <w:tcBorders>
            <w:top w:val="nil"/>
            <w:left w:val="nil"/>
            <w:bottom w:val="single" w:sz="4" w:space="0" w:color="auto"/>
            <w:right w:val="nil"/>
          </w:tcBorders>
        </w:tcPr>
        <w:p w:rsidR="00000000" w:rsidRDefault="00000000">
          <w:pPr>
            <w:pStyle w:val="1L"/>
            <w:framePr w:w="0" w:hRule="auto" w:hSpace="0" w:wrap="auto" w:vAnchor="margin" w:hAnchor="text" w:yAlign="inline"/>
          </w:pPr>
        </w:p>
      </w:tc>
      <w:tc>
        <w:tcPr>
          <w:tcW w:w="2534" w:type="dxa"/>
          <w:tcBorders>
            <w:top w:val="nil"/>
            <w:left w:val="nil"/>
            <w:bottom w:val="single" w:sz="4" w:space="0" w:color="auto"/>
            <w:right w:val="nil"/>
          </w:tcBorders>
          <w:vAlign w:val="bottom"/>
        </w:tcPr>
        <w:p w:rsidR="00000000" w:rsidRDefault="00000000">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Start w:id="8" w:name="_MON_1238501123"/>
    <w:bookmarkEnd w:id="0"/>
    <w:bookmarkEnd w:id="1"/>
    <w:bookmarkEnd w:id="2"/>
    <w:bookmarkEnd w:id="3"/>
    <w:bookmarkEnd w:id="4"/>
    <w:bookmarkEnd w:id="5"/>
    <w:bookmarkEnd w:id="6"/>
    <w:bookmarkEnd w:id="7"/>
    <w:bookmarkEnd w:id="8"/>
    <w:tr w:rsidR="00000000">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6251" r:id="rId2"/>
            </w:object>
          </w:r>
        </w:p>
      </w:tc>
      <w:tc>
        <w:tcPr>
          <w:tcW w:w="5305" w:type="dxa"/>
          <w:tcBorders>
            <w:top w:val="single" w:sz="4" w:space="0" w:color="auto"/>
            <w:left w:val="nil"/>
            <w:bottom w:val="single" w:sz="36" w:space="0" w:color="auto"/>
            <w:right w:val="nil"/>
          </w:tcBorders>
        </w:tcPr>
        <w:p w:rsidR="00000000" w:rsidRDefault="00000000">
          <w:pPr>
            <w:pStyle w:val="1m1"/>
            <w:spacing w:before="360"/>
            <w:rPr>
              <w:spacing w:val="20"/>
            </w:rPr>
          </w:pPr>
          <w:r>
            <w:rPr>
              <w:rFonts w:hint="eastAsia"/>
              <w:spacing w:val="20"/>
            </w:rPr>
            <w:t>经济及社会理事会</w:t>
          </w:r>
        </w:p>
      </w:tc>
      <w:tc>
        <w:tcPr>
          <w:tcW w:w="2534" w:type="dxa"/>
          <w:tcBorders>
            <w:top w:val="single" w:sz="4" w:space="0" w:color="auto"/>
            <w:left w:val="nil"/>
            <w:bottom w:val="single" w:sz="36" w:space="0" w:color="auto"/>
            <w:right w:val="nil"/>
          </w:tcBorders>
        </w:tcPr>
        <w:p w:rsidR="00000000" w:rsidRDefault="00000000">
          <w:pPr>
            <w:pStyle w:val="Header"/>
            <w:rPr>
              <w:sz w:val="28"/>
              <w:lang w:eastAsia="zh-CN"/>
            </w:rPr>
          </w:pPr>
        </w:p>
        <w:p w:rsidR="00000000" w:rsidRDefault="00000000">
          <w:pPr>
            <w:pStyle w:val="Header"/>
          </w:pPr>
          <w:r>
            <w:t>Distr.</w:t>
          </w:r>
        </w:p>
        <w:p w:rsidR="00000000" w:rsidRDefault="00000000">
          <w:pPr>
            <w:pStyle w:val="Header"/>
          </w:pPr>
          <w:r>
            <w:t>GENERAL</w:t>
          </w:r>
        </w:p>
        <w:p w:rsidR="00000000" w:rsidRDefault="00000000">
          <w:pPr>
            <w:pStyle w:val="Header"/>
            <w:rPr>
              <w:sz w:val="12"/>
            </w:rPr>
          </w:pPr>
        </w:p>
        <w:p w:rsidR="00000000" w:rsidRDefault="00000000">
          <w:pPr>
            <w:pStyle w:val="Header"/>
          </w:pPr>
          <w:r>
            <w:t>E/C.12/BEL/Q/3</w:t>
          </w:r>
        </w:p>
        <w:p w:rsidR="00000000" w:rsidRDefault="00000000">
          <w:pPr>
            <w:pStyle w:val="Header"/>
          </w:pPr>
          <w:r>
            <w:t>10 April 2007</w:t>
          </w:r>
        </w:p>
        <w:p w:rsidR="00000000" w:rsidRDefault="00000000">
          <w:pPr>
            <w:pStyle w:val="Header"/>
            <w:rPr>
              <w:sz w:val="12"/>
            </w:rPr>
          </w:pPr>
        </w:p>
        <w:p w:rsidR="00000000" w:rsidRDefault="00000000">
          <w:pPr>
            <w:pStyle w:val="Header"/>
          </w:pPr>
          <w:r>
            <w:t>CHINESE</w:t>
          </w:r>
        </w:p>
        <w:p w:rsidR="00000000" w:rsidRDefault="00000000">
          <w:pPr>
            <w:pStyle w:val="Header"/>
            <w:tabs>
              <w:tab w:val="clear" w:pos="992"/>
              <w:tab w:val="left" w:pos="993"/>
            </w:tabs>
          </w:pPr>
          <w:r>
            <w:t>Original:</w:t>
          </w:r>
          <w:r>
            <w:tab/>
            <w:t>ENGLISH</w:t>
          </w:r>
        </w:p>
        <w:p w:rsidR="00000000" w:rsidRDefault="00000000">
          <w:pPr>
            <w:pStyle w:val="Header"/>
            <w:tabs>
              <w:tab w:val="clear" w:pos="992"/>
              <w:tab w:val="left" w:pos="993"/>
            </w:tabs>
          </w:pPr>
        </w:p>
        <w:p w:rsidR="00000000" w:rsidRDefault="00000000">
          <w:pPr>
            <w:pStyle w:val="Header"/>
          </w:pPr>
        </w:p>
      </w:tc>
    </w:tr>
    <w:tr w:rsidR="00000000">
      <w:tblPrEx>
        <w:tblCellMar>
          <w:top w:w="0" w:type="dxa"/>
          <w:bottom w:w="0" w:type="dxa"/>
        </w:tblCellMar>
      </w:tblPrEx>
      <w:trPr>
        <w:trHeight w:hRule="exact" w:val="284"/>
      </w:trPr>
      <w:tc>
        <w:tcPr>
          <w:tcW w:w="1625" w:type="dxa"/>
          <w:tcBorders>
            <w:top w:val="single" w:sz="36" w:space="0" w:color="auto"/>
            <w:left w:val="nil"/>
            <w:bottom w:val="nil"/>
            <w:right w:val="nil"/>
          </w:tcBorders>
          <w:noWrap/>
        </w:tcPr>
        <w:p w:rsidR="00000000" w:rsidRDefault="00000000">
          <w:pPr>
            <w:rPr>
              <w:sz w:val="16"/>
            </w:rPr>
          </w:pPr>
        </w:p>
      </w:tc>
      <w:tc>
        <w:tcPr>
          <w:tcW w:w="5305" w:type="dxa"/>
          <w:tcBorders>
            <w:top w:val="single" w:sz="36" w:space="0" w:color="auto"/>
            <w:left w:val="nil"/>
            <w:bottom w:val="nil"/>
            <w:right w:val="nil"/>
          </w:tcBorders>
          <w:noWrap/>
        </w:tcPr>
        <w:p w:rsidR="00000000" w:rsidRDefault="00000000">
          <w:pPr>
            <w:pStyle w:val="1m1"/>
            <w:spacing w:line="240" w:lineRule="auto"/>
            <w:rPr>
              <w:rFonts w:hint="eastAsia"/>
              <w:sz w:val="16"/>
            </w:rPr>
          </w:pPr>
        </w:p>
      </w:tc>
      <w:tc>
        <w:tcPr>
          <w:tcW w:w="2534" w:type="dxa"/>
          <w:tcBorders>
            <w:top w:val="single" w:sz="36" w:space="0" w:color="auto"/>
            <w:left w:val="nil"/>
            <w:bottom w:val="nil"/>
            <w:right w:val="nil"/>
          </w:tcBorders>
          <w:noWrap/>
        </w:tcPr>
        <w:p w:rsidR="00000000" w:rsidRDefault="00000000">
          <w:pPr>
            <w:rPr>
              <w:sz w:val="16"/>
            </w:rPr>
          </w:pPr>
        </w:p>
      </w:tc>
    </w:tr>
  </w:tbl>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4">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5">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8">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2">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3">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6">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17">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19">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0">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2">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3">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25">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26">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27">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8">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29">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30">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3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32">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33">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4">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35">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36">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37">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0">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1">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42">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43">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44">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46">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47">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48">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49">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50">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51">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2">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53">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54">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5">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6">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7">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58">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59">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0">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61">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62">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63">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4">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65">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66">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7">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8">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9">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0">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72">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4">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75">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76">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77">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8">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24"/>
  </w:num>
  <w:num w:numId="2">
    <w:abstractNumId w:val="25"/>
  </w:num>
  <w:num w:numId="3">
    <w:abstractNumId w:val="46"/>
  </w:num>
  <w:num w:numId="4">
    <w:abstractNumId w:val="29"/>
  </w:num>
  <w:num w:numId="5">
    <w:abstractNumId w:val="73"/>
  </w:num>
  <w:num w:numId="6">
    <w:abstractNumId w:val="0"/>
  </w:num>
  <w:num w:numId="7">
    <w:abstractNumId w:val="39"/>
  </w:num>
  <w:num w:numId="8">
    <w:abstractNumId w:val="22"/>
  </w:num>
  <w:num w:numId="9">
    <w:abstractNumId w:val="8"/>
  </w:num>
  <w:num w:numId="10">
    <w:abstractNumId w:val="13"/>
  </w:num>
  <w:num w:numId="11">
    <w:abstractNumId w:val="67"/>
  </w:num>
  <w:num w:numId="12">
    <w:abstractNumId w:val="16"/>
  </w:num>
  <w:num w:numId="13">
    <w:abstractNumId w:val="71"/>
  </w:num>
  <w:num w:numId="14">
    <w:abstractNumId w:val="43"/>
  </w:num>
  <w:num w:numId="15">
    <w:abstractNumId w:val="47"/>
  </w:num>
  <w:num w:numId="16">
    <w:abstractNumId w:val="4"/>
  </w:num>
  <w:num w:numId="17">
    <w:abstractNumId w:val="77"/>
  </w:num>
  <w:num w:numId="18">
    <w:abstractNumId w:val="66"/>
  </w:num>
  <w:num w:numId="19">
    <w:abstractNumId w:val="63"/>
  </w:num>
  <w:num w:numId="20">
    <w:abstractNumId w:val="6"/>
  </w:num>
  <w:num w:numId="21">
    <w:abstractNumId w:val="45"/>
  </w:num>
  <w:num w:numId="22">
    <w:abstractNumId w:val="49"/>
  </w:num>
  <w:num w:numId="23">
    <w:abstractNumId w:val="75"/>
  </w:num>
  <w:num w:numId="24">
    <w:abstractNumId w:val="57"/>
  </w:num>
  <w:num w:numId="25">
    <w:abstractNumId w:val="55"/>
  </w:num>
  <w:num w:numId="26">
    <w:abstractNumId w:val="38"/>
  </w:num>
  <w:num w:numId="27">
    <w:abstractNumId w:val="10"/>
  </w:num>
  <w:num w:numId="28">
    <w:abstractNumId w:val="7"/>
  </w:num>
  <w:num w:numId="29">
    <w:abstractNumId w:val="78"/>
  </w:num>
  <w:num w:numId="30">
    <w:abstractNumId w:val="1"/>
  </w:num>
  <w:num w:numId="31">
    <w:abstractNumId w:val="15"/>
  </w:num>
  <w:num w:numId="32">
    <w:abstractNumId w:val="46"/>
  </w:num>
  <w:num w:numId="33">
    <w:abstractNumId w:val="29"/>
  </w:num>
  <w:num w:numId="34">
    <w:abstractNumId w:val="70"/>
  </w:num>
  <w:num w:numId="35">
    <w:abstractNumId w:val="23"/>
  </w:num>
  <w:num w:numId="36">
    <w:abstractNumId w:val="62"/>
  </w:num>
  <w:num w:numId="37">
    <w:abstractNumId w:val="61"/>
  </w:num>
  <w:num w:numId="38">
    <w:abstractNumId w:val="30"/>
  </w:num>
  <w:num w:numId="39">
    <w:abstractNumId w:val="50"/>
  </w:num>
  <w:num w:numId="40">
    <w:abstractNumId w:val="54"/>
  </w:num>
  <w:num w:numId="41">
    <w:abstractNumId w:val="68"/>
  </w:num>
  <w:num w:numId="42">
    <w:abstractNumId w:val="5"/>
  </w:num>
  <w:num w:numId="43">
    <w:abstractNumId w:val="27"/>
  </w:num>
  <w:num w:numId="44">
    <w:abstractNumId w:val="29"/>
  </w:num>
  <w:num w:numId="45">
    <w:abstractNumId w:val="46"/>
  </w:num>
  <w:num w:numId="46">
    <w:abstractNumId w:val="29"/>
  </w:num>
  <w:num w:numId="47">
    <w:abstractNumId w:val="29"/>
  </w:num>
  <w:num w:numId="48">
    <w:abstractNumId w:val="46"/>
  </w:num>
  <w:num w:numId="49">
    <w:abstractNumId w:val="46"/>
  </w:num>
  <w:num w:numId="50">
    <w:abstractNumId w:val="29"/>
  </w:num>
  <w:num w:numId="51">
    <w:abstractNumId w:val="46"/>
  </w:num>
  <w:num w:numId="52">
    <w:abstractNumId w:val="29"/>
  </w:num>
  <w:num w:numId="53">
    <w:abstractNumId w:val="29"/>
  </w:num>
  <w:num w:numId="54">
    <w:abstractNumId w:val="46"/>
  </w:num>
  <w:num w:numId="55">
    <w:abstractNumId w:val="29"/>
  </w:num>
  <w:num w:numId="56">
    <w:abstractNumId w:val="46"/>
  </w:num>
  <w:num w:numId="57">
    <w:abstractNumId w:val="29"/>
  </w:num>
  <w:num w:numId="58">
    <w:abstractNumId w:val="46"/>
  </w:num>
  <w:num w:numId="59">
    <w:abstractNumId w:val="76"/>
  </w:num>
  <w:num w:numId="60">
    <w:abstractNumId w:val="53"/>
  </w:num>
  <w:num w:numId="61">
    <w:abstractNumId w:val="64"/>
  </w:num>
  <w:num w:numId="62">
    <w:abstractNumId w:val="21"/>
  </w:num>
  <w:num w:numId="63">
    <w:abstractNumId w:val="28"/>
  </w:num>
  <w:num w:numId="64">
    <w:abstractNumId w:val="12"/>
  </w:num>
  <w:num w:numId="65">
    <w:abstractNumId w:val="58"/>
  </w:num>
  <w:num w:numId="66">
    <w:abstractNumId w:val="51"/>
  </w:num>
  <w:num w:numId="67">
    <w:abstractNumId w:val="33"/>
  </w:num>
  <w:num w:numId="68">
    <w:abstractNumId w:val="14"/>
  </w:num>
  <w:num w:numId="69">
    <w:abstractNumId w:val="52"/>
  </w:num>
  <w:num w:numId="70">
    <w:abstractNumId w:val="11"/>
  </w:num>
  <w:num w:numId="71">
    <w:abstractNumId w:val="32"/>
  </w:num>
  <w:num w:numId="72">
    <w:abstractNumId w:val="41"/>
  </w:num>
  <w:num w:numId="73">
    <w:abstractNumId w:val="74"/>
  </w:num>
  <w:num w:numId="74">
    <w:abstractNumId w:val="48"/>
  </w:num>
  <w:num w:numId="75">
    <w:abstractNumId w:val="34"/>
  </w:num>
  <w:num w:numId="76">
    <w:abstractNumId w:val="26"/>
  </w:num>
  <w:num w:numId="77">
    <w:abstractNumId w:val="3"/>
  </w:num>
  <w:num w:numId="78">
    <w:abstractNumId w:val="3"/>
  </w:num>
  <w:num w:numId="79">
    <w:abstractNumId w:val="29"/>
  </w:num>
  <w:num w:numId="80">
    <w:abstractNumId w:val="3"/>
  </w:num>
  <w:num w:numId="81">
    <w:abstractNumId w:val="46"/>
  </w:num>
  <w:num w:numId="82">
    <w:abstractNumId w:val="29"/>
  </w:num>
  <w:num w:numId="83">
    <w:abstractNumId w:val="42"/>
  </w:num>
  <w:num w:numId="84">
    <w:abstractNumId w:val="18"/>
  </w:num>
  <w:num w:numId="85">
    <w:abstractNumId w:val="60"/>
  </w:num>
  <w:num w:numId="86">
    <w:abstractNumId w:val="59"/>
  </w:num>
  <w:num w:numId="87">
    <w:abstractNumId w:val="2"/>
  </w:num>
  <w:num w:numId="88">
    <w:abstractNumId w:val="44"/>
  </w:num>
  <w:num w:numId="89">
    <w:abstractNumId w:val="17"/>
  </w:num>
  <w:num w:numId="90">
    <w:abstractNumId w:val="40"/>
  </w:num>
  <w:num w:numId="91">
    <w:abstractNumId w:val="9"/>
  </w:num>
  <w:num w:numId="92">
    <w:abstractNumId w:val="56"/>
  </w:num>
  <w:num w:numId="93">
    <w:abstractNumId w:val="37"/>
  </w:num>
  <w:num w:numId="94">
    <w:abstractNumId w:val="69"/>
  </w:num>
  <w:num w:numId="95">
    <w:abstractNumId w:val="65"/>
  </w:num>
  <w:num w:numId="96">
    <w:abstractNumId w:val="19"/>
  </w:num>
  <w:num w:numId="97">
    <w:abstractNumId w:val="35"/>
  </w:num>
  <w:num w:numId="98">
    <w:abstractNumId w:val="36"/>
  </w:num>
  <w:num w:numId="99">
    <w:abstractNumId w:val="20"/>
  </w:num>
  <w:num w:numId="100">
    <w:abstractNumId w:val="72"/>
  </w:num>
  <w:num w:numId="101">
    <w:abstractNumId w:val="72"/>
  </w:num>
  <w:num w:numId="102">
    <w:abstractNumId w:val="20"/>
  </w:num>
  <w:num w:numId="103">
    <w:abstractNumId w:val="20"/>
  </w:num>
  <w:num w:numId="104">
    <w:abstractNumId w:val="72"/>
  </w:num>
  <w:num w:numId="105">
    <w:abstractNumId w:val="20"/>
  </w:num>
  <w:num w:numId="10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semiHidden/>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81"/>
      </w:numPr>
      <w:tabs>
        <w:tab w:val="clear" w:pos="510"/>
      </w:tabs>
    </w:pPr>
  </w:style>
  <w:style w:type="paragraph" w:customStyle="1" w:styleId="a">
    <w:name w:val="悬挂符号●"/>
    <w:basedOn w:val="Normal"/>
    <w:pPr>
      <w:numPr>
        <w:numId w:val="8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semiHidden/>
    <w:pPr>
      <w:widowControl w:val="0"/>
    </w:pPr>
    <w:rPr>
      <w:snapToGrid/>
    </w:rPr>
  </w:style>
  <w:style w:type="paragraph" w:customStyle="1" w:styleId="ac">
    <w:name w:val="表中文字"/>
    <w:basedOn w:val="Normal"/>
    <w:pPr>
      <w:spacing w:line="320" w:lineRule="exact"/>
    </w:pPr>
    <w:rPr>
      <w:spacing w:val="0"/>
      <w:sz w:val="21"/>
    </w:rPr>
  </w:style>
  <w:style w:type="paragraph" w:customStyle="1" w:styleId="ad">
    <w:name w:val="正文缩进"/>
    <w:basedOn w:val="Normal"/>
    <w:pPr>
      <w:ind w:left="1021" w:firstLine="510"/>
    </w:pPr>
  </w:style>
  <w:style w:type="paragraph" w:customStyle="1" w:styleId="ae">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f">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106"/>
      </w:numPr>
      <w:tabs>
        <w:tab w:val="clear" w:pos="360"/>
        <w:tab w:val="left" w:pos="737"/>
      </w:tabs>
      <w:overflowPunct/>
      <w:adjustRightInd/>
      <w:snapToGrid/>
      <w:spacing w:after="240" w:line="240" w:lineRule="auto"/>
      <w:jc w:val="left"/>
    </w:pPr>
    <w:rPr>
      <w:rFonts w:eastAsia="PMingLiU"/>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218</Words>
  <Characters>240</Characters>
  <Application>Microsoft Office Word</Application>
  <DocSecurity>4</DocSecurity>
  <Lines>9</Lines>
  <Paragraphs>4</Paragraphs>
  <ScaleCrop>false</ScaleCrop>
  <HeadingPairs>
    <vt:vector size="2" baseType="variant">
      <vt:variant>
        <vt:lpstr>题目</vt:lpstr>
      </vt:variant>
      <vt:variant>
        <vt:i4>1</vt:i4>
      </vt:variant>
    </vt:vector>
  </HeadingPairs>
  <TitlesOfParts>
    <vt:vector size="1" baseType="lpstr">
      <vt:lpstr>E.dot</vt:lpstr>
    </vt:vector>
  </TitlesOfParts>
  <Company>TPS_CHI</Company>
  <LinksUpToDate>false</LinksUpToDate>
  <CharactersWithSpaces>1527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CSD</dc:creator>
  <cp:keywords/>
  <dc:description/>
  <cp:lastModifiedBy>desk</cp:lastModifiedBy>
  <cp:revision>3</cp:revision>
  <cp:lastPrinted>2007-04-19T14:19:00Z</cp:lastPrinted>
  <dcterms:created xsi:type="dcterms:W3CDTF">2007-04-19T14:19:00Z</dcterms:created>
  <dcterms:modified xsi:type="dcterms:W3CDTF">2007-04-19T14:19:00Z</dcterms:modified>
</cp:coreProperties>
</file>