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5227" w:rsidRDefault="00F65227" w:rsidP="00F65227">
      <w:pPr>
        <w:spacing w:line="60" w:lineRule="exact"/>
        <w:rPr>
          <w:sz w:val="6"/>
        </w:rPr>
        <w:sectPr w:rsidR="00F65227" w:rsidSect="00F65227">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Pr>
        <w:commentReference w:id="0"/>
      </w:r>
    </w:p>
    <w:p w:rsidR="00F65227" w:rsidRDefault="00F65227" w:rsidP="00F65227">
      <w:pPr>
        <w:spacing w:line="60" w:lineRule="exact"/>
        <w:rPr>
          <w:rFonts w:hint="eastAsia"/>
          <w:sz w:val="6"/>
        </w:rPr>
      </w:pPr>
    </w:p>
    <w:p w:rsidR="002512E2" w:rsidRDefault="002512E2" w:rsidP="005B6D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59" w:hanging="1267"/>
        <w:rPr>
          <w:rFonts w:hint="eastAsia"/>
        </w:rPr>
      </w:pPr>
      <w:r>
        <w:rPr>
          <w:rFonts w:hint="eastAsia"/>
        </w:rPr>
        <w:t>消除对妇女歧视委员会</w:t>
      </w:r>
    </w:p>
    <w:p w:rsidR="002512E2" w:rsidRDefault="002512E2" w:rsidP="005B6D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59" w:hanging="1267"/>
        <w:rPr>
          <w:rFonts w:hint="eastAsia"/>
        </w:rPr>
      </w:pPr>
      <w:r>
        <w:rPr>
          <w:rFonts w:hint="eastAsia"/>
        </w:rPr>
        <w:t>第三十五届会议会前工作组</w:t>
      </w:r>
    </w:p>
    <w:p w:rsidR="002512E2" w:rsidRDefault="002512E2" w:rsidP="005B6D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right="1259"/>
        <w:rPr>
          <w:rFonts w:hint="eastAsia"/>
        </w:rPr>
      </w:pPr>
      <w:r>
        <w:rPr>
          <w:rFonts w:hint="eastAsia"/>
        </w:rPr>
        <w:t>2006年5月15日至6月2日</w:t>
      </w:r>
    </w:p>
    <w:p w:rsidR="002512E2" w:rsidRDefault="002512E2" w:rsidP="002512E2">
      <w:pPr>
        <w:pStyle w:val="SingleTxt"/>
      </w:pPr>
    </w:p>
    <w:p w:rsidR="002512E2" w:rsidRDefault="002512E2" w:rsidP="005B6DD0">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关于审议定期报告的各种问题的清单</w:t>
      </w:r>
    </w:p>
    <w:p w:rsidR="002512E2" w:rsidRDefault="002512E2" w:rsidP="005B6D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危地马拉</w:t>
      </w:r>
    </w:p>
    <w:p w:rsidR="005B6DD0" w:rsidRPr="005B6DD0" w:rsidRDefault="005B6DD0" w:rsidP="005B6D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0" w:after="0" w:line="120" w:lineRule="exact"/>
        <w:ind w:left="2534" w:right="1260" w:hanging="1267"/>
        <w:rPr>
          <w:rFonts w:hint="eastAsia"/>
          <w:sz w:val="10"/>
        </w:rPr>
      </w:pPr>
    </w:p>
    <w:p w:rsidR="002512E2" w:rsidRPr="005B6DD0" w:rsidRDefault="002512E2" w:rsidP="005B6D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导言</w:t>
      </w:r>
    </w:p>
    <w:p w:rsidR="002512E2" w:rsidRDefault="002512E2" w:rsidP="002512E2">
      <w:pPr>
        <w:pStyle w:val="SingleTxt"/>
        <w:rPr>
          <w:rFonts w:hint="eastAsia"/>
        </w:rPr>
      </w:pPr>
      <w:r>
        <w:rPr>
          <w:rFonts w:hint="eastAsia"/>
        </w:rPr>
        <w:t>1</w:t>
      </w:r>
      <w:r w:rsidR="005B6DD0">
        <w:rPr>
          <w:rFonts w:hint="eastAsia"/>
        </w:rPr>
        <w:t>.</w:t>
      </w:r>
      <w:r w:rsidR="005B6DD0">
        <w:rPr>
          <w:rFonts w:hint="eastAsia"/>
        </w:rPr>
        <w:tab/>
      </w:r>
      <w:r>
        <w:rPr>
          <w:rFonts w:hint="eastAsia"/>
        </w:rPr>
        <w:t>会前工作组审查危地马拉第六次定期报告（CEDAW/C/GUA/6/和Corr.1）。</w:t>
      </w:r>
    </w:p>
    <w:p w:rsidR="002512E2" w:rsidRPr="005B6DD0" w:rsidRDefault="002512E2" w:rsidP="002512E2">
      <w:pPr>
        <w:pStyle w:val="SingleTxt"/>
        <w:rPr>
          <w:rFonts w:ascii="SimHei" w:eastAsia="SimHei" w:hint="eastAsia"/>
          <w:color w:val="FF0000"/>
        </w:rPr>
      </w:pPr>
      <w:r w:rsidRPr="005B6DD0">
        <w:rPr>
          <w:rFonts w:ascii="SimHei" w:eastAsia="SimHei" w:hint="eastAsia"/>
          <w:color w:val="FF0000"/>
        </w:rPr>
        <w:t>宪法、法律和国家机制</w:t>
      </w:r>
    </w:p>
    <w:p w:rsidR="002512E2" w:rsidRDefault="002512E2" w:rsidP="002512E2">
      <w:pPr>
        <w:pStyle w:val="SingleTxt"/>
        <w:rPr>
          <w:rFonts w:hint="eastAsia"/>
        </w:rPr>
      </w:pPr>
      <w:r>
        <w:rPr>
          <w:rFonts w:hint="eastAsia"/>
        </w:rPr>
        <w:t>2</w:t>
      </w:r>
      <w:r w:rsidR="005B6DD0">
        <w:rPr>
          <w:rFonts w:hint="eastAsia"/>
        </w:rPr>
        <w:t>.</w:t>
      </w:r>
      <w:r w:rsidR="005B6DD0">
        <w:rPr>
          <w:rFonts w:hint="eastAsia"/>
        </w:rPr>
        <w:tab/>
      </w:r>
      <w:r>
        <w:rPr>
          <w:rFonts w:hint="eastAsia"/>
        </w:rPr>
        <w:t>在审议第三、第四和第五次报告时，委员会对各个国家妇女机制之间明显没有协调表示不安，请缔约国提供关于这些机制可利用的经济和人力资源的资料。请提供以下具体资料：说明国家妇女事务处和总统妇女事务秘书处在协调妇女政策中的地位和作用的差别以及与第4至43段所述的实体的相互作用。</w:t>
      </w:r>
    </w:p>
    <w:p w:rsidR="002512E2" w:rsidRDefault="002512E2" w:rsidP="002512E2">
      <w:pPr>
        <w:pStyle w:val="SingleTxt"/>
        <w:rPr>
          <w:rFonts w:hint="eastAsia"/>
        </w:rPr>
      </w:pPr>
      <w:r>
        <w:rPr>
          <w:rFonts w:hint="eastAsia"/>
        </w:rPr>
        <w:t>3</w:t>
      </w:r>
      <w:r w:rsidR="005B6DD0">
        <w:rPr>
          <w:rFonts w:hint="eastAsia"/>
        </w:rPr>
        <w:t>.</w:t>
      </w:r>
      <w:r w:rsidR="005B6DD0">
        <w:rPr>
          <w:rFonts w:hint="eastAsia"/>
        </w:rPr>
        <w:tab/>
      </w:r>
      <w:r>
        <w:rPr>
          <w:rFonts w:hint="eastAsia"/>
        </w:rPr>
        <w:t>在第五次定期报告</w:t>
      </w:r>
      <w:r w:rsidR="00AF071A">
        <w:rPr>
          <w:rFonts w:hint="eastAsia"/>
        </w:rPr>
        <w:t>（</w:t>
      </w:r>
      <w:r>
        <w:rPr>
          <w:rFonts w:hint="eastAsia"/>
        </w:rPr>
        <w:t>CEDAW/C/GUA/5</w:t>
      </w:r>
      <w:r w:rsidR="00AF071A">
        <w:rPr>
          <w:rFonts w:hint="eastAsia"/>
        </w:rPr>
        <w:t>）</w:t>
      </w:r>
      <w:r>
        <w:rPr>
          <w:rFonts w:hint="eastAsia"/>
        </w:rPr>
        <w:t>中指出总统妇女事务秘书处的职能之一是对现行法律法规做分析，以促进修订法律，顾及妇女的需要。请说明这项分析活动的结果，所促进的具体修订和现有进展情况。</w:t>
      </w:r>
    </w:p>
    <w:p w:rsidR="002512E2" w:rsidRDefault="002512E2" w:rsidP="002512E2">
      <w:pPr>
        <w:pStyle w:val="SingleTxt"/>
        <w:rPr>
          <w:rFonts w:hint="eastAsia"/>
        </w:rPr>
      </w:pPr>
      <w:r>
        <w:rPr>
          <w:rFonts w:hint="eastAsia"/>
        </w:rPr>
        <w:t>4</w:t>
      </w:r>
      <w:r w:rsidR="005B6DD0">
        <w:rPr>
          <w:rFonts w:hint="eastAsia"/>
        </w:rPr>
        <w:t>.</w:t>
      </w:r>
      <w:r w:rsidR="005B6DD0">
        <w:rPr>
          <w:rFonts w:hint="eastAsia"/>
        </w:rPr>
        <w:tab/>
      </w:r>
      <w:r>
        <w:rPr>
          <w:rFonts w:hint="eastAsia"/>
        </w:rPr>
        <w:t>报告指出维护土著妇女权利办事处的更大影响，发挥维护土著妇女权利的基本作用（第13段）。请说明该办事处的结构，是否在所有部门存在，所得的人力和财政资源和数量是否足够，以便能有效工作。</w:t>
      </w:r>
    </w:p>
    <w:p w:rsidR="002512E2" w:rsidRDefault="002512E2" w:rsidP="002512E2">
      <w:pPr>
        <w:pStyle w:val="SingleTxt"/>
        <w:rPr>
          <w:rFonts w:hint="eastAsia"/>
        </w:rPr>
      </w:pPr>
      <w:r>
        <w:rPr>
          <w:rFonts w:hint="eastAsia"/>
        </w:rPr>
        <w:t>5</w:t>
      </w:r>
      <w:r w:rsidR="005B6DD0">
        <w:rPr>
          <w:rFonts w:hint="eastAsia"/>
        </w:rPr>
        <w:t>.</w:t>
      </w:r>
      <w:r w:rsidR="005B6DD0">
        <w:rPr>
          <w:rFonts w:hint="eastAsia"/>
        </w:rPr>
        <w:tab/>
      </w:r>
      <w:r>
        <w:rPr>
          <w:rFonts w:hint="eastAsia"/>
        </w:rPr>
        <w:t>在第三、第四和第五次报告的最后意见中委员会请缔约国评估方案的成果，并在下次报告编入数据。请说明危地马拉妇女提高地位和发展政策和2001</w:t>
      </w:r>
      <w:r w:rsidR="00AF071A">
        <w:rPr>
          <w:rFonts w:hint="eastAsia"/>
        </w:rPr>
        <w:t>-</w:t>
      </w:r>
      <w:r>
        <w:rPr>
          <w:rFonts w:hint="eastAsia"/>
        </w:rPr>
        <w:t>2006年机会均等计划的影响以及监测和评价有效执行情况的现有机制。请在回答中指出在制定本计划时是否考虑对1998</w:t>
      </w:r>
      <w:r w:rsidR="00AF071A">
        <w:rPr>
          <w:rFonts w:hint="eastAsia"/>
        </w:rPr>
        <w:t>-</w:t>
      </w:r>
      <w:r>
        <w:rPr>
          <w:rFonts w:hint="eastAsia"/>
        </w:rPr>
        <w:t>2001年机会均等计划做出评价。</w:t>
      </w:r>
    </w:p>
    <w:p w:rsidR="002512E2" w:rsidRDefault="002512E2" w:rsidP="002512E2">
      <w:pPr>
        <w:pStyle w:val="SingleTxt"/>
        <w:rPr>
          <w:rFonts w:hint="eastAsia"/>
        </w:rPr>
      </w:pPr>
      <w:r>
        <w:rPr>
          <w:rFonts w:hint="eastAsia"/>
        </w:rPr>
        <w:t>6</w:t>
      </w:r>
      <w:r w:rsidR="005B6DD0">
        <w:rPr>
          <w:rFonts w:hint="eastAsia"/>
        </w:rPr>
        <w:t>.</w:t>
      </w:r>
      <w:r w:rsidR="005B6DD0">
        <w:rPr>
          <w:rFonts w:hint="eastAsia"/>
        </w:rPr>
        <w:tab/>
      </w:r>
      <w:r>
        <w:rPr>
          <w:rFonts w:hint="eastAsia"/>
        </w:rPr>
        <w:t>请说明为将家庭暴力（第74段）和基于性别原因的歧视行为定为犯罪（第57段）修订《刑法典》的进度和何时通过修正案。还请说明对《刑事诉讼法》的修订，以方便妇女向司法机关寻求援助（第54段）。</w:t>
      </w:r>
    </w:p>
    <w:p w:rsidR="002512E2" w:rsidRDefault="002512E2" w:rsidP="002512E2">
      <w:pPr>
        <w:pStyle w:val="SingleTxt"/>
        <w:rPr>
          <w:rFonts w:hint="eastAsia"/>
        </w:rPr>
      </w:pPr>
      <w:r>
        <w:rPr>
          <w:rFonts w:hint="eastAsia"/>
        </w:rPr>
        <w:t>7</w:t>
      </w:r>
      <w:r w:rsidR="005B6DD0">
        <w:rPr>
          <w:rFonts w:hint="eastAsia"/>
        </w:rPr>
        <w:t>.</w:t>
      </w:r>
      <w:r w:rsidR="005B6DD0">
        <w:rPr>
          <w:rFonts w:hint="eastAsia"/>
        </w:rPr>
        <w:tab/>
      </w:r>
      <w:r>
        <w:rPr>
          <w:rFonts w:hint="eastAsia"/>
        </w:rPr>
        <w:t>请说明对《民法》关于婚姻平等和家庭关系的第55、80、及89条的修订（第175段）。遇有妨碍前款得到批准的情形，请说明。</w:t>
      </w:r>
    </w:p>
    <w:p w:rsidR="005B6DD0" w:rsidRPr="005B6DD0" w:rsidRDefault="005B6DD0" w:rsidP="005B6DD0">
      <w:pPr>
        <w:pStyle w:val="SingleTxt"/>
        <w:spacing w:after="0" w:line="120" w:lineRule="exact"/>
        <w:rPr>
          <w:rFonts w:ascii="SimHei" w:eastAsia="SimHei" w:hint="eastAsia"/>
          <w:color w:val="FF0000"/>
          <w:sz w:val="10"/>
        </w:rPr>
      </w:pPr>
    </w:p>
    <w:p w:rsidR="002512E2" w:rsidRPr="005B6DD0" w:rsidRDefault="002512E2" w:rsidP="002512E2">
      <w:pPr>
        <w:pStyle w:val="SingleTxt"/>
        <w:rPr>
          <w:rFonts w:ascii="SimHei" w:eastAsia="SimHei" w:hint="eastAsia"/>
          <w:color w:val="FF0000"/>
        </w:rPr>
      </w:pPr>
      <w:r w:rsidRPr="005B6DD0">
        <w:rPr>
          <w:rFonts w:ascii="SimHei" w:eastAsia="SimHei" w:hint="eastAsia"/>
          <w:color w:val="FF0000"/>
        </w:rPr>
        <w:t>定型观念</w:t>
      </w:r>
    </w:p>
    <w:p w:rsidR="002512E2" w:rsidRDefault="002512E2" w:rsidP="002512E2">
      <w:pPr>
        <w:pStyle w:val="SingleTxt"/>
        <w:rPr>
          <w:rFonts w:hint="eastAsia"/>
        </w:rPr>
      </w:pPr>
      <w:r>
        <w:rPr>
          <w:rFonts w:hint="eastAsia"/>
        </w:rPr>
        <w:t>8</w:t>
      </w:r>
      <w:r w:rsidR="005B6DD0">
        <w:rPr>
          <w:rFonts w:hint="eastAsia"/>
        </w:rPr>
        <w:t>.</w:t>
      </w:r>
      <w:r w:rsidR="005B6DD0">
        <w:rPr>
          <w:rFonts w:hint="eastAsia"/>
        </w:rPr>
        <w:tab/>
      </w:r>
      <w:r>
        <w:rPr>
          <w:rFonts w:hint="eastAsia"/>
        </w:rPr>
        <w:t>委员会的建议之一是，将提高公众对妇女权利的认识，以消除性别定型观念和为此向男女，尤其是土著居民进行运动，作为一个优先事项（A/57/38，第189段）。报告提到采取各种措施和行动，以消除定型观念（第103段）；不过似乎没有一项全面长期战略，其中包括通过通讯改变危地马拉社会中对妇女的观念。请提供相关资料。</w:t>
      </w:r>
    </w:p>
    <w:p w:rsidR="002512E2" w:rsidRDefault="002512E2" w:rsidP="002512E2">
      <w:pPr>
        <w:pStyle w:val="SingleTxt"/>
        <w:rPr>
          <w:rFonts w:hint="eastAsia"/>
        </w:rPr>
      </w:pPr>
      <w:r>
        <w:rPr>
          <w:rFonts w:hint="eastAsia"/>
        </w:rPr>
        <w:t>9</w:t>
      </w:r>
      <w:r w:rsidR="005B6DD0">
        <w:rPr>
          <w:rFonts w:hint="eastAsia"/>
        </w:rPr>
        <w:t>.</w:t>
      </w:r>
      <w:r w:rsidR="005B6DD0">
        <w:rPr>
          <w:rFonts w:hint="eastAsia"/>
        </w:rPr>
        <w:tab/>
      </w:r>
      <w:r>
        <w:rPr>
          <w:rFonts w:hint="eastAsia"/>
        </w:rPr>
        <w:t>报告第83至85段提到教育部女童和妇女事务协商委员会、文化和体育部和总统人权事务行政政策协调委员会关于消除教育和公共领域中存在的定型观念的目标。请说明为实现这些目标已实行的具体活动和所产生的影响。</w:t>
      </w:r>
    </w:p>
    <w:p w:rsidR="005B6DD0" w:rsidRPr="005B6DD0" w:rsidRDefault="005B6DD0" w:rsidP="005B6DD0">
      <w:pPr>
        <w:pStyle w:val="SingleTxt"/>
        <w:spacing w:after="0" w:line="120" w:lineRule="exact"/>
        <w:rPr>
          <w:rFonts w:ascii="SimHei" w:eastAsia="SimHei" w:hint="eastAsia"/>
          <w:color w:val="FF0000"/>
          <w:sz w:val="10"/>
        </w:rPr>
      </w:pPr>
    </w:p>
    <w:p w:rsidR="002512E2" w:rsidRPr="005B6DD0" w:rsidRDefault="002512E2" w:rsidP="002512E2">
      <w:pPr>
        <w:pStyle w:val="SingleTxt"/>
        <w:rPr>
          <w:rFonts w:ascii="SimHei" w:eastAsia="SimHei" w:hint="eastAsia"/>
          <w:color w:val="FF0000"/>
        </w:rPr>
      </w:pPr>
      <w:r w:rsidRPr="005B6DD0">
        <w:rPr>
          <w:rFonts w:ascii="SimHei" w:eastAsia="SimHei" w:hint="eastAsia"/>
          <w:color w:val="FF0000"/>
        </w:rPr>
        <w:t>对妇女的暴力行为</w:t>
      </w:r>
    </w:p>
    <w:p w:rsidR="002512E2" w:rsidRDefault="002512E2" w:rsidP="002512E2">
      <w:pPr>
        <w:pStyle w:val="SingleTxt"/>
        <w:rPr>
          <w:rFonts w:hint="eastAsia"/>
        </w:rPr>
      </w:pPr>
      <w:r>
        <w:rPr>
          <w:rFonts w:hint="eastAsia"/>
        </w:rPr>
        <w:t>10</w:t>
      </w:r>
      <w:r w:rsidR="005B6DD0">
        <w:rPr>
          <w:rFonts w:hint="eastAsia"/>
        </w:rPr>
        <w:t>.</w:t>
      </w:r>
      <w:r w:rsidR="005B6DD0">
        <w:rPr>
          <w:rFonts w:hint="eastAsia"/>
        </w:rPr>
        <w:tab/>
      </w:r>
      <w:r>
        <w:rPr>
          <w:rFonts w:hint="eastAsia"/>
        </w:rPr>
        <w:t>报告指出全国预防和消除家庭暴力及对妇女暴力行为计划将提交政府机构和非政府组织的代表审议和确认（第90段）；请较详细说明该计划的内容、促进有效执行的机制及监测机制，和该计划是否正在执行中。</w:t>
      </w:r>
    </w:p>
    <w:p w:rsidR="002512E2" w:rsidRDefault="002512E2" w:rsidP="002512E2">
      <w:pPr>
        <w:pStyle w:val="SingleTxt"/>
        <w:rPr>
          <w:rFonts w:hint="eastAsia"/>
        </w:rPr>
      </w:pPr>
      <w:r>
        <w:rPr>
          <w:rFonts w:hint="eastAsia"/>
        </w:rPr>
        <w:t>11</w:t>
      </w:r>
      <w:r w:rsidR="005B6DD0">
        <w:rPr>
          <w:rFonts w:hint="eastAsia"/>
        </w:rPr>
        <w:t>.</w:t>
      </w:r>
      <w:r w:rsidR="005B6DD0">
        <w:rPr>
          <w:rFonts w:hint="eastAsia"/>
        </w:rPr>
        <w:tab/>
      </w:r>
      <w:r>
        <w:rPr>
          <w:rFonts w:hint="eastAsia"/>
        </w:rPr>
        <w:t>根据暴力侵害妇女、其原因及后果问题特别报告员的报告（E/CN.4/2005/</w:t>
      </w:r>
      <w:r w:rsidR="005B6DD0">
        <w:t xml:space="preserve"> </w:t>
      </w:r>
      <w:r>
        <w:rPr>
          <w:rFonts w:hint="eastAsia"/>
        </w:rPr>
        <w:t>72/Add.3，第29及31段），在危地马拉妇女的杀害率是该区域最高的和国家安全机关和司法机关对此处理的力度不足。请说明已采取的措施和是否针对该大规模现象及原因进行调查研究；以及在全国针对暴力侵害妇女采取的预防、援助和惩罚措施。</w:t>
      </w:r>
    </w:p>
    <w:p w:rsidR="002512E2" w:rsidRDefault="002512E2" w:rsidP="002512E2">
      <w:pPr>
        <w:pStyle w:val="SingleTxt"/>
        <w:rPr>
          <w:rFonts w:hint="eastAsia"/>
        </w:rPr>
      </w:pPr>
      <w:r>
        <w:rPr>
          <w:rFonts w:hint="eastAsia"/>
        </w:rPr>
        <w:t>12</w:t>
      </w:r>
      <w:r w:rsidR="005B6DD0">
        <w:rPr>
          <w:rFonts w:hint="eastAsia"/>
        </w:rPr>
        <w:t>.</w:t>
      </w:r>
      <w:r w:rsidR="005B6DD0">
        <w:rPr>
          <w:rFonts w:hint="eastAsia"/>
        </w:rPr>
        <w:tab/>
      </w:r>
      <w:r>
        <w:rPr>
          <w:rFonts w:hint="eastAsia"/>
        </w:rPr>
        <w:t>请说明打算采取或已采取的措施，加强司法机关和全国预防暴力和对妇女施暴委员会等机构，以便保证认真调查杀害妇女的案件和把凶手治罪处罚。</w:t>
      </w:r>
    </w:p>
    <w:p w:rsidR="002512E2" w:rsidRDefault="002512E2" w:rsidP="002512E2">
      <w:pPr>
        <w:pStyle w:val="SingleTxt"/>
        <w:rPr>
          <w:rFonts w:hint="eastAsia"/>
        </w:rPr>
      </w:pPr>
      <w:r>
        <w:rPr>
          <w:rFonts w:hint="eastAsia"/>
        </w:rPr>
        <w:t>13</w:t>
      </w:r>
      <w:r w:rsidR="005B6DD0">
        <w:rPr>
          <w:rFonts w:hint="eastAsia"/>
        </w:rPr>
        <w:t>.</w:t>
      </w:r>
      <w:r w:rsidR="005B6DD0">
        <w:rPr>
          <w:rFonts w:hint="eastAsia"/>
        </w:rPr>
        <w:tab/>
      </w:r>
      <w:r>
        <w:rPr>
          <w:rFonts w:hint="eastAsia"/>
        </w:rPr>
        <w:t>根据暴力侵害妇女、其原因及后果问题特别报告员的报告（E/CN.4/2005/72/</w:t>
      </w:r>
      <w:r w:rsidR="005B6DD0">
        <w:t xml:space="preserve"> </w:t>
      </w:r>
      <w:r>
        <w:rPr>
          <w:rFonts w:hint="eastAsia"/>
        </w:rPr>
        <w:t>Add.3，第45段），《刑法典》第七章第200条关于强奸犯与满12岁的受害人结婚可开脱其罪责的规定，不符合《消除对妇女歧视公约》和《儿童权利公约》的规则。请说明是否已废除该法规，如果没有，请说明短期内是否采取措施予以废除。</w:t>
      </w:r>
    </w:p>
    <w:p w:rsidR="002512E2" w:rsidRDefault="002512E2" w:rsidP="002512E2">
      <w:pPr>
        <w:pStyle w:val="SingleTxt"/>
        <w:rPr>
          <w:rFonts w:hint="eastAsia"/>
        </w:rPr>
      </w:pPr>
      <w:r>
        <w:rPr>
          <w:rFonts w:hint="eastAsia"/>
        </w:rPr>
        <w:t>14</w:t>
      </w:r>
      <w:r w:rsidR="005B6DD0">
        <w:rPr>
          <w:rFonts w:hint="eastAsia"/>
        </w:rPr>
        <w:t>.</w:t>
      </w:r>
      <w:r w:rsidR="005B6DD0">
        <w:rPr>
          <w:rFonts w:hint="eastAsia"/>
        </w:rPr>
        <w:tab/>
      </w:r>
      <w:r>
        <w:rPr>
          <w:rFonts w:hint="eastAsia"/>
        </w:rPr>
        <w:t>请说明已制定的预防、保护和康复措施，特别是就乏力求助的年轻妇女来说，她们容易遭受少年不法分子蒙骗招募，剥削利用的危险。</w:t>
      </w:r>
    </w:p>
    <w:p w:rsidR="002512E2" w:rsidRDefault="002512E2" w:rsidP="002512E2">
      <w:pPr>
        <w:pStyle w:val="SingleTxt"/>
        <w:rPr>
          <w:rFonts w:hint="eastAsia"/>
        </w:rPr>
      </w:pPr>
      <w:r>
        <w:rPr>
          <w:rFonts w:hint="eastAsia"/>
        </w:rPr>
        <w:t>15</w:t>
      </w:r>
      <w:r w:rsidR="005B6DD0">
        <w:rPr>
          <w:rFonts w:hint="eastAsia"/>
        </w:rPr>
        <w:t>.</w:t>
      </w:r>
      <w:r w:rsidR="005B6DD0">
        <w:rPr>
          <w:rFonts w:hint="eastAsia"/>
        </w:rPr>
        <w:tab/>
      </w:r>
      <w:r>
        <w:rPr>
          <w:rFonts w:hint="eastAsia"/>
        </w:rPr>
        <w:t>报告第153段提到公共卫生和社会福利部编制了两性平等和性别暴力指数。请说明该项目的进展情况和内容，并提供有关覆盖率和该部与其他机构互动的可得数据。在回答中，请说明数据收集期间。</w:t>
      </w:r>
    </w:p>
    <w:p w:rsidR="002512E2" w:rsidRPr="005B6DD0" w:rsidRDefault="002512E2" w:rsidP="002512E2">
      <w:pPr>
        <w:pStyle w:val="SingleTxt"/>
        <w:rPr>
          <w:rFonts w:ascii="SimHei" w:eastAsia="SimHei" w:hint="eastAsia"/>
          <w:color w:val="FF0000"/>
        </w:rPr>
      </w:pPr>
      <w:r w:rsidRPr="005B6DD0">
        <w:rPr>
          <w:rFonts w:ascii="SimHei" w:eastAsia="SimHei" w:hint="eastAsia"/>
          <w:color w:val="FF0000"/>
        </w:rPr>
        <w:t>贩卖人口和意图营利使人卖淫</w:t>
      </w:r>
    </w:p>
    <w:p w:rsidR="002512E2" w:rsidRDefault="002512E2" w:rsidP="002512E2">
      <w:pPr>
        <w:pStyle w:val="SingleTxt"/>
        <w:rPr>
          <w:rFonts w:hint="eastAsia"/>
        </w:rPr>
      </w:pPr>
      <w:r>
        <w:rPr>
          <w:rFonts w:hint="eastAsia"/>
        </w:rPr>
        <w:t>16</w:t>
      </w:r>
      <w:r w:rsidR="005B6DD0">
        <w:rPr>
          <w:rFonts w:hint="eastAsia"/>
        </w:rPr>
        <w:t>.</w:t>
      </w:r>
      <w:r w:rsidR="005B6DD0">
        <w:rPr>
          <w:rFonts w:hint="eastAsia"/>
        </w:rPr>
        <w:tab/>
      </w:r>
      <w:r>
        <w:rPr>
          <w:rFonts w:hint="eastAsia"/>
        </w:rPr>
        <w:t>根据暴力侵害妇女、其原因及后果问题特别报告员的报告（E/CN.4/2005/72/</w:t>
      </w:r>
      <w:r w:rsidR="005B6DD0">
        <w:t xml:space="preserve"> </w:t>
      </w:r>
      <w:r>
        <w:rPr>
          <w:rFonts w:hint="eastAsia"/>
        </w:rPr>
        <w:t>Add.3，第38段），危地马拉是出于性剥削目的贩卖妇女和儿童的过境国和目的地。请说明关于在国家一级普遍采取战略，包括预防、保护和惩罚负责者的措施的现行计划。</w:t>
      </w:r>
    </w:p>
    <w:p w:rsidR="002512E2" w:rsidRDefault="002512E2" w:rsidP="002512E2">
      <w:pPr>
        <w:pStyle w:val="SingleTxt"/>
        <w:rPr>
          <w:rFonts w:hint="eastAsia"/>
        </w:rPr>
      </w:pPr>
      <w:r>
        <w:rPr>
          <w:rFonts w:hint="eastAsia"/>
        </w:rPr>
        <w:t>17</w:t>
      </w:r>
      <w:r w:rsidR="005B6DD0">
        <w:rPr>
          <w:rFonts w:hint="eastAsia"/>
        </w:rPr>
        <w:t>.</w:t>
      </w:r>
      <w:r w:rsidR="005B6DD0">
        <w:rPr>
          <w:rFonts w:hint="eastAsia"/>
        </w:rPr>
        <w:tab/>
      </w:r>
      <w:r>
        <w:rPr>
          <w:rFonts w:hint="eastAsia"/>
        </w:rPr>
        <w:t>报告指出女色情业者来自经济不景气的临近国家，她们报告说移民官员和国家民警警员侵害其人权（第94段）。请说明已采取的相关措施，包括与其他政府协调和合作的措施。</w:t>
      </w:r>
    </w:p>
    <w:p w:rsidR="002512E2" w:rsidRPr="005B6DD0" w:rsidRDefault="002512E2" w:rsidP="002512E2">
      <w:pPr>
        <w:pStyle w:val="SingleTxt"/>
        <w:rPr>
          <w:rFonts w:ascii="SimHei" w:eastAsia="SimHei" w:hint="eastAsia"/>
          <w:color w:val="FF0000"/>
        </w:rPr>
      </w:pPr>
      <w:r w:rsidRPr="005B6DD0">
        <w:rPr>
          <w:rFonts w:ascii="SimHei" w:eastAsia="SimHei" w:hint="eastAsia"/>
          <w:color w:val="FF0000"/>
        </w:rPr>
        <w:t>参政</w:t>
      </w:r>
    </w:p>
    <w:p w:rsidR="002512E2" w:rsidRDefault="002512E2" w:rsidP="002512E2">
      <w:pPr>
        <w:pStyle w:val="SingleTxt"/>
        <w:rPr>
          <w:rFonts w:hint="eastAsia"/>
        </w:rPr>
      </w:pPr>
      <w:r>
        <w:rPr>
          <w:rFonts w:hint="eastAsia"/>
        </w:rPr>
        <w:t>18</w:t>
      </w:r>
      <w:r w:rsidR="005B6DD0">
        <w:rPr>
          <w:rFonts w:hint="eastAsia"/>
        </w:rPr>
        <w:t>.</w:t>
      </w:r>
      <w:r w:rsidR="005B6DD0">
        <w:rPr>
          <w:rFonts w:hint="eastAsia"/>
        </w:rPr>
        <w:tab/>
      </w:r>
      <w:r>
        <w:rPr>
          <w:rFonts w:hint="eastAsia"/>
        </w:rPr>
        <w:t>在审议第三、第四和第五次报告期间，委员会建议促进采用名额制度，支持领导人培训方案和推行提高意识运动（A/57/38，第191段）。此外，该报告强调女性参政的人数不断减少</w:t>
      </w:r>
      <w:r w:rsidR="00AF071A">
        <w:rPr>
          <w:rFonts w:hint="eastAsia"/>
        </w:rPr>
        <w:t>（</w:t>
      </w:r>
      <w:r>
        <w:rPr>
          <w:rFonts w:hint="eastAsia"/>
        </w:rPr>
        <w:t>第99段</w:t>
      </w:r>
      <w:r w:rsidR="00AF071A">
        <w:rPr>
          <w:rFonts w:hint="eastAsia"/>
        </w:rPr>
        <w:t>）</w:t>
      </w:r>
      <w:r>
        <w:rPr>
          <w:rFonts w:hint="eastAsia"/>
        </w:rPr>
        <w:t>和指出经查明的主要障碍</w:t>
      </w:r>
      <w:r w:rsidR="00AF071A">
        <w:rPr>
          <w:rFonts w:hint="eastAsia"/>
        </w:rPr>
        <w:t>（</w:t>
      </w:r>
      <w:r>
        <w:rPr>
          <w:rFonts w:hint="eastAsia"/>
        </w:rPr>
        <w:t>第103段</w:t>
      </w:r>
      <w:r w:rsidR="00AF071A">
        <w:rPr>
          <w:rFonts w:hint="eastAsia"/>
        </w:rPr>
        <w:t>）</w:t>
      </w:r>
      <w:r>
        <w:rPr>
          <w:rFonts w:hint="eastAsia"/>
        </w:rPr>
        <w:t>。请说明已采取的具体措施，执行委员会的建议和消除报告第103段所述的障碍。</w:t>
      </w:r>
    </w:p>
    <w:p w:rsidR="002512E2" w:rsidRPr="005B6DD0" w:rsidRDefault="002512E2" w:rsidP="002512E2">
      <w:pPr>
        <w:pStyle w:val="SingleTxt"/>
        <w:rPr>
          <w:rFonts w:ascii="SimHei" w:eastAsia="SimHei" w:hint="eastAsia"/>
          <w:color w:val="FF0000"/>
        </w:rPr>
      </w:pPr>
      <w:r w:rsidRPr="005B6DD0">
        <w:rPr>
          <w:rFonts w:ascii="SimHei" w:eastAsia="SimHei" w:hint="eastAsia"/>
          <w:color w:val="FF0000"/>
        </w:rPr>
        <w:t>教育</w:t>
      </w:r>
    </w:p>
    <w:p w:rsidR="002512E2" w:rsidRDefault="002512E2" w:rsidP="002512E2">
      <w:pPr>
        <w:pStyle w:val="SingleTxt"/>
        <w:rPr>
          <w:rFonts w:hint="eastAsia"/>
        </w:rPr>
      </w:pPr>
      <w:r>
        <w:rPr>
          <w:rFonts w:hint="eastAsia"/>
        </w:rPr>
        <w:t>19</w:t>
      </w:r>
      <w:r w:rsidR="005B6DD0">
        <w:rPr>
          <w:rFonts w:hint="eastAsia"/>
        </w:rPr>
        <w:t>.</w:t>
      </w:r>
      <w:r w:rsidR="005B6DD0">
        <w:rPr>
          <w:rFonts w:hint="eastAsia"/>
        </w:rPr>
        <w:tab/>
      </w:r>
      <w:r>
        <w:rPr>
          <w:rFonts w:hint="eastAsia"/>
        </w:rPr>
        <w:t>请提供关于按性别、级别、农村和城市地区开列的入学率和辍学率；并说明土著和移徙妇女的教育状况。</w:t>
      </w:r>
    </w:p>
    <w:p w:rsidR="002512E2" w:rsidRDefault="002512E2" w:rsidP="002512E2">
      <w:pPr>
        <w:pStyle w:val="SingleTxt"/>
        <w:rPr>
          <w:rFonts w:hint="eastAsia"/>
        </w:rPr>
      </w:pPr>
      <w:r>
        <w:rPr>
          <w:rFonts w:hint="eastAsia"/>
        </w:rPr>
        <w:t>20</w:t>
      </w:r>
      <w:r w:rsidR="005B6DD0">
        <w:rPr>
          <w:rFonts w:hint="eastAsia"/>
        </w:rPr>
        <w:t>.</w:t>
      </w:r>
      <w:r w:rsidR="005B6DD0">
        <w:rPr>
          <w:rFonts w:hint="eastAsia"/>
        </w:rPr>
        <w:tab/>
      </w:r>
      <w:r>
        <w:rPr>
          <w:rFonts w:hint="eastAsia"/>
        </w:rPr>
        <w:t xml:space="preserve"> 请说明是否有特别方案让因怀孕辍学的少女重返学校。</w:t>
      </w:r>
    </w:p>
    <w:p w:rsidR="002512E2" w:rsidRPr="005B6DD0" w:rsidRDefault="002512E2" w:rsidP="002512E2">
      <w:pPr>
        <w:pStyle w:val="SingleTxt"/>
        <w:rPr>
          <w:rFonts w:ascii="SimHei" w:eastAsia="SimHei" w:hint="eastAsia"/>
          <w:color w:val="FF0000"/>
        </w:rPr>
      </w:pPr>
      <w:r w:rsidRPr="005B6DD0">
        <w:rPr>
          <w:rFonts w:ascii="SimHei" w:eastAsia="SimHei" w:hint="eastAsia"/>
          <w:color w:val="FF0000"/>
        </w:rPr>
        <w:t>就业</w:t>
      </w:r>
    </w:p>
    <w:p w:rsidR="002512E2" w:rsidRDefault="002512E2" w:rsidP="002512E2">
      <w:pPr>
        <w:pStyle w:val="SingleTxt"/>
        <w:rPr>
          <w:rFonts w:hint="eastAsia"/>
        </w:rPr>
      </w:pPr>
      <w:r>
        <w:rPr>
          <w:rFonts w:hint="eastAsia"/>
        </w:rPr>
        <w:t>21</w:t>
      </w:r>
      <w:r w:rsidR="005B6DD0">
        <w:rPr>
          <w:rFonts w:hint="eastAsia"/>
        </w:rPr>
        <w:t>.</w:t>
      </w:r>
      <w:r w:rsidR="005B6DD0">
        <w:rPr>
          <w:rFonts w:hint="eastAsia"/>
        </w:rPr>
        <w:tab/>
      </w:r>
      <w:r>
        <w:rPr>
          <w:rFonts w:hint="eastAsia"/>
        </w:rPr>
        <w:t>委员会对劳动法不普遍适用于出口加工业女工表示关切（A/57/38，第186段）。报告还指出“加工业部门出现大量触犯劳动法的事件</w:t>
      </w:r>
      <w:r w:rsidR="00AF071A">
        <w:rPr>
          <w:rFonts w:hint="eastAsia"/>
        </w:rPr>
        <w:t>（</w:t>
      </w:r>
      <w:r>
        <w:rPr>
          <w:rFonts w:hint="eastAsia"/>
        </w:rPr>
        <w:t>…</w:t>
      </w:r>
      <w:r w:rsidR="00AF071A">
        <w:rPr>
          <w:rFonts w:hint="eastAsia"/>
        </w:rPr>
        <w:t>）</w:t>
      </w:r>
      <w:r>
        <w:rPr>
          <w:rFonts w:hint="eastAsia"/>
        </w:rPr>
        <w:t>在加工业部门中工作的女工人数最多”(第129段)。请说明已采取的措施，分析该现象的程度和影响、并指出负责使劳动法在加工业得到遵守的现有机制和是否有任何因违犯，例如《出口活动和加工业促进与发展法》第65</w:t>
      </w:r>
      <w:r w:rsidR="00837A93">
        <w:rPr>
          <w:rFonts w:hint="eastAsia"/>
        </w:rPr>
        <w:t>-</w:t>
      </w:r>
      <w:r>
        <w:rPr>
          <w:rFonts w:hint="eastAsia"/>
        </w:rPr>
        <w:t>89号法令《免税区法》的规定而撤销财政利益的案例（第32段）。请说明来自农村地区的移徙加工业女工的境况。</w:t>
      </w:r>
    </w:p>
    <w:p w:rsidR="002512E2" w:rsidRDefault="002512E2" w:rsidP="002512E2">
      <w:pPr>
        <w:pStyle w:val="SingleTxt"/>
        <w:rPr>
          <w:rFonts w:hint="eastAsia"/>
        </w:rPr>
      </w:pPr>
      <w:r>
        <w:rPr>
          <w:rFonts w:hint="eastAsia"/>
        </w:rPr>
        <w:t>22</w:t>
      </w:r>
      <w:r w:rsidR="005B6DD0">
        <w:rPr>
          <w:rFonts w:hint="eastAsia"/>
        </w:rPr>
        <w:t>.</w:t>
      </w:r>
      <w:r w:rsidR="005B6DD0">
        <w:rPr>
          <w:rFonts w:hint="eastAsia"/>
        </w:rPr>
        <w:tab/>
      </w:r>
      <w:r>
        <w:rPr>
          <w:rFonts w:hint="eastAsia"/>
        </w:rPr>
        <w:t>请说明在女工劳动权利促进和保护计划的框架内已实行的活动（第130段）和该计划的成果。</w:t>
      </w:r>
    </w:p>
    <w:p w:rsidR="002512E2" w:rsidRDefault="002512E2" w:rsidP="002512E2">
      <w:pPr>
        <w:pStyle w:val="SingleTxt"/>
        <w:rPr>
          <w:rFonts w:hint="eastAsia"/>
        </w:rPr>
      </w:pPr>
      <w:r>
        <w:rPr>
          <w:rFonts w:hint="eastAsia"/>
        </w:rPr>
        <w:t>23</w:t>
      </w:r>
      <w:r w:rsidR="005B6DD0">
        <w:rPr>
          <w:rFonts w:hint="eastAsia"/>
        </w:rPr>
        <w:t>.</w:t>
      </w:r>
      <w:r w:rsidR="005B6DD0">
        <w:rPr>
          <w:rFonts w:hint="eastAsia"/>
        </w:rPr>
        <w:tab/>
      </w:r>
      <w:r>
        <w:rPr>
          <w:rFonts w:hint="eastAsia"/>
        </w:rPr>
        <w:t>根据暴力侵害妇女、其原因及后果问题特别报告员的报告（E/CN.4/2005/72/</w:t>
      </w:r>
      <w:r w:rsidR="005B6DD0">
        <w:t xml:space="preserve"> </w:t>
      </w:r>
      <w:r>
        <w:rPr>
          <w:rFonts w:hint="eastAsia"/>
        </w:rPr>
        <w:t>Add.3，第18段），“虽然从妇女的工资扣除的社会保</w:t>
      </w:r>
      <w:r w:rsidR="00837A93">
        <w:rPr>
          <w:rFonts w:hint="eastAsia"/>
        </w:rPr>
        <w:t>障</w:t>
      </w:r>
      <w:r>
        <w:rPr>
          <w:rFonts w:hint="eastAsia"/>
        </w:rPr>
        <w:t>的百分率与男子的相同，其丈夫无权领取社会福利金，但参加社会保</w:t>
      </w:r>
      <w:r w:rsidR="00837A93">
        <w:rPr>
          <w:rFonts w:hint="eastAsia"/>
        </w:rPr>
        <w:t>障</w:t>
      </w:r>
      <w:r>
        <w:rPr>
          <w:rFonts w:hint="eastAsia"/>
        </w:rPr>
        <w:t>的男子的妻子可享有此福利”。请说明是否有计划废除这项对妇女歧视的条例。</w:t>
      </w:r>
    </w:p>
    <w:p w:rsidR="002512E2" w:rsidRDefault="002512E2" w:rsidP="002512E2">
      <w:pPr>
        <w:pStyle w:val="SingleTxt"/>
        <w:rPr>
          <w:rFonts w:hint="eastAsia"/>
        </w:rPr>
      </w:pPr>
      <w:r>
        <w:rPr>
          <w:rFonts w:hint="eastAsia"/>
        </w:rPr>
        <w:t>24</w:t>
      </w:r>
      <w:r w:rsidR="005B6DD0">
        <w:rPr>
          <w:rFonts w:hint="eastAsia"/>
        </w:rPr>
        <w:t>.</w:t>
      </w:r>
      <w:r w:rsidR="005B6DD0">
        <w:rPr>
          <w:rFonts w:hint="eastAsia"/>
        </w:rPr>
        <w:tab/>
      </w:r>
      <w:r>
        <w:rPr>
          <w:rFonts w:hint="eastAsia"/>
        </w:rPr>
        <w:t>请详细说明非正规部门女工的境况。在回答中，请包括按活动开列的统计数字，并指出是否制定保障方案，因为在该部门的女工都不享有社会保险。</w:t>
      </w:r>
    </w:p>
    <w:p w:rsidR="002512E2" w:rsidRDefault="002512E2" w:rsidP="002512E2">
      <w:pPr>
        <w:pStyle w:val="SingleTxt"/>
        <w:rPr>
          <w:rFonts w:hint="eastAsia"/>
        </w:rPr>
      </w:pPr>
      <w:r>
        <w:rPr>
          <w:rFonts w:hint="eastAsia"/>
        </w:rPr>
        <w:t>25</w:t>
      </w:r>
      <w:r w:rsidR="005B6DD0">
        <w:rPr>
          <w:rFonts w:hint="eastAsia"/>
        </w:rPr>
        <w:t>.</w:t>
      </w:r>
      <w:r w:rsidR="005B6DD0">
        <w:rPr>
          <w:rFonts w:hint="eastAsia"/>
        </w:rPr>
        <w:tab/>
      </w:r>
      <w:r>
        <w:rPr>
          <w:rFonts w:hint="eastAsia"/>
        </w:rPr>
        <w:t>根据报告，《性骚扰刑罚法》提案于2002年移送国会，至今尚未在立法会议讨论（第35段）。请说明没有讨论该法案的原因和打算采取何种措施，保证在短期内批准该法案。</w:t>
      </w:r>
    </w:p>
    <w:p w:rsidR="002512E2" w:rsidRPr="005B6DD0" w:rsidRDefault="002512E2" w:rsidP="002512E2">
      <w:pPr>
        <w:pStyle w:val="SingleTxt"/>
        <w:rPr>
          <w:rFonts w:ascii="SimHei" w:eastAsia="SimHei" w:hint="eastAsia"/>
          <w:color w:val="FF0000"/>
        </w:rPr>
      </w:pPr>
      <w:r w:rsidRPr="005B6DD0">
        <w:rPr>
          <w:rFonts w:ascii="SimHei" w:eastAsia="SimHei" w:hint="eastAsia"/>
          <w:color w:val="FF0000"/>
        </w:rPr>
        <w:t>健康</w:t>
      </w:r>
    </w:p>
    <w:p w:rsidR="002512E2" w:rsidRDefault="002512E2" w:rsidP="002512E2">
      <w:pPr>
        <w:pStyle w:val="SingleTxt"/>
        <w:rPr>
          <w:rFonts w:hint="eastAsia"/>
        </w:rPr>
      </w:pPr>
      <w:r>
        <w:rPr>
          <w:rFonts w:hint="eastAsia"/>
        </w:rPr>
        <w:t>26</w:t>
      </w:r>
      <w:r w:rsidR="005B6DD0">
        <w:rPr>
          <w:rFonts w:hint="eastAsia"/>
        </w:rPr>
        <w:t>.</w:t>
      </w:r>
      <w:r w:rsidR="005B6DD0">
        <w:rPr>
          <w:rFonts w:hint="eastAsia"/>
        </w:rPr>
        <w:tab/>
      </w:r>
      <w:r>
        <w:rPr>
          <w:rFonts w:hint="eastAsia"/>
        </w:rPr>
        <w:t>根据人权委员会的最后意见（CCPR/CO/72/GTM），委员会对非法堕胎引起的高孕产妇死亡率和没有计划生育资料表示关切。请说明政府是否做出努力，修订与堕胎有关的惩罚性法规和已实施或计划实施何种具体行动保证在城市和农村部门主要向少年人口提供避孕药具和性教育。还请说明是否有措施保障使用生殖服务的男女少年的秘密和隐私。</w:t>
      </w:r>
    </w:p>
    <w:p w:rsidR="002512E2" w:rsidRDefault="002512E2" w:rsidP="002512E2">
      <w:pPr>
        <w:pStyle w:val="SingleTxt"/>
        <w:rPr>
          <w:rFonts w:hint="eastAsia"/>
        </w:rPr>
      </w:pPr>
      <w:r>
        <w:rPr>
          <w:rFonts w:hint="eastAsia"/>
        </w:rPr>
        <w:t>27</w:t>
      </w:r>
      <w:r w:rsidR="005B6DD0">
        <w:rPr>
          <w:rFonts w:hint="eastAsia"/>
        </w:rPr>
        <w:t>.</w:t>
      </w:r>
      <w:r w:rsidR="005B6DD0">
        <w:rPr>
          <w:rFonts w:hint="eastAsia"/>
        </w:rPr>
        <w:tab/>
      </w:r>
      <w:r>
        <w:rPr>
          <w:rFonts w:hint="eastAsia"/>
        </w:rPr>
        <w:t>报告指出整个生殖健康法案于2001年开始生效</w:t>
      </w:r>
      <w:r w:rsidR="005B6DD0">
        <w:rPr>
          <w:rFonts w:hint="eastAsia"/>
        </w:rPr>
        <w:t>（</w:t>
      </w:r>
      <w:r>
        <w:rPr>
          <w:rFonts w:hint="eastAsia"/>
        </w:rPr>
        <w:t>第140段</w:t>
      </w:r>
      <w:r w:rsidR="005B6DD0">
        <w:rPr>
          <w:rFonts w:hint="eastAsia"/>
        </w:rPr>
        <w:t>）</w:t>
      </w:r>
      <w:r>
        <w:rPr>
          <w:rFonts w:hint="eastAsia"/>
        </w:rPr>
        <w:t>。请说明该法案的覆盖率、适用方式和效果，以及特别是在地方政府建立的监测评价机制。</w:t>
      </w:r>
    </w:p>
    <w:p w:rsidR="002512E2" w:rsidRDefault="002512E2" w:rsidP="002512E2">
      <w:pPr>
        <w:pStyle w:val="SingleTxt"/>
        <w:rPr>
          <w:rFonts w:hint="eastAsia"/>
        </w:rPr>
      </w:pPr>
      <w:r>
        <w:rPr>
          <w:rFonts w:hint="eastAsia"/>
        </w:rPr>
        <w:t>28</w:t>
      </w:r>
      <w:r w:rsidR="005B6DD0">
        <w:rPr>
          <w:rFonts w:hint="eastAsia"/>
        </w:rPr>
        <w:t>.</w:t>
      </w:r>
      <w:r w:rsidR="005B6DD0">
        <w:rPr>
          <w:rFonts w:hint="eastAsia"/>
        </w:rPr>
        <w:tab/>
      </w:r>
      <w:r>
        <w:rPr>
          <w:rFonts w:hint="eastAsia"/>
        </w:rPr>
        <w:t>请提供关于妇女发病率和死亡率的主要原因按种族/族裔群体、社会经济阶级开列的统计数据；还说明自上个报告以来，孕产妇死亡率指数出现的变化。</w:t>
      </w:r>
    </w:p>
    <w:p w:rsidR="002512E2" w:rsidRPr="005B6DD0" w:rsidRDefault="002512E2" w:rsidP="002512E2">
      <w:pPr>
        <w:pStyle w:val="SingleTxt"/>
        <w:rPr>
          <w:rFonts w:ascii="SimHei" w:eastAsia="SimHei" w:hint="eastAsia"/>
          <w:color w:val="FF0000"/>
        </w:rPr>
      </w:pPr>
      <w:r w:rsidRPr="005B6DD0">
        <w:rPr>
          <w:rFonts w:ascii="SimHei" w:eastAsia="SimHei" w:hint="eastAsia"/>
          <w:color w:val="FF0000"/>
        </w:rPr>
        <w:t>农村妇女</w:t>
      </w:r>
    </w:p>
    <w:p w:rsidR="002512E2" w:rsidRDefault="002512E2" w:rsidP="002512E2">
      <w:pPr>
        <w:pStyle w:val="SingleTxt"/>
        <w:rPr>
          <w:rFonts w:hint="eastAsia"/>
        </w:rPr>
      </w:pPr>
      <w:r>
        <w:rPr>
          <w:rFonts w:hint="eastAsia"/>
        </w:rPr>
        <w:t>29</w:t>
      </w:r>
      <w:r w:rsidR="005B6DD0">
        <w:rPr>
          <w:rFonts w:hint="eastAsia"/>
        </w:rPr>
        <w:t>.</w:t>
      </w:r>
      <w:r w:rsidR="005B6DD0">
        <w:rPr>
          <w:rFonts w:hint="eastAsia"/>
        </w:rPr>
        <w:tab/>
      </w:r>
      <w:r>
        <w:rPr>
          <w:rFonts w:hint="eastAsia"/>
        </w:rPr>
        <w:t>报告指出农村妇女得到土地依然是她们发展的重大问题之一</w:t>
      </w:r>
      <w:r w:rsidR="005B6DD0">
        <w:rPr>
          <w:rFonts w:hint="eastAsia"/>
        </w:rPr>
        <w:t>（</w:t>
      </w:r>
      <w:r>
        <w:rPr>
          <w:rFonts w:hint="eastAsia"/>
        </w:rPr>
        <w:t>第173段</w:t>
      </w:r>
      <w:r w:rsidR="005B6DD0">
        <w:rPr>
          <w:rFonts w:hint="eastAsia"/>
        </w:rPr>
        <w:t>）</w:t>
      </w:r>
      <w:r>
        <w:rPr>
          <w:rFonts w:hint="eastAsia"/>
        </w:rPr>
        <w:t>。报告还提到围绕土地、劳动和参与问题的农村妇女议程</w:t>
      </w:r>
      <w:r w:rsidR="005B6DD0">
        <w:rPr>
          <w:rFonts w:hint="eastAsia"/>
        </w:rPr>
        <w:t>（</w:t>
      </w:r>
      <w:r>
        <w:rPr>
          <w:rFonts w:hint="eastAsia"/>
        </w:rPr>
        <w:t>第167段</w:t>
      </w:r>
      <w:r w:rsidR="005B6DD0">
        <w:rPr>
          <w:rFonts w:hint="eastAsia"/>
        </w:rPr>
        <w:t>)</w:t>
      </w:r>
      <w:r>
        <w:rPr>
          <w:rFonts w:hint="eastAsia"/>
        </w:rPr>
        <w:t>。请说明该议程的进展情况、主要障碍和成果，包括向和平协定实行后回返的人分配土地的情况。</w:t>
      </w:r>
    </w:p>
    <w:p w:rsidR="002512E2" w:rsidRDefault="002512E2" w:rsidP="002512E2">
      <w:pPr>
        <w:pStyle w:val="SingleTxt"/>
        <w:rPr>
          <w:rFonts w:hint="eastAsia"/>
        </w:rPr>
      </w:pPr>
      <w:r>
        <w:rPr>
          <w:rFonts w:hint="eastAsia"/>
        </w:rPr>
        <w:t>30</w:t>
      </w:r>
      <w:r w:rsidR="005B6DD0">
        <w:rPr>
          <w:rFonts w:hint="eastAsia"/>
        </w:rPr>
        <w:t>.</w:t>
      </w:r>
      <w:r w:rsidR="005B6DD0">
        <w:rPr>
          <w:rFonts w:hint="eastAsia"/>
        </w:rPr>
        <w:tab/>
      </w:r>
      <w:r>
        <w:rPr>
          <w:rFonts w:hint="eastAsia"/>
        </w:rPr>
        <w:t>根据暴力侵害妇女、其原因及后果问题特别报告员的报告（E/CN.4/2005/72/</w:t>
      </w:r>
      <w:r w:rsidR="005B6DD0">
        <w:rPr>
          <w:rFonts w:hint="eastAsia"/>
        </w:rPr>
        <w:t xml:space="preserve"> </w:t>
      </w:r>
      <w:r>
        <w:rPr>
          <w:rFonts w:hint="eastAsia"/>
        </w:rPr>
        <w:t>Add.3，第13段），“大部分人口，尤其是农村人口得不到产妇保健服务”和“只有30％的分娩是在医疗中心进行”。请说明关于为住在农村地区的妇女为制定或已实行的措施。</w:t>
      </w:r>
    </w:p>
    <w:p w:rsidR="002512E2" w:rsidRPr="005B6DD0" w:rsidRDefault="002512E2" w:rsidP="002512E2">
      <w:pPr>
        <w:pStyle w:val="SingleTxt"/>
        <w:rPr>
          <w:rFonts w:ascii="SimHei" w:eastAsia="SimHei" w:hint="eastAsia"/>
          <w:color w:val="FF0000"/>
        </w:rPr>
      </w:pPr>
      <w:r w:rsidRPr="005B6DD0">
        <w:rPr>
          <w:rFonts w:ascii="SimHei" w:eastAsia="SimHei" w:hint="eastAsia"/>
          <w:color w:val="FF0000"/>
        </w:rPr>
        <w:t>任择议定书</w:t>
      </w:r>
    </w:p>
    <w:p w:rsidR="002512E2" w:rsidRDefault="002512E2" w:rsidP="002512E2">
      <w:pPr>
        <w:pStyle w:val="SingleTxt"/>
        <w:rPr>
          <w:rFonts w:hint="eastAsia"/>
        </w:rPr>
      </w:pPr>
      <w:r>
        <w:rPr>
          <w:rFonts w:hint="eastAsia"/>
        </w:rPr>
        <w:t>31</w:t>
      </w:r>
      <w:r w:rsidR="005B6DD0">
        <w:rPr>
          <w:rFonts w:hint="eastAsia"/>
        </w:rPr>
        <w:t>.</w:t>
      </w:r>
      <w:r w:rsidR="005B6DD0">
        <w:rPr>
          <w:rFonts w:hint="eastAsia"/>
        </w:rPr>
        <w:tab/>
      </w:r>
      <w:r>
        <w:rPr>
          <w:rFonts w:hint="eastAsia"/>
        </w:rPr>
        <w:t>请说明为传播有关任择议定书的内容和自2002年5月9日批准以来的使用途经的资料已采取的行动。</w:t>
      </w:r>
    </w:p>
    <w:p w:rsidR="001E5ABA" w:rsidRPr="00AF071A" w:rsidRDefault="00AF071A" w:rsidP="00AF071A">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1E5ABA" w:rsidRPr="00AF071A" w:rsidSect="00F65227">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2-22T17:12:00Z" w:initials="Start">
    <w:p w:rsidR="00AF071A" w:rsidRDefault="00AF071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rsidR="003E7823">
        <w:fldChar w:fldCharType="separate"/>
      </w:r>
      <w:r w:rsidR="003E7823">
        <w:rPr>
          <w:noProof/>
        </w:rPr>
        <w:t>Page: 1</w:t>
      </w:r>
      <w:r w:rsidR="003E7823">
        <w:rPr>
          <w:noProof/>
        </w:rPr>
        <w:br/>
      </w:r>
      <w:r>
        <w:fldChar w:fldCharType="end"/>
      </w:r>
      <w:r>
        <w:rPr>
          <w:rStyle w:val="CommentReference"/>
        </w:rPr>
        <w:annotationRef/>
      </w:r>
      <w:r>
        <w:t>&lt;&lt;ODS JOB NO&gt;&gt;N0624220C&lt;&lt;ODS JOB NO&gt;&gt;</w:t>
      </w:r>
    </w:p>
    <w:p w:rsidR="00AF071A" w:rsidRDefault="00AF071A">
      <w:pPr>
        <w:pStyle w:val="CommentText"/>
      </w:pPr>
      <w:r>
        <w:t>&lt;&lt;ODS DOC SYMBOL1&gt;&gt;CEDAW/C/GUA/Q/6&lt;&lt;ODS DOC SYMBOL1&gt;&gt;</w:t>
      </w:r>
    </w:p>
    <w:p w:rsidR="00AF071A" w:rsidRDefault="00AF071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0CB7" w:rsidRDefault="00D50CB7">
      <w:r>
        <w:separator/>
      </w:r>
    </w:p>
  </w:endnote>
  <w:endnote w:type="continuationSeparator" w:id="0">
    <w:p w:rsidR="00D50CB7" w:rsidRDefault="00D50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4"/>
      <w:gridCol w:w="5034"/>
    </w:tblGrid>
    <w:tr w:rsidR="00AF071A">
      <w:tblPrEx>
        <w:tblCellMar>
          <w:top w:w="0" w:type="dxa"/>
          <w:bottom w:w="0" w:type="dxa"/>
        </w:tblCellMar>
      </w:tblPrEx>
      <w:tc>
        <w:tcPr>
          <w:tcW w:w="5034" w:type="dxa"/>
          <w:shd w:val="clear" w:color="auto" w:fill="auto"/>
          <w:vAlign w:val="bottom"/>
        </w:tcPr>
        <w:p w:rsidR="00AF071A" w:rsidRPr="00F65227" w:rsidRDefault="00AF071A" w:rsidP="00F65227">
          <w:pPr>
            <w:pStyle w:val="Footer"/>
            <w:jc w:val="left"/>
          </w:pPr>
          <w:r>
            <w:fldChar w:fldCharType="begin"/>
          </w:r>
          <w:r>
            <w:instrText xml:space="preserve"> PAGE  \* MERGEFORMAT </w:instrText>
          </w:r>
          <w:r>
            <w:fldChar w:fldCharType="separate"/>
          </w:r>
          <w:r w:rsidR="00837A93">
            <w:t>4</w:t>
          </w:r>
          <w:r>
            <w:fldChar w:fldCharType="end"/>
          </w:r>
        </w:p>
      </w:tc>
      <w:tc>
        <w:tcPr>
          <w:tcW w:w="5034" w:type="dxa"/>
          <w:shd w:val="clear" w:color="auto" w:fill="auto"/>
          <w:vAlign w:val="bottom"/>
        </w:tcPr>
        <w:p w:rsidR="00AF071A" w:rsidRPr="00F65227" w:rsidRDefault="00AF071A" w:rsidP="00F65227">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837A93">
            <w:rPr>
              <w:b w:val="0"/>
              <w:sz w:val="14"/>
            </w:rPr>
            <w:t>06-24220</w:t>
          </w:r>
          <w:r>
            <w:rPr>
              <w:b w:val="0"/>
              <w:sz w:val="14"/>
            </w:rPr>
            <w:fldChar w:fldCharType="end"/>
          </w:r>
        </w:p>
      </w:tc>
    </w:tr>
  </w:tbl>
  <w:p w:rsidR="00AF071A" w:rsidRPr="00F65227" w:rsidRDefault="00AF071A" w:rsidP="00F652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4"/>
      <w:gridCol w:w="5034"/>
    </w:tblGrid>
    <w:tr w:rsidR="00AF071A">
      <w:tblPrEx>
        <w:tblCellMar>
          <w:top w:w="0" w:type="dxa"/>
          <w:bottom w:w="0" w:type="dxa"/>
        </w:tblCellMar>
      </w:tblPrEx>
      <w:tc>
        <w:tcPr>
          <w:tcW w:w="5034" w:type="dxa"/>
          <w:shd w:val="clear" w:color="auto" w:fill="auto"/>
          <w:vAlign w:val="bottom"/>
        </w:tcPr>
        <w:p w:rsidR="00AF071A" w:rsidRPr="00F65227" w:rsidRDefault="00AF071A" w:rsidP="00F65227">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837A93">
            <w:rPr>
              <w:b w:val="0"/>
              <w:sz w:val="14"/>
            </w:rPr>
            <w:t>06-24220</w:t>
          </w:r>
          <w:r>
            <w:rPr>
              <w:b w:val="0"/>
              <w:sz w:val="14"/>
            </w:rPr>
            <w:fldChar w:fldCharType="end"/>
          </w:r>
        </w:p>
      </w:tc>
      <w:tc>
        <w:tcPr>
          <w:tcW w:w="5034" w:type="dxa"/>
          <w:shd w:val="clear" w:color="auto" w:fill="auto"/>
          <w:vAlign w:val="bottom"/>
        </w:tcPr>
        <w:p w:rsidR="00AF071A" w:rsidRPr="00F65227" w:rsidRDefault="00AF071A" w:rsidP="00F65227">
          <w:pPr>
            <w:pStyle w:val="Footer"/>
            <w:jc w:val="right"/>
          </w:pPr>
          <w:r>
            <w:fldChar w:fldCharType="begin"/>
          </w:r>
          <w:r>
            <w:instrText xml:space="preserve"> PAGE  \* MERGEFORMAT </w:instrText>
          </w:r>
          <w:r>
            <w:fldChar w:fldCharType="separate"/>
          </w:r>
          <w:r w:rsidR="00837A93">
            <w:t>3</w:t>
          </w:r>
          <w:r>
            <w:fldChar w:fldCharType="end"/>
          </w:r>
        </w:p>
      </w:tc>
    </w:tr>
  </w:tbl>
  <w:p w:rsidR="00AF071A" w:rsidRPr="00F65227" w:rsidRDefault="00AF071A" w:rsidP="00F6522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71A" w:rsidRDefault="00AF071A" w:rsidP="00F65227">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837A93">
      <w:rPr>
        <w:b w:val="0"/>
        <w:sz w:val="21"/>
      </w:rPr>
      <w:t>06-24220 (C)</w:t>
    </w:r>
    <w:r>
      <w:rPr>
        <w:b w:val="0"/>
        <w:sz w:val="21"/>
      </w:rPr>
      <w:fldChar w:fldCharType="end"/>
    </w:r>
    <w:r>
      <w:rPr>
        <w:b w:val="0"/>
        <w:sz w:val="21"/>
      </w:rPr>
      <w:t xml:space="preserve">    220206    220206</w:t>
    </w:r>
  </w:p>
  <w:p w:rsidR="00AF071A" w:rsidRPr="00F65227" w:rsidRDefault="00AF071A" w:rsidP="00F65227">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837A93">
      <w:rPr>
        <w:rFonts w:ascii="Barcode 3 of 9 by request" w:hAnsi="Barcode 3 of 9 by request"/>
        <w:sz w:val="24"/>
      </w:rPr>
      <w:t>*0624220*</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0CB7" w:rsidRDefault="00D50CB7">
      <w:r>
        <w:separator/>
      </w:r>
    </w:p>
  </w:footnote>
  <w:footnote w:type="continuationSeparator" w:id="0">
    <w:p w:rsidR="00D50CB7" w:rsidRDefault="00D50C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4"/>
    </w:tblGrid>
    <w:tr w:rsidR="00AF071A">
      <w:tblPrEx>
        <w:tblCellMar>
          <w:top w:w="0" w:type="dxa"/>
          <w:bottom w:w="0" w:type="dxa"/>
        </w:tblCellMar>
      </w:tblPrEx>
      <w:trPr>
        <w:trHeight w:hRule="exact" w:val="864"/>
      </w:trPr>
      <w:tc>
        <w:tcPr>
          <w:tcW w:w="4838" w:type="dxa"/>
          <w:shd w:val="clear" w:color="auto" w:fill="auto"/>
          <w:vAlign w:val="bottom"/>
        </w:tcPr>
        <w:p w:rsidR="00AF071A" w:rsidRPr="00F65227" w:rsidRDefault="00AF071A" w:rsidP="00F65227">
          <w:pPr>
            <w:pStyle w:val="Header"/>
            <w:spacing w:after="80"/>
            <w:rPr>
              <w:b/>
              <w:sz w:val="17"/>
            </w:rPr>
          </w:pPr>
          <w:r>
            <w:rPr>
              <w:b/>
              <w:sz w:val="17"/>
            </w:rPr>
            <w:fldChar w:fldCharType="begin"/>
          </w:r>
          <w:r>
            <w:rPr>
              <w:b/>
              <w:sz w:val="17"/>
            </w:rPr>
            <w:instrText xml:space="preserve"> DOCVARIABLE "sss1" \* MERGEFORMAT </w:instrText>
          </w:r>
          <w:r>
            <w:rPr>
              <w:b/>
              <w:sz w:val="17"/>
            </w:rPr>
            <w:fldChar w:fldCharType="separate"/>
          </w:r>
          <w:r w:rsidR="00837A93">
            <w:rPr>
              <w:b/>
              <w:sz w:val="17"/>
            </w:rPr>
            <w:t>CEDAW/C/GUA/Q/6</w:t>
          </w:r>
          <w:r>
            <w:rPr>
              <w:b/>
              <w:sz w:val="17"/>
            </w:rPr>
            <w:fldChar w:fldCharType="end"/>
          </w:r>
        </w:p>
      </w:tc>
      <w:tc>
        <w:tcPr>
          <w:tcW w:w="5034" w:type="dxa"/>
          <w:shd w:val="clear" w:color="auto" w:fill="auto"/>
          <w:vAlign w:val="bottom"/>
        </w:tcPr>
        <w:p w:rsidR="00AF071A" w:rsidRDefault="00AF071A" w:rsidP="00F65227">
          <w:pPr>
            <w:pStyle w:val="Header"/>
          </w:pPr>
        </w:p>
      </w:tc>
    </w:tr>
  </w:tbl>
  <w:p w:rsidR="00AF071A" w:rsidRPr="00F65227" w:rsidRDefault="00AF071A" w:rsidP="00F6522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4"/>
    </w:tblGrid>
    <w:tr w:rsidR="00AF071A">
      <w:tblPrEx>
        <w:tblCellMar>
          <w:top w:w="0" w:type="dxa"/>
          <w:bottom w:w="0" w:type="dxa"/>
        </w:tblCellMar>
      </w:tblPrEx>
      <w:trPr>
        <w:trHeight w:hRule="exact" w:val="864"/>
      </w:trPr>
      <w:tc>
        <w:tcPr>
          <w:tcW w:w="4838" w:type="dxa"/>
          <w:shd w:val="clear" w:color="auto" w:fill="auto"/>
          <w:vAlign w:val="bottom"/>
        </w:tcPr>
        <w:p w:rsidR="00AF071A" w:rsidRDefault="00AF071A" w:rsidP="00F65227">
          <w:pPr>
            <w:pStyle w:val="Header"/>
          </w:pPr>
        </w:p>
      </w:tc>
      <w:tc>
        <w:tcPr>
          <w:tcW w:w="5034" w:type="dxa"/>
          <w:shd w:val="clear" w:color="auto" w:fill="auto"/>
          <w:vAlign w:val="bottom"/>
        </w:tcPr>
        <w:p w:rsidR="00AF071A" w:rsidRPr="00F65227" w:rsidRDefault="00AF071A" w:rsidP="00F65227">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837A93">
            <w:rPr>
              <w:b/>
              <w:sz w:val="17"/>
            </w:rPr>
            <w:t>CEDAW/C/GUA/Q/6</w:t>
          </w:r>
          <w:r>
            <w:rPr>
              <w:b/>
              <w:sz w:val="17"/>
            </w:rPr>
            <w:fldChar w:fldCharType="end"/>
          </w:r>
        </w:p>
      </w:tc>
    </w:tr>
  </w:tbl>
  <w:p w:rsidR="00AF071A" w:rsidRPr="00F65227" w:rsidRDefault="00AF071A" w:rsidP="00F652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F071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F071A" w:rsidRDefault="00AF071A" w:rsidP="00F65227">
          <w:pPr>
            <w:pStyle w:val="Header"/>
            <w:spacing w:after="120"/>
          </w:pPr>
        </w:p>
      </w:tc>
      <w:tc>
        <w:tcPr>
          <w:tcW w:w="1872" w:type="dxa"/>
          <w:tcBorders>
            <w:bottom w:val="single" w:sz="4" w:space="0" w:color="auto"/>
          </w:tcBorders>
          <w:shd w:val="clear" w:color="auto" w:fill="auto"/>
          <w:vAlign w:val="bottom"/>
        </w:tcPr>
        <w:p w:rsidR="00AF071A" w:rsidRPr="00F65227" w:rsidRDefault="00AF071A" w:rsidP="00F65227">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AF071A" w:rsidRDefault="00AF071A" w:rsidP="00F65227">
          <w:pPr>
            <w:pStyle w:val="Header"/>
            <w:spacing w:after="120"/>
          </w:pPr>
        </w:p>
      </w:tc>
      <w:tc>
        <w:tcPr>
          <w:tcW w:w="6523" w:type="dxa"/>
          <w:gridSpan w:val="3"/>
          <w:tcBorders>
            <w:bottom w:val="single" w:sz="4" w:space="0" w:color="auto"/>
          </w:tcBorders>
          <w:shd w:val="clear" w:color="auto" w:fill="auto"/>
          <w:vAlign w:val="bottom"/>
        </w:tcPr>
        <w:p w:rsidR="00AF071A" w:rsidRPr="00F65227" w:rsidRDefault="00AF071A" w:rsidP="00F65227">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/C/GUA/Q/6</w:t>
          </w:r>
        </w:p>
      </w:tc>
    </w:tr>
    <w:tr w:rsidR="00AF071A" w:rsidRPr="00F6522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F071A" w:rsidRDefault="00AF071A" w:rsidP="00F65227">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F071A" w:rsidRPr="00F65227" w:rsidRDefault="00AF071A" w:rsidP="00F65227">
          <w:pPr>
            <w:pStyle w:val="Header"/>
            <w:spacing w:before="109"/>
            <w:ind w:left="-72"/>
          </w:pPr>
        </w:p>
      </w:tc>
      <w:tc>
        <w:tcPr>
          <w:tcW w:w="5227" w:type="dxa"/>
          <w:gridSpan w:val="3"/>
          <w:tcBorders>
            <w:top w:val="single" w:sz="4" w:space="0" w:color="auto"/>
            <w:bottom w:val="single" w:sz="12" w:space="0" w:color="auto"/>
          </w:tcBorders>
          <w:shd w:val="clear" w:color="auto" w:fill="auto"/>
        </w:tcPr>
        <w:p w:rsidR="00AF071A" w:rsidRPr="00F65227" w:rsidRDefault="00AF071A" w:rsidP="00F65227">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AF071A" w:rsidRPr="00F65227" w:rsidRDefault="00AF071A" w:rsidP="00F65227">
          <w:pPr>
            <w:pStyle w:val="Header"/>
            <w:spacing w:before="109"/>
          </w:pPr>
        </w:p>
      </w:tc>
      <w:tc>
        <w:tcPr>
          <w:tcW w:w="3180" w:type="dxa"/>
          <w:gridSpan w:val="2"/>
          <w:tcBorders>
            <w:top w:val="single" w:sz="4" w:space="0" w:color="auto"/>
            <w:bottom w:val="single" w:sz="12" w:space="0" w:color="auto"/>
          </w:tcBorders>
          <w:shd w:val="clear" w:color="auto" w:fill="auto"/>
        </w:tcPr>
        <w:p w:rsidR="00AF071A" w:rsidRDefault="00AF071A" w:rsidP="00F65227">
          <w:pPr>
            <w:spacing w:before="240" w:line="240" w:lineRule="exact"/>
            <w:rPr>
              <w:rFonts w:ascii="Times New Roman"/>
            </w:rPr>
          </w:pPr>
          <w:r>
            <w:rPr>
              <w:rFonts w:ascii="Times New Roman"/>
            </w:rPr>
            <w:t>Distr.: General</w:t>
          </w:r>
        </w:p>
        <w:p w:rsidR="00AF071A" w:rsidRDefault="00AF071A" w:rsidP="00F65227">
          <w:pPr>
            <w:spacing w:line="240" w:lineRule="exact"/>
            <w:rPr>
              <w:rFonts w:ascii="Times New Roman"/>
            </w:rPr>
          </w:pPr>
          <w:r>
            <w:rPr>
              <w:rFonts w:ascii="Times New Roman"/>
            </w:rPr>
            <w:t>14 February 2006</w:t>
          </w:r>
        </w:p>
        <w:p w:rsidR="00AF071A" w:rsidRDefault="00AF071A" w:rsidP="00F65227">
          <w:pPr>
            <w:spacing w:line="240" w:lineRule="exact"/>
            <w:rPr>
              <w:rFonts w:ascii="Times New Roman"/>
            </w:rPr>
          </w:pPr>
          <w:r>
            <w:rPr>
              <w:rFonts w:ascii="Times New Roman"/>
            </w:rPr>
            <w:t>Chinese</w:t>
          </w:r>
        </w:p>
        <w:p w:rsidR="00AF071A" w:rsidRPr="00F65227" w:rsidRDefault="00AF071A" w:rsidP="00F65227">
          <w:pPr>
            <w:spacing w:line="240" w:lineRule="exact"/>
            <w:rPr>
              <w:rFonts w:ascii="Times New Roman"/>
            </w:rPr>
          </w:pPr>
          <w:r>
            <w:rPr>
              <w:rFonts w:ascii="Times New Roman"/>
            </w:rPr>
            <w:t>Original: Spanish</w:t>
          </w:r>
        </w:p>
      </w:tc>
    </w:tr>
  </w:tbl>
  <w:p w:rsidR="00AF071A" w:rsidRPr="00F65227" w:rsidRDefault="00AF071A" w:rsidP="00F6522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4220*"/>
    <w:docVar w:name="CreationDt" w:val="22/02/2006  4:58: PM"/>
    <w:docVar w:name="DocCategory" w:val="Doc"/>
    <w:docVar w:name="DocType" w:val="Final"/>
    <w:docVar w:name="FooterJN" w:val="06-24220"/>
    <w:docVar w:name="jobn" w:val="06-24220 (C)"/>
    <w:docVar w:name="jobnDT" w:val="06-24220 (C)   220206"/>
    <w:docVar w:name="jobnDTDT" w:val="06-24220 (C)   220206   220206"/>
    <w:docVar w:name="JobNo" w:val="0624220C"/>
    <w:docVar w:name="OandT" w:val=" "/>
    <w:docVar w:name="sss1" w:val="CEDAW/C/GUA/Q/6"/>
    <w:docVar w:name="sss2" w:val="-"/>
    <w:docVar w:name="Symbol1" w:val="CEDAW/C/GUA/Q/6"/>
    <w:docVar w:name="Symbol2" w:val="-"/>
  </w:docVars>
  <w:rsids>
    <w:rsidRoot w:val="00DC3131"/>
    <w:rsid w:val="00023D5F"/>
    <w:rsid w:val="00026F65"/>
    <w:rsid w:val="0002745F"/>
    <w:rsid w:val="00046EF2"/>
    <w:rsid w:val="00076EC9"/>
    <w:rsid w:val="000B291B"/>
    <w:rsid w:val="000C393E"/>
    <w:rsid w:val="00112EF7"/>
    <w:rsid w:val="00152D54"/>
    <w:rsid w:val="0017240D"/>
    <w:rsid w:val="00190BD9"/>
    <w:rsid w:val="001A63C0"/>
    <w:rsid w:val="001A7CE0"/>
    <w:rsid w:val="001E072E"/>
    <w:rsid w:val="001E5ABA"/>
    <w:rsid w:val="0021648C"/>
    <w:rsid w:val="0021751C"/>
    <w:rsid w:val="0022680E"/>
    <w:rsid w:val="00233412"/>
    <w:rsid w:val="002512E2"/>
    <w:rsid w:val="002A022F"/>
    <w:rsid w:val="002A450F"/>
    <w:rsid w:val="002A6D16"/>
    <w:rsid w:val="002D3573"/>
    <w:rsid w:val="002D7BBC"/>
    <w:rsid w:val="002E3BE1"/>
    <w:rsid w:val="002F4CB0"/>
    <w:rsid w:val="00307578"/>
    <w:rsid w:val="003418C9"/>
    <w:rsid w:val="00351A36"/>
    <w:rsid w:val="00352C53"/>
    <w:rsid w:val="00363CCF"/>
    <w:rsid w:val="003843AB"/>
    <w:rsid w:val="00391736"/>
    <w:rsid w:val="003A76FE"/>
    <w:rsid w:val="003D7A77"/>
    <w:rsid w:val="003E7823"/>
    <w:rsid w:val="003F751A"/>
    <w:rsid w:val="0040101A"/>
    <w:rsid w:val="004103D4"/>
    <w:rsid w:val="00415126"/>
    <w:rsid w:val="00424845"/>
    <w:rsid w:val="004A3FC3"/>
    <w:rsid w:val="004A56DD"/>
    <w:rsid w:val="004B4FAD"/>
    <w:rsid w:val="004C3DCE"/>
    <w:rsid w:val="00500CBF"/>
    <w:rsid w:val="00501EC4"/>
    <w:rsid w:val="005060E9"/>
    <w:rsid w:val="00537EB9"/>
    <w:rsid w:val="00582D1F"/>
    <w:rsid w:val="005A0A7A"/>
    <w:rsid w:val="005A2FE6"/>
    <w:rsid w:val="005B034E"/>
    <w:rsid w:val="005B1859"/>
    <w:rsid w:val="005B6DD0"/>
    <w:rsid w:val="00602A74"/>
    <w:rsid w:val="006352D1"/>
    <w:rsid w:val="006714D6"/>
    <w:rsid w:val="00684C45"/>
    <w:rsid w:val="006C552C"/>
    <w:rsid w:val="006E2E62"/>
    <w:rsid w:val="006F02B4"/>
    <w:rsid w:val="007312AB"/>
    <w:rsid w:val="00766D46"/>
    <w:rsid w:val="007750E5"/>
    <w:rsid w:val="0077746D"/>
    <w:rsid w:val="007964E1"/>
    <w:rsid w:val="007C40E1"/>
    <w:rsid w:val="007F4F33"/>
    <w:rsid w:val="00801C8C"/>
    <w:rsid w:val="00802393"/>
    <w:rsid w:val="00810877"/>
    <w:rsid w:val="00837A93"/>
    <w:rsid w:val="00850A6F"/>
    <w:rsid w:val="008526BE"/>
    <w:rsid w:val="00967238"/>
    <w:rsid w:val="0097639B"/>
    <w:rsid w:val="00986FA4"/>
    <w:rsid w:val="009B235E"/>
    <w:rsid w:val="009B73F9"/>
    <w:rsid w:val="009C0AA2"/>
    <w:rsid w:val="009E487C"/>
    <w:rsid w:val="009F6254"/>
    <w:rsid w:val="00A55A9A"/>
    <w:rsid w:val="00A83A44"/>
    <w:rsid w:val="00A90B7C"/>
    <w:rsid w:val="00A90F80"/>
    <w:rsid w:val="00AF071A"/>
    <w:rsid w:val="00AF5E35"/>
    <w:rsid w:val="00B01DF6"/>
    <w:rsid w:val="00B4329B"/>
    <w:rsid w:val="00B92C99"/>
    <w:rsid w:val="00BA5E50"/>
    <w:rsid w:val="00BD043D"/>
    <w:rsid w:val="00C07AE2"/>
    <w:rsid w:val="00C20338"/>
    <w:rsid w:val="00C23B4F"/>
    <w:rsid w:val="00C81E57"/>
    <w:rsid w:val="00CA5FAB"/>
    <w:rsid w:val="00CC7FFB"/>
    <w:rsid w:val="00CD24E0"/>
    <w:rsid w:val="00D50CB7"/>
    <w:rsid w:val="00D92ACF"/>
    <w:rsid w:val="00DA3890"/>
    <w:rsid w:val="00DB7B6F"/>
    <w:rsid w:val="00DB7D3A"/>
    <w:rsid w:val="00DC3131"/>
    <w:rsid w:val="00DD0052"/>
    <w:rsid w:val="00E03604"/>
    <w:rsid w:val="00E03669"/>
    <w:rsid w:val="00E51F46"/>
    <w:rsid w:val="00E72BC6"/>
    <w:rsid w:val="00E7447F"/>
    <w:rsid w:val="00E7747D"/>
    <w:rsid w:val="00ED5F79"/>
    <w:rsid w:val="00F0309E"/>
    <w:rsid w:val="00F11092"/>
    <w:rsid w:val="00F54AAE"/>
    <w:rsid w:val="00F65227"/>
    <w:rsid w:val="00F82C65"/>
    <w:rsid w:val="00F84CE1"/>
    <w:rsid w:val="00FC498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C40E1"/>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rsid w:val="007C40E1"/>
    <w:pPr>
      <w:keepNext/>
      <w:keepLines/>
      <w:suppressAutoHyphens/>
      <w:spacing w:before="60" w:after="180"/>
      <w:outlineLvl w:val="0"/>
    </w:pPr>
    <w:rPr>
      <w:rFonts w:ascii="SimHei" w:eastAsia="SimHei"/>
      <w:color w:val="FF0000"/>
      <w:sz w:val="24"/>
    </w:rPr>
  </w:style>
  <w:style w:type="paragraph" w:customStyle="1" w:styleId="HCh">
    <w:name w:val="_ H _Ch"/>
    <w:basedOn w:val="H1"/>
    <w:next w:val="SingleTxt"/>
    <w:rsid w:val="007C40E1"/>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rsid w:val="007C40E1"/>
    <w:pPr>
      <w:spacing w:before="60" w:after="180"/>
      <w:outlineLvl w:val="1"/>
    </w:pPr>
    <w:rPr>
      <w:rFonts w:ascii="SimHei" w:eastAsia="SimHei"/>
      <w:color w:val="FF0000"/>
      <w:spacing w:val="2"/>
    </w:rPr>
  </w:style>
  <w:style w:type="paragraph" w:customStyle="1" w:styleId="H4">
    <w:name w:val="_ H_4"/>
    <w:basedOn w:val="Normal"/>
    <w:next w:val="Normal"/>
    <w:rsid w:val="007C40E1"/>
    <w:pPr>
      <w:keepNext/>
      <w:keepLines/>
      <w:tabs>
        <w:tab w:val="left" w:pos="431"/>
      </w:tabs>
      <w:suppressAutoHyphens/>
      <w:spacing w:after="140"/>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rsid w:val="007C40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rsid w:val="00F82C65"/>
    <w:pPr>
      <w:tabs>
        <w:tab w:val="right" w:leader="dot" w:pos="360"/>
      </w:tabs>
      <w:spacing w:after="0"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rsid w:val="001E072E"/>
    <w:pPr>
      <w:tabs>
        <w:tab w:val="center" w:pos="4320"/>
        <w:tab w:val="right" w:pos="8640"/>
      </w:tabs>
      <w:jc w:val="both"/>
    </w:pPr>
    <w:rPr>
      <w:b/>
      <w:noProof/>
      <w:sz w:val="18"/>
      <w:szCs w:val="18"/>
      <w:lang w:val="en-US" w:eastAsia="zh-CN"/>
    </w:rPr>
  </w:style>
  <w:style w:type="paragraph" w:styleId="CommentText">
    <w:name w:val="annotation text"/>
    <w:basedOn w:val="Normal"/>
    <w:semiHidden/>
    <w:rsid w:val="00F65227"/>
  </w:style>
  <w:style w:type="paragraph" w:styleId="CommentSubject">
    <w:name w:val="annotation subject"/>
    <w:basedOn w:val="CommentText"/>
    <w:next w:val="CommentText"/>
    <w:semiHidden/>
    <w:rsid w:val="00F65227"/>
    <w:rPr>
      <w:b/>
      <w:bCs/>
    </w:rPr>
  </w:style>
  <w:style w:type="paragraph" w:styleId="BalloonText">
    <w:name w:val="Balloon Text"/>
    <w:basedOn w:val="Normal"/>
    <w:semiHidden/>
    <w:rsid w:val="00F6522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1</Pages>
  <Words>497</Words>
  <Characters>2833</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dezuo.cao</dc:creator>
  <cp:keywords/>
  <dc:description/>
  <cp:lastModifiedBy>dezuo.cao</cp:lastModifiedBy>
  <cp:revision>9</cp:revision>
  <cp:lastPrinted>2006-02-22T17:20:00Z</cp:lastPrinted>
  <dcterms:created xsi:type="dcterms:W3CDTF">2006-02-22T15:58:00Z</dcterms:created>
  <dcterms:modified xsi:type="dcterms:W3CDTF">2006-02-22T17:20:00Z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0624220</vt:lpwstr>
  </property>
  <property fmtid="{D5CDD505-2E9C-101B-9397-08002B2CF9AE}" pid="3" name="Symbol1">
    <vt:lpwstr>CEDAW/C/GUA/Q/6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