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0412C" w:rsidP="0070412C">
            <w:pPr>
              <w:jc w:val="right"/>
            </w:pPr>
            <w:r w:rsidRPr="0070412C">
              <w:rPr>
                <w:sz w:val="40"/>
              </w:rPr>
              <w:t>A</w:t>
            </w:r>
            <w:r>
              <w:t>/HRC/RES/24/5</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3" w:type="dxa"/>
            <w:tcBorders>
              <w:top w:val="single" w:sz="4" w:space="0" w:color="auto"/>
              <w:bottom w:val="single" w:sz="12" w:space="0" w:color="auto"/>
            </w:tcBorders>
          </w:tcPr>
          <w:p w:rsidR="0070412C" w:rsidRDefault="0070412C" w:rsidP="00AB05F9">
            <w:pPr>
              <w:spacing w:before="240"/>
            </w:pPr>
            <w:r>
              <w:t>Distr. general</w:t>
            </w:r>
          </w:p>
          <w:p w:rsidR="0070412C" w:rsidRDefault="0070412C" w:rsidP="0070412C">
            <w:pPr>
              <w:spacing w:line="240" w:lineRule="exact"/>
            </w:pPr>
            <w:r>
              <w:t>8 de octubre de 2013</w:t>
            </w:r>
          </w:p>
          <w:p w:rsidR="0070412C" w:rsidRDefault="0070412C" w:rsidP="0070412C">
            <w:pPr>
              <w:spacing w:line="240" w:lineRule="exact"/>
            </w:pPr>
            <w:r>
              <w:t>Español</w:t>
            </w:r>
          </w:p>
          <w:p w:rsidR="002D5AAC" w:rsidRDefault="0070412C" w:rsidP="0070412C">
            <w:pPr>
              <w:spacing w:line="240" w:lineRule="exact"/>
            </w:pPr>
            <w:r>
              <w:t>Original: inglés</w:t>
            </w:r>
          </w:p>
        </w:tc>
      </w:tr>
    </w:tbl>
    <w:p w:rsidR="0070412C" w:rsidRPr="00255FAA" w:rsidRDefault="0070412C" w:rsidP="0070412C">
      <w:pPr>
        <w:spacing w:before="120" w:line="240" w:lineRule="auto"/>
        <w:rPr>
          <w:b/>
          <w:sz w:val="24"/>
          <w:szCs w:val="24"/>
        </w:rPr>
      </w:pPr>
      <w:r w:rsidRPr="00255FAA">
        <w:rPr>
          <w:b/>
          <w:sz w:val="24"/>
          <w:szCs w:val="24"/>
        </w:rPr>
        <w:t>Consejo de Derechos Humanos</w:t>
      </w:r>
    </w:p>
    <w:p w:rsidR="0070412C" w:rsidRPr="00432D28" w:rsidRDefault="0070412C" w:rsidP="0070412C">
      <w:pPr>
        <w:spacing w:line="240" w:lineRule="auto"/>
        <w:rPr>
          <w:b/>
        </w:rPr>
      </w:pPr>
      <w:r w:rsidRPr="00432D28">
        <w:rPr>
          <w:b/>
        </w:rPr>
        <w:t>24º período de sesiones</w:t>
      </w:r>
    </w:p>
    <w:p w:rsidR="0070412C" w:rsidRPr="00432D28" w:rsidRDefault="0070412C" w:rsidP="0070412C">
      <w:pPr>
        <w:spacing w:line="240" w:lineRule="auto"/>
      </w:pPr>
      <w:r w:rsidRPr="00432D28">
        <w:t>Tema 3 de la agenda</w:t>
      </w:r>
    </w:p>
    <w:p w:rsidR="0070412C" w:rsidRDefault="0070412C" w:rsidP="0070412C">
      <w:pPr>
        <w:spacing w:after="240" w:line="240" w:lineRule="auto"/>
        <w:rPr>
          <w:b/>
        </w:rPr>
      </w:pPr>
      <w:r w:rsidRPr="00432D28">
        <w:rPr>
          <w:b/>
        </w:rPr>
        <w:t xml:space="preserve">Promoción y protección de todos los derechos humanos, </w:t>
      </w:r>
      <w:r>
        <w:rPr>
          <w:b/>
        </w:rPr>
        <w:br/>
      </w:r>
      <w:r w:rsidRPr="00432D28">
        <w:rPr>
          <w:b/>
        </w:rPr>
        <w:t xml:space="preserve">civiles, políticos, económicos, sociales y culturales, </w:t>
      </w:r>
      <w:r>
        <w:rPr>
          <w:b/>
        </w:rPr>
        <w:br/>
      </w:r>
      <w:r w:rsidRPr="00432D28">
        <w:rPr>
          <w:b/>
        </w:rPr>
        <w:t>incluido el derecho al desarrollo</w:t>
      </w:r>
    </w:p>
    <w:p w:rsidR="0070412C" w:rsidRDefault="0070412C" w:rsidP="0070412C">
      <w:pPr>
        <w:pStyle w:val="HChG"/>
      </w:pPr>
      <w:r>
        <w:tab/>
      </w:r>
      <w:r>
        <w:tab/>
        <w:t xml:space="preserve">Resolución aprobada por el Consejo de Derechos </w:t>
      </w:r>
      <w:r>
        <w:br/>
        <w:t>Humanos</w:t>
      </w:r>
      <w:r w:rsidRPr="00A100A9">
        <w:rPr>
          <w:rStyle w:val="FootnoteReference"/>
          <w:b w:val="0"/>
          <w:sz w:val="20"/>
          <w:vertAlign w:val="baseline"/>
        </w:rPr>
        <w:footnoteReference w:customMarkFollows="1" w:id="1"/>
        <w:t>*</w:t>
      </w:r>
    </w:p>
    <w:p w:rsidR="0070412C" w:rsidRPr="00432D28" w:rsidRDefault="0070412C" w:rsidP="0070412C">
      <w:pPr>
        <w:pStyle w:val="H1G"/>
        <w:tabs>
          <w:tab w:val="left" w:pos="1778"/>
        </w:tabs>
      </w:pPr>
      <w:r>
        <w:tab/>
      </w:r>
      <w:r>
        <w:tab/>
        <w:t>24/5.</w:t>
      </w:r>
      <w:r w:rsidRPr="00432D28">
        <w:tab/>
        <w:t>Derechos a la libertad de reunión pacífica y de asociación</w:t>
      </w:r>
    </w:p>
    <w:p w:rsidR="0070412C" w:rsidRPr="00277367" w:rsidRDefault="0070412C" w:rsidP="0070412C">
      <w:pPr>
        <w:pStyle w:val="SingleTxtG"/>
        <w:rPr>
          <w:i/>
        </w:rPr>
      </w:pPr>
      <w:r>
        <w:rPr>
          <w:i/>
        </w:rPr>
        <w:tab/>
      </w:r>
      <w:r w:rsidRPr="00277367">
        <w:rPr>
          <w:i/>
        </w:rPr>
        <w:t>El Consejo de Derechos Humanos</w:t>
      </w:r>
      <w:r w:rsidRPr="006007FC">
        <w:t>,</w:t>
      </w:r>
    </w:p>
    <w:p w:rsidR="0070412C" w:rsidRPr="00432D28" w:rsidRDefault="0070412C" w:rsidP="0070412C">
      <w:pPr>
        <w:pStyle w:val="SingleTxtG"/>
      </w:pPr>
      <w:r>
        <w:tab/>
      </w:r>
      <w:r w:rsidRPr="00277367">
        <w:rPr>
          <w:i/>
        </w:rPr>
        <w:t>Recordando</w:t>
      </w:r>
      <w:r w:rsidRPr="00432D28">
        <w:t xml:space="preserve"> la Declaración Universal de Derechos Humanos, el Pacto Internacional de Derechos Civiles y Políticos, el Pacto Internacional de Derechos Económicos, Sociales y Culturales y otros instrumentos de derechos humanos pertinentes,</w:t>
      </w:r>
    </w:p>
    <w:p w:rsidR="0070412C" w:rsidRPr="00432D28" w:rsidRDefault="0070412C" w:rsidP="0070412C">
      <w:pPr>
        <w:pStyle w:val="SingleTxtG"/>
      </w:pPr>
      <w:r>
        <w:rPr>
          <w:i/>
        </w:rPr>
        <w:tab/>
      </w:r>
      <w:r w:rsidRPr="00277367">
        <w:rPr>
          <w:i/>
        </w:rPr>
        <w:t>Reafirmando</w:t>
      </w:r>
      <w:r w:rsidRPr="00432D28">
        <w:t xml:space="preserve"> su resolución 15/21, de 30 de septiembre de 2010, y recordando sus resoluciones 19</w:t>
      </w:r>
      <w:r>
        <w:t>/35, de 23 de marzo de 2012,</w:t>
      </w:r>
      <w:r w:rsidRPr="00432D28">
        <w:t xml:space="preserve"> 20/8, de 5 de julio de 2012</w:t>
      </w:r>
      <w:r>
        <w:t>,</w:t>
      </w:r>
      <w:r w:rsidRPr="00432D28">
        <w:t xml:space="preserve"> 21/16, de 27 de septiembre de 2012</w:t>
      </w:r>
      <w:r>
        <w:t>,</w:t>
      </w:r>
      <w:r w:rsidRPr="00432D28">
        <w:t xml:space="preserve"> y 22/10, de 21 de marzo de 2013, y las resoluciones pertinentes de la Comisión de Derechos Humanos,</w:t>
      </w:r>
    </w:p>
    <w:p w:rsidR="0070412C" w:rsidRPr="00432D28" w:rsidRDefault="0070412C" w:rsidP="0070412C">
      <w:pPr>
        <w:pStyle w:val="SingleTxtG"/>
      </w:pPr>
      <w:r>
        <w:tab/>
      </w:r>
      <w:r w:rsidRPr="00277367">
        <w:rPr>
          <w:i/>
        </w:rPr>
        <w:t>Reconociendo</w:t>
      </w:r>
      <w:r w:rsidRPr="00432D28">
        <w:t xml:space="preserve"> la importancia de los derechos de todas las personas a la libertad de reunión pacífica y de asociación para el pleno disfrute de todos los derechos humanos,</w:t>
      </w:r>
    </w:p>
    <w:p w:rsidR="0070412C" w:rsidRPr="00432D28" w:rsidRDefault="0070412C" w:rsidP="0070412C">
      <w:pPr>
        <w:pStyle w:val="SingleTxtG"/>
      </w:pPr>
      <w:r>
        <w:rPr>
          <w:i/>
        </w:rPr>
        <w:tab/>
      </w:r>
      <w:r w:rsidRPr="00277367">
        <w:rPr>
          <w:i/>
        </w:rPr>
        <w:t>Recordando</w:t>
      </w:r>
      <w:r w:rsidRPr="00432D28">
        <w:t xml:space="preserve"> que, de conformidad con el Pacto Internacional de Derechos Civiles y Políticos, y como del mismo modo prescribe el Pacto Internacional de Derechos Económicos, Sociales y Culturales, el ejercicio de los derechos a la libertad de reunión pacífica y de asociación solo podrá estar sujeto a las restricciones previstas por la ley que sean necesarias en una sociedad democrática, en interés de la seguridad nacional, de la seguridad pública o del orden público, o para proteger la salud o la moral públicas o los derechos y libertades de los demás,</w:t>
      </w:r>
    </w:p>
    <w:p w:rsidR="0070412C" w:rsidRPr="00432D28" w:rsidRDefault="0070412C" w:rsidP="0070412C">
      <w:pPr>
        <w:pStyle w:val="SingleTxtG"/>
      </w:pPr>
      <w:r>
        <w:tab/>
      </w:r>
      <w:r w:rsidRPr="00277367">
        <w:rPr>
          <w:i/>
        </w:rPr>
        <w:t>Reiterando</w:t>
      </w:r>
      <w:r w:rsidRPr="00432D28">
        <w:t xml:space="preserve"> el carácter esencial del mandato, la función, los conocimientos y los mecanismos y procedimientos especializados de control de la Organización Internacional del Trabajo en relación con el derecho de los empleadores y los trabajadores a la libertad de asociación,</w:t>
      </w:r>
    </w:p>
    <w:p w:rsidR="0070412C" w:rsidRPr="00432D28" w:rsidRDefault="0070412C" w:rsidP="0070412C">
      <w:pPr>
        <w:pStyle w:val="SingleTxtG"/>
      </w:pPr>
      <w:r>
        <w:rPr>
          <w:i/>
        </w:rPr>
        <w:tab/>
      </w:r>
      <w:r w:rsidRPr="00277367">
        <w:rPr>
          <w:i/>
        </w:rPr>
        <w:t>Tomando nota</w:t>
      </w:r>
      <w:r w:rsidRPr="00432D28">
        <w:t xml:space="preserve"> del informe del Relator Especial sobre los derechos a la libertad de reunión pacífica y de asociación presentado al Consejo de Derechos Humano</w:t>
      </w:r>
      <w:r>
        <w:t>s en su 23º período de sesiones</w:t>
      </w:r>
      <w:r w:rsidRPr="00277367">
        <w:rPr>
          <w:rStyle w:val="FootnoteTextChar"/>
          <w:vertAlign w:val="superscript"/>
        </w:rPr>
        <w:footnoteReference w:id="2"/>
      </w:r>
      <w:r>
        <w:t>,</w:t>
      </w:r>
    </w:p>
    <w:p w:rsidR="0070412C" w:rsidRPr="00432D28" w:rsidRDefault="0070412C" w:rsidP="0070412C">
      <w:pPr>
        <w:pStyle w:val="SingleTxtG"/>
      </w:pPr>
      <w:r>
        <w:tab/>
      </w:r>
      <w:r w:rsidRPr="00277367">
        <w:rPr>
          <w:i/>
        </w:rPr>
        <w:t>Consciente</w:t>
      </w:r>
      <w:r w:rsidRPr="00432D28">
        <w:t xml:space="preserve"> de que </w:t>
      </w:r>
      <w:r>
        <w:t>los</w:t>
      </w:r>
      <w:r w:rsidRPr="00432D28">
        <w:t xml:space="preserve"> recursos </w:t>
      </w:r>
      <w:r>
        <w:t>son necesarios</w:t>
      </w:r>
      <w:r w:rsidRPr="00432D28">
        <w:t xml:space="preserve"> para la existencia y el funcionamiento sostenible de toda asociación,</w:t>
      </w:r>
    </w:p>
    <w:p w:rsidR="0070412C" w:rsidRPr="00432D28" w:rsidRDefault="0070412C" w:rsidP="0070412C">
      <w:pPr>
        <w:pStyle w:val="SingleTxtG"/>
      </w:pPr>
      <w:r>
        <w:tab/>
      </w:r>
      <w:r w:rsidRPr="00277367">
        <w:rPr>
          <w:i/>
        </w:rPr>
        <w:t>Reiterando</w:t>
      </w:r>
      <w:r w:rsidRPr="00432D28">
        <w:t xml:space="preserve"> la importante función que desempeñan las nuevas tecnologías de la información y las comunicaciones para propiciar y facilitar el disfrute de los derechos a la libertad de reunión pacífica y de asociación, </w:t>
      </w:r>
      <w:r>
        <w:t xml:space="preserve">así como </w:t>
      </w:r>
      <w:r w:rsidRPr="00432D28">
        <w:t>la importancia de que todos los Estados promuevan y faciliten el acceso a Internet y de la cooperación internacional encaminada al desarrollo de los medios de comunicación y los servicios de información y comunicación en todos los países,</w:t>
      </w:r>
    </w:p>
    <w:p w:rsidR="0070412C" w:rsidRPr="00432D28" w:rsidRDefault="0070412C" w:rsidP="0070412C">
      <w:pPr>
        <w:pStyle w:val="SingleTxtG"/>
      </w:pPr>
      <w:r>
        <w:tab/>
      </w:r>
      <w:r w:rsidRPr="00277367">
        <w:rPr>
          <w:i/>
        </w:rPr>
        <w:t>Reconociendo</w:t>
      </w:r>
      <w:r w:rsidRPr="00432D28">
        <w:t xml:space="preserve"> la importancia de las libertades de reunión pacífica y de asociación, así como de la sociedad civil, para la buena gobernanza mediante, entre otras cosas, la transparencia y la rendición de cuentas, </w:t>
      </w:r>
      <w:r>
        <w:t xml:space="preserve">lo </w:t>
      </w:r>
      <w:r w:rsidRPr="00432D28">
        <w:t xml:space="preserve">que es indispensable para la construcción de sociedades pacíficas, prósperas y democráticas, </w:t>
      </w:r>
    </w:p>
    <w:p w:rsidR="0070412C" w:rsidRPr="00432D28" w:rsidRDefault="0070412C" w:rsidP="0070412C">
      <w:pPr>
        <w:pStyle w:val="SingleTxtG"/>
      </w:pPr>
      <w:r>
        <w:tab/>
      </w:r>
      <w:r w:rsidRPr="00277367">
        <w:rPr>
          <w:i/>
        </w:rPr>
        <w:t>Consciente</w:t>
      </w:r>
      <w:r w:rsidRPr="00432D28">
        <w:t xml:space="preserve"> de la importancia fundamental de la participación activa de la sociedad civil en los procesos de gobernanza que afectan a la vida de la población,</w:t>
      </w:r>
    </w:p>
    <w:p w:rsidR="0070412C" w:rsidRPr="00432D28" w:rsidRDefault="0070412C" w:rsidP="0070412C">
      <w:pPr>
        <w:pStyle w:val="SingleTxtG"/>
      </w:pPr>
      <w:r>
        <w:tab/>
      </w:r>
      <w:r w:rsidRPr="00277367">
        <w:rPr>
          <w:i/>
        </w:rPr>
        <w:t>Recordando</w:t>
      </w:r>
      <w:r w:rsidRPr="00432D28">
        <w:t xml:space="preserve"> las resoluciones del Consejo de Derechos Humanos 5/1 y 5/2, de 18 de junio de 2007, </w:t>
      </w:r>
    </w:p>
    <w:p w:rsidR="0070412C" w:rsidRPr="00432D28" w:rsidRDefault="0070412C" w:rsidP="0070412C">
      <w:pPr>
        <w:pStyle w:val="SingleTxtG"/>
      </w:pPr>
      <w:r>
        <w:tab/>
      </w:r>
      <w:r w:rsidRPr="00432D28">
        <w:t>1.</w:t>
      </w:r>
      <w:r w:rsidRPr="00432D28">
        <w:tab/>
      </w:r>
      <w:r w:rsidRPr="00277367">
        <w:rPr>
          <w:i/>
        </w:rPr>
        <w:t>Decide</w:t>
      </w:r>
      <w:r w:rsidRPr="00432D28">
        <w:t xml:space="preserve"> prorrogar por tres años el mandato del Relator Especial sobre los derechos a la libertad de reunión pacífica y de asociación, establecido por el Consejo de Derechos Humanos en su resolución 15/21;</w:t>
      </w:r>
    </w:p>
    <w:p w:rsidR="0070412C" w:rsidRPr="00432D28" w:rsidRDefault="0070412C" w:rsidP="0070412C">
      <w:pPr>
        <w:pStyle w:val="SingleTxtG"/>
      </w:pPr>
      <w:r>
        <w:tab/>
      </w:r>
      <w:r w:rsidRPr="00432D28">
        <w:t>2.</w:t>
      </w:r>
      <w:r w:rsidRPr="00432D28">
        <w:tab/>
      </w:r>
      <w:r w:rsidRPr="00277367">
        <w:rPr>
          <w:i/>
        </w:rPr>
        <w:t>Recuerda</w:t>
      </w:r>
      <w:r w:rsidRPr="00432D28">
        <w:t xml:space="preserve"> a los Estados su obligación de respetar y proteger plenamente los derechos de todas las personas a la libertad de reunión pacífica y de asociación por cualquier vía, electrónica o no, también en el contexto de unas elecciones, </w:t>
      </w:r>
      <w:r>
        <w:t xml:space="preserve">incluidas </w:t>
      </w:r>
      <w:r w:rsidRPr="00432D28">
        <w:t xml:space="preserve">las personas que abracen </w:t>
      </w:r>
      <w:r>
        <w:t xml:space="preserve">opiniones </w:t>
      </w:r>
      <w:r w:rsidRPr="00432D28">
        <w:t xml:space="preserve">o creencias minoritarias o disidentes, los defensores de los derechos humanos, las personas afiliadas a sindicatos y otras personas, </w:t>
      </w:r>
      <w:r>
        <w:t>como</w:t>
      </w:r>
      <w:r w:rsidRPr="00432D28">
        <w:t xml:space="preserve"> los migrantes, que traten de ejercer o promover esos derechos, y de adoptar todas las medidas necesarias para asegurar que cualquier restricción al libre ejercicio del derecho a la libertad de reunión pacífica y de asociación sea conforme con las obligaciones que les incumben en virtud del derecho internacional de los derechos humanos;</w:t>
      </w:r>
    </w:p>
    <w:p w:rsidR="0070412C" w:rsidRPr="00432D28" w:rsidRDefault="0070412C" w:rsidP="0070412C">
      <w:pPr>
        <w:pStyle w:val="SingleTxtG"/>
      </w:pPr>
      <w:r>
        <w:tab/>
      </w:r>
      <w:r w:rsidRPr="00432D28">
        <w:t>3.</w:t>
      </w:r>
      <w:r w:rsidRPr="00432D28">
        <w:tab/>
      </w:r>
      <w:r w:rsidRPr="00277367">
        <w:rPr>
          <w:i/>
        </w:rPr>
        <w:t>Expresa preocupación</w:t>
      </w:r>
      <w:r w:rsidRPr="00432D28">
        <w:t xml:space="preserve"> por las </w:t>
      </w:r>
      <w:r>
        <w:t>vulnera</w:t>
      </w:r>
      <w:r w:rsidRPr="00432D28">
        <w:t>ciones de los derechos a la libertad de reunión pacífica y de asociación;</w:t>
      </w:r>
    </w:p>
    <w:p w:rsidR="0070412C" w:rsidRPr="00432D28" w:rsidRDefault="0070412C" w:rsidP="0070412C">
      <w:pPr>
        <w:pStyle w:val="SingleTxtG"/>
      </w:pPr>
      <w:r>
        <w:tab/>
      </w:r>
      <w:r w:rsidRPr="00432D28">
        <w:t>4.</w:t>
      </w:r>
      <w:r w:rsidRPr="00432D28">
        <w:tab/>
      </w:r>
      <w:r w:rsidRPr="00277367">
        <w:rPr>
          <w:i/>
        </w:rPr>
        <w:t>Pone de relieve</w:t>
      </w:r>
      <w:r w:rsidRPr="00432D28">
        <w:t xml:space="preserve"> el papel fundamental de los derechos a la libertad de reunión pacífica y de asociación </w:t>
      </w:r>
      <w:r>
        <w:t>para</w:t>
      </w:r>
      <w:r w:rsidRPr="00432D28">
        <w:t xml:space="preserve"> la sociedad civil y reconoce que</w:t>
      </w:r>
      <w:r>
        <w:t xml:space="preserve"> esta </w:t>
      </w:r>
      <w:r w:rsidRPr="00432D28">
        <w:t>facilita el logro de los propósitos y principios de las Naciones Unidas;</w:t>
      </w:r>
    </w:p>
    <w:p w:rsidR="0070412C" w:rsidRPr="00432D28" w:rsidRDefault="0070412C" w:rsidP="0070412C">
      <w:pPr>
        <w:pStyle w:val="SingleTxtG"/>
      </w:pPr>
      <w:r>
        <w:tab/>
      </w:r>
      <w:r w:rsidRPr="00432D28">
        <w:t>5.</w:t>
      </w:r>
      <w:r w:rsidRPr="00432D28">
        <w:tab/>
      </w:r>
      <w:r w:rsidRPr="00277367">
        <w:rPr>
          <w:i/>
        </w:rPr>
        <w:t>Destaca</w:t>
      </w:r>
      <w:r w:rsidRPr="00432D28">
        <w:t xml:space="preserve"> que el respeto de los derechos a la libertad de reunión pacífica y de asociación, en relación con la sociedad civil, contribuye a afrontar y resolver problemas y cuestiones de importancia para la sociedad, como el medio ambiente, el desarrollo sostenible, la prevención de la delincuencia, la trata de personas, el empoderamiento de la mujer, la justicia social, la protección del consumidor y la efectividad de todos los derechos humanos;</w:t>
      </w:r>
    </w:p>
    <w:p w:rsidR="0070412C" w:rsidRPr="00432D28" w:rsidRDefault="0070412C" w:rsidP="0070412C">
      <w:pPr>
        <w:pStyle w:val="SingleTxtG"/>
      </w:pPr>
      <w:r>
        <w:tab/>
      </w:r>
      <w:r w:rsidRPr="00432D28">
        <w:t>6.</w:t>
      </w:r>
      <w:r w:rsidRPr="00432D28">
        <w:tab/>
      </w:r>
      <w:r w:rsidRPr="00277367">
        <w:rPr>
          <w:i/>
        </w:rPr>
        <w:t>Exhorta</w:t>
      </w:r>
      <w:r w:rsidRPr="00432D28">
        <w:t xml:space="preserve"> a los Estados a que colaboren plenamente con el Relator Especial y le presten asistencia en el desempeño de sus funciones, le respondan con prontitud a los llamamientos urgentes y a otras comunicaciones que haga, y consideren favorablemente sus solicitudes para realizar visitas;</w:t>
      </w:r>
    </w:p>
    <w:p w:rsidR="0070412C" w:rsidRPr="00432D28" w:rsidRDefault="0070412C" w:rsidP="0070412C">
      <w:pPr>
        <w:pStyle w:val="SingleTxtG"/>
      </w:pPr>
      <w:r>
        <w:tab/>
      </w:r>
      <w:r w:rsidRPr="00432D28">
        <w:t>7.</w:t>
      </w:r>
      <w:r w:rsidRPr="00432D28">
        <w:tab/>
      </w:r>
      <w:r w:rsidRPr="00277367">
        <w:rPr>
          <w:i/>
        </w:rPr>
        <w:t>Reitera su llamamiento</w:t>
      </w:r>
      <w:r w:rsidRPr="00432D28">
        <w:t xml:space="preserve"> a la Oficina del Alto Comisionado de las Naciones Unidas para los Derechos Humanos </w:t>
      </w:r>
      <w:r>
        <w:t xml:space="preserve">a fin de </w:t>
      </w:r>
      <w:r w:rsidRPr="00432D28">
        <w:t xml:space="preserve">que preste asistencia a los Estados </w:t>
      </w:r>
      <w:r>
        <w:t xml:space="preserve">para </w:t>
      </w:r>
      <w:r w:rsidRPr="00432D28">
        <w:t>promover y proteger los derechos a la libertad de reunión pacífica y de asociación</w:t>
      </w:r>
      <w:r>
        <w:t xml:space="preserve"> </w:t>
      </w:r>
      <w:r w:rsidRPr="00432D28">
        <w:t>mediante, entre otras cosas</w:t>
      </w:r>
      <w:r>
        <w:t>,</w:t>
      </w:r>
      <w:r w:rsidRPr="00432D28">
        <w:t xml:space="preserve"> los programas de asistencia técnica de la Oficina, a petición de los Estados, y para que colabore con los organismos pertinentes del sistema de las Naciones Unidas y con otras organizaciones intergubernamentales a fin de </w:t>
      </w:r>
      <w:r>
        <w:t>ayudar</w:t>
      </w:r>
      <w:r w:rsidRPr="00432D28">
        <w:t xml:space="preserve"> a los Estados a promover y proteger los derechos a la libertad de reunión pacífica y de asociación;</w:t>
      </w:r>
    </w:p>
    <w:p w:rsidR="0070412C" w:rsidRPr="00432D28" w:rsidRDefault="0070412C" w:rsidP="0070412C">
      <w:pPr>
        <w:pStyle w:val="SingleTxtG"/>
      </w:pPr>
      <w:r>
        <w:tab/>
        <w:t>8</w:t>
      </w:r>
      <w:r w:rsidRPr="00432D28">
        <w:t>.</w:t>
      </w:r>
      <w:r w:rsidRPr="00432D28">
        <w:tab/>
      </w:r>
      <w:r w:rsidRPr="00277367">
        <w:rPr>
          <w:i/>
        </w:rPr>
        <w:t>Solicita</w:t>
      </w:r>
      <w:r w:rsidRPr="00432D28">
        <w:t xml:space="preserve"> al Relator Especial que siga presentando un informe anual </w:t>
      </w:r>
      <w:r>
        <w:t xml:space="preserve">al Consejo de Derechos Humanos y </w:t>
      </w:r>
      <w:r w:rsidRPr="00432D28">
        <w:t>a la Asamblea General;</w:t>
      </w:r>
    </w:p>
    <w:p w:rsidR="0070412C" w:rsidRDefault="0070412C" w:rsidP="0070412C">
      <w:pPr>
        <w:pStyle w:val="SingleTxtG"/>
        <w:spacing w:after="240"/>
      </w:pPr>
      <w:r>
        <w:tab/>
        <w:t>9</w:t>
      </w:r>
      <w:r w:rsidRPr="00432D28">
        <w:t>.</w:t>
      </w:r>
      <w:r w:rsidRPr="00432D28">
        <w:tab/>
      </w:r>
      <w:r w:rsidRPr="00277367">
        <w:rPr>
          <w:i/>
        </w:rPr>
        <w:t>Decide</w:t>
      </w:r>
      <w:r w:rsidRPr="00432D28">
        <w:t xml:space="preserve"> seguir examinando la cuestión de los derechos a la libertad de reunión pacífica y de asociación de conformidad con su programa de trabajo.</w:t>
      </w:r>
    </w:p>
    <w:p w:rsidR="0070412C" w:rsidRPr="001552D6" w:rsidRDefault="0070412C" w:rsidP="0070412C">
      <w:pPr>
        <w:pStyle w:val="SingleTxtG"/>
        <w:spacing w:after="240"/>
        <w:jc w:val="right"/>
        <w:rPr>
          <w:i/>
        </w:rPr>
      </w:pPr>
      <w:r w:rsidRPr="001552D6">
        <w:rPr>
          <w:i/>
        </w:rPr>
        <w:t>34ª sesión</w:t>
      </w:r>
      <w:r w:rsidRPr="001552D6">
        <w:rPr>
          <w:i/>
        </w:rPr>
        <w:br/>
        <w:t>26 de septiembre de 2013</w:t>
      </w:r>
    </w:p>
    <w:p w:rsidR="0070412C" w:rsidRDefault="0070412C" w:rsidP="0070412C">
      <w:pPr>
        <w:pStyle w:val="SingleTxtG"/>
      </w:pPr>
      <w:r>
        <w:t>[Aprobada sin votación.]</w:t>
      </w:r>
    </w:p>
    <w:p w:rsidR="0070412C" w:rsidRPr="001552D6" w:rsidRDefault="0070412C" w:rsidP="0070412C">
      <w:pPr>
        <w:pStyle w:val="SingleTxtG"/>
        <w:spacing w:before="240"/>
        <w:jc w:val="center"/>
        <w:rPr>
          <w:u w:val="single"/>
        </w:rPr>
      </w:pPr>
      <w:r>
        <w:rPr>
          <w:u w:val="single"/>
        </w:rPr>
        <w:tab/>
      </w:r>
      <w:r>
        <w:rPr>
          <w:u w:val="single"/>
        </w:rPr>
        <w:tab/>
      </w:r>
      <w:r>
        <w:rPr>
          <w:u w:val="single"/>
        </w:rPr>
        <w:tab/>
      </w:r>
    </w:p>
    <w:p w:rsidR="00381C24" w:rsidRPr="001075E9" w:rsidRDefault="00381C24" w:rsidP="00882271"/>
    <w:sectPr w:rsidR="00381C24" w:rsidRPr="001075E9" w:rsidSect="0070412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3D1" w:rsidRDefault="00C263D1">
      <w:r>
        <w:separator/>
      </w:r>
    </w:p>
  </w:endnote>
  <w:endnote w:type="continuationSeparator" w:id="0">
    <w:p w:rsidR="00C263D1" w:rsidRDefault="00C263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3D1" w:rsidRPr="0070412C" w:rsidRDefault="00C263D1" w:rsidP="0070412C">
    <w:pPr>
      <w:pStyle w:val="Footer"/>
      <w:tabs>
        <w:tab w:val="right" w:pos="9638"/>
      </w:tabs>
    </w:pPr>
    <w:r w:rsidRPr="0070412C">
      <w:rPr>
        <w:b/>
        <w:sz w:val="18"/>
      </w:rPr>
      <w:fldChar w:fldCharType="begin"/>
    </w:r>
    <w:r w:rsidRPr="0070412C">
      <w:rPr>
        <w:b/>
        <w:sz w:val="18"/>
      </w:rPr>
      <w:instrText xml:space="preserve"> PAGE  \* MERGEFORMAT </w:instrText>
    </w:r>
    <w:r w:rsidRPr="0070412C">
      <w:rPr>
        <w:b/>
        <w:sz w:val="18"/>
      </w:rPr>
      <w:fldChar w:fldCharType="separate"/>
    </w:r>
    <w:r w:rsidR="00ED7E43">
      <w:rPr>
        <w:b/>
        <w:noProof/>
        <w:sz w:val="18"/>
      </w:rPr>
      <w:t>2</w:t>
    </w:r>
    <w:r w:rsidRPr="0070412C">
      <w:rPr>
        <w:b/>
        <w:sz w:val="18"/>
      </w:rPr>
      <w:fldChar w:fldCharType="end"/>
    </w:r>
    <w:r>
      <w:rPr>
        <w:b/>
        <w:sz w:val="18"/>
      </w:rPr>
      <w:tab/>
    </w:r>
    <w:r>
      <w:t>GE.13-17836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3D1" w:rsidRPr="0070412C" w:rsidRDefault="00C263D1" w:rsidP="0070412C">
    <w:pPr>
      <w:pStyle w:val="Footer"/>
      <w:tabs>
        <w:tab w:val="right" w:pos="9638"/>
      </w:tabs>
      <w:rPr>
        <w:b/>
        <w:sz w:val="18"/>
      </w:rPr>
    </w:pPr>
    <w:r>
      <w:t>GE.13-17836</w:t>
    </w:r>
    <w:r>
      <w:tab/>
    </w:r>
    <w:r w:rsidRPr="0070412C">
      <w:rPr>
        <w:b/>
        <w:sz w:val="18"/>
      </w:rPr>
      <w:fldChar w:fldCharType="begin"/>
    </w:r>
    <w:r w:rsidRPr="0070412C">
      <w:rPr>
        <w:b/>
        <w:sz w:val="18"/>
      </w:rPr>
      <w:instrText xml:space="preserve"> PAGE  \* MERGEFORMAT </w:instrText>
    </w:r>
    <w:r w:rsidRPr="0070412C">
      <w:rPr>
        <w:b/>
        <w:sz w:val="18"/>
      </w:rPr>
      <w:fldChar w:fldCharType="separate"/>
    </w:r>
    <w:r w:rsidR="00ED7E43">
      <w:rPr>
        <w:b/>
        <w:noProof/>
        <w:sz w:val="18"/>
      </w:rPr>
      <w:t>3</w:t>
    </w:r>
    <w:r w:rsidRPr="007041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3D1" w:rsidRPr="0070412C" w:rsidRDefault="00C263D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13-17836  (S)    231013    281013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3D1" w:rsidRPr="001075E9" w:rsidRDefault="00C263D1" w:rsidP="001075E9">
      <w:pPr>
        <w:tabs>
          <w:tab w:val="right" w:pos="2155"/>
        </w:tabs>
        <w:spacing w:after="80" w:line="240" w:lineRule="auto"/>
        <w:ind w:left="680"/>
        <w:rPr>
          <w:u w:val="single"/>
        </w:rPr>
      </w:pPr>
      <w:r>
        <w:rPr>
          <w:u w:val="single"/>
        </w:rPr>
        <w:tab/>
      </w:r>
    </w:p>
  </w:footnote>
  <w:footnote w:type="continuationSeparator" w:id="0">
    <w:p w:rsidR="00C263D1" w:rsidRDefault="00C263D1" w:rsidP="00882271">
      <w:pPr>
        <w:tabs>
          <w:tab w:val="right" w:pos="2155"/>
        </w:tabs>
        <w:spacing w:after="80" w:line="240" w:lineRule="auto"/>
        <w:ind w:left="680"/>
      </w:pPr>
      <w:r>
        <w:rPr>
          <w:u w:val="single"/>
        </w:rPr>
        <w:tab/>
      </w:r>
    </w:p>
  </w:footnote>
  <w:footnote w:id="1">
    <w:p w:rsidR="00C263D1" w:rsidRPr="00814205" w:rsidRDefault="00C263D1" w:rsidP="0070412C">
      <w:pPr>
        <w:pStyle w:val="FootnoteText"/>
        <w:rPr>
          <w:sz w:val="20"/>
        </w:rPr>
      </w:pPr>
      <w:r>
        <w:tab/>
      </w:r>
      <w:r w:rsidRPr="00814205">
        <w:rPr>
          <w:rStyle w:val="FootnoteReference"/>
          <w:sz w:val="20"/>
          <w:vertAlign w:val="baseline"/>
        </w:rPr>
        <w:t>*</w:t>
      </w:r>
      <w:r w:rsidRPr="00814205">
        <w:tab/>
      </w:r>
      <w:r>
        <w:t>Las resoluciones y decisiones aprobadas por el Consejo de Derechos Humanos se publicarán en el informe del Consejo sobre su 24º período de sesiones (A/HRC/24/2), cap. I.</w:t>
      </w:r>
    </w:p>
  </w:footnote>
  <w:footnote w:id="2">
    <w:p w:rsidR="00C263D1" w:rsidRDefault="00C263D1" w:rsidP="0070412C">
      <w:pPr>
        <w:pStyle w:val="FootnoteText"/>
        <w:widowControl w:val="0"/>
        <w:tabs>
          <w:tab w:val="clear" w:pos="1021"/>
          <w:tab w:val="right" w:pos="1020"/>
        </w:tabs>
      </w:pPr>
      <w:r>
        <w:tab/>
      </w:r>
      <w:r>
        <w:rPr>
          <w:rStyle w:val="FootnoteReference"/>
        </w:rPr>
        <w:footnoteRef/>
      </w:r>
      <w:r>
        <w:tab/>
        <w:t>A/HRC/23/39.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3D1" w:rsidRPr="0070412C" w:rsidRDefault="00C263D1">
    <w:pPr>
      <w:pStyle w:val="Header"/>
    </w:pPr>
    <w:r>
      <w:t>A/HRC/RES/24/5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3D1" w:rsidRPr="0070412C" w:rsidRDefault="00C263D1" w:rsidP="0070412C">
    <w:pPr>
      <w:pStyle w:val="Header"/>
      <w:jc w:val="right"/>
    </w:pPr>
    <w:r>
      <w:t>A/HRC/RES/24/5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04A1"/>
    <w:rsid w:val="0008650D"/>
    <w:rsid w:val="000B57E7"/>
    <w:rsid w:val="000F09DF"/>
    <w:rsid w:val="000F0DA4"/>
    <w:rsid w:val="000F61B2"/>
    <w:rsid w:val="0010219A"/>
    <w:rsid w:val="001075E9"/>
    <w:rsid w:val="001414AD"/>
    <w:rsid w:val="00177CBA"/>
    <w:rsid w:val="00180183"/>
    <w:rsid w:val="00196389"/>
    <w:rsid w:val="001C7A89"/>
    <w:rsid w:val="00284907"/>
    <w:rsid w:val="002A2EFC"/>
    <w:rsid w:val="002D16F0"/>
    <w:rsid w:val="002D5AAC"/>
    <w:rsid w:val="00301299"/>
    <w:rsid w:val="00313431"/>
    <w:rsid w:val="00322004"/>
    <w:rsid w:val="003402C2"/>
    <w:rsid w:val="00381C24"/>
    <w:rsid w:val="003958D0"/>
    <w:rsid w:val="003D064D"/>
    <w:rsid w:val="003F1B65"/>
    <w:rsid w:val="00403A7C"/>
    <w:rsid w:val="0041031F"/>
    <w:rsid w:val="00454E07"/>
    <w:rsid w:val="004B19F2"/>
    <w:rsid w:val="004E2655"/>
    <w:rsid w:val="0050108D"/>
    <w:rsid w:val="005016AF"/>
    <w:rsid w:val="005076AF"/>
    <w:rsid w:val="0052159C"/>
    <w:rsid w:val="005567D9"/>
    <w:rsid w:val="00572E19"/>
    <w:rsid w:val="005A4166"/>
    <w:rsid w:val="005F0B42"/>
    <w:rsid w:val="0064421C"/>
    <w:rsid w:val="006F35EE"/>
    <w:rsid w:val="0070412C"/>
    <w:rsid w:val="00710CF8"/>
    <w:rsid w:val="00716C6F"/>
    <w:rsid w:val="007464CC"/>
    <w:rsid w:val="007D6339"/>
    <w:rsid w:val="00802199"/>
    <w:rsid w:val="008308A6"/>
    <w:rsid w:val="00830923"/>
    <w:rsid w:val="00834B71"/>
    <w:rsid w:val="0086445C"/>
    <w:rsid w:val="00882271"/>
    <w:rsid w:val="008A08D7"/>
    <w:rsid w:val="00906890"/>
    <w:rsid w:val="00951972"/>
    <w:rsid w:val="009E78C4"/>
    <w:rsid w:val="00A00CB2"/>
    <w:rsid w:val="00A104A1"/>
    <w:rsid w:val="00A500CE"/>
    <w:rsid w:val="00A917B3"/>
    <w:rsid w:val="00AB05F9"/>
    <w:rsid w:val="00AB4B51"/>
    <w:rsid w:val="00AB4EB2"/>
    <w:rsid w:val="00B10CC7"/>
    <w:rsid w:val="00B62458"/>
    <w:rsid w:val="00B6350A"/>
    <w:rsid w:val="00BC161C"/>
    <w:rsid w:val="00BD33EE"/>
    <w:rsid w:val="00BD6E50"/>
    <w:rsid w:val="00BE734D"/>
    <w:rsid w:val="00C263D1"/>
    <w:rsid w:val="00C60F0C"/>
    <w:rsid w:val="00C805C9"/>
    <w:rsid w:val="00CA1679"/>
    <w:rsid w:val="00CE34F5"/>
    <w:rsid w:val="00D738F9"/>
    <w:rsid w:val="00D90138"/>
    <w:rsid w:val="00D97076"/>
    <w:rsid w:val="00E66A25"/>
    <w:rsid w:val="00E73F76"/>
    <w:rsid w:val="00ED7E43"/>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rsid w:val="0070412C"/>
    <w:rPr>
      <w:sz w:val="1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3</Pages>
  <Words>985</Words>
  <Characters>5364</Characters>
  <Application>Microsoft Office Outlook</Application>
  <DocSecurity>4</DocSecurity>
  <Lines>99</Lines>
  <Paragraphs>46</Paragraphs>
  <ScaleCrop>false</ScaleCrop>
  <HeadingPairs>
    <vt:vector size="2" baseType="variant">
      <vt:variant>
        <vt:lpstr>Título</vt:lpstr>
      </vt:variant>
      <vt:variant>
        <vt:i4>1</vt:i4>
      </vt:variant>
    </vt:vector>
  </HeadingPairs>
  <TitlesOfParts>
    <vt:vector size="1" baseType="lpstr">
      <vt:lpstr>A/HRC/RES/24/5  13-17836</vt:lpstr>
    </vt:vector>
  </TitlesOfParts>
  <Company/>
  <LinksUpToDate>false</LinksUpToDate>
  <CharactersWithSpaces>6303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A/HRC/RES/24/5  13-17836</dc:title>
  <dc:subject>FINAL</dc:subject>
  <dc:creator>Javier Rodríguez</dc:creator>
  <cp:keywords/>
  <dc:description/>
  <cp:lastModifiedBy>Javier Rodríguez</cp:lastModifiedBy>
  <cp:revision>2</cp:revision>
  <cp:lastPrinted>2013-10-28T09:03:00Z</cp:lastPrinted>
  <dcterms:created xsi:type="dcterms:W3CDTF">2013-10-28T09:05:00Z</dcterms:created>
  <dcterms:modified xsi:type="dcterms:W3CDTF">2013-10-28T09:05:00Z</dcterms:modified>
</cp:coreProperties>
</file>