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4F473690" w14:textId="77777777" w:rsidTr="00EB7F85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4BBF48B6" w14:textId="77777777" w:rsidR="002D5AAC" w:rsidRDefault="002D5AAC" w:rsidP="00EB7F8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045542F1" w14:textId="77777777" w:rsidR="002D5AAC" w:rsidRPr="00BD33EE" w:rsidRDefault="00BD33EE" w:rsidP="0008244E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55F5BC57" w14:textId="77777777" w:rsidR="002D5AAC" w:rsidRDefault="00EB7F85" w:rsidP="00EB7F85">
            <w:pPr>
              <w:jc w:val="right"/>
            </w:pPr>
            <w:r w:rsidRPr="00EB7F85">
              <w:rPr>
                <w:sz w:val="40"/>
              </w:rPr>
              <w:t>A</w:t>
            </w:r>
            <w:r>
              <w:t>/</w:t>
            </w:r>
            <w:proofErr w:type="spellStart"/>
            <w:r>
              <w:t>HRC</w:t>
            </w:r>
            <w:proofErr w:type="spellEnd"/>
            <w:r>
              <w:t>/RES/44/13</w:t>
            </w:r>
          </w:p>
        </w:tc>
      </w:tr>
      <w:tr w:rsidR="002D5AAC" w14:paraId="283C6B74" w14:textId="77777777" w:rsidTr="00EB7F85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7A050DCC" w14:textId="77777777" w:rsidR="002D5AAC" w:rsidRDefault="002E5067" w:rsidP="0008244E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6AF8AA1D" wp14:editId="60A305D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EEF42FF" w14:textId="77777777" w:rsidR="002D5AAC" w:rsidRPr="00033EE1" w:rsidRDefault="002F7EEC" w:rsidP="0008244E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>Asamblea General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BE9FC17" w14:textId="77777777" w:rsidR="002D5AAC" w:rsidRDefault="00EB7F85" w:rsidP="0008244E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general</w:t>
            </w:r>
          </w:p>
          <w:p w14:paraId="4A78D4D3" w14:textId="77777777" w:rsidR="00EB7F85" w:rsidRDefault="00EB7F85" w:rsidP="00EB7F85">
            <w:pPr>
              <w:spacing w:line="240" w:lineRule="exact"/>
            </w:pPr>
            <w:r>
              <w:t>23 de julio de 2020</w:t>
            </w:r>
          </w:p>
          <w:p w14:paraId="18896DA9" w14:textId="77777777" w:rsidR="00EB7F85" w:rsidRDefault="00EB7F85" w:rsidP="00EB7F85">
            <w:pPr>
              <w:spacing w:line="240" w:lineRule="exact"/>
            </w:pPr>
            <w:r>
              <w:t>Español</w:t>
            </w:r>
          </w:p>
          <w:p w14:paraId="6B40990D" w14:textId="77777777" w:rsidR="00EB7F85" w:rsidRDefault="00EB7F85" w:rsidP="00EB7F85">
            <w:pPr>
              <w:spacing w:line="240" w:lineRule="exact"/>
            </w:pPr>
            <w:r>
              <w:t>Original: inglés</w:t>
            </w:r>
          </w:p>
        </w:tc>
      </w:tr>
    </w:tbl>
    <w:p w14:paraId="30F311FD" w14:textId="77777777" w:rsidR="00EB7F85" w:rsidRPr="00EB7F85" w:rsidRDefault="00EB7F85" w:rsidP="00EB7F85">
      <w:pPr>
        <w:spacing w:before="120"/>
        <w:rPr>
          <w:b/>
          <w:bCs/>
          <w:sz w:val="24"/>
          <w:szCs w:val="24"/>
        </w:rPr>
      </w:pPr>
      <w:r w:rsidRPr="00EB7F85">
        <w:rPr>
          <w:b/>
          <w:bCs/>
          <w:sz w:val="24"/>
          <w:szCs w:val="24"/>
        </w:rPr>
        <w:t>Consejo de Derechos Humanos</w:t>
      </w:r>
    </w:p>
    <w:p w14:paraId="7805F05F" w14:textId="77777777" w:rsidR="00EB7F85" w:rsidRPr="00EB7F85" w:rsidRDefault="00EB7F85" w:rsidP="00EB7F85">
      <w:pPr>
        <w:rPr>
          <w:b/>
          <w:bCs/>
        </w:rPr>
      </w:pPr>
      <w:r w:rsidRPr="00EB7F85">
        <w:rPr>
          <w:b/>
          <w:bCs/>
        </w:rPr>
        <w:t>44º período de sesiones</w:t>
      </w:r>
    </w:p>
    <w:p w14:paraId="16E36812" w14:textId="77777777" w:rsidR="00EB7F85" w:rsidRPr="00EB7F85" w:rsidRDefault="00EB7F85" w:rsidP="00EB7F85">
      <w:r w:rsidRPr="00EB7F85">
        <w:t>30 de junio a 17 de julio de 2020</w:t>
      </w:r>
    </w:p>
    <w:p w14:paraId="2D1C423F" w14:textId="77777777" w:rsidR="00EB7F85" w:rsidRPr="00EB7F85" w:rsidRDefault="00EB7F85" w:rsidP="00EB7F85">
      <w:r w:rsidRPr="00EB7F85">
        <w:t>Tema 3 de la agenda</w:t>
      </w:r>
    </w:p>
    <w:p w14:paraId="30263E35" w14:textId="77777777" w:rsidR="00EB7F85" w:rsidRPr="00EB7F85" w:rsidRDefault="00EB7F85" w:rsidP="00EB7F85">
      <w:pPr>
        <w:rPr>
          <w:b/>
          <w:bCs/>
        </w:rPr>
      </w:pPr>
      <w:r w:rsidRPr="00EB7F85">
        <w:rPr>
          <w:b/>
          <w:bCs/>
        </w:rPr>
        <w:t xml:space="preserve">Promoción y protección de todos los derechos humanos, </w:t>
      </w:r>
      <w:r w:rsidRPr="00EB7F85">
        <w:rPr>
          <w:b/>
          <w:bCs/>
        </w:rPr>
        <w:br/>
        <w:t xml:space="preserve">civiles, políticos, económicos, sociales y culturales, </w:t>
      </w:r>
      <w:r w:rsidRPr="00EB7F85">
        <w:rPr>
          <w:b/>
          <w:bCs/>
        </w:rPr>
        <w:br/>
        <w:t>incluido el derecho al desarrollo</w:t>
      </w:r>
    </w:p>
    <w:p w14:paraId="462D507E" w14:textId="77777777" w:rsidR="00EB7F85" w:rsidRPr="00EB7F85" w:rsidRDefault="00EB7F85" w:rsidP="00EB7F85">
      <w:pPr>
        <w:pStyle w:val="HChG"/>
      </w:pPr>
      <w:r>
        <w:tab/>
      </w:r>
      <w:r w:rsidRPr="00EB7F85">
        <w:tab/>
        <w:t xml:space="preserve">Resolución aprobada por el Consejo de Derechos Humanos </w:t>
      </w:r>
      <w:r>
        <w:br/>
      </w:r>
      <w:r w:rsidRPr="00EB7F85">
        <w:t>el 16 de julio de 2020</w:t>
      </w:r>
    </w:p>
    <w:p w14:paraId="5375D86D" w14:textId="77777777" w:rsidR="00EB7F85" w:rsidRDefault="00EB7F85" w:rsidP="00EB7F85">
      <w:pPr>
        <w:pStyle w:val="H1G"/>
      </w:pPr>
      <w:r w:rsidRPr="00EB7F85">
        <w:tab/>
      </w:r>
      <w:r w:rsidRPr="00D00787">
        <w:t>44/13.</w:t>
      </w:r>
      <w:r w:rsidRPr="00D00787">
        <w:tab/>
        <w:t>Extrema pobreza y derechos humanos</w:t>
      </w:r>
    </w:p>
    <w:p w14:paraId="6AFCA197" w14:textId="77777777" w:rsidR="00EB7F85" w:rsidRPr="00EB7F85" w:rsidRDefault="00EB7F85" w:rsidP="00EB7F85">
      <w:pPr>
        <w:pStyle w:val="SingleTxtG"/>
      </w:pPr>
      <w:r w:rsidRPr="00EB7F85">
        <w:tab/>
      </w:r>
      <w:r w:rsidRPr="00EB7F85">
        <w:rPr>
          <w:i/>
          <w:iCs/>
        </w:rPr>
        <w:t>El Consejo de Derechos Humanos</w:t>
      </w:r>
      <w:r w:rsidRPr="00EB7F85">
        <w:t>,</w:t>
      </w:r>
    </w:p>
    <w:p w14:paraId="78D00F72" w14:textId="77777777" w:rsidR="00EB7F85" w:rsidRPr="00EB7F85" w:rsidRDefault="00EB7F85" w:rsidP="00EB7F85">
      <w:pPr>
        <w:pStyle w:val="SingleTxtG"/>
      </w:pPr>
      <w:r w:rsidRPr="00EB7F85">
        <w:rPr>
          <w:i/>
          <w:iCs/>
        </w:rPr>
        <w:tab/>
        <w:t xml:space="preserve">Guiado </w:t>
      </w:r>
      <w:r w:rsidRPr="00EB7F85">
        <w:t>por los propósitos y principios de la Carta de las Naciones Unidas,</w:t>
      </w:r>
    </w:p>
    <w:p w14:paraId="60ED7057" w14:textId="77777777" w:rsidR="00EB7F85" w:rsidRPr="00EB7F85" w:rsidRDefault="00EB7F85" w:rsidP="00EB7F85">
      <w:pPr>
        <w:pStyle w:val="SingleTxtG"/>
      </w:pPr>
      <w:r w:rsidRPr="00EB7F85">
        <w:rPr>
          <w:i/>
          <w:iCs/>
        </w:rPr>
        <w:tab/>
        <w:t xml:space="preserve">Recordando </w:t>
      </w:r>
      <w:r w:rsidRPr="00EB7F85">
        <w:t>que, de conformidad con la Declaración Universal de Derechos Humanos y los pactos internacionales de derechos humanos, el ideal de un mundo en el que todos los seres humanos estén liberados del temor y de la miseria no puede realizarse a menos que se creen condiciones que permitan a cada persona disfrutar de sus derechos económicos, sociales y culturales, así como de sus derechos civiles y políticos, y reafirmando a este respecto el Pacto Internacional de Derechos Económicos, Sociales y Culturales y el Pacto Internacional de Derechos Civiles y Políticos,</w:t>
      </w:r>
    </w:p>
    <w:p w14:paraId="0FFB910D" w14:textId="77777777" w:rsidR="00EB7F85" w:rsidRPr="00EB7F85" w:rsidRDefault="00EB7F85" w:rsidP="00EB7F85">
      <w:pPr>
        <w:pStyle w:val="SingleTxtG"/>
      </w:pPr>
      <w:r w:rsidRPr="00EB7F85">
        <w:rPr>
          <w:i/>
          <w:iCs/>
        </w:rPr>
        <w:tab/>
        <w:t>Recordando también</w:t>
      </w:r>
      <w:r w:rsidRPr="00EB7F85">
        <w:t xml:space="preserve"> todas las resoluciones anteriores sobre la cuestión de los derechos humanos y la extrema pobreza aprobadas por la Asamblea General, en particular las resoluciones 71/186, de 19 de diciembre de 2016, y 73/163, de 17 de diciembre de 2018, y por la Comisión de Derechos Humanos, así como las resoluciones del Consejo de Derechos Humanos, entre ellas las resoluciones del Consejo 2/2, de 27 de noviembre de</w:t>
      </w:r>
      <w:r w:rsidR="006C0892">
        <w:t> </w:t>
      </w:r>
      <w:r w:rsidRPr="00EB7F85">
        <w:t>2006, 7/27, de 28 de marzo de 2008, 8/11, de 18 de junio de 2008, 12/19, de 2 de octubre de 2009, 15/19, de 30 de septiembre de 2010, 17/13, de 17 de junio de 2011, 21/11, de 27 de septiembre de 2012, 26/3, de 26 de junio de 2014, y 35/19, de 22 de junio de 2017, y haciendo notar la Declaración sobre el Derecho al Desarrollo,</w:t>
      </w:r>
    </w:p>
    <w:p w14:paraId="40F85239" w14:textId="77777777" w:rsidR="00EB7F85" w:rsidRPr="00EB7F85" w:rsidRDefault="00EB7F85" w:rsidP="00EB7F85">
      <w:pPr>
        <w:pStyle w:val="SingleTxtG"/>
      </w:pPr>
      <w:r w:rsidRPr="00EB7F85">
        <w:rPr>
          <w:i/>
          <w:iCs/>
        </w:rPr>
        <w:tab/>
        <w:t>Recordando además</w:t>
      </w:r>
      <w:r w:rsidRPr="00EB7F85">
        <w:t xml:space="preserve"> que, en su resolución 74/234, de 19 de diciembre de 2019, la Asamblea General proclamó el tercer Decenio de las Naciones Unidas para la Erradicación de la Pobreza (2018-2027) a fin de mantener el impulso generado por las actividades del primer y el segundo Decenio y apoyar, de manera eficiente y coordinada, la Agenda 2030 para el Desarrollo Sostenible y sus Objetivos de Desarrollo Sostenible, y el compromiso expresado en dichos instrumentos de poner fin a la pobreza en todas sus formas, lo que incluye erradicar la pobreza extrema para 2030, y el objetivo de no dejar a nadie atrás y de alcanzar en primer lugar a aquellos que han quedado más atrás;</w:t>
      </w:r>
    </w:p>
    <w:p w14:paraId="11773EE2" w14:textId="77777777" w:rsidR="00EB7F85" w:rsidRPr="00EB7F85" w:rsidRDefault="00EB7F85" w:rsidP="00EB7F85">
      <w:pPr>
        <w:pStyle w:val="SingleTxtG"/>
      </w:pPr>
      <w:r w:rsidRPr="00EB7F85">
        <w:rPr>
          <w:i/>
          <w:iCs/>
        </w:rPr>
        <w:tab/>
        <w:t xml:space="preserve">Recordando </w:t>
      </w:r>
      <w:r w:rsidRPr="00EB7F85">
        <w:t xml:space="preserve">que, en su resolución 67/164, de 20 de diciembre de 2012, la Asamblea General tomó nota con aprecio de los Principios Rectores sobre la Extrema Pobreza y los Derechos Humanos, aprobados por el Consejo de Derechos Humanos en su </w:t>
      </w:r>
      <w:r w:rsidRPr="00EB7F85">
        <w:lastRenderedPageBreak/>
        <w:t>resolución</w:t>
      </w:r>
      <w:r>
        <w:t> </w:t>
      </w:r>
      <w:r w:rsidRPr="00EB7F85">
        <w:t>21/11, como instrumento útil para los Estados en la formulación y aplicación de políticas de reducción y erradicación de la pobreza, según procediera,</w:t>
      </w:r>
    </w:p>
    <w:p w14:paraId="26B42657" w14:textId="77777777" w:rsidR="00EB7F85" w:rsidRPr="00EB7F85" w:rsidRDefault="00EB7F85" w:rsidP="00EB7F85">
      <w:pPr>
        <w:pStyle w:val="SingleTxtG"/>
      </w:pPr>
      <w:r w:rsidRPr="00EB7F85">
        <w:rPr>
          <w:i/>
          <w:iCs/>
        </w:rPr>
        <w:tab/>
        <w:t xml:space="preserve">Reafirmando </w:t>
      </w:r>
      <w:r w:rsidRPr="00EB7F85">
        <w:t>a este respecto los compromisos contraídos en las conferencias y cumbres pertinentes de las Naciones Unidas, incluidos los contraídos en la Cumbre Mundial sobre Desarrollo Social, celebrada en Copenhague en 1995, en la Cumbre del Milenio y en la Cumbre Mundial 2005,</w:t>
      </w:r>
    </w:p>
    <w:p w14:paraId="682FA0F5" w14:textId="77777777" w:rsidR="00EB7F85" w:rsidRPr="00EB7F85" w:rsidRDefault="00EB7F85" w:rsidP="00EB7F85">
      <w:pPr>
        <w:pStyle w:val="SingleTxtG"/>
      </w:pPr>
      <w:r w:rsidRPr="00EB7F85">
        <w:rPr>
          <w:i/>
          <w:iCs/>
        </w:rPr>
        <w:tab/>
        <w:t xml:space="preserve">Profundamente preocupado </w:t>
      </w:r>
      <w:r w:rsidRPr="00EB7F85">
        <w:t>porque la extrema pobreza persiste en todos los países del mundo, sea cual fuere su situación económica, social y cultural, y porque su magnitud y sus manifestaciones son particularmente graves en los países en desarrollo,</w:t>
      </w:r>
    </w:p>
    <w:p w14:paraId="063ED08B" w14:textId="77777777" w:rsidR="00EB7F85" w:rsidRPr="00EB7F85" w:rsidRDefault="00EB7F85" w:rsidP="00EB7F85">
      <w:pPr>
        <w:pStyle w:val="SingleTxtG"/>
        <w:rPr>
          <w:iCs/>
        </w:rPr>
      </w:pPr>
      <w:r w:rsidRPr="00EB7F85">
        <w:rPr>
          <w:i/>
          <w:iCs/>
        </w:rPr>
        <w:tab/>
        <w:t xml:space="preserve">Profundamente preocupado también </w:t>
      </w:r>
      <w:r w:rsidRPr="00EB7F85">
        <w:t>por las pérdidas de vidas y medios de subsistencia y por la perturbación de las economías y las sociedades que ha causado la pandemia de enfermedad por coronavirus (</w:t>
      </w:r>
      <w:proofErr w:type="spellStart"/>
      <w:r w:rsidRPr="00EB7F85">
        <w:t>COVID</w:t>
      </w:r>
      <w:proofErr w:type="spellEnd"/>
      <w:r w:rsidRPr="00EB7F85">
        <w:t>-19), así como por sus efectos negativos en el disfrute de los derechos humanos en todo el mundo,</w:t>
      </w:r>
    </w:p>
    <w:p w14:paraId="32D30970" w14:textId="77777777" w:rsidR="00EB7F85" w:rsidRPr="00EB7F85" w:rsidRDefault="00EB7F85" w:rsidP="00EB7F85">
      <w:pPr>
        <w:pStyle w:val="SingleTxtG"/>
        <w:rPr>
          <w:iCs/>
        </w:rPr>
      </w:pPr>
      <w:r w:rsidRPr="00EB7F85">
        <w:rPr>
          <w:i/>
          <w:iCs/>
        </w:rPr>
        <w:tab/>
        <w:t xml:space="preserve">Reconociendo </w:t>
      </w:r>
      <w:r w:rsidRPr="00EB7F85">
        <w:t>que los más pobres y los más vulnerables son los más afectados por la pandemia y que el impacto de la crisis destruirá los logros del desarrollo que tanto costó alcanzar y obstaculizará el avance hacia la consecución de los Objetivos de Desarrollo Sostenible,</w:t>
      </w:r>
    </w:p>
    <w:p w14:paraId="651DD637" w14:textId="77777777" w:rsidR="00EB7F85" w:rsidRPr="00EB7F85" w:rsidRDefault="00EB7F85" w:rsidP="00EB7F85">
      <w:pPr>
        <w:pStyle w:val="SingleTxtG"/>
      </w:pPr>
      <w:r w:rsidRPr="00EB7F85">
        <w:rPr>
          <w:i/>
          <w:iCs/>
        </w:rPr>
        <w:tab/>
        <w:t>Reafirmando</w:t>
      </w:r>
      <w:r w:rsidRPr="00EB7F85">
        <w:t xml:space="preserve"> que la existencia de la pobreza extrema generalizada inhibe el disfrute pleno y efectivo de los derechos humanos y que su mitigación inmediata y su erradicación en última instancia deben seguir revistiendo un alto grado de prioridad para la comunidad internacional, y que deberían intensificarse los esfuerzos destinados a lograr este objetivo,</w:t>
      </w:r>
    </w:p>
    <w:p w14:paraId="44AFF597" w14:textId="77777777" w:rsidR="00EB7F85" w:rsidRPr="00EB7F85" w:rsidRDefault="00EB7F85" w:rsidP="00EB7F85">
      <w:pPr>
        <w:pStyle w:val="SingleTxtG"/>
      </w:pPr>
      <w:r w:rsidRPr="00EB7F85">
        <w:rPr>
          <w:i/>
          <w:iCs/>
        </w:rPr>
        <w:tab/>
        <w:t xml:space="preserve">Destacando </w:t>
      </w:r>
      <w:r w:rsidRPr="00EB7F85">
        <w:t xml:space="preserve">que el respeto de todos los derechos humanos </w:t>
      </w:r>
      <w:r w:rsidR="00E16074">
        <w:t>—</w:t>
      </w:r>
      <w:r w:rsidRPr="00EB7F85">
        <w:t>los derechos civiles, políticos, económicos, sociales y culturales</w:t>
      </w:r>
      <w:r w:rsidR="00E16074">
        <w:t>—</w:t>
      </w:r>
      <w:r w:rsidRPr="00EB7F85">
        <w:t xml:space="preserve">, que son universales, indivisibles e interdependientes y están relacionados entre sí, es de vital importancia para todas las políticas y programas encaminados a combatir eficazmente la extrema pobreza a nivel local y nacional, </w:t>
      </w:r>
    </w:p>
    <w:p w14:paraId="2D6D7421" w14:textId="77777777" w:rsidR="00EB7F85" w:rsidRPr="00EB7F85" w:rsidRDefault="00EB7F85" w:rsidP="00EB7F85">
      <w:pPr>
        <w:pStyle w:val="SingleTxtG"/>
      </w:pPr>
      <w:r w:rsidRPr="00EB7F85">
        <w:rPr>
          <w:i/>
          <w:iCs/>
        </w:rPr>
        <w:tab/>
        <w:t>Recordando</w:t>
      </w:r>
      <w:r w:rsidRPr="00EB7F85">
        <w:t xml:space="preserve"> sus resoluciones 5/1, sobre la construcción institucional del Consejo de Derechos Humanos, y 5/2, sobre el Código de Conducta para los Titulares de Mandatos de los Procedimientos Especiales del Consejo, ambas de 18 de junio de 2007, y destacando que los titulares de mandatos han de cumplir sus funciones de conformidad con esas resoluciones y sus anexos,</w:t>
      </w:r>
    </w:p>
    <w:p w14:paraId="5B0CDA66" w14:textId="77777777" w:rsidR="00EB7F85" w:rsidRPr="00EB7F85" w:rsidRDefault="00EB7F85" w:rsidP="00EB7F85">
      <w:pPr>
        <w:pStyle w:val="SingleTxtG"/>
      </w:pPr>
      <w:r w:rsidRPr="00EB7F85">
        <w:tab/>
        <w:t>1.</w:t>
      </w:r>
      <w:r w:rsidRPr="00EB7F85">
        <w:tab/>
      </w:r>
      <w:r w:rsidRPr="00EB7F85">
        <w:rPr>
          <w:i/>
          <w:iCs/>
        </w:rPr>
        <w:t xml:space="preserve">Acoge con beneplácito </w:t>
      </w:r>
      <w:r w:rsidRPr="00EB7F85">
        <w:t>la labor del Relator Especial sobre la extrema pobreza y los derechos humanos, en particular sus informes temáticos y sus visitas a países</w:t>
      </w:r>
      <w:r w:rsidRPr="00EB7F85">
        <w:rPr>
          <w:rStyle w:val="Refdenotaalpie"/>
        </w:rPr>
        <w:footnoteReference w:id="1"/>
      </w:r>
      <w:r w:rsidRPr="00EB7F85">
        <w:t>;</w:t>
      </w:r>
    </w:p>
    <w:p w14:paraId="17234EAD" w14:textId="77777777" w:rsidR="00EB7F85" w:rsidRPr="00EB7F85" w:rsidRDefault="00EB7F85" w:rsidP="00EB7F85">
      <w:pPr>
        <w:pStyle w:val="SingleTxtG"/>
      </w:pPr>
      <w:r w:rsidRPr="00EB7F85">
        <w:tab/>
        <w:t>2.</w:t>
      </w:r>
      <w:r w:rsidRPr="00EB7F85">
        <w:tab/>
      </w:r>
      <w:r w:rsidRPr="00EB7F85">
        <w:rPr>
          <w:i/>
          <w:iCs/>
        </w:rPr>
        <w:t xml:space="preserve">Decide </w:t>
      </w:r>
      <w:r w:rsidRPr="00EB7F85">
        <w:t>prorrogar por un período de tres años el mandato del Relator Especial sobre la extrema pobreza y los derechos humanos, establecido en la resolución 8/11 del Consejo de Derechos Humanos;</w:t>
      </w:r>
    </w:p>
    <w:p w14:paraId="408E1199" w14:textId="77777777" w:rsidR="00EB7F85" w:rsidRPr="00EB7F85" w:rsidRDefault="00EB7F85" w:rsidP="00EB7F85">
      <w:pPr>
        <w:pStyle w:val="SingleTxtG"/>
      </w:pPr>
      <w:r w:rsidRPr="00EB7F85">
        <w:tab/>
        <w:t>3.</w:t>
      </w:r>
      <w:r w:rsidRPr="00EB7F85">
        <w:tab/>
      </w:r>
      <w:r w:rsidRPr="00EB7F85">
        <w:rPr>
          <w:i/>
          <w:iCs/>
        </w:rPr>
        <w:t xml:space="preserve">Solicita </w:t>
      </w:r>
      <w:r w:rsidRPr="00EB7F85">
        <w:t>a la Oficina del Alto Comisionado de las Naciones Unidas para los Derechos Humanos que siga atribuyendo una alta prioridad a la cuestión de la extrema pobreza y los derechos humanos, que prosiga sus trabajos en esta esfera cooperando plenamente con el Relator Especial en las diversas actividades y que siga proporcionando al Relator Especial toda la asistencia humana y financiera que sea necesaria para el desempeño efectivo de su mandato;</w:t>
      </w:r>
    </w:p>
    <w:p w14:paraId="2545F0C0" w14:textId="77777777" w:rsidR="00EB7F85" w:rsidRPr="00EB7F85" w:rsidRDefault="00EB7F85" w:rsidP="00EB7F85">
      <w:pPr>
        <w:pStyle w:val="SingleTxtG"/>
      </w:pPr>
      <w:r w:rsidRPr="00EB7F85">
        <w:tab/>
        <w:t>4.</w:t>
      </w:r>
      <w:r w:rsidRPr="00EB7F85">
        <w:tab/>
      </w:r>
      <w:r w:rsidRPr="00EB7F85">
        <w:rPr>
          <w:i/>
          <w:iCs/>
        </w:rPr>
        <w:t xml:space="preserve">Solicita </w:t>
      </w:r>
      <w:r w:rsidRPr="00EB7F85">
        <w:t>al Relator Especial que presente un informe anual sobre la aplicación de la presente resolución a la Asamblea General y al Consejo de Derechos Humanos, de acuerdo con sus programas de trabajo;</w:t>
      </w:r>
    </w:p>
    <w:p w14:paraId="0731CB3F" w14:textId="77777777" w:rsidR="00EB7F85" w:rsidRPr="00EB7F85" w:rsidRDefault="00EB7F85" w:rsidP="00EB7F85">
      <w:pPr>
        <w:pStyle w:val="SingleTxtG"/>
      </w:pPr>
      <w:r w:rsidRPr="00EB7F85">
        <w:tab/>
        <w:t>5.</w:t>
      </w:r>
      <w:r w:rsidRPr="00EB7F85">
        <w:tab/>
      </w:r>
      <w:r w:rsidRPr="00EB7F85">
        <w:rPr>
          <w:i/>
          <w:iCs/>
        </w:rPr>
        <w:t xml:space="preserve">Solicita también </w:t>
      </w:r>
      <w:r w:rsidRPr="00EB7F85">
        <w:t xml:space="preserve">al Relator Especial que participe en los diálogos y foros políticos internacionales relacionados con la implementación de la Agenda 2030 para el Desarrollo Sostenible, y que realice investigaciones temáticas con miras a brindar asesoramiento a los Estados y a las instituciones estatales competentes sobre la erradicación de la pobreza extrema en el marco de la implementación de la Agenda 2030, </w:t>
      </w:r>
      <w:bookmarkStart w:id="0" w:name="_GoBack"/>
      <w:bookmarkEnd w:id="0"/>
      <w:r w:rsidRPr="00EB7F85">
        <w:lastRenderedPageBreak/>
        <w:t>particularmente en relación con las metas 1.1, 1.3, 1.4 y 1.5 de los Objetivos de Desarrollo Sostenible y otros objetivos y metas relacionados con la pobreza extrema;</w:t>
      </w:r>
    </w:p>
    <w:p w14:paraId="1C4EED08" w14:textId="77777777" w:rsidR="00EB7F85" w:rsidRPr="00EB7F85" w:rsidRDefault="00EB7F85" w:rsidP="00EB7F85">
      <w:pPr>
        <w:pStyle w:val="SingleTxtG"/>
      </w:pPr>
      <w:r w:rsidRPr="00EB7F85">
        <w:tab/>
        <w:t>6.</w:t>
      </w:r>
      <w:r w:rsidRPr="00EB7F85">
        <w:tab/>
      </w:r>
      <w:r w:rsidRPr="00EB7F85">
        <w:rPr>
          <w:i/>
          <w:iCs/>
        </w:rPr>
        <w:t xml:space="preserve">Invita </w:t>
      </w:r>
      <w:r w:rsidRPr="00EB7F85">
        <w:t xml:space="preserve">al Relator Especial a que dedique su próximo informe anual a los efectos de la pandemia de </w:t>
      </w:r>
      <w:proofErr w:type="spellStart"/>
      <w:r w:rsidRPr="00EB7F85">
        <w:t>COVID</w:t>
      </w:r>
      <w:proofErr w:type="spellEnd"/>
      <w:r w:rsidRPr="00EB7F85">
        <w:t>-19 en el disfrute de todos los derechos humanos de las personas que viven en la extrema pobreza, y a que en él indique los problemas detectados, formule recomendaciones y señale buenas prácticas para asegurar que nadie se quede atrás en la adopción y aplicación de los planes de gestión de crisis y de recuperación después de las crisis;</w:t>
      </w:r>
    </w:p>
    <w:p w14:paraId="1AE807C7" w14:textId="77777777" w:rsidR="00EB7F85" w:rsidRPr="00EB7F85" w:rsidRDefault="00EB7F85" w:rsidP="00EB7F85">
      <w:pPr>
        <w:pStyle w:val="SingleTxtG"/>
      </w:pPr>
      <w:r w:rsidRPr="00EB7F85">
        <w:tab/>
        <w:t>7.</w:t>
      </w:r>
      <w:r w:rsidRPr="00EB7F85">
        <w:tab/>
      </w:r>
      <w:r w:rsidRPr="00EB7F85">
        <w:rPr>
          <w:i/>
          <w:iCs/>
        </w:rPr>
        <w:t xml:space="preserve">Exhorta </w:t>
      </w:r>
      <w:r w:rsidRPr="00EB7F85">
        <w:t>a todos los Gobiernos a que cooperen con el Relator Especial y lo ayuden en su cometido, proporcionen toda la información necesaria que solicite el titular del mandato y respondan favorablemente a las solicitudes del Relator Especial para visitar sus países , con objeto de permitirle cumplir su mandato de manera eficaz;</w:t>
      </w:r>
    </w:p>
    <w:p w14:paraId="527F15CA" w14:textId="77777777" w:rsidR="00EB7F85" w:rsidRPr="00EB7F85" w:rsidRDefault="00EB7F85" w:rsidP="00EB7F85">
      <w:pPr>
        <w:pStyle w:val="SingleTxtG"/>
      </w:pPr>
      <w:r w:rsidRPr="00EB7F85">
        <w:tab/>
        <w:t>8.</w:t>
      </w:r>
      <w:r w:rsidRPr="00EB7F85">
        <w:tab/>
      </w:r>
      <w:r w:rsidRPr="00EB7F85">
        <w:rPr>
          <w:i/>
          <w:iCs/>
        </w:rPr>
        <w:t xml:space="preserve">Invita </w:t>
      </w:r>
      <w:r w:rsidRPr="00EB7F85">
        <w:t>a los organismos, fondos y programas pertinentes de las Naciones Unidas, los órganos creados en virtud de tratados, otros titulares de mandatos pertinentes y los actores de la sociedad civil, incluidas las organizaciones no gubernamentales, así como el sector privado, a que cooperen plenamente con el Relator Especial en el desempeño de su mandato;</w:t>
      </w:r>
      <w:bookmarkStart w:id="1" w:name="_Hlk45525349"/>
      <w:bookmarkEnd w:id="1"/>
    </w:p>
    <w:p w14:paraId="7073BE92" w14:textId="77777777" w:rsidR="00EB7F85" w:rsidRPr="00EB7F85" w:rsidRDefault="00EB7F85" w:rsidP="00EB7F85">
      <w:pPr>
        <w:pStyle w:val="SingleTxtG"/>
      </w:pPr>
      <w:r w:rsidRPr="00EB7F85">
        <w:tab/>
        <w:t>9.</w:t>
      </w:r>
      <w:r w:rsidRPr="00EB7F85">
        <w:tab/>
      </w:r>
      <w:r w:rsidRPr="00EB7F85">
        <w:rPr>
          <w:i/>
          <w:iCs/>
        </w:rPr>
        <w:t xml:space="preserve">Decide </w:t>
      </w:r>
      <w:r w:rsidRPr="00EB7F85">
        <w:t>seguir examinando la cuestión de la extrema pobreza y los derechos humanos de conformidad con su programa de trabajo.</w:t>
      </w:r>
    </w:p>
    <w:p w14:paraId="2362DF3A" w14:textId="77777777" w:rsidR="00EB7F85" w:rsidRPr="00EB7F85" w:rsidRDefault="00EB7F85" w:rsidP="00EB7F85">
      <w:pPr>
        <w:pStyle w:val="SingleTxtG"/>
        <w:jc w:val="right"/>
        <w:rPr>
          <w:i/>
          <w:iCs/>
        </w:rPr>
      </w:pPr>
      <w:r w:rsidRPr="00EB7F85">
        <w:rPr>
          <w:i/>
          <w:iCs/>
        </w:rPr>
        <w:t>27ª sesión</w:t>
      </w:r>
      <w:r w:rsidRPr="00EB7F85">
        <w:rPr>
          <w:i/>
          <w:iCs/>
        </w:rPr>
        <w:br/>
        <w:t>16 de julio de 2020</w:t>
      </w:r>
    </w:p>
    <w:p w14:paraId="231A7509" w14:textId="77777777" w:rsidR="00381C24" w:rsidRDefault="00EB7F85" w:rsidP="00EB7F85">
      <w:pPr>
        <w:pStyle w:val="SingleTxtG"/>
        <w:rPr>
          <w:lang w:val="en-US"/>
        </w:rPr>
      </w:pPr>
      <w:r w:rsidRPr="00D00787">
        <w:rPr>
          <w:lang w:val="en-US"/>
        </w:rPr>
        <w:t>[</w:t>
      </w:r>
      <w:proofErr w:type="spellStart"/>
      <w:r w:rsidRPr="00D00787">
        <w:rPr>
          <w:lang w:val="en-US"/>
        </w:rPr>
        <w:t>Aprobada</w:t>
      </w:r>
      <w:proofErr w:type="spellEnd"/>
      <w:r w:rsidRPr="00D00787">
        <w:rPr>
          <w:lang w:val="en-US"/>
        </w:rPr>
        <w:t xml:space="preserve"> sin </w:t>
      </w:r>
      <w:proofErr w:type="spellStart"/>
      <w:r w:rsidRPr="00D00787">
        <w:rPr>
          <w:lang w:val="en-US"/>
        </w:rPr>
        <w:t>votación</w:t>
      </w:r>
      <w:proofErr w:type="spellEnd"/>
      <w:r w:rsidRPr="00D00787">
        <w:rPr>
          <w:lang w:val="en-US"/>
        </w:rPr>
        <w:t>.]</w:t>
      </w:r>
    </w:p>
    <w:p w14:paraId="4908A041" w14:textId="77777777" w:rsidR="00EB7F85" w:rsidRPr="00EB7F85" w:rsidRDefault="00EB7F85" w:rsidP="00EB7F85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EB7F85" w:rsidRPr="00EB7F85" w:rsidSect="00EB7F8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019714" w14:textId="77777777" w:rsidR="00E419EA" w:rsidRPr="00A312BC" w:rsidRDefault="00E419EA" w:rsidP="00A312BC">
      <w:pPr>
        <w:pStyle w:val="Piedepgina"/>
      </w:pPr>
    </w:p>
  </w:endnote>
  <w:endnote w:type="continuationSeparator" w:id="0">
    <w:p w14:paraId="71FC3C5C" w14:textId="77777777" w:rsidR="00E419EA" w:rsidRPr="00A312BC" w:rsidRDefault="00E419EA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0AA707" w14:textId="77777777" w:rsidR="00EB7F85" w:rsidRPr="00EB7F85" w:rsidRDefault="00EB7F85" w:rsidP="00EB7F85">
    <w:pPr>
      <w:pStyle w:val="Piedepgina"/>
      <w:tabs>
        <w:tab w:val="right" w:pos="9638"/>
      </w:tabs>
    </w:pPr>
    <w:r w:rsidRPr="00EB7F85">
      <w:rPr>
        <w:b/>
        <w:sz w:val="18"/>
      </w:rPr>
      <w:fldChar w:fldCharType="begin"/>
    </w:r>
    <w:r w:rsidRPr="00EB7F85">
      <w:rPr>
        <w:b/>
        <w:sz w:val="18"/>
      </w:rPr>
      <w:instrText xml:space="preserve"> PAGE  \* MERGEFORMAT </w:instrText>
    </w:r>
    <w:r w:rsidRPr="00EB7F85">
      <w:rPr>
        <w:b/>
        <w:sz w:val="18"/>
      </w:rPr>
      <w:fldChar w:fldCharType="separate"/>
    </w:r>
    <w:r w:rsidRPr="00EB7F85">
      <w:rPr>
        <w:b/>
        <w:noProof/>
        <w:sz w:val="18"/>
      </w:rPr>
      <w:t>2</w:t>
    </w:r>
    <w:r w:rsidRPr="00EB7F85">
      <w:rPr>
        <w:b/>
        <w:sz w:val="18"/>
      </w:rPr>
      <w:fldChar w:fldCharType="end"/>
    </w:r>
    <w:r>
      <w:rPr>
        <w:b/>
        <w:sz w:val="18"/>
      </w:rPr>
      <w:tab/>
    </w:r>
    <w:proofErr w:type="spellStart"/>
    <w:r>
      <w:t>GE.20</w:t>
    </w:r>
    <w:proofErr w:type="spellEnd"/>
    <w:r>
      <w:t>-09802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A94621" w14:textId="77777777" w:rsidR="00EB7F85" w:rsidRPr="00EB7F85" w:rsidRDefault="00EB7F85" w:rsidP="00EB7F85">
    <w:pPr>
      <w:pStyle w:val="Piedepgina"/>
      <w:tabs>
        <w:tab w:val="right" w:pos="9638"/>
      </w:tabs>
      <w:rPr>
        <w:b/>
        <w:sz w:val="18"/>
      </w:rPr>
    </w:pPr>
    <w:proofErr w:type="spellStart"/>
    <w:r>
      <w:t>GE.20</w:t>
    </w:r>
    <w:proofErr w:type="spellEnd"/>
    <w:r>
      <w:t>-09802</w:t>
    </w:r>
    <w:r>
      <w:tab/>
    </w:r>
    <w:r w:rsidRPr="00EB7F85">
      <w:rPr>
        <w:b/>
        <w:sz w:val="18"/>
      </w:rPr>
      <w:fldChar w:fldCharType="begin"/>
    </w:r>
    <w:r w:rsidRPr="00EB7F85">
      <w:rPr>
        <w:b/>
        <w:sz w:val="18"/>
      </w:rPr>
      <w:instrText xml:space="preserve"> PAGE  \* MERGEFORMAT </w:instrText>
    </w:r>
    <w:r w:rsidRPr="00EB7F85">
      <w:rPr>
        <w:b/>
        <w:sz w:val="18"/>
      </w:rPr>
      <w:fldChar w:fldCharType="separate"/>
    </w:r>
    <w:r w:rsidRPr="00EB7F85">
      <w:rPr>
        <w:b/>
        <w:noProof/>
        <w:sz w:val="18"/>
      </w:rPr>
      <w:t>3</w:t>
    </w:r>
    <w:r w:rsidRPr="00EB7F8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E05F4B" w14:textId="77777777" w:rsidR="00042B72" w:rsidRPr="00EB7F85" w:rsidRDefault="00EB7F85" w:rsidP="00EB7F85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60288" behindDoc="0" locked="1" layoutInCell="1" allowOverlap="1" wp14:anchorId="21CC248D" wp14:editId="2FA2E69A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</w:t>
    </w:r>
    <w:proofErr w:type="spellEnd"/>
    <w:r>
      <w:rPr>
        <w:sz w:val="20"/>
      </w:rPr>
      <w:t>-09802  (S)    270720    270720</w:t>
    </w:r>
    <w:r>
      <w:rPr>
        <w:sz w:val="20"/>
      </w:rPr>
      <w:br/>
    </w:r>
    <w:r w:rsidRPr="00EB7F85">
      <w:rPr>
        <w:rFonts w:ascii="C39T30Lfz" w:hAnsi="C39T30Lfz"/>
        <w:sz w:val="56"/>
      </w:rPr>
      <w:t></w:t>
    </w:r>
    <w:r w:rsidRPr="00EB7F85">
      <w:rPr>
        <w:rFonts w:ascii="C39T30Lfz" w:hAnsi="C39T30Lfz"/>
        <w:sz w:val="56"/>
      </w:rPr>
      <w:t></w:t>
    </w:r>
    <w:r w:rsidRPr="00EB7F85">
      <w:rPr>
        <w:rFonts w:ascii="C39T30Lfz" w:hAnsi="C39T30Lfz"/>
        <w:sz w:val="56"/>
      </w:rPr>
      <w:t></w:t>
    </w:r>
    <w:r w:rsidRPr="00EB7F85">
      <w:rPr>
        <w:rFonts w:ascii="C39T30Lfz" w:hAnsi="C39T30Lfz"/>
        <w:sz w:val="56"/>
      </w:rPr>
      <w:t></w:t>
    </w:r>
    <w:r w:rsidRPr="00EB7F85">
      <w:rPr>
        <w:rFonts w:ascii="C39T30Lfz" w:hAnsi="C39T30Lfz"/>
        <w:sz w:val="56"/>
      </w:rPr>
      <w:t></w:t>
    </w:r>
    <w:r w:rsidRPr="00EB7F85">
      <w:rPr>
        <w:rFonts w:ascii="C39T30Lfz" w:hAnsi="C39T30Lfz"/>
        <w:sz w:val="56"/>
      </w:rPr>
      <w:t></w:t>
    </w:r>
    <w:r w:rsidRPr="00EB7F85">
      <w:rPr>
        <w:rFonts w:ascii="C39T30Lfz" w:hAnsi="C39T30Lfz"/>
        <w:sz w:val="56"/>
      </w:rPr>
      <w:t></w:t>
    </w:r>
    <w:r w:rsidRPr="00EB7F85">
      <w:rPr>
        <w:rFonts w:ascii="C39T30Lfz" w:hAnsi="C39T30Lfz"/>
        <w:sz w:val="56"/>
      </w:rPr>
      <w:t></w:t>
    </w:r>
    <w:r w:rsidRPr="00EB7F85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17757053" wp14:editId="0F62D37B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 descr="https://undocs.org/m2/QRCode.ashx?DS=A/HRC/RES/44/13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4/13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239A69" w14:textId="77777777" w:rsidR="00E419EA" w:rsidRPr="001075E9" w:rsidRDefault="00E419EA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3DC00B8" w14:textId="77777777" w:rsidR="00E419EA" w:rsidRDefault="00E419EA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D57D96B" w14:textId="77777777" w:rsidR="00EB7F85" w:rsidRPr="00D00787" w:rsidRDefault="00EB7F85" w:rsidP="00EB7F85">
      <w:pPr>
        <w:pStyle w:val="Textonotapie"/>
      </w:pPr>
      <w:r w:rsidRPr="00D00787">
        <w:tab/>
      </w:r>
      <w:r w:rsidRPr="00EB7F85">
        <w:rPr>
          <w:rStyle w:val="Refdenotaalpie"/>
        </w:rPr>
        <w:footnoteRef/>
      </w:r>
      <w:r w:rsidRPr="00D00787">
        <w:tab/>
        <w:t>A/</w:t>
      </w:r>
      <w:proofErr w:type="spellStart"/>
      <w:r w:rsidRPr="00D00787">
        <w:t>HRC</w:t>
      </w:r>
      <w:proofErr w:type="spellEnd"/>
      <w:r w:rsidRPr="00D00787">
        <w:t xml:space="preserve">/44/40 y </w:t>
      </w:r>
      <w:proofErr w:type="spellStart"/>
      <w:r w:rsidRPr="00D00787">
        <w:t>Adds.1</w:t>
      </w:r>
      <w:proofErr w:type="spellEnd"/>
      <w:r w:rsidRPr="00D00787">
        <w:t xml:space="preserve"> y 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F8A244" w14:textId="6B3F38DB" w:rsidR="00EB7F85" w:rsidRPr="00EB7F85" w:rsidRDefault="00EB7F85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r w:rsidR="00BA5F00">
      <w:t>A/</w:t>
    </w:r>
    <w:proofErr w:type="spellStart"/>
    <w:r w:rsidR="00BA5F00">
      <w:t>HRC</w:t>
    </w:r>
    <w:proofErr w:type="spellEnd"/>
    <w:r w:rsidR="00BA5F00">
      <w:t>/RES/44/13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E4221E" w14:textId="70D88F45" w:rsidR="00EB7F85" w:rsidRPr="00EB7F85" w:rsidRDefault="00EB7F85" w:rsidP="00EB7F85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BA5F00">
      <w:t>A/</w:t>
    </w:r>
    <w:proofErr w:type="spellStart"/>
    <w:r w:rsidR="00BA5F00">
      <w:t>HRC</w:t>
    </w:r>
    <w:proofErr w:type="spellEnd"/>
    <w:r w:rsidR="00BA5F00">
      <w:t>/RES/44/13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E419EA"/>
    <w:rsid w:val="00033EE1"/>
    <w:rsid w:val="00042B72"/>
    <w:rsid w:val="000558BD"/>
    <w:rsid w:val="0008244E"/>
    <w:rsid w:val="000B57E7"/>
    <w:rsid w:val="000B6373"/>
    <w:rsid w:val="000E10F9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50108D"/>
    <w:rsid w:val="00513081"/>
    <w:rsid w:val="00517901"/>
    <w:rsid w:val="00526683"/>
    <w:rsid w:val="0056388D"/>
    <w:rsid w:val="005709E0"/>
    <w:rsid w:val="00572E19"/>
    <w:rsid w:val="005961C8"/>
    <w:rsid w:val="005D7914"/>
    <w:rsid w:val="005E2B41"/>
    <w:rsid w:val="005F0B42"/>
    <w:rsid w:val="00681A10"/>
    <w:rsid w:val="006A1ED8"/>
    <w:rsid w:val="006C0892"/>
    <w:rsid w:val="006C2031"/>
    <w:rsid w:val="006D461A"/>
    <w:rsid w:val="006F35EE"/>
    <w:rsid w:val="007021FF"/>
    <w:rsid w:val="00712895"/>
    <w:rsid w:val="0075735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9C39EF"/>
    <w:rsid w:val="00A312BC"/>
    <w:rsid w:val="00A84021"/>
    <w:rsid w:val="00A84D35"/>
    <w:rsid w:val="00A917B3"/>
    <w:rsid w:val="00AB4B51"/>
    <w:rsid w:val="00B10CC7"/>
    <w:rsid w:val="00B539E7"/>
    <w:rsid w:val="00B62458"/>
    <w:rsid w:val="00BA5F00"/>
    <w:rsid w:val="00BC18B2"/>
    <w:rsid w:val="00BD33EE"/>
    <w:rsid w:val="00C106D6"/>
    <w:rsid w:val="00C60F0C"/>
    <w:rsid w:val="00C805C9"/>
    <w:rsid w:val="00C92939"/>
    <w:rsid w:val="00CA1679"/>
    <w:rsid w:val="00CB151C"/>
    <w:rsid w:val="00CD0C97"/>
    <w:rsid w:val="00CE5A1A"/>
    <w:rsid w:val="00CF55F6"/>
    <w:rsid w:val="00D33D63"/>
    <w:rsid w:val="00D90138"/>
    <w:rsid w:val="00E16074"/>
    <w:rsid w:val="00E419EA"/>
    <w:rsid w:val="00E73F76"/>
    <w:rsid w:val="00EA2C9F"/>
    <w:rsid w:val="00EB7F85"/>
    <w:rsid w:val="00ED0BDA"/>
    <w:rsid w:val="00EF1360"/>
    <w:rsid w:val="00EF322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2872D67"/>
  <w15:docId w15:val="{875DA81A-DC83-4778-9D0B-54ED70356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rsid w:val="00472C5C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qFormat/>
    <w:rsid w:val="00472C5C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681A10"/>
    <w:pPr>
      <w:numPr>
        <w:numId w:val="3"/>
      </w:numPr>
    </w:pPr>
  </w:style>
  <w:style w:type="numbering" w:styleId="1ai">
    <w:name w:val="Outline List 1"/>
    <w:basedOn w:val="Sinlista"/>
    <w:semiHidden/>
    <w:rsid w:val="00681A10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681A10"/>
  </w:style>
  <w:style w:type="numbering" w:styleId="ArtculoSeccin">
    <w:name w:val="Outline List 3"/>
    <w:basedOn w:val="Sinlista"/>
    <w:semiHidden/>
    <w:rsid w:val="00681A10"/>
    <w:pPr>
      <w:numPr>
        <w:numId w:val="5"/>
      </w:numPr>
    </w:pPr>
  </w:style>
  <w:style w:type="paragraph" w:styleId="Cierre">
    <w:name w:val="Closing"/>
    <w:basedOn w:val="Normal"/>
    <w:semiHidden/>
    <w:rsid w:val="00681A10"/>
    <w:pPr>
      <w:ind w:left="4252"/>
    </w:pPr>
  </w:style>
  <w:style w:type="character" w:styleId="CitaHTML">
    <w:name w:val="HTML Cite"/>
    <w:basedOn w:val="Fuentedeprrafopredeter"/>
    <w:semiHidden/>
    <w:rsid w:val="00681A10"/>
    <w:rPr>
      <w:i/>
      <w:iCs/>
    </w:rPr>
  </w:style>
  <w:style w:type="character" w:styleId="CdigoHTML">
    <w:name w:val="HTML Code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681A10"/>
    <w:pPr>
      <w:spacing w:after="120"/>
      <w:ind w:left="283"/>
    </w:pPr>
  </w:style>
  <w:style w:type="paragraph" w:styleId="Continuarlista2">
    <w:name w:val="List Continue 2"/>
    <w:basedOn w:val="Normal"/>
    <w:semiHidden/>
    <w:rsid w:val="00681A10"/>
    <w:pPr>
      <w:spacing w:after="120"/>
      <w:ind w:left="566"/>
    </w:pPr>
  </w:style>
  <w:style w:type="paragraph" w:styleId="Continuarlista3">
    <w:name w:val="List Continue 3"/>
    <w:basedOn w:val="Normal"/>
    <w:semiHidden/>
    <w:rsid w:val="00681A10"/>
    <w:pPr>
      <w:spacing w:after="120"/>
      <w:ind w:left="849"/>
    </w:pPr>
  </w:style>
  <w:style w:type="paragraph" w:styleId="Continuarlista4">
    <w:name w:val="List Continue 4"/>
    <w:basedOn w:val="Normal"/>
    <w:semiHidden/>
    <w:rsid w:val="00681A10"/>
    <w:pPr>
      <w:spacing w:after="120"/>
      <w:ind w:left="1132"/>
    </w:pPr>
  </w:style>
  <w:style w:type="paragraph" w:styleId="Continuarlista5">
    <w:name w:val="List Continue 5"/>
    <w:basedOn w:val="Normal"/>
    <w:semiHidden/>
    <w:rsid w:val="00681A10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681A10"/>
    <w:rPr>
      <w:i/>
      <w:iCs/>
    </w:rPr>
  </w:style>
  <w:style w:type="paragraph" w:styleId="DireccinHTML">
    <w:name w:val="HTML Address"/>
    <w:basedOn w:val="Normal"/>
    <w:semiHidden/>
    <w:rsid w:val="00681A10"/>
    <w:rPr>
      <w:i/>
      <w:iCs/>
    </w:rPr>
  </w:style>
  <w:style w:type="paragraph" w:styleId="Direccinsobre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681A10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681A10"/>
  </w:style>
  <w:style w:type="paragraph" w:styleId="Fecha">
    <w:name w:val="Date"/>
    <w:basedOn w:val="Normal"/>
    <w:next w:val="Normal"/>
    <w:semiHidden/>
    <w:rsid w:val="00681A10"/>
  </w:style>
  <w:style w:type="paragraph" w:styleId="Firma">
    <w:name w:val="Signature"/>
    <w:basedOn w:val="Normal"/>
    <w:semiHidden/>
    <w:rsid w:val="00681A10"/>
    <w:pPr>
      <w:ind w:left="4252"/>
    </w:pPr>
  </w:style>
  <w:style w:type="paragraph" w:styleId="Firmadecorreoelectrnico">
    <w:name w:val="E-mail Signature"/>
    <w:basedOn w:val="Normal"/>
    <w:semiHidden/>
    <w:rsid w:val="00681A10"/>
  </w:style>
  <w:style w:type="character" w:styleId="Hipervnculo">
    <w:name w:val="Hyperlink"/>
    <w:basedOn w:val="Fuentedeprrafopredeter"/>
    <w:semiHidden/>
    <w:rsid w:val="00681A10"/>
    <w:rPr>
      <w:color w:val="0000FF"/>
      <w:u w:val="single"/>
    </w:rPr>
  </w:style>
  <w:style w:type="character" w:styleId="Hipervnculovisitado">
    <w:name w:val="FollowedHyperlink"/>
    <w:basedOn w:val="Fuentedeprrafopredeter"/>
    <w:semiHidden/>
    <w:rsid w:val="00681A10"/>
    <w:rPr>
      <w:color w:val="800080"/>
      <w:u w:val="single"/>
    </w:rPr>
  </w:style>
  <w:style w:type="paragraph" w:styleId="HTMLconformatoprevio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a">
    <w:name w:val="List"/>
    <w:basedOn w:val="Normal"/>
    <w:semiHidden/>
    <w:rsid w:val="00681A10"/>
    <w:pPr>
      <w:ind w:left="283" w:hanging="283"/>
    </w:pPr>
  </w:style>
  <w:style w:type="paragraph" w:styleId="Lista2">
    <w:name w:val="List 2"/>
    <w:basedOn w:val="Normal"/>
    <w:semiHidden/>
    <w:rsid w:val="00681A10"/>
    <w:pPr>
      <w:ind w:left="566" w:hanging="283"/>
    </w:pPr>
  </w:style>
  <w:style w:type="paragraph" w:styleId="Lista3">
    <w:name w:val="List 3"/>
    <w:basedOn w:val="Normal"/>
    <w:semiHidden/>
    <w:rsid w:val="00681A10"/>
    <w:pPr>
      <w:ind w:left="849" w:hanging="283"/>
    </w:pPr>
  </w:style>
  <w:style w:type="paragraph" w:styleId="Lista4">
    <w:name w:val="List 4"/>
    <w:basedOn w:val="Normal"/>
    <w:semiHidden/>
    <w:rsid w:val="00681A10"/>
    <w:pPr>
      <w:ind w:left="1132" w:hanging="283"/>
    </w:pPr>
  </w:style>
  <w:style w:type="paragraph" w:styleId="Lista5">
    <w:name w:val="List 5"/>
    <w:basedOn w:val="Normal"/>
    <w:semiHidden/>
    <w:rsid w:val="00681A10"/>
    <w:pPr>
      <w:ind w:left="1415" w:hanging="283"/>
    </w:pPr>
  </w:style>
  <w:style w:type="paragraph" w:styleId="Listaconnmeros">
    <w:name w:val="List Number"/>
    <w:basedOn w:val="Normal"/>
    <w:semiHidden/>
    <w:rsid w:val="00681A10"/>
    <w:pPr>
      <w:numPr>
        <w:numId w:val="6"/>
      </w:numPr>
    </w:pPr>
  </w:style>
  <w:style w:type="paragraph" w:styleId="Listaconnmeros2">
    <w:name w:val="List Number 2"/>
    <w:basedOn w:val="Normal"/>
    <w:semiHidden/>
    <w:rsid w:val="00681A10"/>
    <w:pPr>
      <w:numPr>
        <w:numId w:val="7"/>
      </w:numPr>
    </w:pPr>
  </w:style>
  <w:style w:type="paragraph" w:styleId="Listaconnmeros3">
    <w:name w:val="List Number 3"/>
    <w:basedOn w:val="Normal"/>
    <w:semiHidden/>
    <w:rsid w:val="00681A10"/>
    <w:pPr>
      <w:numPr>
        <w:numId w:val="8"/>
      </w:numPr>
    </w:pPr>
  </w:style>
  <w:style w:type="paragraph" w:styleId="Listaconnmeros4">
    <w:name w:val="List Number 4"/>
    <w:basedOn w:val="Normal"/>
    <w:semiHidden/>
    <w:rsid w:val="00681A10"/>
    <w:pPr>
      <w:numPr>
        <w:numId w:val="9"/>
      </w:numPr>
    </w:pPr>
  </w:style>
  <w:style w:type="paragraph" w:styleId="Listaconnmeros5">
    <w:name w:val="List Number 5"/>
    <w:basedOn w:val="Normal"/>
    <w:semiHidden/>
    <w:rsid w:val="00681A10"/>
    <w:pPr>
      <w:numPr>
        <w:numId w:val="10"/>
      </w:numPr>
    </w:pPr>
  </w:style>
  <w:style w:type="paragraph" w:styleId="Listaconvietas">
    <w:name w:val="List Bullet"/>
    <w:basedOn w:val="Normal"/>
    <w:semiHidden/>
    <w:rsid w:val="00681A10"/>
    <w:pPr>
      <w:numPr>
        <w:numId w:val="11"/>
      </w:numPr>
    </w:pPr>
  </w:style>
  <w:style w:type="paragraph" w:styleId="Listaconvietas2">
    <w:name w:val="List Bullet 2"/>
    <w:basedOn w:val="Normal"/>
    <w:semiHidden/>
    <w:rsid w:val="00681A10"/>
    <w:pPr>
      <w:numPr>
        <w:numId w:val="12"/>
      </w:numPr>
    </w:pPr>
  </w:style>
  <w:style w:type="paragraph" w:styleId="Listaconvietas3">
    <w:name w:val="List Bullet 3"/>
    <w:basedOn w:val="Normal"/>
    <w:semiHidden/>
    <w:rsid w:val="00681A10"/>
    <w:pPr>
      <w:numPr>
        <w:numId w:val="13"/>
      </w:numPr>
    </w:pPr>
  </w:style>
  <w:style w:type="paragraph" w:styleId="Listaconvietas4">
    <w:name w:val="List Bullet 4"/>
    <w:basedOn w:val="Normal"/>
    <w:semiHidden/>
    <w:rsid w:val="00681A10"/>
    <w:pPr>
      <w:numPr>
        <w:numId w:val="14"/>
      </w:numPr>
    </w:pPr>
  </w:style>
  <w:style w:type="paragraph" w:styleId="Listaconvietas5">
    <w:name w:val="List Bullet 5"/>
    <w:basedOn w:val="Normal"/>
    <w:semiHidden/>
    <w:rsid w:val="00681A10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Nmerodelnea">
    <w:name w:val="line number"/>
    <w:basedOn w:val="Fuentedeprrafopredeter"/>
    <w:semiHidden/>
    <w:rsid w:val="00681A10"/>
  </w:style>
  <w:style w:type="character" w:styleId="Nmerodepgina">
    <w:name w:val="page number"/>
    <w:aliases w:val="7_G"/>
    <w:basedOn w:val="Fuentedeprrafopredeter"/>
    <w:rsid w:val="00681A10"/>
    <w:rPr>
      <w:b/>
      <w:sz w:val="18"/>
    </w:rPr>
  </w:style>
  <w:style w:type="character" w:styleId="Refdenotaalfinal">
    <w:name w:val="endnote reference"/>
    <w:aliases w:val="1_G"/>
    <w:basedOn w:val="Refdenotaalpie"/>
    <w:rsid w:val="00681A10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681A10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681A10"/>
  </w:style>
  <w:style w:type="paragraph" w:styleId="Sangra2detindependiente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681A10"/>
    <w:pPr>
      <w:spacing w:after="120"/>
      <w:ind w:left="283"/>
    </w:pPr>
  </w:style>
  <w:style w:type="paragraph" w:styleId="Sangranormal">
    <w:name w:val="Normal Indent"/>
    <w:basedOn w:val="Normal"/>
    <w:semiHidden/>
    <w:rsid w:val="00681A10"/>
    <w:pPr>
      <w:ind w:left="567"/>
    </w:pPr>
  </w:style>
  <w:style w:type="paragraph" w:styleId="Subttulo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681A10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681A10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681A10"/>
    <w:rPr>
      <w:b/>
      <w:bCs/>
    </w:rPr>
  </w:style>
  <w:style w:type="paragraph" w:styleId="Textoindependiente">
    <w:name w:val="Body Text"/>
    <w:basedOn w:val="Normal"/>
    <w:semiHidden/>
    <w:rsid w:val="00681A10"/>
    <w:pPr>
      <w:spacing w:after="120"/>
    </w:pPr>
  </w:style>
  <w:style w:type="paragraph" w:styleId="Textoindependiente2">
    <w:name w:val="Body Text 2"/>
    <w:basedOn w:val="Normal"/>
    <w:semiHidden/>
    <w:rsid w:val="00681A10"/>
    <w:pPr>
      <w:spacing w:after="120" w:line="480" w:lineRule="auto"/>
    </w:pPr>
  </w:style>
  <w:style w:type="paragraph" w:styleId="Textoindependiente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681A10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681A10"/>
    <w:pPr>
      <w:ind w:firstLine="210"/>
    </w:pPr>
  </w:style>
  <w:style w:type="paragraph" w:styleId="Textonotaalfinal">
    <w:name w:val="endnote text"/>
    <w:aliases w:val="2_G"/>
    <w:basedOn w:val="Textonotapie"/>
    <w:rsid w:val="00681A10"/>
  </w:style>
  <w:style w:type="paragraph" w:styleId="Textosinformato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tulo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2E50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72C5C"/>
    <w:rPr>
      <w:rFonts w:ascii="Tahoma" w:hAnsi="Tahoma" w:cs="Tahoma"/>
      <w:sz w:val="16"/>
      <w:szCs w:val="16"/>
    </w:rPr>
  </w:style>
  <w:style w:type="character" w:customStyle="1" w:styleId="Ttulo1Car">
    <w:name w:val="Título 1 Car"/>
    <w:aliases w:val="Cuadro_G Car"/>
    <w:basedOn w:val="Fuentedeprrafopredeter"/>
    <w:link w:val="Ttulo1"/>
    <w:rsid w:val="00472C5C"/>
    <w:rPr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8</TotalTime>
  <Pages>3</Pages>
  <Words>1249</Words>
  <Characters>6872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A/HRC/RES/44/13</vt:lpstr>
    </vt:vector>
  </TitlesOfParts>
  <Company>DCM</Company>
  <LinksUpToDate>false</LinksUpToDate>
  <CharactersWithSpaces>8105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A/HRC/RES/44/13</dc:title>
  <dc:subject/>
  <dc:creator>Marcel GONZALEZ-PEREZ</dc:creator>
  <cp:keywords/>
  <cp:lastModifiedBy>Maria De La Plaza</cp:lastModifiedBy>
  <cp:revision>3</cp:revision>
  <cp:lastPrinted>2020-07-27T12:41:00Z</cp:lastPrinted>
  <dcterms:created xsi:type="dcterms:W3CDTF">2020-07-27T12:41:00Z</dcterms:created>
  <dcterms:modified xsi:type="dcterms:W3CDTF">2020-07-27T12:49:00Z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