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63F0A" w:rsidRPr="00DE2337" w:rsidTr="00863F0A">
        <w:trPr>
          <w:trHeight w:hRule="exact" w:val="851"/>
        </w:trPr>
        <w:tc>
          <w:tcPr>
            <w:tcW w:w="1276" w:type="dxa"/>
            <w:tcBorders>
              <w:bottom w:val="single" w:sz="4" w:space="0" w:color="auto"/>
            </w:tcBorders>
          </w:tcPr>
          <w:p w:rsidR="00863F0A" w:rsidRPr="00DB58B5" w:rsidRDefault="00863F0A" w:rsidP="001A056E"/>
        </w:tc>
        <w:tc>
          <w:tcPr>
            <w:tcW w:w="2268" w:type="dxa"/>
            <w:tcBorders>
              <w:bottom w:val="single" w:sz="4" w:space="0" w:color="auto"/>
            </w:tcBorders>
            <w:vAlign w:val="bottom"/>
          </w:tcPr>
          <w:p w:rsidR="00863F0A" w:rsidRPr="00DB58B5" w:rsidRDefault="00863F0A" w:rsidP="001A056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63F0A" w:rsidRPr="00DE2337" w:rsidRDefault="00863F0A" w:rsidP="001A056E">
            <w:pPr>
              <w:jc w:val="right"/>
              <w:rPr>
                <w:lang w:val="en-US"/>
              </w:rPr>
            </w:pPr>
            <w:r w:rsidRPr="006F54A6">
              <w:rPr>
                <w:sz w:val="40"/>
                <w:lang w:val="en-US"/>
              </w:rPr>
              <w:t>CCPR</w:t>
            </w:r>
            <w:r w:rsidRPr="006F54A6">
              <w:rPr>
                <w:lang w:val="en-US"/>
              </w:rPr>
              <w:t>/C/JOR/CO/4</w:t>
            </w:r>
          </w:p>
        </w:tc>
      </w:tr>
      <w:tr w:rsidR="00863F0A" w:rsidRPr="00DB58B5" w:rsidTr="001A056E">
        <w:trPr>
          <w:trHeight w:hRule="exact" w:val="2835"/>
        </w:trPr>
        <w:tc>
          <w:tcPr>
            <w:tcW w:w="1276" w:type="dxa"/>
            <w:tcBorders>
              <w:top w:val="single" w:sz="4" w:space="0" w:color="auto"/>
              <w:bottom w:val="single" w:sz="12" w:space="0" w:color="auto"/>
            </w:tcBorders>
          </w:tcPr>
          <w:p w:rsidR="00863F0A" w:rsidRPr="00DE2337" w:rsidRDefault="00863F0A" w:rsidP="001A056E">
            <w:pPr>
              <w:spacing w:before="120"/>
              <w:jc w:val="center"/>
              <w:rPr>
                <w:lang w:val="en-US"/>
              </w:rP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r w:rsidRPr="00DE2337">
              <w:rPr>
                <w:lang w:val="en-US"/>
              </w:rPr>
              <w:t xml:space="preserve"> </w:t>
            </w:r>
          </w:p>
        </w:tc>
        <w:tc>
          <w:tcPr>
            <w:tcW w:w="5528" w:type="dxa"/>
            <w:gridSpan w:val="2"/>
            <w:tcBorders>
              <w:top w:val="single" w:sz="4" w:space="0" w:color="auto"/>
              <w:bottom w:val="single" w:sz="12" w:space="0" w:color="auto"/>
            </w:tcBorders>
          </w:tcPr>
          <w:p w:rsidR="00863F0A" w:rsidRPr="0051364F" w:rsidRDefault="00863F0A" w:rsidP="001A056E">
            <w:pPr>
              <w:spacing w:before="120" w:line="380" w:lineRule="exact"/>
              <w:rPr>
                <w:b/>
                <w:sz w:val="34"/>
                <w:szCs w:val="34"/>
                <w:lang w:val="fr-FR"/>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63F0A" w:rsidRDefault="00863F0A" w:rsidP="00365936">
            <w:pPr>
              <w:spacing w:before="240"/>
            </w:pPr>
            <w:r>
              <w:t xml:space="preserve">Distr.: </w:t>
            </w:r>
            <w:r w:rsidR="00365936">
              <w:t>générale</w:t>
            </w:r>
          </w:p>
          <w:p w:rsidR="00863F0A" w:rsidRDefault="00863F0A" w:rsidP="001A056E">
            <w:pPr>
              <w:spacing w:line="240" w:lineRule="exact"/>
            </w:pPr>
            <w:r>
              <w:t>1</w:t>
            </w:r>
            <w:r w:rsidR="00AA2B12">
              <w:t>8</w:t>
            </w:r>
            <w:r>
              <w:t xml:space="preserve"> novembre 2010</w:t>
            </w:r>
          </w:p>
          <w:p w:rsidR="00863F0A" w:rsidRDefault="00863F0A" w:rsidP="001A056E">
            <w:pPr>
              <w:spacing w:line="240" w:lineRule="exact"/>
            </w:pPr>
          </w:p>
          <w:p w:rsidR="00863F0A" w:rsidRDefault="00863F0A" w:rsidP="001A056E">
            <w:pPr>
              <w:spacing w:line="240" w:lineRule="exact"/>
            </w:pPr>
            <w:r>
              <w:t>Original: français</w:t>
            </w:r>
          </w:p>
          <w:p w:rsidR="00863F0A" w:rsidRPr="00DB58B5" w:rsidRDefault="00863F0A" w:rsidP="001A056E">
            <w:pPr>
              <w:spacing w:line="240" w:lineRule="exact"/>
            </w:pPr>
          </w:p>
        </w:tc>
      </w:tr>
    </w:tbl>
    <w:p w:rsidR="00086311" w:rsidRDefault="00086311" w:rsidP="00863F0A">
      <w:pPr>
        <w:spacing w:before="200"/>
        <w:rPr>
          <w:b/>
          <w:sz w:val="24"/>
          <w:szCs w:val="24"/>
        </w:rPr>
      </w:pPr>
      <w:r>
        <w:rPr>
          <w:b/>
          <w:sz w:val="24"/>
          <w:szCs w:val="24"/>
        </w:rPr>
        <w:t>Comité des droits de l’homme</w:t>
      </w:r>
    </w:p>
    <w:p w:rsidR="00086311" w:rsidRDefault="00086311">
      <w:pPr>
        <w:suppressAutoHyphens w:val="0"/>
      </w:pPr>
      <w:r>
        <w:rPr>
          <w:b/>
        </w:rPr>
        <w:t>Centième session</w:t>
      </w:r>
    </w:p>
    <w:p w:rsidR="00086311" w:rsidRDefault="00086311">
      <w:pPr>
        <w:suppressAutoHyphens w:val="0"/>
      </w:pPr>
      <w:r>
        <w:t>Genève, 11-29 octobre 2010</w:t>
      </w:r>
    </w:p>
    <w:p w:rsidR="00086311" w:rsidRPr="00D43A81" w:rsidRDefault="00086311" w:rsidP="00D43A81">
      <w:pPr>
        <w:pStyle w:val="HChG"/>
        <w:rPr>
          <w:lang w:val="fr-FR"/>
        </w:rPr>
      </w:pPr>
      <w:r w:rsidRPr="00E42CCE">
        <w:rPr>
          <w:lang w:val="fr-FR"/>
        </w:rPr>
        <w:tab/>
      </w:r>
      <w:r w:rsidRPr="00E42CCE">
        <w:rPr>
          <w:lang w:val="fr-FR"/>
        </w:rPr>
        <w:tab/>
      </w:r>
      <w:r w:rsidRPr="00D43A81">
        <w:rPr>
          <w:lang w:val="fr-FR"/>
        </w:rPr>
        <w:t>Examen des rapports soumis par les États parties conformément à l’article 40 du Pacte</w:t>
      </w:r>
    </w:p>
    <w:p w:rsidR="00086311" w:rsidRDefault="00086311">
      <w:pPr>
        <w:pStyle w:val="H1G"/>
      </w:pPr>
      <w:r>
        <w:tab/>
      </w:r>
      <w:r>
        <w:tab/>
      </w:r>
      <w:r w:rsidR="000C5F34">
        <w:t>O</w:t>
      </w:r>
      <w:r>
        <w:t>bservations finales du Comité des droits de l’homme</w:t>
      </w:r>
    </w:p>
    <w:p w:rsidR="00086311" w:rsidRDefault="00086311">
      <w:pPr>
        <w:pStyle w:val="HChG"/>
      </w:pPr>
      <w:r>
        <w:tab/>
      </w:r>
      <w:r>
        <w:tab/>
        <w:t>Jordanie</w:t>
      </w:r>
    </w:p>
    <w:p w:rsidR="00086311" w:rsidRDefault="00086311" w:rsidP="007D5BFF">
      <w:pPr>
        <w:pStyle w:val="SingleTxtG"/>
      </w:pPr>
      <w:r w:rsidRPr="00EB1B0C">
        <w:t>1.</w:t>
      </w:r>
      <w:r w:rsidRPr="00EB1B0C">
        <w:tab/>
        <w:t>Le Comité des droits de l’homme a examiné le quatrième rapport périodique de la Jordanie (CCPR/C/JOR/4) à ses 2748</w:t>
      </w:r>
      <w:r w:rsidRPr="00EB1B0C">
        <w:rPr>
          <w:vertAlign w:val="superscript"/>
        </w:rPr>
        <w:t>e</w:t>
      </w:r>
      <w:r w:rsidRPr="00EB1B0C">
        <w:t xml:space="preserve"> et 2749</w:t>
      </w:r>
      <w:r w:rsidRPr="00EB1B0C">
        <w:rPr>
          <w:vertAlign w:val="superscript"/>
        </w:rPr>
        <w:t>e</w:t>
      </w:r>
      <w:r w:rsidRPr="00EB1B0C">
        <w:t xml:space="preserve"> séances</w:t>
      </w:r>
      <w:r w:rsidR="003420FF" w:rsidRPr="00EB1B0C">
        <w:t xml:space="preserve"> (CCPR/C/SR.2748 et 2749)</w:t>
      </w:r>
      <w:r w:rsidRPr="00EB1B0C">
        <w:t xml:space="preserve">, </w:t>
      </w:r>
      <w:r w:rsidR="006806DD" w:rsidRPr="00EB1B0C">
        <w:t xml:space="preserve">qui se sont </w:t>
      </w:r>
      <w:r w:rsidR="003420FF" w:rsidRPr="00EB1B0C">
        <w:t xml:space="preserve">tenues </w:t>
      </w:r>
      <w:r w:rsidRPr="00EB1B0C">
        <w:t xml:space="preserve">les 13 et 14 octobre 2010. À sa </w:t>
      </w:r>
      <w:r w:rsidR="007D5BFF" w:rsidRPr="00EB1B0C">
        <w:t>2768</w:t>
      </w:r>
      <w:r w:rsidR="007D5BFF" w:rsidRPr="00EB1B0C">
        <w:rPr>
          <w:vertAlign w:val="superscript"/>
        </w:rPr>
        <w:t>e</w:t>
      </w:r>
      <w:r w:rsidR="007D5BFF" w:rsidRPr="00EB1B0C">
        <w:t xml:space="preserve"> </w:t>
      </w:r>
      <w:r w:rsidRPr="00EB1B0C">
        <w:t>séance</w:t>
      </w:r>
      <w:r w:rsidR="003420FF" w:rsidRPr="00EB1B0C">
        <w:t xml:space="preserve"> (CCPR/C/SR.2768)</w:t>
      </w:r>
      <w:r w:rsidRPr="00EB1B0C">
        <w:t>,</w:t>
      </w:r>
      <w:r w:rsidR="003420FF" w:rsidRPr="00EB1B0C">
        <w:t xml:space="preserve"> tenue</w:t>
      </w:r>
      <w:r w:rsidRPr="00EB1B0C">
        <w:t xml:space="preserve"> le </w:t>
      </w:r>
      <w:r w:rsidR="007D5BFF" w:rsidRPr="00EB1B0C">
        <w:t xml:space="preserve">27 </w:t>
      </w:r>
      <w:r w:rsidRPr="00EB1B0C">
        <w:t>octobre 2010</w:t>
      </w:r>
      <w:r w:rsidR="003420FF" w:rsidRPr="00EB1B0C">
        <w:t>,</w:t>
      </w:r>
      <w:r w:rsidRPr="00EB1B0C">
        <w:t xml:space="preserve"> il a adopté les observations finales </w:t>
      </w:r>
      <w:r w:rsidR="003420FF" w:rsidRPr="00EB1B0C">
        <w:t>suivantes</w:t>
      </w:r>
      <w:r w:rsidRPr="00EB1B0C">
        <w:t>.</w:t>
      </w:r>
    </w:p>
    <w:p w:rsidR="00086311" w:rsidRDefault="00086311">
      <w:pPr>
        <w:pStyle w:val="H1G"/>
      </w:pPr>
      <w:r>
        <w:tab/>
      </w:r>
      <w:r w:rsidR="006F54A6">
        <w:tab/>
      </w:r>
      <w:r>
        <w:t>A.</w:t>
      </w:r>
      <w:r>
        <w:tab/>
        <w:t>Introduction</w:t>
      </w:r>
    </w:p>
    <w:p w:rsidR="00086311" w:rsidRDefault="00086311" w:rsidP="004C1CE5">
      <w:pPr>
        <w:pStyle w:val="SingleTxtG"/>
      </w:pPr>
      <w:r>
        <w:t>2.</w:t>
      </w:r>
      <w:r>
        <w:tab/>
        <w:t>Le Comité accueille avec satisfaction le quatrième rapport périodique de l’État partie soumis</w:t>
      </w:r>
      <w:r w:rsidR="00A163B7">
        <w:t>,</w:t>
      </w:r>
      <w:r>
        <w:t xml:space="preserve"> toutefois</w:t>
      </w:r>
      <w:r w:rsidR="00A163B7">
        <w:t>,</w:t>
      </w:r>
      <w:r>
        <w:t xml:space="preserve"> avec douze ans de retard</w:t>
      </w:r>
      <w:r w:rsidR="006806DD">
        <w:t xml:space="preserve"> ainsi que </w:t>
      </w:r>
      <w:r>
        <w:t>les renseignements sur les mesures adoptées</w:t>
      </w:r>
      <w:r w:rsidR="006806DD">
        <w:t xml:space="preserve"> </w:t>
      </w:r>
      <w:r>
        <w:t>et les projets de révision de la législation visant à renforcer la mise en œuvre du Pacte</w:t>
      </w:r>
      <w:r w:rsidR="000F1C75">
        <w:t xml:space="preserve"> </w:t>
      </w:r>
      <w:r w:rsidR="000F1C75" w:rsidRPr="0046037A">
        <w:t>international relatif aux droits civils et politiques</w:t>
      </w:r>
      <w:r>
        <w:t xml:space="preserve">. Le Comité remercie également l’État partie </w:t>
      </w:r>
      <w:r w:rsidR="00A163B7">
        <w:t>pour</w:t>
      </w:r>
      <w:r w:rsidR="00E1755B">
        <w:t xml:space="preserve"> </w:t>
      </w:r>
      <w:r w:rsidR="00545F58">
        <w:t>l</w:t>
      </w:r>
      <w:r w:rsidR="00A163B7">
        <w:t>e</w:t>
      </w:r>
      <w:r>
        <w:t>s réponses écrites</w:t>
      </w:r>
      <w:r w:rsidR="00545F58">
        <w:t xml:space="preserve"> qu’il lui a communiquées en réponse</w:t>
      </w:r>
      <w:r>
        <w:t xml:space="preserve"> à la liste de points à traiter</w:t>
      </w:r>
      <w:r w:rsidR="008E12B0">
        <w:t xml:space="preserve"> </w:t>
      </w:r>
      <w:r>
        <w:t>établie par le Comité.</w:t>
      </w:r>
    </w:p>
    <w:p w:rsidR="00086311" w:rsidRDefault="00086311">
      <w:pPr>
        <w:pStyle w:val="H1G"/>
      </w:pPr>
      <w:r>
        <w:tab/>
      </w:r>
      <w:r w:rsidR="006F54A6">
        <w:tab/>
      </w:r>
      <w:r>
        <w:t>B.</w:t>
      </w:r>
      <w:r>
        <w:tab/>
        <w:t>Aspects positifs</w:t>
      </w:r>
    </w:p>
    <w:p w:rsidR="00086311" w:rsidRDefault="00F26FF3" w:rsidP="00F26FF3">
      <w:pPr>
        <w:pStyle w:val="SingleTxtG"/>
      </w:pPr>
      <w:r>
        <w:t>3</w:t>
      </w:r>
      <w:r w:rsidR="00086311">
        <w:t>.</w:t>
      </w:r>
      <w:r w:rsidR="00086311">
        <w:tab/>
        <w:t xml:space="preserve">Le Comité </w:t>
      </w:r>
      <w:r w:rsidR="00E1755B">
        <w:t xml:space="preserve">se </w:t>
      </w:r>
      <w:r w:rsidR="00E1755B" w:rsidRPr="00D91F15">
        <w:t>félicite des</w:t>
      </w:r>
      <w:r w:rsidR="00086311" w:rsidRPr="00D91F15">
        <w:t xml:space="preserve"> mesures </w:t>
      </w:r>
      <w:r w:rsidR="00144073" w:rsidRPr="00D91F15">
        <w:t xml:space="preserve">d’ordre </w:t>
      </w:r>
      <w:r w:rsidR="00086311" w:rsidRPr="00D91F15">
        <w:t>législati</w:t>
      </w:r>
      <w:r w:rsidR="00144073" w:rsidRPr="00D91F15">
        <w:t>f</w:t>
      </w:r>
      <w:r w:rsidR="00086311" w:rsidRPr="00D91F15">
        <w:t xml:space="preserve"> et autre</w:t>
      </w:r>
      <w:r w:rsidR="00B33241" w:rsidRPr="00D91F15">
        <w:t xml:space="preserve">s </w:t>
      </w:r>
      <w:r w:rsidR="00086311" w:rsidRPr="00D91F15">
        <w:t>prises</w:t>
      </w:r>
      <w:r w:rsidR="008E12B0" w:rsidRPr="00D91F15">
        <w:t>,</w:t>
      </w:r>
      <w:r w:rsidR="00E1755B" w:rsidRPr="00D91F15">
        <w:t xml:space="preserve"> telles que</w:t>
      </w:r>
      <w:r w:rsidR="00086311" w:rsidRPr="00D91F15">
        <w:t>:</w:t>
      </w:r>
    </w:p>
    <w:p w:rsidR="00086311" w:rsidRDefault="00086311" w:rsidP="001A1C20">
      <w:pPr>
        <w:pStyle w:val="SingleTxtG"/>
        <w:ind w:left="1701"/>
      </w:pPr>
      <w:r>
        <w:t>a)</w:t>
      </w:r>
      <w:r>
        <w:tab/>
        <w:t xml:space="preserve">La publication du Pacte au </w:t>
      </w:r>
      <w:r w:rsidRPr="0046037A">
        <w:rPr>
          <w:i/>
        </w:rPr>
        <w:t>Journal officiel</w:t>
      </w:r>
      <w:r>
        <w:t xml:space="preserve"> en 2006, qui garantit que le Pacte fait partie intégrante du droit interne et </w:t>
      </w:r>
      <w:r w:rsidR="00E1755B">
        <w:t>prime</w:t>
      </w:r>
      <w:r>
        <w:t xml:space="preserve"> la législation nationale;</w:t>
      </w:r>
    </w:p>
    <w:p w:rsidR="00086311" w:rsidRDefault="00086311" w:rsidP="001A1C20">
      <w:pPr>
        <w:pStyle w:val="SingleTxtG"/>
        <w:ind w:left="1701"/>
      </w:pPr>
      <w:r>
        <w:t>b)</w:t>
      </w:r>
      <w:r>
        <w:tab/>
        <w:t xml:space="preserve">Les modifications apportées en 2010 au Code pénal qui garantissent que les auteurs de ce que l’on appelle les «crimes d’honneur» ne peuvent plus bénéficier de circonstances atténuantes; </w:t>
      </w:r>
    </w:p>
    <w:p w:rsidR="00086311" w:rsidRDefault="00086311" w:rsidP="001A1C20">
      <w:pPr>
        <w:pStyle w:val="SingleTxtG"/>
        <w:ind w:left="1701"/>
      </w:pPr>
      <w:r>
        <w:t>c)</w:t>
      </w:r>
      <w:r>
        <w:tab/>
        <w:t>Le moratoire de fait sur les exécutions capitales appliqué depuis avril 2007;</w:t>
      </w:r>
    </w:p>
    <w:p w:rsidR="00086311" w:rsidRDefault="00086311" w:rsidP="001A1C20">
      <w:pPr>
        <w:pStyle w:val="SingleTxtG"/>
        <w:ind w:left="1701"/>
      </w:pPr>
      <w:r>
        <w:t>d)</w:t>
      </w:r>
      <w:r>
        <w:tab/>
        <w:t>La création du bureau du Médiateur des droits de l’homme au sein de la Direction de la sûreté publique, en 2005;</w:t>
      </w:r>
    </w:p>
    <w:p w:rsidR="00086311" w:rsidRDefault="00086311" w:rsidP="001A1C20">
      <w:pPr>
        <w:pStyle w:val="SingleTxtG"/>
        <w:ind w:left="1701"/>
      </w:pPr>
      <w:r>
        <w:t>e)</w:t>
      </w:r>
      <w:r>
        <w:tab/>
        <w:t>La création du Ministère du développement politique, en 2003.</w:t>
      </w:r>
    </w:p>
    <w:p w:rsidR="00F26FF3" w:rsidRDefault="00F26FF3" w:rsidP="00F26FF3">
      <w:pPr>
        <w:pStyle w:val="SingleTxtG"/>
      </w:pPr>
      <w:r>
        <w:t>4.</w:t>
      </w:r>
      <w:r>
        <w:tab/>
        <w:t xml:space="preserve">Le Comité note également avec satisfaction </w:t>
      </w:r>
      <w:r w:rsidR="00144073">
        <w:t>que</w:t>
      </w:r>
      <w:r>
        <w:t xml:space="preserve"> l’État partie</w:t>
      </w:r>
      <w:r w:rsidR="00144073">
        <w:t xml:space="preserve"> a ratifié</w:t>
      </w:r>
      <w:r w:rsidR="00144073" w:rsidRPr="00144073">
        <w:t xml:space="preserve"> </w:t>
      </w:r>
      <w:r w:rsidR="00144073">
        <w:t xml:space="preserve">un certain nombre d’instruments internationaux traitant de droits protégés par le Pacte </w:t>
      </w:r>
      <w:r>
        <w:t>pendant la période considérée, en particulier:</w:t>
      </w:r>
    </w:p>
    <w:p w:rsidR="00F26FF3" w:rsidRDefault="00F26FF3" w:rsidP="00D905CD">
      <w:pPr>
        <w:pStyle w:val="SingleTxtG"/>
        <w:ind w:left="1701"/>
      </w:pPr>
      <w:r>
        <w:t>a)</w:t>
      </w:r>
      <w:r>
        <w:tab/>
        <w:t>Le Protocole facultatif à la Convention relative aux droits de l’enfant, concernant la vente d’enfants, la prostitution des enfants et la pornographie mettant en scène des enfants, en 2006;</w:t>
      </w:r>
    </w:p>
    <w:p w:rsidR="00F26FF3" w:rsidRDefault="00F26FF3" w:rsidP="00D905CD">
      <w:pPr>
        <w:pStyle w:val="SingleTxtG"/>
        <w:ind w:left="1701"/>
      </w:pPr>
      <w:r>
        <w:t>b)</w:t>
      </w:r>
      <w:r>
        <w:tab/>
        <w:t>Le Protocole facultatif à la Convention relative aux droits de l’enfant, concernant l’implication d’enfants dans les conflits armés, en 2007;</w:t>
      </w:r>
    </w:p>
    <w:p w:rsidR="00F26FF3" w:rsidRDefault="00F26FF3" w:rsidP="00D905CD">
      <w:pPr>
        <w:pStyle w:val="SingleTxtG"/>
        <w:ind w:left="1701"/>
      </w:pPr>
      <w:r>
        <w:t>c)</w:t>
      </w:r>
      <w:r>
        <w:tab/>
        <w:t>La Convention relative aux droits des personnes handicapées, en 2008;</w:t>
      </w:r>
    </w:p>
    <w:p w:rsidR="00F26FF3" w:rsidRDefault="00F26FF3" w:rsidP="00D905CD">
      <w:pPr>
        <w:pStyle w:val="SingleTxtG"/>
        <w:ind w:left="1701"/>
      </w:pPr>
      <w:r>
        <w:t>d)</w:t>
      </w:r>
      <w:r>
        <w:tab/>
        <w:t>Le Statut de Rome de la Cour pénale internationale, en 2002;</w:t>
      </w:r>
    </w:p>
    <w:p w:rsidR="00F26FF3" w:rsidRDefault="00F26FF3" w:rsidP="00D905CD">
      <w:pPr>
        <w:pStyle w:val="SingleTxtG"/>
        <w:ind w:left="1701"/>
      </w:pPr>
      <w:r>
        <w:t>e)</w:t>
      </w:r>
      <w:r>
        <w:tab/>
        <w:t>Le Protocole additionnel à la Convention des Nations Unies contre la criminalité transnationale organisée</w:t>
      </w:r>
      <w:r w:rsidR="00BC6920">
        <w:t>,</w:t>
      </w:r>
      <w:r>
        <w:t xml:space="preserve"> visant à prévenir, réprimer et punir la traite des personnes, en particulier des femmes et des enfants, en 2009.</w:t>
      </w:r>
    </w:p>
    <w:p w:rsidR="00086311" w:rsidRDefault="00086311">
      <w:pPr>
        <w:pStyle w:val="H1G"/>
      </w:pPr>
      <w:r>
        <w:tab/>
      </w:r>
      <w:r w:rsidR="006F54A6">
        <w:tab/>
      </w:r>
      <w:r>
        <w:t>C.</w:t>
      </w:r>
      <w:r>
        <w:tab/>
        <w:t>Principaux sujets de préoccupation et recommandations</w:t>
      </w:r>
    </w:p>
    <w:p w:rsidR="00086311" w:rsidRDefault="00086311" w:rsidP="000C5F34">
      <w:pPr>
        <w:pStyle w:val="SingleTxtG"/>
      </w:pPr>
      <w:r>
        <w:t>5.</w:t>
      </w:r>
      <w:r>
        <w:tab/>
        <w:t xml:space="preserve">Le Comité </w:t>
      </w:r>
      <w:r w:rsidR="00C056E2">
        <w:t xml:space="preserve">prend note avec satisfaction de </w:t>
      </w:r>
      <w:r>
        <w:t xml:space="preserve">la création du Centre national des droits de l’homme, </w:t>
      </w:r>
      <w:r w:rsidR="00DC2851">
        <w:t>conformément</w:t>
      </w:r>
      <w:r w:rsidR="000C5F34">
        <w:t xml:space="preserve"> aux Principes de Paris,</w:t>
      </w:r>
      <w:r w:rsidR="00DC2851">
        <w:t xml:space="preserve"> </w:t>
      </w:r>
      <w:r w:rsidR="00E07708">
        <w:t xml:space="preserve">tout en </w:t>
      </w:r>
      <w:r>
        <w:t>consid</w:t>
      </w:r>
      <w:r w:rsidR="00E07708">
        <w:t xml:space="preserve">érant </w:t>
      </w:r>
      <w:r>
        <w:t xml:space="preserve">que d’autres mesures pourraient être prises </w:t>
      </w:r>
      <w:r w:rsidR="00E07708">
        <w:t>en vue de</w:t>
      </w:r>
      <w:r w:rsidR="00DC2851">
        <w:t xml:space="preserve"> doter </w:t>
      </w:r>
      <w:r w:rsidR="00E07708">
        <w:t xml:space="preserve">ce centre </w:t>
      </w:r>
      <w:r w:rsidR="00DC2851">
        <w:t xml:space="preserve">de ressources humaines, </w:t>
      </w:r>
      <w:r w:rsidR="003E4354">
        <w:t>financières</w:t>
      </w:r>
      <w:r w:rsidR="00DC2851">
        <w:t xml:space="preserve"> et techniques suffisantes </w:t>
      </w:r>
      <w:r w:rsidR="00E07708">
        <w:t xml:space="preserve">pour </w:t>
      </w:r>
      <w:r w:rsidR="000C5F34">
        <w:t xml:space="preserve">en </w:t>
      </w:r>
      <w:r>
        <w:t>assurer le bon fonctionnement (art. 2).</w:t>
      </w:r>
    </w:p>
    <w:p w:rsidR="00086311" w:rsidRDefault="00086311" w:rsidP="006F54A6">
      <w:pPr>
        <w:pStyle w:val="SingleTxtG"/>
        <w:keepLines/>
        <w:ind w:firstLine="567"/>
        <w:rPr>
          <w:b/>
        </w:rPr>
      </w:pPr>
      <w:r>
        <w:rPr>
          <w:b/>
        </w:rPr>
        <w:t>L’État partie devrait faire en sorte que le</w:t>
      </w:r>
      <w:r w:rsidR="00237B03">
        <w:rPr>
          <w:b/>
        </w:rPr>
        <w:t xml:space="preserve"> choix </w:t>
      </w:r>
      <w:r w:rsidR="00C056E2">
        <w:rPr>
          <w:b/>
        </w:rPr>
        <w:t xml:space="preserve">des membres et </w:t>
      </w:r>
      <w:r w:rsidR="00E07708">
        <w:rPr>
          <w:b/>
        </w:rPr>
        <w:t xml:space="preserve">des </w:t>
      </w:r>
      <w:r w:rsidR="00C056E2">
        <w:rPr>
          <w:b/>
        </w:rPr>
        <w:t>responsables du Centre</w:t>
      </w:r>
      <w:r w:rsidR="00237B03">
        <w:rPr>
          <w:b/>
        </w:rPr>
        <w:t xml:space="preserve"> se fasse dans la transparence</w:t>
      </w:r>
      <w:r w:rsidR="00C056E2">
        <w:rPr>
          <w:b/>
        </w:rPr>
        <w:t xml:space="preserve"> </w:t>
      </w:r>
      <w:r>
        <w:rPr>
          <w:b/>
        </w:rPr>
        <w:t>et que le Centre soit doté de ressources humaines, financières et techniques suffisantes.</w:t>
      </w:r>
    </w:p>
    <w:p w:rsidR="00086311" w:rsidRDefault="00086311">
      <w:pPr>
        <w:pStyle w:val="SingleTxtG"/>
      </w:pPr>
      <w:r>
        <w:t>6.</w:t>
      </w:r>
      <w:r>
        <w:tab/>
        <w:t xml:space="preserve">Le Comité </w:t>
      </w:r>
      <w:r w:rsidR="0056104D">
        <w:t xml:space="preserve">juge </w:t>
      </w:r>
      <w:r>
        <w:t>préoccup</w:t>
      </w:r>
      <w:r w:rsidR="0056104D">
        <w:t>ante</w:t>
      </w:r>
      <w:r>
        <w:t xml:space="preserve"> la définition imprécise </w:t>
      </w:r>
      <w:r w:rsidRPr="00EB1B0C">
        <w:t xml:space="preserve">et </w:t>
      </w:r>
      <w:r w:rsidR="00EB1B0C">
        <w:t xml:space="preserve">de portée </w:t>
      </w:r>
      <w:r w:rsidRPr="00EB1B0C">
        <w:t>étendue</w:t>
      </w:r>
      <w:r w:rsidR="0056104D">
        <w:t xml:space="preserve"> que la loi relative à la prévention du</w:t>
      </w:r>
      <w:r w:rsidR="008030E5">
        <w:t xml:space="preserve"> terrorisme</w:t>
      </w:r>
      <w:r w:rsidR="0018694B">
        <w:t>,</w:t>
      </w:r>
      <w:r w:rsidR="0056104D">
        <w:t xml:space="preserve"> votée en 2006</w:t>
      </w:r>
      <w:r w:rsidR="0018694B">
        <w:t>,</w:t>
      </w:r>
      <w:r w:rsidR="0056104D">
        <w:t xml:space="preserve"> </w:t>
      </w:r>
      <w:r w:rsidR="008030E5">
        <w:t xml:space="preserve">donne </w:t>
      </w:r>
      <w:r>
        <w:t>des «activités terroristes»</w:t>
      </w:r>
      <w:r w:rsidR="0056104D">
        <w:t>.</w:t>
      </w:r>
    </w:p>
    <w:p w:rsidR="00086311" w:rsidRDefault="00086311" w:rsidP="006F54A6">
      <w:pPr>
        <w:pStyle w:val="SingleTxtG"/>
        <w:ind w:firstLine="567"/>
      </w:pPr>
      <w:r>
        <w:rPr>
          <w:b/>
        </w:rPr>
        <w:t xml:space="preserve">L’État partie devrait revoir la loi relative à la prévention du terrorisme et veiller à ce que le terrorisme et les </w:t>
      </w:r>
      <w:r w:rsidR="001C166C">
        <w:rPr>
          <w:b/>
        </w:rPr>
        <w:t>actes</w:t>
      </w:r>
      <w:r w:rsidR="00C056E2">
        <w:rPr>
          <w:b/>
        </w:rPr>
        <w:t xml:space="preserve"> </w:t>
      </w:r>
      <w:r>
        <w:rPr>
          <w:b/>
        </w:rPr>
        <w:t xml:space="preserve">terroristes y soient définis </w:t>
      </w:r>
      <w:r w:rsidR="00C056E2">
        <w:rPr>
          <w:b/>
        </w:rPr>
        <w:t>d</w:t>
      </w:r>
      <w:r w:rsidR="0056104D">
        <w:rPr>
          <w:b/>
        </w:rPr>
        <w:t>’un</w:t>
      </w:r>
      <w:r w:rsidR="00C056E2">
        <w:rPr>
          <w:b/>
        </w:rPr>
        <w:t xml:space="preserve">e manière </w:t>
      </w:r>
      <w:r w:rsidR="00E742BB">
        <w:rPr>
          <w:b/>
        </w:rPr>
        <w:t xml:space="preserve">qui soit </w:t>
      </w:r>
      <w:r w:rsidR="00C056E2">
        <w:rPr>
          <w:b/>
        </w:rPr>
        <w:t>précise et compatible avec le Pacte</w:t>
      </w:r>
      <w:r>
        <w:rPr>
          <w:b/>
        </w:rPr>
        <w:t>.</w:t>
      </w:r>
    </w:p>
    <w:p w:rsidR="00086311" w:rsidRDefault="00086311" w:rsidP="00C056E2">
      <w:pPr>
        <w:pStyle w:val="SingleTxtG"/>
      </w:pPr>
      <w:r>
        <w:t>7.</w:t>
      </w:r>
      <w:r>
        <w:tab/>
        <w:t xml:space="preserve">Le Comité relève que la Constitution </w:t>
      </w:r>
      <w:r w:rsidR="008030E5">
        <w:t xml:space="preserve">consacre l’interdiction de la discrimination </w:t>
      </w:r>
      <w:r>
        <w:t>(art.</w:t>
      </w:r>
      <w:r w:rsidR="00C561D2">
        <w:t xml:space="preserve"> </w:t>
      </w:r>
      <w:r>
        <w:t>6)</w:t>
      </w:r>
      <w:r w:rsidR="008030E5">
        <w:t>; cependant,</w:t>
      </w:r>
      <w:r>
        <w:t xml:space="preserve"> il </w:t>
      </w:r>
      <w:r w:rsidR="008030E5">
        <w:t xml:space="preserve">reste </w:t>
      </w:r>
      <w:r>
        <w:t xml:space="preserve">préoccupé par le fait que cette disposition ne mentionne pas expressément la discrimination fondée sur le sexe. </w:t>
      </w:r>
      <w:r w:rsidR="008030E5">
        <w:t>En outre, i</w:t>
      </w:r>
      <w:r>
        <w:t>l constate avec préoccupation de</w:t>
      </w:r>
      <w:r w:rsidR="008030E5">
        <w:t>s</w:t>
      </w:r>
      <w:r>
        <w:t xml:space="preserve"> discriminations </w:t>
      </w:r>
      <w:r w:rsidR="008030E5">
        <w:t xml:space="preserve">à l’égard des femmes </w:t>
      </w:r>
      <w:r>
        <w:t>en vertu de la loi de 2010 relative au statut personnel</w:t>
      </w:r>
      <w:r w:rsidR="00E742BB">
        <w:t>,</w:t>
      </w:r>
      <w:r>
        <w:t xml:space="preserve"> </w:t>
      </w:r>
      <w:r w:rsidR="008030E5">
        <w:t>en ce qui concerne leur</w:t>
      </w:r>
      <w:r>
        <w:t xml:space="preserve"> droit de demander le divorce et de se remarier. Le Comité se félicite que cette loi impose certaines restrictions à la polygamie mais il regrette que cette pratique soit toujours autorisée.</w:t>
      </w:r>
      <w:r w:rsidR="00C056E2">
        <w:t xml:space="preserve"> Il </w:t>
      </w:r>
      <w:r w:rsidR="008030E5">
        <w:t xml:space="preserve">juge </w:t>
      </w:r>
      <w:r w:rsidR="00E742BB">
        <w:t xml:space="preserve">de même </w:t>
      </w:r>
      <w:r w:rsidR="00C056E2">
        <w:t>préoccup</w:t>
      </w:r>
      <w:r w:rsidR="008030E5">
        <w:t>ante</w:t>
      </w:r>
      <w:r w:rsidR="00C056E2">
        <w:t xml:space="preserve"> l’inégalité successorale entre les hommes et les femmes.</w:t>
      </w:r>
      <w:r>
        <w:t xml:space="preserve"> Il note aussi avec préoccupation que l</w:t>
      </w:r>
      <w:r w:rsidR="00DD553A">
        <w:t>a</w:t>
      </w:r>
      <w:r>
        <w:t xml:space="preserve"> femme jordanienne ne peut pas transmettre </w:t>
      </w:r>
      <w:r w:rsidR="00DD553A">
        <w:t xml:space="preserve">sa </w:t>
      </w:r>
      <w:r>
        <w:t xml:space="preserve">nationalité à </w:t>
      </w:r>
      <w:r w:rsidR="00DD553A">
        <w:t xml:space="preserve">son </w:t>
      </w:r>
      <w:r>
        <w:t xml:space="preserve">enfant. De manière générale, le Comité </w:t>
      </w:r>
      <w:r w:rsidR="008030E5">
        <w:t xml:space="preserve">se déclare </w:t>
      </w:r>
      <w:r>
        <w:t xml:space="preserve">préoccupé par l’existence de stéréotypes et de coutumes contraires au principe de l’égalité de droits </w:t>
      </w:r>
      <w:r w:rsidR="004C690D">
        <w:t>entre l</w:t>
      </w:r>
      <w:r>
        <w:t xml:space="preserve">es hommes et </w:t>
      </w:r>
      <w:r w:rsidR="004C690D">
        <w:t>l</w:t>
      </w:r>
      <w:r>
        <w:t>es femmes</w:t>
      </w:r>
      <w:r w:rsidR="00DD553A">
        <w:t xml:space="preserve"> </w:t>
      </w:r>
      <w:r w:rsidR="008030E5">
        <w:t xml:space="preserve">qui </w:t>
      </w:r>
      <w:r>
        <w:t xml:space="preserve">entravent l’application effective </w:t>
      </w:r>
      <w:r w:rsidR="004C690D">
        <w:t xml:space="preserve">des dispositions </w:t>
      </w:r>
      <w:r>
        <w:t>du Pacte (art. 2, 3 et 26).</w:t>
      </w:r>
    </w:p>
    <w:p w:rsidR="00086311" w:rsidRDefault="00086311" w:rsidP="006F54A6">
      <w:pPr>
        <w:pStyle w:val="SingleTxtG"/>
        <w:ind w:firstLine="567"/>
      </w:pPr>
      <w:r>
        <w:rPr>
          <w:b/>
        </w:rPr>
        <w:t>L’État partie devrait rendre sa législation, y compris la loi relative au statut personnel, conforme au</w:t>
      </w:r>
      <w:r w:rsidR="004C690D">
        <w:rPr>
          <w:b/>
        </w:rPr>
        <w:t>x dispositions du</w:t>
      </w:r>
      <w:r>
        <w:rPr>
          <w:b/>
        </w:rPr>
        <w:t xml:space="preserve"> Pacte en veillant à ce que les femmes ne soient pas l’objet de discriminations en droit</w:t>
      </w:r>
      <w:r w:rsidR="00303136">
        <w:rPr>
          <w:b/>
        </w:rPr>
        <w:t xml:space="preserve"> et en fait</w:t>
      </w:r>
      <w:r>
        <w:rPr>
          <w:b/>
        </w:rPr>
        <w:t xml:space="preserve">, notamment en ce qui concerne le mariage, le divorce, la garde des enfants, l’héritage et la transmission de la nationalité aux enfants. </w:t>
      </w:r>
      <w:r w:rsidR="004C690D" w:rsidRPr="000F1C75">
        <w:rPr>
          <w:b/>
        </w:rPr>
        <w:t xml:space="preserve">L’État partie </w:t>
      </w:r>
      <w:r w:rsidRPr="000F1C75">
        <w:rPr>
          <w:b/>
        </w:rPr>
        <w:t>devrait aussi poursuivre et intensifier ses efforts pour lutter contre les tradi</w:t>
      </w:r>
      <w:r>
        <w:rPr>
          <w:b/>
        </w:rPr>
        <w:t xml:space="preserve">tions et les coutumes discriminatoires, y compris la polygamie, </w:t>
      </w:r>
      <w:r w:rsidR="000F1C75" w:rsidRPr="00037959">
        <w:rPr>
          <w:b/>
        </w:rPr>
        <w:t>notamment</w:t>
      </w:r>
      <w:r w:rsidR="000F1C75">
        <w:rPr>
          <w:b/>
        </w:rPr>
        <w:t xml:space="preserve"> </w:t>
      </w:r>
      <w:r>
        <w:rPr>
          <w:b/>
        </w:rPr>
        <w:t xml:space="preserve">par l’éducation et des campagnes de sensibilisation. À ce propos, le Comité appelle l’attention de l’État partie sur son </w:t>
      </w:r>
      <w:r w:rsidRPr="0046037A">
        <w:rPr>
          <w:b/>
        </w:rPr>
        <w:t>Observation générale n</w:t>
      </w:r>
      <w:r w:rsidRPr="0046037A">
        <w:rPr>
          <w:b/>
          <w:vertAlign w:val="superscript"/>
        </w:rPr>
        <w:t>o</w:t>
      </w:r>
      <w:r w:rsidRPr="0046037A">
        <w:rPr>
          <w:b/>
        </w:rPr>
        <w:t xml:space="preserve"> 28 (2000</w:t>
      </w:r>
      <w:r>
        <w:rPr>
          <w:b/>
        </w:rPr>
        <w:t xml:space="preserve">) relative à l’égalité </w:t>
      </w:r>
      <w:r w:rsidRPr="0046037A">
        <w:rPr>
          <w:b/>
        </w:rPr>
        <w:t>des droits</w:t>
      </w:r>
      <w:r>
        <w:rPr>
          <w:b/>
        </w:rPr>
        <w:t xml:space="preserve"> entre hommes et femmes.</w:t>
      </w:r>
    </w:p>
    <w:p w:rsidR="00086311" w:rsidRDefault="00086311" w:rsidP="00537DBD">
      <w:pPr>
        <w:pStyle w:val="SingleTxtG"/>
      </w:pPr>
      <w:r>
        <w:t>8.</w:t>
      </w:r>
      <w:r>
        <w:tab/>
        <w:t xml:space="preserve">Le Comité </w:t>
      </w:r>
      <w:r w:rsidR="004C690D">
        <w:t xml:space="preserve">juge </w:t>
      </w:r>
      <w:r>
        <w:t>préoccup</w:t>
      </w:r>
      <w:r w:rsidR="004C690D">
        <w:t>ante</w:t>
      </w:r>
      <w:r>
        <w:t xml:space="preserve"> la persistance de la violence </w:t>
      </w:r>
      <w:r w:rsidR="004C690D">
        <w:t xml:space="preserve">domestique à l’égard des </w:t>
      </w:r>
      <w:r>
        <w:t xml:space="preserve">femmes dans l’État partie. Il </w:t>
      </w:r>
      <w:r w:rsidR="00A90031">
        <w:t xml:space="preserve">relève </w:t>
      </w:r>
      <w:r>
        <w:t>en outre</w:t>
      </w:r>
      <w:r w:rsidR="00A90031">
        <w:t xml:space="preserve"> avec </w:t>
      </w:r>
      <w:r w:rsidRPr="00A90031">
        <w:t>préoccup</w:t>
      </w:r>
      <w:r w:rsidR="00A90031" w:rsidRPr="00A90031">
        <w:t xml:space="preserve">ation </w:t>
      </w:r>
      <w:r w:rsidRPr="00A90031">
        <w:t>la politique</w:t>
      </w:r>
      <w:r>
        <w:t xml:space="preserve"> consistant à placer les femmes qui risquent d’être victimes de ce que l’on appelle</w:t>
      </w:r>
      <w:r w:rsidR="00625D12">
        <w:t xml:space="preserve"> les</w:t>
      </w:r>
      <w:r>
        <w:t xml:space="preserve"> «crimes d’honneur»</w:t>
      </w:r>
      <w:r w:rsidR="003F5453">
        <w:t xml:space="preserve"> </w:t>
      </w:r>
      <w:r>
        <w:t xml:space="preserve">sans qu’elles le veuillent </w:t>
      </w:r>
      <w:r w:rsidR="00625D12">
        <w:t xml:space="preserve">sous un régime assimilable à </w:t>
      </w:r>
      <w:r w:rsidR="003F5453">
        <w:t>une</w:t>
      </w:r>
      <w:r w:rsidR="00625D12">
        <w:t xml:space="preserve"> détention </w:t>
      </w:r>
      <w:r>
        <w:t>«à des fins de protection»</w:t>
      </w:r>
      <w:r w:rsidR="003F5453">
        <w:t>,</w:t>
      </w:r>
      <w:r>
        <w:t xml:space="preserve"> en vertu de loi de 1954 relative à la prévention de la criminalité (art. 3, 7 et 26).</w:t>
      </w:r>
    </w:p>
    <w:p w:rsidR="00086311" w:rsidRDefault="00086311" w:rsidP="000C5F34">
      <w:pPr>
        <w:pStyle w:val="SingleTxtG"/>
        <w:ind w:firstLine="567"/>
      </w:pPr>
      <w:r>
        <w:rPr>
          <w:b/>
        </w:rPr>
        <w:t xml:space="preserve">L’État partie devrait renforcer </w:t>
      </w:r>
      <w:r w:rsidRPr="00037959">
        <w:rPr>
          <w:b/>
        </w:rPr>
        <w:t>le cadre juridique</w:t>
      </w:r>
      <w:r w:rsidR="004C690D">
        <w:rPr>
          <w:b/>
        </w:rPr>
        <w:t xml:space="preserve"> </w:t>
      </w:r>
      <w:r>
        <w:rPr>
          <w:b/>
        </w:rPr>
        <w:t xml:space="preserve">de la protection </w:t>
      </w:r>
      <w:r w:rsidR="004C690D">
        <w:rPr>
          <w:b/>
        </w:rPr>
        <w:t xml:space="preserve">des femmes </w:t>
      </w:r>
      <w:r>
        <w:rPr>
          <w:b/>
        </w:rPr>
        <w:t xml:space="preserve">contre la violence </w:t>
      </w:r>
      <w:r w:rsidR="004C690D">
        <w:rPr>
          <w:b/>
        </w:rPr>
        <w:t xml:space="preserve">au sein de </w:t>
      </w:r>
      <w:r>
        <w:rPr>
          <w:b/>
        </w:rPr>
        <w:t>la famille, la violence sexuelle et les autres formes de violence</w:t>
      </w:r>
      <w:r w:rsidR="004C690D">
        <w:rPr>
          <w:b/>
        </w:rPr>
        <w:t xml:space="preserve"> qu’elles</w:t>
      </w:r>
      <w:r>
        <w:rPr>
          <w:b/>
        </w:rPr>
        <w:t xml:space="preserve"> subi</w:t>
      </w:r>
      <w:r w:rsidR="004C690D">
        <w:rPr>
          <w:b/>
        </w:rPr>
        <w:t>ssent</w:t>
      </w:r>
      <w:r>
        <w:rPr>
          <w:b/>
        </w:rPr>
        <w:t xml:space="preserve">. </w:t>
      </w:r>
      <w:r w:rsidR="00AD3961">
        <w:rPr>
          <w:b/>
        </w:rPr>
        <w:t>L’</w:t>
      </w:r>
      <w:r w:rsidR="009B206F">
        <w:rPr>
          <w:b/>
        </w:rPr>
        <w:t>É</w:t>
      </w:r>
      <w:r w:rsidR="00AD3961">
        <w:rPr>
          <w:b/>
        </w:rPr>
        <w:t>tat parti</w:t>
      </w:r>
      <w:r w:rsidR="000C5F34">
        <w:rPr>
          <w:b/>
        </w:rPr>
        <w:t>e</w:t>
      </w:r>
      <w:r w:rsidR="00AD3961">
        <w:rPr>
          <w:b/>
        </w:rPr>
        <w:t xml:space="preserve"> devrait prendre toutes les mesures appropri</w:t>
      </w:r>
      <w:r w:rsidR="009B206F">
        <w:rPr>
          <w:b/>
        </w:rPr>
        <w:t>é</w:t>
      </w:r>
      <w:r w:rsidR="00AD3961">
        <w:rPr>
          <w:b/>
        </w:rPr>
        <w:t xml:space="preserve">es </w:t>
      </w:r>
      <w:r>
        <w:rPr>
          <w:b/>
        </w:rPr>
        <w:t xml:space="preserve">pour garantir que les </w:t>
      </w:r>
      <w:r w:rsidR="00AD3961">
        <w:rPr>
          <w:b/>
        </w:rPr>
        <w:t xml:space="preserve">victimes </w:t>
      </w:r>
      <w:r>
        <w:rPr>
          <w:b/>
        </w:rPr>
        <w:t>qui fuient un partenaire ou un mari violent puissent obtenir une assistance et trouver refuge dans des centres d’accueil d’urgence. L’État partie devrait mettre immédiatement fin à la pratique consistant à placer les femmes en détention «à des fins de protection» et apporter protection et soutien aux femmes qui risquent de subir des violences sous une forme qui ne soit pas attentatoire à leurs droits.</w:t>
      </w:r>
    </w:p>
    <w:p w:rsidR="00086311" w:rsidRDefault="00086311" w:rsidP="004C1CE5">
      <w:pPr>
        <w:pStyle w:val="SingleTxtG"/>
      </w:pPr>
      <w:r>
        <w:t>9.</w:t>
      </w:r>
      <w:r>
        <w:tab/>
        <w:t xml:space="preserve">Le Comité est préoccupé par le nombre élevé de cas de torture et de mauvais traitements </w:t>
      </w:r>
      <w:r w:rsidR="00BD5845">
        <w:t xml:space="preserve">qui ont été signalés </w:t>
      </w:r>
      <w:r>
        <w:t xml:space="preserve">dans les centres de détention, en particulier dans les établissements relevant du Service des renseignements généraux. Il </w:t>
      </w:r>
      <w:r w:rsidR="006F66A7">
        <w:t xml:space="preserve">note </w:t>
      </w:r>
      <w:r>
        <w:t xml:space="preserve">également </w:t>
      </w:r>
      <w:r w:rsidR="006F66A7">
        <w:t xml:space="preserve">avec </w:t>
      </w:r>
      <w:r>
        <w:t>préoccup</w:t>
      </w:r>
      <w:r w:rsidR="006F66A7">
        <w:t xml:space="preserve">ation </w:t>
      </w:r>
      <w:r w:rsidR="00E845A9">
        <w:t>l’absence d’un</w:t>
      </w:r>
      <w:r w:rsidR="006F66A7">
        <w:t xml:space="preserve"> </w:t>
      </w:r>
      <w:r>
        <w:t xml:space="preserve">mécanisme de plainte véritablement indépendant </w:t>
      </w:r>
      <w:r w:rsidR="006F66A7">
        <w:t>chargé de</w:t>
      </w:r>
      <w:r>
        <w:t xml:space="preserve"> traiter les cas de torture et de mauvais traitements imputés à des agents de l’État </w:t>
      </w:r>
      <w:r w:rsidR="00E845A9">
        <w:t xml:space="preserve">et </w:t>
      </w:r>
      <w:r>
        <w:t>le faible nombre de</w:t>
      </w:r>
      <w:r w:rsidR="00625D12">
        <w:t>s</w:t>
      </w:r>
      <w:r>
        <w:t xml:space="preserve"> poursuites engagées dans ces affaires. Le Comité </w:t>
      </w:r>
      <w:r w:rsidR="00964003">
        <w:t xml:space="preserve">juge </w:t>
      </w:r>
      <w:r>
        <w:t>en outre préoccup</w:t>
      </w:r>
      <w:r w:rsidR="00964003">
        <w:t>antes</w:t>
      </w:r>
      <w:r>
        <w:t xml:space="preserve"> les informations selon lesquelles le droit de bénéficier rapidement des services d’un avocat et d’être examiné par un médecin indépendant </w:t>
      </w:r>
      <w:r w:rsidR="00AD3961">
        <w:t>n’est pas reconnu</w:t>
      </w:r>
      <w:r>
        <w:t xml:space="preserve"> aux détenus (art. 7 et 9)</w:t>
      </w:r>
      <w:r w:rsidR="00773A82">
        <w:t>.</w:t>
      </w:r>
    </w:p>
    <w:p w:rsidR="00086311" w:rsidRDefault="00086311" w:rsidP="006F54A6">
      <w:pPr>
        <w:pStyle w:val="SingleTxtG"/>
        <w:ind w:firstLine="567"/>
      </w:pPr>
      <w:r>
        <w:rPr>
          <w:b/>
        </w:rPr>
        <w:t xml:space="preserve">L’État partie devrait mettre en place un mécanisme efficace et indépendant </w:t>
      </w:r>
      <w:r w:rsidR="006B2051" w:rsidRPr="007029B9">
        <w:rPr>
          <w:b/>
        </w:rPr>
        <w:t xml:space="preserve">chargé </w:t>
      </w:r>
      <w:r w:rsidR="003F032C" w:rsidRPr="007029B9">
        <w:rPr>
          <w:b/>
        </w:rPr>
        <w:t>d</w:t>
      </w:r>
      <w:r w:rsidRPr="007029B9">
        <w:rPr>
          <w:b/>
        </w:rPr>
        <w:t>’exam</w:t>
      </w:r>
      <w:r w:rsidR="006B2051" w:rsidRPr="007029B9">
        <w:rPr>
          <w:b/>
        </w:rPr>
        <w:t>i</w:t>
      </w:r>
      <w:r w:rsidRPr="007029B9">
        <w:rPr>
          <w:b/>
        </w:rPr>
        <w:t>n</w:t>
      </w:r>
      <w:r w:rsidR="006B2051" w:rsidRPr="007029B9">
        <w:rPr>
          <w:b/>
        </w:rPr>
        <w:t>er</w:t>
      </w:r>
      <w:r w:rsidRPr="007029B9">
        <w:rPr>
          <w:b/>
        </w:rPr>
        <w:t xml:space="preserve"> </w:t>
      </w:r>
      <w:r w:rsidR="006B2051" w:rsidRPr="007029B9">
        <w:rPr>
          <w:b/>
        </w:rPr>
        <w:t>l</w:t>
      </w:r>
      <w:r w:rsidRPr="007029B9">
        <w:rPr>
          <w:b/>
        </w:rPr>
        <w:t xml:space="preserve">es </w:t>
      </w:r>
      <w:r w:rsidR="003F032C" w:rsidRPr="007029B9">
        <w:rPr>
          <w:b/>
        </w:rPr>
        <w:t>allégations</w:t>
      </w:r>
      <w:r>
        <w:rPr>
          <w:b/>
        </w:rPr>
        <w:t xml:space="preserve"> de torture. Il devrait aussi veiller à ce que tous les cas de torture et de mauvais traitements fassent l’objet d’enquêtes approfondies</w:t>
      </w:r>
      <w:r w:rsidR="00E15A7E">
        <w:rPr>
          <w:b/>
        </w:rPr>
        <w:t xml:space="preserve"> et</w:t>
      </w:r>
      <w:r w:rsidR="00283F0D">
        <w:rPr>
          <w:b/>
        </w:rPr>
        <w:t xml:space="preserve"> </w:t>
      </w:r>
      <w:r>
        <w:rPr>
          <w:b/>
        </w:rPr>
        <w:t>de poursuites</w:t>
      </w:r>
      <w:r w:rsidR="00F26FF3">
        <w:rPr>
          <w:b/>
        </w:rPr>
        <w:t>,</w:t>
      </w:r>
      <w:r>
        <w:rPr>
          <w:b/>
        </w:rPr>
        <w:t xml:space="preserve"> que les responsables soient condamnés par des juridictions civiles</w:t>
      </w:r>
      <w:r w:rsidR="00F26FF3">
        <w:rPr>
          <w:b/>
        </w:rPr>
        <w:t xml:space="preserve"> </w:t>
      </w:r>
      <w:r w:rsidR="00E15A7E">
        <w:rPr>
          <w:b/>
        </w:rPr>
        <w:t xml:space="preserve">ordinaires </w:t>
      </w:r>
      <w:r w:rsidR="00F26FF3" w:rsidRPr="00F26FF3">
        <w:rPr>
          <w:b/>
        </w:rPr>
        <w:t xml:space="preserve">et que les </w:t>
      </w:r>
      <w:r w:rsidR="00E15A7E">
        <w:rPr>
          <w:b/>
        </w:rPr>
        <w:t xml:space="preserve">personnes </w:t>
      </w:r>
      <w:r w:rsidR="00F26FF3" w:rsidRPr="00F26FF3">
        <w:rPr>
          <w:b/>
        </w:rPr>
        <w:t>victimes de torture et de mauvais traitements bénéficient de réparations adéquates</w:t>
      </w:r>
      <w:r w:rsidR="003F032C">
        <w:rPr>
          <w:b/>
        </w:rPr>
        <w:t>,</w:t>
      </w:r>
      <w:r w:rsidR="00F26FF3" w:rsidRPr="00F26FF3">
        <w:rPr>
          <w:b/>
        </w:rPr>
        <w:t xml:space="preserve"> </w:t>
      </w:r>
      <w:r w:rsidR="00E15A7E">
        <w:rPr>
          <w:b/>
        </w:rPr>
        <w:t xml:space="preserve">ainsi que </w:t>
      </w:r>
      <w:r w:rsidR="00F26FF3" w:rsidRPr="00F26FF3">
        <w:rPr>
          <w:b/>
        </w:rPr>
        <w:t>d’</w:t>
      </w:r>
      <w:r w:rsidR="003F032C">
        <w:rPr>
          <w:b/>
        </w:rPr>
        <w:t xml:space="preserve">une </w:t>
      </w:r>
      <w:r w:rsidR="00F26FF3" w:rsidRPr="00F26FF3">
        <w:rPr>
          <w:b/>
        </w:rPr>
        <w:t>indemnisation</w:t>
      </w:r>
      <w:r>
        <w:rPr>
          <w:b/>
        </w:rPr>
        <w:t xml:space="preserve">. L’État partie devrait également garantir </w:t>
      </w:r>
      <w:r w:rsidR="00B24C19">
        <w:rPr>
          <w:b/>
        </w:rPr>
        <w:t>que</w:t>
      </w:r>
      <w:r w:rsidR="003F032C">
        <w:rPr>
          <w:b/>
        </w:rPr>
        <w:t xml:space="preserve"> </w:t>
      </w:r>
      <w:r>
        <w:rPr>
          <w:b/>
        </w:rPr>
        <w:t>tous les détenus</w:t>
      </w:r>
      <w:r w:rsidR="00B24C19">
        <w:rPr>
          <w:b/>
        </w:rPr>
        <w:t xml:space="preserve"> puissent avoir immédiatement</w:t>
      </w:r>
      <w:r>
        <w:rPr>
          <w:b/>
        </w:rPr>
        <w:t xml:space="preserve"> accès à un avocat de leur choix et </w:t>
      </w:r>
      <w:r w:rsidR="00283F0D">
        <w:rPr>
          <w:b/>
        </w:rPr>
        <w:t>qu’</w:t>
      </w:r>
      <w:r w:rsidR="00B24C19">
        <w:rPr>
          <w:b/>
        </w:rPr>
        <w:t>i</w:t>
      </w:r>
      <w:r w:rsidR="00283F0D">
        <w:rPr>
          <w:b/>
        </w:rPr>
        <w:t>ls puissent se faire examiner par</w:t>
      </w:r>
      <w:r>
        <w:rPr>
          <w:b/>
        </w:rPr>
        <w:t xml:space="preserve"> un médecin indépendant.</w:t>
      </w:r>
    </w:p>
    <w:p w:rsidR="00C26837" w:rsidRPr="00003501" w:rsidRDefault="00C26837" w:rsidP="004C1CE5">
      <w:pPr>
        <w:pStyle w:val="SingleTxtG"/>
      </w:pPr>
      <w:r w:rsidRPr="00003501">
        <w:t>10.</w:t>
      </w:r>
      <w:r w:rsidRPr="00003501">
        <w:tab/>
        <w:t>Le Comité note que le Centre national</w:t>
      </w:r>
      <w:r>
        <w:t xml:space="preserve"> d</w:t>
      </w:r>
      <w:r w:rsidRPr="00003501">
        <w:t xml:space="preserve">es droits de l’homme et le Comité international de la Croix-Rouge visitent régulièrement les </w:t>
      </w:r>
      <w:r>
        <w:t xml:space="preserve">établissements </w:t>
      </w:r>
      <w:r w:rsidRPr="00003501">
        <w:t xml:space="preserve">pénitentiaires et les centres de </w:t>
      </w:r>
      <w:r>
        <w:t>détention</w:t>
      </w:r>
      <w:r w:rsidR="00B24C19">
        <w:t xml:space="preserve">; il juge, toutefois, </w:t>
      </w:r>
      <w:r w:rsidRPr="00003501">
        <w:t>préoccup</w:t>
      </w:r>
      <w:r w:rsidR="00C0640C">
        <w:t>antes</w:t>
      </w:r>
      <w:r w:rsidRPr="00003501">
        <w:t xml:space="preserve"> les informations </w:t>
      </w:r>
      <w:r w:rsidR="00C0640C">
        <w:t>selon lesquelles</w:t>
      </w:r>
      <w:r w:rsidR="00C0640C" w:rsidRPr="00003501">
        <w:t xml:space="preserve"> </w:t>
      </w:r>
      <w:r w:rsidRPr="00003501">
        <w:t>l’acc</w:t>
      </w:r>
      <w:r>
        <w:t>ès à ces établissements avai</w:t>
      </w:r>
      <w:r w:rsidRPr="00003501">
        <w:t>t été refusé à des ONG (art. 7 et 10).</w:t>
      </w:r>
    </w:p>
    <w:p w:rsidR="00C26837" w:rsidRPr="00003501" w:rsidRDefault="00C26837" w:rsidP="006F54A6">
      <w:pPr>
        <w:pStyle w:val="SingleTxtG"/>
        <w:ind w:firstLine="567"/>
      </w:pPr>
      <w:r w:rsidRPr="00003501">
        <w:rPr>
          <w:b/>
        </w:rPr>
        <w:t>L’État partie devrait mettre en place un système de visites indépendantes de tous les lieux de privation de liberté, y compris des locaux du Service des renseignements généraux. À ce sujet</w:t>
      </w:r>
      <w:r w:rsidR="00517B07">
        <w:rPr>
          <w:b/>
        </w:rPr>
        <w:t>,</w:t>
      </w:r>
      <w:r w:rsidRPr="00003501">
        <w:rPr>
          <w:b/>
        </w:rPr>
        <w:t xml:space="preserve"> l’État partie est </w:t>
      </w:r>
      <w:r w:rsidR="00C437F9" w:rsidRPr="007029B9">
        <w:rPr>
          <w:b/>
        </w:rPr>
        <w:t>invité</w:t>
      </w:r>
      <w:r w:rsidR="00C437F9" w:rsidRPr="00003501">
        <w:rPr>
          <w:b/>
        </w:rPr>
        <w:t xml:space="preserve"> </w:t>
      </w:r>
      <w:r w:rsidRPr="00003501">
        <w:rPr>
          <w:b/>
        </w:rPr>
        <w:t>à adhérer au Protocole facultatif se rapportant à la Convention contre la torture</w:t>
      </w:r>
      <w:r w:rsidR="00517B07">
        <w:rPr>
          <w:b/>
        </w:rPr>
        <w:t xml:space="preserve"> et autres peines ou traitements cruels, inhumains ou dégradants</w:t>
      </w:r>
      <w:r w:rsidRPr="00003501">
        <w:rPr>
          <w:b/>
        </w:rPr>
        <w:t>.</w:t>
      </w:r>
    </w:p>
    <w:p w:rsidR="00C26837" w:rsidRPr="00003501" w:rsidRDefault="00C26837" w:rsidP="00A71A00">
      <w:pPr>
        <w:pStyle w:val="SingleTxtG"/>
      </w:pPr>
      <w:r w:rsidRPr="00003501">
        <w:t>11.</w:t>
      </w:r>
      <w:r w:rsidRPr="00003501">
        <w:tab/>
        <w:t xml:space="preserve">Le Comité s’inquiète de ce que la loi relative à la prévention </w:t>
      </w:r>
      <w:r>
        <w:t xml:space="preserve">de la criminalité </w:t>
      </w:r>
      <w:r w:rsidRPr="00003501">
        <w:t>(1954) donne aux gouverneurs le pouvoir d’autoriser la détention sans inculpation</w:t>
      </w:r>
      <w:r w:rsidR="00DC37FE">
        <w:t xml:space="preserve"> et</w:t>
      </w:r>
      <w:r w:rsidRPr="00003501">
        <w:t xml:space="preserve"> </w:t>
      </w:r>
      <w:r w:rsidR="000928EA" w:rsidRPr="007907D5">
        <w:t>sans garanti</w:t>
      </w:r>
      <w:r w:rsidR="000C5F34" w:rsidRPr="007907D5">
        <w:t>e</w:t>
      </w:r>
      <w:r w:rsidR="00A71A00" w:rsidRPr="007907D5">
        <w:t xml:space="preserve">s </w:t>
      </w:r>
      <w:r w:rsidR="000928EA" w:rsidRPr="007907D5">
        <w:t>effective</w:t>
      </w:r>
      <w:r w:rsidR="00A71A00" w:rsidRPr="007907D5">
        <w:t>ment accessibles</w:t>
      </w:r>
      <w:r w:rsidR="00D7572E">
        <w:t xml:space="preserve"> </w:t>
      </w:r>
      <w:r w:rsidRPr="00003501">
        <w:t>ni jugement de toute personne «</w:t>
      </w:r>
      <w:r>
        <w:t xml:space="preserve">considérée comme présentant </w:t>
      </w:r>
      <w:r w:rsidRPr="00003501">
        <w:t>un danger pour la société» (art.</w:t>
      </w:r>
      <w:r w:rsidR="00C561D2">
        <w:t xml:space="preserve"> </w:t>
      </w:r>
      <w:r w:rsidRPr="00003501">
        <w:t>9 et 14).</w:t>
      </w:r>
    </w:p>
    <w:p w:rsidR="00C26837" w:rsidRPr="00003501" w:rsidRDefault="00C26837" w:rsidP="00D7572E">
      <w:pPr>
        <w:pStyle w:val="SingleTxtG"/>
        <w:ind w:firstLine="567"/>
      </w:pPr>
      <w:r w:rsidRPr="00003501">
        <w:rPr>
          <w:b/>
        </w:rPr>
        <w:t xml:space="preserve">L’État partie devrait </w:t>
      </w:r>
      <w:r w:rsidR="00D7572E">
        <w:rPr>
          <w:b/>
        </w:rPr>
        <w:t xml:space="preserve">mettre fin à </w:t>
      </w:r>
      <w:r w:rsidRPr="00003501">
        <w:rPr>
          <w:b/>
        </w:rPr>
        <w:t xml:space="preserve">la pratique </w:t>
      </w:r>
      <w:r w:rsidR="00D7572E">
        <w:rPr>
          <w:b/>
        </w:rPr>
        <w:t>actuelle</w:t>
      </w:r>
      <w:r w:rsidR="00913481">
        <w:rPr>
          <w:b/>
        </w:rPr>
        <w:t>ment en vigueur</w:t>
      </w:r>
      <w:r w:rsidR="00D7572E">
        <w:rPr>
          <w:b/>
        </w:rPr>
        <w:t xml:space="preserve"> </w:t>
      </w:r>
      <w:r w:rsidRPr="00003501">
        <w:rPr>
          <w:b/>
        </w:rPr>
        <w:t xml:space="preserve">de l’internement administratif, </w:t>
      </w:r>
      <w:r w:rsidR="00D7572E">
        <w:rPr>
          <w:b/>
        </w:rPr>
        <w:t>amender</w:t>
      </w:r>
      <w:r w:rsidR="00D7572E" w:rsidRPr="00003501">
        <w:rPr>
          <w:b/>
        </w:rPr>
        <w:t xml:space="preserve"> </w:t>
      </w:r>
      <w:r w:rsidRPr="00003501">
        <w:rPr>
          <w:b/>
        </w:rPr>
        <w:t>la loi rel</w:t>
      </w:r>
      <w:r>
        <w:rPr>
          <w:b/>
        </w:rPr>
        <w:t xml:space="preserve">ative à la prévention de la criminalité </w:t>
      </w:r>
      <w:r w:rsidR="00913481">
        <w:rPr>
          <w:b/>
        </w:rPr>
        <w:t xml:space="preserve">de manière à rendre ses dispositions </w:t>
      </w:r>
      <w:r w:rsidR="00D7572E">
        <w:rPr>
          <w:b/>
        </w:rPr>
        <w:t>conform</w:t>
      </w:r>
      <w:r w:rsidR="00913481">
        <w:rPr>
          <w:b/>
        </w:rPr>
        <w:t xml:space="preserve">es à celles du </w:t>
      </w:r>
      <w:r w:rsidR="00D7572E">
        <w:rPr>
          <w:b/>
        </w:rPr>
        <w:t xml:space="preserve">Pacte </w:t>
      </w:r>
      <w:r w:rsidRPr="00003501">
        <w:rPr>
          <w:b/>
        </w:rPr>
        <w:t xml:space="preserve">et remettre en liberté toutes les personnes </w:t>
      </w:r>
      <w:r w:rsidR="00D06A16">
        <w:rPr>
          <w:b/>
        </w:rPr>
        <w:t>placées</w:t>
      </w:r>
      <w:r w:rsidRPr="00003501">
        <w:rPr>
          <w:b/>
        </w:rPr>
        <w:t xml:space="preserve"> en détention en application de cette loi</w:t>
      </w:r>
      <w:r w:rsidR="00D7572E">
        <w:rPr>
          <w:b/>
        </w:rPr>
        <w:t xml:space="preserve"> ou les déférer immédiatement </w:t>
      </w:r>
      <w:r w:rsidR="00E34260">
        <w:rPr>
          <w:b/>
        </w:rPr>
        <w:t>à la</w:t>
      </w:r>
      <w:r w:rsidR="00D7572E">
        <w:rPr>
          <w:b/>
        </w:rPr>
        <w:t xml:space="preserve"> justice</w:t>
      </w:r>
      <w:r w:rsidRPr="00003501">
        <w:rPr>
          <w:b/>
        </w:rPr>
        <w:t>.</w:t>
      </w:r>
    </w:p>
    <w:p w:rsidR="00C26837" w:rsidRPr="00003501" w:rsidRDefault="00C26837" w:rsidP="006651B1">
      <w:pPr>
        <w:pStyle w:val="SingleTxtG"/>
      </w:pPr>
      <w:r w:rsidRPr="00003501">
        <w:t>12.</w:t>
      </w:r>
      <w:r w:rsidRPr="00003501">
        <w:tab/>
        <w:t xml:space="preserve">Le Comité </w:t>
      </w:r>
      <w:r w:rsidR="00E34260">
        <w:t xml:space="preserve">exprime </w:t>
      </w:r>
      <w:r w:rsidR="00DA6504">
        <w:t>une nouvelle fois</w:t>
      </w:r>
      <w:r w:rsidR="00E34260">
        <w:t xml:space="preserve"> </w:t>
      </w:r>
      <w:r w:rsidR="00F26FF3">
        <w:t>sa préoccupation de</w:t>
      </w:r>
      <w:r w:rsidR="00DA6504">
        <w:t>vant</w:t>
      </w:r>
      <w:r w:rsidR="00C16F16">
        <w:t xml:space="preserve"> </w:t>
      </w:r>
      <w:r w:rsidRPr="00003501">
        <w:t xml:space="preserve">l’indépendance </w:t>
      </w:r>
      <w:r w:rsidR="00E34260">
        <w:t xml:space="preserve">réduite </w:t>
      </w:r>
      <w:r w:rsidR="006651B1">
        <w:t>tant</w:t>
      </w:r>
      <w:r w:rsidR="00E34260">
        <w:t xml:space="preserve"> au niveau </w:t>
      </w:r>
      <w:r w:rsidR="006651B1">
        <w:t xml:space="preserve">organique que fonctionnel </w:t>
      </w:r>
      <w:r w:rsidRPr="00003501">
        <w:t xml:space="preserve">de la Cour de sûreté de l’État. Il </w:t>
      </w:r>
      <w:r w:rsidR="001C3296">
        <w:t>note</w:t>
      </w:r>
      <w:r w:rsidR="001C3296" w:rsidRPr="00003501">
        <w:t xml:space="preserve"> </w:t>
      </w:r>
      <w:r w:rsidRPr="00003501">
        <w:t xml:space="preserve">également </w:t>
      </w:r>
      <w:r w:rsidR="001C3296">
        <w:t xml:space="preserve">avec inquiétude </w:t>
      </w:r>
      <w:r w:rsidRPr="00003501">
        <w:t xml:space="preserve">que le Premier Ministre a le pouvoir de renvoyer </w:t>
      </w:r>
      <w:r w:rsidR="001C3296">
        <w:t>devant</w:t>
      </w:r>
      <w:r w:rsidRPr="00003501">
        <w:t xml:space="preserve"> cette juridiction des affaires qui ne </w:t>
      </w:r>
      <w:r w:rsidR="00DA6504">
        <w:t>touchent</w:t>
      </w:r>
      <w:r w:rsidR="001C3296" w:rsidRPr="00003501">
        <w:t xml:space="preserve"> </w:t>
      </w:r>
      <w:r w:rsidRPr="00003501">
        <w:t xml:space="preserve">pas </w:t>
      </w:r>
      <w:r w:rsidR="00DA6504">
        <w:t xml:space="preserve">à </w:t>
      </w:r>
      <w:r w:rsidRPr="00003501">
        <w:t>la sécurité de l’État (art. 14).</w:t>
      </w:r>
    </w:p>
    <w:p w:rsidR="00C26837" w:rsidRPr="00003501" w:rsidRDefault="00C26837" w:rsidP="006F54A6">
      <w:pPr>
        <w:pStyle w:val="SingleTxtG"/>
        <w:ind w:firstLine="567"/>
      </w:pPr>
      <w:r w:rsidRPr="00003501">
        <w:rPr>
          <w:b/>
        </w:rPr>
        <w:t>L</w:t>
      </w:r>
      <w:r>
        <w:rPr>
          <w:b/>
        </w:rPr>
        <w:t xml:space="preserve">e Comité </w:t>
      </w:r>
      <w:r w:rsidR="00C16F16">
        <w:rPr>
          <w:b/>
        </w:rPr>
        <w:t>réitère</w:t>
      </w:r>
      <w:r w:rsidR="008D19D7">
        <w:rPr>
          <w:b/>
        </w:rPr>
        <w:t xml:space="preserve"> </w:t>
      </w:r>
      <w:r w:rsidR="00C16F16">
        <w:rPr>
          <w:b/>
        </w:rPr>
        <w:t xml:space="preserve">sa recommandation de </w:t>
      </w:r>
      <w:r w:rsidR="00C16F16" w:rsidRPr="00003501">
        <w:rPr>
          <w:b/>
        </w:rPr>
        <w:t>1994 (CCPR/C/79/Add</w:t>
      </w:r>
      <w:r w:rsidR="00C16F16">
        <w:rPr>
          <w:b/>
        </w:rPr>
        <w:t>.</w:t>
      </w:r>
      <w:r w:rsidR="00C16F16" w:rsidRPr="00003501">
        <w:rPr>
          <w:b/>
        </w:rPr>
        <w:t>35, par. 16)</w:t>
      </w:r>
      <w:r w:rsidR="00C16F16">
        <w:rPr>
          <w:b/>
        </w:rPr>
        <w:t xml:space="preserve"> dans laquelle il préconise que </w:t>
      </w:r>
      <w:r w:rsidRPr="00003501">
        <w:rPr>
          <w:b/>
        </w:rPr>
        <w:t>l’État partie</w:t>
      </w:r>
      <w:r w:rsidR="001C4315">
        <w:rPr>
          <w:b/>
        </w:rPr>
        <w:t xml:space="preserve"> </w:t>
      </w:r>
      <w:r w:rsidRPr="00003501">
        <w:rPr>
          <w:b/>
        </w:rPr>
        <w:t>envisage d</w:t>
      </w:r>
      <w:r>
        <w:rPr>
          <w:b/>
        </w:rPr>
        <w:t>’abolir</w:t>
      </w:r>
      <w:r w:rsidRPr="00003501">
        <w:rPr>
          <w:b/>
        </w:rPr>
        <w:t xml:space="preserve"> la Cour de sûreté de l’État.</w:t>
      </w:r>
    </w:p>
    <w:p w:rsidR="00C26837" w:rsidRPr="00003501" w:rsidRDefault="00C26837" w:rsidP="0044255C">
      <w:pPr>
        <w:pStyle w:val="SingleTxtG"/>
      </w:pPr>
      <w:r w:rsidRPr="00003501">
        <w:t>13.</w:t>
      </w:r>
      <w:r w:rsidRPr="00003501">
        <w:tab/>
        <w:t xml:space="preserve">Le Comité </w:t>
      </w:r>
      <w:r w:rsidR="00A77371">
        <w:t xml:space="preserve">exprime </w:t>
      </w:r>
      <w:r w:rsidR="009733DE">
        <w:t>une nouvelle fois</w:t>
      </w:r>
      <w:r w:rsidR="0044255C">
        <w:t xml:space="preserve"> sa préoccupation </w:t>
      </w:r>
      <w:r w:rsidR="00BA1C99">
        <w:t>face aux</w:t>
      </w:r>
      <w:r w:rsidRPr="00003501">
        <w:t xml:space="preserve"> restrictions</w:t>
      </w:r>
      <w:r w:rsidR="009733DE">
        <w:t xml:space="preserve"> mises</w:t>
      </w:r>
      <w:r w:rsidRPr="00003501">
        <w:t xml:space="preserve"> à la liberté de religion, notamment les conséquences de l’apostasie de l’</w:t>
      </w:r>
      <w:r>
        <w:t>I</w:t>
      </w:r>
      <w:r w:rsidRPr="00003501">
        <w:t>slam</w:t>
      </w:r>
      <w:r>
        <w:t>,</w:t>
      </w:r>
      <w:r w:rsidRPr="00003501">
        <w:t xml:space="preserve"> </w:t>
      </w:r>
      <w:r w:rsidRPr="007907D5">
        <w:t>comme l’impossibilité d’hériter</w:t>
      </w:r>
      <w:r w:rsidRPr="00003501">
        <w:t>, et la non-reconnaissance de la foi bahaïe (art. 18).</w:t>
      </w:r>
    </w:p>
    <w:p w:rsidR="00C26837" w:rsidRPr="00003501" w:rsidRDefault="00C26837" w:rsidP="006F54A6">
      <w:pPr>
        <w:pStyle w:val="SingleTxtG"/>
        <w:ind w:firstLine="567"/>
        <w:rPr>
          <w:b/>
        </w:rPr>
      </w:pPr>
      <w:r w:rsidRPr="00003501">
        <w:rPr>
          <w:b/>
        </w:rPr>
        <w:t xml:space="preserve">Le Comité </w:t>
      </w:r>
      <w:r w:rsidR="00C16F16">
        <w:rPr>
          <w:b/>
        </w:rPr>
        <w:t>réitère</w:t>
      </w:r>
      <w:r w:rsidR="008D19D7" w:rsidRPr="00003501">
        <w:rPr>
          <w:b/>
        </w:rPr>
        <w:t xml:space="preserve"> </w:t>
      </w:r>
      <w:r w:rsidR="008D19D7">
        <w:rPr>
          <w:b/>
        </w:rPr>
        <w:t xml:space="preserve">sa recommandation de </w:t>
      </w:r>
      <w:r w:rsidR="009733DE" w:rsidRPr="00003501">
        <w:rPr>
          <w:b/>
        </w:rPr>
        <w:t>1994 (CCPR/C/79/Add.35, par.</w:t>
      </w:r>
      <w:r w:rsidR="009733DE">
        <w:rPr>
          <w:b/>
        </w:rPr>
        <w:t xml:space="preserve"> </w:t>
      </w:r>
      <w:r w:rsidR="009733DE" w:rsidRPr="00003501">
        <w:rPr>
          <w:b/>
        </w:rPr>
        <w:t>17)</w:t>
      </w:r>
      <w:r w:rsidR="009733DE">
        <w:rPr>
          <w:b/>
        </w:rPr>
        <w:t xml:space="preserve"> </w:t>
      </w:r>
      <w:r w:rsidR="00AB7566">
        <w:rPr>
          <w:b/>
        </w:rPr>
        <w:t>dans</w:t>
      </w:r>
      <w:r w:rsidR="008D19D7">
        <w:rPr>
          <w:b/>
        </w:rPr>
        <w:t xml:space="preserve"> laquelle</w:t>
      </w:r>
      <w:r w:rsidR="009733DE">
        <w:rPr>
          <w:b/>
        </w:rPr>
        <w:t xml:space="preserve"> </w:t>
      </w:r>
      <w:r w:rsidR="00AB7566">
        <w:rPr>
          <w:b/>
        </w:rPr>
        <w:t xml:space="preserve">il préconise que </w:t>
      </w:r>
      <w:r w:rsidR="008D19D7">
        <w:rPr>
          <w:b/>
        </w:rPr>
        <w:t xml:space="preserve">l’État partie </w:t>
      </w:r>
      <w:r w:rsidRPr="00003501">
        <w:rPr>
          <w:b/>
        </w:rPr>
        <w:t>pren</w:t>
      </w:r>
      <w:r w:rsidR="009733DE">
        <w:rPr>
          <w:b/>
        </w:rPr>
        <w:t xml:space="preserve">ne </w:t>
      </w:r>
      <w:r w:rsidR="009733DE" w:rsidRPr="009733DE">
        <w:rPr>
          <w:b/>
          <w:highlight w:val="yellow"/>
        </w:rPr>
        <w:t xml:space="preserve">des </w:t>
      </w:r>
      <w:r w:rsidRPr="009733DE">
        <w:rPr>
          <w:b/>
          <w:highlight w:val="yellow"/>
        </w:rPr>
        <w:t xml:space="preserve">mesures </w:t>
      </w:r>
      <w:r w:rsidR="009733DE" w:rsidRPr="009733DE">
        <w:rPr>
          <w:b/>
          <w:highlight w:val="yellow"/>
        </w:rPr>
        <w:t>additionnelles</w:t>
      </w:r>
      <w:r w:rsidR="009733DE">
        <w:rPr>
          <w:b/>
        </w:rPr>
        <w:t xml:space="preserve"> </w:t>
      </w:r>
      <w:r w:rsidR="000B2483">
        <w:rPr>
          <w:b/>
        </w:rPr>
        <w:t>destinées à</w:t>
      </w:r>
      <w:r w:rsidR="007473AB" w:rsidRPr="00003501">
        <w:rPr>
          <w:b/>
        </w:rPr>
        <w:t xml:space="preserve"> </w:t>
      </w:r>
      <w:r>
        <w:rPr>
          <w:b/>
        </w:rPr>
        <w:t xml:space="preserve">mieux </w:t>
      </w:r>
      <w:r w:rsidRPr="00003501">
        <w:rPr>
          <w:b/>
        </w:rPr>
        <w:t>garantir la liberté de religion.</w:t>
      </w:r>
    </w:p>
    <w:p w:rsidR="00C26837" w:rsidRPr="00003501" w:rsidRDefault="00C26837" w:rsidP="004C1CE5">
      <w:pPr>
        <w:pStyle w:val="SingleTxtG"/>
      </w:pPr>
      <w:r w:rsidRPr="00003501">
        <w:t>14.</w:t>
      </w:r>
      <w:r w:rsidRPr="00003501">
        <w:tab/>
        <w:t xml:space="preserve">Le Comité </w:t>
      </w:r>
      <w:r w:rsidR="00AB7566">
        <w:t>salue l’information</w:t>
      </w:r>
      <w:r w:rsidRPr="00003501">
        <w:t xml:space="preserve"> </w:t>
      </w:r>
      <w:r w:rsidR="00AB7566">
        <w:t>donnée par</w:t>
      </w:r>
      <w:r w:rsidR="00AB7566" w:rsidRPr="00003501">
        <w:t xml:space="preserve"> </w:t>
      </w:r>
      <w:r w:rsidRPr="00003501">
        <w:t xml:space="preserve">l’État partie </w:t>
      </w:r>
      <w:r w:rsidR="00AB7566">
        <w:t xml:space="preserve">selon laquelle </w:t>
      </w:r>
      <w:r>
        <w:t>un</w:t>
      </w:r>
      <w:r w:rsidRPr="00003501">
        <w:t xml:space="preserve">e </w:t>
      </w:r>
      <w:r>
        <w:t xml:space="preserve">réforme de </w:t>
      </w:r>
      <w:r w:rsidRPr="00003501">
        <w:t xml:space="preserve">la législation relative aux médias est en </w:t>
      </w:r>
      <w:r>
        <w:t xml:space="preserve">cours </w:t>
      </w:r>
      <w:r w:rsidRPr="00003501">
        <w:t xml:space="preserve">mais s’inquiète de </w:t>
      </w:r>
      <w:r w:rsidR="00AB7566">
        <w:t xml:space="preserve">savoir </w:t>
      </w:r>
      <w:r w:rsidRPr="00003501">
        <w:t xml:space="preserve">que les journalistes continuent d’encourir des sanctions pénales s’ils écrivent des articles considérés comme </w:t>
      </w:r>
      <w:r>
        <w:t xml:space="preserve">préjudiciables </w:t>
      </w:r>
      <w:r w:rsidRPr="00003501">
        <w:t xml:space="preserve">aux relations diplomatiques </w:t>
      </w:r>
      <w:r>
        <w:t xml:space="preserve">du pays </w:t>
      </w:r>
      <w:r w:rsidRPr="00003501">
        <w:t xml:space="preserve">ou </w:t>
      </w:r>
      <w:r w:rsidR="00AB7566" w:rsidRPr="00580ED3">
        <w:t>concernant</w:t>
      </w:r>
      <w:r w:rsidRPr="00003501">
        <w:t xml:space="preserve"> le Roi et la famille royale (art. 19).</w:t>
      </w:r>
    </w:p>
    <w:p w:rsidR="00C26837" w:rsidRPr="00003501" w:rsidRDefault="00C26837" w:rsidP="006F54A6">
      <w:pPr>
        <w:pStyle w:val="SingleTxtG"/>
        <w:ind w:firstLine="567"/>
      </w:pPr>
      <w:r w:rsidRPr="00003501">
        <w:rPr>
          <w:b/>
        </w:rPr>
        <w:t xml:space="preserve">L’État partie devrait revoir sa législation et sa pratique de façon à garantir que les journalistes et les organes d’information n’encourent pas de sanctions pénales pour avoir exprimé une opinion critique et que toute restriction </w:t>
      </w:r>
      <w:r w:rsidR="009550A9">
        <w:rPr>
          <w:b/>
        </w:rPr>
        <w:t xml:space="preserve">imposée </w:t>
      </w:r>
      <w:r w:rsidRPr="00003501">
        <w:rPr>
          <w:b/>
        </w:rPr>
        <w:t>aux activités de la presse et des organes d’information en général soit strictement compatible avec les dispositions du paragraphe 3 de l’article 19 du Pacte.</w:t>
      </w:r>
    </w:p>
    <w:p w:rsidR="00C26837" w:rsidRPr="00003501" w:rsidRDefault="00C26837" w:rsidP="004C1CE5">
      <w:pPr>
        <w:pStyle w:val="SingleTxtG"/>
      </w:pPr>
      <w:r w:rsidRPr="00003501">
        <w:t>15.</w:t>
      </w:r>
      <w:r w:rsidRPr="00003501">
        <w:tab/>
        <w:t>Le Comité note avec préoccupation que la loi relative aux réunions publiques (</w:t>
      </w:r>
      <w:r w:rsidRPr="0027000D">
        <w:t>2008</w:t>
      </w:r>
      <w:r w:rsidRPr="00003501">
        <w:t xml:space="preserve">) impose </w:t>
      </w:r>
      <w:r w:rsidR="0027000D">
        <w:t>à tout</w:t>
      </w:r>
      <w:r w:rsidR="00A95A0E">
        <w:t xml:space="preserve"> organisateur d</w:t>
      </w:r>
      <w:r w:rsidR="0027000D">
        <w:t>’une</w:t>
      </w:r>
      <w:r w:rsidR="00A95A0E" w:rsidRPr="00A95A0E">
        <w:t xml:space="preserve"> </w:t>
      </w:r>
      <w:r w:rsidR="00A95A0E" w:rsidRPr="00003501">
        <w:t>réunion publique</w:t>
      </w:r>
      <w:r w:rsidR="00A95A0E">
        <w:t xml:space="preserve"> portant sur la politique générale de l’État</w:t>
      </w:r>
      <w:r w:rsidR="00A95A0E" w:rsidRPr="00003501">
        <w:t xml:space="preserve"> (art. 21)</w:t>
      </w:r>
      <w:r w:rsidR="00A95A0E">
        <w:t xml:space="preserve"> </w:t>
      </w:r>
      <w:r w:rsidR="0027000D">
        <w:t>d’</w:t>
      </w:r>
      <w:r w:rsidR="007C36FC">
        <w:t>obt</w:t>
      </w:r>
      <w:r w:rsidR="0027000D">
        <w:t xml:space="preserve">enir </w:t>
      </w:r>
      <w:r w:rsidR="007C36FC">
        <w:t>préalable</w:t>
      </w:r>
      <w:r w:rsidR="0027000D">
        <w:t>ment</w:t>
      </w:r>
      <w:r w:rsidR="007C36FC">
        <w:t xml:space="preserve"> l’</w:t>
      </w:r>
      <w:r w:rsidRPr="00003501">
        <w:t>autorisation écrite du gouverneur</w:t>
      </w:r>
      <w:r w:rsidR="007C36FC">
        <w:t>.</w:t>
      </w:r>
    </w:p>
    <w:p w:rsidR="00C26837" w:rsidRPr="00003501" w:rsidRDefault="00C26837" w:rsidP="006F54A6">
      <w:pPr>
        <w:pStyle w:val="SingleTxtG"/>
        <w:ind w:firstLine="567"/>
      </w:pPr>
      <w:r w:rsidRPr="00003501">
        <w:rPr>
          <w:b/>
        </w:rPr>
        <w:t>L’État partie devrait modifier la loi relative aux réunions publiques et prendre les mesures voulues pour que toute restriction à la liberté de réunion pacifique soit strictement compatible avec les dispositions de l’article 21 du Pacte</w:t>
      </w:r>
      <w:r w:rsidR="006F7CA2">
        <w:rPr>
          <w:b/>
        </w:rPr>
        <w:t xml:space="preserve"> et </w:t>
      </w:r>
      <w:r w:rsidR="00325AA7">
        <w:rPr>
          <w:b/>
        </w:rPr>
        <w:t xml:space="preserve">non </w:t>
      </w:r>
      <w:r w:rsidR="006F7CA2">
        <w:rPr>
          <w:b/>
        </w:rPr>
        <w:t>subordonnée à des considérations politiques</w:t>
      </w:r>
      <w:r w:rsidRPr="00003501">
        <w:rPr>
          <w:b/>
        </w:rPr>
        <w:t>.</w:t>
      </w:r>
    </w:p>
    <w:p w:rsidR="00C26837" w:rsidRPr="00003501" w:rsidRDefault="00C26837" w:rsidP="006F7CA2">
      <w:pPr>
        <w:pStyle w:val="SingleTxtG"/>
      </w:pPr>
      <w:r w:rsidRPr="00003501">
        <w:t>16.</w:t>
      </w:r>
      <w:r w:rsidRPr="00003501">
        <w:tab/>
        <w:t xml:space="preserve">Le Comité est préoccupé par les restrictions </w:t>
      </w:r>
      <w:r w:rsidR="00325AA7">
        <w:t>imposées aux</w:t>
      </w:r>
      <w:r w:rsidR="00FA6D0B">
        <w:t xml:space="preserve"> ONG</w:t>
      </w:r>
      <w:r w:rsidR="006F7CA2">
        <w:t xml:space="preserve"> </w:t>
      </w:r>
      <w:r w:rsidR="00325AA7">
        <w:t xml:space="preserve">tant au niveau de </w:t>
      </w:r>
      <w:r w:rsidR="00FA6D0B">
        <w:t xml:space="preserve">leur </w:t>
      </w:r>
      <w:r w:rsidR="00FA6D0B" w:rsidRPr="00FB56DE">
        <w:t>constitu</w:t>
      </w:r>
      <w:r w:rsidR="006F7CA2" w:rsidRPr="00FB56DE">
        <w:t>tion</w:t>
      </w:r>
      <w:r w:rsidR="006F7CA2">
        <w:t xml:space="preserve"> </w:t>
      </w:r>
      <w:r w:rsidR="00910C4C">
        <w:t>que</w:t>
      </w:r>
      <w:r w:rsidR="006F7CA2">
        <w:t xml:space="preserve"> </w:t>
      </w:r>
      <w:r w:rsidR="00325AA7">
        <w:t xml:space="preserve">de </w:t>
      </w:r>
      <w:r w:rsidR="006F7CA2">
        <w:t xml:space="preserve">certains aspects de leur fonctionnement. Il relève avec préoccupation, notamment, </w:t>
      </w:r>
      <w:r w:rsidR="00325AA7">
        <w:t>que le</w:t>
      </w:r>
      <w:r w:rsidR="006F7CA2">
        <w:t xml:space="preserve"> </w:t>
      </w:r>
      <w:r w:rsidR="00325AA7">
        <w:t>G</w:t>
      </w:r>
      <w:r w:rsidR="006F7CA2">
        <w:t xml:space="preserve">ouvernement </w:t>
      </w:r>
      <w:r w:rsidR="00325AA7">
        <w:t xml:space="preserve">a toute latitude </w:t>
      </w:r>
      <w:r w:rsidR="00910C4C">
        <w:t xml:space="preserve">pour </w:t>
      </w:r>
      <w:r w:rsidR="006F7CA2">
        <w:t xml:space="preserve">nommer un fonctionnaire </w:t>
      </w:r>
      <w:r w:rsidR="006F7CA2" w:rsidRPr="003F22B1">
        <w:t>au poste de</w:t>
      </w:r>
      <w:r w:rsidR="006F7CA2">
        <w:t xml:space="preserve"> président provisoire d’</w:t>
      </w:r>
      <w:r w:rsidR="00FA6D0B">
        <w:t>une ONG nouvellement constituée</w:t>
      </w:r>
      <w:r w:rsidR="006F7CA2">
        <w:t xml:space="preserve"> </w:t>
      </w:r>
      <w:r w:rsidRPr="00003501">
        <w:t>(art. 22).</w:t>
      </w:r>
    </w:p>
    <w:p w:rsidR="00C26837" w:rsidRPr="00003501" w:rsidRDefault="00C26837" w:rsidP="006F54A6">
      <w:pPr>
        <w:pStyle w:val="SingleTxtG"/>
        <w:ind w:firstLine="567"/>
      </w:pPr>
      <w:r w:rsidRPr="00003501">
        <w:rPr>
          <w:b/>
        </w:rPr>
        <w:t xml:space="preserve">L’État partie devrait modifier la loi sur les associations et prendre </w:t>
      </w:r>
      <w:r w:rsidR="00FF429E">
        <w:rPr>
          <w:b/>
        </w:rPr>
        <w:t>d</w:t>
      </w:r>
      <w:r w:rsidRPr="00003501">
        <w:rPr>
          <w:b/>
        </w:rPr>
        <w:t xml:space="preserve">es mesures </w:t>
      </w:r>
      <w:r w:rsidR="006F7CA2">
        <w:rPr>
          <w:b/>
        </w:rPr>
        <w:t xml:space="preserve">appropriées </w:t>
      </w:r>
      <w:r w:rsidRPr="00003501">
        <w:rPr>
          <w:b/>
        </w:rPr>
        <w:t xml:space="preserve">pour que toute restriction </w:t>
      </w:r>
      <w:r w:rsidR="00FF429E">
        <w:rPr>
          <w:b/>
        </w:rPr>
        <w:t>de</w:t>
      </w:r>
      <w:r w:rsidRPr="00003501">
        <w:rPr>
          <w:b/>
        </w:rPr>
        <w:t xml:space="preserve"> la liberté d’association soit </w:t>
      </w:r>
      <w:r>
        <w:rPr>
          <w:b/>
        </w:rPr>
        <w:t xml:space="preserve">strictement </w:t>
      </w:r>
      <w:r w:rsidRPr="00003501">
        <w:rPr>
          <w:b/>
        </w:rPr>
        <w:t>compatible avec les dispositions de l’article 22 du Pacte.</w:t>
      </w:r>
    </w:p>
    <w:p w:rsidR="00C26837" w:rsidRPr="00003501" w:rsidRDefault="00C26837" w:rsidP="004C1CE5">
      <w:pPr>
        <w:pStyle w:val="SingleTxtG"/>
      </w:pPr>
      <w:r w:rsidRPr="00003501">
        <w:t>17.</w:t>
      </w:r>
      <w:r w:rsidRPr="00003501">
        <w:tab/>
        <w:t xml:space="preserve">Le Comité s’inquiète des informations </w:t>
      </w:r>
      <w:r w:rsidR="00325AA7">
        <w:t xml:space="preserve">selon lesquelles </w:t>
      </w:r>
      <w:r w:rsidRPr="00003501">
        <w:t xml:space="preserve">le travail des enfants </w:t>
      </w:r>
      <w:r w:rsidR="00B34124">
        <w:t>augmente</w:t>
      </w:r>
      <w:r w:rsidR="004A017A" w:rsidRPr="00003501">
        <w:t xml:space="preserve"> </w:t>
      </w:r>
      <w:r w:rsidRPr="00003501">
        <w:t xml:space="preserve">dans l’État partie et que le Code du travail </w:t>
      </w:r>
      <w:r>
        <w:t xml:space="preserve">ne protège </w:t>
      </w:r>
      <w:r w:rsidRPr="00003501">
        <w:t>pas les enfants qui travaillent dans les entreprises familiales ou dans l’agriculture (art. 24).</w:t>
      </w:r>
    </w:p>
    <w:p w:rsidR="00C26837" w:rsidRPr="00003501" w:rsidRDefault="00C26837" w:rsidP="006F54A6">
      <w:pPr>
        <w:pStyle w:val="SingleTxtG"/>
        <w:ind w:firstLine="567"/>
      </w:pPr>
      <w:r w:rsidRPr="00003501">
        <w:rPr>
          <w:b/>
        </w:rPr>
        <w:t xml:space="preserve">L’État partie devrait prendre toutes les mesures qui s’imposent pour lutter contre le travail des enfants, notamment en réexaminant sa législation de façon à assurer </w:t>
      </w:r>
      <w:r>
        <w:rPr>
          <w:b/>
        </w:rPr>
        <w:t xml:space="preserve">une </w:t>
      </w:r>
      <w:r w:rsidRPr="00003501">
        <w:rPr>
          <w:b/>
        </w:rPr>
        <w:t xml:space="preserve">protection </w:t>
      </w:r>
      <w:r>
        <w:rPr>
          <w:b/>
        </w:rPr>
        <w:t xml:space="preserve">à </w:t>
      </w:r>
      <w:r w:rsidRPr="00003501">
        <w:rPr>
          <w:b/>
        </w:rPr>
        <w:t xml:space="preserve">tous les enfants, y compris </w:t>
      </w:r>
      <w:r>
        <w:rPr>
          <w:b/>
        </w:rPr>
        <w:t xml:space="preserve">à ceux </w:t>
      </w:r>
      <w:r w:rsidRPr="00003501">
        <w:rPr>
          <w:b/>
        </w:rPr>
        <w:t>qui travaillent dans les entreprises familiales et dans l’agriculture.</w:t>
      </w:r>
    </w:p>
    <w:p w:rsidR="00C26837" w:rsidRPr="00003501" w:rsidRDefault="00C26837" w:rsidP="004C1CE5">
      <w:pPr>
        <w:pStyle w:val="SingleTxtG"/>
      </w:pPr>
      <w:r w:rsidRPr="00003501">
        <w:t>18.</w:t>
      </w:r>
      <w:r w:rsidRPr="00003501">
        <w:tab/>
        <w:t>Le Comité relève avec satisfaction que</w:t>
      </w:r>
      <w:r>
        <w:t>,</w:t>
      </w:r>
      <w:r w:rsidRPr="00003501">
        <w:t xml:space="preserve"> pour la première fois</w:t>
      </w:r>
      <w:r>
        <w:t>,</w:t>
      </w:r>
      <w:r w:rsidRPr="00003501">
        <w:t xml:space="preserve"> des observateurs internationaux seront autorités à assister aux prochaines élections, </w:t>
      </w:r>
      <w:r w:rsidR="000119C6">
        <w:t xml:space="preserve">qui se tiendront </w:t>
      </w:r>
      <w:r w:rsidRPr="00003501">
        <w:t>en novembre 2010</w:t>
      </w:r>
      <w:r w:rsidR="000119C6">
        <w:t>; cependant</w:t>
      </w:r>
      <w:r w:rsidRPr="00003501">
        <w:t xml:space="preserve">, il </w:t>
      </w:r>
      <w:r w:rsidR="000119C6">
        <w:t>juge</w:t>
      </w:r>
      <w:r w:rsidR="000119C6" w:rsidRPr="00003501">
        <w:t xml:space="preserve"> </w:t>
      </w:r>
      <w:r w:rsidRPr="00003501">
        <w:t>préoccup</w:t>
      </w:r>
      <w:r w:rsidR="000119C6">
        <w:t xml:space="preserve">antes </w:t>
      </w:r>
      <w:r w:rsidRPr="00003501">
        <w:t xml:space="preserve">les informations </w:t>
      </w:r>
      <w:r w:rsidR="000119C6">
        <w:t>selon lesquelles</w:t>
      </w:r>
      <w:r w:rsidRPr="00003501">
        <w:t xml:space="preserve"> les mesures prises pour garantir des élections libres et transparentes sont insuffisantes (art. 25).</w:t>
      </w:r>
    </w:p>
    <w:p w:rsidR="00C26837" w:rsidRPr="00003501" w:rsidRDefault="00C26837" w:rsidP="000C5F34">
      <w:pPr>
        <w:pStyle w:val="SingleTxtG"/>
        <w:ind w:firstLine="567"/>
      </w:pPr>
      <w:r>
        <w:rPr>
          <w:b/>
        </w:rPr>
        <w:t>L’État partie devrait prendre d</w:t>
      </w:r>
      <w:r w:rsidRPr="00003501">
        <w:rPr>
          <w:b/>
        </w:rPr>
        <w:t xml:space="preserve">es mesures </w:t>
      </w:r>
      <w:r>
        <w:rPr>
          <w:b/>
        </w:rPr>
        <w:t xml:space="preserve">adéquates </w:t>
      </w:r>
      <w:r w:rsidRPr="00003501">
        <w:rPr>
          <w:b/>
        </w:rPr>
        <w:t xml:space="preserve">pour </w:t>
      </w:r>
      <w:r w:rsidR="00B75908">
        <w:rPr>
          <w:b/>
        </w:rPr>
        <w:t xml:space="preserve">mieux </w:t>
      </w:r>
      <w:r w:rsidRPr="00003501">
        <w:rPr>
          <w:b/>
        </w:rPr>
        <w:t xml:space="preserve">garantir des élections libres et transparentes, notamment en établissant une commission électorale indépendante </w:t>
      </w:r>
      <w:r w:rsidR="004D50DA">
        <w:rPr>
          <w:b/>
        </w:rPr>
        <w:t>chargée de la</w:t>
      </w:r>
      <w:r w:rsidRPr="00003501">
        <w:rPr>
          <w:b/>
        </w:rPr>
        <w:t xml:space="preserve"> supervision </w:t>
      </w:r>
      <w:r w:rsidRPr="003F22B1">
        <w:rPr>
          <w:b/>
        </w:rPr>
        <w:t>systématique</w:t>
      </w:r>
      <w:r w:rsidRPr="00003501">
        <w:rPr>
          <w:b/>
        </w:rPr>
        <w:t xml:space="preserve"> des élections.</w:t>
      </w:r>
    </w:p>
    <w:p w:rsidR="00C26837" w:rsidRPr="00003501" w:rsidRDefault="00C26837" w:rsidP="0044255C">
      <w:pPr>
        <w:pStyle w:val="SingleTxtG"/>
      </w:pPr>
      <w:r w:rsidRPr="00003501">
        <w:t>19.</w:t>
      </w:r>
      <w:r w:rsidRPr="00003501">
        <w:tab/>
        <w:t xml:space="preserve">Le Comité s’inquiète de la participation </w:t>
      </w:r>
      <w:r w:rsidR="006C2B8F">
        <w:t xml:space="preserve">insuffisante </w:t>
      </w:r>
      <w:r w:rsidRPr="00003501">
        <w:t xml:space="preserve">des femmes à la vie publique </w:t>
      </w:r>
      <w:r>
        <w:t xml:space="preserve">(art. </w:t>
      </w:r>
      <w:r w:rsidRPr="00003501">
        <w:t>3 et 25).</w:t>
      </w:r>
    </w:p>
    <w:p w:rsidR="00C26837" w:rsidRPr="00003501" w:rsidRDefault="00C26837" w:rsidP="000C5F34">
      <w:pPr>
        <w:pStyle w:val="SingleTxtG"/>
        <w:ind w:firstLine="567"/>
      </w:pPr>
      <w:r w:rsidRPr="00003501">
        <w:rPr>
          <w:b/>
        </w:rPr>
        <w:t xml:space="preserve">L’État partie devrait prendre </w:t>
      </w:r>
      <w:r w:rsidR="005C2077">
        <w:rPr>
          <w:b/>
        </w:rPr>
        <w:t>toutes les</w:t>
      </w:r>
      <w:r w:rsidR="005C2077" w:rsidRPr="00003501">
        <w:rPr>
          <w:b/>
        </w:rPr>
        <w:t xml:space="preserve"> </w:t>
      </w:r>
      <w:r w:rsidRPr="00003501">
        <w:rPr>
          <w:b/>
        </w:rPr>
        <w:t>mesures nécessaires pour accroître la participation des femmes</w:t>
      </w:r>
      <w:r w:rsidR="0044255C">
        <w:rPr>
          <w:b/>
        </w:rPr>
        <w:t xml:space="preserve"> </w:t>
      </w:r>
      <w:r w:rsidR="000C5F34">
        <w:rPr>
          <w:b/>
        </w:rPr>
        <w:t>dans l</w:t>
      </w:r>
      <w:r w:rsidR="004C0247">
        <w:rPr>
          <w:b/>
        </w:rPr>
        <w:t xml:space="preserve">es </w:t>
      </w:r>
      <w:r w:rsidR="000C5F34">
        <w:rPr>
          <w:b/>
        </w:rPr>
        <w:t xml:space="preserve">diverses </w:t>
      </w:r>
      <w:r w:rsidR="004C0247">
        <w:rPr>
          <w:b/>
        </w:rPr>
        <w:t>sphères de</w:t>
      </w:r>
      <w:r w:rsidRPr="00003501">
        <w:rPr>
          <w:b/>
        </w:rPr>
        <w:t xml:space="preserve"> la vie publique</w:t>
      </w:r>
      <w:r w:rsidR="005C2077">
        <w:rPr>
          <w:b/>
        </w:rPr>
        <w:t xml:space="preserve">, </w:t>
      </w:r>
      <w:r w:rsidR="0044255C" w:rsidRPr="003F22B1">
        <w:rPr>
          <w:b/>
        </w:rPr>
        <w:t>favoris</w:t>
      </w:r>
      <w:r w:rsidR="005C2077" w:rsidRPr="003F22B1">
        <w:rPr>
          <w:b/>
        </w:rPr>
        <w:t>er</w:t>
      </w:r>
      <w:r w:rsidRPr="00003501">
        <w:rPr>
          <w:b/>
        </w:rPr>
        <w:t xml:space="preserve"> </w:t>
      </w:r>
      <w:r w:rsidR="000C5F34">
        <w:rPr>
          <w:b/>
        </w:rPr>
        <w:t>une meilleure</w:t>
      </w:r>
      <w:r w:rsidR="000C5F34" w:rsidRPr="00003501">
        <w:rPr>
          <w:b/>
        </w:rPr>
        <w:t xml:space="preserve"> </w:t>
      </w:r>
      <w:r w:rsidRPr="00003501">
        <w:rPr>
          <w:b/>
        </w:rPr>
        <w:t>prise de conscience et augment</w:t>
      </w:r>
      <w:r w:rsidR="005C2077">
        <w:rPr>
          <w:b/>
        </w:rPr>
        <w:t xml:space="preserve">er </w:t>
      </w:r>
      <w:r w:rsidRPr="00003501">
        <w:rPr>
          <w:b/>
        </w:rPr>
        <w:t xml:space="preserve">le quota minimum de femmes </w:t>
      </w:r>
      <w:r w:rsidR="002735BC">
        <w:rPr>
          <w:b/>
        </w:rPr>
        <w:t>siégeant</w:t>
      </w:r>
      <w:r w:rsidR="002735BC" w:rsidRPr="00003501">
        <w:rPr>
          <w:b/>
        </w:rPr>
        <w:t xml:space="preserve"> </w:t>
      </w:r>
      <w:r w:rsidRPr="00003501">
        <w:rPr>
          <w:b/>
        </w:rPr>
        <w:t>à la Chambre des représenta</w:t>
      </w:r>
      <w:r>
        <w:rPr>
          <w:b/>
        </w:rPr>
        <w:t xml:space="preserve">nts (actuellement de 10 </w:t>
      </w:r>
      <w:r w:rsidRPr="00003501">
        <w:rPr>
          <w:b/>
        </w:rPr>
        <w:t>%) et dans les conseils municipaux (20 %).</w:t>
      </w:r>
    </w:p>
    <w:p w:rsidR="00C26837" w:rsidRPr="00003501" w:rsidRDefault="00C26837" w:rsidP="00C26837">
      <w:pPr>
        <w:pStyle w:val="SingleTxtG"/>
      </w:pPr>
      <w:r w:rsidRPr="00003501">
        <w:t>20.</w:t>
      </w:r>
      <w:r w:rsidRPr="00003501">
        <w:tab/>
        <w:t xml:space="preserve">Le Comité </w:t>
      </w:r>
      <w:r w:rsidR="00897BD6" w:rsidRPr="003F22B1">
        <w:t>invite</w:t>
      </w:r>
      <w:r w:rsidR="00897BD6" w:rsidRPr="00003501">
        <w:t xml:space="preserve"> </w:t>
      </w:r>
      <w:r w:rsidRPr="00003501">
        <w:t>l’État partie à adhérer au Protocole facultatif se rapportant au Pacte</w:t>
      </w:r>
      <w:r w:rsidR="002735BC">
        <w:t xml:space="preserve"> international relatif aux droits civils et politiques</w:t>
      </w:r>
      <w:r w:rsidR="003F22B1">
        <w:t xml:space="preserve"> </w:t>
      </w:r>
      <w:r w:rsidRPr="00003501">
        <w:t xml:space="preserve">qui </w:t>
      </w:r>
      <w:r>
        <w:t xml:space="preserve">prévoit </w:t>
      </w:r>
      <w:r w:rsidRPr="003F22B1">
        <w:t xml:space="preserve">un mécanisme </w:t>
      </w:r>
      <w:r w:rsidR="00BE41D2" w:rsidRPr="003F22B1">
        <w:t xml:space="preserve">pour le </w:t>
      </w:r>
      <w:r w:rsidR="002735BC" w:rsidRPr="003F22B1">
        <w:t>traitement de</w:t>
      </w:r>
      <w:r w:rsidR="00BE41D2" w:rsidRPr="003F22B1">
        <w:t>s</w:t>
      </w:r>
      <w:r w:rsidR="002735BC">
        <w:t xml:space="preserve"> </w:t>
      </w:r>
      <w:r w:rsidRPr="00003501">
        <w:t>plaintes émanant de particuliers, ainsi qu’au deuxième Protocole facultatif</w:t>
      </w:r>
      <w:r w:rsidR="002735BC">
        <w:t xml:space="preserve"> se rapportant au Pacte international relatif aux droits civils et politiques,</w:t>
      </w:r>
      <w:r w:rsidRPr="00003501">
        <w:t xml:space="preserve"> visant à abolir la peine de mort.</w:t>
      </w:r>
    </w:p>
    <w:p w:rsidR="00C26837" w:rsidRPr="00003501" w:rsidRDefault="00C26837" w:rsidP="00C26837">
      <w:pPr>
        <w:pStyle w:val="SingleTxtG"/>
      </w:pPr>
      <w:r w:rsidRPr="00003501">
        <w:t>21.</w:t>
      </w:r>
      <w:r w:rsidRPr="00003501">
        <w:tab/>
        <w:t>L’État partie devrait</w:t>
      </w:r>
      <w:r>
        <w:t xml:space="preserve"> assurer une large diffusion </w:t>
      </w:r>
      <w:r w:rsidR="002735BC">
        <w:t>d</w:t>
      </w:r>
      <w:r>
        <w:t>u texte</w:t>
      </w:r>
      <w:r w:rsidRPr="00003501">
        <w:t xml:space="preserve"> de son quatrième rapport périodique, de ses réponses écrites à la liste de points à traiter établie par le Comité et des présentes observations finales.</w:t>
      </w:r>
    </w:p>
    <w:p w:rsidR="00C26837" w:rsidRPr="00003501" w:rsidRDefault="00C26837" w:rsidP="004C0247">
      <w:pPr>
        <w:pStyle w:val="SingleTxtG"/>
      </w:pPr>
      <w:r w:rsidRPr="00003501">
        <w:t>22.</w:t>
      </w:r>
      <w:r w:rsidRPr="00003501">
        <w:tab/>
        <w:t>Conformément au paragraphe 5 de l’article 71 du Règlement intérieur du Comité, l’Éta</w:t>
      </w:r>
      <w:r>
        <w:t>t partie devrait faire parvenir</w:t>
      </w:r>
      <w:r w:rsidRPr="00003501">
        <w:t xml:space="preserve">, dans un délai d’un an, des renseignements sur la suite qu’il aura donnée aux recommandations figurant aux paragraphes </w:t>
      </w:r>
      <w:r w:rsidR="004C0247">
        <w:t>5</w:t>
      </w:r>
      <w:r w:rsidRPr="00003501">
        <w:t xml:space="preserve">, </w:t>
      </w:r>
      <w:r w:rsidR="004C0247">
        <w:t>11</w:t>
      </w:r>
      <w:r w:rsidR="004C0247" w:rsidRPr="00003501">
        <w:t xml:space="preserve"> </w:t>
      </w:r>
      <w:r w:rsidRPr="00003501">
        <w:t xml:space="preserve">et </w:t>
      </w:r>
      <w:r w:rsidR="004C0247">
        <w:t>12</w:t>
      </w:r>
      <w:r w:rsidRPr="00003501">
        <w:t>.</w:t>
      </w:r>
    </w:p>
    <w:p w:rsidR="00C26837" w:rsidRDefault="00C26837" w:rsidP="004C0247">
      <w:pPr>
        <w:pStyle w:val="SingleTxtG"/>
      </w:pPr>
      <w:r w:rsidRPr="00003501">
        <w:t>23.</w:t>
      </w:r>
      <w:r w:rsidRPr="00003501">
        <w:tab/>
        <w:t xml:space="preserve">Le Comité demande à l’État partie de faire figurer dans son prochain rapport périodique, qui devra lui parvenir au plus tard le </w:t>
      </w:r>
      <w:r w:rsidR="00E82494">
        <w:t>27</w:t>
      </w:r>
      <w:r w:rsidR="004C0247">
        <w:t xml:space="preserve"> </w:t>
      </w:r>
      <w:r w:rsidR="00C70229">
        <w:t>o</w:t>
      </w:r>
      <w:r w:rsidR="004C0247">
        <w:t>ctobre 2014,</w:t>
      </w:r>
      <w:r w:rsidR="004C0247" w:rsidRPr="00003501">
        <w:t xml:space="preserve"> </w:t>
      </w:r>
      <w:r w:rsidRPr="00003501">
        <w:t xml:space="preserve">des renseignements sur </w:t>
      </w:r>
      <w:r w:rsidR="002735BC">
        <w:t xml:space="preserve">la suite qu’il aura donnée aux </w:t>
      </w:r>
      <w:r w:rsidRPr="00003501">
        <w:t xml:space="preserve">autres recommandations et sur l’application </w:t>
      </w:r>
      <w:r w:rsidR="00920A8B">
        <w:t xml:space="preserve">des dispositions </w:t>
      </w:r>
      <w:r w:rsidRPr="00003501">
        <w:t>du Pacte en général.</w:t>
      </w:r>
    </w:p>
    <w:p w:rsidR="00676B31" w:rsidRDefault="00676B31" w:rsidP="004C0247">
      <w:pPr>
        <w:pStyle w:val="SingleTxtG"/>
      </w:pPr>
    </w:p>
    <w:p w:rsidR="00676B31" w:rsidRDefault="00676B31" w:rsidP="004C0247">
      <w:pPr>
        <w:pStyle w:val="SingleTxtG"/>
      </w:pPr>
    </w:p>
    <w:p w:rsidR="00C26837" w:rsidRPr="00676B31" w:rsidRDefault="00C26837" w:rsidP="00C26837">
      <w:pPr>
        <w:pStyle w:val="SingleTxtG"/>
        <w:spacing w:before="240" w:after="0"/>
        <w:jc w:val="center"/>
        <w:rPr>
          <w:sz w:val="24"/>
          <w:szCs w:val="24"/>
          <w:u w:val="single"/>
        </w:rPr>
      </w:pPr>
      <w:r w:rsidRPr="00676B31">
        <w:rPr>
          <w:sz w:val="24"/>
          <w:szCs w:val="24"/>
          <w:u w:val="single"/>
        </w:rPr>
        <w:tab/>
      </w:r>
      <w:r w:rsidRPr="00676B31">
        <w:rPr>
          <w:sz w:val="24"/>
          <w:szCs w:val="24"/>
          <w:u w:val="single"/>
        </w:rPr>
        <w:tab/>
      </w:r>
      <w:r w:rsidRPr="00676B31">
        <w:rPr>
          <w:sz w:val="24"/>
          <w:szCs w:val="24"/>
          <w:u w:val="single"/>
        </w:rPr>
        <w:tab/>
      </w:r>
    </w:p>
    <w:p w:rsidR="00676B31" w:rsidRPr="00003501" w:rsidRDefault="00676B31" w:rsidP="00C26837">
      <w:pPr>
        <w:pStyle w:val="SingleTxtG"/>
        <w:spacing w:before="240" w:after="0"/>
        <w:jc w:val="center"/>
        <w:rPr>
          <w:u w:val="single"/>
        </w:rPr>
      </w:pPr>
    </w:p>
    <w:p w:rsidR="00C26837" w:rsidRPr="004342E2" w:rsidRDefault="00C26837" w:rsidP="00C26837">
      <w:pPr>
        <w:pStyle w:val="SingleTxtG"/>
      </w:pPr>
    </w:p>
    <w:sectPr w:rsidR="00C26837" w:rsidRPr="004342E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780" w:rsidRDefault="00301780"/>
  </w:endnote>
  <w:endnote w:type="continuationSeparator" w:id="0">
    <w:p w:rsidR="00301780" w:rsidRDefault="00301780">
      <w:pPr>
        <w:pStyle w:val="Footer"/>
      </w:pPr>
    </w:p>
  </w:endnote>
  <w:endnote w:type="continuationNotice" w:id="1">
    <w:p w:rsidR="00301780" w:rsidRDefault="003017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9C6" w:rsidRDefault="000119C6" w:rsidP="0036593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E81B55">
      <w:rPr>
        <w:b/>
        <w:noProof/>
        <w:sz w:val="18"/>
      </w:rPr>
      <w:t>4</w:t>
    </w:r>
    <w:r>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9C6" w:rsidRDefault="000119C6">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E81B55">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9C6" w:rsidRDefault="000119C6" w:rsidP="006972DE">
    <w:pPr>
      <w:pStyle w:val="Footer"/>
    </w:pPr>
    <w:r>
      <w:rPr>
        <w:sz w:val="20"/>
      </w:rPr>
      <w:t>GE.10-</w:t>
    </w:r>
    <w:r w:rsidR="00E81B55">
      <w:rPr>
        <w:sz w:val="20"/>
      </w:rPr>
      <w:t>46706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780" w:rsidRDefault="00301780">
      <w:pPr>
        <w:tabs>
          <w:tab w:val="right" w:pos="2155"/>
        </w:tabs>
        <w:spacing w:after="80"/>
        <w:ind w:left="680"/>
        <w:rPr>
          <w:u w:val="single"/>
        </w:rPr>
      </w:pPr>
      <w:r>
        <w:rPr>
          <w:u w:val="single"/>
        </w:rPr>
        <w:tab/>
      </w:r>
    </w:p>
  </w:footnote>
  <w:footnote w:type="continuationSeparator" w:id="0">
    <w:p w:rsidR="00301780" w:rsidRDefault="00301780">
      <w:pPr>
        <w:tabs>
          <w:tab w:val="right" w:pos="2155"/>
        </w:tabs>
        <w:spacing w:after="80"/>
        <w:ind w:left="680"/>
        <w:rPr>
          <w:u w:val="single"/>
        </w:rPr>
      </w:pPr>
      <w:r>
        <w:rPr>
          <w:u w:val="single"/>
        </w:rPr>
        <w:tab/>
      </w:r>
    </w:p>
  </w:footnote>
  <w:footnote w:type="continuationNotice" w:id="1">
    <w:p w:rsidR="00301780" w:rsidRDefault="003017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9C6" w:rsidRDefault="000119C6" w:rsidP="001C0A01">
    <w:pPr>
      <w:pStyle w:val="Header"/>
    </w:pPr>
    <w:r>
      <w:t>CCPR/C/JOR/CO/4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9C6" w:rsidRDefault="000119C6" w:rsidP="001C0A01">
    <w:pPr>
      <w:pStyle w:val="Header"/>
      <w:jc w:val="right"/>
    </w:pPr>
    <w:r>
      <w:t>CCPR/C/JOR/CO/4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B55" w:rsidRDefault="00E81B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674D70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0D6E1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C934554E"/>
    <w:lvl w:ilvl="0">
      <w:start w:val="1"/>
      <w:numFmt w:val="decimal"/>
      <w:pStyle w:val="ListNumber2"/>
      <w:lvlText w:val="%1."/>
      <w:lvlJc w:val="left"/>
      <w:pPr>
        <w:tabs>
          <w:tab w:val="num" w:pos="643"/>
        </w:tabs>
        <w:ind w:left="643" w:hanging="360"/>
      </w:pPr>
    </w:lvl>
  </w:abstractNum>
  <w:abstractNum w:abstractNumId="4">
    <w:nsid w:val="FFFFFF80"/>
    <w:multiLevelType w:val="singleLevel"/>
    <w:tmpl w:val="DE4C884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pStyle w:val="ListNumber"/>
      <w:lvlText w:val="%1."/>
      <w:lvlJc w:val="left"/>
      <w:pPr>
        <w:tabs>
          <w:tab w:val="num" w:pos="360"/>
        </w:tabs>
        <w:ind w:left="360" w:hanging="360"/>
      </w:pPr>
    </w:lvl>
  </w:abstractNum>
  <w:abstractNum w:abstractNumId="9">
    <w:nsid w:val="FFFFFF89"/>
    <w:multiLevelType w:val="singleLevel"/>
    <w:tmpl w:val="951CCE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28B113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5B7310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75735C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4"/>
  </w:num>
  <w:num w:numId="15">
    <w:abstractNumId w:val="13"/>
  </w:num>
  <w:num w:numId="16">
    <w:abstractNumId w:val="15"/>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7D9"/>
    <w:rsid w:val="000119C6"/>
    <w:rsid w:val="00023B0D"/>
    <w:rsid w:val="000378B3"/>
    <w:rsid w:val="00037959"/>
    <w:rsid w:val="00086311"/>
    <w:rsid w:val="000928EA"/>
    <w:rsid w:val="000929B5"/>
    <w:rsid w:val="000A7AF2"/>
    <w:rsid w:val="000B2483"/>
    <w:rsid w:val="000C5F34"/>
    <w:rsid w:val="000F1C75"/>
    <w:rsid w:val="00126014"/>
    <w:rsid w:val="001269AD"/>
    <w:rsid w:val="00135DEC"/>
    <w:rsid w:val="00144073"/>
    <w:rsid w:val="0016462F"/>
    <w:rsid w:val="001868FD"/>
    <w:rsid w:val="0018694B"/>
    <w:rsid w:val="00193D51"/>
    <w:rsid w:val="001A056E"/>
    <w:rsid w:val="001A1C20"/>
    <w:rsid w:val="001C0A01"/>
    <w:rsid w:val="001C166C"/>
    <w:rsid w:val="001C3296"/>
    <w:rsid w:val="001C4315"/>
    <w:rsid w:val="00221046"/>
    <w:rsid w:val="00237B03"/>
    <w:rsid w:val="0024296E"/>
    <w:rsid w:val="002467D9"/>
    <w:rsid w:val="00254B52"/>
    <w:rsid w:val="0027000D"/>
    <w:rsid w:val="002735BC"/>
    <w:rsid w:val="00275C75"/>
    <w:rsid w:val="00283F0D"/>
    <w:rsid w:val="002F2457"/>
    <w:rsid w:val="00301780"/>
    <w:rsid w:val="00303136"/>
    <w:rsid w:val="00325AA7"/>
    <w:rsid w:val="003420FF"/>
    <w:rsid w:val="00361B53"/>
    <w:rsid w:val="00365936"/>
    <w:rsid w:val="00370EB6"/>
    <w:rsid w:val="00373606"/>
    <w:rsid w:val="00390ECE"/>
    <w:rsid w:val="003934DC"/>
    <w:rsid w:val="0039737F"/>
    <w:rsid w:val="003E4354"/>
    <w:rsid w:val="003F032C"/>
    <w:rsid w:val="003F22B1"/>
    <w:rsid w:val="003F5453"/>
    <w:rsid w:val="0044255C"/>
    <w:rsid w:val="00457273"/>
    <w:rsid w:val="0046037A"/>
    <w:rsid w:val="00472673"/>
    <w:rsid w:val="004A017A"/>
    <w:rsid w:val="004C0247"/>
    <w:rsid w:val="004C1CE5"/>
    <w:rsid w:val="004C690D"/>
    <w:rsid w:val="004C7286"/>
    <w:rsid w:val="004D50DA"/>
    <w:rsid w:val="004F0401"/>
    <w:rsid w:val="00517B07"/>
    <w:rsid w:val="00535CFF"/>
    <w:rsid w:val="00537BC9"/>
    <w:rsid w:val="00537DBD"/>
    <w:rsid w:val="00545F58"/>
    <w:rsid w:val="00557339"/>
    <w:rsid w:val="0056104D"/>
    <w:rsid w:val="00580ED3"/>
    <w:rsid w:val="005A0CBB"/>
    <w:rsid w:val="005C2077"/>
    <w:rsid w:val="00625D12"/>
    <w:rsid w:val="00655D99"/>
    <w:rsid w:val="006651B1"/>
    <w:rsid w:val="00676B31"/>
    <w:rsid w:val="006806DD"/>
    <w:rsid w:val="006972DE"/>
    <w:rsid w:val="006B2051"/>
    <w:rsid w:val="006C2B8F"/>
    <w:rsid w:val="006D242A"/>
    <w:rsid w:val="006F54A6"/>
    <w:rsid w:val="006F62ED"/>
    <w:rsid w:val="006F66A7"/>
    <w:rsid w:val="006F7CA2"/>
    <w:rsid w:val="007029B9"/>
    <w:rsid w:val="00742946"/>
    <w:rsid w:val="007473AB"/>
    <w:rsid w:val="00752F10"/>
    <w:rsid w:val="00773A82"/>
    <w:rsid w:val="00786C7A"/>
    <w:rsid w:val="007907D5"/>
    <w:rsid w:val="007C36FC"/>
    <w:rsid w:val="007D5BFF"/>
    <w:rsid w:val="008030E5"/>
    <w:rsid w:val="00863F0A"/>
    <w:rsid w:val="00865D64"/>
    <w:rsid w:val="00897BD6"/>
    <w:rsid w:val="008D19D7"/>
    <w:rsid w:val="008D53DF"/>
    <w:rsid w:val="008E12B0"/>
    <w:rsid w:val="00910C4C"/>
    <w:rsid w:val="00913481"/>
    <w:rsid w:val="00920A8B"/>
    <w:rsid w:val="0094149A"/>
    <w:rsid w:val="009550A0"/>
    <w:rsid w:val="009550A9"/>
    <w:rsid w:val="00964003"/>
    <w:rsid w:val="009733DE"/>
    <w:rsid w:val="0099508A"/>
    <w:rsid w:val="009B0BA6"/>
    <w:rsid w:val="009B206F"/>
    <w:rsid w:val="009B7B5A"/>
    <w:rsid w:val="009C57EB"/>
    <w:rsid w:val="009D53B5"/>
    <w:rsid w:val="00A163B7"/>
    <w:rsid w:val="00A3429C"/>
    <w:rsid w:val="00A37235"/>
    <w:rsid w:val="00A6766B"/>
    <w:rsid w:val="00A71A00"/>
    <w:rsid w:val="00A77371"/>
    <w:rsid w:val="00A90031"/>
    <w:rsid w:val="00A95A0E"/>
    <w:rsid w:val="00AA2B12"/>
    <w:rsid w:val="00AA5721"/>
    <w:rsid w:val="00AB7566"/>
    <w:rsid w:val="00AC41C2"/>
    <w:rsid w:val="00AD3961"/>
    <w:rsid w:val="00AD73BC"/>
    <w:rsid w:val="00AE4E6C"/>
    <w:rsid w:val="00B24C19"/>
    <w:rsid w:val="00B33241"/>
    <w:rsid w:val="00B34124"/>
    <w:rsid w:val="00B75908"/>
    <w:rsid w:val="00BA1C99"/>
    <w:rsid w:val="00BC6920"/>
    <w:rsid w:val="00BD5845"/>
    <w:rsid w:val="00BE41D2"/>
    <w:rsid w:val="00BF4E70"/>
    <w:rsid w:val="00C007DC"/>
    <w:rsid w:val="00C056E2"/>
    <w:rsid w:val="00C0640C"/>
    <w:rsid w:val="00C07ABD"/>
    <w:rsid w:val="00C16F16"/>
    <w:rsid w:val="00C26837"/>
    <w:rsid w:val="00C36786"/>
    <w:rsid w:val="00C4040C"/>
    <w:rsid w:val="00C437F9"/>
    <w:rsid w:val="00C561D2"/>
    <w:rsid w:val="00C70229"/>
    <w:rsid w:val="00C72D17"/>
    <w:rsid w:val="00C843F3"/>
    <w:rsid w:val="00CD3240"/>
    <w:rsid w:val="00CE5FB8"/>
    <w:rsid w:val="00D06A16"/>
    <w:rsid w:val="00D07FE3"/>
    <w:rsid w:val="00D43A81"/>
    <w:rsid w:val="00D5078A"/>
    <w:rsid w:val="00D55FD8"/>
    <w:rsid w:val="00D7572E"/>
    <w:rsid w:val="00D905CD"/>
    <w:rsid w:val="00D91F15"/>
    <w:rsid w:val="00DA6504"/>
    <w:rsid w:val="00DC2851"/>
    <w:rsid w:val="00DC37FE"/>
    <w:rsid w:val="00DD553A"/>
    <w:rsid w:val="00DF6F2D"/>
    <w:rsid w:val="00E07708"/>
    <w:rsid w:val="00E15A7E"/>
    <w:rsid w:val="00E1755B"/>
    <w:rsid w:val="00E26DAF"/>
    <w:rsid w:val="00E34260"/>
    <w:rsid w:val="00E42CCE"/>
    <w:rsid w:val="00E4502B"/>
    <w:rsid w:val="00E73F39"/>
    <w:rsid w:val="00E742BB"/>
    <w:rsid w:val="00E81B55"/>
    <w:rsid w:val="00E82494"/>
    <w:rsid w:val="00E845A9"/>
    <w:rsid w:val="00E84773"/>
    <w:rsid w:val="00EA27B8"/>
    <w:rsid w:val="00EA6779"/>
    <w:rsid w:val="00EB1B0C"/>
    <w:rsid w:val="00EC38C3"/>
    <w:rsid w:val="00EC7247"/>
    <w:rsid w:val="00EF0FB9"/>
    <w:rsid w:val="00F263F9"/>
    <w:rsid w:val="00F26FF3"/>
    <w:rsid w:val="00FA6D0B"/>
    <w:rsid w:val="00FB56DE"/>
    <w:rsid w:val="00FE6EFD"/>
    <w:rsid w:val="00FF429E"/>
    <w:rsid w:val="00FF5C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aliases w:val="2_G"/>
    <w:basedOn w:val="FootnoteText"/>
  </w:style>
  <w:style w:type="paragraph" w:styleId="Footer">
    <w:name w:val="footer"/>
    <w:aliases w:val="3_G"/>
    <w:basedOn w:val="Normal"/>
    <w:next w:val="Normal"/>
    <w:pPr>
      <w:spacing w:line="240" w:lineRule="auto"/>
    </w:pPr>
    <w:rPr>
      <w:sz w:val="16"/>
    </w:rPr>
  </w:style>
  <w:style w:type="paragraph" w:customStyle="1" w:styleId="Rom1">
    <w:name w:val="Rom1"/>
    <w:basedOn w:val="SingleTxtG"/>
    <w:semiHidden/>
    <w:pPr>
      <w:numPr>
        <w:numId w:val="1"/>
      </w:numPr>
      <w:tabs>
        <w:tab w:val="clear" w:pos="1440"/>
      </w:tabs>
      <w:ind w:left="2268" w:hanging="397"/>
    </w:pPr>
  </w:style>
  <w:style w:type="paragraph" w:customStyle="1" w:styleId="Rom2">
    <w:name w:val="Rom2"/>
    <w:basedOn w:val="SingleTxtG"/>
    <w:semiHidden/>
    <w:pPr>
      <w:numPr>
        <w:numId w:val="2"/>
      </w:numPr>
      <w:tabs>
        <w:tab w:val="clear" w:pos="2160"/>
      </w:tabs>
      <w:ind w:left="2835" w:hanging="397"/>
    </w:pPr>
  </w:style>
  <w:style w:type="character" w:customStyle="1" w:styleId="SingleTxtGCar">
    <w:name w:val="_ Single Txt_G Car"/>
    <w:link w:val="SingleTxtG"/>
    <w:rPr>
      <w:lang w:val="fr-CH" w:eastAsia="en-US" w:bidi="ar-SA"/>
    </w:rPr>
  </w:style>
  <w:style w:type="character" w:styleId="EndnoteReference">
    <w:name w:val="endnote reference"/>
    <w:aliases w:val="1_G"/>
    <w:basedOn w:val="FootnoteReference"/>
    <w:rPr>
      <w:rFonts w:ascii="Times New Roman" w:hAnsi="Times New Roman"/>
      <w:sz w:val="18"/>
      <w:vertAlign w:val="superscript"/>
      <w:lang w:val="fr-CH"/>
    </w:rPr>
  </w:style>
  <w:style w:type="character" w:styleId="FootnoteReference">
    <w:name w:val="footnote reference"/>
    <w:aliases w:val="4_G"/>
    <w:rPr>
      <w:rFonts w:ascii="Times New Roman" w:hAnsi="Times New Roman"/>
      <w:sz w:val="18"/>
      <w:vertAlign w:val="superscript"/>
      <w:lang w:val="fr-CH"/>
    </w:rPr>
  </w:style>
  <w:style w:type="character" w:styleId="PageNumber">
    <w:name w:val="page number"/>
    <w:aliases w:val="7_G"/>
    <w:rPr>
      <w:rFonts w:ascii="Times New Roman" w:hAnsi="Times New Roman"/>
      <w:b/>
      <w:sz w:val="18"/>
      <w:lang w:val="fr-CH"/>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SingleTxtG">
    <w:name w:val="_ Single Txt_G"/>
    <w:basedOn w:val="Normal"/>
    <w:link w:val="SingleTxtGCar"/>
    <w:pPr>
      <w:spacing w:after="120"/>
      <w:ind w:left="1134" w:right="1134"/>
      <w:jc w:val="both"/>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styleId="BalloonText">
    <w:name w:val="Balloon Text"/>
    <w:basedOn w:val="Normal"/>
    <w:semiHidden/>
    <w:rsid w:val="00C056E2"/>
    <w:rPr>
      <w:rFonts w:ascii="Tahoma" w:hAnsi="Tahoma" w:cs="Tahoma"/>
      <w:sz w:val="16"/>
      <w:szCs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6"/>
      </w:numPr>
      <w:spacing w:after="120"/>
      <w:ind w:right="1134"/>
      <w:jc w:val="both"/>
    </w:pPr>
  </w:style>
  <w:style w:type="numbering" w:styleId="111111">
    <w:name w:val="Outline List 2"/>
    <w:basedOn w:val="NoList"/>
    <w:semiHidden/>
    <w:pPr>
      <w:numPr>
        <w:numId w:val="13"/>
      </w:numPr>
    </w:pPr>
  </w:style>
  <w:style w:type="numbering" w:styleId="1ai">
    <w:name w:val="Outline List 1"/>
    <w:basedOn w:val="NoList"/>
    <w:semiHidden/>
    <w:pPr>
      <w:numPr>
        <w:numId w:val="14"/>
      </w:numPr>
    </w:pPr>
  </w:style>
  <w:style w:type="character" w:styleId="Emphasis">
    <w:name w:val="Emphasis"/>
    <w:qFormat/>
    <w:rPr>
      <w:i/>
      <w:iCs/>
    </w:rPr>
  </w:style>
  <w:style w:type="character" w:styleId="HTMLAcronym">
    <w:name w:val="HTML Acronym"/>
    <w:basedOn w:val="DefaultParagraphFont"/>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Pr>
      <w:rFonts w:ascii="Arial" w:hAnsi="Arial" w:cs="Arial"/>
    </w:rPr>
  </w:style>
  <w:style w:type="paragraph" w:customStyle="1" w:styleId="Bullet2G">
    <w:name w:val="_Bullet 2_G"/>
    <w:basedOn w:val="Normal"/>
    <w:pPr>
      <w:numPr>
        <w:numId w:val="17"/>
      </w:numPr>
      <w:spacing w:after="120"/>
      <w:ind w:right="1134"/>
      <w:jc w:val="both"/>
    </w:pPr>
  </w:style>
  <w:style w:type="paragraph" w:styleId="HTMLAddress">
    <w:name w:val="HTML Address"/>
    <w:basedOn w:val="Normal"/>
    <w:semiHidden/>
    <w:rPr>
      <w:i/>
      <w:iCs/>
    </w:rPr>
  </w:style>
  <w:style w:type="numbering" w:styleId="ArticleSection">
    <w:name w:val="Outline List 3"/>
    <w:basedOn w:val="NoList"/>
    <w:semiHidden/>
    <w:pPr>
      <w:numPr>
        <w:numId w:val="15"/>
      </w:numPr>
    </w:pPr>
  </w:style>
  <w:style w:type="character" w:styleId="HTMLCite">
    <w:name w:val="HTML Cite"/>
    <w:semiHidden/>
    <w:rPr>
      <w:i/>
      <w:iCs/>
    </w:rPr>
  </w:style>
  <w:style w:type="table" w:styleId="TableClassic1">
    <w:name w:val="Table Classic 1"/>
    <w:basedOn w:val="TableNormal"/>
    <w:semiHidden/>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character" w:styleId="HTMLCode">
    <w:name w:val="HTML Code"/>
    <w:semiHidden/>
    <w:rPr>
      <w:rFonts w:ascii="Courier New" w:hAnsi="Courier New" w:cs="Courier New"/>
      <w:sz w:val="20"/>
      <w:szCs w:val="20"/>
    </w:rPr>
  </w:style>
  <w:style w:type="table" w:styleId="TableColumns1">
    <w:name w:val="Table Columns 1"/>
    <w:basedOn w:val="TableNormal"/>
    <w:semiHidden/>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Date">
    <w:name w:val="Date"/>
    <w:basedOn w:val="Normal"/>
    <w:next w:val="Normal"/>
    <w:semiHidden/>
  </w:style>
  <w:style w:type="character" w:styleId="HTMLDefinition">
    <w:name w:val="HTML Definition"/>
    <w:semiHidden/>
    <w:rPr>
      <w:i/>
      <w:iCs/>
    </w:rPr>
  </w:style>
  <w:style w:type="table" w:styleId="Table3Deffects2">
    <w:name w:val="Table 3D effects 2"/>
    <w:basedOn w:val="TableNormal"/>
    <w:semiHidden/>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qFormat/>
    <w:rPr>
      <w:b/>
      <w:bC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HTMLSample">
    <w:name w:val="HTML Sample"/>
    <w:semiHidden/>
    <w:rPr>
      <w:rFonts w:ascii="Courier New" w:hAnsi="Courier New" w:cs="Courier New"/>
    </w:rPr>
  </w:style>
  <w:style w:type="paragraph" w:styleId="Closing">
    <w:name w:val="Closing"/>
    <w:basedOn w:val="Normal"/>
    <w:semiHidden/>
    <w:pPr>
      <w:ind w:left="4252"/>
    </w:p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7"/>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5"/>
      </w:numPr>
    </w:pPr>
  </w:style>
  <w:style w:type="paragraph" w:styleId="ListNumber4">
    <w:name w:val="List Number 4"/>
    <w:basedOn w:val="Normal"/>
    <w:semiHidden/>
    <w:pPr>
      <w:numPr>
        <w:numId w:val="3"/>
      </w:numPr>
    </w:pPr>
  </w:style>
  <w:style w:type="paragraph" w:styleId="ListNumber5">
    <w:name w:val="List Number 5"/>
    <w:basedOn w:val="Normal"/>
    <w:semiHidden/>
    <w:pPr>
      <w:numPr>
        <w:numId w:val="4"/>
      </w:numPr>
    </w:pPr>
  </w:style>
  <w:style w:type="paragraph" w:styleId="ListBullet">
    <w:name w:val="List Bullet"/>
    <w:basedOn w:val="Normal"/>
    <w:semiHidden/>
    <w:pPr>
      <w:numPr>
        <w:numId w:val="8"/>
      </w:numPr>
    </w:pPr>
  </w:style>
  <w:style w:type="paragraph" w:styleId="ListBullet2">
    <w:name w:val="List Bullet 2"/>
    <w:basedOn w:val="Normal"/>
    <w:semiHidden/>
    <w:pPr>
      <w:numPr>
        <w:numId w:val="9"/>
      </w:numPr>
    </w:pPr>
  </w:style>
  <w:style w:type="paragraph" w:styleId="ListBullet3">
    <w:name w:val="List Bullet 3"/>
    <w:basedOn w:val="Normal"/>
    <w:semiHidden/>
    <w:pPr>
      <w:numPr>
        <w:numId w:val="10"/>
      </w:numPr>
    </w:pPr>
  </w:style>
  <w:style w:type="paragraph" w:styleId="ListBullet4">
    <w:name w:val="List Bullet 4"/>
    <w:basedOn w:val="Normal"/>
    <w:semiHidden/>
    <w:pPr>
      <w:numPr>
        <w:numId w:val="11"/>
      </w:numPr>
    </w:pPr>
  </w:style>
  <w:style w:type="paragraph" w:styleId="ListBullet5">
    <w:name w:val="List Bullet 5"/>
    <w:basedOn w:val="Normal"/>
    <w:semiHidden/>
    <w:pPr>
      <w:numPr>
        <w:numId w:val="12"/>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table" w:styleId="TableSubtle1">
    <w:name w:val="Table Subtle 1"/>
    <w:basedOn w:val="TableNormal"/>
    <w:semiHidden/>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Pr>
      <w:rFonts w:ascii="Courier New" w:hAnsi="Courier New" w:cs="Courier New"/>
    </w:rPr>
  </w:style>
  <w:style w:type="table" w:styleId="TableProfessional">
    <w:name w:val="Table Professional"/>
    <w:basedOn w:val="TableNormal"/>
    <w:semiHidden/>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pPr>
      <w:spacing w:after="120"/>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FirstIndent2">
    <w:name w:val="Body Text First Indent 2"/>
    <w:basedOn w:val="BodyTextIndent"/>
    <w:semiHidden/>
    <w:pPr>
      <w:ind w:firstLine="210"/>
    </w:pPr>
  </w:style>
  <w:style w:type="paragraph" w:styleId="NormalIndent">
    <w:name w:val="Normal Indent"/>
    <w:basedOn w:val="Normal"/>
    <w:semiHidden/>
    <w:pPr>
      <w:ind w:left="567"/>
    </w:p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table" w:styleId="TableSimple1">
    <w:name w:val="Table Simple 1"/>
    <w:basedOn w:val="TableNormal"/>
    <w:semiHidden/>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pPr>
      <w:spacing w:after="60"/>
      <w:jc w:val="center"/>
      <w:outlineLvl w:val="1"/>
    </w:pPr>
    <w:rPr>
      <w:rFonts w:ascii="Arial" w:hAnsi="Arial" w:cs="Arial"/>
      <w:sz w:val="24"/>
      <w:szCs w:val="24"/>
    </w:rPr>
  </w:style>
  <w:style w:type="table" w:styleId="TableList1">
    <w:name w:val="Table List 1"/>
    <w:basedOn w:val="TableNormal"/>
    <w:semiHidden/>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style>
  <w:style w:type="character" w:styleId="HTMLVariable">
    <w:name w:val="HTML Variable"/>
    <w:semiHidden/>
    <w:rPr>
      <w:i/>
      <w:iCs/>
    </w:rPr>
  </w:style>
  <w:style w:type="table" w:styleId="TableWeb1">
    <w:name w:val="Table Web 1"/>
    <w:basedOn w:val="TableNormal"/>
    <w:semiHidden/>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semiHidden/>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Hyperlink">
    <w:name w:val="Hyperlink"/>
    <w:semiHidden/>
    <w:rPr>
      <w:color w:val="auto"/>
      <w:u w:val="none"/>
    </w:rPr>
  </w:style>
  <w:style w:type="character" w:styleId="FollowedHyperlink">
    <w:name w:val="FollowedHyperlink"/>
    <w:semiHidden/>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2324</Words>
  <Characters>12694</Characters>
  <Application>Microsoft Office Word</Application>
  <DocSecurity>4</DocSecurity>
  <Lines>218</Lines>
  <Paragraphs>74</Paragraphs>
  <ScaleCrop>false</ScaleCrop>
  <HeadingPairs>
    <vt:vector size="2" baseType="variant">
      <vt:variant>
        <vt:lpstr>Title</vt:lpstr>
      </vt:variant>
      <vt:variant>
        <vt:i4>1</vt:i4>
      </vt:variant>
    </vt:vector>
  </HeadingPairs>
  <TitlesOfParts>
    <vt:vector size="1" baseType="lpstr">
      <vt:lpstr>CCPR/C/JOR/CO/4/CRP.1</vt:lpstr>
    </vt:vector>
  </TitlesOfParts>
  <Company>CSD</Company>
  <LinksUpToDate>false</LinksUpToDate>
  <CharactersWithSpaces>14944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CCPR/C/JOR/CO/4/CRP.1</dc:title>
  <dc:subject>FINAL PLAINPAGE</dc:subject>
  <dc:creator>N-Rossi</dc:creator>
  <cp:keywords/>
  <dc:description/>
  <cp:lastModifiedBy>DCM</cp:lastModifiedBy>
  <cp:revision>2</cp:revision>
  <cp:lastPrinted>2010-11-18T10:22:00Z</cp:lastPrinted>
  <dcterms:created xsi:type="dcterms:W3CDTF">2010-11-19T17:03:00Z</dcterms:created>
  <dcterms:modified xsi:type="dcterms:W3CDTF">2010-11-19T17:03:00Z</dcterms:modified>
</cp:coreProperties>
</file>