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60" w:lineRule="exact"/>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2" w:h="15842" w:code="1"/>
          <w:pgMar w:top="1742" w:right="1195" w:bottom="1898" w:left="1195" w:header="576" w:footer="1030" w:gutter="0"/>
          <w:pgNumType w:start="1"/>
          <w:cols w:space="425"/>
          <w:titlePg/>
          <w:docGrid w:type="lines" w:linePitch="312"/>
        </w:sectPr>
      </w:pPr>
      <w:r>
        <w:rPr>
          <w:rStyle w:val="CommentReference"/>
          <w:rFonts w:hint="eastAsia"/>
          <w:vanish/>
        </w:rPr>
        <w:commentReference w:id="0"/>
      </w:r>
    </w:p>
    <w:p w:rsidR="00000000" w:rsidRDefault="00000000">
      <w:pPr>
        <w:spacing w:line="60" w:lineRule="exact"/>
        <w:rPr>
          <w:sz w:val="6"/>
        </w:r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rFonts w:hint="eastAsia"/>
        </w:rPr>
        <w:t>消除对妇女歧视委员会</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p>
    <w:p w:rsidR="00000000" w:rsidRDefault="00000000">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tab/>
      </w:r>
      <w:r>
        <w:tab/>
      </w:r>
      <w:r>
        <w:rPr>
          <w:rFonts w:hint="eastAsia"/>
        </w:rPr>
        <w:t>审议缔约国根据《消除对妇女一切形式歧视公约》第18条</w:t>
      </w:r>
      <w:r>
        <w:br/>
      </w:r>
      <w:r>
        <w:rPr>
          <w:rFonts w:hint="eastAsia"/>
        </w:rPr>
        <w:t>提出的报告</w:t>
      </w:r>
    </w:p>
    <w:p w:rsidR="00000000" w:rsidRDefault="00000000">
      <w:pPr>
        <w:framePr w:w="9792" w:h="432" w:hSpace="180" w:wrap="around" w:hAnchor="page" w:x="1210" w:yAlign="bottom"/>
        <w:spacing w:line="100" w:lineRule="exact"/>
        <w:rPr>
          <w:sz w:val="10"/>
        </w:rPr>
      </w:pPr>
    </w:p>
    <w:p w:rsidR="00000000" w:rsidRDefault="00000000">
      <w:pPr>
        <w:framePr w:w="9792" w:h="432" w:hSpace="180" w:wrap="around" w:hAnchor="page" w:x="1210" w:yAlign="bottom"/>
        <w:spacing w:line="60" w:lineRule="exact"/>
        <w:rPr>
          <w:sz w:val="6"/>
        </w:rPr>
      </w:pPr>
      <w:r>
        <w:rPr>
          <w:noProof/>
          <w:sz w:val="6"/>
        </w:rPr>
        <w:pict>
          <v:line id="_x0000_s2052" style="position:absolute;z-index:1;mso-position-horizontal-relative:page" from="108pt,-1pt" to="180pt,-1pt" strokeweight=".25pt">
            <w10:wrap anchorx="page"/>
          </v:line>
        </w:pict>
      </w:r>
    </w:p>
    <w:p w:rsidR="00000000" w:rsidRDefault="00000000">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jc w:val="both"/>
        <w:rPr>
          <w:sz w:val="18"/>
        </w:rPr>
      </w:pPr>
      <w:r>
        <w:rPr>
          <w:sz w:val="18"/>
        </w:rPr>
        <w:tab/>
        <w:t>*</w:t>
      </w:r>
      <w:r>
        <w:rPr>
          <w:sz w:val="18"/>
        </w:rPr>
        <w:tab/>
      </w:r>
      <w:r>
        <w:rPr>
          <w:rFonts w:hint="eastAsia"/>
          <w:sz w:val="18"/>
        </w:rPr>
        <w:t>关于巴巴多斯政府提出的初次报告，见委员会第十一届会议审议的CEDAW/C/5/Add.64。关于巴巴多斯政府提出的第二次定期报告，见委员会第十三届会议审议的CEDAW/C/BAR/2-3。关于巴巴多斯政府提出的第三次定期报告，见委员会第十三届会议审议的CEDAW/C/BAR/2-3。</w:t>
      </w:r>
    </w:p>
    <w:p w:rsidR="00000000" w:rsidRDefault="00000000">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缔约国第四次定期报告</w:t>
      </w:r>
    </w:p>
    <w:p w:rsidR="00000000" w:rsidRDefault="00000000">
      <w:pPr>
        <w:pStyle w:val="SingleTxt"/>
        <w:spacing w:after="0" w:line="140" w:lineRule="exact"/>
        <w:rPr>
          <w:sz w:val="10"/>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vertAlign w:val="superscript"/>
        </w:rPr>
      </w:pPr>
      <w:r>
        <w:tab/>
      </w:r>
      <w:r>
        <w:tab/>
      </w:r>
      <w:r>
        <w:rPr>
          <w:rFonts w:hint="eastAsia"/>
        </w:rPr>
        <w:t>巴巴多斯</w:t>
      </w:r>
      <w:r>
        <w:rPr>
          <w:rFonts w:hint="eastAsia"/>
          <w:vertAlign w:val="superscript"/>
        </w:rPr>
        <w:t>＊</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rPr>
          <w:vertAlign w:val="superscript"/>
        </w:rPr>
        <w:br w:type="page"/>
      </w:r>
      <w:r>
        <w:tab/>
      </w:r>
      <w:r>
        <w:tab/>
      </w:r>
      <w:r>
        <w:rPr>
          <w:rFonts w:hint="eastAsia"/>
        </w:rPr>
        <w:t>导言</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ascii="SimSun" w:eastAsia="SimSun" w:hint="eastAsia"/>
          <w:color w:val="auto"/>
          <w:sz w:val="21"/>
        </w:rPr>
      </w:pPr>
      <w:r>
        <w:rPr>
          <w:rFonts w:ascii="SimSun" w:eastAsia="SimSun" w:hint="eastAsia"/>
          <w:color w:val="auto"/>
          <w:sz w:val="21"/>
        </w:rPr>
        <w:tab/>
      </w:r>
      <w:r>
        <w:rPr>
          <w:rFonts w:ascii="SimSun" w:eastAsia="SimSun"/>
          <w:color w:val="auto"/>
          <w:sz w:val="21"/>
        </w:rPr>
        <w:tab/>
      </w:r>
      <w:r>
        <w:rPr>
          <w:rFonts w:ascii="SimSun" w:eastAsia="SimSun"/>
          <w:color w:val="auto"/>
          <w:sz w:val="21"/>
        </w:rPr>
        <w:tab/>
      </w:r>
      <w:r>
        <w:rPr>
          <w:rFonts w:ascii="SimSun" w:eastAsia="SimSun" w:hint="eastAsia"/>
          <w:color w:val="auto"/>
          <w:sz w:val="21"/>
        </w:rPr>
        <w:t>本报告根据对政府各部提交的各种有关出版物与论文进行的审查编写。这是巴巴多斯签署和批准《公约》后向消除对妇女歧视委员会提交的第四次报告，并作为上次报告的最新补充。</w:t>
      </w:r>
    </w:p>
    <w:p w:rsidR="00000000" w:rsidRDefault="00000000">
      <w:pPr>
        <w:pStyle w:val="SingleTxt"/>
        <w:rPr>
          <w:rFonts w:hint="eastAsia"/>
        </w:rPr>
      </w:pPr>
      <w:r>
        <w:rPr>
          <w:rFonts w:hint="eastAsia"/>
        </w:rPr>
        <w:tab/>
        <w:t>本报告分两个部分。第一部分提供有关本国的一般背景资料，包括人口、种族组成、经济状况、政治制度和法制。</w:t>
      </w:r>
    </w:p>
    <w:p w:rsidR="00000000" w:rsidRDefault="00000000">
      <w:pPr>
        <w:pStyle w:val="SingleTxt"/>
      </w:pPr>
      <w:r>
        <w:rPr>
          <w:rFonts w:hint="eastAsia"/>
        </w:rPr>
        <w:tab/>
        <w:t>第二部分审查《公约》的每项条文。</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巴巴多斯的背景资料</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地理</w:t>
      </w:r>
    </w:p>
    <w:p w:rsidR="00000000" w:rsidRDefault="00000000">
      <w:pPr>
        <w:pStyle w:val="SingleTxt"/>
        <w:rPr>
          <w:rFonts w:hint="eastAsia"/>
        </w:rPr>
      </w:pPr>
      <w:r>
        <w:rPr>
          <w:rFonts w:hint="eastAsia"/>
        </w:rPr>
        <w:tab/>
        <w:t>巴巴多斯位于加勒比群岛最东端，北纬13度10分和西经59度35分。</w:t>
      </w:r>
    </w:p>
    <w:p w:rsidR="00000000" w:rsidRDefault="00000000">
      <w:pPr>
        <w:pStyle w:val="SingleTxt"/>
        <w:rPr>
          <w:rFonts w:hint="eastAsia"/>
        </w:rPr>
      </w:pPr>
      <w:r>
        <w:rPr>
          <w:rFonts w:hint="eastAsia"/>
        </w:rPr>
        <w:tab/>
        <w:t>岛屿长34公里宽23公里，陆地总面积约432平方公里（166平方英里），全岛除东苏格兰区外，属珊瑚礁层。</w:t>
      </w:r>
    </w:p>
    <w:p w:rsidR="00000000" w:rsidRDefault="00000000">
      <w:pPr>
        <w:pStyle w:val="SingleTxt"/>
        <w:rPr>
          <w:rFonts w:hint="eastAsia"/>
        </w:rPr>
      </w:pPr>
      <w:r>
        <w:rPr>
          <w:rFonts w:hint="eastAsia"/>
        </w:rPr>
        <w:tab/>
        <w:t>本岛基本平坦，最高点海拨340公尺（1</w:t>
      </w:r>
      <w:r>
        <w:t xml:space="preserve"> </w:t>
      </w:r>
      <w:r>
        <w:rPr>
          <w:rFonts w:hint="eastAsia"/>
        </w:rPr>
        <w:t>115英尺）。</w:t>
      </w:r>
    </w:p>
    <w:p w:rsidR="00000000" w:rsidRDefault="00000000">
      <w:pPr>
        <w:pStyle w:val="SingleTxt"/>
        <w:rPr>
          <w:rFonts w:hint="eastAsia"/>
        </w:rPr>
      </w:pPr>
      <w:r>
        <w:rPr>
          <w:rFonts w:hint="eastAsia"/>
        </w:rPr>
        <w:tab/>
        <w:t>人口变动不大，1994年26万4千2百人，1996年26万4千6百人，1999年26万7千4百人。</w:t>
      </w:r>
    </w:p>
    <w:p w:rsidR="00000000" w:rsidRDefault="00000000">
      <w:pPr>
        <w:pStyle w:val="SingleTxt"/>
        <w:rPr>
          <w:rFonts w:hint="eastAsia"/>
        </w:rPr>
      </w:pPr>
      <w:r>
        <w:rPr>
          <w:rFonts w:hint="eastAsia"/>
        </w:rPr>
        <w:tab/>
        <w:t>1994年活产人数3</w:t>
      </w:r>
      <w:r>
        <w:t xml:space="preserve"> </w:t>
      </w:r>
      <w:r>
        <w:rPr>
          <w:rFonts w:hint="eastAsia"/>
        </w:rPr>
        <w:t>547，1998年3</w:t>
      </w:r>
      <w:r>
        <w:t xml:space="preserve"> </w:t>
      </w:r>
      <w:r>
        <w:rPr>
          <w:rFonts w:hint="eastAsia"/>
        </w:rPr>
        <w:t>612。1994年人口自然增长率4.5，1999年增至5.5。死亡率自1994年的每千人8.9增至1999年的9.0，增长率为0.1%。</w:t>
      </w:r>
    </w:p>
    <w:p w:rsidR="00000000" w:rsidRDefault="00000000">
      <w:pPr>
        <w:pStyle w:val="SingleTxt"/>
        <w:rPr>
          <w:rFonts w:hint="eastAsia"/>
        </w:rPr>
      </w:pPr>
      <w:r>
        <w:rPr>
          <w:rFonts w:hint="eastAsia"/>
        </w:rPr>
        <w:tab/>
        <w:t>1994年劳动力135,100人；其中68.8%为男性，66.3%女性。到1999年，总劳动力136</w:t>
      </w:r>
      <w:r>
        <w:t xml:space="preserve"> </w:t>
      </w:r>
      <w:r>
        <w:rPr>
          <w:rFonts w:hint="eastAsia"/>
        </w:rPr>
        <w:t>600人，男71.0%,女65.6%。</w:t>
      </w:r>
      <w:r>
        <w:rPr>
          <w:rFonts w:hint="eastAsia"/>
        </w:rPr>
        <w:tab/>
        <w:t>1994年平均年失业率估计为29.6%，到1999年，失业率为14.2%，自1994年以来，下降15.4%。1994年男性失业率13.1%，1999年降至5.5%。1994年女性失业率16.2%，1999年降至8.7%。</w:t>
      </w:r>
    </w:p>
    <w:p w:rsidR="00000000" w:rsidRDefault="00000000">
      <w:pPr>
        <w:pStyle w:val="SingleTxt"/>
        <w:jc w:val="left"/>
        <w:rPr>
          <w:rFonts w:hint="eastAsia"/>
        </w:rPr>
      </w:pPr>
      <w:r>
        <w:rPr>
          <w:rFonts w:ascii="SimHei" w:eastAsia="SimHei" w:hint="eastAsia"/>
          <w:color w:val="FF0000"/>
        </w:rPr>
        <w:t>资料来源</w:t>
      </w:r>
      <w:r>
        <w:rPr>
          <w:rFonts w:hint="eastAsia"/>
        </w:rPr>
        <w:t>：</w:t>
      </w:r>
      <w:r>
        <w:tab/>
      </w:r>
      <w:r>
        <w:rPr>
          <w:rFonts w:ascii="SimHei" w:eastAsia="SimHei" w:hint="eastAsia"/>
          <w:color w:val="FF0000"/>
        </w:rPr>
        <w:t>巴巴多斯经济报告，1996年</w:t>
      </w:r>
      <w:r>
        <w:rPr>
          <w:rFonts w:ascii="SimHei" w:eastAsia="SimHei"/>
          <w:color w:val="FF0000"/>
        </w:rPr>
        <w:br/>
      </w:r>
      <w:r>
        <w:rPr>
          <w:rFonts w:ascii="SimHei" w:eastAsia="SimHei"/>
          <w:color w:val="FF0000"/>
        </w:rPr>
        <w:tab/>
      </w:r>
      <w:r>
        <w:rPr>
          <w:rFonts w:ascii="SimHei" w:eastAsia="SimHei"/>
          <w:color w:val="FF0000"/>
        </w:rPr>
        <w:tab/>
      </w:r>
      <w:r>
        <w:rPr>
          <w:rFonts w:ascii="SimHei" w:eastAsia="SimHei"/>
          <w:color w:val="FF0000"/>
        </w:rPr>
        <w:tab/>
      </w:r>
      <w:r>
        <w:rPr>
          <w:rFonts w:ascii="SimHei" w:eastAsia="SimHei" w:hint="eastAsia"/>
          <w:color w:val="FF0000"/>
        </w:rPr>
        <w:t>巴巴多斯经济报告，1998年</w:t>
      </w:r>
    </w:p>
    <w:p w:rsidR="00000000" w:rsidRDefault="00000000">
      <w:pPr>
        <w:pStyle w:val="H1"/>
        <w:rPr>
          <w:rFonts w:ascii="SimSun" w:eastAsia="SimSun"/>
          <w:color w:val="auto"/>
          <w:sz w:val="21"/>
        </w:rPr>
        <w:sectPr w:rsidR="00000000">
          <w:endnotePr>
            <w:numFmt w:val="decimal"/>
          </w:endnotePr>
          <w:type w:val="continuous"/>
          <w:pgSz w:w="12242" w:h="15842" w:code="1"/>
          <w:pgMar w:top="1742" w:right="1195" w:bottom="1898" w:left="1195" w:header="576" w:footer="1030" w:gutter="0"/>
          <w:cols w:space="425"/>
          <w:noEndnote/>
          <w:docGrid w:type="lines" w:linePitch="312"/>
        </w:sectPr>
      </w:pPr>
    </w:p>
    <w:p w:rsidR="00000000" w:rsidRDefault="00000000">
      <w:pPr>
        <w:pStyle w:val="H1"/>
        <w:spacing w:before="120" w:after="120"/>
      </w:pPr>
      <w:r>
        <w:rPr>
          <w:rFonts w:ascii="SimSun" w:eastAsia="SimSun"/>
          <w:color w:val="auto"/>
          <w:sz w:val="21"/>
        </w:rPr>
        <w:tab/>
      </w:r>
      <w:r>
        <w:rPr>
          <w:rFonts w:ascii="SimSun" w:eastAsia="SimSun"/>
          <w:color w:val="auto"/>
          <w:sz w:val="21"/>
        </w:rPr>
        <w:tab/>
      </w:r>
      <w:r>
        <w:rPr>
          <w:rFonts w:ascii="SimSun" w:eastAsia="SimSun"/>
          <w:color w:val="auto"/>
          <w:sz w:val="21"/>
        </w:rPr>
        <w:tab/>
      </w:r>
      <w:r>
        <w:rPr>
          <w:rFonts w:hint="eastAsia"/>
        </w:rPr>
        <w:t>表1.</w:t>
      </w:r>
      <w:r>
        <w:tab/>
      </w:r>
      <w:r>
        <w:rPr>
          <w:rFonts w:hint="eastAsia"/>
        </w:rPr>
        <w:t>1994-1999年出生死亡和婴儿死亡数</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464"/>
        <w:gridCol w:w="1464"/>
        <w:gridCol w:w="1464"/>
        <w:gridCol w:w="1464"/>
        <w:gridCol w:w="1465"/>
      </w:tblGrid>
      <w:tr w:rsidR="00000000">
        <w:tblPrEx>
          <w:tblCellMar>
            <w:top w:w="0" w:type="dxa"/>
            <w:bottom w:w="0" w:type="dxa"/>
          </w:tblCellMar>
        </w:tblPrEx>
        <w:trPr>
          <w:cantSplit/>
          <w:trHeight w:val="138"/>
        </w:trPr>
        <w:tc>
          <w:tcPr>
            <w:tcW w:w="1464"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年份</w:t>
            </w:r>
          </w:p>
        </w:tc>
        <w:tc>
          <w:tcPr>
            <w:tcW w:w="1464"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活产人数</w:t>
            </w:r>
          </w:p>
        </w:tc>
        <w:tc>
          <w:tcPr>
            <w:tcW w:w="1464"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死亡人数</w:t>
            </w:r>
          </w:p>
        </w:tc>
        <w:tc>
          <w:tcPr>
            <w:tcW w:w="1464"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自然增长</w:t>
            </w:r>
          </w:p>
        </w:tc>
        <w:tc>
          <w:tcPr>
            <w:tcW w:w="1465"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婴儿死亡数</w:t>
            </w:r>
          </w:p>
        </w:tc>
      </w:tr>
      <w:tr w:rsidR="00000000">
        <w:tblPrEx>
          <w:tblCellMar>
            <w:top w:w="0" w:type="dxa"/>
            <w:bottom w:w="0" w:type="dxa"/>
          </w:tblCellMar>
        </w:tblPrEx>
        <w:trPr>
          <w:cantSplit/>
          <w:trHeight w:val="132"/>
        </w:trPr>
        <w:tc>
          <w:tcPr>
            <w:tcW w:w="1464" w:type="dxa"/>
            <w:tcBorders>
              <w:top w:val="single" w:sz="12" w:space="0" w:color="auto"/>
            </w:tcBorders>
          </w:tcPr>
          <w:p w:rsidR="00000000" w:rsidRDefault="00000000">
            <w:pPr>
              <w:pStyle w:val="H1"/>
              <w:ind w:left="28" w:right="28"/>
              <w:rPr>
                <w:rFonts w:ascii="SimSun" w:eastAsia="SimSun"/>
                <w:color w:val="auto"/>
                <w:sz w:val="16"/>
              </w:rPr>
            </w:pPr>
            <w:r>
              <w:rPr>
                <w:rFonts w:ascii="SimSun" w:eastAsia="SimSun"/>
                <w:color w:val="auto"/>
                <w:sz w:val="16"/>
              </w:rPr>
              <w:t>1994</w:t>
            </w:r>
          </w:p>
        </w:tc>
        <w:tc>
          <w:tcPr>
            <w:tcW w:w="1464"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3 547</w:t>
            </w:r>
          </w:p>
        </w:tc>
        <w:tc>
          <w:tcPr>
            <w:tcW w:w="1464"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2 291</w:t>
            </w:r>
          </w:p>
        </w:tc>
        <w:tc>
          <w:tcPr>
            <w:tcW w:w="1464"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1 256</w:t>
            </w:r>
          </w:p>
        </w:tc>
        <w:tc>
          <w:tcPr>
            <w:tcW w:w="1465"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30</w:t>
            </w:r>
          </w:p>
        </w:tc>
      </w:tr>
      <w:tr w:rsidR="00000000">
        <w:tblPrEx>
          <w:tblCellMar>
            <w:top w:w="0" w:type="dxa"/>
            <w:bottom w:w="0" w:type="dxa"/>
          </w:tblCellMar>
        </w:tblPrEx>
        <w:trPr>
          <w:cantSplit/>
          <w:trHeight w:val="132"/>
        </w:trPr>
        <w:tc>
          <w:tcPr>
            <w:tcW w:w="1464" w:type="dxa"/>
          </w:tcPr>
          <w:p w:rsidR="00000000" w:rsidRDefault="00000000">
            <w:pPr>
              <w:pStyle w:val="H1"/>
              <w:ind w:left="28" w:right="28"/>
              <w:rPr>
                <w:rFonts w:ascii="SimSun" w:eastAsia="SimSun"/>
                <w:color w:val="auto"/>
                <w:sz w:val="16"/>
              </w:rPr>
            </w:pPr>
            <w:r>
              <w:rPr>
                <w:rFonts w:ascii="SimSun" w:eastAsia="SimSun"/>
                <w:color w:val="auto"/>
                <w:sz w:val="16"/>
              </w:rPr>
              <w:t>1995</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3 473</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2 481</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992</w:t>
            </w:r>
          </w:p>
        </w:tc>
        <w:tc>
          <w:tcPr>
            <w:tcW w:w="1465" w:type="dxa"/>
          </w:tcPr>
          <w:p w:rsidR="00000000" w:rsidRDefault="00000000">
            <w:pPr>
              <w:pStyle w:val="H1"/>
              <w:ind w:left="28" w:right="28"/>
              <w:jc w:val="right"/>
              <w:rPr>
                <w:rFonts w:ascii="SimSun" w:eastAsia="SimSun"/>
                <w:color w:val="auto"/>
                <w:sz w:val="16"/>
              </w:rPr>
            </w:pPr>
            <w:r>
              <w:rPr>
                <w:rFonts w:ascii="SimSun" w:eastAsia="SimSun"/>
                <w:color w:val="auto"/>
                <w:sz w:val="16"/>
              </w:rPr>
              <w:t>46</w:t>
            </w:r>
          </w:p>
        </w:tc>
      </w:tr>
      <w:tr w:rsidR="00000000">
        <w:tblPrEx>
          <w:tblCellMar>
            <w:top w:w="0" w:type="dxa"/>
            <w:bottom w:w="0" w:type="dxa"/>
          </w:tblCellMar>
        </w:tblPrEx>
        <w:trPr>
          <w:cantSplit/>
          <w:trHeight w:val="132"/>
        </w:trPr>
        <w:tc>
          <w:tcPr>
            <w:tcW w:w="1464" w:type="dxa"/>
          </w:tcPr>
          <w:p w:rsidR="00000000" w:rsidRDefault="00000000">
            <w:pPr>
              <w:pStyle w:val="H1"/>
              <w:ind w:left="28" w:right="28"/>
              <w:rPr>
                <w:rFonts w:ascii="SimSun" w:eastAsia="SimSun"/>
                <w:color w:val="auto"/>
                <w:sz w:val="16"/>
              </w:rPr>
            </w:pPr>
            <w:r>
              <w:rPr>
                <w:rFonts w:ascii="SimSun" w:eastAsia="SimSun"/>
                <w:color w:val="auto"/>
                <w:sz w:val="16"/>
              </w:rPr>
              <w:t>1996</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3 519</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2 400</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1 119</w:t>
            </w:r>
          </w:p>
        </w:tc>
        <w:tc>
          <w:tcPr>
            <w:tcW w:w="1465" w:type="dxa"/>
          </w:tcPr>
          <w:p w:rsidR="00000000" w:rsidRDefault="00000000">
            <w:pPr>
              <w:pStyle w:val="H1"/>
              <w:ind w:left="28" w:right="28"/>
              <w:jc w:val="right"/>
              <w:rPr>
                <w:rFonts w:ascii="SimSun" w:eastAsia="SimSun"/>
                <w:color w:val="auto"/>
                <w:sz w:val="16"/>
              </w:rPr>
            </w:pPr>
            <w:r>
              <w:rPr>
                <w:rFonts w:ascii="SimSun" w:eastAsia="SimSun"/>
                <w:color w:val="auto"/>
                <w:sz w:val="16"/>
              </w:rPr>
              <w:t>50</w:t>
            </w:r>
          </w:p>
        </w:tc>
      </w:tr>
      <w:tr w:rsidR="00000000">
        <w:tblPrEx>
          <w:tblCellMar>
            <w:top w:w="0" w:type="dxa"/>
            <w:bottom w:w="0" w:type="dxa"/>
          </w:tblCellMar>
        </w:tblPrEx>
        <w:trPr>
          <w:cantSplit/>
          <w:trHeight w:val="132"/>
        </w:trPr>
        <w:tc>
          <w:tcPr>
            <w:tcW w:w="1464" w:type="dxa"/>
          </w:tcPr>
          <w:p w:rsidR="00000000" w:rsidRDefault="00000000">
            <w:pPr>
              <w:pStyle w:val="H1"/>
              <w:ind w:left="28" w:right="28"/>
              <w:rPr>
                <w:rFonts w:ascii="SimSun" w:eastAsia="SimSun"/>
                <w:color w:val="auto"/>
                <w:sz w:val="16"/>
              </w:rPr>
            </w:pPr>
            <w:r>
              <w:rPr>
                <w:rFonts w:ascii="SimSun" w:eastAsia="SimSun"/>
                <w:color w:val="auto"/>
                <w:sz w:val="16"/>
              </w:rPr>
              <w:t>1997</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3 784</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2 297</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1 487</w:t>
            </w:r>
          </w:p>
        </w:tc>
        <w:tc>
          <w:tcPr>
            <w:tcW w:w="1465" w:type="dxa"/>
          </w:tcPr>
          <w:p w:rsidR="00000000" w:rsidRDefault="00000000">
            <w:pPr>
              <w:pStyle w:val="H1"/>
              <w:ind w:left="28" w:right="28"/>
              <w:jc w:val="right"/>
              <w:rPr>
                <w:rFonts w:ascii="SimSun" w:eastAsia="SimSun"/>
                <w:color w:val="auto"/>
                <w:sz w:val="16"/>
              </w:rPr>
            </w:pPr>
            <w:r>
              <w:rPr>
                <w:rFonts w:ascii="SimSun" w:eastAsia="SimSun"/>
                <w:color w:val="auto"/>
                <w:sz w:val="16"/>
              </w:rPr>
              <w:t>50</w:t>
            </w:r>
          </w:p>
        </w:tc>
      </w:tr>
      <w:tr w:rsidR="00000000">
        <w:tblPrEx>
          <w:tblCellMar>
            <w:top w:w="0" w:type="dxa"/>
            <w:bottom w:w="0" w:type="dxa"/>
          </w:tblCellMar>
        </w:tblPrEx>
        <w:trPr>
          <w:cantSplit/>
          <w:trHeight w:val="132"/>
        </w:trPr>
        <w:tc>
          <w:tcPr>
            <w:tcW w:w="1464" w:type="dxa"/>
          </w:tcPr>
          <w:p w:rsidR="00000000" w:rsidRDefault="00000000">
            <w:pPr>
              <w:pStyle w:val="H1"/>
              <w:ind w:left="28" w:right="28"/>
              <w:rPr>
                <w:rFonts w:ascii="SimSun" w:eastAsia="SimSun"/>
                <w:color w:val="auto"/>
                <w:sz w:val="16"/>
              </w:rPr>
            </w:pPr>
            <w:r>
              <w:rPr>
                <w:rFonts w:ascii="SimSun" w:eastAsia="SimSun"/>
                <w:color w:val="auto"/>
                <w:sz w:val="16"/>
              </w:rPr>
              <w:t>1998</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3 612</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2 471</w:t>
            </w:r>
          </w:p>
        </w:tc>
        <w:tc>
          <w:tcPr>
            <w:tcW w:w="1464" w:type="dxa"/>
          </w:tcPr>
          <w:p w:rsidR="00000000" w:rsidRDefault="00000000">
            <w:pPr>
              <w:pStyle w:val="H1"/>
              <w:ind w:left="28" w:right="28"/>
              <w:jc w:val="right"/>
              <w:rPr>
                <w:rFonts w:ascii="SimSun" w:eastAsia="SimSun"/>
                <w:color w:val="auto"/>
                <w:sz w:val="16"/>
              </w:rPr>
            </w:pPr>
            <w:r>
              <w:rPr>
                <w:rFonts w:ascii="SimSun" w:eastAsia="SimSun"/>
                <w:color w:val="auto"/>
                <w:sz w:val="16"/>
              </w:rPr>
              <w:t>1 141</w:t>
            </w:r>
          </w:p>
        </w:tc>
        <w:tc>
          <w:tcPr>
            <w:tcW w:w="1465" w:type="dxa"/>
          </w:tcPr>
          <w:p w:rsidR="00000000" w:rsidRDefault="00000000">
            <w:pPr>
              <w:pStyle w:val="H1"/>
              <w:ind w:left="28" w:right="28"/>
              <w:jc w:val="right"/>
              <w:rPr>
                <w:rFonts w:ascii="SimSun" w:eastAsia="SimSun"/>
                <w:color w:val="auto"/>
                <w:sz w:val="16"/>
              </w:rPr>
            </w:pPr>
            <w:r>
              <w:rPr>
                <w:rFonts w:ascii="SimSun" w:eastAsia="SimSun"/>
                <w:color w:val="auto"/>
                <w:sz w:val="16"/>
              </w:rPr>
              <w:t>28</w:t>
            </w:r>
          </w:p>
        </w:tc>
      </w:tr>
      <w:tr w:rsidR="00000000">
        <w:tblPrEx>
          <w:tblCellMar>
            <w:top w:w="0" w:type="dxa"/>
            <w:bottom w:w="0" w:type="dxa"/>
          </w:tblCellMar>
        </w:tblPrEx>
        <w:trPr>
          <w:cantSplit/>
          <w:trHeight w:val="132"/>
        </w:trPr>
        <w:tc>
          <w:tcPr>
            <w:tcW w:w="1464" w:type="dxa"/>
            <w:tcBorders>
              <w:bottom w:val="single" w:sz="12" w:space="0" w:color="auto"/>
            </w:tcBorders>
          </w:tcPr>
          <w:p w:rsidR="00000000" w:rsidRDefault="00000000">
            <w:pPr>
              <w:pStyle w:val="H1"/>
              <w:ind w:left="28" w:right="28"/>
              <w:rPr>
                <w:rFonts w:ascii="SimSun" w:eastAsia="SimSun"/>
                <w:color w:val="auto"/>
                <w:sz w:val="16"/>
              </w:rPr>
            </w:pPr>
            <w:r>
              <w:rPr>
                <w:rFonts w:ascii="SimSun" w:eastAsia="SimSun"/>
                <w:color w:val="auto"/>
                <w:sz w:val="16"/>
              </w:rPr>
              <w:t>1999</w:t>
            </w:r>
          </w:p>
        </w:tc>
        <w:tc>
          <w:tcPr>
            <w:tcW w:w="1464"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3 882</w:t>
            </w:r>
          </w:p>
        </w:tc>
        <w:tc>
          <w:tcPr>
            <w:tcW w:w="1464"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2 428</w:t>
            </w:r>
          </w:p>
        </w:tc>
        <w:tc>
          <w:tcPr>
            <w:tcW w:w="1464"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1 454</w:t>
            </w:r>
          </w:p>
        </w:tc>
        <w:tc>
          <w:tcPr>
            <w:tcW w:w="1465"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39</w:t>
            </w:r>
          </w:p>
        </w:tc>
      </w:tr>
    </w:tbl>
    <w:p w:rsidR="00000000" w:rsidRDefault="00000000">
      <w:pPr>
        <w:pStyle w:val="SingleTxt"/>
      </w:pPr>
    </w:p>
    <w:p w:rsidR="00000000" w:rsidRDefault="00000000">
      <w:pPr>
        <w:pStyle w:val="H1"/>
        <w:spacing w:before="120" w:after="120"/>
      </w:pPr>
      <w:r>
        <w:tab/>
      </w:r>
      <w:r>
        <w:tab/>
      </w:r>
      <w:r>
        <w:tab/>
      </w:r>
      <w:r>
        <w:rPr>
          <w:rFonts w:hint="eastAsia"/>
        </w:rPr>
        <w:t>表2.</w:t>
      </w:r>
      <w:r>
        <w:tab/>
      </w:r>
      <w:r>
        <w:rPr>
          <w:rFonts w:hint="eastAsia"/>
        </w:rPr>
        <w:t>按性别分列人口数（千人）</w:t>
      </w:r>
    </w:p>
    <w:tbl>
      <w:tblPr>
        <w:tblW w:w="0" w:type="auto"/>
        <w:tblInd w:w="12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830"/>
        <w:gridCol w:w="1830"/>
        <w:gridCol w:w="1830"/>
        <w:gridCol w:w="1831"/>
      </w:tblGrid>
      <w:tr w:rsidR="00000000">
        <w:tblPrEx>
          <w:tblCellMar>
            <w:top w:w="0" w:type="dxa"/>
            <w:bottom w:w="0" w:type="dxa"/>
          </w:tblCellMar>
        </w:tblPrEx>
        <w:trPr>
          <w:cantSplit/>
          <w:trHeight w:val="385"/>
        </w:trPr>
        <w:tc>
          <w:tcPr>
            <w:tcW w:w="1830"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hint="eastAsia"/>
                <w:color w:val="0000FF"/>
                <w:sz w:val="18"/>
              </w:rPr>
            </w:pPr>
            <w:r>
              <w:rPr>
                <w:rFonts w:ascii="KaiTi_GB2312" w:eastAsia="KaiTi_GB2312" w:hAnsi="SimSun" w:hint="eastAsia"/>
                <w:color w:val="0000FF"/>
                <w:sz w:val="18"/>
              </w:rPr>
              <w:t>年份</w:t>
            </w:r>
          </w:p>
        </w:tc>
        <w:tc>
          <w:tcPr>
            <w:tcW w:w="1830"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总数</w:t>
            </w:r>
          </w:p>
        </w:tc>
        <w:tc>
          <w:tcPr>
            <w:tcW w:w="1830"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男</w:t>
            </w:r>
          </w:p>
        </w:tc>
        <w:tc>
          <w:tcPr>
            <w:tcW w:w="1831" w:type="dxa"/>
            <w:tcBorders>
              <w:bottom w:val="single" w:sz="12" w:space="0" w:color="auto"/>
            </w:tcBorders>
          </w:tcPr>
          <w:p w:rsidR="00000000" w:rsidRDefault="00000000">
            <w:pPr>
              <w:pStyle w:val="H1"/>
              <w:tabs>
                <w:tab w:val="left" w:pos="288"/>
                <w:tab w:val="left" w:pos="576"/>
                <w:tab w:val="left" w:pos="864"/>
                <w:tab w:val="left" w:pos="1152"/>
              </w:tabs>
              <w:ind w:right="40"/>
              <w:jc w:val="right"/>
              <w:rPr>
                <w:rFonts w:ascii="KaiTi_GB2312" w:eastAsia="KaiTi_GB2312" w:hAnsi="SimSun"/>
                <w:color w:val="0000FF"/>
                <w:sz w:val="18"/>
              </w:rPr>
            </w:pPr>
            <w:r>
              <w:rPr>
                <w:rFonts w:ascii="KaiTi_GB2312" w:eastAsia="KaiTi_GB2312" w:hAnsi="SimSun" w:hint="eastAsia"/>
                <w:color w:val="0000FF"/>
                <w:sz w:val="18"/>
              </w:rPr>
              <w:t>女</w:t>
            </w:r>
          </w:p>
        </w:tc>
      </w:tr>
      <w:tr w:rsidR="00000000">
        <w:tblPrEx>
          <w:tblCellMar>
            <w:top w:w="0" w:type="dxa"/>
            <w:bottom w:w="0" w:type="dxa"/>
          </w:tblCellMar>
        </w:tblPrEx>
        <w:trPr>
          <w:cantSplit/>
          <w:trHeight w:val="382"/>
        </w:trPr>
        <w:tc>
          <w:tcPr>
            <w:tcW w:w="1830" w:type="dxa"/>
            <w:tcBorders>
              <w:top w:val="single" w:sz="12" w:space="0" w:color="auto"/>
            </w:tcBorders>
          </w:tcPr>
          <w:p w:rsidR="00000000" w:rsidRDefault="00000000">
            <w:pPr>
              <w:pStyle w:val="H1"/>
              <w:ind w:left="28" w:right="28"/>
              <w:rPr>
                <w:rFonts w:ascii="SimSun" w:eastAsia="SimSun" w:hint="eastAsia"/>
                <w:color w:val="auto"/>
                <w:sz w:val="16"/>
              </w:rPr>
            </w:pPr>
            <w:r>
              <w:rPr>
                <w:rFonts w:ascii="SimSun" w:eastAsia="SimSun"/>
                <w:color w:val="auto"/>
                <w:sz w:val="16"/>
              </w:rPr>
              <w:t>1994</w:t>
            </w:r>
          </w:p>
        </w:tc>
        <w:tc>
          <w:tcPr>
            <w:tcW w:w="1830" w:type="dxa"/>
            <w:tcBorders>
              <w:top w:val="single" w:sz="12" w:space="0" w:color="auto"/>
            </w:tcBorders>
          </w:tcPr>
          <w:p w:rsidR="00000000" w:rsidRDefault="00000000">
            <w:pPr>
              <w:pStyle w:val="H1"/>
              <w:ind w:left="28" w:right="28"/>
              <w:jc w:val="right"/>
              <w:rPr>
                <w:rFonts w:ascii="SimSun" w:eastAsia="SimSun" w:hint="eastAsia"/>
                <w:color w:val="auto"/>
                <w:sz w:val="16"/>
              </w:rPr>
            </w:pPr>
            <w:r>
              <w:rPr>
                <w:rFonts w:ascii="SimSun" w:eastAsia="SimSun"/>
                <w:color w:val="auto"/>
                <w:sz w:val="16"/>
              </w:rPr>
              <w:t>264.2</w:t>
            </w:r>
          </w:p>
        </w:tc>
        <w:tc>
          <w:tcPr>
            <w:tcW w:w="1830" w:type="dxa"/>
            <w:tcBorders>
              <w:top w:val="single" w:sz="12" w:space="0" w:color="auto"/>
            </w:tcBorders>
          </w:tcPr>
          <w:p w:rsidR="00000000" w:rsidRDefault="00000000">
            <w:pPr>
              <w:pStyle w:val="H1"/>
              <w:ind w:left="28" w:right="28"/>
              <w:jc w:val="right"/>
              <w:rPr>
                <w:rFonts w:ascii="SimSun" w:eastAsia="SimSun" w:hint="eastAsia"/>
                <w:color w:val="auto"/>
                <w:sz w:val="16"/>
              </w:rPr>
            </w:pPr>
            <w:r>
              <w:rPr>
                <w:rFonts w:ascii="SimSun" w:eastAsia="SimSun"/>
                <w:color w:val="auto"/>
                <w:sz w:val="16"/>
              </w:rPr>
              <w:t>126.5</w:t>
            </w:r>
          </w:p>
        </w:tc>
        <w:tc>
          <w:tcPr>
            <w:tcW w:w="1831" w:type="dxa"/>
            <w:tcBorders>
              <w:top w:val="single" w:sz="12" w:space="0" w:color="auto"/>
            </w:tcBorders>
          </w:tcPr>
          <w:p w:rsidR="00000000" w:rsidRDefault="00000000">
            <w:pPr>
              <w:pStyle w:val="H1"/>
              <w:ind w:left="28" w:right="28"/>
              <w:jc w:val="right"/>
              <w:rPr>
                <w:rFonts w:ascii="SimSun" w:eastAsia="SimSun" w:hint="eastAsia"/>
                <w:color w:val="auto"/>
                <w:sz w:val="16"/>
              </w:rPr>
            </w:pPr>
            <w:r>
              <w:rPr>
                <w:rFonts w:ascii="SimSun" w:eastAsia="SimSun"/>
                <w:color w:val="auto"/>
                <w:sz w:val="16"/>
              </w:rPr>
              <w:t>137.7</w:t>
            </w:r>
          </w:p>
        </w:tc>
      </w:tr>
      <w:tr w:rsidR="00000000">
        <w:tblPrEx>
          <w:tblCellMar>
            <w:top w:w="0" w:type="dxa"/>
            <w:bottom w:w="0" w:type="dxa"/>
          </w:tblCellMar>
        </w:tblPrEx>
        <w:trPr>
          <w:cantSplit/>
          <w:trHeight w:val="382"/>
        </w:trPr>
        <w:tc>
          <w:tcPr>
            <w:tcW w:w="1830" w:type="dxa"/>
          </w:tcPr>
          <w:p w:rsidR="00000000" w:rsidRDefault="00000000">
            <w:pPr>
              <w:pStyle w:val="H1"/>
              <w:ind w:left="28" w:right="28"/>
              <w:rPr>
                <w:rFonts w:ascii="SimSun" w:eastAsia="SimSun" w:hint="eastAsia"/>
                <w:color w:val="auto"/>
                <w:sz w:val="16"/>
              </w:rPr>
            </w:pPr>
            <w:r>
              <w:rPr>
                <w:rFonts w:ascii="SimSun" w:eastAsia="SimSun"/>
                <w:color w:val="auto"/>
                <w:sz w:val="16"/>
              </w:rPr>
              <w:t>1995</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264.4</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126.6</w:t>
            </w:r>
          </w:p>
        </w:tc>
        <w:tc>
          <w:tcPr>
            <w:tcW w:w="1831"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137.8</w:t>
            </w:r>
          </w:p>
        </w:tc>
      </w:tr>
      <w:tr w:rsidR="00000000">
        <w:tblPrEx>
          <w:tblCellMar>
            <w:top w:w="0" w:type="dxa"/>
            <w:bottom w:w="0" w:type="dxa"/>
          </w:tblCellMar>
        </w:tblPrEx>
        <w:trPr>
          <w:cantSplit/>
          <w:trHeight w:val="382"/>
        </w:trPr>
        <w:tc>
          <w:tcPr>
            <w:tcW w:w="1830" w:type="dxa"/>
          </w:tcPr>
          <w:p w:rsidR="00000000" w:rsidRDefault="00000000">
            <w:pPr>
              <w:pStyle w:val="H1"/>
              <w:ind w:left="28" w:right="28"/>
              <w:rPr>
                <w:rFonts w:ascii="SimSun" w:eastAsia="SimSun" w:hint="eastAsia"/>
                <w:color w:val="auto"/>
                <w:sz w:val="16"/>
              </w:rPr>
            </w:pPr>
            <w:r>
              <w:rPr>
                <w:rFonts w:ascii="SimSun" w:eastAsia="SimSun"/>
                <w:color w:val="auto"/>
                <w:sz w:val="16"/>
              </w:rPr>
              <w:t>1996</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264.6</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126.6</w:t>
            </w:r>
          </w:p>
        </w:tc>
        <w:tc>
          <w:tcPr>
            <w:tcW w:w="1831"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138.0</w:t>
            </w:r>
          </w:p>
        </w:tc>
      </w:tr>
      <w:tr w:rsidR="00000000">
        <w:tblPrEx>
          <w:tblCellMar>
            <w:top w:w="0" w:type="dxa"/>
            <w:bottom w:w="0" w:type="dxa"/>
          </w:tblCellMar>
        </w:tblPrEx>
        <w:trPr>
          <w:cantSplit/>
          <w:trHeight w:val="382"/>
        </w:trPr>
        <w:tc>
          <w:tcPr>
            <w:tcW w:w="1830" w:type="dxa"/>
          </w:tcPr>
          <w:p w:rsidR="00000000" w:rsidRDefault="00000000">
            <w:pPr>
              <w:pStyle w:val="H1"/>
              <w:ind w:left="28" w:right="28"/>
              <w:rPr>
                <w:rFonts w:ascii="SimSun" w:eastAsia="SimSun" w:hint="eastAsia"/>
                <w:color w:val="auto"/>
                <w:sz w:val="16"/>
              </w:rPr>
            </w:pPr>
            <w:r>
              <w:rPr>
                <w:rFonts w:ascii="SimSun" w:eastAsia="SimSun"/>
                <w:color w:val="auto"/>
                <w:sz w:val="16"/>
              </w:rPr>
              <w:t>1997</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266.1</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127.4</w:t>
            </w:r>
          </w:p>
        </w:tc>
        <w:tc>
          <w:tcPr>
            <w:tcW w:w="1831"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138.3</w:t>
            </w:r>
          </w:p>
        </w:tc>
      </w:tr>
      <w:tr w:rsidR="00000000">
        <w:tblPrEx>
          <w:tblCellMar>
            <w:top w:w="0" w:type="dxa"/>
            <w:bottom w:w="0" w:type="dxa"/>
          </w:tblCellMar>
        </w:tblPrEx>
        <w:trPr>
          <w:cantSplit/>
          <w:trHeight w:val="382"/>
        </w:trPr>
        <w:tc>
          <w:tcPr>
            <w:tcW w:w="1830" w:type="dxa"/>
          </w:tcPr>
          <w:p w:rsidR="00000000" w:rsidRDefault="00000000">
            <w:pPr>
              <w:pStyle w:val="H1"/>
              <w:ind w:left="28" w:right="28"/>
              <w:rPr>
                <w:rFonts w:ascii="SimSun" w:eastAsia="SimSun" w:hint="eastAsia"/>
                <w:color w:val="auto"/>
                <w:sz w:val="16"/>
              </w:rPr>
            </w:pPr>
            <w:r>
              <w:rPr>
                <w:rFonts w:ascii="SimSun" w:eastAsia="SimSun"/>
                <w:color w:val="auto"/>
                <w:sz w:val="16"/>
              </w:rPr>
              <w:t>1998</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266.9</w:t>
            </w:r>
          </w:p>
        </w:tc>
        <w:tc>
          <w:tcPr>
            <w:tcW w:w="1830"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128.3</w:t>
            </w:r>
          </w:p>
        </w:tc>
        <w:tc>
          <w:tcPr>
            <w:tcW w:w="1831" w:type="dxa"/>
          </w:tcPr>
          <w:p w:rsidR="00000000" w:rsidRDefault="00000000">
            <w:pPr>
              <w:pStyle w:val="H1"/>
              <w:ind w:left="28" w:right="28"/>
              <w:jc w:val="right"/>
              <w:rPr>
                <w:rFonts w:ascii="SimSun" w:eastAsia="SimSun" w:hint="eastAsia"/>
                <w:color w:val="auto"/>
                <w:sz w:val="16"/>
              </w:rPr>
            </w:pPr>
            <w:r>
              <w:rPr>
                <w:rFonts w:ascii="SimSun" w:eastAsia="SimSun"/>
                <w:color w:val="auto"/>
                <w:sz w:val="16"/>
              </w:rPr>
              <w:t>138.6</w:t>
            </w:r>
          </w:p>
        </w:tc>
      </w:tr>
      <w:tr w:rsidR="00000000">
        <w:tblPrEx>
          <w:tblCellMar>
            <w:top w:w="0" w:type="dxa"/>
            <w:bottom w:w="0" w:type="dxa"/>
          </w:tblCellMar>
        </w:tblPrEx>
        <w:trPr>
          <w:cantSplit/>
          <w:trHeight w:val="382"/>
        </w:trPr>
        <w:tc>
          <w:tcPr>
            <w:tcW w:w="1830" w:type="dxa"/>
            <w:tcBorders>
              <w:bottom w:val="single" w:sz="12" w:space="0" w:color="auto"/>
            </w:tcBorders>
          </w:tcPr>
          <w:p w:rsidR="00000000" w:rsidRDefault="00000000">
            <w:pPr>
              <w:pStyle w:val="H1"/>
              <w:ind w:left="28" w:right="28"/>
              <w:rPr>
                <w:rFonts w:ascii="SimSun" w:eastAsia="SimSun"/>
                <w:color w:val="auto"/>
                <w:sz w:val="16"/>
              </w:rPr>
            </w:pPr>
            <w:r>
              <w:rPr>
                <w:rFonts w:ascii="SimSun" w:eastAsia="SimSun"/>
                <w:color w:val="auto"/>
                <w:sz w:val="16"/>
              </w:rPr>
              <w:t>1999</w:t>
            </w:r>
          </w:p>
        </w:tc>
        <w:tc>
          <w:tcPr>
            <w:tcW w:w="1830"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267.4</w:t>
            </w:r>
          </w:p>
        </w:tc>
        <w:tc>
          <w:tcPr>
            <w:tcW w:w="1830"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128.5</w:t>
            </w:r>
          </w:p>
        </w:tc>
        <w:tc>
          <w:tcPr>
            <w:tcW w:w="1831"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138.9</w:t>
            </w:r>
          </w:p>
        </w:tc>
      </w:tr>
    </w:tbl>
    <w:p w:rsidR="00000000" w:rsidRDefault="00000000">
      <w:pPr>
        <w:pStyle w:val="SingleTxt"/>
        <w:spacing w:before="120"/>
        <w:rPr>
          <w:rFonts w:ascii="SimHei" w:eastAsia="SimHei" w:hint="eastAsia"/>
          <w:color w:val="FF0000"/>
        </w:rPr>
      </w:pPr>
      <w:r>
        <w:rPr>
          <w:rFonts w:ascii="SimHei" w:eastAsia="SimHei" w:hint="eastAsia"/>
          <w:color w:val="FF0000"/>
        </w:rPr>
        <w:t>资料来源</w:t>
      </w:r>
      <w:r>
        <w:rPr>
          <w:rFonts w:hint="eastAsia"/>
        </w:rPr>
        <w:t>：</w:t>
      </w:r>
      <w:r>
        <w:tab/>
      </w:r>
      <w:r>
        <w:rPr>
          <w:rFonts w:ascii="SimHei" w:eastAsia="SimHei" w:hint="eastAsia"/>
          <w:color w:val="FF0000"/>
        </w:rPr>
        <w:t>巴巴多斯经济报告，1996年。</w:t>
      </w:r>
    </w:p>
    <w:p w:rsidR="00000000" w:rsidRDefault="00000000">
      <w:pPr>
        <w:pStyle w:val="SingleTxt"/>
        <w:rPr>
          <w:rFonts w:ascii="SimHei" w:eastAsia="SimHei" w:hint="eastAsia"/>
          <w:color w:val="FF0000"/>
        </w:rPr>
      </w:pPr>
      <w:r>
        <w:rPr>
          <w:rFonts w:ascii="SimHei" w:eastAsia="SimHei"/>
          <w:color w:val="FF0000"/>
        </w:rPr>
        <w:tab/>
      </w:r>
      <w:r>
        <w:rPr>
          <w:rFonts w:ascii="SimHei" w:eastAsia="SimHei"/>
          <w:color w:val="FF0000"/>
        </w:rPr>
        <w:tab/>
      </w:r>
      <w:r>
        <w:rPr>
          <w:rFonts w:ascii="SimHei" w:eastAsia="SimHei"/>
          <w:color w:val="FF0000"/>
        </w:rPr>
        <w:tab/>
      </w:r>
      <w:r>
        <w:rPr>
          <w:rFonts w:ascii="SimHei" w:eastAsia="SimHei" w:hint="eastAsia"/>
          <w:color w:val="FF0000"/>
        </w:rPr>
        <w:t>巴巴多斯统计处。</w:t>
      </w:r>
    </w:p>
    <w:p w:rsidR="00000000" w:rsidRDefault="00000000">
      <w:pPr>
        <w:pStyle w:val="H1"/>
        <w:rPr>
          <w:rFonts w:ascii="SimSun" w:eastAsia="SimSun"/>
          <w:color w:val="auto"/>
          <w:sz w:val="21"/>
        </w:rPr>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rPr>
          <w:rFonts w:hint="eastAsia"/>
        </w:rPr>
      </w:pPr>
      <w:r>
        <w:tab/>
      </w:r>
      <w:r>
        <w:tab/>
      </w:r>
      <w:r>
        <w:rPr>
          <w:rFonts w:hint="eastAsia"/>
        </w:rPr>
        <w:t>经济发展</w:t>
      </w:r>
    </w:p>
    <w:p w:rsidR="00000000" w:rsidRDefault="00000000">
      <w:pPr>
        <w:pStyle w:val="SingleTxt"/>
        <w:rPr>
          <w:rFonts w:hint="eastAsia"/>
        </w:rPr>
      </w:pPr>
      <w:r>
        <w:rPr>
          <w:rFonts w:hint="eastAsia"/>
        </w:rPr>
        <w:tab/>
        <w:t>巴巴多斯经济连续第六年增长，1998年期间实际国内总产值增加约4.4%。自1996年以来，这是增长率最快的一年。</w:t>
      </w:r>
    </w:p>
    <w:p w:rsidR="00000000" w:rsidRDefault="00000000">
      <w:pPr>
        <w:pStyle w:val="SingleTxt"/>
        <w:rPr>
          <w:rFonts w:hint="eastAsia"/>
        </w:rPr>
      </w:pPr>
      <w:r>
        <w:rPr>
          <w:rFonts w:hint="eastAsia"/>
        </w:rPr>
        <w:tab/>
        <w:t>1996年是自90年代初期的经济衰退终于实现经济复苏的一年。巴巴多斯的经济在1996年茁壮成长，实际产出增加5.2%。这是连续第四年经济扩张。</w:t>
      </w:r>
    </w:p>
    <w:p w:rsidR="00000000" w:rsidRDefault="00000000">
      <w:pPr>
        <w:pStyle w:val="SingleTxt"/>
        <w:rPr>
          <w:rFonts w:hint="eastAsia"/>
        </w:rPr>
      </w:pPr>
      <w:r>
        <w:rPr>
          <w:rFonts w:hint="eastAsia"/>
        </w:rPr>
        <w:tab/>
        <w:t>1996年的巴巴多斯经济表现中有一大特色，即失业率自1995年的19.7%降至15.6%。到1998年，失业率降至12.3%。男性失业率降4.1%，女性降4.0%。1996年，加拿大农场劳动计划提供了585人就业。585人中，25人为女性。同1995年就业人口10万9千5百人相比，1996年约有11万4千3百人就业。1995年，妇女有14.4%失业，1996年为11.6%。</w:t>
      </w:r>
    </w:p>
    <w:p w:rsidR="00000000" w:rsidRDefault="00000000">
      <w:pPr>
        <w:pStyle w:val="SingleTxt"/>
        <w:rPr>
          <w:rFonts w:hint="eastAsia"/>
        </w:rPr>
      </w:pPr>
      <w:r>
        <w:rPr>
          <w:rFonts w:hint="eastAsia"/>
        </w:rPr>
        <w:tab/>
        <w:t>出口业绩为，加上旅游业收入略增（请见附录），有助于保持收支平衡盈余。资本流入增高加上还债额降低，导致资本帐转亏为盈，由1995年的12 610万赤字转为1996年底的大约10 110万盈余。</w:t>
      </w:r>
    </w:p>
    <w:p w:rsidR="00000000" w:rsidRDefault="00000000">
      <w:pPr>
        <w:pStyle w:val="SingleTxt"/>
        <w:rPr>
          <w:rFonts w:hint="eastAsia"/>
        </w:rPr>
      </w:pPr>
      <w:r>
        <w:rPr>
          <w:rFonts w:hint="eastAsia"/>
        </w:rPr>
        <w:tab/>
        <w:t>经济的另一个正面表现是一般物价的走向。同1997年加上增值税后的7.7%相比，年平均通货膨胀率为负平均1.3%。失业率的持续降低达到1992年以来的最低记录。</w:t>
      </w:r>
    </w:p>
    <w:p w:rsidR="00000000" w:rsidRDefault="00000000">
      <w:pPr>
        <w:pStyle w:val="SingleTxt"/>
        <w:rPr>
          <w:rFonts w:ascii="SimHei" w:eastAsia="SimHei" w:hint="eastAsia"/>
          <w:color w:val="FF0000"/>
        </w:rPr>
      </w:pPr>
      <w:r>
        <w:rPr>
          <w:rFonts w:ascii="SimHei" w:eastAsia="SimHei" w:hint="eastAsia"/>
          <w:color w:val="FF0000"/>
        </w:rPr>
        <w:t>资料来源：</w:t>
      </w:r>
      <w:r>
        <w:rPr>
          <w:rFonts w:ascii="SimHei" w:eastAsia="SimHei"/>
          <w:color w:val="FF0000"/>
        </w:rPr>
        <w:tab/>
      </w:r>
      <w:r>
        <w:rPr>
          <w:rFonts w:ascii="SimHei" w:eastAsia="SimHei" w:hint="eastAsia"/>
          <w:color w:val="FF0000"/>
        </w:rPr>
        <w:t>巴巴多斯经济报告，1996年</w:t>
      </w:r>
    </w:p>
    <w:p w:rsidR="00000000" w:rsidRDefault="00000000">
      <w:pPr>
        <w:pStyle w:val="SingleTxt"/>
        <w:rPr>
          <w:rFonts w:hint="eastAsia"/>
        </w:rPr>
      </w:pPr>
      <w:r>
        <w:rPr>
          <w:rFonts w:ascii="SimHei" w:eastAsia="SimHei" w:hint="eastAsia"/>
          <w:color w:val="FF0000"/>
        </w:rPr>
        <w:tab/>
      </w:r>
      <w:r>
        <w:rPr>
          <w:rFonts w:ascii="SimHei" w:eastAsia="SimHei" w:hint="eastAsia"/>
          <w:color w:val="FF0000"/>
        </w:rPr>
        <w:tab/>
      </w:r>
      <w:r>
        <w:rPr>
          <w:rFonts w:ascii="SimHei" w:eastAsia="SimHei"/>
          <w:color w:val="FF0000"/>
        </w:rPr>
        <w:tab/>
      </w:r>
      <w:r>
        <w:rPr>
          <w:rFonts w:ascii="SimHei" w:eastAsia="SimHei" w:hint="eastAsia"/>
          <w:color w:val="FF0000"/>
        </w:rPr>
        <w:t>巴巴多斯经济报告，1998年</w:t>
      </w:r>
    </w:p>
    <w:p w:rsidR="00000000" w:rsidRDefault="00000000">
      <w:pPr>
        <w:pStyle w:val="SingleTxt"/>
        <w:sectPr w:rsidR="00000000">
          <w:endnotePr>
            <w:numFmt w:val="decimal"/>
          </w:endnotePr>
          <w:pgSz w:w="12242" w:h="15842" w:code="1"/>
          <w:pgMar w:top="1742" w:right="1195" w:bottom="1898" w:left="1195" w:header="576" w:footer="1030" w:gutter="0"/>
          <w:cols w:space="425"/>
          <w:noEndnote/>
          <w:docGrid w:type="lines" w:linePitch="312"/>
        </w:sectPr>
      </w:pP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政治发展</w:t>
      </w:r>
    </w:p>
    <w:p w:rsidR="00000000" w:rsidRDefault="00000000">
      <w:pPr>
        <w:pStyle w:val="SingleTxt"/>
        <w:rPr>
          <w:rFonts w:hint="eastAsia"/>
        </w:rPr>
      </w:pPr>
      <w:r>
        <w:rPr>
          <w:rFonts w:hint="eastAsia"/>
        </w:rPr>
        <w:tab/>
        <w:t>在巴巴多斯，所有党派都承诺社会平等权利与机会公平原则，包括妇女在内，妇女继续在多数领域享有公平机会，并享有《宪法》公布的所有自由与社会正义。</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法律发展</w:t>
      </w:r>
    </w:p>
    <w:p w:rsidR="00000000" w:rsidRDefault="00000000">
      <w:pPr>
        <w:pStyle w:val="SingleTxt"/>
        <w:rPr>
          <w:rFonts w:hint="eastAsia"/>
        </w:rPr>
      </w:pPr>
      <w:r>
        <w:rPr>
          <w:rFonts w:hint="eastAsia"/>
        </w:rPr>
        <w:tab/>
        <w:t>妇女继续大步前进，争取法律改革，以提高地位，消除任何性别上的不平等。妇女事务局和各种非政府组织继续奋斗，反对社会上的任何性别不平等。</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非政府组织界</w:t>
      </w:r>
    </w:p>
    <w:p w:rsidR="00000000" w:rsidRDefault="00000000">
      <w:pPr>
        <w:pStyle w:val="SingleTxt"/>
        <w:rPr>
          <w:rFonts w:hint="eastAsia"/>
        </w:rPr>
      </w:pPr>
      <w:r>
        <w:rPr>
          <w:rFonts w:hint="eastAsia"/>
        </w:rPr>
        <w:tab/>
        <w:t>过去几年期间，巴巴多斯的妇女组织更直接介入各种性别问题。从争取平等出发，她们努力与不同的机构配合，以保证在各种不同问题上都能接受和反映妇女的观点。</w:t>
      </w:r>
    </w:p>
    <w:p w:rsidR="00000000" w:rsidRDefault="00000000">
      <w:pPr>
        <w:pStyle w:val="SingleTxt"/>
        <w:rPr>
          <w:rFonts w:hint="eastAsia"/>
        </w:rPr>
      </w:pPr>
      <w:r>
        <w:rPr>
          <w:rFonts w:hint="eastAsia"/>
        </w:rPr>
        <w:tab/>
        <w:t>虽然未放弃她们作为照顾者与服务提供者的传统角色，但由于广泛参与1995年9月在北京举行的第四次妇女问题世界会议的筹备工作创造的势头和直接参与这一全球会议的经验，妇女成员更为意气风发，意志更为集中。</w:t>
      </w:r>
    </w:p>
    <w:p w:rsidR="00000000" w:rsidRDefault="00000000">
      <w:pPr>
        <w:pStyle w:val="SingleTxt"/>
        <w:rPr>
          <w:rFonts w:hint="eastAsia"/>
        </w:rPr>
      </w:pPr>
      <w:r>
        <w:rPr>
          <w:rFonts w:hint="eastAsia"/>
        </w:rPr>
        <w:tab/>
        <w:t>非政府组织视自已为政府、公司和工会关系中的第四个伙伴。通过这一伙伴关系，非政府组织把一般公民的声音和他们关切的事项推向台面。在妇女运动中，领导们看到许多成员在管理国家事务上发挥更重大的作用，她们参加了各种董事会、委员会和理事会的工作。她们同政府各部委保持接触，争取政府了解她们的看法、需要和技能。</w:t>
      </w:r>
    </w:p>
    <w:p w:rsidR="00000000" w:rsidRDefault="00000000">
      <w:pPr>
        <w:pStyle w:val="SingleTxt"/>
        <w:rPr>
          <w:rFonts w:hint="eastAsia"/>
        </w:rPr>
      </w:pPr>
      <w:r>
        <w:rPr>
          <w:rFonts w:hint="eastAsia"/>
        </w:rPr>
        <w:tab/>
        <w:t>非政府组织说服了政府，让她们的代表加入出席各种区域会议和国际会议的代表团。这些非政府组织单独和通过其总机构全国妇女组织，与政府的妇女问题联络点妇女事务局维持了非常友好的关系。妇女事务局在政策问题上同它们协商，在规划发起方案时，争取它们协助。非政府组织也就它们的项目要求妇女事务局协助，帮它们制作材料，进行研究和资料宣传。</w:t>
      </w:r>
    </w:p>
    <w:p w:rsidR="00000000" w:rsidRDefault="00000000">
      <w:pPr>
        <w:pStyle w:val="SingleTxt"/>
        <w:rPr>
          <w:rFonts w:hint="eastAsia"/>
        </w:rPr>
      </w:pPr>
      <w:r>
        <w:rPr>
          <w:rFonts w:hint="eastAsia"/>
        </w:rPr>
        <w:tab/>
        <w:t>然而，非政府组织界说，“本组织的一般成员”和“一般妇女”颇不知情，不了解妇女事务局的宗旨、职能或工作。全国妇女组织认为：“如果妇女事务局经费更宽裕，增加更多工作人员，可以更提高妇女的个人和经济发展”。它还觉得由于该事务局的集权性质，“所有活动似乎都集中在局长一人身上”，对其工作产生了阻碍，因为“往往很难及时取得信息或协助”。</w:t>
      </w:r>
    </w:p>
    <w:p w:rsidR="00000000" w:rsidRDefault="00000000">
      <w:pPr>
        <w:pStyle w:val="SingleTxt"/>
        <w:rPr>
          <w:rFonts w:hint="eastAsia"/>
        </w:rPr>
      </w:pPr>
      <w:r>
        <w:rPr>
          <w:rFonts w:hint="eastAsia"/>
        </w:rPr>
        <w:tab/>
        <w:t>巴巴多斯的非政府组织最近成立了一个协调政策的总机构。这个机构是巴巴多斯非政府组织协会，代表成员3 000人。</w:t>
      </w:r>
    </w:p>
    <w:p w:rsidR="00000000" w:rsidRDefault="00000000">
      <w:pPr>
        <w:pStyle w:val="SingleTxt"/>
        <w:rPr>
          <w:rFonts w:ascii="SimHei" w:eastAsia="SimHei"/>
          <w:color w:val="FF0000"/>
        </w:rPr>
        <w:sectPr w:rsidR="00000000">
          <w:endnotePr>
            <w:numFmt w:val="decimal"/>
          </w:endnotePr>
          <w:pgSz w:w="12242" w:h="15842" w:code="1"/>
          <w:pgMar w:top="1742" w:right="1195" w:bottom="1898" w:left="1195" w:header="576" w:footer="1030" w:gutter="0"/>
          <w:cols w:space="425"/>
          <w:noEndnote/>
          <w:docGrid w:type="lines" w:linePitch="312"/>
        </w:sectPr>
      </w:pPr>
      <w:r>
        <w:rPr>
          <w:rFonts w:ascii="SimHei" w:eastAsia="SimHei" w:hint="eastAsia"/>
          <w:color w:val="FF0000"/>
        </w:rPr>
        <w:t>资料来源：全国妇女组织</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第1条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120"/>
        <w:ind w:left="1264" w:right="1264" w:hanging="1264"/>
        <w:rPr>
          <w:rFonts w:hint="eastAsia"/>
        </w:rPr>
      </w:pPr>
      <w:r>
        <w:tab/>
      </w:r>
      <w:r>
        <w:tab/>
      </w:r>
      <w:r>
        <w:rPr>
          <w:rFonts w:hint="eastAsia"/>
        </w:rPr>
        <w:t>‘对妇女的歧视’的定义</w:t>
      </w:r>
    </w:p>
    <w:p w:rsidR="00000000" w:rsidRDefault="00000000">
      <w:pPr>
        <w:pStyle w:val="SingleTxt"/>
        <w:rPr>
          <w:rFonts w:hint="eastAsia"/>
        </w:rPr>
      </w:pPr>
      <w:r>
        <w:tab/>
      </w:r>
      <w:r>
        <w:rPr>
          <w:rFonts w:hint="eastAsia"/>
        </w:rPr>
        <w:t>‘对妇女的歧视’一语没有具体的法律定义。法律规定不得因种族、出身、政治见解、肤色或信仰而有歧视。《宪法》不提性别表示妇女可以受歧视。</w:t>
      </w:r>
    </w:p>
    <w:p w:rsidR="00000000" w:rsidRDefault="00000000">
      <w:pPr>
        <w:pStyle w:val="SingleTxt"/>
        <w:rPr>
          <w:rFonts w:hint="eastAsia"/>
        </w:rPr>
      </w:pPr>
      <w:r>
        <w:tab/>
      </w:r>
      <w:r>
        <w:rPr>
          <w:rFonts w:hint="eastAsia"/>
        </w:rPr>
        <w:t>妇女事务局和非政府组织界继续鼓吹将性别列入《宪章》，以保证妇女不受歧视。这一点尚未实现。</w:t>
      </w:r>
    </w:p>
    <w:p w:rsidR="00000000" w:rsidRDefault="00000000">
      <w:pPr>
        <w:pStyle w:val="SingleTxt"/>
        <w:rPr>
          <w:rFonts w:hint="eastAsia"/>
        </w:rPr>
      </w:pPr>
      <w:r>
        <w:tab/>
      </w:r>
      <w:r>
        <w:rPr>
          <w:rFonts w:hint="eastAsia"/>
        </w:rPr>
        <w:t>1997年，宪法审查委员会建议新使用的语言应求性别中立。委员会特别提到目前《宪法》的第23节，规定保护个人不因某些原因遭受歧视，但其中不包括性别。委员会建议改变这一立场，并应将性别列入“歧视”定义的类别中。</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第2条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为消除歧视采取的法律和行政措施</w:t>
      </w:r>
    </w:p>
    <w:p w:rsidR="00000000" w:rsidRDefault="00000000">
      <w:pPr>
        <w:pStyle w:val="SingleTxt"/>
        <w:rPr>
          <w:rFonts w:hint="eastAsia"/>
        </w:rPr>
      </w:pPr>
      <w:r>
        <w:tab/>
      </w:r>
      <w:r>
        <w:rPr>
          <w:rFonts w:hint="eastAsia"/>
        </w:rPr>
        <w:t>审查期间通过了保证妇女不受歧视的以下法规。</w:t>
      </w:r>
    </w:p>
    <w:p w:rsidR="00000000" w:rsidRDefault="00000000">
      <w:pPr>
        <w:pStyle w:val="SingleTxt"/>
        <w:rPr>
          <w:rFonts w:hint="eastAsia"/>
        </w:rPr>
      </w:pPr>
      <w:r>
        <w:tab/>
      </w:r>
      <w:r>
        <w:rPr>
          <w:rFonts w:hint="eastAsia"/>
        </w:rPr>
        <w:t>《婚姻修正法》，1994年和《婚姻修正法》（第2号），1994年，其中将通过民政程序和教会程序缔结婚姻要求婚前三天取得住所的规定予以取消。</w:t>
      </w:r>
    </w:p>
    <w:p w:rsidR="00000000" w:rsidRDefault="00000000">
      <w:pPr>
        <w:pStyle w:val="SingleTxt"/>
        <w:rPr>
          <w:rFonts w:hint="eastAsia"/>
        </w:rPr>
      </w:pPr>
      <w:r>
        <w:tab/>
      </w:r>
      <w:r>
        <w:rPr>
          <w:rFonts w:hint="eastAsia"/>
        </w:rPr>
        <w:t>《商店法》，1996年。处理了保护妇女不受不公平就业的问题。</w:t>
      </w:r>
    </w:p>
    <w:p w:rsidR="00000000" w:rsidRDefault="00000000">
      <w:pPr>
        <w:pStyle w:val="SingleTxt"/>
        <w:rPr>
          <w:rFonts w:hint="eastAsia"/>
        </w:rPr>
      </w:pPr>
      <w:r>
        <w:rPr>
          <w:rFonts w:hint="eastAsia"/>
        </w:rPr>
        <w:t>妇女事务局仍然是政府处理妇女问题的联络点。除妇女事务局外，西印度群岛大学的性别和发展研究中心致力于培养个人发挥在非父权制社会中的作用。这一中心的工作有三个方面：教学、妇女问题研究和宣传。</w:t>
      </w:r>
    </w:p>
    <w:p w:rsidR="00000000" w:rsidRDefault="00000000">
      <w:pPr>
        <w:pStyle w:val="SingleTxt"/>
        <w:rPr>
          <w:rFonts w:hint="eastAsia"/>
        </w:rPr>
      </w:pPr>
      <w:r>
        <w:tab/>
      </w:r>
      <w:r>
        <w:rPr>
          <w:rFonts w:hint="eastAsia"/>
        </w:rPr>
        <w:t>该中心的活动与巴巴多斯的学术界和社会始终密切结合。它与妇女团体合作，促进妇女的利益，并通过它与妇女事务局的关系，影响国家政策的制订。该中心还参与编制新的课程，推动学术研究，以改造加勒比的性别关系性质。1994至1996年期间，六十名妇女接受了性别和发展培训。举办了一个为期一日的讲习班，中学程度的学员五十人参加了培训。讲习班的主题是：“性别和自尊——作出选择：学习生活技能”。作为培训的单元，该中心提供一项有关性别和发展问题研究的证书课程。审查期间，五十名妇女接受了培训。设立了调查员办公室，处理民众的委屈。</w:t>
      </w:r>
    </w:p>
    <w:p w:rsidR="00000000" w:rsidRDefault="00000000">
      <w:pPr>
        <w:pStyle w:val="SingleTxt"/>
        <w:rPr>
          <w:rFonts w:ascii="SimHei" w:eastAsia="SimHei" w:hint="eastAsia"/>
          <w:color w:val="FF0000"/>
        </w:rPr>
      </w:pPr>
      <w:r>
        <w:rPr>
          <w:rFonts w:ascii="SimHei" w:eastAsia="SimHei" w:hint="eastAsia"/>
          <w:color w:val="FF0000"/>
        </w:rPr>
        <w:t>资料来源：性别和发展研究中心</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第3和4条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确保妇女充分发展和进步并在与男子平等的基础上享有基本人权和</w:t>
      </w:r>
      <w:r>
        <w:br/>
      </w:r>
      <w:r>
        <w:rPr>
          <w:rFonts w:hint="eastAsia"/>
        </w:rPr>
        <w:t>基本自由的措施</w:t>
      </w:r>
    </w:p>
    <w:p w:rsidR="00000000" w:rsidRDefault="00000000">
      <w:pPr>
        <w:pStyle w:val="SingleTxt"/>
        <w:rPr>
          <w:rFonts w:hint="eastAsia"/>
        </w:rPr>
      </w:pPr>
      <w:r>
        <w:tab/>
      </w:r>
      <w:r>
        <w:rPr>
          <w:rFonts w:hint="eastAsia"/>
        </w:rPr>
        <w:t>巴巴多斯政府采取了一些积极步骤，以确保妇女的充分发展，并保证妇女在与男子平等的基础上享有人权和基本自由。</w:t>
      </w:r>
    </w:p>
    <w:p w:rsidR="00000000" w:rsidRDefault="00000000">
      <w:pPr>
        <w:pStyle w:val="SingleTxt"/>
        <w:rPr>
          <w:rFonts w:hint="eastAsia"/>
        </w:rPr>
      </w:pPr>
      <w:r>
        <w:tab/>
      </w:r>
      <w:r>
        <w:rPr>
          <w:rFonts w:hint="eastAsia"/>
        </w:rPr>
        <w:t>上次选举期间，在议会的二十八个席位中选出三名妇女。1989年的选举选出了一名妇女。在参议院中，1999年选举时，在二十一名参议员中选出七名女参议员，相对于1994年选举的二十一名参议员中，妇女占六名。这一进程中缺乏更多女性的原因可以归咎于男性与女性的社会化情况，同时也基于下述事实：政治角色与家庭角色似乎有矛盾。</w:t>
      </w:r>
    </w:p>
    <w:p w:rsidR="00000000" w:rsidRDefault="00000000">
      <w:pPr>
        <w:pStyle w:val="SingleTxt"/>
        <w:rPr>
          <w:rFonts w:hint="eastAsia"/>
        </w:rPr>
      </w:pPr>
      <w:r>
        <w:tab/>
      </w:r>
      <w:r>
        <w:rPr>
          <w:rFonts w:hint="eastAsia"/>
        </w:rPr>
        <w:t>在这一领域，社会方面仍有待努力，以确保妇女（尤其是家庭妇女）拥有平等机会。</w:t>
      </w:r>
    </w:p>
    <w:p w:rsidR="00000000" w:rsidRDefault="00000000">
      <w:pPr>
        <w:pStyle w:val="SingleTxt"/>
        <w:rPr>
          <w:rFonts w:ascii="SimHei" w:eastAsia="SimHei"/>
          <w:color w:val="FF0000"/>
        </w:rPr>
      </w:pPr>
      <w:r>
        <w:rPr>
          <w:rFonts w:ascii="SimHei" w:eastAsia="SimHei" w:hint="eastAsia"/>
          <w:color w:val="FF0000"/>
        </w:rPr>
        <w:t>资料来源：妇女事务局</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第5条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造成歧视和男女角色定型的社会和文化模式。</w:t>
      </w:r>
      <w:r>
        <w:br/>
      </w:r>
      <w:r>
        <w:rPr>
          <w:rFonts w:hint="eastAsia"/>
        </w:rPr>
        <w:t>男女共同教养子女的责任。</w:t>
      </w:r>
    </w:p>
    <w:p w:rsidR="00000000" w:rsidRDefault="00000000">
      <w:pPr>
        <w:pStyle w:val="SingleTxt"/>
        <w:rPr>
          <w:rFonts w:hint="eastAsia"/>
        </w:rPr>
      </w:pPr>
      <w:r>
        <w:tab/>
      </w:r>
      <w:r>
        <w:rPr>
          <w:rFonts w:hint="eastAsia"/>
        </w:rPr>
        <w:t>公共政策方面做了大量工作。从部分男性正承担更大责任教养子女这一事实可以看到一些成就，但人们仍认为教养子女主要是母亲的责任。这是由于：</w:t>
      </w:r>
    </w:p>
    <w:p w:rsidR="00000000" w:rsidRDefault="00000000">
      <w:pPr>
        <w:pStyle w:val="SingleTxt"/>
        <w:rPr>
          <w:rFonts w:hint="eastAsia"/>
        </w:rPr>
      </w:pPr>
      <w:r>
        <w:rPr>
          <w:rFonts w:hint="eastAsia"/>
        </w:rPr>
        <w:tab/>
      </w:r>
      <w:r>
        <w:t>a.</w:t>
      </w:r>
      <w:r>
        <w:tab/>
      </w:r>
      <w:r>
        <w:rPr>
          <w:rFonts w:hint="eastAsia"/>
        </w:rPr>
        <w:t>男女在家庭中的社会化状况；</w:t>
      </w:r>
    </w:p>
    <w:p w:rsidR="00000000" w:rsidRDefault="00000000">
      <w:pPr>
        <w:pStyle w:val="SingleTxt"/>
        <w:rPr>
          <w:rFonts w:hint="eastAsia"/>
        </w:rPr>
      </w:pPr>
      <w:r>
        <w:rPr>
          <w:rFonts w:hint="eastAsia"/>
        </w:rPr>
        <w:tab/>
      </w:r>
      <w:r>
        <w:t>b.</w:t>
      </w:r>
      <w:r>
        <w:tab/>
      </w:r>
      <w:r>
        <w:rPr>
          <w:rFonts w:hint="eastAsia"/>
        </w:rPr>
        <w:t>学校和其它机构的现有偏见，仍然视妇女为主要照顾者并继续将妇女定</w:t>
      </w:r>
      <w:r>
        <w:rPr>
          <w:rFonts w:hint="eastAsia"/>
        </w:rPr>
        <w:tab/>
      </w:r>
      <w:r>
        <w:rPr>
          <w:rFonts w:hint="eastAsia"/>
        </w:rPr>
        <w:tab/>
        <w:t>型于这一角色；</w:t>
      </w:r>
    </w:p>
    <w:p w:rsidR="00000000" w:rsidRDefault="00000000">
      <w:pPr>
        <w:pStyle w:val="SingleTxt"/>
        <w:rPr>
          <w:rFonts w:hint="eastAsia"/>
        </w:rPr>
      </w:pPr>
      <w:r>
        <w:rPr>
          <w:rFonts w:hint="eastAsia"/>
        </w:rPr>
        <w:tab/>
      </w:r>
      <w:r>
        <w:t>c.</w:t>
      </w:r>
      <w:r>
        <w:tab/>
      </w:r>
      <w:r>
        <w:rPr>
          <w:rFonts w:hint="eastAsia"/>
        </w:rPr>
        <w:t>父亲被视为外人，在家庭中担任边缘任务。</w:t>
      </w:r>
    </w:p>
    <w:p w:rsidR="00000000" w:rsidRDefault="00000000">
      <w:pPr>
        <w:pStyle w:val="SingleTxt"/>
        <w:rPr>
          <w:rFonts w:hint="eastAsia"/>
        </w:rPr>
      </w:pPr>
      <w:r>
        <w:tab/>
      </w:r>
      <w:r>
        <w:rPr>
          <w:rFonts w:hint="eastAsia"/>
        </w:rPr>
        <w:t>在照顾和培养子女方面，父亲越来越被视为应与母亲一样负同等责任。单亲父亲与单亲母亲一样成为正常标准。法庭判决双亲共同监护权的做法日益普遍。</w:t>
      </w:r>
    </w:p>
    <w:p w:rsidR="00000000" w:rsidRDefault="00000000">
      <w:pPr>
        <w:pStyle w:val="SingleTxt"/>
        <w:rPr>
          <w:rFonts w:hint="eastAsia"/>
        </w:rPr>
      </w:pPr>
      <w:r>
        <w:tab/>
      </w:r>
      <w:r>
        <w:rPr>
          <w:rFonts w:hint="eastAsia"/>
        </w:rPr>
        <w:t>双亲教育促进发展组织确认目前进行的双亲教育活动有其必要，该组织争取：</w:t>
      </w:r>
    </w:p>
    <w:p w:rsidR="00000000" w:rsidRDefault="00000000">
      <w:pPr>
        <w:pStyle w:val="SingleTxt"/>
        <w:rPr>
          <w:rFonts w:hint="eastAsia"/>
        </w:rPr>
      </w:pPr>
      <w:r>
        <w:rPr>
          <w:rFonts w:hint="eastAsia"/>
        </w:rPr>
        <w:tab/>
      </w:r>
      <w:r>
        <w:t>(a)</w:t>
      </w:r>
      <w:r>
        <w:rPr>
          <w:rFonts w:hint="eastAsia"/>
        </w:rPr>
        <w:tab/>
        <w:t>提高公众的认识水平，了解沟通与解决问题作为有效的教养子女技巧的</w:t>
      </w:r>
      <w:r>
        <w:rPr>
          <w:rFonts w:hint="eastAsia"/>
        </w:rPr>
        <w:tab/>
      </w:r>
      <w:r>
        <w:rPr>
          <w:rFonts w:hint="eastAsia"/>
        </w:rPr>
        <w:tab/>
        <w:t>价值；</w:t>
      </w:r>
    </w:p>
    <w:p w:rsidR="00000000" w:rsidRDefault="00000000">
      <w:pPr>
        <w:pStyle w:val="SingleTxt"/>
        <w:rPr>
          <w:rFonts w:hint="eastAsia"/>
        </w:rPr>
      </w:pPr>
      <w:r>
        <w:rPr>
          <w:rFonts w:hint="eastAsia"/>
        </w:rPr>
        <w:tab/>
      </w:r>
      <w:r>
        <w:t>(b)</w:t>
      </w:r>
      <w:r>
        <w:rPr>
          <w:rFonts w:hint="eastAsia"/>
        </w:rPr>
        <w:tab/>
        <w:t>教育家长、监护人、照顾者和教师学习沟通技巧；</w:t>
      </w:r>
    </w:p>
    <w:p w:rsidR="00000000" w:rsidRDefault="00000000">
      <w:pPr>
        <w:pStyle w:val="SingleTxt"/>
        <w:rPr>
          <w:rFonts w:hint="eastAsia"/>
        </w:rPr>
      </w:pPr>
      <w:r>
        <w:rPr>
          <w:rFonts w:hint="eastAsia"/>
        </w:rPr>
        <w:tab/>
      </w:r>
      <w:r>
        <w:t>(c)</w:t>
      </w:r>
      <w:r>
        <w:rPr>
          <w:rFonts w:hint="eastAsia"/>
        </w:rPr>
        <w:tab/>
        <w:t>通过综合全国信息、教育和培训方案，改进家庭生活品质。这一方案争</w:t>
      </w:r>
      <w:r>
        <w:rPr>
          <w:rFonts w:hint="eastAsia"/>
        </w:rPr>
        <w:tab/>
      </w:r>
      <w:r>
        <w:rPr>
          <w:rFonts w:hint="eastAsia"/>
        </w:rPr>
        <w:tab/>
        <w:t>取影响的是年幼子女的双亲，也设法触及男性人口。</w:t>
      </w:r>
    </w:p>
    <w:p w:rsidR="00000000" w:rsidRDefault="00000000">
      <w:pPr>
        <w:pStyle w:val="SingleTxt"/>
        <w:rPr>
          <w:rFonts w:hint="eastAsia"/>
        </w:rPr>
      </w:pPr>
      <w:r>
        <w:tab/>
      </w:r>
      <w:r>
        <w:rPr>
          <w:rFonts w:hint="eastAsia"/>
        </w:rPr>
        <w:t>成功家长培训方案向男女双方提供有关重要沟通和解决问题技巧的教学，试图加强亲子关系。</w:t>
      </w:r>
    </w:p>
    <w:p w:rsidR="00000000" w:rsidRDefault="00000000">
      <w:pPr>
        <w:pStyle w:val="SingleTxt"/>
        <w:rPr>
          <w:rFonts w:hint="eastAsia"/>
        </w:rPr>
      </w:pPr>
      <w:r>
        <w:tab/>
      </w:r>
      <w:r>
        <w:rPr>
          <w:rFonts w:hint="eastAsia"/>
        </w:rPr>
        <w:t>认为父亲照顾子女这一新观点对于新生儿的情感和生理发展十分重要。</w:t>
      </w:r>
    </w:p>
    <w:p w:rsidR="00000000" w:rsidRDefault="00000000">
      <w:pPr>
        <w:pStyle w:val="SingleTxt"/>
        <w:rPr>
          <w:rFonts w:ascii="SimHei" w:eastAsia="SimHei"/>
          <w:color w:val="FF0000"/>
        </w:rPr>
      </w:pPr>
      <w:r>
        <w:rPr>
          <w:rFonts w:ascii="SimHei" w:eastAsia="SimHei" w:hint="eastAsia"/>
          <w:color w:val="FF0000"/>
        </w:rPr>
        <w:t>资料来源：儿童照顾委员会</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第6条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制止贩卖妇女和剥削妇女从事卖淫</w:t>
      </w:r>
    </w:p>
    <w:p w:rsidR="00000000" w:rsidRDefault="00000000">
      <w:pPr>
        <w:pStyle w:val="SingleTxt"/>
        <w:rPr>
          <w:rFonts w:hint="eastAsia"/>
        </w:rPr>
      </w:pPr>
      <w:r>
        <w:tab/>
      </w:r>
      <w:r>
        <w:rPr>
          <w:rFonts w:hint="eastAsia"/>
        </w:rPr>
        <w:t>巴巴多斯社会仍视妓女为道德败坏的人。1992年制定《性犯罪法》，以防止贩卖妇女和女孩。</w:t>
      </w:r>
    </w:p>
    <w:p w:rsidR="00000000" w:rsidRDefault="00000000">
      <w:pPr>
        <w:pStyle w:val="SingleTxt"/>
        <w:rPr>
          <w:rFonts w:hint="eastAsia"/>
        </w:rPr>
      </w:pPr>
      <w:r>
        <w:tab/>
      </w:r>
      <w:r>
        <w:rPr>
          <w:rFonts w:hint="eastAsia"/>
        </w:rPr>
        <w:t>彻底消灭卖淫仍未实现。</w:t>
      </w:r>
    </w:p>
    <w:p w:rsidR="00000000" w:rsidRDefault="00000000">
      <w:pPr>
        <w:pStyle w:val="SingleTxt"/>
        <w:rPr>
          <w:rFonts w:hint="eastAsia"/>
        </w:rPr>
      </w:pPr>
      <w:r>
        <w:tab/>
      </w:r>
      <w:r>
        <w:rPr>
          <w:rFonts w:hint="eastAsia"/>
        </w:rPr>
        <w:t>部分妓女陷入淫业似乎是由于教育不足。就业困难和贫困。此外，日益强调旅游业作为赚取外汇的手段也推动了性企业，因为有大量游客以金钱交换与本地人进行性活动。</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第7条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消除政治和公共生活中对妇女的歧视</w:t>
      </w:r>
    </w:p>
    <w:p w:rsidR="00000000" w:rsidRDefault="00000000">
      <w:pPr>
        <w:pStyle w:val="SingleTxt"/>
        <w:rPr>
          <w:rFonts w:hint="eastAsia"/>
        </w:rPr>
      </w:pPr>
      <w:r>
        <w:tab/>
      </w:r>
      <w:r>
        <w:rPr>
          <w:rFonts w:hint="eastAsia"/>
        </w:rPr>
        <w:t>《巴巴多斯宪法》对妇女参与公共和政治生活不设任何障碍。妇女自1943年开始取得投票权。妇女有权担任公职并在与男子平等条件下行使依国家法律制定的所有公共职务。</w:t>
      </w:r>
    </w:p>
    <w:p w:rsidR="00000000" w:rsidRDefault="00000000">
      <w:pPr>
        <w:pStyle w:val="SingleTxt"/>
        <w:rPr>
          <w:rFonts w:hint="eastAsia"/>
        </w:rPr>
      </w:pPr>
      <w:r>
        <w:tab/>
      </w:r>
      <w:r>
        <w:rPr>
          <w:rFonts w:hint="eastAsia"/>
        </w:rPr>
        <w:t>妇女参与选举职位远不及男子，她们的政治参与限于选举绝大部分为男性的候选人。</w:t>
      </w:r>
    </w:p>
    <w:p w:rsidR="00000000" w:rsidRDefault="00000000">
      <w:pPr>
        <w:pStyle w:val="SingleTxt"/>
        <w:rPr>
          <w:rFonts w:hint="eastAsia"/>
        </w:rPr>
      </w:pPr>
      <w:r>
        <w:tab/>
      </w:r>
      <w:r>
        <w:rPr>
          <w:rFonts w:hint="eastAsia"/>
        </w:rPr>
        <w:t>巴巴多斯妇女被视为应为其配偶、子女和老年家人的福利负责。因此，妇女已无多少时间积极参与政治生活。此外，妇女似乎不能靠自己投入政治，因为她们很难为自己的政治事业争取家庭、公众、道义和财政支持。妇女很少支持其他妇女参政，选举时宁愿支持男性。</w:t>
      </w:r>
    </w:p>
    <w:p w:rsidR="00000000" w:rsidRDefault="00000000">
      <w:pPr>
        <w:pStyle w:val="SingleTxt"/>
        <w:rPr>
          <w:rFonts w:hint="eastAsia"/>
        </w:rPr>
      </w:pPr>
      <w:r>
        <w:tab/>
      </w:r>
      <w:r>
        <w:rPr>
          <w:rFonts w:hint="eastAsia"/>
        </w:rPr>
        <w:t>1994年选举时妇女积极参政的人数有所增加。那次选举中，选出妇女3名，上次选举只有1人。</w:t>
      </w:r>
    </w:p>
    <w:p w:rsidR="00000000" w:rsidRDefault="00000000">
      <w:pPr>
        <w:pStyle w:val="SingleTxt"/>
        <w:rPr>
          <w:rFonts w:ascii="SimHei" w:eastAsia="SimHei" w:hint="eastAsia"/>
          <w:color w:val="FF0000"/>
          <w:sz w:val="24"/>
        </w:rPr>
      </w:pPr>
      <w:r>
        <w:rPr>
          <w:rFonts w:ascii="SimHei" w:eastAsia="SimHei" w:hint="eastAsia"/>
          <w:color w:val="FF0000"/>
          <w:sz w:val="24"/>
        </w:rPr>
        <w:t>1999年巴巴多斯妇女担任高级职位情况</w:t>
      </w:r>
    </w:p>
    <w:tbl>
      <w:tblPr>
        <w:tblW w:w="0" w:type="auto"/>
        <w:tblInd w:w="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363"/>
        <w:gridCol w:w="945"/>
        <w:gridCol w:w="945"/>
        <w:gridCol w:w="945"/>
        <w:gridCol w:w="1117"/>
      </w:tblGrid>
      <w:tr w:rsidR="00000000">
        <w:tblPrEx>
          <w:tblCellMar>
            <w:top w:w="0" w:type="dxa"/>
            <w:bottom w:w="0" w:type="dxa"/>
          </w:tblCellMar>
        </w:tblPrEx>
        <w:trPr>
          <w:cantSplit/>
        </w:trPr>
        <w:tc>
          <w:tcPr>
            <w:tcW w:w="3363" w:type="dxa"/>
          </w:tcPr>
          <w:p w:rsidR="00000000" w:rsidRDefault="00000000">
            <w:pPr>
              <w:pStyle w:val="H1"/>
              <w:rPr>
                <w:rFonts w:ascii="KaiTi_GB2312" w:eastAsia="KaiTi_GB2312" w:hint="eastAsia"/>
                <w:color w:val="0000FF"/>
                <w:sz w:val="15"/>
              </w:rPr>
            </w:pPr>
            <w:r>
              <w:rPr>
                <w:rFonts w:ascii="KaiTi_GB2312" w:eastAsia="KaiTi_GB2312" w:hint="eastAsia"/>
                <w:color w:val="0000FF"/>
                <w:sz w:val="15"/>
              </w:rPr>
              <w:t xml:space="preserve">  职位名称</w:t>
            </w:r>
          </w:p>
        </w:tc>
        <w:tc>
          <w:tcPr>
            <w:tcW w:w="945" w:type="dxa"/>
          </w:tcPr>
          <w:p w:rsidR="00000000" w:rsidRDefault="00000000">
            <w:pPr>
              <w:pStyle w:val="H1"/>
              <w:jc w:val="right"/>
              <w:rPr>
                <w:rFonts w:ascii="KaiTi_GB2312" w:eastAsia="KaiTi_GB2312" w:hint="eastAsia"/>
                <w:color w:val="0000FF"/>
                <w:sz w:val="15"/>
              </w:rPr>
            </w:pPr>
            <w:r>
              <w:rPr>
                <w:rFonts w:ascii="KaiTi_GB2312" w:eastAsia="KaiTi_GB2312" w:hint="eastAsia"/>
                <w:color w:val="0000FF"/>
                <w:sz w:val="15"/>
              </w:rPr>
              <w:t>男</w:t>
            </w:r>
          </w:p>
        </w:tc>
        <w:tc>
          <w:tcPr>
            <w:tcW w:w="945" w:type="dxa"/>
          </w:tcPr>
          <w:p w:rsidR="00000000" w:rsidRDefault="00000000">
            <w:pPr>
              <w:pStyle w:val="H1"/>
              <w:jc w:val="right"/>
              <w:rPr>
                <w:rFonts w:ascii="KaiTi_GB2312" w:eastAsia="KaiTi_GB2312" w:hint="eastAsia"/>
                <w:color w:val="0000FF"/>
                <w:sz w:val="15"/>
              </w:rPr>
            </w:pPr>
            <w:r>
              <w:rPr>
                <w:rFonts w:ascii="KaiTi_GB2312" w:eastAsia="KaiTi_GB2312" w:hint="eastAsia"/>
                <w:color w:val="0000FF"/>
                <w:sz w:val="15"/>
              </w:rPr>
              <w:t>女</w:t>
            </w:r>
          </w:p>
        </w:tc>
        <w:tc>
          <w:tcPr>
            <w:tcW w:w="945" w:type="dxa"/>
          </w:tcPr>
          <w:p w:rsidR="00000000" w:rsidRDefault="00000000">
            <w:pPr>
              <w:pStyle w:val="H1"/>
              <w:jc w:val="right"/>
              <w:rPr>
                <w:rFonts w:ascii="KaiTi_GB2312" w:eastAsia="KaiTi_GB2312" w:hint="eastAsia"/>
                <w:color w:val="0000FF"/>
                <w:sz w:val="15"/>
              </w:rPr>
            </w:pPr>
            <w:r>
              <w:rPr>
                <w:rFonts w:ascii="KaiTi_GB2312" w:eastAsia="KaiTi_GB2312" w:hint="eastAsia"/>
                <w:color w:val="0000FF"/>
                <w:sz w:val="15"/>
              </w:rPr>
              <w:t>共计</w:t>
            </w:r>
          </w:p>
        </w:tc>
        <w:tc>
          <w:tcPr>
            <w:tcW w:w="1117" w:type="dxa"/>
          </w:tcPr>
          <w:p w:rsidR="00000000" w:rsidRDefault="00000000">
            <w:pPr>
              <w:pStyle w:val="H1"/>
              <w:jc w:val="right"/>
              <w:rPr>
                <w:rFonts w:ascii="KaiTi_GB2312" w:eastAsia="KaiTi_GB2312" w:hint="eastAsia"/>
                <w:color w:val="0000FF"/>
                <w:sz w:val="15"/>
              </w:rPr>
            </w:pPr>
            <w:r>
              <w:rPr>
                <w:rFonts w:ascii="KaiTi_GB2312" w:eastAsia="KaiTi_GB2312" w:hint="eastAsia"/>
                <w:color w:val="0000FF"/>
                <w:sz w:val="15"/>
              </w:rPr>
              <w:t>女性％</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常务秘书</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19</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22</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13.6</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议会秘书</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2</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33.3</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当选议员</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25</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28</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10.7</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参议员</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14</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7</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21</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33.3</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高等法院法官</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5</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6</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16.6</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上诉法院法官</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0</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0</w:t>
            </w:r>
          </w:p>
        </w:tc>
      </w:tr>
      <w:tr w:rsidR="00000000">
        <w:tblPrEx>
          <w:tblCellMar>
            <w:top w:w="0" w:type="dxa"/>
            <w:bottom w:w="0" w:type="dxa"/>
          </w:tblCellMar>
        </w:tblPrEx>
        <w:trPr>
          <w:cantSplit/>
        </w:trPr>
        <w:tc>
          <w:tcPr>
            <w:tcW w:w="3363" w:type="dxa"/>
          </w:tcPr>
          <w:p w:rsidR="00000000" w:rsidRDefault="00000000">
            <w:pPr>
              <w:pStyle w:val="H1"/>
              <w:rPr>
                <w:rFonts w:ascii="SimSun" w:eastAsia="SimSun" w:hint="eastAsia"/>
                <w:color w:val="auto"/>
                <w:sz w:val="16"/>
              </w:rPr>
            </w:pPr>
            <w:r>
              <w:rPr>
                <w:rFonts w:ascii="SimSun" w:eastAsia="SimSun" w:hint="eastAsia"/>
                <w:color w:val="auto"/>
                <w:sz w:val="16"/>
              </w:rPr>
              <w:t xml:space="preserve">  地方官</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5</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w:t>
            </w:r>
          </w:p>
        </w:tc>
        <w:tc>
          <w:tcPr>
            <w:tcW w:w="945"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8</w:t>
            </w:r>
          </w:p>
        </w:tc>
        <w:tc>
          <w:tcPr>
            <w:tcW w:w="1117" w:type="dxa"/>
          </w:tcPr>
          <w:p w:rsidR="00000000" w:rsidRDefault="00000000">
            <w:pPr>
              <w:pStyle w:val="H1"/>
              <w:ind w:right="28"/>
              <w:jc w:val="right"/>
              <w:rPr>
                <w:rFonts w:ascii="SimSun" w:eastAsia="SimSun" w:hint="eastAsia"/>
                <w:color w:val="auto"/>
                <w:sz w:val="16"/>
              </w:rPr>
            </w:pPr>
            <w:r>
              <w:rPr>
                <w:rFonts w:ascii="SimSun" w:eastAsia="SimSun" w:hint="eastAsia"/>
                <w:color w:val="auto"/>
                <w:sz w:val="16"/>
              </w:rPr>
              <w:t>37.5</w:t>
            </w:r>
          </w:p>
        </w:tc>
      </w:tr>
    </w:tbl>
    <w:p w:rsidR="00000000" w:rsidRDefault="00000000">
      <w:pPr>
        <w:pStyle w:val="SingleTxt"/>
        <w:rPr>
          <w:sz w:val="16"/>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br w:type="page"/>
      </w:r>
      <w:r>
        <w:tab/>
      </w:r>
      <w:r>
        <w:tab/>
      </w:r>
      <w:r>
        <w:rPr>
          <w:rFonts w:hint="eastAsia"/>
        </w:rPr>
        <w:t>第8条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享有与男子平等机会担任政府在国际上的代表和参加国际组织的工作</w:t>
      </w:r>
    </w:p>
    <w:p w:rsidR="00000000" w:rsidRDefault="00000000">
      <w:pPr>
        <w:pStyle w:val="SingleTxt"/>
        <w:rPr>
          <w:rFonts w:hint="eastAsia"/>
        </w:rPr>
      </w:pPr>
      <w:r>
        <w:tab/>
      </w:r>
      <w:r>
        <w:rPr>
          <w:rFonts w:hint="eastAsia"/>
        </w:rPr>
        <w:t>法律上不阻止妇女在国际上代表国家。这一领域男女权利相同。大使馆和国际机构的妇女任命仍然在比例上低于男性。</w:t>
      </w:r>
    </w:p>
    <w:p w:rsidR="00000000" w:rsidRDefault="00000000">
      <w:pPr>
        <w:pStyle w:val="SingleTxt"/>
        <w:rPr>
          <w:rFonts w:hint="eastAsia"/>
        </w:rPr>
      </w:pPr>
      <w:r>
        <w:tab/>
      </w:r>
      <w:r>
        <w:rPr>
          <w:rFonts w:hint="eastAsia"/>
        </w:rPr>
        <w:t>然而，妇女在国际上确实代表巴巴多斯。目前有一位女副总理，她同时兼任外交部长。</w:t>
      </w:r>
    </w:p>
    <w:p w:rsidR="00000000" w:rsidRDefault="00000000">
      <w:pPr>
        <w:pStyle w:val="SingleTxt"/>
      </w:pPr>
      <w:r>
        <w:tab/>
      </w:r>
      <w:r>
        <w:rPr>
          <w:rFonts w:hint="eastAsia"/>
        </w:rPr>
        <w:t>巴巴多斯外交部目前有四位代表团团长（其中一位为代理）和一位副团长。</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第9条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取得、改变或保留国籍的同等权利</w:t>
      </w:r>
    </w:p>
    <w:p w:rsidR="00000000" w:rsidRDefault="00000000">
      <w:pPr>
        <w:pStyle w:val="SingleTxt"/>
        <w:rPr>
          <w:rFonts w:hint="eastAsia"/>
        </w:rPr>
      </w:pPr>
      <w:r>
        <w:tab/>
      </w:r>
      <w:r>
        <w:rPr>
          <w:rFonts w:hint="eastAsia"/>
        </w:rPr>
        <w:t>依照《宪法》成为巴巴多斯公民的方式如下：</w:t>
      </w:r>
    </w:p>
    <w:p w:rsidR="00000000" w:rsidRDefault="00000000">
      <w:pPr>
        <w:pStyle w:val="SingleTxt"/>
        <w:rPr>
          <w:rFonts w:hint="eastAsia"/>
        </w:rPr>
      </w:pPr>
      <w:r>
        <w:tab/>
      </w:r>
      <w:r>
        <w:rPr>
          <w:rFonts w:hint="eastAsia"/>
        </w:rPr>
        <w:t>-</w:t>
      </w:r>
      <w:r>
        <w:rPr>
          <w:rFonts w:hint="eastAsia"/>
        </w:rPr>
        <w:tab/>
        <w:t>在巴巴多斯出生——不适用于父母非巴巴多斯公民而享有外交豁免权</w:t>
      </w:r>
      <w:r>
        <w:tab/>
      </w:r>
      <w:r>
        <w:tab/>
      </w:r>
      <w:r>
        <w:rPr>
          <w:rFonts w:hint="eastAsia"/>
        </w:rPr>
        <w:t>者。</w:t>
      </w:r>
    </w:p>
    <w:p w:rsidR="00000000" w:rsidRDefault="00000000">
      <w:pPr>
        <w:pStyle w:val="SingleTxt"/>
        <w:rPr>
          <w:rFonts w:hint="eastAsia"/>
        </w:rPr>
      </w:pPr>
      <w:r>
        <w:tab/>
      </w:r>
      <w:r>
        <w:rPr>
          <w:rFonts w:hint="eastAsia"/>
        </w:rPr>
        <w:t>-</w:t>
      </w:r>
      <w:r>
        <w:rPr>
          <w:rFonts w:hint="eastAsia"/>
        </w:rPr>
        <w:tab/>
        <w:t>根据出身——父为巴巴多斯人，或非婚生子女，但母为巴巴多斯人。</w:t>
      </w:r>
    </w:p>
    <w:p w:rsidR="00000000" w:rsidRDefault="00000000">
      <w:pPr>
        <w:pStyle w:val="SingleTxt"/>
        <w:rPr>
          <w:rFonts w:hint="eastAsia"/>
        </w:rPr>
      </w:pPr>
      <w:r>
        <w:tab/>
      </w:r>
      <w:r>
        <w:rPr>
          <w:rFonts w:hint="eastAsia"/>
        </w:rPr>
        <w:t>-</w:t>
      </w:r>
      <w:r>
        <w:rPr>
          <w:rFonts w:hint="eastAsia"/>
        </w:rPr>
        <w:tab/>
        <w:t>根据登记——巴巴多斯人的妻子可以登记成为公民，但须通过国家安全</w:t>
      </w:r>
      <w:r>
        <w:tab/>
      </w:r>
      <w:r>
        <w:tab/>
      </w:r>
      <w:r>
        <w:rPr>
          <w:rFonts w:hint="eastAsia"/>
        </w:rPr>
        <w:t>或公共政策的审查。</w:t>
      </w:r>
    </w:p>
    <w:p w:rsidR="00000000" w:rsidRDefault="00000000">
      <w:pPr>
        <w:pStyle w:val="SingleTxt"/>
        <w:rPr>
          <w:rFonts w:hint="eastAsia"/>
        </w:rPr>
      </w:pPr>
      <w:r>
        <w:rPr>
          <w:rFonts w:hint="eastAsia"/>
        </w:rPr>
        <w:tab/>
        <w:t>不同性别在《巴巴多斯公民法》中有很大的作用。该法含有的性别歧视因素不仅影响女性，也影响男性。</w:t>
      </w:r>
    </w:p>
    <w:p w:rsidR="00000000" w:rsidRDefault="00000000">
      <w:pPr>
        <w:pStyle w:val="SingleTxt"/>
        <w:rPr>
          <w:rFonts w:hint="eastAsia"/>
        </w:rPr>
      </w:pPr>
      <w:r>
        <w:tab/>
      </w:r>
      <w:r>
        <w:rPr>
          <w:rFonts w:hint="eastAsia"/>
        </w:rPr>
        <w:t>一名与女性公民结婚的男性非公民享有公民权。母亲决定非婚生子女的公民权。因此，女公民与非公民结婚所生子女，如子女不在巴巴多斯出生，不能根据出身自动取得公民权。</w:t>
      </w:r>
    </w:p>
    <w:p w:rsidR="00000000" w:rsidRDefault="00000000">
      <w:pPr>
        <w:pStyle w:val="SingleTxt"/>
        <w:rPr>
          <w:rFonts w:ascii="SimHei" w:eastAsia="SimHei"/>
          <w:color w:val="FF0000"/>
        </w:rPr>
      </w:pPr>
      <w:r>
        <w:rPr>
          <w:rFonts w:ascii="SimHei" w:eastAsia="SimHei" w:hint="eastAsia"/>
          <w:color w:val="FF0000"/>
        </w:rPr>
        <w:t>资料来源：《巴巴多斯宪法》。</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第10条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消除教育领域对妇女的歧视</w:t>
      </w:r>
    </w:p>
    <w:p w:rsidR="00000000" w:rsidRDefault="00000000">
      <w:pPr>
        <w:pStyle w:val="SingleTxt"/>
        <w:rPr>
          <w:rFonts w:hint="eastAsia"/>
        </w:rPr>
      </w:pPr>
      <w:r>
        <w:t>(1)</w:t>
      </w:r>
      <w:r>
        <w:tab/>
      </w:r>
      <w:r>
        <w:rPr>
          <w:rFonts w:hint="eastAsia"/>
        </w:rPr>
        <w:t>每一年度向中学男女学生提供事业和职业指导课、事业规划日、事业规划研讨会和示范课。中学男女学生每年此时选择考试课题和各种方式，探讨有关事业规划和有关就业职位的信息。这些课程不分性别，帮助所有学生进行生涯规划。</w:t>
      </w:r>
    </w:p>
    <w:p w:rsidR="00000000" w:rsidRDefault="00000000">
      <w:pPr>
        <w:pStyle w:val="SingleTxt"/>
        <w:rPr>
          <w:rFonts w:hint="eastAsia"/>
        </w:rPr>
      </w:pPr>
      <w:r>
        <w:t>(2)</w:t>
      </w:r>
      <w:r>
        <w:tab/>
      </w:r>
      <w:r>
        <w:rPr>
          <w:rFonts w:hint="eastAsia"/>
        </w:rPr>
        <w:t>多数学校为男女合校。巴巴多斯的二十三所公立中学中有二十一所男女合校。</w:t>
      </w:r>
    </w:p>
    <w:p w:rsidR="00000000" w:rsidRDefault="00000000">
      <w:pPr>
        <w:pStyle w:val="SingleTxt"/>
        <w:rPr>
          <w:rFonts w:hint="eastAsia"/>
        </w:rPr>
      </w:pPr>
      <w:r>
        <w:tab/>
      </w:r>
      <w:r>
        <w:rPr>
          <w:rFonts w:hint="eastAsia"/>
        </w:rPr>
        <w:t>教师了解性别偏见引起的各种问题，他们保证选定的教科书不带性别偏见。如有任何带性别偏见的课本，即在教室和专业层次与各科主任及出版商设法解决。</w:t>
      </w:r>
    </w:p>
    <w:p w:rsidR="00000000" w:rsidRDefault="00000000">
      <w:pPr>
        <w:pStyle w:val="SingleTxt"/>
        <w:rPr>
          <w:rFonts w:hint="eastAsia"/>
        </w:rPr>
      </w:pPr>
      <w:r>
        <w:tab/>
      </w:r>
      <w:r>
        <w:rPr>
          <w:rFonts w:hint="eastAsia"/>
        </w:rPr>
        <w:t>奖学金、助学金和接受成人教育的机会方面不存在歧视。</w:t>
      </w:r>
    </w:p>
    <w:p w:rsidR="00000000" w:rsidRDefault="00000000">
      <w:pPr>
        <w:pStyle w:val="SingleTxt"/>
        <w:rPr>
          <w:rFonts w:hint="eastAsia"/>
        </w:rPr>
      </w:pPr>
      <w:r>
        <w:tab/>
      </w:r>
      <w:r>
        <w:rPr>
          <w:rFonts w:hint="eastAsia"/>
        </w:rPr>
        <w:t>在体育运动领域，特别是田径、无档板篮球和排球，男女都有机会参加全国和国际比赛。</w:t>
      </w:r>
    </w:p>
    <w:p w:rsidR="00000000" w:rsidRDefault="00000000">
      <w:pPr>
        <w:pStyle w:val="SingleTxt"/>
        <w:rPr>
          <w:rFonts w:hint="eastAsia"/>
        </w:rPr>
      </w:pPr>
      <w:r>
        <w:t>(3)</w:t>
      </w:r>
      <w:r>
        <w:tab/>
      </w:r>
      <w:r>
        <w:rPr>
          <w:rFonts w:hint="eastAsia"/>
        </w:rPr>
        <w:t>负责学生上学的官员作出了一些努力，以减少女学生缀学率，他们经常检查学校的出席率登记；对于经常缺课的学生，他们找家长谈。必要时把资料送交有关机构，协助学生迅速恢复上学；这些官员对公众报告的缺课情况进行调查并做后续工作；他们找学生谈话，让学生了解上学的重要性。</w:t>
      </w:r>
    </w:p>
    <w:p w:rsidR="00000000" w:rsidRDefault="00000000">
      <w:pPr>
        <w:pStyle w:val="SingleTxt"/>
        <w:rPr>
          <w:rFonts w:hint="eastAsia"/>
        </w:rPr>
      </w:pPr>
      <w:r>
        <w:t>(4)</w:t>
      </w:r>
      <w:r>
        <w:tab/>
      </w:r>
      <w:r>
        <w:rPr>
          <w:rFonts w:hint="eastAsia"/>
        </w:rPr>
        <w:t>过去四十年来，巴巴多斯始终站在前列，提供保健和家庭生活教育，并通过巴巴多斯计划生育协会提供信息。</w:t>
      </w:r>
    </w:p>
    <w:p w:rsidR="00000000" w:rsidRDefault="00000000">
      <w:pPr>
        <w:pStyle w:val="SingleTxt"/>
        <w:rPr>
          <w:rFonts w:hint="eastAsia"/>
        </w:rPr>
      </w:pPr>
      <w:r>
        <w:tab/>
      </w:r>
      <w:r>
        <w:rPr>
          <w:rFonts w:hint="eastAsia"/>
        </w:rPr>
        <w:t>战略性地分布于全岛的多科联合诊所利用受过家庭生活教育者训练的护士提供保健和家庭生活教育。最近，设立了艾滋病教育信息中心，就艾滋病毒/艾滋病的严重威胁教育公众。</w:t>
      </w:r>
    </w:p>
    <w:p w:rsidR="00000000" w:rsidRDefault="00000000">
      <w:pPr>
        <w:pStyle w:val="SingleTxt"/>
        <w:rPr>
          <w:rFonts w:hint="eastAsia"/>
        </w:rPr>
      </w:pPr>
      <w:r>
        <w:tab/>
      </w:r>
      <w:r>
        <w:rPr>
          <w:rFonts w:hint="eastAsia"/>
        </w:rPr>
        <w:t>公立中小学利用了这些机构的人力资源。</w:t>
      </w:r>
    </w:p>
    <w:p w:rsidR="00000000" w:rsidRDefault="00000000">
      <w:pPr>
        <w:pStyle w:val="SingleTxt"/>
        <w:rPr>
          <w:rFonts w:hint="eastAsia"/>
        </w:rPr>
      </w:pPr>
      <w:r>
        <w:t>(5)</w:t>
      </w:r>
      <w:r>
        <w:tab/>
      </w:r>
      <w:r>
        <w:rPr>
          <w:rFonts w:hint="eastAsia"/>
        </w:rPr>
        <w:t>巴巴多斯公私立学校雇用的女教师多过男教师约一千人。一百二十八间公私立学校中，七十七间学校的校长为女性。</w:t>
      </w:r>
    </w:p>
    <w:p w:rsidR="00000000" w:rsidRDefault="00000000">
      <w:pPr>
        <w:pStyle w:val="SingleTxt"/>
        <w:rPr>
          <w:rFonts w:ascii="SimHei" w:eastAsia="SimHei"/>
          <w:color w:val="FF0000"/>
        </w:rPr>
      </w:pPr>
      <w:r>
        <w:rPr>
          <w:rFonts w:ascii="SimHei" w:eastAsia="SimHei" w:hint="eastAsia"/>
          <w:color w:val="FF0000"/>
        </w:rPr>
        <w:t>资料来源：教育部。</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第11条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消除就业领域对妇女的歧视</w:t>
      </w:r>
    </w:p>
    <w:p w:rsidR="00000000" w:rsidRDefault="00000000">
      <w:pPr>
        <w:pStyle w:val="SingleTxt"/>
        <w:rPr>
          <w:rFonts w:hint="eastAsia"/>
        </w:rPr>
      </w:pPr>
      <w:r>
        <w:tab/>
      </w:r>
      <w:r>
        <w:rPr>
          <w:rFonts w:hint="eastAsia"/>
        </w:rPr>
        <w:t>巴巴多斯批准了若干国际劳工组织（劳工组织）的公约，这些公约涉及消除就业领域对妇女的歧视。《第100号同工同酬公约》、《第111号歧视（就业和职业）公约》和《第122号就业政策公约》都是在1970年代批准的。批准就意味巴巴多斯同意遵守公约条款的原则。因此，巴巴多斯继续在就业方面维护不歧视妇女的规范。《总劳动法》规定对雇工的保护不排除妇女。此外，《妇女就业（产假）法》规定给予妇女产假，并在产假期间保护其工作。《工厂法》禁止某些铅制造业的工序雇用妇女。</w:t>
      </w:r>
    </w:p>
    <w:p w:rsidR="00000000" w:rsidRDefault="00000000">
      <w:pPr>
        <w:pStyle w:val="SingleTxt"/>
        <w:rPr>
          <w:rFonts w:hint="eastAsia"/>
        </w:rPr>
      </w:pPr>
      <w:r>
        <w:tab/>
      </w:r>
      <w:r>
        <w:rPr>
          <w:rFonts w:hint="eastAsia"/>
        </w:rPr>
        <w:t>妇女就业人数1991年为4万7千9百人（或百分之44.7％），到1998年增至5万4千5百人（或46.4％）。同一期间，妇女参加工作的比例从57.3％增至60.6％，同时妇女失业率从21.8％降至15.6％。</w:t>
      </w:r>
    </w:p>
    <w:p w:rsidR="00000000" w:rsidRDefault="00000000">
      <w:pPr>
        <w:pStyle w:val="SingleTxt"/>
        <w:rPr>
          <w:rFonts w:ascii="SimHei" w:eastAsia="SimHei"/>
          <w:color w:val="FF0000"/>
        </w:rPr>
      </w:pPr>
      <w:r>
        <w:rPr>
          <w:rFonts w:ascii="SimHei" w:eastAsia="SimHei" w:hint="eastAsia"/>
          <w:color w:val="FF0000"/>
        </w:rPr>
        <w:t>资料来源：劳工部。</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第12条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消除保健领域对妇女的歧视</w:t>
      </w:r>
    </w:p>
    <w:p w:rsidR="00000000" w:rsidRDefault="00000000">
      <w:pPr>
        <w:pStyle w:val="SingleTxt"/>
        <w:spacing w:line="360" w:lineRule="exact"/>
        <w:rPr>
          <w:rFonts w:hint="eastAsia"/>
        </w:rPr>
      </w:pPr>
      <w:r>
        <w:rPr>
          <w:rFonts w:hint="eastAsia"/>
        </w:rPr>
        <w:tab/>
        <w:t>巴巴多斯在消除所有活动领域对妇女的歧视方面作出了相当进展。若干法规已列入法典，以维护和保持这一进展。</w:t>
      </w:r>
    </w:p>
    <w:p w:rsidR="00000000" w:rsidRDefault="00000000">
      <w:pPr>
        <w:pStyle w:val="SingleTxt"/>
        <w:spacing w:line="360" w:lineRule="exact"/>
        <w:rPr>
          <w:rFonts w:hint="eastAsia"/>
        </w:rPr>
      </w:pPr>
      <w:r>
        <w:tab/>
      </w:r>
      <w:r>
        <w:rPr>
          <w:rFonts w:hint="eastAsia"/>
        </w:rPr>
        <w:t>因此，在保健领域没有直接对妇女的歧视。巴巴多斯妇女可以从事巴巴多斯的任何保健专业，只要证明有这种能力。</w:t>
      </w:r>
    </w:p>
    <w:p w:rsidR="00000000" w:rsidRDefault="00000000">
      <w:pPr>
        <w:pStyle w:val="SingleTxt"/>
        <w:spacing w:line="360" w:lineRule="exact"/>
        <w:rPr>
          <w:rFonts w:hint="eastAsia"/>
        </w:rPr>
      </w:pPr>
      <w:r>
        <w:tab/>
      </w:r>
      <w:r>
        <w:rPr>
          <w:rFonts w:hint="eastAsia"/>
        </w:rPr>
        <w:t>虽然卫生部多年来的政策一向以根据需要提供服务为依归，但也了解有些服务必须提供而且便于利用，以便提高和促进妇女的生殖保健。这就是母子保健服务，其中包括产前和产后护理以及计划生育服务。母子保健服务由战略性地分布各地以保证方便利用的多科联合诊所提供。关于使用多科联合诊所或政府保健机构所提供的这些服务，支付能力不是决定因素。</w:t>
      </w:r>
    </w:p>
    <w:p w:rsidR="00000000" w:rsidRDefault="00000000">
      <w:pPr>
        <w:pStyle w:val="SingleTxt"/>
        <w:spacing w:line="360" w:lineRule="exact"/>
        <w:rPr>
          <w:rFonts w:hint="eastAsia"/>
        </w:rPr>
      </w:pPr>
      <w:r>
        <w:tab/>
      </w:r>
      <w:r>
        <w:rPr>
          <w:rFonts w:hint="eastAsia"/>
        </w:rPr>
        <w:t>生殖健康方面的服务的情况说明如下：</w:t>
      </w:r>
    </w:p>
    <w:p w:rsidR="00000000" w:rsidRDefault="00000000">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产前护理</w:t>
      </w:r>
    </w:p>
    <w:p w:rsidR="00000000" w:rsidRDefault="00000000">
      <w:pPr>
        <w:pStyle w:val="SingleTxt"/>
        <w:rPr>
          <w:rFonts w:hint="eastAsia"/>
        </w:rPr>
      </w:pPr>
      <w:r>
        <w:tab/>
      </w:r>
      <w:r>
        <w:rPr>
          <w:rFonts w:hint="eastAsia"/>
        </w:rPr>
        <w:t>·</w:t>
      </w:r>
      <w:r>
        <w:rPr>
          <w:rFonts w:hint="eastAsia"/>
        </w:rPr>
        <w:tab/>
        <w:t>鼓励所有孕妇在怀孕第十二个星期前往多科联合诊所或接受产前护理，</w:t>
      </w:r>
      <w:r>
        <w:tab/>
      </w:r>
      <w:r>
        <w:tab/>
      </w:r>
      <w:r>
        <w:rPr>
          <w:rFonts w:hint="eastAsia"/>
        </w:rPr>
        <w:t>以保证母婴顺产。</w:t>
      </w:r>
    </w:p>
    <w:p w:rsidR="00000000" w:rsidRDefault="00000000">
      <w:pPr>
        <w:pStyle w:val="SingleTxt"/>
        <w:rPr>
          <w:rFonts w:hint="eastAsia"/>
        </w:rPr>
      </w:pPr>
      <w:r>
        <w:tab/>
      </w:r>
      <w:r>
        <w:rPr>
          <w:rFonts w:hint="eastAsia"/>
        </w:rPr>
        <w:t>·</w:t>
      </w:r>
      <w:r>
        <w:rPr>
          <w:rFonts w:hint="eastAsia"/>
        </w:rPr>
        <w:tab/>
        <w:t>所有产前母亲都接受有关艾滋病毒/艾滋病的指导，并鼓励她们接受艾</w:t>
      </w:r>
      <w:r>
        <w:tab/>
      </w:r>
      <w:r>
        <w:tab/>
      </w:r>
      <w:r>
        <w:tab/>
      </w:r>
      <w:r>
        <w:rPr>
          <w:rFonts w:hint="eastAsia"/>
        </w:rPr>
        <w:t>滋病检查。</w:t>
      </w:r>
    </w:p>
    <w:p w:rsidR="00000000" w:rsidRDefault="00000000">
      <w:pPr>
        <w:pStyle w:val="SingleTxt"/>
        <w:rPr>
          <w:rFonts w:hint="eastAsia"/>
        </w:rPr>
      </w:pPr>
      <w:r>
        <w:tab/>
      </w:r>
      <w:r>
        <w:rPr>
          <w:rFonts w:hint="eastAsia"/>
        </w:rPr>
        <w:t>·</w:t>
      </w:r>
      <w:r>
        <w:rPr>
          <w:rFonts w:hint="eastAsia"/>
        </w:rPr>
        <w:tab/>
        <w:t>自1995年以来，孕妇检查发现艾滋病毒阳性反应者都负责其疗程的单</w:t>
      </w:r>
      <w:r>
        <w:tab/>
      </w:r>
      <w:r>
        <w:tab/>
      </w:r>
      <w:r>
        <w:tab/>
      </w:r>
      <w:r>
        <w:rPr>
          <w:rFonts w:hint="eastAsia"/>
        </w:rPr>
        <w:t>位给予AZT药物，以减少围产期艾滋病毒传染的危险。对选择采用AZT</w:t>
      </w:r>
      <w:r>
        <w:tab/>
      </w:r>
      <w:r>
        <w:tab/>
      </w:r>
      <w:r>
        <w:tab/>
      </w:r>
      <w:r>
        <w:rPr>
          <w:rFonts w:hint="eastAsia"/>
        </w:rPr>
        <w:t>药物的妇女给予辅导并获得她们知情的同意。</w:t>
      </w:r>
    </w:p>
    <w:p w:rsidR="00000000" w:rsidRDefault="00000000">
      <w:pPr>
        <w:pStyle w:val="SingleTxt"/>
        <w:rPr>
          <w:rFonts w:hint="eastAsia"/>
        </w:rPr>
      </w:pPr>
      <w:r>
        <w:tab/>
      </w:r>
      <w:r>
        <w:rPr>
          <w:rFonts w:hint="eastAsia"/>
        </w:rPr>
        <w:t>·</w:t>
      </w:r>
      <w:r>
        <w:rPr>
          <w:rFonts w:hint="eastAsia"/>
        </w:rPr>
        <w:tab/>
        <w:t>孕妇还可以免费看牙医。怀孕三十六周的孕妇送急性病总医院进行进一</w:t>
      </w:r>
      <w:r>
        <w:tab/>
      </w:r>
      <w:r>
        <w:tab/>
      </w:r>
      <w:r>
        <w:rPr>
          <w:rFonts w:hint="eastAsia"/>
        </w:rPr>
        <w:t>步护理和分娩。所有孕妇的生产都送交急性病总医院处理，以求分娩获</w:t>
      </w:r>
      <w:r>
        <w:tab/>
      </w:r>
      <w:r>
        <w:tab/>
      </w:r>
      <w:r>
        <w:rPr>
          <w:rFonts w:hint="eastAsia"/>
        </w:rPr>
        <w:t>得全面医疗照顾，减少母婴难产。</w:t>
      </w:r>
    </w:p>
    <w:p w:rsidR="00000000" w:rsidRDefault="00000000">
      <w:pPr>
        <w:pStyle w:val="SingleTxt"/>
        <w:rPr>
          <w:rFonts w:hint="eastAsia"/>
        </w:rPr>
      </w:pPr>
      <w:r>
        <w:tab/>
      </w:r>
      <w:r>
        <w:rPr>
          <w:rFonts w:hint="eastAsia"/>
        </w:rPr>
        <w:t>·</w:t>
      </w:r>
      <w:r>
        <w:rPr>
          <w:rFonts w:hint="eastAsia"/>
        </w:rPr>
        <w:tab/>
        <w:t>1997年的产妇死亡率仍然为零，与1995年相同。</w:t>
      </w:r>
    </w:p>
    <w:p w:rsidR="00000000" w:rsidRDefault="00000000">
      <w:pPr>
        <w:pStyle w:val="SingleTxt"/>
        <w:rPr>
          <w:rFonts w:ascii="KaiTi_GB2312" w:eastAsia="KaiTi_GB2312" w:hint="eastAsia"/>
          <w:color w:val="0000FF"/>
        </w:rPr>
      </w:pPr>
      <w:r>
        <w:tab/>
      </w:r>
      <w:r>
        <w:rPr>
          <w:rFonts w:ascii="KaiTi_GB2312" w:eastAsia="KaiTi_GB2312" w:hint="eastAsia"/>
          <w:color w:val="0000FF"/>
        </w:rPr>
        <w:t>产后护理</w:t>
      </w:r>
    </w:p>
    <w:p w:rsidR="00000000" w:rsidRDefault="00000000">
      <w:pPr>
        <w:pStyle w:val="SingleTxt"/>
        <w:spacing w:line="360" w:lineRule="exact"/>
        <w:rPr>
          <w:rFonts w:hint="eastAsia"/>
        </w:rPr>
      </w:pPr>
      <w:r>
        <w:rPr>
          <w:rFonts w:hint="eastAsia"/>
        </w:rPr>
        <w:tab/>
        <w:t>关于产后护理问题，其目的在于促进和维护产妇与婴儿从出生到生产后六周期间的健康。在此期间，除鼓励母乳喂养外，还注意调养产妇的生理和心理健康。产妇出院48至72小时之内公共保健护士即上门探视。产妇可以加入诊所和社区的母乳哺育支助组。</w:t>
      </w:r>
    </w:p>
    <w:p w:rsidR="00000000" w:rsidRDefault="00000000">
      <w:pPr>
        <w:pStyle w:val="SingleTxt"/>
      </w:pPr>
    </w:p>
    <w:p w:rsidR="00000000" w:rsidRDefault="00000000">
      <w:pPr>
        <w:pStyle w:val="SingleTxt"/>
        <w:rPr>
          <w:rFonts w:ascii="KaiTi_GB2312" w:eastAsia="KaiTi_GB2312" w:hint="eastAsia"/>
          <w:color w:val="0000FF"/>
        </w:rPr>
      </w:pPr>
      <w:r>
        <w:tab/>
      </w:r>
      <w:r>
        <w:rPr>
          <w:rFonts w:ascii="KaiTi_GB2312" w:eastAsia="KaiTi_GB2312" w:hint="eastAsia"/>
          <w:color w:val="0000FF"/>
        </w:rPr>
        <w:t>计划生育（服务）</w:t>
      </w:r>
    </w:p>
    <w:p w:rsidR="00000000" w:rsidRDefault="00000000">
      <w:pPr>
        <w:pStyle w:val="SingleTxt"/>
        <w:ind w:left="1695"/>
        <w:rPr>
          <w:rFonts w:hint="eastAsia"/>
        </w:rPr>
      </w:pPr>
      <w:r>
        <w:rPr>
          <w:rFonts w:hint="eastAsia"/>
        </w:rPr>
        <w:t>·</w:t>
      </w:r>
      <w:r>
        <w:rPr>
          <w:rFonts w:hint="eastAsia"/>
        </w:rPr>
        <w:tab/>
        <w:t>多科联合诊所、门诊所、私人医生和巴巴多斯生育计划协会全都提供生</w:t>
      </w:r>
      <w:r>
        <w:tab/>
      </w:r>
      <w:r>
        <w:rPr>
          <w:rFonts w:hint="eastAsia"/>
        </w:rPr>
        <w:t>育计划服务。</w:t>
      </w:r>
      <w:r>
        <w:t xml:space="preserve"> </w:t>
      </w:r>
      <w:r>
        <w:rPr>
          <w:rFonts w:hint="eastAsia"/>
        </w:rPr>
        <w:t>这项服务的目的是向男女双方提供有关避孕的方法和技</w:t>
      </w:r>
      <w:r>
        <w:tab/>
      </w:r>
      <w:r>
        <w:tab/>
      </w:r>
      <w:r>
        <w:rPr>
          <w:rFonts w:hint="eastAsia"/>
        </w:rPr>
        <w:t>巧，让他们在计划生育方面做出明智选择，避免健康危害。</w:t>
      </w:r>
    </w:p>
    <w:p w:rsidR="00000000" w:rsidRDefault="00000000">
      <w:pPr>
        <w:pStyle w:val="SingleTxt"/>
        <w:ind w:left="1695"/>
        <w:rPr>
          <w:rFonts w:hint="eastAsia"/>
        </w:rPr>
      </w:pPr>
      <w:r>
        <w:rPr>
          <w:rFonts w:hint="eastAsia"/>
        </w:rPr>
        <w:t>·</w:t>
      </w:r>
      <w:r>
        <w:rPr>
          <w:rFonts w:hint="eastAsia"/>
        </w:rPr>
        <w:tab/>
        <w:t>下述方案确认青少年的需要：</w:t>
      </w:r>
    </w:p>
    <w:p w:rsidR="00000000" w:rsidRDefault="00000000">
      <w:pPr>
        <w:pStyle w:val="SingleTxt"/>
        <w:rPr>
          <w:rFonts w:ascii="KaiTi_GB2312" w:eastAsia="KaiTi_GB2312" w:hint="eastAsia"/>
          <w:color w:val="0000FF"/>
        </w:rPr>
      </w:pPr>
      <w:r>
        <w:tab/>
      </w:r>
      <w:r>
        <w:rPr>
          <w:rFonts w:ascii="KaiTi_GB2312" w:eastAsia="KaiTi_GB2312" w:hint="eastAsia"/>
          <w:color w:val="0000FF"/>
        </w:rPr>
        <w:t>青少年保健方案</w:t>
      </w:r>
    </w:p>
    <w:p w:rsidR="00000000" w:rsidRDefault="00000000">
      <w:pPr>
        <w:pStyle w:val="SingleTxt"/>
        <w:rPr>
          <w:rFonts w:hint="eastAsia"/>
        </w:rPr>
      </w:pPr>
      <w:r>
        <w:tab/>
      </w:r>
      <w:r>
        <w:rPr>
          <w:rFonts w:hint="eastAsia"/>
        </w:rPr>
        <w:t>·</w:t>
      </w:r>
      <w:r>
        <w:rPr>
          <w:rFonts w:hint="eastAsia"/>
        </w:rPr>
        <w:tab/>
        <w:t>这些服务由政府管理的多科联合诊所提供，内容包括家庭生活教育和学</w:t>
      </w:r>
      <w:r>
        <w:tab/>
      </w:r>
      <w:r>
        <w:tab/>
      </w:r>
      <w:r>
        <w:rPr>
          <w:rFonts w:hint="eastAsia"/>
        </w:rPr>
        <w:t>校开展的服务方案。非政府组织参与这项服务，纳入它们设计的青年方</w:t>
      </w:r>
      <w:r>
        <w:tab/>
      </w:r>
      <w:r>
        <w:tab/>
      </w:r>
      <w:r>
        <w:rPr>
          <w:rFonts w:hint="eastAsia"/>
        </w:rPr>
        <w:t>案内。</w:t>
      </w:r>
    </w:p>
    <w:p w:rsidR="00000000" w:rsidRDefault="00000000">
      <w:pPr>
        <w:pStyle w:val="SingleTxt"/>
        <w:rPr>
          <w:rFonts w:hint="eastAsia"/>
        </w:rPr>
      </w:pPr>
      <w:r>
        <w:tab/>
      </w:r>
      <w:r>
        <w:rPr>
          <w:rFonts w:hint="eastAsia"/>
        </w:rPr>
        <w:t>·</w:t>
      </w:r>
      <w:r>
        <w:rPr>
          <w:rFonts w:hint="eastAsia"/>
        </w:rPr>
        <w:tab/>
        <w:t>青少年保健方案的目的在于协助发展正确的自我认知，培养信心以作出</w:t>
      </w:r>
      <w:r>
        <w:tab/>
      </w:r>
      <w:r>
        <w:tab/>
      </w:r>
      <w:r>
        <w:rPr>
          <w:rFonts w:hint="eastAsia"/>
        </w:rPr>
        <w:t>决定和选择。</w:t>
      </w:r>
    </w:p>
    <w:p w:rsidR="00000000" w:rsidRDefault="00000000">
      <w:pPr>
        <w:pStyle w:val="SingleTxt"/>
        <w:rPr>
          <w:rFonts w:hint="eastAsia"/>
        </w:rPr>
      </w:pPr>
      <w:r>
        <w:tab/>
      </w:r>
      <w:r>
        <w:rPr>
          <w:rFonts w:hint="eastAsia"/>
        </w:rPr>
        <w:t>·</w:t>
      </w:r>
      <w:r>
        <w:rPr>
          <w:rFonts w:hint="eastAsia"/>
        </w:rPr>
        <w:tab/>
        <w:t>方案内容包括各种议题，其中有自尊、人体性功能、艾滋病毒/艾滋病、</w:t>
      </w:r>
      <w:r>
        <w:tab/>
      </w:r>
      <w:r>
        <w:tab/>
      </w:r>
      <w:r>
        <w:rPr>
          <w:rFonts w:hint="eastAsia"/>
        </w:rPr>
        <w:t>预算控制、价值观和环境保健。</w:t>
      </w:r>
    </w:p>
    <w:p w:rsidR="00000000" w:rsidRDefault="00000000">
      <w:pPr>
        <w:pStyle w:val="SingleTxt"/>
        <w:rPr>
          <w:rFonts w:hint="eastAsia"/>
        </w:rPr>
      </w:pPr>
      <w:r>
        <w:tab/>
      </w:r>
      <w:r>
        <w:rPr>
          <w:rFonts w:hint="eastAsia"/>
        </w:rPr>
        <w:t>·</w:t>
      </w:r>
      <w:r>
        <w:rPr>
          <w:rFonts w:hint="eastAsia"/>
        </w:rPr>
        <w:tab/>
        <w:t>学校通过医务人员和家长推动男女青少年参与方案。</w:t>
      </w:r>
    </w:p>
    <w:p w:rsidR="00000000" w:rsidRDefault="00000000">
      <w:pPr>
        <w:pStyle w:val="SingleTxt"/>
        <w:rPr>
          <w:rFonts w:ascii="KaiTi_GB2312" w:eastAsia="KaiTi_GB2312" w:hint="eastAsia"/>
          <w:color w:val="0000FF"/>
        </w:rPr>
      </w:pPr>
      <w:r>
        <w:rPr>
          <w:rFonts w:ascii="KaiTi_GB2312" w:eastAsia="KaiTi_GB2312"/>
          <w:color w:val="0000FF"/>
        </w:rPr>
        <w:tab/>
      </w:r>
      <w:r>
        <w:rPr>
          <w:rFonts w:ascii="KaiTi_GB2312" w:eastAsia="KaiTi_GB2312" w:hint="eastAsia"/>
          <w:color w:val="0000FF"/>
        </w:rPr>
        <w:t>子宫颈抹片检查服务</w:t>
      </w:r>
    </w:p>
    <w:p w:rsidR="00000000" w:rsidRDefault="00000000">
      <w:pPr>
        <w:pStyle w:val="SingleTxt"/>
        <w:rPr>
          <w:rFonts w:hint="eastAsia"/>
        </w:rPr>
      </w:pPr>
      <w:r>
        <w:tab/>
      </w:r>
      <w:r>
        <w:rPr>
          <w:rFonts w:hint="eastAsia"/>
        </w:rPr>
        <w:t>·</w:t>
      </w:r>
      <w:r>
        <w:rPr>
          <w:rFonts w:hint="eastAsia"/>
        </w:rPr>
        <w:tab/>
        <w:t>所有多科联合诊所都提供这项服务，以诊测子宫颈癌的初期症状。1998</w:t>
      </w:r>
      <w:r>
        <w:tab/>
      </w:r>
      <w:r>
        <w:tab/>
      </w:r>
      <w:r>
        <w:rPr>
          <w:rFonts w:hint="eastAsia"/>
        </w:rPr>
        <w:t>年多科联合诊所做的这种检查与1997年相比，降低了1.3％。</w:t>
      </w:r>
    </w:p>
    <w:p w:rsidR="00000000" w:rsidRDefault="00000000">
      <w:pPr>
        <w:pStyle w:val="SingleTxt"/>
        <w:rPr>
          <w:rFonts w:hint="eastAsia"/>
        </w:rPr>
      </w:pPr>
      <w:r>
        <w:tab/>
      </w:r>
      <w:r>
        <w:rPr>
          <w:rFonts w:hint="eastAsia"/>
        </w:rPr>
        <w:t>·</w:t>
      </w:r>
      <w:r>
        <w:rPr>
          <w:rFonts w:hint="eastAsia"/>
        </w:rPr>
        <w:tab/>
        <w:t>统计表明，45岁以上妇女没有充分利用子宫颈抹片检查服务。将</w:t>
      </w:r>
      <w:r>
        <w:tab/>
      </w:r>
      <w:r>
        <w:tab/>
      </w:r>
      <w:r>
        <w:tab/>
      </w:r>
      <w:r>
        <w:rPr>
          <w:rFonts w:hint="eastAsia"/>
        </w:rPr>
        <w:t>开展一项教育/提高敏感认识方案以鼓励45岁以上妇女接受这种检查。</w:t>
      </w:r>
    </w:p>
    <w:p w:rsidR="00000000" w:rsidRDefault="00000000">
      <w:pPr>
        <w:pStyle w:val="SingleTxt"/>
        <w:rPr>
          <w:rFonts w:hint="eastAsia"/>
        </w:rPr>
      </w:pPr>
      <w:r>
        <w:rPr>
          <w:rFonts w:hint="eastAsia"/>
        </w:rPr>
        <w:tab/>
        <w:t>巴巴多斯政府最近与英联邦秘书处合作，开展各项活动，以使其政策和方案对性别问题有敏感认识，以实现两性平等和公平。</w:t>
      </w:r>
    </w:p>
    <w:p w:rsidR="00000000" w:rsidRDefault="00000000">
      <w:pPr>
        <w:pStyle w:val="SingleTxt"/>
        <w:rPr>
          <w:rFonts w:hint="eastAsia"/>
        </w:rPr>
      </w:pPr>
      <w:r>
        <w:rPr>
          <w:rFonts w:hint="eastAsia"/>
        </w:rPr>
        <w:tab/>
        <w:t>为实现这一目标，卫生部和全国妇女组织、巴巴多斯注册护士协会和巴巴多斯计划生育协会的代表于1998年3月23日至27日参加了特里尼达的一个培训班，讨论在保健部门将性别问题纳入主流的问题。</w:t>
      </w:r>
    </w:p>
    <w:p w:rsidR="00000000" w:rsidRDefault="00000000">
      <w:pPr>
        <w:pStyle w:val="SingleTxt"/>
        <w:rPr>
          <w:rFonts w:hint="eastAsia"/>
        </w:rPr>
      </w:pPr>
      <w:r>
        <w:rPr>
          <w:rFonts w:hint="eastAsia"/>
        </w:rPr>
        <w:tab/>
        <w:t>此外，政府各部、厅参加了1999年在巴巴多斯举办的一个为期三天的讲习班，讨论将性别问题纳入国家预算的问题。</w:t>
      </w:r>
    </w:p>
    <w:p w:rsidR="00000000" w:rsidRDefault="00000000">
      <w:pPr>
        <w:pStyle w:val="SingleTxt"/>
        <w:rPr>
          <w:rFonts w:hint="eastAsia"/>
        </w:rPr>
      </w:pPr>
      <w:r>
        <w:rPr>
          <w:rFonts w:hint="eastAsia"/>
        </w:rPr>
        <w:tab/>
        <w:t>两个讲习班都由英联邦秘书处赞助。</w:t>
      </w:r>
    </w:p>
    <w:p w:rsidR="00000000" w:rsidRDefault="00000000">
      <w:pPr>
        <w:pStyle w:val="SingleTxt"/>
        <w:rPr>
          <w:rFonts w:ascii="SimHei" w:eastAsia="SimHei" w:hint="eastAsia"/>
          <w:color w:val="FF0000"/>
        </w:rPr>
      </w:pPr>
      <w:r>
        <w:rPr>
          <w:rFonts w:ascii="SimHei" w:eastAsia="SimHei" w:hint="eastAsia"/>
          <w:color w:val="FF0000"/>
        </w:rPr>
        <w:t>资料来源：卫生部。</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第13条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消除经济和社会生活其它领域对妇女的歧视</w:t>
      </w:r>
    </w:p>
    <w:p w:rsidR="00000000" w:rsidRDefault="00000000">
      <w:pPr>
        <w:pStyle w:val="SingleTxt"/>
        <w:rPr>
          <w:rFonts w:hint="eastAsia"/>
        </w:rPr>
      </w:pPr>
      <w:r>
        <w:rPr>
          <w:rFonts w:hint="eastAsia"/>
        </w:rPr>
        <w:tab/>
        <w:t>男性和女性皆有权依据《国家援助法，CAP.48》和《1964年国家援助条例》（及其后各项修正）取得现款或实物援助。这种援助为期短暂，旨在提供一些基本生活必需品。</w:t>
      </w:r>
    </w:p>
    <w:p w:rsidR="00000000" w:rsidRDefault="00000000">
      <w:pPr>
        <w:pStyle w:val="SingleTxt"/>
        <w:rPr>
          <w:rFonts w:hint="eastAsia"/>
        </w:rPr>
      </w:pPr>
      <w:r>
        <w:rPr>
          <w:rFonts w:hint="eastAsia"/>
        </w:rPr>
        <w:tab/>
        <w:t>无资格根据《全国保险和社会安全计划》受益并通过调查断定为“因某种残疾无法谋生或无资源维生或找不到工作而有需要”的人，也可以获得现金赠予。</w:t>
      </w:r>
    </w:p>
    <w:p w:rsidR="00000000" w:rsidRDefault="00000000">
      <w:pPr>
        <w:pStyle w:val="SingleTxt"/>
        <w:rPr>
          <w:rFonts w:hint="eastAsia"/>
        </w:rPr>
      </w:pPr>
      <w:r>
        <w:rPr>
          <w:rFonts w:hint="eastAsia"/>
        </w:rPr>
        <w:tab/>
        <w:t>其它支援有实物援助，包括：</w:t>
      </w:r>
    </w:p>
    <w:p w:rsidR="00000000" w:rsidRDefault="00000000">
      <w:pPr>
        <w:pStyle w:val="SingleTxt"/>
        <w:rPr>
          <w:rFonts w:hint="eastAsia"/>
        </w:rPr>
      </w:pPr>
      <w:r>
        <w:rPr>
          <w:rFonts w:hint="eastAsia"/>
        </w:rPr>
        <w:tab/>
        <w:t>-</w:t>
      </w:r>
      <w:r>
        <w:rPr>
          <w:rFonts w:hint="eastAsia"/>
        </w:rPr>
        <w:tab/>
        <w:t>支付住房或土地租金</w:t>
      </w:r>
    </w:p>
    <w:p w:rsidR="00000000" w:rsidRDefault="00000000">
      <w:pPr>
        <w:pStyle w:val="SingleTxt"/>
        <w:rPr>
          <w:rFonts w:hint="eastAsia"/>
        </w:rPr>
      </w:pPr>
      <w:r>
        <w:rPr>
          <w:rFonts w:hint="eastAsia"/>
        </w:rPr>
        <w:tab/>
        <w:t>-</w:t>
      </w:r>
      <w:r>
        <w:rPr>
          <w:rFonts w:hint="eastAsia"/>
        </w:rPr>
        <w:tab/>
        <w:t>支付水电帐单</w:t>
      </w:r>
    </w:p>
    <w:p w:rsidR="00000000" w:rsidRDefault="00000000">
      <w:pPr>
        <w:pStyle w:val="SingleTxt"/>
        <w:rPr>
          <w:rFonts w:hint="eastAsia"/>
        </w:rPr>
      </w:pPr>
      <w:r>
        <w:rPr>
          <w:rFonts w:hint="eastAsia"/>
        </w:rPr>
        <w:tab/>
        <w:t>-</w:t>
      </w:r>
      <w:r>
        <w:rPr>
          <w:rFonts w:hint="eastAsia"/>
        </w:rPr>
        <w:tab/>
        <w:t>提供食物和衣服</w:t>
      </w:r>
    </w:p>
    <w:p w:rsidR="00000000" w:rsidRDefault="00000000">
      <w:pPr>
        <w:pStyle w:val="SingleTxt"/>
        <w:rPr>
          <w:rFonts w:hint="eastAsia"/>
        </w:rPr>
      </w:pPr>
      <w:r>
        <w:rPr>
          <w:rFonts w:hint="eastAsia"/>
        </w:rPr>
        <w:tab/>
        <w:t>-</w:t>
      </w:r>
      <w:r>
        <w:rPr>
          <w:rFonts w:hint="eastAsia"/>
        </w:rPr>
        <w:tab/>
        <w:t>死亡穷人的丧葬费</w:t>
      </w:r>
    </w:p>
    <w:p w:rsidR="00000000" w:rsidRDefault="00000000">
      <w:pPr>
        <w:pStyle w:val="SingleTxt"/>
        <w:rPr>
          <w:rFonts w:hint="eastAsia"/>
        </w:rPr>
      </w:pPr>
      <w:r>
        <w:rPr>
          <w:rFonts w:hint="eastAsia"/>
        </w:rPr>
        <w:tab/>
        <w:t>-</w:t>
      </w:r>
      <w:r>
        <w:rPr>
          <w:rFonts w:hint="eastAsia"/>
        </w:rPr>
        <w:tab/>
        <w:t>咨询服务</w:t>
      </w:r>
    </w:p>
    <w:p w:rsidR="00000000" w:rsidRDefault="00000000">
      <w:pPr>
        <w:pStyle w:val="SingleTxt"/>
        <w:rPr>
          <w:rFonts w:hint="eastAsia"/>
        </w:rPr>
      </w:pPr>
      <w:r>
        <w:rPr>
          <w:rFonts w:hint="eastAsia"/>
        </w:rPr>
        <w:tab/>
        <w:t>-</w:t>
      </w:r>
      <w:r>
        <w:rPr>
          <w:rFonts w:hint="eastAsia"/>
        </w:rPr>
        <w:tab/>
        <w:t>法律援助服务</w:t>
      </w:r>
    </w:p>
    <w:p w:rsidR="00000000" w:rsidRDefault="00000000">
      <w:pPr>
        <w:pStyle w:val="SingleTxt"/>
        <w:rPr>
          <w:rFonts w:hint="eastAsia"/>
        </w:rPr>
      </w:pPr>
      <w:r>
        <w:rPr>
          <w:rFonts w:hint="eastAsia"/>
        </w:rPr>
        <w:tab/>
        <w:t>-</w:t>
      </w:r>
      <w:r>
        <w:rPr>
          <w:rFonts w:hint="eastAsia"/>
        </w:rPr>
        <w:tab/>
        <w:t>备灾、救灾和复原</w:t>
      </w:r>
    </w:p>
    <w:p w:rsidR="00000000" w:rsidRDefault="00000000">
      <w:pPr>
        <w:pStyle w:val="SingleTxt"/>
        <w:rPr>
          <w:rFonts w:ascii="SimHei" w:eastAsia="SimHei" w:hint="eastAsia"/>
          <w:color w:val="FF0000"/>
        </w:rPr>
      </w:pPr>
      <w:r>
        <w:rPr>
          <w:rFonts w:ascii="SimHei" w:eastAsia="SimHei" w:hint="eastAsia"/>
          <w:color w:val="FF0000"/>
        </w:rPr>
        <w:t>资料来源：福利司年度报告。</w:t>
      </w:r>
    </w:p>
    <w:p w:rsidR="00000000" w:rsidRDefault="00000000">
      <w:pPr>
        <w:pStyle w:val="SingleTxt"/>
        <w:rPr>
          <w:rFonts w:hint="eastAsia"/>
        </w:rPr>
      </w:pPr>
      <w:r>
        <w:rPr>
          <w:rFonts w:hint="eastAsia"/>
        </w:rPr>
        <w:tab/>
        <w:t>妇女向银行或其它金融机构申请贷款购买房产或其它形式财产时不受任何限制。男女享有同等权利，但有些机构要求丈夫签字作为贷款担保人。个人收入是贷款资格的决定因素。虽然有专为低收入劳动者设计的贷款办法，但失业或收入太低往往不利。这个群组主要是妇女。尽管有这种情况，许多妇女仍成为工商企业和房地产和管理人/所有人。</w:t>
      </w:r>
    </w:p>
    <w:p w:rsidR="00000000" w:rsidRDefault="00000000">
      <w:pPr>
        <w:pStyle w:val="SingleTxt"/>
        <w:rPr>
          <w:rFonts w:hint="eastAsia"/>
        </w:rPr>
      </w:pPr>
      <w:r>
        <w:rPr>
          <w:rFonts w:hint="eastAsia"/>
        </w:rPr>
        <w:tab/>
        <w:t>多数妇女似从信用社取得贷款。信用社准仅她们储蓄金额的三至五倍。</w:t>
      </w:r>
    </w:p>
    <w:p w:rsidR="00000000" w:rsidRDefault="00000000">
      <w:pPr>
        <w:pStyle w:val="SingleTxt"/>
        <w:rPr>
          <w:rFonts w:ascii="SimHei" w:eastAsia="SimHei" w:hint="eastAsia"/>
          <w:color w:val="FF0000"/>
        </w:rPr>
      </w:pPr>
      <w:r>
        <w:rPr>
          <w:rFonts w:ascii="SimHei" w:eastAsia="SimHei" w:hint="eastAsia"/>
          <w:color w:val="FF0000"/>
        </w:rPr>
        <w:t>资料来源：美洲农业合作研究所。加勒比的小农妇女。1996年7月。</w:t>
      </w:r>
    </w:p>
    <w:p w:rsidR="00000000" w:rsidRDefault="00000000">
      <w:pPr>
        <w:pStyle w:val="SingleTxt"/>
        <w:rPr>
          <w:rFonts w:hint="eastAsia"/>
        </w:rPr>
      </w:pPr>
      <w:r>
        <w:rPr>
          <w:rFonts w:hint="eastAsia"/>
        </w:rPr>
        <w:tab/>
        <w:t>《收入税法》规定税收。《1969年收入税法》有歧视性，规定已婚妇女的收入作为丈夫收入的一部分抽税。这一法规后经修正，准许已婚妇女与丈夫分开，单独纳税和退税。已婚纳税人且女方非唯一有收入者，女子津贴归男方。妻子要求女子津贴时必须由丈夫写信证明。</w:t>
      </w:r>
    </w:p>
    <w:p w:rsidR="00000000" w:rsidRDefault="00000000">
      <w:pPr>
        <w:pStyle w:val="SingleTxt"/>
        <w:rPr>
          <w:rFonts w:hint="eastAsia"/>
        </w:rPr>
      </w:pPr>
      <w:r>
        <w:rPr>
          <w:rFonts w:hint="eastAsia"/>
        </w:rPr>
        <w:tab/>
        <w:t>关于雇主提供的住房、住房津贴、保健和保险福利，妇女与男子享有同等权利。</w:t>
      </w:r>
    </w:p>
    <w:p w:rsidR="00000000" w:rsidRDefault="00000000">
      <w:pPr>
        <w:pStyle w:val="SingleTxt"/>
        <w:rPr>
          <w:rFonts w:hint="eastAsia"/>
        </w:rPr>
      </w:pPr>
      <w:r>
        <w:rPr>
          <w:rFonts w:hint="eastAsia"/>
        </w:rPr>
        <w:tab/>
        <w:t>人人有权参与娱乐、体育和文化活动。多数体育运动设施在各级学校和大学学校园，学生都可以利用。体育俱乐部和社区中心也有这类设施。</w:t>
      </w:r>
    </w:p>
    <w:p w:rsidR="00000000" w:rsidRDefault="00000000">
      <w:pPr>
        <w:pStyle w:val="SingleTxt"/>
      </w:pPr>
      <w:r>
        <w:rPr>
          <w:rFonts w:hint="eastAsia"/>
        </w:rPr>
        <w:tab/>
        <w:t>政府设立了全国体育运动理事会，负责提倡、协助和推动体育、水上运动和其它运动项目，并争取推动体育活动的最佳安排。</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第14条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农村妇女面对的问题</w:t>
      </w:r>
    </w:p>
    <w:p w:rsidR="00000000" w:rsidRDefault="00000000">
      <w:pPr>
        <w:pStyle w:val="SingleTxt"/>
        <w:rPr>
          <w:rFonts w:hint="eastAsia"/>
        </w:rPr>
      </w:pPr>
      <w:r>
        <w:rPr>
          <w:rFonts w:hint="eastAsia"/>
        </w:rPr>
        <w:tab/>
        <w:t>1998年10月成立巴巴多斯农业妇女协会。协会成员包括城市和农村从事农业和有关农业活动的妇女。协会的整体目标在于帮助妇女自力更生，从而促使她们有能力改善一般的社会经济地位。</w:t>
      </w:r>
    </w:p>
    <w:p w:rsidR="00000000" w:rsidRDefault="00000000">
      <w:pPr>
        <w:pStyle w:val="SingleTxt"/>
        <w:rPr>
          <w:rFonts w:hint="eastAsia"/>
        </w:rPr>
      </w:pPr>
      <w:r>
        <w:rPr>
          <w:rFonts w:hint="eastAsia"/>
        </w:rPr>
        <w:tab/>
        <w:t>这个组织有大约八十五名登记成员，包括全职或兼职农民。该组织制定了章程，并登记为巴巴多斯农会这一点组织的成员。</w:t>
      </w:r>
    </w:p>
    <w:p w:rsidR="00000000" w:rsidRDefault="00000000">
      <w:pPr>
        <w:pStyle w:val="SingleTxt"/>
        <w:rPr>
          <w:rFonts w:hint="eastAsia"/>
        </w:rPr>
      </w:pPr>
      <w:r>
        <w:rPr>
          <w:rFonts w:hint="eastAsia"/>
        </w:rPr>
        <w:tab/>
        <w:t>巴巴多斯由于面积小，地势平坦，小农因此有可能在生产粮食的同时享受一定程度的都市生活。巴巴多斯没有典型的农村，只有与全国一体化的郊区。</w:t>
      </w:r>
    </w:p>
    <w:p w:rsidR="00000000" w:rsidRDefault="00000000">
      <w:pPr>
        <w:pStyle w:val="SingleTxt"/>
        <w:rPr>
          <w:rFonts w:hint="eastAsia"/>
        </w:rPr>
      </w:pPr>
      <w:r>
        <w:rPr>
          <w:rFonts w:hint="eastAsia"/>
        </w:rPr>
        <w:tab/>
        <w:t>巴巴多斯的土地管理政策对妇女特别有利。《1975年继承法》、《1979年财产法》和《1981年家庭法》都在法律上承认与男子维持正式或非正式关系并面对继承和土地所有权问题的妇女的权利。根据这些法律，妇女和男子不论其结合关系如何，都为作为单独个体处理，不承认男子为家庭的唯一代表。妇女在其伴侣死亡或分离时，有权根据其作为主妇或家长作出的贡献，享有其家庭财产的一部分。</w:t>
      </w:r>
    </w:p>
    <w:p w:rsidR="00000000" w:rsidRDefault="00000000">
      <w:pPr>
        <w:pStyle w:val="SingleTxt"/>
        <w:rPr>
          <w:rFonts w:hint="eastAsia"/>
        </w:rPr>
      </w:pPr>
      <w:r>
        <w:rPr>
          <w:rFonts w:hint="eastAsia"/>
        </w:rPr>
        <w:tab/>
        <w:t>《1980年租赁不动产购买法》和《1982年购买农业土地选择权法》租用房产或土地五年以上者从所有人购买土地的权利。这一立法让不少人取得土地所有权，包括妇女在内。</w:t>
      </w:r>
    </w:p>
    <w:p w:rsidR="00000000" w:rsidRDefault="00000000">
      <w:pPr>
        <w:pStyle w:val="SingleTxt"/>
        <w:rPr>
          <w:rFonts w:hint="eastAsia"/>
        </w:rPr>
      </w:pPr>
      <w:r>
        <w:rPr>
          <w:rFonts w:hint="eastAsia"/>
        </w:rPr>
        <w:tab/>
        <w:t>取得土地所有权的妇女有能力取得贷款。巴巴多斯国家银行是巴巴多斯信贷政策的主要执行者。该银行的农业部门作为政府分配金融资源的中间人，目的在于确保农业部门取得信贷。其它公私机构也向农业部门提供信贷，但资料显示非出口粮食生产方面从这方面取得的信贷偏低。</w:t>
      </w:r>
    </w:p>
    <w:p w:rsidR="00000000" w:rsidRDefault="00000000">
      <w:pPr>
        <w:pStyle w:val="SingleTxt"/>
        <w:rPr>
          <w:rFonts w:hint="eastAsia"/>
        </w:rPr>
      </w:pPr>
      <w:r>
        <w:rPr>
          <w:rFonts w:hint="eastAsia"/>
        </w:rPr>
        <w:tab/>
        <w:t>妇女一般不拥有她们耕作土地的所有权，缺乏担保人担保和连带担保不足限制她们取得正式信贷。增加农耕投资的最普遍办法是从生产或以前销售中筹集这类投资的资金。部分这类妇女从参与发展妇女社这一类非政府组织和其它非正式来源取得贷款。</w:t>
      </w:r>
    </w:p>
    <w:p w:rsidR="00000000" w:rsidRDefault="00000000">
      <w:pPr>
        <w:pStyle w:val="SingleTxt"/>
        <w:rPr>
          <w:rFonts w:hint="eastAsia"/>
        </w:rPr>
      </w:pPr>
      <w:r>
        <w:rPr>
          <w:rFonts w:hint="eastAsia"/>
        </w:rPr>
        <w:tab/>
        <w:t>农村地区妇女平均年龄在40岁以上，表明农村人口的老龄化。农村妇女45％以上为户主。这说明妇女在家务活动中还有第二项职业活动。</w:t>
      </w:r>
    </w:p>
    <w:p w:rsidR="00000000" w:rsidRDefault="00000000">
      <w:pPr>
        <w:pStyle w:val="SingleTxt"/>
        <w:rPr>
          <w:rFonts w:hint="eastAsia"/>
        </w:rPr>
      </w:pPr>
      <w:r>
        <w:rPr>
          <w:rFonts w:hint="eastAsia"/>
        </w:rPr>
        <w:tab/>
        <w:t>妇女通常负子女福利的主要责任。妇女在农家担任的多重角色表明妇女的劳动时间长过男子，维系家庭生活的主要工作大多由妇女承担。妇女的多重任务和她们献出的时间都视为当然。妇女必须千方百计应付照顾子女和家庭与社区其他成员以及其它各种活动的任务。</w:t>
      </w:r>
    </w:p>
    <w:p w:rsidR="00000000" w:rsidRDefault="00000000">
      <w:pPr>
        <w:pStyle w:val="SingleTxt"/>
        <w:rPr>
          <w:rFonts w:hint="eastAsia"/>
        </w:rPr>
      </w:pPr>
      <w:r>
        <w:rPr>
          <w:rFonts w:hint="eastAsia"/>
        </w:rPr>
        <w:tab/>
        <w:t>巴巴多斯政府集中很大力量发展基础设施和提供全岛水电和电话等基本服务。每个教区都有学校和公共医疗服务，利用方便。公共交通设施全面，私营特许企业更日益加以补充。农村发展项目和方案对妇女固然重要，但对妇女人口和小农的影响不很确定。各种方案一般不提妇女，也不确认性别差异。</w:t>
      </w:r>
    </w:p>
    <w:p w:rsidR="00000000" w:rsidRDefault="00000000">
      <w:pPr>
        <w:pStyle w:val="SingleTxt"/>
        <w:rPr>
          <w:rFonts w:hint="eastAsia"/>
        </w:rPr>
      </w:pPr>
      <w:r>
        <w:rPr>
          <w:rFonts w:hint="eastAsia"/>
        </w:rPr>
        <w:tab/>
        <w:t>一般而言，政府没有专为女农民制定的方案和政策。专为妇女设计的项目往往集中于手工艺、烹调、缝纫和其它传统视为妇女手艺的培训方案。在农业耕作方面，这些方案对增加女农民的工作效率毫无帮助。</w:t>
      </w:r>
    </w:p>
    <w:p w:rsidR="00000000" w:rsidRDefault="00000000">
      <w:pPr>
        <w:pStyle w:val="SingleTxt"/>
        <w:rPr>
          <w:rFonts w:ascii="SimHei" w:eastAsia="SimHei"/>
          <w:color w:val="FF0000"/>
        </w:rPr>
      </w:pPr>
      <w:r>
        <w:rPr>
          <w:rFonts w:ascii="SimHei" w:eastAsia="SimHei" w:hint="eastAsia"/>
          <w:color w:val="FF0000"/>
        </w:rPr>
        <w:t>资料来源：美洲农业合作研究所，加勒比的妇女小农，1996年。</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br w:type="page"/>
      </w:r>
      <w:r>
        <w:tab/>
      </w:r>
      <w:r>
        <w:tab/>
      </w:r>
      <w:r>
        <w:rPr>
          <w:rFonts w:hint="eastAsia"/>
        </w:rPr>
        <w:t>第15条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法律之前人人平等</w:t>
      </w:r>
    </w:p>
    <w:p w:rsidR="00000000" w:rsidRDefault="00000000">
      <w:pPr>
        <w:pStyle w:val="SingleTxt"/>
        <w:rPr>
          <w:rFonts w:hint="eastAsia"/>
        </w:rPr>
      </w:pPr>
      <w:r>
        <w:rPr>
          <w:rFonts w:hint="eastAsia"/>
        </w:rPr>
        <w:tab/>
        <w:t>依据《宪法》，妇女视为与男子平等。妇女本人可以被起诉。妇女如无法负担法律服务。福利司有两名律师提供法律援助。此外还有社区法律援助服务社为妇女效劳。该服务社的委托人有些由法院介绍。这个机构有份律师名单，委托人可以自行挑选律师。</w:t>
      </w:r>
    </w:p>
    <w:p w:rsidR="00000000" w:rsidRDefault="00000000">
      <w:pPr>
        <w:pStyle w:val="SingleTxt"/>
        <w:rPr>
          <w:rFonts w:hint="eastAsia"/>
        </w:rPr>
      </w:pPr>
      <w:r>
        <w:rPr>
          <w:rFonts w:hint="eastAsia"/>
        </w:rPr>
        <w:tab/>
        <w:t>《宪法》保证男女在迁徙自由和选择住所自由方面的同等权利。</w:t>
      </w:r>
    </w:p>
    <w:p w:rsidR="00000000" w:rsidRDefault="00000000">
      <w:pPr>
        <w:pStyle w:val="SingleTxt"/>
      </w:pPr>
      <w:r>
        <w:rPr>
          <w:rFonts w:hint="eastAsia"/>
        </w:rPr>
        <w:tab/>
        <w:t>根据《宪法》，巴巴多斯男子的妻子得登记为公民，但须通过国家安全或公共政策审查。巴巴多斯妇女的丈夫则无同等权利。因此，妇女及其非巴巴多斯配偶处于不利地位。</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第16条</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120" w:after="120"/>
        <w:ind w:left="1264" w:right="1264" w:hanging="1264"/>
        <w:rPr>
          <w:rFonts w:hint="eastAsia"/>
        </w:rPr>
      </w:pPr>
      <w:r>
        <w:tab/>
      </w:r>
      <w:r>
        <w:tab/>
      </w:r>
      <w:r>
        <w:rPr>
          <w:rFonts w:hint="eastAsia"/>
        </w:rPr>
        <w:t>消除婚姻和家庭方面对妇女的歧视</w:t>
      </w:r>
    </w:p>
    <w:p w:rsidR="00000000" w:rsidRDefault="00000000">
      <w:pPr>
        <w:pStyle w:val="SingleTxt"/>
        <w:spacing w:line="300" w:lineRule="exact"/>
        <w:rPr>
          <w:rFonts w:hint="eastAsia"/>
        </w:rPr>
      </w:pPr>
      <w:r>
        <w:tab/>
      </w:r>
      <w:r>
        <w:rPr>
          <w:rFonts w:hint="eastAsia"/>
        </w:rPr>
        <w:t>巴巴多斯有三类夫妻结合关系：</w:t>
      </w:r>
    </w:p>
    <w:p w:rsidR="00000000" w:rsidRDefault="00000000">
      <w:pPr>
        <w:pStyle w:val="SingleTxt"/>
        <w:spacing w:line="300" w:lineRule="exact"/>
        <w:rPr>
          <w:rFonts w:hint="eastAsia"/>
        </w:rPr>
      </w:pPr>
      <w:r>
        <w:tab/>
        <w:t>-</w:t>
      </w:r>
      <w:r>
        <w:tab/>
      </w:r>
      <w:r>
        <w:rPr>
          <w:rFonts w:hint="eastAsia"/>
        </w:rPr>
        <w:t>合法婚姻：双方接受有法律约束力的关系，多由牧师主持庄严仪式。</w:t>
      </w:r>
    </w:p>
    <w:p w:rsidR="00000000" w:rsidRDefault="00000000">
      <w:pPr>
        <w:pStyle w:val="SingleTxt"/>
        <w:spacing w:line="300" w:lineRule="exact"/>
        <w:rPr>
          <w:rFonts w:hint="eastAsia"/>
        </w:rPr>
      </w:pPr>
      <w:r>
        <w:tab/>
        <w:t>-</w:t>
      </w:r>
      <w:r>
        <w:tab/>
      </w:r>
      <w:r>
        <w:rPr>
          <w:rFonts w:hint="eastAsia"/>
        </w:rPr>
        <w:t>同居关系：有时称为“信实姘居”，即同居双方承担合法结合的所有责</w:t>
      </w:r>
      <w:r>
        <w:tab/>
      </w:r>
      <w:r>
        <w:tab/>
      </w:r>
      <w:r>
        <w:tab/>
      </w:r>
      <w:r>
        <w:rPr>
          <w:rFonts w:hint="eastAsia"/>
        </w:rPr>
        <w:t>任，但非法定结婚。</w:t>
      </w:r>
    </w:p>
    <w:p w:rsidR="00000000" w:rsidRDefault="00000000">
      <w:pPr>
        <w:pStyle w:val="SingleTxt"/>
        <w:spacing w:line="300" w:lineRule="exact"/>
        <w:rPr>
          <w:rFonts w:hint="eastAsia"/>
        </w:rPr>
      </w:pPr>
      <w:r>
        <w:tab/>
        <w:t>-</w:t>
      </w:r>
      <w:r>
        <w:tab/>
      </w:r>
      <w:r>
        <w:rPr>
          <w:rFonts w:hint="eastAsia"/>
        </w:rPr>
        <w:t>走婚关系：一方走访另一方，这种关系有一定程度的责任，但不如上述</w:t>
      </w:r>
      <w:r>
        <w:tab/>
      </w:r>
      <w:r>
        <w:tab/>
      </w:r>
      <w:r>
        <w:rPr>
          <w:rFonts w:hint="eastAsia"/>
        </w:rPr>
        <w:t>关系稳固。</w:t>
      </w:r>
    </w:p>
    <w:p w:rsidR="00000000" w:rsidRDefault="00000000">
      <w:pPr>
        <w:pStyle w:val="SingleTxt"/>
        <w:spacing w:line="300" w:lineRule="exact"/>
        <w:rPr>
          <w:rFonts w:hint="eastAsia"/>
        </w:rPr>
      </w:pPr>
      <w:r>
        <w:rPr>
          <w:rFonts w:hint="eastAsia"/>
        </w:rPr>
        <w:tab/>
        <w:t>妇女16岁以上即与男子一样有同等权利选择配偶并在充分同意下自由进入婚姻关系。</w:t>
      </w:r>
    </w:p>
    <w:p w:rsidR="00000000" w:rsidRDefault="00000000">
      <w:pPr>
        <w:pStyle w:val="SingleTxt"/>
        <w:spacing w:line="300" w:lineRule="exact"/>
        <w:rPr>
          <w:rFonts w:hint="eastAsia"/>
        </w:rPr>
      </w:pPr>
      <w:r>
        <w:rPr>
          <w:rFonts w:hint="eastAsia"/>
        </w:rPr>
        <w:tab/>
        <w:t>婚姻期间的配偶双方有相互支持的对等义务。</w:t>
      </w:r>
    </w:p>
    <w:p w:rsidR="00000000" w:rsidRDefault="00000000">
      <w:pPr>
        <w:pStyle w:val="SingleTxt"/>
        <w:spacing w:line="300" w:lineRule="exact"/>
        <w:rPr>
          <w:rFonts w:hint="eastAsia"/>
        </w:rPr>
      </w:pPr>
      <w:r>
        <w:rPr>
          <w:rFonts w:hint="eastAsia"/>
        </w:rPr>
        <w:tab/>
        <w:t>现代巴巴多斯家庭仍保留四项基本功能：</w:t>
      </w:r>
    </w:p>
    <w:p w:rsidR="00000000" w:rsidRDefault="00000000">
      <w:pPr>
        <w:pStyle w:val="SingleTxt"/>
        <w:spacing w:line="300" w:lineRule="exact"/>
        <w:rPr>
          <w:rFonts w:hint="eastAsia"/>
        </w:rPr>
      </w:pPr>
      <w:r>
        <w:rPr>
          <w:rFonts w:hint="eastAsia"/>
        </w:rPr>
        <w:tab/>
        <w:t>-</w:t>
      </w:r>
      <w:r>
        <w:rPr>
          <w:rFonts w:hint="eastAsia"/>
        </w:rPr>
        <w:tab/>
        <w:t>生儿育女</w:t>
      </w:r>
    </w:p>
    <w:p w:rsidR="00000000" w:rsidRDefault="00000000">
      <w:pPr>
        <w:pStyle w:val="SingleTxt"/>
        <w:spacing w:line="300" w:lineRule="exact"/>
        <w:rPr>
          <w:rFonts w:hint="eastAsia"/>
        </w:rPr>
      </w:pPr>
      <w:r>
        <w:rPr>
          <w:rFonts w:hint="eastAsia"/>
        </w:rPr>
        <w:tab/>
        <w:t>-</w:t>
      </w:r>
      <w:r>
        <w:rPr>
          <w:rFonts w:hint="eastAsia"/>
        </w:rPr>
        <w:tab/>
        <w:t>给予家庭成员经济支持</w:t>
      </w:r>
    </w:p>
    <w:p w:rsidR="00000000" w:rsidRDefault="00000000">
      <w:pPr>
        <w:pStyle w:val="SingleTxt"/>
        <w:spacing w:line="300" w:lineRule="exact"/>
        <w:rPr>
          <w:rFonts w:hint="eastAsia"/>
        </w:rPr>
      </w:pPr>
      <w:r>
        <w:rPr>
          <w:rFonts w:hint="eastAsia"/>
        </w:rPr>
        <w:tab/>
        <w:t>-</w:t>
      </w:r>
      <w:r>
        <w:rPr>
          <w:rFonts w:hint="eastAsia"/>
        </w:rPr>
        <w:tab/>
        <w:t>感情和心理支持</w:t>
      </w:r>
    </w:p>
    <w:p w:rsidR="00000000" w:rsidRDefault="00000000">
      <w:pPr>
        <w:pStyle w:val="SingleTxt"/>
        <w:spacing w:line="300" w:lineRule="exact"/>
        <w:rPr>
          <w:rFonts w:hint="eastAsia"/>
        </w:rPr>
      </w:pPr>
      <w:r>
        <w:rPr>
          <w:rFonts w:hint="eastAsia"/>
        </w:rPr>
        <w:tab/>
        <w:t>-</w:t>
      </w:r>
      <w:r>
        <w:rPr>
          <w:rFonts w:hint="eastAsia"/>
        </w:rPr>
        <w:tab/>
        <w:t>社交。</w:t>
      </w:r>
    </w:p>
    <w:p w:rsidR="00000000" w:rsidRDefault="00000000">
      <w:pPr>
        <w:pStyle w:val="SingleTxt"/>
        <w:spacing w:line="300" w:lineRule="exact"/>
        <w:rPr>
          <w:rFonts w:hint="eastAsia"/>
        </w:rPr>
      </w:pPr>
      <w:r>
        <w:rPr>
          <w:rFonts w:hint="eastAsia"/>
        </w:rPr>
        <w:tab/>
        <w:t>配偶双方的个人权利基本相同。配偶有权选择专业和职业。</w:t>
      </w:r>
    </w:p>
    <w:p w:rsidR="00000000" w:rsidRDefault="00000000">
      <w:pPr>
        <w:pStyle w:val="SingleTxt"/>
        <w:spacing w:line="300" w:lineRule="exact"/>
        <w:rPr>
          <w:rFonts w:hint="eastAsia"/>
        </w:rPr>
      </w:pPr>
      <w:r>
        <w:rPr>
          <w:rFonts w:hint="eastAsia"/>
        </w:rPr>
        <w:tab/>
        <w:t>不少家庭内的暴力行为似很普遍。虽然受害者也有男性，但妇女的问题严重得多。</w:t>
      </w:r>
    </w:p>
    <w:p w:rsidR="00000000" w:rsidRDefault="00000000">
      <w:pPr>
        <w:pStyle w:val="SingleTxt"/>
        <w:spacing w:line="300" w:lineRule="exact"/>
        <w:rPr>
          <w:rFonts w:hint="eastAsia"/>
        </w:rPr>
      </w:pPr>
      <w:r>
        <w:rPr>
          <w:rFonts w:hint="eastAsia"/>
        </w:rPr>
        <w:tab/>
        <w:t>家庭暴力包括对配偶的身体和口头骚扰、打老婆、威胁使用暴力、强奸、性骚扰或性攻击。</w:t>
      </w:r>
    </w:p>
    <w:p w:rsidR="00000000" w:rsidRDefault="00000000">
      <w:pPr>
        <w:pStyle w:val="SingleTxt"/>
        <w:spacing w:line="300" w:lineRule="exact"/>
        <w:rPr>
          <w:rFonts w:ascii="SimHei" w:eastAsia="SimHei" w:hint="eastAsia"/>
          <w:color w:val="FF0000"/>
        </w:rPr>
      </w:pPr>
      <w:r>
        <w:rPr>
          <w:rFonts w:ascii="SimHei" w:eastAsia="SimHei" w:hint="eastAsia"/>
          <w:color w:val="FF0000"/>
        </w:rPr>
        <w:t>资料来源：《巴巴多斯宪法》。</w:t>
      </w:r>
    </w:p>
    <w:p w:rsidR="00000000" w:rsidRDefault="00000000">
      <w:pPr>
        <w:pStyle w:val="SingleTxt"/>
        <w:spacing w:line="300" w:lineRule="exact"/>
        <w:rPr>
          <w:rFonts w:hint="eastAsia"/>
        </w:rPr>
      </w:pPr>
      <w:r>
        <w:rPr>
          <w:rFonts w:hint="eastAsia"/>
        </w:rPr>
        <w:tab/>
        <w:t>在家庭环境中受暴力攻击的妇女可以援引《家庭暴力（保护）令法规》取得保护。受害人、受害人的任何代表或警察局长均可向地方法官申请保护令。在更严重的情况下，警察可以争取将妇女保护起来。</w:t>
      </w:r>
    </w:p>
    <w:p w:rsidR="00000000" w:rsidRDefault="00000000">
      <w:pPr>
        <w:pStyle w:val="SingleTxt"/>
        <w:spacing w:line="300" w:lineRule="exact"/>
        <w:rPr>
          <w:rFonts w:hint="eastAsia"/>
        </w:rPr>
      </w:pPr>
      <w:r>
        <w:rPr>
          <w:rFonts w:hint="eastAsia"/>
        </w:rPr>
        <w:tab/>
        <w:t>根据《家庭暴力法》，可以发出命令，限制攻击者接近受害人。这种命令可以附带“逮捕权”，如果认为攻击者可能违反命令。</w:t>
      </w:r>
    </w:p>
    <w:p w:rsidR="00000000" w:rsidRDefault="00000000">
      <w:pPr>
        <w:pStyle w:val="SingleTxt"/>
        <w:spacing w:line="300" w:lineRule="exact"/>
      </w:pPr>
      <w:r>
        <w:rPr>
          <w:rFonts w:hint="eastAsia"/>
        </w:rPr>
        <w:tab/>
        <w:t>由于十一月二十五日举办的反对对妇女暴力国际日的各项有关教育方案和活动，巴巴多斯妇女对家庭暴力的认识日深。这些方案和活动由妇女事务局与巴巴多斯的非政府组织界合作安排进行。</w:t>
      </w:r>
    </w:p>
    <w:p w:rsidR="00000000" w:rsidRDefault="00000000">
      <w:pPr>
        <w:pStyle w:val="SingleTxt"/>
        <w:spacing w:line="300" w:lineRule="exact"/>
        <w:rPr>
          <w:rFonts w:ascii="SimHei" w:eastAsia="SimHei" w:hint="eastAsia"/>
          <w:color w:val="FF0000"/>
        </w:rPr>
      </w:pPr>
      <w:r>
        <w:rPr>
          <w:rFonts w:ascii="SimHei" w:eastAsia="SimHei" w:hint="eastAsia"/>
          <w:color w:val="FF0000"/>
        </w:rPr>
        <w:t>资料来源：巴巴多斯商业和专业妇女俱乐部关于家庭暴力的手册。</w:t>
      </w:r>
    </w:p>
    <w:p w:rsidR="00000000" w:rsidRDefault="00000000">
      <w:pPr>
        <w:pStyle w:val="SingleTxt"/>
        <w:rPr>
          <w:rFonts w:ascii="SimHei" w:eastAsia="SimHei" w:hint="eastAsia"/>
          <w:color w:val="FF0000"/>
          <w:sz w:val="24"/>
        </w:rPr>
      </w:pPr>
      <w:r>
        <w:rPr>
          <w:rFonts w:ascii="SimHei" w:eastAsia="SimHei" w:hint="eastAsia"/>
          <w:color w:val="FF0000"/>
          <w:sz w:val="24"/>
        </w:rPr>
        <w:t>人口以及出生、死亡和婴儿死亡率</w:t>
      </w:r>
    </w:p>
    <w:tbl>
      <w:tblPr>
        <w:tblW w:w="0" w:type="auto"/>
        <w:tblInd w:w="12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cantSplit/>
          <w:trHeight w:val="23"/>
        </w:trPr>
        <w:tc>
          <w:tcPr>
            <w:tcW w:w="1045" w:type="dxa"/>
            <w:tcBorders>
              <w:bottom w:val="single" w:sz="12" w:space="0" w:color="auto"/>
            </w:tcBorders>
          </w:tcPr>
          <w:p w:rsidR="00000000" w:rsidRDefault="00000000">
            <w:pPr>
              <w:pStyle w:val="H1"/>
              <w:rPr>
                <w:rFonts w:ascii="KaiTi_GB2312" w:eastAsia="KaiTi_GB2312" w:hint="eastAsia"/>
                <w:color w:val="0000FF"/>
                <w:sz w:val="15"/>
              </w:rPr>
            </w:pPr>
          </w:p>
          <w:p w:rsidR="00000000" w:rsidRDefault="00000000">
            <w:pPr>
              <w:pStyle w:val="H1"/>
              <w:rPr>
                <w:rFonts w:ascii="KaiTi_GB2312" w:eastAsia="KaiTi_GB2312" w:hint="eastAsia"/>
                <w:color w:val="0000FF"/>
                <w:sz w:val="15"/>
              </w:rPr>
            </w:pPr>
            <w:r>
              <w:rPr>
                <w:rFonts w:ascii="KaiTi_GB2312" w:eastAsia="KaiTi_GB2312" w:hint="eastAsia"/>
                <w:color w:val="0000FF"/>
                <w:sz w:val="15"/>
              </w:rPr>
              <w:t>年度</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12月31日</w:t>
            </w:r>
            <w:r>
              <w:rPr>
                <w:rFonts w:ascii="KaiTi_GB2312" w:eastAsia="KaiTi_GB2312"/>
                <w:color w:val="0000FF"/>
                <w:sz w:val="15"/>
              </w:rPr>
              <w:br/>
            </w:r>
            <w:r>
              <w:rPr>
                <w:rFonts w:ascii="KaiTi_GB2312" w:eastAsia="KaiTi_GB2312" w:hint="eastAsia"/>
                <w:color w:val="0000FF"/>
                <w:sz w:val="15"/>
              </w:rPr>
              <w:t>居民数（千人）</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出生率</w:t>
            </w:r>
          </w:p>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（每千人）</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死亡率</w:t>
            </w:r>
          </w:p>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（每千人）</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自然增长率</w:t>
            </w:r>
            <w:r>
              <w:rPr>
                <w:rFonts w:ascii="KaiTi_GB2312" w:eastAsia="KaiTi_GB2312"/>
                <w:color w:val="0000FF"/>
                <w:sz w:val="15"/>
              </w:rPr>
              <w:br/>
            </w:r>
            <w:r>
              <w:rPr>
                <w:rFonts w:ascii="KaiTi_GB2312" w:eastAsia="KaiTi_GB2312" w:hint="eastAsia"/>
                <w:color w:val="0000FF"/>
                <w:sz w:val="15"/>
              </w:rPr>
              <w:t>（每千人）</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婴儿死亡率</w:t>
            </w:r>
            <w:r>
              <w:rPr>
                <w:rFonts w:ascii="KaiTi_GB2312" w:eastAsia="KaiTi_GB2312"/>
                <w:color w:val="0000FF"/>
                <w:sz w:val="15"/>
              </w:rPr>
              <w:br/>
            </w:r>
            <w:r>
              <w:rPr>
                <w:rFonts w:ascii="KaiTi_GB2312" w:eastAsia="KaiTi_GB2312" w:hint="eastAsia"/>
                <w:color w:val="0000FF"/>
                <w:sz w:val="15"/>
              </w:rPr>
              <w:t>（每千人）</w:t>
            </w:r>
          </w:p>
        </w:tc>
        <w:tc>
          <w:tcPr>
            <w:tcW w:w="1046" w:type="dxa"/>
            <w:tcBorders>
              <w:bottom w:val="single" w:sz="12"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人口增长</w:t>
            </w:r>
            <w:r>
              <w:rPr>
                <w:rFonts w:ascii="KaiTi_GB2312" w:eastAsia="KaiTi_GB2312"/>
                <w:color w:val="0000FF"/>
                <w:sz w:val="15"/>
              </w:rPr>
              <w:br/>
            </w:r>
            <w:r>
              <w:rPr>
                <w:rFonts w:ascii="KaiTi_GB2312" w:eastAsia="KaiTi_GB2312" w:hint="eastAsia"/>
                <w:color w:val="0000FF"/>
                <w:sz w:val="15"/>
              </w:rPr>
              <w:t>率（％）</w:t>
            </w:r>
          </w:p>
        </w:tc>
      </w:tr>
      <w:tr w:rsidR="00000000">
        <w:tblPrEx>
          <w:tblCellMar>
            <w:top w:w="0" w:type="dxa"/>
            <w:bottom w:w="0" w:type="dxa"/>
          </w:tblCellMar>
        </w:tblPrEx>
        <w:trPr>
          <w:cantSplit/>
          <w:trHeight w:val="23"/>
        </w:trPr>
        <w:tc>
          <w:tcPr>
            <w:tcW w:w="1045" w:type="dxa"/>
            <w:tcBorders>
              <w:top w:val="single" w:sz="12" w:space="0" w:color="auto"/>
            </w:tcBorders>
          </w:tcPr>
          <w:p w:rsidR="00000000" w:rsidRDefault="00000000">
            <w:pPr>
              <w:pStyle w:val="H1"/>
              <w:ind w:left="28" w:right="28"/>
              <w:rPr>
                <w:rFonts w:ascii="SimSun" w:eastAsia="SimSun"/>
                <w:color w:val="auto"/>
                <w:sz w:val="16"/>
              </w:rPr>
            </w:pPr>
            <w:r>
              <w:rPr>
                <w:rFonts w:ascii="SimSun" w:eastAsia="SimSun" w:hint="eastAsia"/>
                <w:color w:val="auto"/>
                <w:sz w:val="16"/>
              </w:rPr>
              <w:t>1978</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248.2</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17.4</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8.4</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9</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1046" w:type="dxa"/>
            <w:tcBorders>
              <w:top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1979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248.8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249.4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250.5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251.8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255.8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18.4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258.8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6.3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22.2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259.4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1989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260.3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6.7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18.2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260.8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0.5</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262.5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263.1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6.8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263.9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264.3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264.4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264.6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0.1</w:t>
            </w:r>
          </w:p>
        </w:tc>
      </w:tr>
      <w:tr w:rsidR="00000000">
        <w:tblPrEx>
          <w:tblCellMar>
            <w:top w:w="0" w:type="dxa"/>
            <w:bottom w:w="0" w:type="dxa"/>
          </w:tblCellMar>
        </w:tblPrEx>
        <w:trPr>
          <w:cantSplit/>
          <w:trHeight w:val="23"/>
        </w:trPr>
        <w:tc>
          <w:tcPr>
            <w:tcW w:w="1045" w:type="dxa"/>
          </w:tcPr>
          <w:p w:rsidR="00000000" w:rsidRDefault="00000000">
            <w:pPr>
              <w:pStyle w:val="H1"/>
              <w:ind w:left="28" w:right="28"/>
              <w:rPr>
                <w:rFonts w:ascii="SimSun" w:eastAsia="SimSun"/>
                <w:color w:val="auto"/>
                <w:sz w:val="16"/>
              </w:rPr>
            </w:pPr>
            <w:r>
              <w:rPr>
                <w:rFonts w:ascii="SimSun" w:eastAsia="SimSun"/>
                <w:color w:val="auto"/>
                <w:sz w:val="16"/>
              </w:rPr>
              <w:t>1997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266.1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0.6</w:t>
            </w:r>
          </w:p>
        </w:tc>
      </w:tr>
      <w:tr w:rsidR="00000000">
        <w:tblPrEx>
          <w:tblCellMar>
            <w:top w:w="0" w:type="dxa"/>
            <w:bottom w:w="0" w:type="dxa"/>
          </w:tblCellMar>
        </w:tblPrEx>
        <w:trPr>
          <w:cantSplit/>
          <w:trHeight w:val="23"/>
        </w:trPr>
        <w:tc>
          <w:tcPr>
            <w:tcW w:w="1045" w:type="dxa"/>
            <w:tcBorders>
              <w:bottom w:val="single" w:sz="4" w:space="0" w:color="auto"/>
            </w:tcBorders>
          </w:tcPr>
          <w:p w:rsidR="00000000" w:rsidRDefault="00000000">
            <w:pPr>
              <w:pStyle w:val="H1"/>
              <w:ind w:left="28" w:right="28"/>
              <w:rPr>
                <w:rFonts w:ascii="SimSun" w:eastAsia="SimSun"/>
                <w:color w:val="auto"/>
                <w:sz w:val="16"/>
              </w:rPr>
            </w:pPr>
            <w:r>
              <w:rPr>
                <w:rFonts w:ascii="SimSun" w:eastAsia="SimSun"/>
                <w:color w:val="auto"/>
                <w:sz w:val="16"/>
              </w:rPr>
              <w:t>1998</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266.8</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13.6</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9.3</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4.3</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7.8</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cantSplit/>
          <w:trHeight w:val="23"/>
        </w:trPr>
        <w:tc>
          <w:tcPr>
            <w:tcW w:w="1045" w:type="dxa"/>
            <w:tcBorders>
              <w:bottom w:val="single" w:sz="12" w:space="0" w:color="auto"/>
            </w:tcBorders>
          </w:tcPr>
          <w:p w:rsidR="00000000" w:rsidRDefault="00000000">
            <w:pPr>
              <w:pStyle w:val="H1"/>
              <w:ind w:left="28" w:right="28"/>
              <w:rPr>
                <w:rFonts w:ascii="SimSun" w:eastAsia="SimSun"/>
                <w:color w:val="auto"/>
                <w:sz w:val="16"/>
              </w:rPr>
            </w:pPr>
            <w:r>
              <w:rPr>
                <w:rFonts w:ascii="SimSun" w:eastAsia="SimSun"/>
                <w:color w:val="auto"/>
                <w:sz w:val="16"/>
              </w:rPr>
              <w:t>1999</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267.4</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14.5</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9.0</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5.5</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w:t>
            </w:r>
          </w:p>
        </w:tc>
        <w:tc>
          <w:tcPr>
            <w:tcW w:w="1046" w:type="dxa"/>
            <w:tcBorders>
              <w:bottom w:val="single" w:sz="12"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0.2</w:t>
            </w:r>
          </w:p>
        </w:tc>
      </w:tr>
    </w:tbl>
    <w:p w:rsidR="00000000" w:rsidRDefault="00000000">
      <w:pPr>
        <w:pStyle w:val="SingleTxt"/>
        <w:ind w:left="28" w:right="28"/>
        <w:rPr>
          <w:sz w:val="16"/>
        </w:rPr>
      </w:pPr>
    </w:p>
    <w:p w:rsidR="00000000" w:rsidRDefault="00000000">
      <w:pPr>
        <w:pStyle w:val="SingleTxt"/>
        <w:tabs>
          <w:tab w:val="clear" w:pos="3850"/>
          <w:tab w:val="clear" w:pos="4281"/>
          <w:tab w:val="clear" w:pos="4712"/>
          <w:tab w:val="clear" w:pos="5143"/>
          <w:tab w:val="clear" w:pos="5574"/>
          <w:tab w:val="clear" w:pos="6005"/>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hanging="1264"/>
        <w:rPr>
          <w:rFonts w:ascii="SimHei" w:eastAsia="SimHei" w:hint="eastAsia"/>
          <w:color w:val="FF0000"/>
          <w:sz w:val="18"/>
        </w:rPr>
      </w:pPr>
      <w:r>
        <w:br w:type="page"/>
      </w:r>
      <w:r>
        <w:tab/>
      </w:r>
      <w:r>
        <w:tab/>
      </w:r>
      <w:r>
        <w:rPr>
          <w:rFonts w:ascii="SimHei" w:eastAsia="SimHei" w:hint="eastAsia"/>
          <w:color w:val="FF0000"/>
          <w:sz w:val="28"/>
        </w:rPr>
        <w:t>户籍中的成年人口：1994-1998年活动状况</w:t>
      </w:r>
      <w:r>
        <w:rPr>
          <w:rFonts w:ascii="SimHei" w:eastAsia="SimHei"/>
          <w:color w:val="FF0000"/>
          <w:sz w:val="24"/>
        </w:rPr>
        <w:br/>
      </w:r>
      <w:r>
        <w:rPr>
          <w:rFonts w:ascii="SimHei" w:eastAsia="SimHei" w:hint="eastAsia"/>
          <w:color w:val="FF0000"/>
          <w:sz w:val="24"/>
        </w:rPr>
        <w:t>两性</w:t>
      </w:r>
    </w:p>
    <w:p w:rsidR="00000000" w:rsidRDefault="00000000">
      <w:pPr>
        <w:pStyle w:val="SingleTxt"/>
        <w:spacing w:after="240"/>
        <w:rPr>
          <w:rFonts w:ascii="KaiTi_GB2312" w:eastAsia="KaiTi_GB2312"/>
          <w:color w:val="0000FF"/>
          <w:sz w:val="18"/>
        </w:rPr>
      </w:pPr>
      <w:r>
        <w:rPr>
          <w:rFonts w:ascii="KaiTi_GB2312" w:eastAsia="KaiTi_GB2312" w:hint="eastAsia"/>
          <w:color w:val="0000FF"/>
          <w:sz w:val="18"/>
        </w:rPr>
        <w:t>（千人）</w:t>
      </w:r>
    </w:p>
    <w:tbl>
      <w:tblPr>
        <w:tblW w:w="0" w:type="auto"/>
        <w:tblInd w:w="110" w:type="dxa"/>
        <w:tblLayout w:type="fixed"/>
        <w:tblCellMar>
          <w:left w:w="0" w:type="dxa"/>
          <w:right w:w="0" w:type="dxa"/>
        </w:tblCellMar>
        <w:tblLook w:val="0000" w:firstRow="0" w:lastRow="0" w:firstColumn="0" w:lastColumn="0" w:noHBand="0" w:noVBand="0"/>
      </w:tblPr>
      <w:tblGrid>
        <w:gridCol w:w="2195"/>
        <w:gridCol w:w="613"/>
        <w:gridCol w:w="613"/>
        <w:gridCol w:w="614"/>
        <w:gridCol w:w="613"/>
        <w:gridCol w:w="613"/>
        <w:gridCol w:w="614"/>
        <w:gridCol w:w="613"/>
        <w:gridCol w:w="613"/>
        <w:gridCol w:w="614"/>
        <w:gridCol w:w="613"/>
        <w:gridCol w:w="613"/>
        <w:gridCol w:w="614"/>
      </w:tblGrid>
      <w:tr w:rsidR="00000000">
        <w:tblPrEx>
          <w:tblCellMar>
            <w:top w:w="0" w:type="dxa"/>
            <w:bottom w:w="0" w:type="dxa"/>
          </w:tblCellMar>
        </w:tblPrEx>
        <w:trPr>
          <w:cantSplit/>
          <w:trHeight w:val="23"/>
        </w:trPr>
        <w:tc>
          <w:tcPr>
            <w:tcW w:w="2195" w:type="dxa"/>
            <w:vMerge w:val="restart"/>
            <w:tcBorders>
              <w:top w:val="single" w:sz="4" w:space="0" w:color="auto"/>
              <w:left w:val="single" w:sz="4" w:space="0" w:color="auto"/>
              <w:bottom w:val="single" w:sz="4" w:space="0" w:color="auto"/>
              <w:right w:val="single" w:sz="4" w:space="0" w:color="auto"/>
            </w:tcBorders>
          </w:tcPr>
          <w:p w:rsidR="00000000" w:rsidRDefault="00000000">
            <w:pPr>
              <w:pStyle w:val="H1"/>
              <w:rPr>
                <w:rFonts w:ascii="KaiTi_GB2312" w:eastAsia="KaiTi_GB2312"/>
                <w:color w:val="0000FF"/>
                <w:sz w:val="15"/>
              </w:rPr>
            </w:pPr>
          </w:p>
          <w:p w:rsidR="00000000" w:rsidRDefault="00000000">
            <w:pPr>
              <w:pStyle w:val="H1"/>
              <w:rPr>
                <w:rFonts w:ascii="KaiTi_GB2312" w:eastAsia="KaiTi_GB2312"/>
                <w:color w:val="0000FF"/>
                <w:sz w:val="15"/>
              </w:rPr>
            </w:pPr>
            <w:r>
              <w:rPr>
                <w:rFonts w:ascii="KaiTi_GB2312" w:eastAsia="KaiTi_GB2312" w:hint="eastAsia"/>
                <w:color w:val="0000FF"/>
                <w:sz w:val="15"/>
              </w:rPr>
              <w:t>活动状况</w:t>
            </w:r>
          </w:p>
        </w:tc>
        <w:tc>
          <w:tcPr>
            <w:tcW w:w="7360" w:type="dxa"/>
            <w:gridSpan w:val="1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成年人口</w:t>
            </w:r>
          </w:p>
        </w:tc>
      </w:tr>
      <w:tr w:rsidR="00000000">
        <w:tblPrEx>
          <w:tblCellMar>
            <w:top w:w="0" w:type="dxa"/>
            <w:bottom w:w="0" w:type="dxa"/>
          </w:tblCellMar>
        </w:tblPrEx>
        <w:trPr>
          <w:cantSplit/>
          <w:trHeight w:val="23"/>
        </w:trPr>
        <w:tc>
          <w:tcPr>
            <w:tcW w:w="2195" w:type="dxa"/>
            <w:vMerge/>
            <w:tcBorders>
              <w:top w:val="single" w:sz="4" w:space="0" w:color="auto"/>
              <w:left w:val="single" w:sz="4" w:space="0" w:color="auto"/>
              <w:right w:val="single" w:sz="4" w:space="0" w:color="auto"/>
            </w:tcBorders>
          </w:tcPr>
          <w:p w:rsidR="00000000" w:rsidRDefault="00000000">
            <w:pPr>
              <w:pStyle w:val="H1"/>
              <w:rPr>
                <w:rFonts w:ascii="KaiTi_GB2312" w:eastAsia="KaiTi_GB2312" w:hint="eastAsia"/>
                <w:color w:val="0000FF"/>
                <w:sz w:val="15"/>
              </w:rPr>
            </w:pP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color w:val="0000FF"/>
                <w:sz w:val="15"/>
              </w:rPr>
            </w:pPr>
            <w:r>
              <w:rPr>
                <w:rFonts w:ascii="KaiTi_GB2312" w:eastAsia="KaiTi_GB2312" w:hint="eastAsia"/>
                <w:color w:val="0000FF"/>
                <w:sz w:val="15"/>
              </w:rPr>
              <w:t>1994年</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color w:val="0000FF"/>
                <w:sz w:val="15"/>
              </w:rPr>
            </w:pPr>
            <w:r>
              <w:rPr>
                <w:rFonts w:ascii="KaiTi_GB2312" w:eastAsia="KaiTi_GB2312" w:hint="eastAsia"/>
                <w:color w:val="0000FF"/>
                <w:sz w:val="15"/>
              </w:rPr>
              <w:t>1995年</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color w:val="0000FF"/>
                <w:sz w:val="15"/>
              </w:rPr>
            </w:pPr>
            <w:r>
              <w:rPr>
                <w:rFonts w:ascii="KaiTi_GB2312" w:eastAsia="KaiTi_GB2312" w:hint="eastAsia"/>
                <w:color w:val="0000FF"/>
                <w:sz w:val="15"/>
              </w:rPr>
              <w:t>1996年</w:t>
            </w: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color w:val="0000FF"/>
                <w:sz w:val="15"/>
              </w:rPr>
            </w:pPr>
            <w:r>
              <w:rPr>
                <w:rFonts w:ascii="KaiTi_GB2312" w:eastAsia="KaiTi_GB2312" w:hint="eastAsia"/>
                <w:color w:val="0000FF"/>
                <w:sz w:val="15"/>
              </w:rPr>
              <w:t>1997年</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color w:val="0000FF"/>
                <w:sz w:val="15"/>
              </w:rPr>
            </w:pPr>
            <w:r>
              <w:rPr>
                <w:rFonts w:ascii="KaiTi_GB2312" w:eastAsia="KaiTi_GB2312" w:hint="eastAsia"/>
                <w:color w:val="0000FF"/>
                <w:sz w:val="15"/>
              </w:rPr>
              <w:t>1998年</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jc w:val="center"/>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cantSplit/>
          <w:trHeight w:val="23"/>
        </w:trPr>
        <w:tc>
          <w:tcPr>
            <w:tcW w:w="2195" w:type="dxa"/>
            <w:tcBorders>
              <w:left w:val="single" w:sz="4" w:space="0" w:color="auto"/>
              <w:bottom w:val="single" w:sz="12" w:space="0" w:color="auto"/>
              <w:right w:val="single" w:sz="4" w:space="0" w:color="auto"/>
            </w:tcBorders>
          </w:tcPr>
          <w:p w:rsidR="00000000" w:rsidRDefault="00000000">
            <w:pPr>
              <w:pStyle w:val="H1"/>
              <w:ind w:left="28" w:right="28"/>
              <w:rPr>
                <w:rFonts w:ascii="KaiTi_GB2312" w:eastAsia="KaiTi_GB2312"/>
                <w:color w:val="0000FF"/>
                <w:sz w:val="15"/>
              </w:rPr>
            </w:pPr>
          </w:p>
        </w:tc>
        <w:tc>
          <w:tcPr>
            <w:tcW w:w="613"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3"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w:t>
            </w:r>
          </w:p>
        </w:tc>
        <w:tc>
          <w:tcPr>
            <w:tcW w:w="614"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3"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w:t>
            </w:r>
          </w:p>
        </w:tc>
        <w:tc>
          <w:tcPr>
            <w:tcW w:w="613"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4"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w:t>
            </w:r>
          </w:p>
        </w:tc>
        <w:tc>
          <w:tcPr>
            <w:tcW w:w="613"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3"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w:t>
            </w:r>
          </w:p>
        </w:tc>
        <w:tc>
          <w:tcPr>
            <w:tcW w:w="614"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3"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w:t>
            </w:r>
          </w:p>
        </w:tc>
        <w:tc>
          <w:tcPr>
            <w:tcW w:w="613" w:type="dxa"/>
            <w:tcBorders>
              <w:top w:val="single" w:sz="4" w:space="0" w:color="auto"/>
              <w:left w:val="single" w:sz="4" w:space="0" w:color="auto"/>
              <w:bottom w:val="single" w:sz="12" w:space="0" w:color="auto"/>
            </w:tcBorders>
          </w:tcPr>
          <w:p w:rsidR="00000000" w:rsidRDefault="00000000">
            <w:pPr>
              <w:pStyle w:val="H1"/>
              <w:ind w:left="28" w:right="28"/>
              <w:jc w:val="right"/>
              <w:rPr>
                <w:rFonts w:ascii="KaiTi_GB2312" w:eastAsia="KaiTi_GB2312"/>
                <w:color w:val="0000FF"/>
                <w:sz w:val="15"/>
              </w:rPr>
            </w:pPr>
            <w:r>
              <w:rPr>
                <w:rFonts w:ascii="KaiTi_GB2312" w:eastAsia="KaiTi_GB2312" w:hint="eastAsia"/>
                <w:color w:val="0000FF"/>
                <w:sz w:val="15"/>
              </w:rPr>
              <w:t>人数</w:t>
            </w:r>
          </w:p>
        </w:tc>
        <w:tc>
          <w:tcPr>
            <w:tcW w:w="614" w:type="dxa"/>
            <w:tcBorders>
              <w:top w:val="single" w:sz="4" w:space="0" w:color="auto"/>
              <w:bottom w:val="single" w:sz="12" w:space="0" w:color="auto"/>
              <w:right w:val="single" w:sz="4"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w:t>
            </w:r>
          </w:p>
        </w:tc>
      </w:tr>
      <w:tr w:rsidR="00000000">
        <w:tblPrEx>
          <w:tblCellMar>
            <w:top w:w="0" w:type="dxa"/>
            <w:bottom w:w="0" w:type="dxa"/>
          </w:tblCellMar>
        </w:tblPrEx>
        <w:trPr>
          <w:cantSplit/>
          <w:trHeight w:val="23"/>
        </w:trPr>
        <w:tc>
          <w:tcPr>
            <w:tcW w:w="2195" w:type="dxa"/>
            <w:tcBorders>
              <w:top w:val="single" w:sz="12" w:space="0" w:color="auto"/>
              <w:left w:val="single" w:sz="4" w:space="0" w:color="auto"/>
              <w:right w:val="single" w:sz="4" w:space="0" w:color="auto"/>
            </w:tcBorders>
          </w:tcPr>
          <w:p w:rsidR="00000000" w:rsidRDefault="00000000">
            <w:pPr>
              <w:pStyle w:val="H1"/>
              <w:ind w:left="28" w:right="28"/>
              <w:rPr>
                <w:rFonts w:hint="eastAsia"/>
                <w:sz w:val="16"/>
              </w:rPr>
            </w:pPr>
            <w:r>
              <w:rPr>
                <w:rFonts w:hint="eastAsia"/>
                <w:sz w:val="16"/>
              </w:rPr>
              <w:t>成年人总数</w:t>
            </w:r>
          </w:p>
        </w:tc>
        <w:tc>
          <w:tcPr>
            <w:tcW w:w="613"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200</w:t>
            </w:r>
            <w:r>
              <w:rPr>
                <w:rFonts w:ascii="SimSun" w:eastAsia="SimSun"/>
                <w:color w:val="auto"/>
                <w:sz w:val="16"/>
              </w:rPr>
              <w:t>.</w:t>
            </w:r>
            <w:r>
              <w:rPr>
                <w:rFonts w:ascii="SimSun" w:eastAsia="SimSun" w:hint="eastAsia"/>
                <w:color w:val="auto"/>
                <w:sz w:val="16"/>
              </w:rPr>
              <w:t>4</w:t>
            </w:r>
          </w:p>
        </w:tc>
        <w:tc>
          <w:tcPr>
            <w:tcW w:w="613"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100.0</w:t>
            </w:r>
          </w:p>
        </w:tc>
        <w:tc>
          <w:tcPr>
            <w:tcW w:w="614"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200.7</w:t>
            </w:r>
          </w:p>
        </w:tc>
        <w:tc>
          <w:tcPr>
            <w:tcW w:w="613"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100.0</w:t>
            </w:r>
          </w:p>
        </w:tc>
        <w:tc>
          <w:tcPr>
            <w:tcW w:w="613"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200.8</w:t>
            </w:r>
          </w:p>
        </w:tc>
        <w:tc>
          <w:tcPr>
            <w:tcW w:w="614"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100.0</w:t>
            </w:r>
          </w:p>
        </w:tc>
        <w:tc>
          <w:tcPr>
            <w:tcW w:w="613"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201.1</w:t>
            </w:r>
          </w:p>
        </w:tc>
        <w:tc>
          <w:tcPr>
            <w:tcW w:w="613"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100.0</w:t>
            </w:r>
          </w:p>
        </w:tc>
        <w:tc>
          <w:tcPr>
            <w:tcW w:w="614"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201.4</w:t>
            </w:r>
          </w:p>
        </w:tc>
        <w:tc>
          <w:tcPr>
            <w:tcW w:w="613"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100.0</w:t>
            </w:r>
          </w:p>
        </w:tc>
        <w:tc>
          <w:tcPr>
            <w:tcW w:w="613" w:type="dxa"/>
            <w:tcBorders>
              <w:top w:val="single" w:sz="12" w:space="0" w:color="auto"/>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201.8</w:t>
            </w:r>
          </w:p>
        </w:tc>
        <w:tc>
          <w:tcPr>
            <w:tcW w:w="614" w:type="dxa"/>
            <w:tcBorders>
              <w:top w:val="single" w:sz="12"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100.0</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hint="eastAsia"/>
                <w:sz w:val="16"/>
              </w:rPr>
            </w:pPr>
            <w:r>
              <w:rPr>
                <w:rFonts w:hint="eastAsia"/>
                <w:sz w:val="16"/>
              </w:rPr>
              <w:t>劳动力</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135.1</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67.4</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136.8</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68.2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135.4</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67.4</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135.8</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67.5</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136.3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67.7</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136.6</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67.7</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就业</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105.5</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52.6</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109.9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54.8</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114.3</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56.9</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116.1</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57.7</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119.6</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59.4</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122.4</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60.7</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失业</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29.6</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14.8</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13.4</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21.1</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10.5</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19.6</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9.7</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16.7</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8.3</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14.2</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7.1</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hint="eastAsia"/>
                <w:sz w:val="16"/>
              </w:rPr>
            </w:pPr>
            <w:r>
              <w:rPr>
                <w:rFonts w:hint="eastAsia"/>
                <w:sz w:val="16"/>
              </w:rPr>
              <w:t>非活动人口</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65.3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32</w:t>
            </w:r>
            <w:r>
              <w:rPr>
                <w:rFonts w:ascii="SimSun" w:eastAsia="SimSun"/>
                <w:color w:val="auto"/>
                <w:sz w:val="16"/>
              </w:rPr>
              <w:t>.</w:t>
            </w:r>
            <w:r>
              <w:rPr>
                <w:rFonts w:ascii="SimSun" w:eastAsia="SimSun" w:hint="eastAsia"/>
                <w:color w:val="auto"/>
                <w:sz w:val="16"/>
              </w:rPr>
              <w:t>6</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63.9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31.8</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65.4</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32.6</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65.3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32.5</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64.9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32.3</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64.9</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32.2</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管家</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8</w:t>
            </w:r>
            <w:r>
              <w:rPr>
                <w:rFonts w:ascii="SimSun" w:eastAsia="SimSun"/>
                <w:color w:val="auto"/>
                <w:sz w:val="16"/>
              </w:rPr>
              <w:t>.</w:t>
            </w:r>
            <w:r>
              <w:rPr>
                <w:rFonts w:ascii="SimSun" w:eastAsia="SimSun" w:hint="eastAsia"/>
                <w:color w:val="auto"/>
                <w:sz w:val="16"/>
              </w:rPr>
              <w:t>4</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16.5</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8.2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14.3</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7.1</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12.5</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6.2</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11.7</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5.8</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11.7</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5.8</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在学</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13.4</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6</w:t>
            </w:r>
            <w:r>
              <w:rPr>
                <w:rFonts w:ascii="SimSun" w:eastAsia="SimSun"/>
                <w:color w:val="auto"/>
                <w:sz w:val="16"/>
              </w:rPr>
              <w:t>.</w:t>
            </w:r>
            <w:r>
              <w:rPr>
                <w:rFonts w:ascii="SimSun" w:eastAsia="SimSun" w:hint="eastAsia"/>
                <w:color w:val="auto"/>
                <w:sz w:val="16"/>
              </w:rPr>
              <w:t>7</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12.4</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12.7</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6.3</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6.4</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6.1</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12.5</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6.2</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退休</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26.1</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13</w:t>
            </w:r>
            <w:r>
              <w:rPr>
                <w:rFonts w:ascii="SimSun" w:eastAsia="SimSun"/>
                <w:color w:val="auto"/>
                <w:sz w:val="16"/>
              </w:rPr>
              <w:t>.</w:t>
            </w:r>
            <w:r>
              <w:rPr>
                <w:rFonts w:ascii="SimSun" w:eastAsia="SimSun" w:hint="eastAsia"/>
                <w:color w:val="auto"/>
                <w:sz w:val="16"/>
              </w:rPr>
              <w:t>0</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26.3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13.1</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30.5</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15.2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32.9</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16.4</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34.2</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17.0</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34.1</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16.9</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残疾</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3.7</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1</w:t>
            </w:r>
            <w:r>
              <w:rPr>
                <w:rFonts w:ascii="SimSun" w:eastAsia="SimSun"/>
                <w:color w:val="auto"/>
                <w:sz w:val="16"/>
              </w:rPr>
              <w:t>.</w:t>
            </w:r>
            <w:r>
              <w:rPr>
                <w:rFonts w:ascii="SimSun" w:eastAsia="SimSun" w:hint="eastAsia"/>
                <w:color w:val="auto"/>
                <w:sz w:val="16"/>
              </w:rPr>
              <w:t>8</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3.3</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3.0</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1.5</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1.3</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3.1</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1.5</w:t>
            </w:r>
          </w:p>
        </w:tc>
      </w:tr>
      <w:tr w:rsidR="00000000">
        <w:tblPrEx>
          <w:tblCellMar>
            <w:top w:w="0" w:type="dxa"/>
            <w:bottom w:w="0" w:type="dxa"/>
          </w:tblCellMar>
        </w:tblPrEx>
        <w:trPr>
          <w:cantSplit/>
          <w:trHeight w:val="23"/>
        </w:trPr>
        <w:tc>
          <w:tcPr>
            <w:tcW w:w="2195" w:type="dxa"/>
            <w:tcBorders>
              <w:left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自动闲散</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2.8</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1</w:t>
            </w:r>
            <w:r>
              <w:rPr>
                <w:rFonts w:ascii="SimSun" w:eastAsia="SimSun"/>
                <w:color w:val="auto"/>
                <w:sz w:val="16"/>
              </w:rPr>
              <w:t>.</w:t>
            </w:r>
            <w:r>
              <w:rPr>
                <w:rFonts w:ascii="SimSun" w:eastAsia="SimSun" w:hint="eastAsia"/>
                <w:color w:val="auto"/>
                <w:sz w:val="16"/>
              </w:rPr>
              <w:t>4</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2.5</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0.9</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0.5</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0.2</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614"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0.4</w:t>
            </w:r>
          </w:p>
        </w:tc>
        <w:tc>
          <w:tcPr>
            <w:tcW w:w="613"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0.2</w:t>
            </w:r>
          </w:p>
        </w:tc>
        <w:tc>
          <w:tcPr>
            <w:tcW w:w="613" w:type="dxa"/>
            <w:tcBorders>
              <w:lef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c>
          <w:tcPr>
            <w:tcW w:w="614" w:type="dxa"/>
            <w:tcBorders>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r>
      <w:tr w:rsidR="00000000">
        <w:tblPrEx>
          <w:tblCellMar>
            <w:top w:w="0" w:type="dxa"/>
            <w:bottom w:w="0" w:type="dxa"/>
          </w:tblCellMar>
        </w:tblPrEx>
        <w:trPr>
          <w:cantSplit/>
          <w:trHeight w:val="23"/>
        </w:trPr>
        <w:tc>
          <w:tcPr>
            <w:tcW w:w="2195" w:type="dxa"/>
            <w:tcBorders>
              <w:left w:val="single" w:sz="4" w:space="0" w:color="auto"/>
              <w:bottom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ab/>
              <w:t>其他</w:t>
            </w:r>
          </w:p>
        </w:tc>
        <w:tc>
          <w:tcPr>
            <w:tcW w:w="613"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2.4</w:t>
            </w:r>
          </w:p>
        </w:tc>
        <w:tc>
          <w:tcPr>
            <w:tcW w:w="613" w:type="dxa"/>
            <w:tcBorders>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1</w:t>
            </w:r>
            <w:r>
              <w:rPr>
                <w:rFonts w:ascii="SimSun" w:eastAsia="SimSun"/>
                <w:color w:val="auto"/>
                <w:sz w:val="16"/>
              </w:rPr>
              <w:t>.</w:t>
            </w:r>
            <w:r>
              <w:rPr>
                <w:rFonts w:ascii="SimSun" w:eastAsia="SimSun" w:hint="eastAsia"/>
                <w:color w:val="auto"/>
                <w:sz w:val="16"/>
              </w:rPr>
              <w:t>2</w:t>
            </w:r>
          </w:p>
        </w:tc>
        <w:tc>
          <w:tcPr>
            <w:tcW w:w="614"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3.0</w:t>
            </w:r>
          </w:p>
        </w:tc>
        <w:tc>
          <w:tcPr>
            <w:tcW w:w="613" w:type="dxa"/>
            <w:tcBorders>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1.5</w:t>
            </w:r>
          </w:p>
        </w:tc>
        <w:tc>
          <w:tcPr>
            <w:tcW w:w="613"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4.0</w:t>
            </w:r>
          </w:p>
        </w:tc>
        <w:tc>
          <w:tcPr>
            <w:tcW w:w="614" w:type="dxa"/>
            <w:tcBorders>
              <w:left w:val="nil"/>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w:t>
            </w:r>
          </w:p>
        </w:tc>
        <w:tc>
          <w:tcPr>
            <w:tcW w:w="613"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4.0</w:t>
            </w:r>
          </w:p>
        </w:tc>
        <w:tc>
          <w:tcPr>
            <w:tcW w:w="613" w:type="dxa"/>
            <w:tcBorders>
              <w:left w:val="nil"/>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2.0</w:t>
            </w:r>
          </w:p>
        </w:tc>
        <w:tc>
          <w:tcPr>
            <w:tcW w:w="614"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3.7</w:t>
            </w:r>
          </w:p>
        </w:tc>
        <w:tc>
          <w:tcPr>
            <w:tcW w:w="613" w:type="dxa"/>
            <w:tcBorders>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1.8</w:t>
            </w:r>
          </w:p>
        </w:tc>
        <w:tc>
          <w:tcPr>
            <w:tcW w:w="613" w:type="dxa"/>
            <w:tcBorders>
              <w:left w:val="single" w:sz="4" w:space="0" w:color="auto"/>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3.2</w:t>
            </w:r>
          </w:p>
        </w:tc>
        <w:tc>
          <w:tcPr>
            <w:tcW w:w="614" w:type="dxa"/>
            <w:tcBorders>
              <w:bottom w:val="single" w:sz="4" w:space="0" w:color="auto"/>
              <w:right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1.6</w:t>
            </w:r>
          </w:p>
        </w:tc>
      </w:tr>
      <w:tr w:rsidR="00000000">
        <w:tblPrEx>
          <w:tblCellMar>
            <w:top w:w="0" w:type="dxa"/>
            <w:bottom w:w="0" w:type="dxa"/>
          </w:tblCellMar>
        </w:tblPrEx>
        <w:trPr>
          <w:cantSplit/>
          <w:trHeight w:val="23"/>
        </w:trPr>
        <w:tc>
          <w:tcPr>
            <w:tcW w:w="2195" w:type="dxa"/>
            <w:tcBorders>
              <w:top w:val="single" w:sz="4" w:space="0" w:color="auto"/>
              <w:left w:val="single" w:sz="4" w:space="0" w:color="auto"/>
              <w:bottom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hint="eastAsia"/>
                <w:sz w:val="16"/>
              </w:rPr>
              <w:t>劳动力中的失业％＊</w:t>
            </w:r>
            <w:r>
              <w:rPr>
                <w:rFonts w:ascii="KaiTi_GB2312" w:eastAsia="KaiTi_GB2312" w:hint="eastAsia"/>
                <w:color w:val="0000FF"/>
                <w:sz w:val="16"/>
              </w:rPr>
              <w:t>（失业率）</w:t>
            </w: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21.9</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19.7</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15.6</w:t>
            </w: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14.5</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12.3</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10.4</w:t>
            </w:r>
          </w:p>
        </w:tc>
      </w:tr>
      <w:tr w:rsidR="00000000">
        <w:tblPrEx>
          <w:tblCellMar>
            <w:top w:w="0" w:type="dxa"/>
            <w:bottom w:w="0" w:type="dxa"/>
          </w:tblCellMar>
        </w:tblPrEx>
        <w:trPr>
          <w:cantSplit/>
          <w:trHeight w:val="23"/>
        </w:trPr>
        <w:tc>
          <w:tcPr>
            <w:tcW w:w="2195" w:type="dxa"/>
            <w:tcBorders>
              <w:top w:val="single" w:sz="4" w:space="0" w:color="auto"/>
              <w:left w:val="single" w:sz="4" w:space="0" w:color="auto"/>
              <w:bottom w:val="single" w:sz="4" w:space="0" w:color="auto"/>
              <w:right w:val="single" w:sz="4" w:space="0" w:color="auto"/>
            </w:tcBorders>
          </w:tcPr>
          <w:p w:rsidR="00000000" w:rsidRDefault="00000000">
            <w:pPr>
              <w:pStyle w:val="H1"/>
              <w:ind w:left="28" w:right="28"/>
              <w:rPr>
                <w:rFonts w:ascii="SimSun" w:eastAsia="SimSun" w:hint="eastAsia"/>
                <w:color w:val="auto"/>
                <w:sz w:val="16"/>
              </w:rPr>
            </w:pPr>
            <w:r>
              <w:rPr>
                <w:rFonts w:hint="eastAsia"/>
                <w:sz w:val="16"/>
              </w:rPr>
              <w:t>劳动力中的就业％</w:t>
            </w:r>
            <w:r>
              <w:rPr>
                <w:rFonts w:ascii="KaiTi_GB2312" w:eastAsia="KaiTi_GB2312" w:hint="eastAsia"/>
                <w:color w:val="0000FF"/>
                <w:sz w:val="16"/>
              </w:rPr>
              <w:t>（就业率）</w:t>
            </w: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78.1</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80.3</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84.4</w:t>
            </w:r>
          </w:p>
        </w:tc>
        <w:tc>
          <w:tcPr>
            <w:tcW w:w="1226"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85.5</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87.7</w:t>
            </w:r>
          </w:p>
        </w:tc>
        <w:tc>
          <w:tcPr>
            <w:tcW w:w="1227" w:type="dxa"/>
            <w:gridSpan w:val="2"/>
            <w:tcBorders>
              <w:top w:val="single" w:sz="4" w:space="0" w:color="auto"/>
              <w:left w:val="single" w:sz="4" w:space="0" w:color="auto"/>
              <w:bottom w:val="single" w:sz="4"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89.6</w:t>
            </w:r>
          </w:p>
        </w:tc>
      </w:tr>
      <w:tr w:rsidR="00000000">
        <w:tblPrEx>
          <w:tblCellMar>
            <w:top w:w="0" w:type="dxa"/>
            <w:bottom w:w="0" w:type="dxa"/>
          </w:tblCellMar>
        </w:tblPrEx>
        <w:trPr>
          <w:cantSplit/>
          <w:trHeight w:val="23"/>
        </w:trPr>
        <w:tc>
          <w:tcPr>
            <w:tcW w:w="2195" w:type="dxa"/>
            <w:tcBorders>
              <w:top w:val="single" w:sz="4" w:space="0" w:color="auto"/>
              <w:left w:val="single" w:sz="4" w:space="0" w:color="auto"/>
              <w:bottom w:val="single" w:sz="12" w:space="0" w:color="auto"/>
              <w:right w:val="single" w:sz="4" w:space="0" w:color="auto"/>
            </w:tcBorders>
          </w:tcPr>
          <w:p w:rsidR="00000000" w:rsidRDefault="00000000">
            <w:pPr>
              <w:pStyle w:val="H1"/>
              <w:ind w:left="28" w:right="28"/>
              <w:rPr>
                <w:rFonts w:ascii="SimSun" w:eastAsia="SimSun" w:hint="eastAsia"/>
                <w:color w:val="auto"/>
                <w:sz w:val="16"/>
              </w:rPr>
            </w:pPr>
            <w:r>
              <w:rPr>
                <w:rFonts w:hint="eastAsia"/>
                <w:sz w:val="16"/>
              </w:rPr>
              <w:t>成年人口中的劳动力％</w:t>
            </w:r>
            <w:r>
              <w:rPr>
                <w:rFonts w:ascii="KaiTi_GB2312" w:eastAsia="KaiTi_GB2312" w:hint="eastAsia"/>
                <w:color w:val="0000FF"/>
                <w:sz w:val="16"/>
              </w:rPr>
              <w:t>（参加劳动率）＊＊</w:t>
            </w:r>
          </w:p>
        </w:tc>
        <w:tc>
          <w:tcPr>
            <w:tcW w:w="1226"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67.4</w:t>
            </w:r>
          </w:p>
        </w:tc>
        <w:tc>
          <w:tcPr>
            <w:tcW w:w="1227"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68.2</w:t>
            </w:r>
          </w:p>
        </w:tc>
        <w:tc>
          <w:tcPr>
            <w:tcW w:w="1227"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67.4</w:t>
            </w:r>
          </w:p>
        </w:tc>
        <w:tc>
          <w:tcPr>
            <w:tcW w:w="1226"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67.5</w:t>
            </w:r>
          </w:p>
        </w:tc>
        <w:tc>
          <w:tcPr>
            <w:tcW w:w="1227"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67.7</w:t>
            </w:r>
          </w:p>
        </w:tc>
        <w:tc>
          <w:tcPr>
            <w:tcW w:w="1227" w:type="dxa"/>
            <w:gridSpan w:val="2"/>
            <w:tcBorders>
              <w:top w:val="single" w:sz="4" w:space="0" w:color="auto"/>
              <w:left w:val="single" w:sz="4" w:space="0" w:color="auto"/>
              <w:bottom w:val="single" w:sz="12" w:space="0" w:color="auto"/>
              <w:right w:val="single" w:sz="4" w:space="0" w:color="auto"/>
            </w:tcBorders>
          </w:tcPr>
          <w:p w:rsidR="00000000" w:rsidRDefault="00000000">
            <w:pPr>
              <w:pStyle w:val="H1"/>
              <w:ind w:left="28" w:right="28"/>
              <w:jc w:val="center"/>
              <w:rPr>
                <w:rFonts w:ascii="SimSun" w:eastAsia="SimSun"/>
                <w:color w:val="auto"/>
                <w:sz w:val="16"/>
              </w:rPr>
            </w:pPr>
            <w:r>
              <w:rPr>
                <w:rFonts w:ascii="SimSun" w:eastAsia="SimSun"/>
                <w:color w:val="auto"/>
                <w:sz w:val="16"/>
              </w:rPr>
              <w:t>67.7</w:t>
            </w:r>
          </w:p>
        </w:tc>
      </w:tr>
    </w:tbl>
    <w:p w:rsidR="00000000" w:rsidRDefault="00000000">
      <w:pPr>
        <w:pStyle w:val="SingleTxt"/>
        <w:spacing w:after="0"/>
        <w:ind w:left="0"/>
        <w:rPr>
          <w:vertAlign w:val="superscript"/>
        </w:rPr>
      </w:pPr>
    </w:p>
    <w:p w:rsidR="00000000" w:rsidRDefault="00000000">
      <w:pPr>
        <w:pStyle w:val="SingleTxt"/>
        <w:ind w:left="0"/>
        <w:rPr>
          <w:rFonts w:hint="eastAsia"/>
          <w:sz w:val="16"/>
        </w:rPr>
      </w:pPr>
      <w:r>
        <w:rPr>
          <w:vertAlign w:val="superscript"/>
        </w:rPr>
        <w:t>*</w:t>
      </w:r>
      <w:r>
        <w:t xml:space="preserve"> </w:t>
      </w:r>
      <w:r>
        <w:rPr>
          <w:rFonts w:hint="eastAsia"/>
        </w:rPr>
        <w:t xml:space="preserve"> </w:t>
      </w:r>
      <w:r>
        <w:rPr>
          <w:rFonts w:hint="eastAsia"/>
          <w:sz w:val="16"/>
        </w:rPr>
        <w:t>失业率＝失业人数/劳动力＊100。</w:t>
      </w:r>
    </w:p>
    <w:p w:rsidR="00000000" w:rsidRDefault="00000000">
      <w:pPr>
        <w:pStyle w:val="SingleTxt"/>
        <w:ind w:left="0"/>
        <w:rPr>
          <w:sz w:val="16"/>
        </w:rPr>
      </w:pPr>
      <w:r>
        <w:rPr>
          <w:sz w:val="16"/>
          <w:vertAlign w:val="superscript"/>
        </w:rPr>
        <w:t>**</w:t>
      </w:r>
      <w:r>
        <w:rPr>
          <w:rFonts w:hint="eastAsia"/>
          <w:sz w:val="16"/>
        </w:rPr>
        <w:t xml:space="preserve">  参加劳动率＝劳动力/成年人口＊100。</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rPr>
          <w:sz w:val="16"/>
        </w:rPr>
        <w:br w:type="page"/>
      </w:r>
      <w:r>
        <w:rPr>
          <w:sz w:val="16"/>
        </w:rPr>
        <w:tab/>
      </w:r>
      <w:r>
        <w:rPr>
          <w:sz w:val="16"/>
        </w:rPr>
        <w:tab/>
      </w:r>
      <w:r>
        <w:rPr>
          <w:rFonts w:hint="eastAsia"/>
        </w:rPr>
        <w:t>户籍中的成年人口：</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tab/>
      </w:r>
      <w:r>
        <w:tab/>
      </w:r>
      <w:r>
        <w:rPr>
          <w:rFonts w:hint="eastAsia"/>
        </w:rPr>
        <w:t>1994-1998年活动状况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pPr>
      <w:r>
        <w:tab/>
      </w:r>
      <w:r>
        <w:tab/>
      </w:r>
      <w:r>
        <w:rPr>
          <w:rFonts w:hint="eastAsia"/>
        </w:rPr>
        <w:t>男性</w:t>
      </w:r>
    </w:p>
    <w:p w:rsidR="00000000" w:rsidRDefault="00000000">
      <w:pPr>
        <w:pStyle w:val="SingleTxt"/>
        <w:spacing w:before="60" w:after="120"/>
        <w:rPr>
          <w:rFonts w:ascii="KaiTi_GB2312" w:eastAsia="KaiTi_GB2312"/>
          <w:color w:val="0000FF"/>
          <w:sz w:val="24"/>
        </w:rPr>
      </w:pPr>
      <w:r>
        <w:rPr>
          <w:rFonts w:ascii="KaiTi_GB2312" w:eastAsia="KaiTi_GB2312" w:hint="eastAsia"/>
          <w:color w:val="0000FF"/>
          <w:sz w:val="24"/>
        </w:rPr>
        <w:t>（千人）</w:t>
      </w:r>
    </w:p>
    <w:tbl>
      <w:tblPr>
        <w:tblW w:w="9653"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2"/>
        <w:gridCol w:w="610"/>
        <w:gridCol w:w="680"/>
        <w:gridCol w:w="679"/>
        <w:gridCol w:w="666"/>
        <w:gridCol w:w="13"/>
        <w:gridCol w:w="678"/>
        <w:gridCol w:w="667"/>
        <w:gridCol w:w="12"/>
        <w:gridCol w:w="679"/>
        <w:gridCol w:w="679"/>
        <w:gridCol w:w="678"/>
        <w:gridCol w:w="680"/>
        <w:gridCol w:w="679"/>
        <w:gridCol w:w="681"/>
      </w:tblGrid>
      <w:tr w:rsidR="00000000">
        <w:tblPrEx>
          <w:tblCellMar>
            <w:top w:w="0" w:type="dxa"/>
            <w:bottom w:w="0" w:type="dxa"/>
          </w:tblCellMar>
        </w:tblPrEx>
        <w:trPr>
          <w:cantSplit/>
        </w:trPr>
        <w:tc>
          <w:tcPr>
            <w:tcW w:w="1572" w:type="dxa"/>
            <w:vMerge w:val="restart"/>
          </w:tcPr>
          <w:p w:rsidR="00000000" w:rsidRDefault="00000000">
            <w:pPr>
              <w:pStyle w:val="SingleTxt"/>
              <w:spacing w:after="60" w:line="240" w:lineRule="exact"/>
              <w:rPr>
                <w:rFonts w:ascii="KaiTi_GB2312" w:eastAsia="KaiTi_GB2312"/>
                <w:color w:val="0000FF"/>
                <w:sz w:val="15"/>
              </w:rPr>
            </w:pPr>
          </w:p>
          <w:p w:rsidR="00000000" w:rsidRDefault="00000000">
            <w:pPr>
              <w:pStyle w:val="H1"/>
              <w:spacing w:after="60" w:line="240" w:lineRule="exact"/>
              <w:rPr>
                <w:rFonts w:ascii="KaiTi_GB2312" w:eastAsia="KaiTi_GB2312" w:hint="eastAsia"/>
                <w:color w:val="0000FF"/>
                <w:sz w:val="15"/>
              </w:rPr>
            </w:pPr>
            <w:r>
              <w:rPr>
                <w:rFonts w:ascii="KaiTi_GB2312" w:eastAsia="KaiTi_GB2312" w:hint="eastAsia"/>
                <w:color w:val="0000FF"/>
                <w:sz w:val="15"/>
              </w:rPr>
              <w:t>活动状况</w:t>
            </w:r>
          </w:p>
        </w:tc>
        <w:tc>
          <w:tcPr>
            <w:tcW w:w="8081" w:type="dxa"/>
            <w:gridSpan w:val="14"/>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成年人口</w:t>
            </w:r>
          </w:p>
        </w:tc>
      </w:tr>
      <w:tr w:rsidR="00000000">
        <w:tblPrEx>
          <w:tblCellMar>
            <w:top w:w="0" w:type="dxa"/>
            <w:bottom w:w="0" w:type="dxa"/>
          </w:tblCellMar>
        </w:tblPrEx>
        <w:trPr>
          <w:cantSplit/>
        </w:trPr>
        <w:tc>
          <w:tcPr>
            <w:tcW w:w="1572" w:type="dxa"/>
            <w:vMerge/>
            <w:tcBorders>
              <w:bottom w:val="nil"/>
            </w:tcBorders>
          </w:tcPr>
          <w:p w:rsidR="00000000" w:rsidRDefault="00000000">
            <w:pPr>
              <w:pStyle w:val="H1"/>
              <w:spacing w:after="60" w:line="240" w:lineRule="exact"/>
              <w:rPr>
                <w:rFonts w:ascii="KaiTi_GB2312" w:eastAsia="KaiTi_GB2312"/>
                <w:color w:val="0000FF"/>
                <w:sz w:val="15"/>
              </w:rPr>
            </w:pPr>
          </w:p>
        </w:tc>
        <w:tc>
          <w:tcPr>
            <w:tcW w:w="1290"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1994年</w:t>
            </w:r>
          </w:p>
        </w:tc>
        <w:tc>
          <w:tcPr>
            <w:tcW w:w="1358" w:type="dxa"/>
            <w:gridSpan w:val="3"/>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1995年</w:t>
            </w:r>
          </w:p>
        </w:tc>
        <w:tc>
          <w:tcPr>
            <w:tcW w:w="1357" w:type="dxa"/>
            <w:gridSpan w:val="3"/>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1996年</w:t>
            </w:r>
          </w:p>
        </w:tc>
        <w:tc>
          <w:tcPr>
            <w:tcW w:w="1358"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1997年</w:t>
            </w:r>
          </w:p>
        </w:tc>
        <w:tc>
          <w:tcPr>
            <w:tcW w:w="1358"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1998年</w:t>
            </w:r>
          </w:p>
        </w:tc>
        <w:tc>
          <w:tcPr>
            <w:tcW w:w="1360"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cantSplit/>
          <w:trHeight w:val="227"/>
        </w:trPr>
        <w:tc>
          <w:tcPr>
            <w:tcW w:w="1572" w:type="dxa"/>
            <w:tcBorders>
              <w:top w:val="nil"/>
              <w:bottom w:val="single" w:sz="12" w:space="0" w:color="auto"/>
              <w:right w:val="single" w:sz="4" w:space="0" w:color="auto"/>
            </w:tcBorders>
          </w:tcPr>
          <w:p w:rsidR="00000000" w:rsidRDefault="00000000">
            <w:pPr>
              <w:pStyle w:val="SingleTxt"/>
              <w:spacing w:after="60" w:line="240" w:lineRule="exact"/>
              <w:rPr>
                <w:rFonts w:ascii="KaiTi_GB2312" w:eastAsia="KaiTi_GB2312"/>
                <w:color w:val="0000FF"/>
                <w:sz w:val="15"/>
              </w:rPr>
            </w:pPr>
          </w:p>
        </w:tc>
        <w:tc>
          <w:tcPr>
            <w:tcW w:w="610"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80"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w:t>
            </w:r>
          </w:p>
        </w:tc>
        <w:tc>
          <w:tcPr>
            <w:tcW w:w="679"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79" w:type="dxa"/>
            <w:gridSpan w:val="2"/>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w:t>
            </w:r>
          </w:p>
        </w:tc>
        <w:tc>
          <w:tcPr>
            <w:tcW w:w="678"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79" w:type="dxa"/>
            <w:gridSpan w:val="2"/>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79"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79"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78"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80"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79"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81"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r>
      <w:tr w:rsidR="00000000">
        <w:tblPrEx>
          <w:tblCellMar>
            <w:top w:w="0" w:type="dxa"/>
            <w:bottom w:w="0" w:type="dxa"/>
          </w:tblCellMar>
        </w:tblPrEx>
        <w:trPr>
          <w:cantSplit/>
        </w:trPr>
        <w:tc>
          <w:tcPr>
            <w:tcW w:w="1572" w:type="dxa"/>
            <w:tcBorders>
              <w:top w:val="single" w:sz="12" w:space="0" w:color="auto"/>
              <w:bottom w:val="single" w:sz="4" w:space="0" w:color="auto"/>
              <w:right w:val="single" w:sz="4" w:space="0" w:color="auto"/>
            </w:tcBorders>
            <w:tcMar>
              <w:left w:w="28" w:type="dxa"/>
              <w:right w:w="28" w:type="dxa"/>
            </w:tcMar>
          </w:tcPr>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成年人总数</w:t>
            </w:r>
          </w:p>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劳动力</w:t>
            </w:r>
          </w:p>
          <w:p w:rsidR="00000000" w:rsidRDefault="00000000">
            <w:pPr>
              <w:pStyle w:val="SingleTxt"/>
              <w:spacing w:after="0"/>
              <w:ind w:left="0" w:right="0"/>
              <w:rPr>
                <w:rFonts w:hint="eastAsia"/>
                <w:sz w:val="17"/>
              </w:rPr>
            </w:pPr>
            <w:r>
              <w:rPr>
                <w:rFonts w:hint="eastAsia"/>
                <w:sz w:val="17"/>
              </w:rPr>
              <w:t xml:space="preserve">  就业</w:t>
            </w:r>
          </w:p>
          <w:p w:rsidR="00000000" w:rsidRDefault="00000000">
            <w:pPr>
              <w:pStyle w:val="SingleTxt"/>
              <w:spacing w:after="0"/>
              <w:ind w:left="0" w:right="0"/>
              <w:rPr>
                <w:rFonts w:hint="eastAsia"/>
                <w:sz w:val="17"/>
              </w:rPr>
            </w:pPr>
            <w:r>
              <w:rPr>
                <w:rFonts w:hint="eastAsia"/>
                <w:sz w:val="17"/>
              </w:rPr>
              <w:t xml:space="preserve">  失业</w:t>
            </w:r>
          </w:p>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非活动人口</w:t>
            </w:r>
          </w:p>
          <w:p w:rsidR="00000000" w:rsidRDefault="00000000">
            <w:pPr>
              <w:pStyle w:val="SingleTxt"/>
              <w:spacing w:after="0"/>
              <w:ind w:left="0" w:right="0"/>
              <w:rPr>
                <w:rFonts w:hint="eastAsia"/>
                <w:sz w:val="17"/>
              </w:rPr>
            </w:pPr>
            <w:r>
              <w:rPr>
                <w:rFonts w:hint="eastAsia"/>
                <w:sz w:val="17"/>
              </w:rPr>
              <w:t xml:space="preserve">  管家</w:t>
            </w:r>
          </w:p>
          <w:p w:rsidR="00000000" w:rsidRDefault="00000000">
            <w:pPr>
              <w:pStyle w:val="SingleTxt"/>
              <w:spacing w:after="0"/>
              <w:ind w:left="0" w:right="0"/>
              <w:rPr>
                <w:rFonts w:hint="eastAsia"/>
                <w:sz w:val="17"/>
              </w:rPr>
            </w:pPr>
            <w:r>
              <w:rPr>
                <w:rFonts w:hint="eastAsia"/>
                <w:sz w:val="17"/>
              </w:rPr>
              <w:t xml:space="preserve">  在学</w:t>
            </w:r>
          </w:p>
          <w:p w:rsidR="00000000" w:rsidRDefault="00000000">
            <w:pPr>
              <w:pStyle w:val="SingleTxt"/>
              <w:spacing w:after="0"/>
              <w:ind w:left="0" w:right="0"/>
              <w:rPr>
                <w:rFonts w:hint="eastAsia"/>
                <w:sz w:val="17"/>
              </w:rPr>
            </w:pPr>
            <w:r>
              <w:rPr>
                <w:rFonts w:hint="eastAsia"/>
                <w:sz w:val="17"/>
              </w:rPr>
              <w:t xml:space="preserve">  退休</w:t>
            </w:r>
          </w:p>
          <w:p w:rsidR="00000000" w:rsidRDefault="00000000">
            <w:pPr>
              <w:pStyle w:val="SingleTxt"/>
              <w:spacing w:after="0"/>
              <w:ind w:left="0" w:right="0"/>
              <w:rPr>
                <w:rFonts w:hint="eastAsia"/>
                <w:sz w:val="17"/>
              </w:rPr>
            </w:pPr>
            <w:r>
              <w:rPr>
                <w:rFonts w:hint="eastAsia"/>
                <w:sz w:val="17"/>
              </w:rPr>
              <w:t xml:space="preserve">  残疾</w:t>
            </w:r>
          </w:p>
          <w:p w:rsidR="00000000" w:rsidRDefault="00000000">
            <w:pPr>
              <w:pStyle w:val="SingleTxt"/>
              <w:spacing w:after="0"/>
              <w:ind w:left="0" w:right="0"/>
              <w:rPr>
                <w:rFonts w:hint="eastAsia"/>
                <w:sz w:val="17"/>
              </w:rPr>
            </w:pPr>
            <w:r>
              <w:rPr>
                <w:rFonts w:hint="eastAsia"/>
                <w:sz w:val="17"/>
              </w:rPr>
              <w:t xml:space="preserve">  自动闲散</w:t>
            </w:r>
          </w:p>
          <w:p w:rsidR="00000000" w:rsidRDefault="00000000">
            <w:pPr>
              <w:pStyle w:val="SingleTxt"/>
              <w:spacing w:after="0"/>
              <w:ind w:left="0" w:right="0"/>
              <w:rPr>
                <w:sz w:val="17"/>
              </w:rPr>
            </w:pPr>
            <w:r>
              <w:rPr>
                <w:rFonts w:hint="eastAsia"/>
                <w:sz w:val="17"/>
              </w:rPr>
              <w:t xml:space="preserve">  其他</w:t>
            </w:r>
          </w:p>
          <w:p w:rsidR="00000000" w:rsidRDefault="00000000">
            <w:pPr>
              <w:pStyle w:val="SingleTxt"/>
              <w:spacing w:after="0"/>
              <w:ind w:left="0" w:right="0"/>
              <w:rPr>
                <w:sz w:val="17"/>
              </w:rPr>
            </w:pPr>
          </w:p>
        </w:tc>
        <w:tc>
          <w:tcPr>
            <w:tcW w:w="610"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spacing w:after="0"/>
              <w:ind w:left="28" w:right="28"/>
              <w:jc w:val="right"/>
              <w:rPr>
                <w:sz w:val="17"/>
              </w:rPr>
            </w:pPr>
            <w:r>
              <w:rPr>
                <w:rFonts w:hint="eastAsia"/>
                <w:sz w:val="17"/>
              </w:rPr>
              <w:t>92.7</w:t>
            </w:r>
          </w:p>
          <w:p w:rsidR="00000000" w:rsidRDefault="00000000">
            <w:pPr>
              <w:pStyle w:val="SingleTxt"/>
              <w:spacing w:after="0"/>
              <w:ind w:left="28" w:right="28"/>
              <w:jc w:val="right"/>
              <w:rPr>
                <w:sz w:val="17"/>
              </w:rPr>
            </w:pPr>
            <w:r>
              <w:rPr>
                <w:rFonts w:hint="eastAsia"/>
                <w:sz w:val="17"/>
              </w:rPr>
              <w:t>68.8</w:t>
            </w:r>
            <w:r>
              <w:rPr>
                <w:sz w:val="17"/>
              </w:rPr>
              <w:t xml:space="preserve"> </w:t>
            </w:r>
            <w:r>
              <w:rPr>
                <w:rFonts w:hint="eastAsia"/>
                <w:sz w:val="17"/>
              </w:rPr>
              <w:t xml:space="preserve"> 56.7  12.1</w:t>
            </w:r>
          </w:p>
          <w:p w:rsidR="00000000" w:rsidRDefault="00000000">
            <w:pPr>
              <w:pStyle w:val="SingleTxt"/>
              <w:spacing w:after="0"/>
              <w:ind w:left="28" w:right="28"/>
              <w:jc w:val="right"/>
              <w:rPr>
                <w:sz w:val="17"/>
              </w:rPr>
            </w:pPr>
            <w:r>
              <w:rPr>
                <w:rFonts w:hint="eastAsia"/>
                <w:sz w:val="17"/>
              </w:rPr>
              <w:t>23.9     0.3     6.2        13.4</w:t>
            </w:r>
          </w:p>
          <w:p w:rsidR="00000000" w:rsidRDefault="00000000">
            <w:pPr>
              <w:pStyle w:val="SingleTxt"/>
              <w:spacing w:after="0"/>
              <w:ind w:left="28" w:right="28"/>
              <w:jc w:val="right"/>
              <w:rPr>
                <w:rFonts w:hint="eastAsia"/>
                <w:sz w:val="17"/>
              </w:rPr>
            </w:pPr>
            <w:r>
              <w:rPr>
                <w:rFonts w:hint="eastAsia"/>
                <w:sz w:val="17"/>
              </w:rPr>
              <w:t xml:space="preserve">1.7     1.3     1.0     </w:t>
            </w:r>
          </w:p>
        </w:tc>
        <w:tc>
          <w:tcPr>
            <w:tcW w:w="680"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spacing w:after="0"/>
              <w:ind w:left="28" w:right="28"/>
              <w:jc w:val="right"/>
              <w:rPr>
                <w:rFonts w:hint="eastAsia"/>
                <w:sz w:val="17"/>
              </w:rPr>
            </w:pPr>
            <w:r>
              <w:rPr>
                <w:rFonts w:hint="eastAsia"/>
                <w:sz w:val="17"/>
              </w:rPr>
              <w:t>100.0</w:t>
            </w:r>
          </w:p>
          <w:p w:rsidR="00000000" w:rsidRDefault="00000000">
            <w:pPr>
              <w:pStyle w:val="SingleTxt"/>
              <w:spacing w:after="0"/>
              <w:ind w:left="28" w:right="28"/>
              <w:jc w:val="right"/>
              <w:rPr>
                <w:rFonts w:hint="eastAsia"/>
                <w:sz w:val="17"/>
              </w:rPr>
            </w:pPr>
            <w:r>
              <w:rPr>
                <w:rFonts w:hint="eastAsia"/>
                <w:sz w:val="17"/>
              </w:rPr>
              <w:t>74.2</w:t>
            </w:r>
          </w:p>
          <w:p w:rsidR="00000000" w:rsidRDefault="00000000">
            <w:pPr>
              <w:pStyle w:val="SingleTxt"/>
              <w:spacing w:after="0"/>
              <w:ind w:left="28" w:right="28"/>
              <w:jc w:val="right"/>
              <w:rPr>
                <w:rFonts w:hint="eastAsia"/>
                <w:sz w:val="17"/>
              </w:rPr>
            </w:pPr>
            <w:r>
              <w:rPr>
                <w:rFonts w:hint="eastAsia"/>
                <w:sz w:val="17"/>
              </w:rPr>
              <w:t>61.2</w:t>
            </w:r>
          </w:p>
          <w:p w:rsidR="00000000" w:rsidRDefault="00000000">
            <w:pPr>
              <w:pStyle w:val="SingleTxt"/>
              <w:spacing w:after="0"/>
              <w:ind w:left="28" w:right="28"/>
              <w:jc w:val="right"/>
              <w:rPr>
                <w:rFonts w:hint="eastAsia"/>
                <w:sz w:val="17"/>
              </w:rPr>
            </w:pPr>
            <w:r>
              <w:rPr>
                <w:rFonts w:hint="eastAsia"/>
                <w:sz w:val="17"/>
              </w:rPr>
              <w:t>13.1</w:t>
            </w:r>
          </w:p>
          <w:p w:rsidR="00000000" w:rsidRDefault="00000000">
            <w:pPr>
              <w:pStyle w:val="SingleTxt"/>
              <w:spacing w:after="0"/>
              <w:ind w:left="28" w:right="28"/>
              <w:jc w:val="right"/>
              <w:rPr>
                <w:rFonts w:hint="eastAsia"/>
                <w:sz w:val="17"/>
              </w:rPr>
            </w:pPr>
            <w:r>
              <w:rPr>
                <w:rFonts w:hint="eastAsia"/>
                <w:sz w:val="17"/>
              </w:rPr>
              <w:t>25.8</w:t>
            </w:r>
          </w:p>
          <w:p w:rsidR="00000000" w:rsidRDefault="00000000">
            <w:pPr>
              <w:pStyle w:val="SingleTxt"/>
              <w:spacing w:after="0"/>
              <w:ind w:left="28" w:right="28"/>
              <w:jc w:val="right"/>
              <w:rPr>
                <w:rFonts w:hint="eastAsia"/>
                <w:sz w:val="17"/>
              </w:rPr>
            </w:pPr>
            <w:r>
              <w:rPr>
                <w:rFonts w:hint="eastAsia"/>
                <w:sz w:val="17"/>
              </w:rPr>
              <w:t>0.3</w:t>
            </w:r>
          </w:p>
          <w:p w:rsidR="00000000" w:rsidRDefault="00000000">
            <w:pPr>
              <w:pStyle w:val="SingleTxt"/>
              <w:spacing w:after="0"/>
              <w:ind w:left="28" w:right="28"/>
              <w:jc w:val="right"/>
              <w:rPr>
                <w:rFonts w:hint="eastAsia"/>
                <w:sz w:val="17"/>
              </w:rPr>
            </w:pPr>
            <w:r>
              <w:rPr>
                <w:rFonts w:hint="eastAsia"/>
                <w:sz w:val="17"/>
              </w:rPr>
              <w:t>6.7</w:t>
            </w:r>
          </w:p>
          <w:p w:rsidR="00000000" w:rsidRDefault="00000000">
            <w:pPr>
              <w:pStyle w:val="SingleTxt"/>
              <w:spacing w:after="0"/>
              <w:ind w:left="28" w:right="28"/>
              <w:jc w:val="right"/>
              <w:rPr>
                <w:rFonts w:hint="eastAsia"/>
                <w:sz w:val="17"/>
              </w:rPr>
            </w:pPr>
            <w:r>
              <w:rPr>
                <w:rFonts w:hint="eastAsia"/>
                <w:sz w:val="17"/>
              </w:rPr>
              <w:t>14.5</w:t>
            </w:r>
          </w:p>
          <w:p w:rsidR="00000000" w:rsidRDefault="00000000">
            <w:pPr>
              <w:pStyle w:val="SingleTxt"/>
              <w:spacing w:after="0"/>
              <w:ind w:left="28" w:right="28"/>
              <w:jc w:val="right"/>
              <w:rPr>
                <w:rFonts w:hint="eastAsia"/>
                <w:sz w:val="17"/>
              </w:rPr>
            </w:pPr>
            <w:r>
              <w:rPr>
                <w:rFonts w:hint="eastAsia"/>
                <w:sz w:val="17"/>
              </w:rPr>
              <w:t>1.8</w:t>
            </w:r>
          </w:p>
          <w:p w:rsidR="00000000" w:rsidRDefault="00000000">
            <w:pPr>
              <w:pStyle w:val="SingleTxt"/>
              <w:spacing w:after="0"/>
              <w:ind w:left="28" w:right="28"/>
              <w:jc w:val="right"/>
              <w:rPr>
                <w:rFonts w:hint="eastAsia"/>
                <w:sz w:val="17"/>
              </w:rPr>
            </w:pPr>
            <w:r>
              <w:rPr>
                <w:rFonts w:hint="eastAsia"/>
                <w:sz w:val="17"/>
              </w:rPr>
              <w:t>1.4</w:t>
            </w:r>
          </w:p>
          <w:p w:rsidR="00000000" w:rsidRDefault="00000000">
            <w:pPr>
              <w:pStyle w:val="SingleTxt"/>
              <w:spacing w:after="0"/>
              <w:ind w:left="28" w:right="28"/>
              <w:jc w:val="right"/>
              <w:rPr>
                <w:rFonts w:hint="eastAsia"/>
                <w:sz w:val="17"/>
              </w:rPr>
            </w:pPr>
            <w:r>
              <w:rPr>
                <w:rFonts w:hint="eastAsia"/>
                <w:sz w:val="17"/>
              </w:rPr>
              <w:t>1.1</w:t>
            </w:r>
          </w:p>
        </w:tc>
        <w:tc>
          <w:tcPr>
            <w:tcW w:w="679"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92.8</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69.1</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57.7</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11.4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23.6</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0.2</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6.0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13.9</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1.3</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1.2</w:t>
            </w:r>
          </w:p>
        </w:tc>
        <w:tc>
          <w:tcPr>
            <w:tcW w:w="679" w:type="dxa"/>
            <w:gridSpan w:val="2"/>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74.5</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62.2</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12.3</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25.4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0.2</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6.5</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1.1</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1.3</w:t>
            </w:r>
          </w:p>
        </w:tc>
        <w:tc>
          <w:tcPr>
            <w:tcW w:w="678"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92.8   69.0  60.4   8.6   23.9  1.3    5.4    13.8  1.4    0.5    </w:t>
            </w:r>
          </w:p>
          <w:p w:rsidR="00000000" w:rsidRDefault="00000000">
            <w:pPr>
              <w:pStyle w:val="SingleTxt"/>
              <w:spacing w:after="0"/>
              <w:ind w:left="28" w:right="28"/>
              <w:jc w:val="right"/>
              <w:rPr>
                <w:sz w:val="16"/>
              </w:rPr>
            </w:pPr>
            <w:r>
              <w:rPr>
                <w:rFonts w:hint="eastAsia"/>
                <w:sz w:val="16"/>
              </w:rPr>
              <w:t xml:space="preserve">1.5    </w:t>
            </w:r>
          </w:p>
        </w:tc>
        <w:tc>
          <w:tcPr>
            <w:tcW w:w="679" w:type="dxa"/>
            <w:gridSpan w:val="2"/>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100</w:t>
            </w:r>
            <w:r>
              <w:rPr>
                <w:sz w:val="16"/>
              </w:rPr>
              <w:t>.0</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74.3</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65.0</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9.2</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25.8</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5.8</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14.9</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1.6</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0.5</w:t>
            </w:r>
          </w:p>
          <w:p w:rsidR="00000000" w:rsidRDefault="00000000">
            <w:pPr>
              <w:pStyle w:val="SingleTxt"/>
              <w:spacing w:after="0"/>
              <w:ind w:left="28" w:right="28"/>
              <w:jc w:val="right"/>
              <w:rPr>
                <w:sz w:val="16"/>
              </w:rPr>
            </w:pPr>
            <w:r>
              <w:rPr>
                <w:rFonts w:hint="eastAsia"/>
                <w:sz w:val="16"/>
              </w:rPr>
              <w:t>1.6</w:t>
            </w:r>
          </w:p>
        </w:tc>
        <w:tc>
          <w:tcPr>
            <w:tcW w:w="679"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94.8 69.8  61.9   7.9   25.0   1.2    6.1   14.6   1.3    0.1 </w:t>
            </w:r>
          </w:p>
          <w:p w:rsidR="00000000" w:rsidRDefault="00000000">
            <w:pPr>
              <w:pStyle w:val="SingleTxt"/>
              <w:spacing w:after="0"/>
              <w:ind w:left="28" w:right="28"/>
              <w:jc w:val="right"/>
              <w:rPr>
                <w:sz w:val="16"/>
              </w:rPr>
            </w:pPr>
            <w:r>
              <w:rPr>
                <w:rFonts w:hint="eastAsia"/>
                <w:sz w:val="16"/>
              </w:rPr>
              <w:t>1.7</w:t>
            </w:r>
          </w:p>
        </w:tc>
        <w:tc>
          <w:tcPr>
            <w:tcW w:w="679"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73.6</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65.3</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8.3</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26.4</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1.3</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6.4</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15.4</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3850"/>
                <w:tab w:val="clear" w:pos="4281"/>
                <w:tab w:val="clear" w:pos="4712"/>
                <w:tab w:val="clear" w:pos="5143"/>
                <w:tab w:val="clear" w:pos="5574"/>
                <w:tab w:val="clear" w:pos="600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0.1</w:t>
            </w:r>
          </w:p>
          <w:p w:rsidR="00000000" w:rsidRDefault="00000000">
            <w:pPr>
              <w:pStyle w:val="SingleTxt"/>
              <w:spacing w:after="0"/>
              <w:ind w:left="28" w:right="28"/>
              <w:jc w:val="right"/>
              <w:rPr>
                <w:sz w:val="16"/>
              </w:rPr>
            </w:pPr>
            <w:r>
              <w:rPr>
                <w:rFonts w:hint="eastAsia"/>
                <w:sz w:val="16"/>
              </w:rPr>
              <w:t>1.8</w:t>
            </w:r>
          </w:p>
        </w:tc>
        <w:tc>
          <w:tcPr>
            <w:tcW w:w="678"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94.9  70.3   64.4    5.9    24.6    1.3     5.6    14.8    1.3     0.2    </w:t>
            </w:r>
          </w:p>
          <w:p w:rsidR="00000000" w:rsidRDefault="00000000">
            <w:pPr>
              <w:pStyle w:val="SingleTxt"/>
              <w:spacing w:after="0"/>
              <w:ind w:left="28" w:right="28"/>
              <w:jc w:val="right"/>
              <w:rPr>
                <w:sz w:val="16"/>
              </w:rPr>
            </w:pPr>
            <w:r>
              <w:rPr>
                <w:rFonts w:hint="eastAsia"/>
                <w:sz w:val="16"/>
              </w:rPr>
              <w:t xml:space="preserve"> 1.5    </w:t>
            </w:r>
          </w:p>
        </w:tc>
        <w:tc>
          <w:tcPr>
            <w:tcW w:w="680"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74.0</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67.8</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6.2</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25.9</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5.9</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15.6</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1.3</w:t>
            </w:r>
          </w:p>
          <w:p w:rsidR="00000000" w:rsidRDefault="00000000">
            <w:pPr>
              <w:pStyle w:val="SingleTxt"/>
              <w:tabs>
                <w:tab w:val="clear" w:pos="1264"/>
                <w:tab w:val="clear" w:pos="3850"/>
                <w:tab w:val="clear" w:pos="4281"/>
                <w:tab w:val="clear" w:pos="4712"/>
                <w:tab w:val="clear" w:pos="5143"/>
                <w:tab w:val="clear" w:pos="5574"/>
                <w:tab w:val="clear" w:pos="6005"/>
                <w:tab w:val="left" w:pos="953"/>
                <w:tab w:val="left" w:pos="1247"/>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0.2</w:t>
            </w:r>
          </w:p>
          <w:p w:rsidR="00000000" w:rsidRDefault="00000000">
            <w:pPr>
              <w:pStyle w:val="SingleTxt"/>
              <w:spacing w:after="0"/>
              <w:ind w:left="28" w:right="28"/>
              <w:jc w:val="right"/>
              <w:rPr>
                <w:sz w:val="16"/>
              </w:rPr>
            </w:pPr>
            <w:r>
              <w:rPr>
                <w:rFonts w:hint="eastAsia"/>
                <w:sz w:val="16"/>
              </w:rPr>
              <w:t>1.5</w:t>
            </w:r>
          </w:p>
        </w:tc>
        <w:tc>
          <w:tcPr>
            <w:tcW w:w="679"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95.1  71.0   65.5    5.5    23.9    1.0     5.6    14.3    1.5     0.1    </w:t>
            </w:r>
          </w:p>
          <w:p w:rsidR="00000000" w:rsidRDefault="00000000">
            <w:pPr>
              <w:pStyle w:val="SingleTxt"/>
              <w:spacing w:after="0"/>
              <w:ind w:left="28" w:right="28"/>
              <w:jc w:val="right"/>
              <w:rPr>
                <w:sz w:val="16"/>
              </w:rPr>
            </w:pPr>
            <w:r>
              <w:rPr>
                <w:rFonts w:hint="eastAsia"/>
                <w:sz w:val="16"/>
              </w:rPr>
              <w:t xml:space="preserve">1.4    </w:t>
            </w:r>
          </w:p>
        </w:tc>
        <w:tc>
          <w:tcPr>
            <w:tcW w:w="681"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74.7</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68.9</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5.8</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25.1</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1.1</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5.8</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15.0</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w:t>
            </w:r>
          </w:p>
          <w:p w:rsidR="00000000" w:rsidRDefault="00000000">
            <w:pPr>
              <w:pStyle w:val="SingleTxt"/>
              <w:tabs>
                <w:tab w:val="clear" w:pos="1264"/>
                <w:tab w:val="clear" w:pos="3850"/>
                <w:tab w:val="clear" w:pos="4281"/>
                <w:tab w:val="clear" w:pos="4712"/>
                <w:tab w:val="clear" w:pos="5143"/>
                <w:tab w:val="clear" w:pos="5574"/>
                <w:tab w:val="clear" w:pos="6005"/>
                <w:tab w:val="left" w:pos="128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0.1</w:t>
            </w:r>
          </w:p>
          <w:p w:rsidR="00000000" w:rsidRDefault="00000000">
            <w:pPr>
              <w:pStyle w:val="SingleTxt"/>
              <w:spacing w:after="0"/>
              <w:ind w:left="28" w:right="28"/>
              <w:jc w:val="right"/>
              <w:rPr>
                <w:sz w:val="16"/>
              </w:rPr>
            </w:pPr>
            <w:r>
              <w:rPr>
                <w:rFonts w:hint="eastAsia"/>
                <w:sz w:val="16"/>
              </w:rPr>
              <w:t>1.5</w:t>
            </w:r>
          </w:p>
        </w:tc>
      </w:tr>
      <w:tr w:rsidR="00000000">
        <w:tblPrEx>
          <w:tblCellMar>
            <w:top w:w="0" w:type="dxa"/>
            <w:bottom w:w="0" w:type="dxa"/>
          </w:tblCellMar>
        </w:tblPrEx>
        <w:trPr>
          <w:cantSplit/>
        </w:trPr>
        <w:tc>
          <w:tcPr>
            <w:tcW w:w="1572" w:type="dxa"/>
            <w:tcBorders>
              <w:top w:val="single" w:sz="4" w:space="0" w:color="auto"/>
            </w:tcBorders>
          </w:tcPr>
          <w:p w:rsidR="00000000" w:rsidRDefault="00000000">
            <w:pPr>
              <w:pStyle w:val="SingleTxt"/>
              <w:spacing w:after="0"/>
              <w:ind w:left="0" w:right="0"/>
              <w:rPr>
                <w:rFonts w:ascii="KaiTi_GB2312" w:eastAsia="KaiTi_GB2312" w:hint="eastAsia"/>
                <w:color w:val="0000FF"/>
                <w:sz w:val="17"/>
              </w:rPr>
            </w:pPr>
            <w:r>
              <w:rPr>
                <w:rFonts w:ascii="SimHei" w:eastAsia="SimHei" w:hint="eastAsia"/>
                <w:color w:val="FF0000"/>
                <w:sz w:val="17"/>
              </w:rPr>
              <w:t>劳动力中的失业％</w:t>
            </w:r>
            <w:r>
              <w:rPr>
                <w:rFonts w:ascii="SimHei" w:eastAsia="SimHei" w:hint="eastAsia"/>
                <w:color w:val="FF0000"/>
                <w:sz w:val="17"/>
                <w:vertAlign w:val="superscript"/>
              </w:rPr>
              <w:t>＊</w:t>
            </w:r>
            <w:r>
              <w:rPr>
                <w:rFonts w:ascii="KaiTi_GB2312" w:eastAsia="KaiTi_GB2312" w:hint="eastAsia"/>
                <w:color w:val="0000FF"/>
                <w:sz w:val="17"/>
              </w:rPr>
              <w:t>（失业率）</w:t>
            </w:r>
          </w:p>
        </w:tc>
        <w:tc>
          <w:tcPr>
            <w:tcW w:w="1290" w:type="dxa"/>
            <w:gridSpan w:val="2"/>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17.6</w:t>
            </w:r>
          </w:p>
        </w:tc>
        <w:tc>
          <w:tcPr>
            <w:tcW w:w="1345" w:type="dxa"/>
            <w:gridSpan w:val="2"/>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16.5</w:t>
            </w:r>
          </w:p>
        </w:tc>
        <w:tc>
          <w:tcPr>
            <w:tcW w:w="1358" w:type="dxa"/>
            <w:gridSpan w:val="3"/>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12.4</w:t>
            </w:r>
          </w:p>
        </w:tc>
        <w:tc>
          <w:tcPr>
            <w:tcW w:w="1370" w:type="dxa"/>
            <w:gridSpan w:val="3"/>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11.3</w:t>
            </w:r>
          </w:p>
        </w:tc>
        <w:tc>
          <w:tcPr>
            <w:tcW w:w="1358" w:type="dxa"/>
            <w:gridSpan w:val="2"/>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8.4</w:t>
            </w:r>
          </w:p>
        </w:tc>
        <w:tc>
          <w:tcPr>
            <w:tcW w:w="1360" w:type="dxa"/>
            <w:gridSpan w:val="2"/>
            <w:tcBorders>
              <w:top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7.7</w:t>
            </w:r>
          </w:p>
        </w:tc>
      </w:tr>
      <w:tr w:rsidR="00000000">
        <w:tblPrEx>
          <w:tblCellMar>
            <w:top w:w="0" w:type="dxa"/>
            <w:bottom w:w="0" w:type="dxa"/>
          </w:tblCellMar>
        </w:tblPrEx>
        <w:trPr>
          <w:cantSplit/>
        </w:trPr>
        <w:tc>
          <w:tcPr>
            <w:tcW w:w="1572" w:type="dxa"/>
            <w:tcBorders>
              <w:bottom w:val="single" w:sz="4" w:space="0" w:color="auto"/>
            </w:tcBorders>
          </w:tcPr>
          <w:p w:rsidR="00000000" w:rsidRDefault="00000000">
            <w:pPr>
              <w:pStyle w:val="SingleTxt"/>
              <w:spacing w:after="0"/>
              <w:ind w:left="0" w:right="0"/>
              <w:rPr>
                <w:rFonts w:hint="eastAsia"/>
                <w:sz w:val="17"/>
              </w:rPr>
            </w:pPr>
            <w:r>
              <w:rPr>
                <w:rFonts w:ascii="SimHei" w:eastAsia="SimHei" w:hint="eastAsia"/>
                <w:color w:val="FF0000"/>
                <w:sz w:val="17"/>
              </w:rPr>
              <w:t>劳动力中的就业%</w:t>
            </w:r>
            <w:r>
              <w:rPr>
                <w:rFonts w:ascii="KaiTi_GB2312" w:eastAsia="KaiTi_GB2312" w:hint="eastAsia"/>
                <w:color w:val="0000FF"/>
                <w:sz w:val="17"/>
              </w:rPr>
              <w:t>（就业率）</w:t>
            </w:r>
          </w:p>
        </w:tc>
        <w:tc>
          <w:tcPr>
            <w:tcW w:w="1290" w:type="dxa"/>
            <w:gridSpan w:val="2"/>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82.4</w:t>
            </w:r>
          </w:p>
        </w:tc>
        <w:tc>
          <w:tcPr>
            <w:tcW w:w="1345" w:type="dxa"/>
            <w:gridSpan w:val="2"/>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83.5</w:t>
            </w:r>
          </w:p>
        </w:tc>
        <w:tc>
          <w:tcPr>
            <w:tcW w:w="1358" w:type="dxa"/>
            <w:gridSpan w:val="3"/>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87.6</w:t>
            </w:r>
          </w:p>
        </w:tc>
        <w:tc>
          <w:tcPr>
            <w:tcW w:w="1370" w:type="dxa"/>
            <w:gridSpan w:val="3"/>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88.7</w:t>
            </w:r>
          </w:p>
        </w:tc>
        <w:tc>
          <w:tcPr>
            <w:tcW w:w="1358" w:type="dxa"/>
            <w:gridSpan w:val="2"/>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91.6</w:t>
            </w:r>
          </w:p>
        </w:tc>
        <w:tc>
          <w:tcPr>
            <w:tcW w:w="1360" w:type="dxa"/>
            <w:gridSpan w:val="2"/>
            <w:tcBorders>
              <w:bottom w:val="single" w:sz="4"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92.3</w:t>
            </w:r>
          </w:p>
        </w:tc>
      </w:tr>
      <w:tr w:rsidR="00000000">
        <w:tblPrEx>
          <w:tblCellMar>
            <w:top w:w="0" w:type="dxa"/>
            <w:bottom w:w="0" w:type="dxa"/>
          </w:tblCellMar>
        </w:tblPrEx>
        <w:trPr>
          <w:cantSplit/>
        </w:trPr>
        <w:tc>
          <w:tcPr>
            <w:tcW w:w="1572" w:type="dxa"/>
            <w:tcBorders>
              <w:bottom w:val="single" w:sz="12" w:space="0" w:color="auto"/>
            </w:tcBorders>
          </w:tcPr>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成年人口中的劳动力％</w:t>
            </w:r>
          </w:p>
          <w:p w:rsidR="00000000" w:rsidRDefault="00000000">
            <w:pPr>
              <w:pStyle w:val="SingleTxt"/>
              <w:spacing w:after="0"/>
              <w:ind w:left="0" w:right="0"/>
              <w:rPr>
                <w:rFonts w:hint="eastAsia"/>
                <w:sz w:val="17"/>
              </w:rPr>
            </w:pPr>
            <w:r>
              <w:rPr>
                <w:rFonts w:ascii="KaiTi_GB2312" w:eastAsia="KaiTi_GB2312" w:hint="eastAsia"/>
                <w:color w:val="0000FF"/>
                <w:sz w:val="17"/>
              </w:rPr>
              <w:t>（参加劳动率）</w:t>
            </w:r>
            <w:r>
              <w:rPr>
                <w:rFonts w:hint="eastAsia"/>
                <w:sz w:val="17"/>
                <w:vertAlign w:val="superscript"/>
              </w:rPr>
              <w:t>＊＊</w:t>
            </w:r>
          </w:p>
        </w:tc>
        <w:tc>
          <w:tcPr>
            <w:tcW w:w="1290" w:type="dxa"/>
            <w:gridSpan w:val="2"/>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74.2</w:t>
            </w:r>
          </w:p>
        </w:tc>
        <w:tc>
          <w:tcPr>
            <w:tcW w:w="1345" w:type="dxa"/>
            <w:gridSpan w:val="2"/>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74.5</w:t>
            </w:r>
          </w:p>
        </w:tc>
        <w:tc>
          <w:tcPr>
            <w:tcW w:w="1358" w:type="dxa"/>
            <w:gridSpan w:val="3"/>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74.3</w:t>
            </w:r>
          </w:p>
        </w:tc>
        <w:tc>
          <w:tcPr>
            <w:tcW w:w="1370" w:type="dxa"/>
            <w:gridSpan w:val="3"/>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73.6</w:t>
            </w:r>
          </w:p>
        </w:tc>
        <w:tc>
          <w:tcPr>
            <w:tcW w:w="1358" w:type="dxa"/>
            <w:gridSpan w:val="2"/>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74.0</w:t>
            </w:r>
          </w:p>
        </w:tc>
        <w:tc>
          <w:tcPr>
            <w:tcW w:w="1360" w:type="dxa"/>
            <w:gridSpan w:val="2"/>
            <w:tcBorders>
              <w:bottom w:val="single" w:sz="12" w:space="0" w:color="auto"/>
            </w:tcBorders>
          </w:tcPr>
          <w:p w:rsidR="00000000" w:rsidRDefault="00000000">
            <w:pPr>
              <w:pStyle w:val="SingleTxt"/>
              <w:spacing w:after="0"/>
              <w:ind w:left="0" w:right="0"/>
              <w:jc w:val="center"/>
              <w:rPr>
                <w:rFonts w:hint="eastAsia"/>
                <w:sz w:val="16"/>
              </w:rPr>
            </w:pPr>
          </w:p>
          <w:p w:rsidR="00000000" w:rsidRDefault="00000000">
            <w:pPr>
              <w:pStyle w:val="SingleTxt"/>
              <w:spacing w:after="0"/>
              <w:ind w:left="0" w:right="0"/>
              <w:jc w:val="center"/>
              <w:rPr>
                <w:rFonts w:hint="eastAsia"/>
                <w:sz w:val="16"/>
              </w:rPr>
            </w:pPr>
            <w:r>
              <w:rPr>
                <w:rFonts w:hint="eastAsia"/>
                <w:sz w:val="16"/>
              </w:rPr>
              <w:t>74.7</w:t>
            </w:r>
          </w:p>
        </w:tc>
      </w:tr>
    </w:tbl>
    <w:p w:rsidR="00000000" w:rsidRDefault="00000000">
      <w:pPr>
        <w:pStyle w:val="SingleTxt"/>
        <w:spacing w:after="0"/>
        <w:ind w:left="0"/>
        <w:rPr>
          <w:vertAlign w:val="superscript"/>
        </w:rPr>
      </w:pPr>
    </w:p>
    <w:p w:rsidR="00000000" w:rsidRDefault="00000000">
      <w:pPr>
        <w:pStyle w:val="SingleTxt"/>
        <w:ind w:left="0"/>
        <w:rPr>
          <w:rFonts w:hint="eastAsia"/>
        </w:rPr>
      </w:pPr>
      <w:r>
        <w:rPr>
          <w:rFonts w:hint="eastAsia"/>
          <w:vertAlign w:val="superscript"/>
        </w:rPr>
        <w:t>＊</w:t>
      </w:r>
      <w:r>
        <w:t xml:space="preserve">    </w:t>
      </w:r>
      <w:r>
        <w:rPr>
          <w:rFonts w:hint="eastAsia"/>
          <w:sz w:val="18"/>
        </w:rPr>
        <w:t>失业率＝失业人数/劳动力</w:t>
      </w:r>
      <w:r>
        <w:rPr>
          <w:rFonts w:hint="eastAsia"/>
          <w:sz w:val="18"/>
          <w:vertAlign w:val="superscript"/>
        </w:rPr>
        <w:t>＊</w:t>
      </w:r>
      <w:r>
        <w:rPr>
          <w:rFonts w:hint="eastAsia"/>
          <w:sz w:val="18"/>
        </w:rPr>
        <w:t>100</w:t>
      </w:r>
    </w:p>
    <w:p w:rsidR="00000000" w:rsidRDefault="00000000">
      <w:pPr>
        <w:pStyle w:val="SingleTxt"/>
        <w:ind w:left="0"/>
        <w:rPr>
          <w:sz w:val="18"/>
        </w:rPr>
      </w:pPr>
      <w:r>
        <w:rPr>
          <w:rFonts w:hint="eastAsia"/>
          <w:vertAlign w:val="superscript"/>
        </w:rPr>
        <w:t>＊＊</w:t>
      </w:r>
      <w:r>
        <w:t xml:space="preserve"> </w:t>
      </w:r>
      <w:r>
        <w:rPr>
          <w:rFonts w:hint="eastAsia"/>
        </w:rPr>
        <w:t xml:space="preserve">  </w:t>
      </w:r>
      <w:r>
        <w:rPr>
          <w:rFonts w:hint="eastAsia"/>
          <w:sz w:val="18"/>
        </w:rPr>
        <w:t>参加劳动率＝劳动力/成年人口</w:t>
      </w:r>
      <w:r>
        <w:rPr>
          <w:rFonts w:hint="eastAsia"/>
          <w:sz w:val="18"/>
          <w:vertAlign w:val="superscript"/>
        </w:rPr>
        <w:t>＊</w:t>
      </w:r>
      <w:r>
        <w:rPr>
          <w:rFonts w:hint="eastAsia"/>
          <w:sz w:val="18"/>
        </w:rPr>
        <w:t>100</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rPr>
          <w:rFonts w:hint="eastAsia"/>
        </w:rPr>
      </w:pPr>
      <w:r>
        <w:br w:type="page"/>
      </w:r>
      <w:r>
        <w:tab/>
      </w:r>
      <w:r>
        <w:tab/>
      </w:r>
      <w:r>
        <w:rPr>
          <w:rFonts w:hint="eastAsia"/>
        </w:rPr>
        <w:t>户籍中的成年人口：</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rPr>
          <w:rFonts w:hint="eastAsia"/>
        </w:rPr>
      </w:pPr>
      <w:r>
        <w:tab/>
      </w:r>
      <w:r>
        <w:tab/>
      </w:r>
      <w:r>
        <w:rPr>
          <w:rFonts w:hint="eastAsia"/>
        </w:rPr>
        <w:t>1994-1998年活动状况</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1264" w:right="1264" w:hanging="1264"/>
        <w:rPr>
          <w:rFonts w:hint="eastAsia"/>
        </w:rPr>
      </w:pPr>
      <w:r>
        <w:tab/>
      </w:r>
      <w:r>
        <w:tab/>
      </w:r>
      <w:r>
        <w:rPr>
          <w:rFonts w:hint="eastAsia"/>
        </w:rPr>
        <w:t>女性</w:t>
      </w:r>
    </w:p>
    <w:p w:rsidR="00000000" w:rsidRDefault="00000000">
      <w:pPr>
        <w:pStyle w:val="SingleTxt"/>
        <w:spacing w:before="60" w:after="120"/>
        <w:rPr>
          <w:rFonts w:ascii="KaiTi_GB2312" w:eastAsia="KaiTi_GB2312"/>
          <w:color w:val="0000FF"/>
          <w:sz w:val="24"/>
        </w:rPr>
      </w:pPr>
      <w:r>
        <w:rPr>
          <w:rFonts w:ascii="KaiTi_GB2312" w:eastAsia="KaiTi_GB2312" w:hint="eastAsia"/>
          <w:color w:val="0000FF"/>
          <w:sz w:val="24"/>
        </w:rPr>
        <w:t>（千人）</w:t>
      </w:r>
    </w:p>
    <w:tbl>
      <w:tblPr>
        <w:tblW w:w="9653" w:type="dxa"/>
        <w:tblInd w:w="2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72"/>
        <w:gridCol w:w="610"/>
        <w:gridCol w:w="680"/>
        <w:gridCol w:w="679"/>
        <w:gridCol w:w="666"/>
        <w:gridCol w:w="13"/>
        <w:gridCol w:w="678"/>
        <w:gridCol w:w="663"/>
        <w:gridCol w:w="4"/>
        <w:gridCol w:w="691"/>
        <w:gridCol w:w="679"/>
        <w:gridCol w:w="678"/>
        <w:gridCol w:w="680"/>
        <w:gridCol w:w="679"/>
        <w:gridCol w:w="681"/>
      </w:tblGrid>
      <w:tr w:rsidR="00000000">
        <w:tblPrEx>
          <w:tblCellMar>
            <w:top w:w="0" w:type="dxa"/>
            <w:bottom w:w="0" w:type="dxa"/>
          </w:tblCellMar>
        </w:tblPrEx>
        <w:trPr>
          <w:cantSplit/>
        </w:trPr>
        <w:tc>
          <w:tcPr>
            <w:tcW w:w="1572" w:type="dxa"/>
            <w:vMerge w:val="restart"/>
          </w:tcPr>
          <w:p w:rsidR="00000000" w:rsidRDefault="00000000">
            <w:pPr>
              <w:pStyle w:val="SingleTxt"/>
              <w:spacing w:after="60" w:line="240" w:lineRule="exact"/>
              <w:rPr>
                <w:rFonts w:ascii="KaiTi_GB2312" w:eastAsia="KaiTi_GB2312"/>
                <w:color w:val="0000FF"/>
                <w:sz w:val="15"/>
              </w:rPr>
            </w:pPr>
          </w:p>
          <w:p w:rsidR="00000000" w:rsidRDefault="00000000">
            <w:pPr>
              <w:pStyle w:val="H1"/>
              <w:spacing w:after="60" w:line="240" w:lineRule="exact"/>
              <w:rPr>
                <w:rFonts w:ascii="KaiTi_GB2312" w:eastAsia="KaiTi_GB2312" w:hint="eastAsia"/>
                <w:color w:val="0000FF"/>
                <w:sz w:val="15"/>
              </w:rPr>
            </w:pPr>
            <w:r>
              <w:rPr>
                <w:rFonts w:ascii="KaiTi_GB2312" w:eastAsia="KaiTi_GB2312" w:hint="eastAsia"/>
                <w:color w:val="0000FF"/>
                <w:sz w:val="15"/>
              </w:rPr>
              <w:t>活动状况</w:t>
            </w:r>
          </w:p>
        </w:tc>
        <w:tc>
          <w:tcPr>
            <w:tcW w:w="8081" w:type="dxa"/>
            <w:gridSpan w:val="14"/>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成年人口</w:t>
            </w:r>
          </w:p>
        </w:tc>
      </w:tr>
      <w:tr w:rsidR="00000000">
        <w:tblPrEx>
          <w:tblCellMar>
            <w:top w:w="0" w:type="dxa"/>
            <w:bottom w:w="0" w:type="dxa"/>
          </w:tblCellMar>
        </w:tblPrEx>
        <w:trPr>
          <w:cantSplit/>
        </w:trPr>
        <w:tc>
          <w:tcPr>
            <w:tcW w:w="1572" w:type="dxa"/>
            <w:vMerge/>
            <w:tcBorders>
              <w:bottom w:val="nil"/>
            </w:tcBorders>
          </w:tcPr>
          <w:p w:rsidR="00000000" w:rsidRDefault="00000000">
            <w:pPr>
              <w:pStyle w:val="H1"/>
              <w:spacing w:after="60" w:line="240" w:lineRule="exact"/>
              <w:rPr>
                <w:rFonts w:ascii="KaiTi_GB2312" w:eastAsia="KaiTi_GB2312"/>
                <w:color w:val="0000FF"/>
                <w:sz w:val="15"/>
              </w:rPr>
            </w:pPr>
          </w:p>
        </w:tc>
        <w:tc>
          <w:tcPr>
            <w:tcW w:w="1290"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1994年</w:t>
            </w:r>
          </w:p>
        </w:tc>
        <w:tc>
          <w:tcPr>
            <w:tcW w:w="1358" w:type="dxa"/>
            <w:gridSpan w:val="3"/>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1995年</w:t>
            </w:r>
          </w:p>
        </w:tc>
        <w:tc>
          <w:tcPr>
            <w:tcW w:w="1345" w:type="dxa"/>
            <w:gridSpan w:val="3"/>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1996年</w:t>
            </w:r>
          </w:p>
        </w:tc>
        <w:tc>
          <w:tcPr>
            <w:tcW w:w="1370"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1997年</w:t>
            </w:r>
          </w:p>
        </w:tc>
        <w:tc>
          <w:tcPr>
            <w:tcW w:w="1358"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1998年</w:t>
            </w:r>
          </w:p>
        </w:tc>
        <w:tc>
          <w:tcPr>
            <w:tcW w:w="1360" w:type="dxa"/>
            <w:gridSpan w:val="2"/>
            <w:tcBorders>
              <w:bottom w:val="single" w:sz="4" w:space="0" w:color="auto"/>
            </w:tcBorders>
          </w:tcPr>
          <w:p w:rsidR="00000000" w:rsidRDefault="00000000">
            <w:pPr>
              <w:pStyle w:val="H1"/>
              <w:spacing w:after="60" w:line="240" w:lineRule="exact"/>
              <w:jc w:val="center"/>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cantSplit/>
          <w:trHeight w:val="227"/>
        </w:trPr>
        <w:tc>
          <w:tcPr>
            <w:tcW w:w="1572" w:type="dxa"/>
            <w:tcBorders>
              <w:top w:val="nil"/>
              <w:bottom w:val="single" w:sz="12" w:space="0" w:color="auto"/>
              <w:right w:val="single" w:sz="4" w:space="0" w:color="auto"/>
            </w:tcBorders>
          </w:tcPr>
          <w:p w:rsidR="00000000" w:rsidRDefault="00000000">
            <w:pPr>
              <w:pStyle w:val="SingleTxt"/>
              <w:spacing w:after="60" w:line="240" w:lineRule="exact"/>
              <w:rPr>
                <w:rFonts w:ascii="KaiTi_GB2312" w:eastAsia="KaiTi_GB2312"/>
                <w:color w:val="0000FF"/>
                <w:sz w:val="15"/>
              </w:rPr>
            </w:pPr>
          </w:p>
        </w:tc>
        <w:tc>
          <w:tcPr>
            <w:tcW w:w="610"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80"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w:t>
            </w:r>
          </w:p>
        </w:tc>
        <w:tc>
          <w:tcPr>
            <w:tcW w:w="679"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79" w:type="dxa"/>
            <w:gridSpan w:val="2"/>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w:t>
            </w:r>
          </w:p>
        </w:tc>
        <w:tc>
          <w:tcPr>
            <w:tcW w:w="678"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color w:val="0000FF"/>
                <w:sz w:val="15"/>
              </w:rPr>
            </w:pPr>
            <w:r>
              <w:rPr>
                <w:rFonts w:ascii="KaiTi_GB2312" w:eastAsia="KaiTi_GB2312" w:hint="eastAsia"/>
                <w:color w:val="0000FF"/>
                <w:sz w:val="15"/>
              </w:rPr>
              <w:t>人数</w:t>
            </w:r>
          </w:p>
        </w:tc>
        <w:tc>
          <w:tcPr>
            <w:tcW w:w="667" w:type="dxa"/>
            <w:gridSpan w:val="2"/>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91"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79"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78"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80"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c>
          <w:tcPr>
            <w:tcW w:w="679" w:type="dxa"/>
            <w:tcBorders>
              <w:top w:val="single" w:sz="4" w:space="0" w:color="auto"/>
              <w:left w:val="single" w:sz="4" w:space="0" w:color="auto"/>
              <w:bottom w:val="single" w:sz="12" w:space="0" w:color="auto"/>
              <w:right w:val="nil"/>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人数</w:t>
            </w:r>
          </w:p>
        </w:tc>
        <w:tc>
          <w:tcPr>
            <w:tcW w:w="681" w:type="dxa"/>
            <w:tcBorders>
              <w:top w:val="single" w:sz="4" w:space="0" w:color="auto"/>
              <w:left w:val="nil"/>
              <w:bottom w:val="single" w:sz="12" w:space="0" w:color="auto"/>
              <w:right w:val="single" w:sz="4" w:space="0" w:color="auto"/>
            </w:tcBorders>
            <w:tcMar>
              <w:left w:w="28" w:type="dxa"/>
              <w:right w:w="28" w:type="dxa"/>
            </w:tcMar>
          </w:tcPr>
          <w:p w:rsidR="00000000" w:rsidRDefault="00000000">
            <w:pPr>
              <w:pStyle w:val="H1"/>
              <w:spacing w:after="60" w:line="240" w:lineRule="exact"/>
              <w:ind w:left="28" w:right="28"/>
              <w:jc w:val="right"/>
              <w:rPr>
                <w:rFonts w:ascii="KaiTi_GB2312" w:eastAsia="KaiTi_GB2312" w:hint="eastAsia"/>
                <w:color w:val="0000FF"/>
                <w:sz w:val="15"/>
              </w:rPr>
            </w:pPr>
            <w:r>
              <w:rPr>
                <w:rFonts w:ascii="KaiTi_GB2312" w:eastAsia="KaiTi_GB2312" w:hint="eastAsia"/>
                <w:color w:val="0000FF"/>
                <w:sz w:val="15"/>
              </w:rPr>
              <w:t>％</w:t>
            </w:r>
          </w:p>
        </w:tc>
      </w:tr>
      <w:tr w:rsidR="00000000">
        <w:tblPrEx>
          <w:tblCellMar>
            <w:top w:w="0" w:type="dxa"/>
            <w:bottom w:w="0" w:type="dxa"/>
          </w:tblCellMar>
        </w:tblPrEx>
        <w:trPr>
          <w:cantSplit/>
        </w:trPr>
        <w:tc>
          <w:tcPr>
            <w:tcW w:w="1572" w:type="dxa"/>
            <w:tcBorders>
              <w:top w:val="single" w:sz="12" w:space="0" w:color="auto"/>
              <w:right w:val="single" w:sz="4" w:space="0" w:color="auto"/>
            </w:tcBorders>
            <w:tcMar>
              <w:left w:w="28" w:type="dxa"/>
              <w:right w:w="28" w:type="dxa"/>
            </w:tcMar>
          </w:tcPr>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成年人总数</w:t>
            </w:r>
          </w:p>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劳动力</w:t>
            </w:r>
          </w:p>
          <w:p w:rsidR="00000000" w:rsidRDefault="00000000">
            <w:pPr>
              <w:pStyle w:val="SingleTxt"/>
              <w:spacing w:after="0"/>
              <w:ind w:left="0" w:right="0"/>
              <w:rPr>
                <w:rFonts w:hint="eastAsia"/>
                <w:sz w:val="17"/>
              </w:rPr>
            </w:pPr>
            <w:r>
              <w:rPr>
                <w:rFonts w:hint="eastAsia"/>
                <w:sz w:val="17"/>
              </w:rPr>
              <w:t xml:space="preserve">  就业</w:t>
            </w:r>
          </w:p>
          <w:p w:rsidR="00000000" w:rsidRDefault="00000000">
            <w:pPr>
              <w:pStyle w:val="SingleTxt"/>
              <w:spacing w:after="0"/>
              <w:ind w:left="0" w:right="0"/>
              <w:rPr>
                <w:rFonts w:hint="eastAsia"/>
                <w:sz w:val="17"/>
              </w:rPr>
            </w:pPr>
            <w:r>
              <w:rPr>
                <w:rFonts w:hint="eastAsia"/>
                <w:sz w:val="17"/>
              </w:rPr>
              <w:t xml:space="preserve">  失业</w:t>
            </w:r>
          </w:p>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非活动人口</w:t>
            </w:r>
          </w:p>
          <w:p w:rsidR="00000000" w:rsidRDefault="00000000">
            <w:pPr>
              <w:pStyle w:val="SingleTxt"/>
              <w:spacing w:after="0"/>
              <w:ind w:left="0" w:right="0"/>
              <w:rPr>
                <w:rFonts w:hint="eastAsia"/>
                <w:sz w:val="17"/>
              </w:rPr>
            </w:pPr>
            <w:r>
              <w:rPr>
                <w:rFonts w:hint="eastAsia"/>
                <w:sz w:val="17"/>
              </w:rPr>
              <w:t xml:space="preserve">  管家</w:t>
            </w:r>
          </w:p>
          <w:p w:rsidR="00000000" w:rsidRDefault="00000000">
            <w:pPr>
              <w:pStyle w:val="SingleTxt"/>
              <w:spacing w:after="0"/>
              <w:ind w:left="0" w:right="0"/>
              <w:rPr>
                <w:rFonts w:hint="eastAsia"/>
                <w:sz w:val="17"/>
              </w:rPr>
            </w:pPr>
            <w:r>
              <w:rPr>
                <w:rFonts w:hint="eastAsia"/>
                <w:sz w:val="17"/>
              </w:rPr>
              <w:t xml:space="preserve">  在学</w:t>
            </w:r>
          </w:p>
          <w:p w:rsidR="00000000" w:rsidRDefault="00000000">
            <w:pPr>
              <w:pStyle w:val="SingleTxt"/>
              <w:spacing w:after="0"/>
              <w:ind w:left="0" w:right="0"/>
              <w:rPr>
                <w:rFonts w:hint="eastAsia"/>
                <w:sz w:val="17"/>
              </w:rPr>
            </w:pPr>
            <w:r>
              <w:rPr>
                <w:rFonts w:hint="eastAsia"/>
                <w:sz w:val="17"/>
              </w:rPr>
              <w:t xml:space="preserve">  退休</w:t>
            </w:r>
          </w:p>
          <w:p w:rsidR="00000000" w:rsidRDefault="00000000">
            <w:pPr>
              <w:pStyle w:val="SingleTxt"/>
              <w:spacing w:after="0"/>
              <w:ind w:left="0" w:right="0"/>
              <w:rPr>
                <w:rFonts w:hint="eastAsia"/>
                <w:sz w:val="17"/>
              </w:rPr>
            </w:pPr>
            <w:r>
              <w:rPr>
                <w:rFonts w:hint="eastAsia"/>
                <w:sz w:val="17"/>
              </w:rPr>
              <w:t xml:space="preserve">  残疾</w:t>
            </w:r>
          </w:p>
          <w:p w:rsidR="00000000" w:rsidRDefault="00000000">
            <w:pPr>
              <w:pStyle w:val="SingleTxt"/>
              <w:spacing w:after="0"/>
              <w:ind w:left="0" w:right="0"/>
              <w:rPr>
                <w:rFonts w:hint="eastAsia"/>
                <w:sz w:val="17"/>
              </w:rPr>
            </w:pPr>
            <w:r>
              <w:rPr>
                <w:rFonts w:hint="eastAsia"/>
                <w:sz w:val="17"/>
              </w:rPr>
              <w:t xml:space="preserve">  自动闲散</w:t>
            </w:r>
          </w:p>
          <w:p w:rsidR="00000000" w:rsidRDefault="00000000">
            <w:pPr>
              <w:pStyle w:val="SingleTxt"/>
              <w:spacing w:after="0"/>
              <w:ind w:left="0" w:right="0"/>
              <w:rPr>
                <w:rFonts w:hint="eastAsia"/>
                <w:sz w:val="17"/>
              </w:rPr>
            </w:pPr>
            <w:r>
              <w:rPr>
                <w:rFonts w:hint="eastAsia"/>
                <w:sz w:val="17"/>
              </w:rPr>
              <w:t xml:space="preserve">  其他</w:t>
            </w:r>
          </w:p>
        </w:tc>
        <w:tc>
          <w:tcPr>
            <w:tcW w:w="610"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107.8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66.3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48.4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17.5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41.5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16.6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7.2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12.7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2.0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1.5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     </w:t>
            </w:r>
          </w:p>
        </w:tc>
        <w:tc>
          <w:tcPr>
            <w:tcW w:w="680"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61.5</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44.9    16.2</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38.5</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6.7</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11.8</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1.9</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p>
        </w:tc>
        <w:tc>
          <w:tcPr>
            <w:tcW w:w="679"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107.9  67.6   52.1   15.5   40.3   16.3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6.4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12.4   1.9    1.5    </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 xml:space="preserve">1.8    </w:t>
            </w:r>
          </w:p>
        </w:tc>
        <w:tc>
          <w:tcPr>
            <w:tcW w:w="679" w:type="dxa"/>
            <w:gridSpan w:val="2"/>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100.0</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62.7</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48.3</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37.3</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15.1</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5.9</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11.5</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1.8</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1.4</w:t>
            </w: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ind w:left="28" w:right="28"/>
              <w:jc w:val="right"/>
              <w:rPr>
                <w:rFonts w:hint="eastAsia"/>
                <w:sz w:val="16"/>
              </w:rPr>
            </w:pPr>
            <w:r>
              <w:rPr>
                <w:rFonts w:hint="eastAsia"/>
                <w:sz w:val="16"/>
              </w:rPr>
              <w:t>1.7</w:t>
            </w:r>
          </w:p>
        </w:tc>
        <w:tc>
          <w:tcPr>
            <w:tcW w:w="678"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 xml:space="preserve">107.9  66.5  53.9  12.6  41.5  13.0  7.3   16.7  1.5   0.5   </w:t>
            </w:r>
          </w:p>
          <w:p w:rsidR="00000000" w:rsidRDefault="00000000">
            <w:pPr>
              <w:pStyle w:val="SingleTxt"/>
              <w:spacing w:after="0"/>
              <w:ind w:left="28" w:right="28"/>
              <w:jc w:val="right"/>
              <w:rPr>
                <w:sz w:val="16"/>
              </w:rPr>
            </w:pPr>
            <w:r>
              <w:rPr>
                <w:rFonts w:hint="eastAsia"/>
                <w:sz w:val="16"/>
              </w:rPr>
              <w:t xml:space="preserve">2.6   </w:t>
            </w:r>
          </w:p>
        </w:tc>
        <w:tc>
          <w:tcPr>
            <w:tcW w:w="667" w:type="dxa"/>
            <w:gridSpan w:val="2"/>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10</w:t>
            </w:r>
            <w:r>
              <w:rPr>
                <w:rFonts w:ascii="SimSun" w:eastAsia="SimSun"/>
                <w:color w:val="auto"/>
                <w:sz w:val="16"/>
              </w:rPr>
              <w:t>0.0</w:t>
            </w:r>
          </w:p>
          <w:p w:rsidR="00000000" w:rsidRDefault="00000000">
            <w:pPr>
              <w:pStyle w:val="H1"/>
              <w:jc w:val="right"/>
              <w:rPr>
                <w:rFonts w:ascii="SimSun" w:eastAsia="SimSun" w:hint="eastAsia"/>
                <w:color w:val="auto"/>
                <w:sz w:val="16"/>
              </w:rPr>
            </w:pPr>
            <w:r>
              <w:rPr>
                <w:rFonts w:ascii="SimSun" w:eastAsia="SimSun" w:hint="eastAsia"/>
                <w:color w:val="auto"/>
                <w:sz w:val="16"/>
              </w:rPr>
              <w:t>61.5</w:t>
            </w:r>
          </w:p>
          <w:p w:rsidR="00000000" w:rsidRDefault="00000000">
            <w:pPr>
              <w:pStyle w:val="H1"/>
              <w:jc w:val="right"/>
              <w:rPr>
                <w:rFonts w:ascii="SimSun" w:eastAsia="SimSun" w:hint="eastAsia"/>
                <w:color w:val="auto"/>
                <w:sz w:val="16"/>
              </w:rPr>
            </w:pPr>
            <w:r>
              <w:rPr>
                <w:rFonts w:ascii="SimSun" w:eastAsia="SimSun" w:hint="eastAsia"/>
                <w:color w:val="auto"/>
                <w:sz w:val="16"/>
              </w:rPr>
              <w:t>49.9</w:t>
            </w:r>
          </w:p>
          <w:p w:rsidR="00000000" w:rsidRDefault="00000000">
            <w:pPr>
              <w:pStyle w:val="H1"/>
              <w:jc w:val="right"/>
              <w:rPr>
                <w:rFonts w:ascii="SimSun" w:eastAsia="SimSun" w:hint="eastAsia"/>
                <w:color w:val="auto"/>
                <w:sz w:val="16"/>
              </w:rPr>
            </w:pPr>
            <w:r>
              <w:rPr>
                <w:rFonts w:ascii="SimSun" w:eastAsia="SimSun" w:hint="eastAsia"/>
                <w:color w:val="auto"/>
                <w:sz w:val="16"/>
              </w:rPr>
              <w:t>11.6</w:t>
            </w:r>
          </w:p>
          <w:p w:rsidR="00000000" w:rsidRDefault="00000000">
            <w:pPr>
              <w:pStyle w:val="H1"/>
              <w:jc w:val="right"/>
              <w:rPr>
                <w:rFonts w:ascii="SimSun" w:eastAsia="SimSun" w:hint="eastAsia"/>
                <w:color w:val="auto"/>
                <w:sz w:val="16"/>
              </w:rPr>
            </w:pPr>
            <w:r>
              <w:rPr>
                <w:rFonts w:ascii="SimSun" w:eastAsia="SimSun" w:hint="eastAsia"/>
                <w:color w:val="auto"/>
                <w:sz w:val="16"/>
              </w:rPr>
              <w:t>38.4</w:t>
            </w:r>
          </w:p>
          <w:p w:rsidR="00000000" w:rsidRDefault="00000000">
            <w:pPr>
              <w:pStyle w:val="H1"/>
              <w:jc w:val="right"/>
              <w:rPr>
                <w:rFonts w:ascii="SimSun" w:eastAsia="SimSun" w:hint="eastAsia"/>
                <w:color w:val="auto"/>
                <w:sz w:val="16"/>
              </w:rPr>
            </w:pPr>
            <w:r>
              <w:rPr>
                <w:rFonts w:ascii="SimSun" w:eastAsia="SimSun" w:hint="eastAsia"/>
                <w:color w:val="auto"/>
                <w:sz w:val="16"/>
              </w:rPr>
              <w:t>12.0</w:t>
            </w:r>
          </w:p>
          <w:p w:rsidR="00000000" w:rsidRDefault="00000000">
            <w:pPr>
              <w:pStyle w:val="H1"/>
              <w:jc w:val="right"/>
              <w:rPr>
                <w:rFonts w:ascii="SimSun" w:eastAsia="SimSun" w:hint="eastAsia"/>
                <w:color w:val="auto"/>
                <w:sz w:val="16"/>
              </w:rPr>
            </w:pPr>
            <w:r>
              <w:rPr>
                <w:rFonts w:ascii="SimSun" w:eastAsia="SimSun" w:hint="eastAsia"/>
                <w:color w:val="auto"/>
                <w:sz w:val="16"/>
              </w:rPr>
              <w:t>6.7</w:t>
            </w:r>
          </w:p>
          <w:p w:rsidR="00000000" w:rsidRDefault="00000000">
            <w:pPr>
              <w:pStyle w:val="H1"/>
              <w:jc w:val="right"/>
              <w:rPr>
                <w:rFonts w:ascii="SimSun" w:eastAsia="SimSun" w:hint="eastAsia"/>
                <w:color w:val="auto"/>
                <w:sz w:val="16"/>
              </w:rPr>
            </w:pPr>
            <w:r>
              <w:rPr>
                <w:rFonts w:ascii="SimSun" w:eastAsia="SimSun" w:hint="eastAsia"/>
                <w:color w:val="auto"/>
                <w:sz w:val="16"/>
              </w:rPr>
              <w:t>15.5</w:t>
            </w:r>
          </w:p>
          <w:p w:rsidR="00000000" w:rsidRDefault="00000000">
            <w:pPr>
              <w:pStyle w:val="H1"/>
              <w:jc w:val="right"/>
              <w:rPr>
                <w:rFonts w:ascii="SimSun" w:eastAsia="SimSun" w:hint="eastAsia"/>
                <w:color w:val="auto"/>
                <w:sz w:val="16"/>
              </w:rPr>
            </w:pPr>
            <w:r>
              <w:rPr>
                <w:rFonts w:ascii="SimSun" w:eastAsia="SimSun" w:hint="eastAsia"/>
                <w:color w:val="auto"/>
                <w:sz w:val="16"/>
              </w:rPr>
              <w:t>1.4</w:t>
            </w:r>
          </w:p>
          <w:p w:rsidR="00000000" w:rsidRDefault="00000000">
            <w:pPr>
              <w:pStyle w:val="SingleTxt"/>
              <w:spacing w:after="0"/>
              <w:ind w:left="28" w:right="28"/>
              <w:jc w:val="right"/>
              <w:rPr>
                <w:sz w:val="16"/>
              </w:rPr>
            </w:pPr>
            <w:r>
              <w:rPr>
                <w:sz w:val="16"/>
              </w:rPr>
              <w:t>0.4</w:t>
            </w:r>
            <w:r>
              <w:rPr>
                <w:rFonts w:hint="eastAsia"/>
                <w:sz w:val="16"/>
              </w:rPr>
              <w:t xml:space="preserve">   2.4</w:t>
            </w:r>
          </w:p>
        </w:tc>
        <w:tc>
          <w:tcPr>
            <w:tcW w:w="691"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 xml:space="preserve">106.4  </w:t>
            </w:r>
          </w:p>
          <w:p w:rsidR="00000000" w:rsidRDefault="00000000">
            <w:pPr>
              <w:pStyle w:val="H1"/>
              <w:jc w:val="right"/>
              <w:rPr>
                <w:rFonts w:ascii="SimSun" w:eastAsia="SimSun" w:hint="eastAsia"/>
                <w:color w:val="auto"/>
                <w:sz w:val="16"/>
              </w:rPr>
            </w:pPr>
            <w:r>
              <w:rPr>
                <w:rFonts w:ascii="SimSun" w:eastAsia="SimSun" w:hint="eastAsia"/>
                <w:color w:val="auto"/>
                <w:sz w:val="16"/>
              </w:rPr>
              <w:t xml:space="preserve">66.0  54.3  11.7  40.3  11.2  6.8   18.3  1.4   0.1   </w:t>
            </w:r>
          </w:p>
          <w:p w:rsidR="00000000" w:rsidRDefault="00000000">
            <w:pPr>
              <w:pStyle w:val="SingleTxt"/>
              <w:spacing w:after="0"/>
              <w:ind w:left="28" w:right="28"/>
              <w:jc w:val="right"/>
              <w:rPr>
                <w:sz w:val="16"/>
              </w:rPr>
            </w:pPr>
            <w:r>
              <w:rPr>
                <w:rFonts w:hint="eastAsia"/>
                <w:sz w:val="16"/>
              </w:rPr>
              <w:t xml:space="preserve">2.3   </w:t>
            </w:r>
          </w:p>
        </w:tc>
        <w:tc>
          <w:tcPr>
            <w:tcW w:w="679"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100.0</w:t>
            </w:r>
          </w:p>
          <w:p w:rsidR="00000000" w:rsidRDefault="00000000">
            <w:pPr>
              <w:pStyle w:val="H1"/>
              <w:jc w:val="right"/>
              <w:rPr>
                <w:rFonts w:ascii="SimSun" w:eastAsia="SimSun" w:hint="eastAsia"/>
                <w:color w:val="auto"/>
                <w:sz w:val="16"/>
              </w:rPr>
            </w:pPr>
            <w:r>
              <w:rPr>
                <w:rFonts w:ascii="SimSun" w:eastAsia="SimSun" w:hint="eastAsia"/>
                <w:color w:val="auto"/>
                <w:sz w:val="16"/>
              </w:rPr>
              <w:t>62.0</w:t>
            </w:r>
          </w:p>
          <w:p w:rsidR="00000000" w:rsidRDefault="00000000">
            <w:pPr>
              <w:pStyle w:val="H1"/>
              <w:jc w:val="right"/>
              <w:rPr>
                <w:rFonts w:ascii="SimSun" w:eastAsia="SimSun" w:hint="eastAsia"/>
                <w:color w:val="auto"/>
                <w:sz w:val="16"/>
              </w:rPr>
            </w:pPr>
            <w:r>
              <w:rPr>
                <w:rFonts w:ascii="SimSun" w:eastAsia="SimSun" w:hint="eastAsia"/>
                <w:color w:val="auto"/>
                <w:sz w:val="16"/>
              </w:rPr>
              <w:t>51.0</w:t>
            </w:r>
          </w:p>
          <w:p w:rsidR="00000000" w:rsidRDefault="00000000">
            <w:pPr>
              <w:pStyle w:val="H1"/>
              <w:jc w:val="right"/>
              <w:rPr>
                <w:rFonts w:ascii="SimSun" w:eastAsia="SimSun" w:hint="eastAsia"/>
                <w:color w:val="auto"/>
                <w:sz w:val="16"/>
              </w:rPr>
            </w:pPr>
            <w:r>
              <w:rPr>
                <w:rFonts w:ascii="SimSun" w:eastAsia="SimSun" w:hint="eastAsia"/>
                <w:color w:val="auto"/>
                <w:sz w:val="16"/>
              </w:rPr>
              <w:t>11.0</w:t>
            </w:r>
          </w:p>
          <w:p w:rsidR="00000000" w:rsidRDefault="00000000">
            <w:pPr>
              <w:pStyle w:val="H1"/>
              <w:jc w:val="right"/>
              <w:rPr>
                <w:rFonts w:ascii="SimSun" w:eastAsia="SimSun" w:hint="eastAsia"/>
                <w:color w:val="auto"/>
                <w:sz w:val="16"/>
              </w:rPr>
            </w:pPr>
            <w:r>
              <w:rPr>
                <w:rFonts w:ascii="SimSun" w:eastAsia="SimSun" w:hint="eastAsia"/>
                <w:color w:val="auto"/>
                <w:sz w:val="16"/>
              </w:rPr>
              <w:t>37.8</w:t>
            </w:r>
          </w:p>
          <w:p w:rsidR="00000000" w:rsidRDefault="00000000">
            <w:pPr>
              <w:pStyle w:val="H1"/>
              <w:jc w:val="right"/>
              <w:rPr>
                <w:rFonts w:ascii="SimSun" w:eastAsia="SimSun" w:hint="eastAsia"/>
                <w:color w:val="auto"/>
                <w:sz w:val="16"/>
              </w:rPr>
            </w:pPr>
            <w:r>
              <w:rPr>
                <w:rFonts w:ascii="SimSun" w:eastAsia="SimSun" w:hint="eastAsia"/>
                <w:color w:val="auto"/>
                <w:sz w:val="16"/>
              </w:rPr>
              <w:t>10.6</w:t>
            </w:r>
          </w:p>
          <w:p w:rsidR="00000000" w:rsidRDefault="00000000">
            <w:pPr>
              <w:pStyle w:val="H1"/>
              <w:jc w:val="right"/>
              <w:rPr>
                <w:rFonts w:ascii="SimSun" w:eastAsia="SimSun" w:hint="eastAsia"/>
                <w:color w:val="auto"/>
                <w:sz w:val="16"/>
              </w:rPr>
            </w:pPr>
            <w:r>
              <w:rPr>
                <w:rFonts w:ascii="SimSun" w:eastAsia="SimSun" w:hint="eastAsia"/>
                <w:color w:val="auto"/>
                <w:sz w:val="16"/>
              </w:rPr>
              <w:t>6.4</w:t>
            </w:r>
          </w:p>
          <w:p w:rsidR="00000000" w:rsidRDefault="00000000">
            <w:pPr>
              <w:pStyle w:val="H1"/>
              <w:jc w:val="right"/>
              <w:rPr>
                <w:rFonts w:ascii="SimSun" w:eastAsia="SimSun" w:hint="eastAsia"/>
                <w:color w:val="auto"/>
                <w:sz w:val="16"/>
              </w:rPr>
            </w:pPr>
            <w:r>
              <w:rPr>
                <w:rFonts w:ascii="SimSun" w:eastAsia="SimSun" w:hint="eastAsia"/>
                <w:color w:val="auto"/>
                <w:sz w:val="16"/>
              </w:rPr>
              <w:t>17.2</w:t>
            </w:r>
          </w:p>
          <w:p w:rsidR="00000000" w:rsidRDefault="00000000">
            <w:pPr>
              <w:pStyle w:val="H1"/>
              <w:jc w:val="right"/>
              <w:rPr>
                <w:rFonts w:ascii="SimSun" w:eastAsia="SimSun" w:hint="eastAsia"/>
                <w:color w:val="auto"/>
                <w:sz w:val="16"/>
              </w:rPr>
            </w:pPr>
            <w:r>
              <w:rPr>
                <w:rFonts w:ascii="SimSun" w:eastAsia="SimSun" w:hint="eastAsia"/>
                <w:color w:val="auto"/>
                <w:sz w:val="16"/>
              </w:rPr>
              <w:t>1.3</w:t>
            </w:r>
          </w:p>
          <w:p w:rsidR="00000000" w:rsidRDefault="00000000">
            <w:pPr>
              <w:pStyle w:val="SingleTxt"/>
              <w:spacing w:after="0"/>
              <w:ind w:left="28" w:right="28"/>
              <w:jc w:val="right"/>
              <w:rPr>
                <w:sz w:val="16"/>
              </w:rPr>
            </w:pPr>
            <w:r>
              <w:rPr>
                <w:sz w:val="16"/>
              </w:rPr>
              <w:t>0.1</w:t>
            </w:r>
            <w:r>
              <w:rPr>
                <w:rFonts w:hint="eastAsia"/>
                <w:sz w:val="16"/>
              </w:rPr>
              <w:t xml:space="preserve">   2.2</w:t>
            </w:r>
          </w:p>
        </w:tc>
        <w:tc>
          <w:tcPr>
            <w:tcW w:w="678"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 xml:space="preserve">106.5   66.0  55.2  10.8  40.3  10.4   6.7   19.4    1.4  0.2   </w:t>
            </w:r>
          </w:p>
          <w:p w:rsidR="00000000" w:rsidRDefault="00000000">
            <w:pPr>
              <w:pStyle w:val="SingleTxt"/>
              <w:spacing w:after="0"/>
              <w:ind w:left="28" w:right="28"/>
              <w:jc w:val="right"/>
              <w:rPr>
                <w:sz w:val="16"/>
              </w:rPr>
            </w:pPr>
            <w:r>
              <w:rPr>
                <w:rFonts w:hint="eastAsia"/>
                <w:sz w:val="16"/>
              </w:rPr>
              <w:t xml:space="preserve">2.2   </w:t>
            </w:r>
          </w:p>
        </w:tc>
        <w:tc>
          <w:tcPr>
            <w:tcW w:w="680"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10</w:t>
            </w:r>
            <w:r>
              <w:rPr>
                <w:rFonts w:ascii="SimSun" w:eastAsia="SimSun"/>
                <w:color w:val="auto"/>
                <w:sz w:val="16"/>
              </w:rPr>
              <w:t>0.</w:t>
            </w:r>
            <w:r>
              <w:rPr>
                <w:rFonts w:ascii="SimSun" w:eastAsia="SimSun" w:hint="eastAsia"/>
                <w:color w:val="auto"/>
                <w:sz w:val="16"/>
              </w:rPr>
              <w:t>0</w:t>
            </w:r>
          </w:p>
          <w:p w:rsidR="00000000" w:rsidRDefault="00000000">
            <w:pPr>
              <w:pStyle w:val="H1"/>
              <w:jc w:val="right"/>
              <w:rPr>
                <w:rFonts w:ascii="SimSun" w:eastAsia="SimSun" w:hint="eastAsia"/>
                <w:color w:val="auto"/>
                <w:sz w:val="16"/>
              </w:rPr>
            </w:pPr>
            <w:r>
              <w:rPr>
                <w:rFonts w:ascii="SimSun" w:eastAsia="SimSun" w:hint="eastAsia"/>
                <w:color w:val="auto"/>
                <w:sz w:val="16"/>
              </w:rPr>
              <w:t>62.0</w:t>
            </w:r>
          </w:p>
          <w:p w:rsidR="00000000" w:rsidRDefault="00000000">
            <w:pPr>
              <w:pStyle w:val="H1"/>
              <w:jc w:val="right"/>
              <w:rPr>
                <w:rFonts w:ascii="SimSun" w:eastAsia="SimSun" w:hint="eastAsia"/>
                <w:color w:val="auto"/>
                <w:sz w:val="16"/>
              </w:rPr>
            </w:pPr>
            <w:r>
              <w:rPr>
                <w:rFonts w:ascii="SimSun" w:eastAsia="SimSun" w:hint="eastAsia"/>
                <w:color w:val="auto"/>
                <w:sz w:val="16"/>
              </w:rPr>
              <w:t>51.8</w:t>
            </w:r>
          </w:p>
          <w:p w:rsidR="00000000" w:rsidRDefault="00000000">
            <w:pPr>
              <w:pStyle w:val="H1"/>
              <w:jc w:val="right"/>
              <w:rPr>
                <w:rFonts w:ascii="SimSun" w:eastAsia="SimSun" w:hint="eastAsia"/>
                <w:color w:val="auto"/>
                <w:sz w:val="16"/>
              </w:rPr>
            </w:pPr>
            <w:r>
              <w:rPr>
                <w:rFonts w:ascii="SimSun" w:eastAsia="SimSun" w:hint="eastAsia"/>
                <w:color w:val="auto"/>
                <w:sz w:val="16"/>
              </w:rPr>
              <w:t>10.2</w:t>
            </w:r>
          </w:p>
          <w:p w:rsidR="00000000" w:rsidRDefault="00000000">
            <w:pPr>
              <w:pStyle w:val="H1"/>
              <w:jc w:val="right"/>
              <w:rPr>
                <w:rFonts w:ascii="SimSun" w:eastAsia="SimSun" w:hint="eastAsia"/>
                <w:color w:val="auto"/>
                <w:sz w:val="16"/>
              </w:rPr>
            </w:pPr>
            <w:r>
              <w:rPr>
                <w:rFonts w:ascii="SimSun" w:eastAsia="SimSun" w:hint="eastAsia"/>
                <w:color w:val="auto"/>
                <w:sz w:val="16"/>
              </w:rPr>
              <w:t>37.8</w:t>
            </w:r>
          </w:p>
          <w:p w:rsidR="00000000" w:rsidRDefault="00000000">
            <w:pPr>
              <w:pStyle w:val="H1"/>
              <w:jc w:val="right"/>
              <w:rPr>
                <w:rFonts w:ascii="SimSun" w:eastAsia="SimSun" w:hint="eastAsia"/>
                <w:color w:val="auto"/>
                <w:sz w:val="16"/>
              </w:rPr>
            </w:pPr>
            <w:r>
              <w:rPr>
                <w:rFonts w:ascii="SimSun" w:eastAsia="SimSun" w:hint="eastAsia"/>
                <w:color w:val="auto"/>
                <w:sz w:val="16"/>
              </w:rPr>
              <w:t>9.8</w:t>
            </w:r>
          </w:p>
          <w:p w:rsidR="00000000" w:rsidRDefault="00000000">
            <w:pPr>
              <w:pStyle w:val="H1"/>
              <w:jc w:val="right"/>
              <w:rPr>
                <w:rFonts w:ascii="SimSun" w:eastAsia="SimSun" w:hint="eastAsia"/>
                <w:color w:val="auto"/>
                <w:sz w:val="16"/>
              </w:rPr>
            </w:pPr>
            <w:r>
              <w:rPr>
                <w:rFonts w:ascii="SimSun" w:eastAsia="SimSun" w:hint="eastAsia"/>
                <w:color w:val="auto"/>
                <w:sz w:val="16"/>
              </w:rPr>
              <w:t>6.3</w:t>
            </w:r>
          </w:p>
          <w:p w:rsidR="00000000" w:rsidRDefault="00000000">
            <w:pPr>
              <w:pStyle w:val="H1"/>
              <w:jc w:val="right"/>
              <w:rPr>
                <w:rFonts w:ascii="SimSun" w:eastAsia="SimSun" w:hint="eastAsia"/>
                <w:color w:val="auto"/>
                <w:sz w:val="16"/>
              </w:rPr>
            </w:pPr>
            <w:r>
              <w:rPr>
                <w:rFonts w:ascii="SimSun" w:eastAsia="SimSun" w:hint="eastAsia"/>
                <w:color w:val="auto"/>
                <w:sz w:val="16"/>
              </w:rPr>
              <w:t>18.2</w:t>
            </w:r>
          </w:p>
          <w:p w:rsidR="00000000" w:rsidRDefault="00000000">
            <w:pPr>
              <w:pStyle w:val="H1"/>
              <w:jc w:val="right"/>
              <w:rPr>
                <w:rFonts w:ascii="SimSun" w:eastAsia="SimSun" w:hint="eastAsia"/>
                <w:color w:val="auto"/>
                <w:sz w:val="16"/>
              </w:rPr>
            </w:pPr>
            <w:r>
              <w:rPr>
                <w:rFonts w:ascii="SimSun" w:eastAsia="SimSun" w:hint="eastAsia"/>
                <w:color w:val="auto"/>
                <w:sz w:val="16"/>
              </w:rPr>
              <w:t>1.3</w:t>
            </w:r>
          </w:p>
          <w:p w:rsidR="00000000" w:rsidRDefault="00000000">
            <w:pPr>
              <w:pStyle w:val="H1"/>
              <w:jc w:val="right"/>
              <w:rPr>
                <w:rFonts w:ascii="SimSun" w:eastAsia="SimSun" w:hint="eastAsia"/>
                <w:color w:val="auto"/>
                <w:sz w:val="16"/>
              </w:rPr>
            </w:pPr>
            <w:r>
              <w:rPr>
                <w:rFonts w:ascii="SimSun" w:eastAsia="SimSun" w:hint="eastAsia"/>
                <w:color w:val="auto"/>
                <w:sz w:val="16"/>
              </w:rPr>
              <w:t>0.1</w:t>
            </w:r>
          </w:p>
          <w:p w:rsidR="00000000" w:rsidRDefault="00000000">
            <w:pPr>
              <w:pStyle w:val="SingleTxt"/>
              <w:spacing w:after="0"/>
              <w:ind w:left="28" w:right="28"/>
              <w:jc w:val="right"/>
              <w:rPr>
                <w:sz w:val="16"/>
              </w:rPr>
            </w:pPr>
            <w:r>
              <w:rPr>
                <w:rFonts w:hint="eastAsia"/>
                <w:sz w:val="16"/>
              </w:rPr>
              <w:t>2.1</w:t>
            </w:r>
          </w:p>
        </w:tc>
        <w:tc>
          <w:tcPr>
            <w:tcW w:w="679" w:type="dxa"/>
            <w:tcBorders>
              <w:top w:val="single" w:sz="12" w:space="0" w:color="auto"/>
              <w:left w:val="single" w:sz="4" w:space="0" w:color="auto"/>
              <w:bottom w:val="single" w:sz="4" w:space="0" w:color="auto"/>
              <w:right w:val="nil"/>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 xml:space="preserve">106.7 </w:t>
            </w:r>
          </w:p>
          <w:p w:rsidR="00000000" w:rsidRDefault="00000000">
            <w:pPr>
              <w:pStyle w:val="H1"/>
              <w:jc w:val="right"/>
              <w:rPr>
                <w:rFonts w:ascii="SimSun" w:eastAsia="SimSun" w:hint="eastAsia"/>
                <w:color w:val="auto"/>
                <w:sz w:val="16"/>
              </w:rPr>
            </w:pPr>
            <w:r>
              <w:rPr>
                <w:rFonts w:ascii="SimSun" w:eastAsia="SimSun" w:hint="eastAsia"/>
                <w:color w:val="auto"/>
                <w:sz w:val="16"/>
              </w:rPr>
              <w:t xml:space="preserve">65.6  56.9  8.7   41.0  10.7  6.9   19.8  1.6   0.2   </w:t>
            </w:r>
          </w:p>
          <w:p w:rsidR="00000000" w:rsidRDefault="00000000">
            <w:pPr>
              <w:pStyle w:val="SingleTxt"/>
              <w:spacing w:after="0"/>
              <w:ind w:left="28" w:right="28"/>
              <w:jc w:val="right"/>
              <w:rPr>
                <w:sz w:val="16"/>
              </w:rPr>
            </w:pPr>
            <w:r>
              <w:rPr>
                <w:rFonts w:hint="eastAsia"/>
                <w:sz w:val="16"/>
              </w:rPr>
              <w:t xml:space="preserve">1.8   </w:t>
            </w:r>
          </w:p>
        </w:tc>
        <w:tc>
          <w:tcPr>
            <w:tcW w:w="681" w:type="dxa"/>
            <w:tcBorders>
              <w:top w:val="single" w:sz="12" w:space="0" w:color="auto"/>
              <w:left w:val="nil"/>
              <w:bottom w:val="single" w:sz="4" w:space="0" w:color="auto"/>
              <w:right w:val="single" w:sz="4" w:space="0" w:color="auto"/>
            </w:tcBorders>
            <w:tcMar>
              <w:left w:w="28" w:type="dxa"/>
              <w:right w:w="28" w:type="dxa"/>
            </w:tcMar>
          </w:tcPr>
          <w:p w:rsidR="00000000" w:rsidRDefault="00000000">
            <w:pPr>
              <w:pStyle w:val="H1"/>
              <w:jc w:val="right"/>
              <w:rPr>
                <w:rFonts w:ascii="SimSun" w:eastAsia="SimSun" w:hint="eastAsia"/>
                <w:color w:val="auto"/>
                <w:sz w:val="16"/>
              </w:rPr>
            </w:pPr>
            <w:r>
              <w:rPr>
                <w:rFonts w:ascii="SimSun" w:eastAsia="SimSun" w:hint="eastAsia"/>
                <w:color w:val="auto"/>
                <w:sz w:val="16"/>
              </w:rPr>
              <w:t>100.0</w:t>
            </w:r>
          </w:p>
          <w:p w:rsidR="00000000" w:rsidRDefault="00000000">
            <w:pPr>
              <w:pStyle w:val="H1"/>
              <w:jc w:val="right"/>
              <w:rPr>
                <w:rFonts w:ascii="SimSun" w:eastAsia="SimSun" w:hint="eastAsia"/>
                <w:color w:val="auto"/>
                <w:sz w:val="16"/>
              </w:rPr>
            </w:pPr>
            <w:r>
              <w:rPr>
                <w:rFonts w:ascii="SimSun" w:eastAsia="SimSun" w:hint="eastAsia"/>
                <w:color w:val="auto"/>
                <w:sz w:val="16"/>
              </w:rPr>
              <w:t>61.5</w:t>
            </w:r>
          </w:p>
          <w:p w:rsidR="00000000" w:rsidRDefault="00000000">
            <w:pPr>
              <w:pStyle w:val="H1"/>
              <w:jc w:val="right"/>
              <w:rPr>
                <w:rFonts w:ascii="SimSun" w:eastAsia="SimSun" w:hint="eastAsia"/>
                <w:color w:val="auto"/>
                <w:sz w:val="16"/>
              </w:rPr>
            </w:pPr>
            <w:r>
              <w:rPr>
                <w:rFonts w:ascii="SimSun" w:eastAsia="SimSun" w:hint="eastAsia"/>
                <w:color w:val="auto"/>
                <w:sz w:val="16"/>
              </w:rPr>
              <w:t>53.3</w:t>
            </w:r>
          </w:p>
          <w:p w:rsidR="00000000" w:rsidRDefault="00000000">
            <w:pPr>
              <w:pStyle w:val="H1"/>
              <w:jc w:val="right"/>
              <w:rPr>
                <w:rFonts w:ascii="SimSun" w:eastAsia="SimSun" w:hint="eastAsia"/>
                <w:color w:val="auto"/>
                <w:sz w:val="16"/>
              </w:rPr>
            </w:pPr>
            <w:r>
              <w:rPr>
                <w:rFonts w:ascii="SimSun" w:eastAsia="SimSun" w:hint="eastAsia"/>
                <w:color w:val="auto"/>
                <w:sz w:val="16"/>
              </w:rPr>
              <w:t>8.2</w:t>
            </w:r>
          </w:p>
          <w:p w:rsidR="00000000" w:rsidRDefault="00000000">
            <w:pPr>
              <w:pStyle w:val="H1"/>
              <w:jc w:val="right"/>
              <w:rPr>
                <w:rFonts w:ascii="SimSun" w:eastAsia="SimSun" w:hint="eastAsia"/>
                <w:color w:val="auto"/>
                <w:sz w:val="16"/>
              </w:rPr>
            </w:pPr>
            <w:r>
              <w:rPr>
                <w:rFonts w:ascii="SimSun" w:eastAsia="SimSun" w:hint="eastAsia"/>
                <w:color w:val="auto"/>
                <w:sz w:val="16"/>
              </w:rPr>
              <w:t>38.4</w:t>
            </w:r>
          </w:p>
          <w:p w:rsidR="00000000" w:rsidRDefault="00000000">
            <w:pPr>
              <w:pStyle w:val="H1"/>
              <w:jc w:val="right"/>
              <w:rPr>
                <w:rFonts w:ascii="SimSun" w:eastAsia="SimSun" w:hint="eastAsia"/>
                <w:color w:val="auto"/>
                <w:sz w:val="16"/>
              </w:rPr>
            </w:pPr>
            <w:r>
              <w:rPr>
                <w:rFonts w:ascii="SimSun" w:eastAsia="SimSun" w:hint="eastAsia"/>
                <w:color w:val="auto"/>
                <w:sz w:val="16"/>
              </w:rPr>
              <w:t>10.0</w:t>
            </w:r>
          </w:p>
          <w:p w:rsidR="00000000" w:rsidRDefault="00000000">
            <w:pPr>
              <w:pStyle w:val="H1"/>
              <w:jc w:val="right"/>
              <w:rPr>
                <w:rFonts w:ascii="SimSun" w:eastAsia="SimSun" w:hint="eastAsia"/>
                <w:color w:val="auto"/>
                <w:sz w:val="16"/>
              </w:rPr>
            </w:pPr>
            <w:r>
              <w:rPr>
                <w:rFonts w:ascii="SimSun" w:eastAsia="SimSun" w:hint="eastAsia"/>
                <w:color w:val="auto"/>
                <w:sz w:val="16"/>
              </w:rPr>
              <w:t>6.5</w:t>
            </w:r>
          </w:p>
          <w:p w:rsidR="00000000" w:rsidRDefault="00000000">
            <w:pPr>
              <w:pStyle w:val="H1"/>
              <w:jc w:val="right"/>
              <w:rPr>
                <w:rFonts w:ascii="SimSun" w:eastAsia="SimSun" w:hint="eastAsia"/>
                <w:color w:val="auto"/>
                <w:sz w:val="16"/>
              </w:rPr>
            </w:pPr>
            <w:r>
              <w:rPr>
                <w:rFonts w:ascii="SimSun" w:eastAsia="SimSun" w:hint="eastAsia"/>
                <w:color w:val="auto"/>
                <w:sz w:val="16"/>
              </w:rPr>
              <w:t>18.5</w:t>
            </w:r>
          </w:p>
          <w:p w:rsidR="00000000" w:rsidRDefault="00000000">
            <w:pPr>
              <w:pStyle w:val="H1"/>
              <w:jc w:val="right"/>
              <w:rPr>
                <w:rFonts w:ascii="SimSun" w:eastAsia="SimSun" w:hint="eastAsia"/>
                <w:color w:val="auto"/>
                <w:sz w:val="16"/>
              </w:rPr>
            </w:pPr>
            <w:r>
              <w:rPr>
                <w:rFonts w:ascii="SimSun" w:eastAsia="SimSun" w:hint="eastAsia"/>
                <w:color w:val="auto"/>
                <w:sz w:val="16"/>
              </w:rPr>
              <w:t>1.5</w:t>
            </w:r>
          </w:p>
          <w:p w:rsidR="00000000" w:rsidRDefault="00000000">
            <w:pPr>
              <w:pStyle w:val="H1"/>
              <w:jc w:val="right"/>
              <w:rPr>
                <w:rFonts w:ascii="SimSun" w:eastAsia="SimSun" w:hint="eastAsia"/>
                <w:color w:val="auto"/>
                <w:sz w:val="16"/>
              </w:rPr>
            </w:pPr>
            <w:r>
              <w:rPr>
                <w:rFonts w:ascii="SimSun" w:eastAsia="SimSun" w:hint="eastAsia"/>
                <w:color w:val="auto"/>
                <w:sz w:val="16"/>
              </w:rPr>
              <w:t>0.1</w:t>
            </w:r>
          </w:p>
          <w:p w:rsidR="00000000" w:rsidRDefault="00000000">
            <w:pPr>
              <w:pStyle w:val="SingleTxt"/>
              <w:spacing w:after="0"/>
              <w:ind w:left="28" w:right="28"/>
              <w:jc w:val="right"/>
              <w:rPr>
                <w:sz w:val="16"/>
              </w:rPr>
            </w:pPr>
            <w:r>
              <w:rPr>
                <w:rFonts w:hint="eastAsia"/>
                <w:sz w:val="16"/>
              </w:rPr>
              <w:t>1.7</w:t>
            </w:r>
          </w:p>
        </w:tc>
      </w:tr>
      <w:tr w:rsidR="00000000">
        <w:tblPrEx>
          <w:tblCellMar>
            <w:top w:w="0" w:type="dxa"/>
            <w:bottom w:w="0" w:type="dxa"/>
          </w:tblCellMar>
        </w:tblPrEx>
        <w:trPr>
          <w:cantSplit/>
        </w:trPr>
        <w:tc>
          <w:tcPr>
            <w:tcW w:w="1572" w:type="dxa"/>
          </w:tcPr>
          <w:p w:rsidR="00000000" w:rsidRDefault="00000000">
            <w:pPr>
              <w:pStyle w:val="SingleTxt"/>
              <w:spacing w:after="0"/>
              <w:ind w:left="0" w:right="0"/>
              <w:rPr>
                <w:rFonts w:ascii="KaiTi_GB2312" w:eastAsia="KaiTi_GB2312" w:hint="eastAsia"/>
                <w:color w:val="0000FF"/>
                <w:sz w:val="17"/>
              </w:rPr>
            </w:pPr>
            <w:r>
              <w:rPr>
                <w:rFonts w:ascii="SimHei" w:eastAsia="SimHei" w:hint="eastAsia"/>
                <w:color w:val="FF0000"/>
                <w:sz w:val="17"/>
              </w:rPr>
              <w:t>劳动力中的失业％</w:t>
            </w:r>
            <w:r>
              <w:rPr>
                <w:rFonts w:ascii="SimHei" w:eastAsia="SimHei" w:hint="eastAsia"/>
                <w:color w:val="FF0000"/>
                <w:sz w:val="17"/>
                <w:vertAlign w:val="superscript"/>
              </w:rPr>
              <w:t>＊</w:t>
            </w:r>
            <w:r>
              <w:rPr>
                <w:rFonts w:ascii="KaiTi_GB2312" w:eastAsia="KaiTi_GB2312" w:hint="eastAsia"/>
                <w:color w:val="0000FF"/>
                <w:sz w:val="17"/>
              </w:rPr>
              <w:t>（失业率）</w:t>
            </w:r>
          </w:p>
        </w:tc>
        <w:tc>
          <w:tcPr>
            <w:tcW w:w="1290" w:type="dxa"/>
            <w:gridSpan w:val="2"/>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26.4</w:t>
            </w:r>
          </w:p>
        </w:tc>
        <w:tc>
          <w:tcPr>
            <w:tcW w:w="1345" w:type="dxa"/>
            <w:gridSpan w:val="2"/>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23.0</w:t>
            </w:r>
          </w:p>
        </w:tc>
        <w:tc>
          <w:tcPr>
            <w:tcW w:w="1354" w:type="dxa"/>
            <w:gridSpan w:val="3"/>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18.9</w:t>
            </w:r>
          </w:p>
        </w:tc>
        <w:tc>
          <w:tcPr>
            <w:tcW w:w="1374" w:type="dxa"/>
            <w:gridSpan w:val="3"/>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17.8</w:t>
            </w:r>
          </w:p>
        </w:tc>
        <w:tc>
          <w:tcPr>
            <w:tcW w:w="1358" w:type="dxa"/>
            <w:gridSpan w:val="2"/>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16.4</w:t>
            </w:r>
          </w:p>
        </w:tc>
        <w:tc>
          <w:tcPr>
            <w:tcW w:w="1360" w:type="dxa"/>
            <w:gridSpan w:val="2"/>
            <w:tcBorders>
              <w:top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13.3</w:t>
            </w:r>
          </w:p>
        </w:tc>
      </w:tr>
      <w:tr w:rsidR="00000000">
        <w:tblPrEx>
          <w:tblCellMar>
            <w:top w:w="0" w:type="dxa"/>
            <w:bottom w:w="0" w:type="dxa"/>
          </w:tblCellMar>
        </w:tblPrEx>
        <w:trPr>
          <w:cantSplit/>
        </w:trPr>
        <w:tc>
          <w:tcPr>
            <w:tcW w:w="1572" w:type="dxa"/>
            <w:tcBorders>
              <w:bottom w:val="single" w:sz="4" w:space="0" w:color="auto"/>
            </w:tcBorders>
          </w:tcPr>
          <w:p w:rsidR="00000000" w:rsidRDefault="00000000">
            <w:pPr>
              <w:pStyle w:val="SingleTxt"/>
              <w:spacing w:after="0"/>
              <w:ind w:left="0" w:right="0"/>
              <w:rPr>
                <w:rFonts w:hint="eastAsia"/>
                <w:sz w:val="17"/>
              </w:rPr>
            </w:pPr>
            <w:r>
              <w:rPr>
                <w:rFonts w:ascii="SimHei" w:eastAsia="SimHei" w:hint="eastAsia"/>
                <w:color w:val="FF0000"/>
                <w:sz w:val="17"/>
              </w:rPr>
              <w:t>劳动力中的就业%</w:t>
            </w:r>
            <w:r>
              <w:rPr>
                <w:rFonts w:ascii="KaiTi_GB2312" w:eastAsia="KaiTi_GB2312" w:hint="eastAsia"/>
                <w:color w:val="0000FF"/>
                <w:sz w:val="17"/>
              </w:rPr>
              <w:t>（就业率）</w:t>
            </w:r>
          </w:p>
        </w:tc>
        <w:tc>
          <w:tcPr>
            <w:tcW w:w="1290" w:type="dxa"/>
            <w:gridSpan w:val="2"/>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73.0</w:t>
            </w:r>
          </w:p>
        </w:tc>
        <w:tc>
          <w:tcPr>
            <w:tcW w:w="1345" w:type="dxa"/>
            <w:gridSpan w:val="2"/>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77.0</w:t>
            </w:r>
          </w:p>
        </w:tc>
        <w:tc>
          <w:tcPr>
            <w:tcW w:w="1354" w:type="dxa"/>
            <w:gridSpan w:val="3"/>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81.1</w:t>
            </w:r>
          </w:p>
        </w:tc>
        <w:tc>
          <w:tcPr>
            <w:tcW w:w="1374" w:type="dxa"/>
            <w:gridSpan w:val="3"/>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82.2</w:t>
            </w:r>
          </w:p>
        </w:tc>
        <w:tc>
          <w:tcPr>
            <w:tcW w:w="1358" w:type="dxa"/>
            <w:gridSpan w:val="2"/>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83.6</w:t>
            </w:r>
          </w:p>
        </w:tc>
        <w:tc>
          <w:tcPr>
            <w:tcW w:w="1360" w:type="dxa"/>
            <w:gridSpan w:val="2"/>
            <w:tcBorders>
              <w:bottom w:val="single" w:sz="4"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86.7</w:t>
            </w:r>
          </w:p>
        </w:tc>
      </w:tr>
      <w:tr w:rsidR="00000000">
        <w:tblPrEx>
          <w:tblCellMar>
            <w:top w:w="0" w:type="dxa"/>
            <w:bottom w:w="0" w:type="dxa"/>
          </w:tblCellMar>
        </w:tblPrEx>
        <w:trPr>
          <w:cantSplit/>
        </w:trPr>
        <w:tc>
          <w:tcPr>
            <w:tcW w:w="1572" w:type="dxa"/>
            <w:tcBorders>
              <w:bottom w:val="single" w:sz="12" w:space="0" w:color="auto"/>
            </w:tcBorders>
          </w:tcPr>
          <w:p w:rsidR="00000000" w:rsidRDefault="00000000">
            <w:pPr>
              <w:pStyle w:val="SingleTxt"/>
              <w:spacing w:after="0"/>
              <w:ind w:left="0" w:right="0"/>
              <w:rPr>
                <w:rFonts w:ascii="SimHei" w:eastAsia="SimHei" w:hint="eastAsia"/>
                <w:color w:val="FF0000"/>
                <w:sz w:val="17"/>
              </w:rPr>
            </w:pPr>
            <w:r>
              <w:rPr>
                <w:rFonts w:ascii="SimHei" w:eastAsia="SimHei" w:hint="eastAsia"/>
                <w:color w:val="FF0000"/>
                <w:sz w:val="17"/>
              </w:rPr>
              <w:t>成年人口中的劳动力％</w:t>
            </w:r>
          </w:p>
          <w:p w:rsidR="00000000" w:rsidRDefault="00000000">
            <w:pPr>
              <w:pStyle w:val="SingleTxt"/>
              <w:spacing w:after="0"/>
              <w:ind w:left="0" w:right="0"/>
              <w:rPr>
                <w:rFonts w:hint="eastAsia"/>
                <w:sz w:val="17"/>
              </w:rPr>
            </w:pPr>
            <w:r>
              <w:rPr>
                <w:rFonts w:ascii="KaiTi_GB2312" w:eastAsia="KaiTi_GB2312" w:hint="eastAsia"/>
                <w:color w:val="0000FF"/>
                <w:sz w:val="17"/>
              </w:rPr>
              <w:t>（参加劳动率）</w:t>
            </w:r>
            <w:r>
              <w:rPr>
                <w:rFonts w:hint="eastAsia"/>
                <w:sz w:val="17"/>
                <w:vertAlign w:val="superscript"/>
              </w:rPr>
              <w:t>＊＊</w:t>
            </w:r>
          </w:p>
        </w:tc>
        <w:tc>
          <w:tcPr>
            <w:tcW w:w="1290" w:type="dxa"/>
            <w:gridSpan w:val="2"/>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61.5</w:t>
            </w:r>
          </w:p>
        </w:tc>
        <w:tc>
          <w:tcPr>
            <w:tcW w:w="1345" w:type="dxa"/>
            <w:gridSpan w:val="2"/>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62.7</w:t>
            </w:r>
          </w:p>
        </w:tc>
        <w:tc>
          <w:tcPr>
            <w:tcW w:w="1354" w:type="dxa"/>
            <w:gridSpan w:val="3"/>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61.6</w:t>
            </w:r>
          </w:p>
        </w:tc>
        <w:tc>
          <w:tcPr>
            <w:tcW w:w="1374" w:type="dxa"/>
            <w:gridSpan w:val="3"/>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62.1</w:t>
            </w:r>
          </w:p>
        </w:tc>
        <w:tc>
          <w:tcPr>
            <w:tcW w:w="1358" w:type="dxa"/>
            <w:gridSpan w:val="2"/>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62.0</w:t>
            </w:r>
          </w:p>
        </w:tc>
        <w:tc>
          <w:tcPr>
            <w:tcW w:w="1360" w:type="dxa"/>
            <w:gridSpan w:val="2"/>
            <w:tcBorders>
              <w:bottom w:val="single" w:sz="12" w:space="0" w:color="auto"/>
            </w:tcBorders>
          </w:tcPr>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p>
          <w:p w:rsidR="00000000" w:rsidRDefault="00000000">
            <w:pPr>
              <w:pStyle w:val="SingleTxt"/>
              <w:tabs>
                <w:tab w:val="clear" w:pos="1264"/>
                <w:tab w:val="clear" w:pos="3850"/>
                <w:tab w:val="clear" w:pos="4281"/>
                <w:tab w:val="clear" w:pos="4712"/>
                <w:tab w:val="clear" w:pos="5143"/>
                <w:tab w:val="clear" w:pos="5574"/>
                <w:tab w:val="clear" w:pos="6005"/>
                <w:tab w:val="left" w:pos="1242"/>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after="0" w:line="240" w:lineRule="exact"/>
              <w:ind w:left="28" w:right="28"/>
              <w:jc w:val="center"/>
              <w:rPr>
                <w:rFonts w:hint="eastAsia"/>
                <w:sz w:val="16"/>
              </w:rPr>
            </w:pPr>
            <w:r>
              <w:rPr>
                <w:rFonts w:hint="eastAsia"/>
                <w:sz w:val="16"/>
              </w:rPr>
              <w:t>61.5</w:t>
            </w:r>
          </w:p>
        </w:tc>
      </w:tr>
    </w:tbl>
    <w:p w:rsidR="00000000" w:rsidRDefault="00000000">
      <w:pPr>
        <w:pStyle w:val="SingleTxt"/>
        <w:spacing w:after="0"/>
        <w:ind w:left="0"/>
        <w:rPr>
          <w:vertAlign w:val="superscript"/>
        </w:rPr>
      </w:pPr>
    </w:p>
    <w:p w:rsidR="00000000" w:rsidRDefault="00000000">
      <w:pPr>
        <w:pStyle w:val="SingleTxt"/>
        <w:ind w:left="0"/>
        <w:rPr>
          <w:rFonts w:hint="eastAsia"/>
        </w:rPr>
      </w:pPr>
      <w:r>
        <w:rPr>
          <w:rFonts w:hint="eastAsia"/>
          <w:vertAlign w:val="superscript"/>
        </w:rPr>
        <w:t>＊</w:t>
      </w:r>
      <w:r>
        <w:t xml:space="preserve">    </w:t>
      </w:r>
      <w:r>
        <w:rPr>
          <w:rFonts w:hint="eastAsia"/>
          <w:sz w:val="18"/>
        </w:rPr>
        <w:t>失业率＝失业人数/劳动力</w:t>
      </w:r>
      <w:r>
        <w:rPr>
          <w:rFonts w:hint="eastAsia"/>
          <w:sz w:val="18"/>
          <w:vertAlign w:val="superscript"/>
        </w:rPr>
        <w:t>＊</w:t>
      </w:r>
      <w:r>
        <w:rPr>
          <w:rFonts w:hint="eastAsia"/>
          <w:sz w:val="18"/>
        </w:rPr>
        <w:t>100</w:t>
      </w:r>
    </w:p>
    <w:p w:rsidR="00000000" w:rsidRDefault="00000000">
      <w:pPr>
        <w:pStyle w:val="SingleTxt"/>
        <w:ind w:left="0"/>
        <w:rPr>
          <w:sz w:val="18"/>
        </w:rPr>
      </w:pPr>
      <w:r>
        <w:rPr>
          <w:rFonts w:hint="eastAsia"/>
          <w:vertAlign w:val="superscript"/>
        </w:rPr>
        <w:t>＊＊</w:t>
      </w:r>
      <w:r>
        <w:t xml:space="preserve"> </w:t>
      </w:r>
      <w:r>
        <w:rPr>
          <w:rFonts w:hint="eastAsia"/>
        </w:rPr>
        <w:t xml:space="preserve">  </w:t>
      </w:r>
      <w:r>
        <w:rPr>
          <w:rFonts w:hint="eastAsia"/>
          <w:sz w:val="18"/>
        </w:rPr>
        <w:t>参加劳动率＝劳动力/成年人口</w:t>
      </w:r>
      <w:r>
        <w:rPr>
          <w:rFonts w:hint="eastAsia"/>
          <w:sz w:val="18"/>
          <w:vertAlign w:val="superscript"/>
        </w:rPr>
        <w:t>＊</w:t>
      </w:r>
      <w:r>
        <w:rPr>
          <w:rFonts w:hint="eastAsia"/>
          <w:sz w:val="18"/>
        </w:rPr>
        <w:t>100</w:t>
      </w: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rPr>
      </w:pPr>
      <w:r>
        <w:br w:type="page"/>
      </w:r>
      <w:r>
        <w:tab/>
      </w:r>
      <w:r>
        <w:tab/>
      </w:r>
      <w:r>
        <w:rPr>
          <w:rFonts w:hint="eastAsia"/>
        </w:rPr>
        <w:t>按年龄分组的劳动力</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1264" w:right="1264" w:hanging="1264"/>
        <w:rPr>
          <w:rFonts w:hint="eastAsia"/>
          <w:sz w:val="20"/>
        </w:rPr>
      </w:pPr>
      <w:r>
        <w:tab/>
      </w:r>
      <w:r>
        <w:tab/>
      </w:r>
      <w:r>
        <w:rPr>
          <w:rFonts w:hint="eastAsia"/>
          <w:sz w:val="20"/>
        </w:rPr>
        <w:t>两性（</w:t>
      </w:r>
      <w:r>
        <w:rPr>
          <w:rFonts w:ascii="KaiTi_GB2312" w:eastAsia="KaiTi_GB2312" w:hint="eastAsia"/>
          <w:color w:val="0000FF"/>
          <w:sz w:val="20"/>
        </w:rPr>
        <w:t>千人</w:t>
      </w:r>
      <w:r>
        <w:rPr>
          <w:rFonts w:hint="eastAsia"/>
          <w:sz w:val="20"/>
        </w:rPr>
        <w:t>）</w:t>
      </w:r>
    </w:p>
    <w:tbl>
      <w:tblPr>
        <w:tblW w:w="0" w:type="auto"/>
        <w:tblInd w:w="126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6"/>
        <w:gridCol w:w="1046"/>
        <w:gridCol w:w="1046"/>
        <w:gridCol w:w="1046"/>
        <w:gridCol w:w="1046"/>
        <w:gridCol w:w="1046"/>
        <w:gridCol w:w="1046"/>
      </w:tblGrid>
      <w:tr w:rsidR="00000000">
        <w:tblPrEx>
          <w:tblCellMar>
            <w:top w:w="0" w:type="dxa"/>
            <w:bottom w:w="0" w:type="dxa"/>
          </w:tblCellMar>
        </w:tblPrEx>
        <w:trPr>
          <w:trHeight w:hRule="exact" w:val="227"/>
        </w:trPr>
        <w:tc>
          <w:tcPr>
            <w:tcW w:w="1046" w:type="dxa"/>
            <w:tcBorders>
              <w:top w:val="single" w:sz="4" w:space="0" w:color="auto"/>
              <w:bottom w:val="single" w:sz="12" w:space="0" w:color="auto"/>
            </w:tcBorders>
          </w:tcPr>
          <w:p w:rsidR="00000000" w:rsidRDefault="00000000">
            <w:pPr>
              <w:pStyle w:val="H1"/>
              <w:spacing w:line="240" w:lineRule="atLeast"/>
              <w:ind w:left="28" w:right="28"/>
              <w:rPr>
                <w:rFonts w:ascii="KaiTi_GB2312" w:eastAsia="KaiTi_GB2312" w:hint="eastAsia"/>
                <w:color w:val="0000FF"/>
                <w:sz w:val="15"/>
              </w:rPr>
            </w:pPr>
            <w:r>
              <w:rPr>
                <w:rFonts w:ascii="KaiTi_GB2312" w:eastAsia="KaiTi_GB2312" w:hint="eastAsia"/>
                <w:color w:val="0000FF"/>
                <w:sz w:val="15"/>
              </w:rPr>
              <w:t>年龄组</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15-19岁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8.2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8.5</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7.7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7.2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7.3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7.5</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0-24岁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17.9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15.9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16.3</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25-29岁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19.4</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18.8</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17.9</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30-34岁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20.9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21.0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20.2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19.6</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18.0</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35-39岁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19.8</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19.9</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40-44岁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16.3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17.1</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17.2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19.5</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45-49岁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12.7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12.2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13.2</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13.8</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13.9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14.5</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50-54岁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9.3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9.0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9.5</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9.6</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10.6</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11.0</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55-59岁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5.8</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6.0</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6.9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6.3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6.6</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6.6</w:t>
            </w:r>
          </w:p>
        </w:tc>
      </w:tr>
      <w:tr w:rsidR="00000000">
        <w:tblPrEx>
          <w:tblCellMar>
            <w:top w:w="0" w:type="dxa"/>
            <w:bottom w:w="0" w:type="dxa"/>
          </w:tblCellMar>
        </w:tblPrEx>
        <w:trPr>
          <w:trHeight w:hRule="exact" w:val="284"/>
        </w:trPr>
        <w:tc>
          <w:tcPr>
            <w:tcW w:w="1046"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60-64岁</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3.4</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3.3</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3.9</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3.7</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3.4</w:t>
            </w:r>
          </w:p>
        </w:tc>
        <w:tc>
          <w:tcPr>
            <w:tcW w:w="1046" w:type="dxa"/>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3.8</w:t>
            </w:r>
          </w:p>
        </w:tc>
      </w:tr>
      <w:tr w:rsidR="00000000">
        <w:tblPrEx>
          <w:tblCellMar>
            <w:top w:w="0" w:type="dxa"/>
            <w:bottom w:w="0" w:type="dxa"/>
          </w:tblCellMar>
        </w:tblPrEx>
        <w:trPr>
          <w:trHeight w:hRule="exact" w:val="284"/>
        </w:trPr>
        <w:tc>
          <w:tcPr>
            <w:tcW w:w="1046" w:type="dxa"/>
            <w:tcBorders>
              <w:bottom w:val="single" w:sz="4" w:space="0" w:color="auto"/>
            </w:tcBorders>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65岁以上</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2.2</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2.0</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1.8</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1.5</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1.5</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hint="eastAsia"/>
                <w:color w:val="auto"/>
                <w:sz w:val="16"/>
              </w:rPr>
            </w:pPr>
            <w:r>
              <w:rPr>
                <w:rFonts w:ascii="SimSun" w:eastAsia="SimSun" w:hint="eastAsia"/>
                <w:color w:val="auto"/>
                <w:sz w:val="16"/>
              </w:rPr>
              <w:t>1.6</w:t>
            </w:r>
          </w:p>
        </w:tc>
      </w:tr>
      <w:tr w:rsidR="00000000">
        <w:tblPrEx>
          <w:tblCellMar>
            <w:top w:w="0" w:type="dxa"/>
            <w:bottom w:w="0" w:type="dxa"/>
          </w:tblCellMar>
        </w:tblPrEx>
        <w:trPr>
          <w:trHeight w:hRule="exact" w:val="284"/>
        </w:trPr>
        <w:tc>
          <w:tcPr>
            <w:tcW w:w="1046" w:type="dxa"/>
            <w:tcBorders>
              <w:top w:val="single" w:sz="4" w:space="0" w:color="auto"/>
              <w:bottom w:val="single" w:sz="12" w:space="0" w:color="auto"/>
            </w:tcBorders>
          </w:tcPr>
          <w:p w:rsidR="00000000" w:rsidRDefault="00000000">
            <w:pPr>
              <w:pStyle w:val="H1"/>
              <w:spacing w:line="240" w:lineRule="atLeast"/>
              <w:ind w:left="28" w:right="28"/>
              <w:rPr>
                <w:rFonts w:hint="eastAsia"/>
                <w:sz w:val="16"/>
              </w:rPr>
            </w:pPr>
            <w:r>
              <w:rPr>
                <w:rFonts w:ascii="SimSun" w:eastAsia="SimSun"/>
                <w:color w:val="auto"/>
                <w:sz w:val="16"/>
              </w:rPr>
              <w:tab/>
            </w:r>
            <w:r>
              <w:rPr>
                <w:rFonts w:hint="eastAsia"/>
                <w:sz w:val="16"/>
              </w:rPr>
              <w:t>共计</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135.4</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136.8</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135.4</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135.8</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136.3</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hint="eastAsia"/>
                <w:b/>
                <w:bCs/>
                <w:color w:val="auto"/>
                <w:sz w:val="16"/>
              </w:rPr>
            </w:pPr>
            <w:r>
              <w:rPr>
                <w:rFonts w:ascii="SimSun" w:eastAsia="SimSun" w:hint="eastAsia"/>
                <w:b/>
                <w:bCs/>
                <w:color w:val="auto"/>
                <w:sz w:val="16"/>
              </w:rPr>
              <w:t>136.6</w:t>
            </w:r>
          </w:p>
        </w:tc>
      </w:tr>
    </w:tbl>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8" w:right="28" w:hanging="1264"/>
        <w:rPr>
          <w:rFonts w:hint="eastAsia"/>
        </w:rPr>
      </w:pPr>
      <w:r>
        <w:tab/>
      </w:r>
      <w:r>
        <w:tab/>
      </w:r>
      <w:r>
        <w:tab/>
      </w:r>
      <w:r>
        <w:rPr>
          <w:rFonts w:hint="eastAsia"/>
          <w:sz w:val="20"/>
        </w:rPr>
        <w:t>男性</w:t>
      </w:r>
      <w:r>
        <w:rPr>
          <w:rFonts w:ascii="KaiTi_GB2312" w:eastAsia="KaiTi_GB2312" w:hint="eastAsia"/>
          <w:color w:val="0000FF"/>
          <w:sz w:val="20"/>
        </w:rPr>
        <w:t>（千人）</w:t>
      </w:r>
    </w:p>
    <w:tbl>
      <w:tblPr>
        <w:tblW w:w="0" w:type="auto"/>
        <w:tblInd w:w="126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trHeight w:hRule="exact" w:val="284"/>
        </w:trPr>
        <w:tc>
          <w:tcPr>
            <w:tcW w:w="1045" w:type="dxa"/>
            <w:tcBorders>
              <w:top w:val="single" w:sz="4" w:space="0" w:color="auto"/>
              <w:bottom w:val="single" w:sz="12" w:space="0" w:color="auto"/>
            </w:tcBorders>
          </w:tcPr>
          <w:p w:rsidR="00000000" w:rsidRDefault="00000000">
            <w:pPr>
              <w:pStyle w:val="H1"/>
              <w:ind w:left="28" w:right="28"/>
              <w:rPr>
                <w:rFonts w:ascii="KaiTi_GB2312" w:eastAsia="KaiTi_GB2312" w:hint="eastAsia"/>
                <w:color w:val="0000FF"/>
                <w:sz w:val="15"/>
              </w:rPr>
            </w:pPr>
            <w:r>
              <w:rPr>
                <w:rFonts w:ascii="KaiTi_GB2312" w:eastAsia="KaiTi_GB2312" w:hint="eastAsia"/>
                <w:color w:val="0000FF"/>
                <w:sz w:val="15"/>
              </w:rPr>
              <w:t>年龄组</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15-19岁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hint="eastAsia"/>
                <w:color w:val="auto"/>
                <w:sz w:val="16"/>
              </w:rPr>
              <w:t>4.5</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4.8</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4.3</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3.9</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4.3</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20-24岁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10.1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9.9</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8.4</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8.5</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25-29岁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9.5</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9.8</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9.5</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30-34岁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9.9</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9.9</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10.2</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10.1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9.7</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9.2</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35-39岁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9.7</w:t>
            </w:r>
          </w:p>
        </w:tc>
      </w:tr>
      <w:tr w:rsidR="00000000">
        <w:tblPrEx>
          <w:tblCellMar>
            <w:top w:w="0" w:type="dxa"/>
            <w:bottom w:w="0" w:type="dxa"/>
          </w:tblCellMar>
        </w:tblPrEx>
        <w:trPr>
          <w:trHeight w:hRule="exact" w:val="255"/>
        </w:trPr>
        <w:tc>
          <w:tcPr>
            <w:tcW w:w="1045" w:type="dxa"/>
            <w:tcBorders>
              <w:bottom w:val="nil"/>
            </w:tcBorders>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40-44岁</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8.3</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8.1</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8.3</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8.7</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9.5</w:t>
            </w:r>
          </w:p>
        </w:tc>
        <w:tc>
          <w:tcPr>
            <w:tcW w:w="1046" w:type="dxa"/>
            <w:tcBorders>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9.8</w:t>
            </w:r>
          </w:p>
        </w:tc>
      </w:tr>
      <w:tr w:rsidR="00000000">
        <w:tblPrEx>
          <w:tblCellMar>
            <w:top w:w="0" w:type="dxa"/>
            <w:bottom w:w="0" w:type="dxa"/>
          </w:tblCellMar>
        </w:tblPrEx>
        <w:trPr>
          <w:trHeight w:hRule="exact" w:val="255"/>
        </w:trPr>
        <w:tc>
          <w:tcPr>
            <w:tcW w:w="1045" w:type="dxa"/>
            <w:tcBorders>
              <w:top w:val="nil"/>
              <w:bottom w:val="nil"/>
            </w:tcBorders>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45-49岁</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6.3</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6.5</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6.8</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6.9</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6.9</w:t>
            </w:r>
          </w:p>
        </w:tc>
        <w:tc>
          <w:tcPr>
            <w:tcW w:w="1046" w:type="dxa"/>
            <w:tcBorders>
              <w:top w:val="nil"/>
              <w:bottom w:val="nil"/>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7.3</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50-54岁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4.8</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4.5</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4.8</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5.0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5.6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6.0</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55-59岁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3.5</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3.7</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3.6</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3.3</w:t>
            </w:r>
          </w:p>
        </w:tc>
      </w:tr>
      <w:tr w:rsidR="00000000">
        <w:tblPrEx>
          <w:tblCellMar>
            <w:top w:w="0" w:type="dxa"/>
            <w:bottom w:w="0" w:type="dxa"/>
          </w:tblCellMar>
        </w:tblPrEx>
        <w:trPr>
          <w:trHeight w:hRule="exact" w:val="255"/>
        </w:trPr>
        <w:tc>
          <w:tcPr>
            <w:tcW w:w="1045" w:type="dxa"/>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60-64岁</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2.0</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2.1</w:t>
            </w:r>
          </w:p>
        </w:tc>
        <w:tc>
          <w:tcPr>
            <w:tcW w:w="1046" w:type="dxa"/>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2.3</w:t>
            </w:r>
          </w:p>
        </w:tc>
      </w:tr>
      <w:tr w:rsidR="00000000">
        <w:tblPrEx>
          <w:tblCellMar>
            <w:top w:w="0" w:type="dxa"/>
            <w:bottom w:w="0" w:type="dxa"/>
          </w:tblCellMar>
        </w:tblPrEx>
        <w:trPr>
          <w:trHeight w:hRule="exact" w:val="255"/>
        </w:trPr>
        <w:tc>
          <w:tcPr>
            <w:tcW w:w="1045" w:type="dxa"/>
            <w:tcBorders>
              <w:bottom w:val="single" w:sz="4" w:space="0" w:color="auto"/>
            </w:tcBorders>
          </w:tcPr>
          <w:p w:rsidR="00000000" w:rsidRDefault="00000000">
            <w:pPr>
              <w:pStyle w:val="H1"/>
              <w:spacing w:line="240" w:lineRule="atLeast"/>
              <w:ind w:left="28" w:right="28"/>
              <w:rPr>
                <w:rFonts w:ascii="SimSun" w:eastAsia="SimSun" w:hint="eastAsia"/>
                <w:color w:val="auto"/>
                <w:sz w:val="16"/>
              </w:rPr>
            </w:pPr>
            <w:r>
              <w:rPr>
                <w:rFonts w:ascii="SimSun" w:eastAsia="SimSun" w:hint="eastAsia"/>
                <w:color w:val="auto"/>
                <w:sz w:val="16"/>
              </w:rPr>
              <w:t>65岁以上</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1.3</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1.3</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1.1</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0.8</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0.9</w:t>
            </w:r>
          </w:p>
        </w:tc>
        <w:tc>
          <w:tcPr>
            <w:tcW w:w="1046" w:type="dxa"/>
            <w:tcBorders>
              <w:bottom w:val="single" w:sz="4" w:space="0" w:color="auto"/>
            </w:tcBorders>
          </w:tcPr>
          <w:p w:rsidR="00000000" w:rsidRDefault="00000000">
            <w:pPr>
              <w:pStyle w:val="H1"/>
              <w:spacing w:line="240" w:lineRule="atLeast"/>
              <w:ind w:left="28" w:right="28"/>
              <w:jc w:val="right"/>
              <w:rPr>
                <w:rFonts w:ascii="SimSun" w:eastAsia="SimSun"/>
                <w:color w:val="auto"/>
                <w:sz w:val="16"/>
              </w:rPr>
            </w:pPr>
            <w:r>
              <w:rPr>
                <w:rFonts w:ascii="SimSun" w:eastAsia="SimSun"/>
                <w:color w:val="auto"/>
                <w:sz w:val="16"/>
              </w:rPr>
              <w:t>1.1</w:t>
            </w:r>
          </w:p>
        </w:tc>
      </w:tr>
      <w:tr w:rsidR="00000000">
        <w:tblPrEx>
          <w:tblCellMar>
            <w:top w:w="0" w:type="dxa"/>
            <w:bottom w:w="0" w:type="dxa"/>
          </w:tblCellMar>
        </w:tblPrEx>
        <w:trPr>
          <w:trHeight w:hRule="exact" w:val="284"/>
        </w:trPr>
        <w:tc>
          <w:tcPr>
            <w:tcW w:w="1045" w:type="dxa"/>
            <w:tcBorders>
              <w:top w:val="single" w:sz="4" w:space="0" w:color="auto"/>
              <w:bottom w:val="single" w:sz="12" w:space="0" w:color="auto"/>
            </w:tcBorders>
          </w:tcPr>
          <w:p w:rsidR="00000000" w:rsidRDefault="00000000">
            <w:pPr>
              <w:pStyle w:val="H1"/>
              <w:spacing w:line="240" w:lineRule="atLeast"/>
              <w:ind w:left="28" w:right="28"/>
              <w:rPr>
                <w:rFonts w:hint="eastAsia"/>
                <w:sz w:val="16"/>
              </w:rPr>
            </w:pPr>
            <w:r>
              <w:rPr>
                <w:rFonts w:ascii="SimSun" w:eastAsia="SimSun"/>
                <w:color w:val="auto"/>
                <w:sz w:val="16"/>
              </w:rPr>
              <w:tab/>
            </w:r>
            <w:r>
              <w:rPr>
                <w:rFonts w:hint="eastAsia"/>
                <w:sz w:val="16"/>
              </w:rPr>
              <w:t>共计</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68.8</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69.1</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69.0</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69.8</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70.3</w:t>
            </w:r>
          </w:p>
        </w:tc>
        <w:tc>
          <w:tcPr>
            <w:tcW w:w="1046" w:type="dxa"/>
            <w:tcBorders>
              <w:top w:val="single" w:sz="4" w:space="0" w:color="auto"/>
              <w:bottom w:val="single" w:sz="12" w:space="0" w:color="auto"/>
            </w:tcBorders>
          </w:tcPr>
          <w:p w:rsidR="00000000" w:rsidRDefault="00000000">
            <w:pPr>
              <w:pStyle w:val="H1"/>
              <w:spacing w:line="240" w:lineRule="atLeast"/>
              <w:ind w:left="28" w:right="28"/>
              <w:jc w:val="right"/>
              <w:rPr>
                <w:rFonts w:ascii="SimSun" w:eastAsia="SimSun"/>
                <w:b/>
                <w:bCs/>
                <w:color w:val="auto"/>
                <w:sz w:val="16"/>
              </w:rPr>
            </w:pPr>
            <w:r>
              <w:rPr>
                <w:rFonts w:ascii="SimSun" w:eastAsia="SimSun"/>
                <w:b/>
                <w:bCs/>
                <w:color w:val="auto"/>
                <w:sz w:val="16"/>
              </w:rPr>
              <w:t>71.0</w:t>
            </w:r>
          </w:p>
        </w:tc>
      </w:tr>
    </w:tbl>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8" w:right="28" w:hanging="1264"/>
        <w:rPr>
          <w:rFonts w:hint="eastAsia"/>
          <w:sz w:val="20"/>
        </w:rPr>
      </w:pPr>
      <w:r>
        <w:tab/>
      </w:r>
      <w:r>
        <w:tab/>
      </w:r>
      <w:r>
        <w:tab/>
      </w:r>
      <w:r>
        <w:rPr>
          <w:rFonts w:hint="eastAsia"/>
          <w:sz w:val="20"/>
        </w:rPr>
        <w:t>女性</w:t>
      </w:r>
      <w:r>
        <w:rPr>
          <w:sz w:val="20"/>
        </w:rPr>
        <w:tab/>
      </w:r>
      <w:r>
        <w:rPr>
          <w:rFonts w:ascii="长城楷体" w:eastAsia="长城楷体" w:hint="eastAsia"/>
          <w:sz w:val="20"/>
        </w:rPr>
        <w:t>（</w:t>
      </w:r>
      <w:r>
        <w:rPr>
          <w:rFonts w:ascii="KaiTi_GB2312" w:eastAsia="KaiTi_GB2312" w:hint="eastAsia"/>
          <w:color w:val="0000FF"/>
          <w:sz w:val="20"/>
        </w:rPr>
        <w:t>千人</w:t>
      </w:r>
      <w:r>
        <w:rPr>
          <w:rFonts w:ascii="长城楷体" w:eastAsia="长城楷体" w:hint="eastAsia"/>
          <w:sz w:val="20"/>
        </w:rPr>
        <w:t>）</w:t>
      </w:r>
    </w:p>
    <w:tbl>
      <w:tblPr>
        <w:tblW w:w="0" w:type="auto"/>
        <w:tblInd w:w="1265"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50"/>
        <w:gridCol w:w="1036"/>
        <w:gridCol w:w="1046"/>
        <w:gridCol w:w="1046"/>
        <w:gridCol w:w="1046"/>
        <w:gridCol w:w="1046"/>
        <w:gridCol w:w="1046"/>
      </w:tblGrid>
      <w:tr w:rsidR="00000000">
        <w:tblPrEx>
          <w:tblCellMar>
            <w:top w:w="0" w:type="dxa"/>
            <w:bottom w:w="0" w:type="dxa"/>
          </w:tblCellMar>
        </w:tblPrEx>
        <w:trPr>
          <w:trHeight w:hRule="exact" w:val="284"/>
        </w:trPr>
        <w:tc>
          <w:tcPr>
            <w:tcW w:w="1050" w:type="dxa"/>
            <w:tcBorders>
              <w:top w:val="single" w:sz="4" w:space="0" w:color="auto"/>
              <w:bottom w:val="single" w:sz="12" w:space="0" w:color="auto"/>
            </w:tcBorders>
          </w:tcPr>
          <w:p w:rsidR="00000000" w:rsidRDefault="00000000">
            <w:pPr>
              <w:pStyle w:val="H1"/>
              <w:ind w:left="28" w:right="28"/>
              <w:rPr>
                <w:rFonts w:ascii="KaiTi_GB2312" w:eastAsia="KaiTi_GB2312" w:hint="eastAsia"/>
                <w:color w:val="0000FF"/>
                <w:sz w:val="15"/>
              </w:rPr>
            </w:pPr>
            <w:r>
              <w:rPr>
                <w:rFonts w:ascii="KaiTi_GB2312" w:eastAsia="KaiTi_GB2312" w:hint="eastAsia"/>
                <w:color w:val="0000FF"/>
                <w:sz w:val="15"/>
              </w:rPr>
              <w:t>年龄组</w:t>
            </w:r>
          </w:p>
        </w:tc>
        <w:tc>
          <w:tcPr>
            <w:tcW w:w="103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15-19岁</w:t>
            </w:r>
          </w:p>
        </w:tc>
        <w:tc>
          <w:tcPr>
            <w:tcW w:w="1036" w:type="dxa"/>
          </w:tcPr>
          <w:p w:rsidR="00000000" w:rsidRDefault="00000000">
            <w:pPr>
              <w:pStyle w:val="H1"/>
              <w:ind w:left="28" w:right="28"/>
              <w:jc w:val="right"/>
              <w:rPr>
                <w:rFonts w:ascii="SimSun" w:eastAsia="SimSun"/>
                <w:color w:val="auto"/>
                <w:sz w:val="16"/>
              </w:rPr>
            </w:pPr>
            <w:r>
              <w:rPr>
                <w:rFonts w:ascii="SimSun" w:eastAsia="SimSun" w:hint="eastAsia"/>
                <w:color w:val="auto"/>
                <w:sz w:val="16"/>
              </w:rPr>
              <w:t>3</w:t>
            </w:r>
            <w:r>
              <w:rPr>
                <w:rFonts w:ascii="SimSun" w:eastAsia="SimSun"/>
                <w:color w:val="auto"/>
                <w:sz w:val="16"/>
              </w:rPr>
              <w:t>.7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3.3</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20-24岁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8.6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7.9</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25-29岁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9.3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8.4</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30-34岁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11.0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11.1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8.7</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35-39岁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10.0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10.3</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40-44岁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8.0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9.7</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45-49岁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6.4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6.3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6.9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7.2</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50-54岁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5.0</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55-59岁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2.8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3.3</w:t>
            </w:r>
          </w:p>
        </w:tc>
      </w:tr>
      <w:tr w:rsidR="00000000">
        <w:tblPrEx>
          <w:tblCellMar>
            <w:top w:w="0" w:type="dxa"/>
            <w:bottom w:w="0" w:type="dxa"/>
          </w:tblCellMar>
        </w:tblPrEx>
        <w:trPr>
          <w:trHeight w:hRule="exact" w:val="255"/>
        </w:trPr>
        <w:tc>
          <w:tcPr>
            <w:tcW w:w="1050"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60-64岁</w:t>
            </w:r>
          </w:p>
        </w:tc>
        <w:tc>
          <w:tcPr>
            <w:tcW w:w="1036" w:type="dxa"/>
          </w:tcPr>
          <w:p w:rsidR="00000000" w:rsidRDefault="00000000">
            <w:pPr>
              <w:pStyle w:val="H1"/>
              <w:ind w:left="28" w:right="28"/>
              <w:jc w:val="right"/>
              <w:rPr>
                <w:rFonts w:ascii="SimSun" w:eastAsia="SimSun"/>
                <w:color w:val="auto"/>
                <w:sz w:val="16"/>
              </w:rPr>
            </w:pPr>
            <w:r>
              <w:rPr>
                <w:rFonts w:ascii="SimSun" w:eastAsia="SimSun"/>
                <w:color w:val="auto"/>
                <w:sz w:val="16"/>
              </w:rPr>
              <w:t>1.4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w:t>
            </w:r>
          </w:p>
        </w:tc>
      </w:tr>
      <w:tr w:rsidR="00000000">
        <w:tblPrEx>
          <w:tblCellMar>
            <w:top w:w="0" w:type="dxa"/>
            <w:bottom w:w="0" w:type="dxa"/>
          </w:tblCellMar>
        </w:tblPrEx>
        <w:trPr>
          <w:trHeight w:hRule="exact" w:val="284"/>
        </w:trPr>
        <w:tc>
          <w:tcPr>
            <w:tcW w:w="1050" w:type="dxa"/>
            <w:tcBorders>
              <w:bottom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65岁以上</w:t>
            </w:r>
          </w:p>
        </w:tc>
        <w:tc>
          <w:tcPr>
            <w:tcW w:w="103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0.9</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0.7</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0.8</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0.7</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0.6</w:t>
            </w:r>
          </w:p>
        </w:tc>
        <w:tc>
          <w:tcPr>
            <w:tcW w:w="1046" w:type="dxa"/>
            <w:tcBorders>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0.4</w:t>
            </w:r>
          </w:p>
        </w:tc>
      </w:tr>
      <w:tr w:rsidR="00000000">
        <w:tblPrEx>
          <w:tblCellMar>
            <w:top w:w="0" w:type="dxa"/>
            <w:bottom w:w="0" w:type="dxa"/>
          </w:tblCellMar>
        </w:tblPrEx>
        <w:trPr>
          <w:trHeight w:hRule="exact" w:val="284"/>
        </w:trPr>
        <w:tc>
          <w:tcPr>
            <w:tcW w:w="1050" w:type="dxa"/>
            <w:tcBorders>
              <w:top w:val="single" w:sz="4" w:space="0" w:color="auto"/>
              <w:bottom w:val="single" w:sz="12" w:space="0" w:color="auto"/>
            </w:tcBorders>
          </w:tcPr>
          <w:p w:rsidR="00000000" w:rsidRDefault="00000000">
            <w:pPr>
              <w:pStyle w:val="H1"/>
              <w:ind w:left="28" w:right="28"/>
              <w:rPr>
                <w:rFonts w:hint="eastAsia"/>
                <w:sz w:val="16"/>
              </w:rPr>
            </w:pPr>
            <w:r>
              <w:rPr>
                <w:rFonts w:ascii="SimSun" w:eastAsia="SimSun"/>
                <w:color w:val="auto"/>
                <w:sz w:val="16"/>
              </w:rPr>
              <w:tab/>
            </w:r>
            <w:r>
              <w:rPr>
                <w:rFonts w:hint="eastAsia"/>
                <w:sz w:val="16"/>
              </w:rPr>
              <w:t>共计</w:t>
            </w:r>
          </w:p>
        </w:tc>
        <w:tc>
          <w:tcPr>
            <w:tcW w:w="103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66.6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67.6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66.5</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66.0</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66.0</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65.6</w:t>
            </w:r>
          </w:p>
        </w:tc>
      </w:tr>
    </w:tbl>
    <w:p w:rsidR="00000000" w:rsidRDefault="00000000">
      <w:pPr>
        <w:pStyle w:val="SingleTxt"/>
        <w:ind w:left="28" w:right="28"/>
        <w:rPr>
          <w:sz w:val="16"/>
        </w:rPr>
      </w:pPr>
    </w:p>
    <w:p w:rsidR="00000000" w:rsidRDefault="00000000">
      <w:pPr>
        <w:pStyle w:val="HCh"/>
        <w:tabs>
          <w:tab w:val="clear" w:pos="57"/>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28" w:right="28" w:hanging="1264"/>
        <w:rPr>
          <w:rFonts w:hint="eastAsia"/>
        </w:rPr>
      </w:pPr>
      <w:r>
        <w:br w:type="page"/>
      </w:r>
      <w:r>
        <w:tab/>
      </w:r>
      <w:r>
        <w:tab/>
      </w:r>
      <w:r>
        <w:tab/>
      </w:r>
      <w:r>
        <w:rPr>
          <w:rFonts w:hint="eastAsia"/>
        </w:rPr>
        <w:t>按年龄分组的失业人口</w:t>
      </w:r>
    </w:p>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spacing w:before="60" w:after="60"/>
        <w:ind w:left="28" w:right="28" w:hanging="1264"/>
        <w:rPr>
          <w:rFonts w:hint="eastAsia"/>
        </w:rPr>
      </w:pPr>
      <w:r>
        <w:tab/>
      </w:r>
      <w:r>
        <w:tab/>
      </w:r>
      <w:r>
        <w:tab/>
      </w:r>
      <w:r>
        <w:rPr>
          <w:rFonts w:hint="eastAsia"/>
        </w:rPr>
        <w:t>两性</w:t>
      </w:r>
    </w:p>
    <w:p w:rsidR="00000000" w:rsidRDefault="00000000">
      <w:pPr>
        <w:pStyle w:val="H1"/>
        <w:spacing w:before="60" w:after="60"/>
        <w:ind w:left="28" w:right="28"/>
        <w:rPr>
          <w:rFonts w:ascii="KaiTi_GB2312" w:eastAsia="KaiTi_GB2312" w:hint="eastAsia"/>
          <w:color w:val="0000FF"/>
          <w:sz w:val="21"/>
        </w:rPr>
      </w:pPr>
      <w:r>
        <w:rPr>
          <w:rFonts w:ascii="SimSun" w:eastAsia="SimSun"/>
          <w:color w:val="auto"/>
          <w:sz w:val="21"/>
        </w:rPr>
        <w:tab/>
      </w:r>
      <w:r>
        <w:rPr>
          <w:rFonts w:ascii="SimSun" w:eastAsia="SimSun"/>
          <w:color w:val="auto"/>
          <w:sz w:val="21"/>
        </w:rPr>
        <w:tab/>
      </w:r>
      <w:r>
        <w:rPr>
          <w:rFonts w:ascii="SimSun" w:eastAsia="SimSun"/>
          <w:color w:val="auto"/>
          <w:sz w:val="21"/>
        </w:rPr>
        <w:tab/>
      </w:r>
      <w:r>
        <w:rPr>
          <w:rFonts w:ascii="KaiTi_GB2312" w:eastAsia="KaiTi_GB2312" w:hint="eastAsia"/>
          <w:color w:val="0000FF"/>
          <w:sz w:val="21"/>
        </w:rPr>
        <w:t>（千人）</w:t>
      </w:r>
    </w:p>
    <w:tbl>
      <w:tblPr>
        <w:tblW w:w="0" w:type="auto"/>
        <w:tblInd w:w="126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ascii="KaiTi_GB2312" w:eastAsia="KaiTi_GB2312" w:hint="eastAsia"/>
                <w:color w:val="0000FF"/>
                <w:sz w:val="15"/>
              </w:rPr>
            </w:pPr>
            <w:r>
              <w:rPr>
                <w:rFonts w:ascii="KaiTi_GB2312" w:eastAsia="KaiTi_GB2312" w:hint="eastAsia"/>
                <w:color w:val="0000FF"/>
                <w:sz w:val="15"/>
              </w:rPr>
              <w:t>年龄组</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15-24岁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5.2</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25-34岁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8.8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7.7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3.7</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35-44岁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3.0</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45-54岁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w:t>
            </w:r>
          </w:p>
        </w:tc>
      </w:tr>
      <w:tr w:rsidR="00000000">
        <w:tblPrEx>
          <w:tblCellMar>
            <w:top w:w="0" w:type="dxa"/>
            <w:bottom w:w="0" w:type="dxa"/>
          </w:tblCellMar>
        </w:tblPrEx>
        <w:trPr>
          <w:trHeight w:val="284"/>
        </w:trPr>
        <w:tc>
          <w:tcPr>
            <w:tcW w:w="1045" w:type="dxa"/>
            <w:tcBorders>
              <w:bottom w:val="nil"/>
            </w:tcBorders>
          </w:tcPr>
          <w:p w:rsidR="00000000" w:rsidRDefault="00000000">
            <w:pPr>
              <w:pStyle w:val="H1"/>
              <w:ind w:left="28" w:right="28"/>
              <w:rPr>
                <w:rFonts w:ascii="SimSun" w:eastAsia="SimSun" w:hint="eastAsia"/>
                <w:color w:val="auto"/>
                <w:sz w:val="16"/>
              </w:rPr>
            </w:pPr>
            <w:r>
              <w:rPr>
                <w:rFonts w:ascii="SimSun" w:eastAsia="SimSun"/>
                <w:color w:val="auto"/>
                <w:sz w:val="16"/>
              </w:rPr>
              <w:t>55-64</w:t>
            </w:r>
            <w:r>
              <w:rPr>
                <w:rFonts w:ascii="SimSun" w:eastAsia="SimSun" w:hint="eastAsia"/>
                <w:color w:val="auto"/>
                <w:sz w:val="16"/>
              </w:rPr>
              <w:t>岁</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hint="eastAsia"/>
                <w:color w:val="auto"/>
                <w:sz w:val="16"/>
              </w:rPr>
              <w:t>0.9</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1.0</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0.8</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0.6</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0.5</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0.5</w:t>
            </w:r>
          </w:p>
        </w:tc>
      </w:tr>
      <w:tr w:rsidR="00000000">
        <w:tblPrEx>
          <w:tblCellMar>
            <w:top w:w="0" w:type="dxa"/>
            <w:bottom w:w="0" w:type="dxa"/>
          </w:tblCellMar>
        </w:tblPrEx>
        <w:trPr>
          <w:trHeight w:val="284"/>
        </w:trPr>
        <w:tc>
          <w:tcPr>
            <w:tcW w:w="1045" w:type="dxa"/>
            <w:tcBorders>
              <w:top w:val="nil"/>
              <w:bottom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65岁以上</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r>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hint="eastAsia"/>
                <w:sz w:val="16"/>
              </w:rPr>
            </w:pPr>
            <w:r>
              <w:rPr>
                <w:rFonts w:ascii="SimSun" w:eastAsia="SimSun"/>
                <w:color w:val="auto"/>
                <w:sz w:val="16"/>
              </w:rPr>
              <w:tab/>
            </w:r>
            <w:r>
              <w:rPr>
                <w:rFonts w:hint="eastAsia"/>
                <w:sz w:val="16"/>
              </w:rPr>
              <w:t>共计</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29.6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26.9</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21.1</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19.6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16.7</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14.2</w:t>
            </w:r>
          </w:p>
        </w:tc>
      </w:tr>
    </w:tbl>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8" w:right="28" w:hanging="1264"/>
        <w:rPr>
          <w:rFonts w:hint="eastAsia"/>
        </w:rPr>
      </w:pPr>
      <w:r>
        <w:tab/>
      </w:r>
      <w:r>
        <w:tab/>
      </w:r>
      <w:r>
        <w:tab/>
      </w:r>
      <w:r>
        <w:rPr>
          <w:rFonts w:hint="eastAsia"/>
        </w:rPr>
        <w:t>男性</w:t>
      </w:r>
    </w:p>
    <w:p w:rsidR="00000000" w:rsidRDefault="00000000">
      <w:pPr>
        <w:pStyle w:val="H1"/>
        <w:spacing w:after="120"/>
        <w:ind w:left="28" w:right="28"/>
        <w:rPr>
          <w:rFonts w:ascii="KaiTi_GB2312" w:eastAsia="KaiTi_GB2312"/>
          <w:color w:val="0000FF"/>
        </w:rPr>
      </w:pPr>
      <w:r>
        <w:rPr>
          <w:rFonts w:ascii="SimSun" w:eastAsia="SimSun"/>
          <w:color w:val="auto"/>
        </w:rPr>
        <w:tab/>
      </w:r>
      <w:r>
        <w:rPr>
          <w:rFonts w:ascii="SimSun" w:eastAsia="SimSun"/>
          <w:color w:val="auto"/>
        </w:rPr>
        <w:tab/>
      </w:r>
      <w:r>
        <w:rPr>
          <w:rFonts w:ascii="SimSun" w:eastAsia="SimSun"/>
          <w:color w:val="auto"/>
        </w:rPr>
        <w:tab/>
      </w:r>
      <w:r>
        <w:rPr>
          <w:rFonts w:ascii="KaiTi_GB2312" w:eastAsia="KaiTi_GB2312" w:hint="eastAsia"/>
          <w:color w:val="0000FF"/>
        </w:rPr>
        <w:t>（千人）</w:t>
      </w:r>
    </w:p>
    <w:tbl>
      <w:tblPr>
        <w:tblW w:w="0" w:type="auto"/>
        <w:tblInd w:w="126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ascii="KaiTi_GB2312" w:eastAsia="KaiTi_GB2312" w:hint="eastAsia"/>
                <w:color w:val="0000FF"/>
                <w:sz w:val="15"/>
              </w:rPr>
            </w:pPr>
            <w:r>
              <w:rPr>
                <w:rFonts w:ascii="KaiTi_GB2312" w:eastAsia="KaiTi_GB2312" w:hint="eastAsia"/>
                <w:color w:val="0000FF"/>
                <w:sz w:val="15"/>
              </w:rPr>
              <w:t>年龄组</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hRule="exact" w:val="57"/>
        </w:trPr>
        <w:tc>
          <w:tcPr>
            <w:tcW w:w="1045"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15-24岁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2.3</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25-34岁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2.1</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1.3</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35-44岁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45-54岁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1.4</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0.6</w:t>
            </w:r>
          </w:p>
        </w:tc>
      </w:tr>
      <w:tr w:rsidR="00000000">
        <w:tblPrEx>
          <w:tblCellMar>
            <w:top w:w="0" w:type="dxa"/>
            <w:bottom w:w="0" w:type="dxa"/>
          </w:tblCellMar>
        </w:tblPrEx>
        <w:trPr>
          <w:trHeight w:val="284"/>
        </w:trPr>
        <w:tc>
          <w:tcPr>
            <w:tcW w:w="1045" w:type="dxa"/>
            <w:tcBorders>
              <w:bottom w:val="nil"/>
            </w:tcBorders>
          </w:tcPr>
          <w:p w:rsidR="00000000" w:rsidRDefault="00000000">
            <w:pPr>
              <w:pStyle w:val="H1"/>
              <w:ind w:left="28" w:right="28"/>
              <w:rPr>
                <w:rFonts w:ascii="SimSun" w:eastAsia="SimSun" w:hint="eastAsia"/>
                <w:color w:val="auto"/>
                <w:sz w:val="16"/>
              </w:rPr>
            </w:pPr>
            <w:r>
              <w:rPr>
                <w:rFonts w:ascii="SimSun" w:eastAsia="SimSun"/>
                <w:color w:val="auto"/>
                <w:sz w:val="16"/>
              </w:rPr>
              <w:t>55-64</w:t>
            </w:r>
            <w:r>
              <w:rPr>
                <w:rFonts w:ascii="SimSun" w:eastAsia="SimSun" w:hint="eastAsia"/>
                <w:color w:val="auto"/>
                <w:sz w:val="16"/>
              </w:rPr>
              <w:t>岁</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0.5</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0.6</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0.5</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0.2</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trHeight w:val="284"/>
        </w:trPr>
        <w:tc>
          <w:tcPr>
            <w:tcW w:w="1045" w:type="dxa"/>
            <w:tcBorders>
              <w:top w:val="nil"/>
              <w:bottom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65岁以上</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r>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hint="eastAsia"/>
                <w:sz w:val="16"/>
              </w:rPr>
            </w:pPr>
            <w:r>
              <w:rPr>
                <w:rFonts w:ascii="SimSun" w:eastAsia="SimSun"/>
                <w:color w:val="auto"/>
                <w:sz w:val="16"/>
              </w:rPr>
              <w:tab/>
            </w:r>
            <w:r>
              <w:rPr>
                <w:rFonts w:hint="eastAsia"/>
                <w:sz w:val="16"/>
              </w:rPr>
              <w:t>共计</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12.1</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11.4</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8.6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7.9</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5.9</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5.5</w:t>
            </w:r>
          </w:p>
        </w:tc>
      </w:tr>
    </w:tbl>
    <w:p w:rsidR="00000000" w:rsidRDefault="00000000">
      <w:pPr>
        <w:pStyle w:val="H1"/>
        <w:tabs>
          <w:tab w:val="right" w:pos="1022"/>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 w:val="left" w:pos="6435"/>
        </w:tabs>
        <w:ind w:left="28" w:right="28" w:hanging="1264"/>
        <w:rPr>
          <w:rFonts w:hint="eastAsia"/>
        </w:rPr>
      </w:pPr>
      <w:r>
        <w:tab/>
      </w:r>
      <w:r>
        <w:tab/>
      </w:r>
      <w:r>
        <w:tab/>
      </w:r>
      <w:r>
        <w:rPr>
          <w:rFonts w:hint="eastAsia"/>
        </w:rPr>
        <w:t>女性</w:t>
      </w:r>
    </w:p>
    <w:p w:rsidR="00000000" w:rsidRDefault="00000000">
      <w:pPr>
        <w:pStyle w:val="H1"/>
        <w:spacing w:before="60" w:after="120"/>
        <w:ind w:left="28" w:right="28"/>
        <w:rPr>
          <w:rFonts w:ascii="KaiTi_GB2312" w:eastAsia="KaiTi_GB2312" w:hint="eastAsia"/>
          <w:color w:val="0000FF"/>
          <w:sz w:val="21"/>
        </w:rPr>
      </w:pPr>
      <w:r>
        <w:rPr>
          <w:rFonts w:ascii="SimSun" w:eastAsia="SimSun"/>
          <w:color w:val="auto"/>
          <w:sz w:val="21"/>
        </w:rPr>
        <w:tab/>
      </w:r>
      <w:r>
        <w:rPr>
          <w:rFonts w:ascii="SimSun" w:eastAsia="SimSun"/>
          <w:color w:val="auto"/>
          <w:sz w:val="21"/>
        </w:rPr>
        <w:tab/>
      </w:r>
      <w:r>
        <w:rPr>
          <w:rFonts w:ascii="SimSun" w:eastAsia="SimSun"/>
          <w:color w:val="auto"/>
          <w:sz w:val="21"/>
        </w:rPr>
        <w:tab/>
      </w:r>
      <w:r>
        <w:rPr>
          <w:rFonts w:ascii="KaiTi_GB2312" w:eastAsia="KaiTi_GB2312" w:hint="eastAsia"/>
          <w:color w:val="0000FF"/>
          <w:sz w:val="21"/>
        </w:rPr>
        <w:t>（千人）</w:t>
      </w:r>
    </w:p>
    <w:tbl>
      <w:tblPr>
        <w:tblW w:w="0" w:type="auto"/>
        <w:tblInd w:w="1260" w:type="dxa"/>
        <w:tblBorders>
          <w:top w:val="single" w:sz="4" w:space="0" w:color="auto"/>
          <w:left w:val="single" w:sz="4" w:space="0" w:color="auto"/>
          <w:bottom w:val="single" w:sz="4" w:space="0" w:color="auto"/>
          <w:right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45"/>
        <w:gridCol w:w="1046"/>
        <w:gridCol w:w="1046"/>
        <w:gridCol w:w="1046"/>
        <w:gridCol w:w="1046"/>
        <w:gridCol w:w="1046"/>
        <w:gridCol w:w="1046"/>
      </w:tblGrid>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ascii="KaiTi_GB2312" w:eastAsia="KaiTi_GB2312" w:hint="eastAsia"/>
                <w:color w:val="0000FF"/>
                <w:sz w:val="15"/>
              </w:rPr>
            </w:pPr>
            <w:r>
              <w:rPr>
                <w:rFonts w:ascii="KaiTi_GB2312" w:eastAsia="KaiTi_GB2312" w:hint="eastAsia"/>
                <w:color w:val="0000FF"/>
                <w:sz w:val="15"/>
              </w:rPr>
              <w:t>年龄组</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1994年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1995年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1996年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1997年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1998年</w:t>
            </w:r>
          </w:p>
        </w:tc>
        <w:tc>
          <w:tcPr>
            <w:tcW w:w="1046" w:type="dxa"/>
            <w:tcBorders>
              <w:top w:val="single" w:sz="4" w:space="0" w:color="auto"/>
              <w:bottom w:val="single" w:sz="12" w:space="0" w:color="auto"/>
            </w:tcBorders>
          </w:tcPr>
          <w:p w:rsidR="00000000" w:rsidRDefault="00000000">
            <w:pPr>
              <w:pStyle w:val="H1"/>
              <w:ind w:left="28" w:right="28"/>
              <w:jc w:val="right"/>
              <w:rPr>
                <w:rFonts w:ascii="KaiTi_GB2312" w:eastAsia="KaiTi_GB2312" w:hint="eastAsia"/>
                <w:color w:val="0000FF"/>
                <w:sz w:val="15"/>
              </w:rPr>
            </w:pPr>
            <w:r>
              <w:rPr>
                <w:rFonts w:ascii="KaiTi_GB2312" w:eastAsia="KaiTi_GB2312" w:hint="eastAsia"/>
                <w:color w:val="0000FF"/>
                <w:sz w:val="15"/>
              </w:rPr>
              <w:t>1999年</w:t>
            </w:r>
          </w:p>
        </w:tc>
      </w:tr>
      <w:tr w:rsidR="00000000">
        <w:tblPrEx>
          <w:tblCellMar>
            <w:top w:w="0" w:type="dxa"/>
            <w:bottom w:w="0" w:type="dxa"/>
          </w:tblCellMar>
        </w:tblPrEx>
        <w:trPr>
          <w:trHeight w:hRule="exact" w:val="57"/>
        </w:trPr>
        <w:tc>
          <w:tcPr>
            <w:tcW w:w="1045"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c>
          <w:tcPr>
            <w:tcW w:w="1046" w:type="dxa"/>
            <w:tcBorders>
              <w:top w:val="single" w:sz="12" w:space="0" w:color="auto"/>
            </w:tcBorders>
          </w:tcPr>
          <w:p w:rsidR="00000000" w:rsidRDefault="00000000">
            <w:pPr>
              <w:pStyle w:val="H1"/>
              <w:ind w:left="28" w:right="28"/>
              <w:rPr>
                <w:rFonts w:ascii="SimSun" w:eastAsia="SimSun" w:hint="eastAsia"/>
                <w:color w:val="auto"/>
                <w:sz w:val="21"/>
              </w:rPr>
            </w:pP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15-24岁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3.0</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25-34岁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5.6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4.9</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3.5</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2.4</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35-44岁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3.0</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2.8</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2.3</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2.1</w:t>
            </w:r>
          </w:p>
        </w:tc>
      </w:tr>
      <w:tr w:rsidR="00000000">
        <w:tblPrEx>
          <w:tblCellMar>
            <w:top w:w="0" w:type="dxa"/>
            <w:bottom w:w="0" w:type="dxa"/>
          </w:tblCellMar>
        </w:tblPrEx>
        <w:trPr>
          <w:trHeight w:val="284"/>
        </w:trPr>
        <w:tc>
          <w:tcPr>
            <w:tcW w:w="1045" w:type="dxa"/>
          </w:tcPr>
          <w:p w:rsidR="00000000" w:rsidRDefault="00000000">
            <w:pPr>
              <w:pStyle w:val="H1"/>
              <w:ind w:left="28" w:right="28"/>
              <w:rPr>
                <w:rFonts w:ascii="SimSun" w:eastAsia="SimSun" w:hint="eastAsia"/>
                <w:color w:val="auto"/>
                <w:sz w:val="16"/>
              </w:rPr>
            </w:pPr>
            <w:r>
              <w:rPr>
                <w:rFonts w:ascii="SimSun" w:eastAsia="SimSun" w:hint="eastAsia"/>
                <w:color w:val="auto"/>
                <w:sz w:val="16"/>
              </w:rPr>
              <w:t>45-54岁</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1.7</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1.6</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1.2</w:t>
            </w:r>
          </w:p>
        </w:tc>
        <w:tc>
          <w:tcPr>
            <w:tcW w:w="1046" w:type="dxa"/>
          </w:tcPr>
          <w:p w:rsidR="00000000" w:rsidRDefault="00000000">
            <w:pPr>
              <w:pStyle w:val="H1"/>
              <w:ind w:left="28" w:right="28"/>
              <w:jc w:val="right"/>
              <w:rPr>
                <w:rFonts w:ascii="SimSun" w:eastAsia="SimSun"/>
                <w:color w:val="auto"/>
                <w:sz w:val="16"/>
              </w:rPr>
            </w:pPr>
            <w:r>
              <w:rPr>
                <w:rFonts w:ascii="SimSun" w:eastAsia="SimSun"/>
                <w:color w:val="auto"/>
                <w:sz w:val="16"/>
              </w:rPr>
              <w:t>1.0</w:t>
            </w:r>
          </w:p>
        </w:tc>
      </w:tr>
      <w:tr w:rsidR="00000000">
        <w:tblPrEx>
          <w:tblCellMar>
            <w:top w:w="0" w:type="dxa"/>
            <w:bottom w:w="0" w:type="dxa"/>
          </w:tblCellMar>
        </w:tblPrEx>
        <w:trPr>
          <w:trHeight w:val="284"/>
        </w:trPr>
        <w:tc>
          <w:tcPr>
            <w:tcW w:w="1045" w:type="dxa"/>
            <w:tcBorders>
              <w:bottom w:val="nil"/>
            </w:tcBorders>
          </w:tcPr>
          <w:p w:rsidR="00000000" w:rsidRDefault="00000000">
            <w:pPr>
              <w:pStyle w:val="H1"/>
              <w:ind w:left="28" w:right="28"/>
              <w:rPr>
                <w:rFonts w:ascii="SimSun" w:eastAsia="SimSun" w:hint="eastAsia"/>
                <w:color w:val="auto"/>
                <w:sz w:val="16"/>
              </w:rPr>
            </w:pPr>
            <w:r>
              <w:rPr>
                <w:rFonts w:ascii="SimSun" w:eastAsia="SimSun"/>
                <w:color w:val="auto"/>
                <w:sz w:val="16"/>
              </w:rPr>
              <w:t>55-64</w:t>
            </w:r>
            <w:r>
              <w:rPr>
                <w:rFonts w:ascii="SimSun" w:eastAsia="SimSun" w:hint="eastAsia"/>
                <w:color w:val="auto"/>
                <w:sz w:val="16"/>
              </w:rPr>
              <w:t>岁</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0.4</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0.4</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c>
          <w:tcPr>
            <w:tcW w:w="1046" w:type="dxa"/>
            <w:tcBorders>
              <w:bottom w:val="nil"/>
            </w:tcBorders>
          </w:tcPr>
          <w:p w:rsidR="00000000" w:rsidRDefault="00000000">
            <w:pPr>
              <w:pStyle w:val="H1"/>
              <w:ind w:left="28" w:right="28"/>
              <w:jc w:val="right"/>
              <w:rPr>
                <w:rFonts w:ascii="SimSun" w:eastAsia="SimSun"/>
                <w:color w:val="auto"/>
                <w:sz w:val="16"/>
              </w:rPr>
            </w:pPr>
            <w:r>
              <w:rPr>
                <w:rFonts w:ascii="SimSun" w:eastAsia="SimSun"/>
                <w:color w:val="auto"/>
                <w:sz w:val="16"/>
              </w:rPr>
              <w:t>0.3</w:t>
            </w:r>
          </w:p>
        </w:tc>
      </w:tr>
      <w:tr w:rsidR="00000000">
        <w:tblPrEx>
          <w:tblCellMar>
            <w:top w:w="0" w:type="dxa"/>
            <w:bottom w:w="0" w:type="dxa"/>
          </w:tblCellMar>
        </w:tblPrEx>
        <w:trPr>
          <w:trHeight w:val="284"/>
        </w:trPr>
        <w:tc>
          <w:tcPr>
            <w:tcW w:w="1045" w:type="dxa"/>
            <w:tcBorders>
              <w:top w:val="nil"/>
              <w:bottom w:val="single" w:sz="4" w:space="0" w:color="auto"/>
            </w:tcBorders>
          </w:tcPr>
          <w:p w:rsidR="00000000" w:rsidRDefault="00000000">
            <w:pPr>
              <w:pStyle w:val="H1"/>
              <w:ind w:left="28" w:right="28"/>
              <w:rPr>
                <w:rFonts w:ascii="SimSun" w:eastAsia="SimSun" w:hint="eastAsia"/>
                <w:color w:val="auto"/>
                <w:sz w:val="16"/>
              </w:rPr>
            </w:pPr>
            <w:r>
              <w:rPr>
                <w:rFonts w:ascii="SimSun" w:eastAsia="SimSun" w:hint="eastAsia"/>
                <w:color w:val="auto"/>
                <w:sz w:val="16"/>
              </w:rPr>
              <w:t>65岁以上</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0.1</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c>
          <w:tcPr>
            <w:tcW w:w="1046" w:type="dxa"/>
            <w:tcBorders>
              <w:top w:val="nil"/>
              <w:bottom w:val="single" w:sz="4" w:space="0" w:color="auto"/>
            </w:tcBorders>
          </w:tcPr>
          <w:p w:rsidR="00000000" w:rsidRDefault="00000000">
            <w:pPr>
              <w:pStyle w:val="H1"/>
              <w:ind w:left="28" w:right="28"/>
              <w:jc w:val="right"/>
              <w:rPr>
                <w:rFonts w:ascii="SimSun" w:eastAsia="SimSun"/>
                <w:color w:val="auto"/>
                <w:sz w:val="16"/>
              </w:rPr>
            </w:pPr>
            <w:r>
              <w:rPr>
                <w:rFonts w:ascii="SimSun" w:eastAsia="SimSun"/>
                <w:color w:val="auto"/>
                <w:sz w:val="16"/>
              </w:rPr>
              <w:t>0.0</w:t>
            </w:r>
          </w:p>
        </w:tc>
      </w:tr>
      <w:tr w:rsidR="00000000">
        <w:tblPrEx>
          <w:tblCellMar>
            <w:top w:w="0" w:type="dxa"/>
            <w:bottom w:w="0" w:type="dxa"/>
          </w:tblCellMar>
        </w:tblPrEx>
        <w:trPr>
          <w:trHeight w:val="284"/>
        </w:trPr>
        <w:tc>
          <w:tcPr>
            <w:tcW w:w="1045" w:type="dxa"/>
            <w:tcBorders>
              <w:top w:val="single" w:sz="4" w:space="0" w:color="auto"/>
              <w:bottom w:val="single" w:sz="12" w:space="0" w:color="auto"/>
            </w:tcBorders>
          </w:tcPr>
          <w:p w:rsidR="00000000" w:rsidRDefault="00000000">
            <w:pPr>
              <w:pStyle w:val="H1"/>
              <w:ind w:left="28" w:right="28"/>
              <w:rPr>
                <w:rFonts w:hint="eastAsia"/>
                <w:sz w:val="16"/>
              </w:rPr>
            </w:pPr>
            <w:r>
              <w:rPr>
                <w:rFonts w:ascii="SimSun" w:eastAsia="SimSun"/>
                <w:color w:val="auto"/>
                <w:sz w:val="16"/>
              </w:rPr>
              <w:tab/>
            </w:r>
            <w:r>
              <w:rPr>
                <w:rFonts w:hint="eastAsia"/>
                <w:sz w:val="16"/>
              </w:rPr>
              <w:t>共计</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17.5</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15.5</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12.6</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11.7</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10.8</w:t>
            </w:r>
          </w:p>
        </w:tc>
        <w:tc>
          <w:tcPr>
            <w:tcW w:w="1046" w:type="dxa"/>
            <w:tcBorders>
              <w:top w:val="single" w:sz="4" w:space="0" w:color="auto"/>
              <w:bottom w:val="single" w:sz="12" w:space="0" w:color="auto"/>
            </w:tcBorders>
          </w:tcPr>
          <w:p w:rsidR="00000000" w:rsidRDefault="00000000">
            <w:pPr>
              <w:pStyle w:val="H1"/>
              <w:ind w:left="28" w:right="28"/>
              <w:jc w:val="right"/>
              <w:rPr>
                <w:rFonts w:ascii="SimSun" w:eastAsia="SimSun"/>
                <w:b/>
                <w:bCs/>
                <w:color w:val="auto"/>
                <w:sz w:val="16"/>
              </w:rPr>
            </w:pPr>
            <w:r>
              <w:rPr>
                <w:rFonts w:ascii="SimSun" w:eastAsia="SimSun"/>
                <w:b/>
                <w:bCs/>
                <w:color w:val="auto"/>
                <w:sz w:val="16"/>
              </w:rPr>
              <w:t>8.7</w:t>
            </w:r>
          </w:p>
        </w:tc>
      </w:tr>
    </w:tbl>
    <w:p w:rsidR="00000000" w:rsidRDefault="00000000">
      <w:pPr>
        <w:pStyle w:val="SingleTxt"/>
        <w:ind w:left="28" w:right="28"/>
      </w:pPr>
    </w:p>
    <w:p w:rsidR="00000000" w:rsidRDefault="00000000">
      <w:pPr>
        <w:pStyle w:val="SingleTxt"/>
        <w:spacing w:after="0" w:line="240" w:lineRule="auto"/>
        <w:ind w:left="28" w:right="28"/>
        <w:rPr>
          <w:sz w:val="20"/>
        </w:rPr>
      </w:pPr>
      <w:r>
        <w:rPr>
          <w:noProof/>
          <w:sz w:val="20"/>
        </w:rPr>
        <w:pict>
          <v:line id="_x0000_s2053" style="position:absolute;left:0;text-align:left;z-index:2;mso-position-horizontal:center" from="0,30pt" to="1in,30pt" strokeweight=".25pt"/>
        </w:pict>
      </w:r>
    </w:p>
    <w:sectPr w:rsidR="00000000">
      <w:endnotePr>
        <w:numFmt w:val="decimal"/>
      </w:endnotePr>
      <w:type w:val="continuous"/>
      <w:pgSz w:w="12242" w:h="15842" w:code="1"/>
      <w:pgMar w:top="1742" w:right="1195" w:bottom="1898" w:left="1195" w:header="576" w:footer="1030" w:gutter="0"/>
      <w:cols w:space="425"/>
      <w:noEndnote/>
      <w:docGrid w:type="lines"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w:instrText>
      </w:r>
      <w:r>
        <w:rPr>
          <w:rFonts w:hint="eastAsia"/>
        </w:rPr>
        <w:instrText xml:space="preserve"> \# "'页：'#'</w:instrText>
      </w:r>
      <w:r>
        <w:rPr>
          <w:rFonts w:hint="eastAsia"/>
        </w:rPr>
        <w:br/>
        <w:instrText>'"</w:instrText>
      </w:r>
      <w:r>
        <w:rPr>
          <w:rStyle w:val="CommentReference"/>
        </w:rPr>
        <w:instrText xml:space="preserve">  </w:instrText>
      </w:r>
      <w:r>
        <w:fldChar w:fldCharType="separate"/>
      </w:r>
      <w:r>
        <w:rPr>
          <w:rFonts w:hint="eastAsia"/>
          <w:noProof/>
        </w:rPr>
        <w:t>页：</w:t>
      </w:r>
      <w:r>
        <w:rPr>
          <w:noProof/>
        </w:rPr>
        <w:t>1</w:t>
      </w:r>
      <w:r>
        <w:rPr>
          <w:rFonts w:hint="eastAsia"/>
          <w:noProof/>
        </w:rPr>
        <w:br/>
      </w:r>
      <w:r>
        <w:fldChar w:fldCharType="end"/>
      </w:r>
      <w:r>
        <w:rPr>
          <w:rStyle w:val="CommentReference"/>
          <w:rFonts w:hint="eastAsia"/>
        </w:rPr>
        <w:annotationRef/>
      </w:r>
      <w:r>
        <w:t>&lt;&lt;ODS JOB NO&gt;&gt;N0077731C&lt;&lt;ODS JOB NO&gt;&gt;</w:t>
      </w:r>
    </w:p>
    <w:p w:rsidR="00000000" w:rsidRDefault="00000000">
      <w:pPr>
        <w:pStyle w:val="CommentText"/>
      </w:pPr>
      <w:r>
        <w:t>&lt;&lt;ODS DOC SYMBOL1&gt;&gt;CEDAW/C/BAR/4&lt;&lt;ODS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长城楷体">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r>
            <w:fldChar w:fldCharType="begin"/>
          </w:r>
          <w:r>
            <w:instrText xml:space="preserve"> PAGE  \* MERGEFORMAT </w:instrText>
          </w:r>
          <w:r>
            <w:fldChar w:fldCharType="separate"/>
          </w:r>
          <w:r>
            <w:t>30</w:t>
          </w:r>
          <w:r>
            <w:fldChar w:fldCharType="end"/>
          </w:r>
        </w:p>
      </w:tc>
      <w:tc>
        <w:tcPr>
          <w:tcW w:w="5034"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4"/>
      <w:gridCol w:w="5034"/>
    </w:tblGrid>
    <w:tr w:rsidR="00000000">
      <w:tblPrEx>
        <w:tblCellMar>
          <w:top w:w="0" w:type="dxa"/>
          <w:bottom w:w="0" w:type="dxa"/>
        </w:tblCellMar>
      </w:tblPrEx>
      <w:tc>
        <w:tcPr>
          <w:tcW w:w="5034" w:type="dxa"/>
          <w:vAlign w:val="bottom"/>
        </w:tcPr>
        <w:p w:rsidR="00000000" w:rsidRDefault="00000000">
          <w:pPr>
            <w:pStyle w:val="Footer"/>
          </w:pPr>
        </w:p>
      </w:tc>
      <w:tc>
        <w:tcPr>
          <w:tcW w:w="5034"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1"/>
      </w:rPr>
    </w:pPr>
    <w:r>
      <w:rPr>
        <w:b w:val="0"/>
        <w:sz w:val="21"/>
      </w:rPr>
      <w:t>00-77731 (C)    190101    220101</w:t>
    </w:r>
  </w:p>
  <w:p w:rsidR="00000000" w:rsidRDefault="00000000">
    <w:pPr>
      <w:pStyle w:val="Footer"/>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sz w:val="17"/>
                        </w:rPr>
                      </w:pPr>
                      <w:r>
                        <w:rPr>
                          <w:b/>
                          <w:sz w:val="17"/>
                        </w:rPr>
                        <w:t>CEDAW/C/BAR/4</w:t>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style="mso-next-textbox:#_x0000_s1025" inset="0,0,0,0">
            <w:txbxContent>
              <w:tbl>
                <w:tblPr>
                  <w:tblW w:w="0" w:type="auto"/>
                  <w:tblInd w:w="108"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sz w:val="17"/>
                        </w:rPr>
                      </w:pPr>
                      <w:r>
                        <w:rPr>
                          <w:b/>
                          <w:sz w:val="17"/>
                        </w:rPr>
                        <w:t>CEDAW/C/BAR/4</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rFonts w:eastAsia="SimSun"/>
              <w:spacing w:val="40"/>
              <w:w w:val="96"/>
            </w:rPr>
          </w:pPr>
          <w:r>
            <w:rPr>
              <w:rFonts w:eastAsia="SimSun" w:hint="eastAsia"/>
              <w:spacing w:val="40"/>
              <w:w w:val="96"/>
            </w:rPr>
            <w:t>联合国</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rFonts w:ascii="Times New Roman"/>
              <w:position w:val="-4"/>
              <w:sz w:val="20"/>
            </w:rPr>
          </w:pPr>
          <w:r>
            <w:rPr>
              <w:rFonts w:ascii="Times New Roman"/>
              <w:position w:val="-4"/>
              <w:sz w:val="40"/>
            </w:rPr>
            <w:t>CEDAW</w:t>
          </w:r>
          <w:r>
            <w:rPr>
              <w:rFonts w:ascii="Times New Roman"/>
              <w:position w:val="-4"/>
              <w:sz w:val="20"/>
            </w:rPr>
            <w:t>/C/BAR/4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00000" w:rsidRDefault="00000000">
          <w:pPr>
            <w:pStyle w:val="Header"/>
            <w:spacing w:before="109"/>
            <w:ind w:left="-72"/>
          </w:pPr>
        </w:p>
      </w:tc>
      <w:tc>
        <w:tcPr>
          <w:tcW w:w="5227" w:type="dxa"/>
          <w:gridSpan w:val="3"/>
          <w:tcBorders>
            <w:left w:val="nil"/>
            <w:bottom w:val="single" w:sz="12" w:space="0" w:color="auto"/>
            <w:right w:val="nil"/>
          </w:tcBorders>
        </w:tcPr>
        <w:p w:rsidR="00000000" w:rsidRDefault="00000000">
          <w:pPr>
            <w:pStyle w:val="XLarge"/>
            <w:spacing w:before="109" w:after="140" w:line="400" w:lineRule="exact"/>
            <w:rPr>
              <w:sz w:val="34"/>
            </w:rPr>
          </w:pPr>
          <w:r>
            <w:rPr>
              <w:rFonts w:hint="eastAsia"/>
              <w:sz w:val="34"/>
            </w:rPr>
            <w:t>消除对妇女一切形式歧视公约</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line="240" w:lineRule="exact"/>
            <w:rPr>
              <w:rFonts w:ascii="Times New Roman"/>
            </w:rPr>
          </w:pPr>
          <w:r>
            <w:rPr>
              <w:rFonts w:ascii="Times New Roman"/>
            </w:rPr>
            <w:t>Distr.: General</w:t>
          </w:r>
        </w:p>
        <w:p w:rsidR="00000000" w:rsidRDefault="00000000">
          <w:pPr>
            <w:spacing w:line="240" w:lineRule="exact"/>
            <w:rPr>
              <w:rFonts w:ascii="Times New Roman"/>
            </w:rPr>
          </w:pPr>
          <w:r>
            <w:rPr>
              <w:rFonts w:ascii="Times New Roman"/>
            </w:rPr>
            <w:t>24 November 2000</w:t>
          </w:r>
        </w:p>
        <w:p w:rsidR="00000000" w:rsidRDefault="00000000">
          <w:pPr>
            <w:spacing w:line="240" w:lineRule="exact"/>
            <w:rPr>
              <w:rFonts w:ascii="Times New Roman"/>
            </w:rPr>
          </w:pPr>
          <w:r>
            <w:rPr>
              <w:rFonts w:ascii="Times New Roman"/>
            </w:rPr>
            <w:t>Chinese</w:t>
          </w:r>
        </w:p>
        <w:p w:rsidR="00000000" w:rsidRDefault="00000000">
          <w:pPr>
            <w:spacing w:line="240" w:lineRule="exact"/>
            <w:rPr>
              <w:rFonts w:ascii="Times New Roman"/>
            </w:rPr>
          </w:pPr>
          <w:r>
            <w:rPr>
              <w:rFonts w:ascii="Times New Roman"/>
            </w:rPr>
            <w:t>Original: English</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7DC4CBD"/>
    <w:multiLevelType w:val="multilevel"/>
    <w:tmpl w:val="77F44150"/>
    <w:lvl w:ilvl="0">
      <w:start w:val="1"/>
      <w:numFmt w:val="chineseCountingThousand"/>
      <w:pStyle w:val="Heading1"/>
      <w:suff w:val="nothing"/>
      <w:lvlText w:val="第%1章"/>
      <w:lvlJc w:val="left"/>
      <w:pPr>
        <w:ind w:left="0" w:firstLine="0"/>
      </w:pPr>
    </w:lvl>
    <w:lvl w:ilvl="1">
      <w:start w:val="1"/>
      <w:numFmt w:val="none"/>
      <w:pStyle w:val="Heading2"/>
      <w:suff w:val="nothing"/>
      <w:lvlText w:val=""/>
      <w:lvlJc w:val="left"/>
      <w:pPr>
        <w:ind w:left="0" w:firstLine="0"/>
      </w:pPr>
    </w:lvl>
    <w:lvl w:ilvl="2">
      <w:start w:val="1"/>
      <w:numFmt w:val="none"/>
      <w:pStyle w:val="Heading3"/>
      <w:suff w:val="nothing"/>
      <w:lvlText w:val=""/>
      <w:lvlJc w:val="left"/>
      <w:pPr>
        <w:ind w:left="0" w:firstLine="0"/>
      </w:pPr>
    </w:lvl>
    <w:lvl w:ilvl="3">
      <w:start w:val="1"/>
      <w:numFmt w:val="none"/>
      <w:pStyle w:val="Heading4"/>
      <w:suff w:val="nothing"/>
      <w:lvlText w:val=""/>
      <w:lvlJc w:val="left"/>
      <w:pPr>
        <w:ind w:left="0" w:firstLine="0"/>
      </w:pPr>
    </w:lvl>
    <w:lvl w:ilvl="4">
      <w:start w:val="1"/>
      <w:numFmt w:val="none"/>
      <w:pStyle w:val="Heading5"/>
      <w:suff w:val="nothing"/>
      <w:lvlText w:val=""/>
      <w:lvlJc w:val="left"/>
      <w:pPr>
        <w:ind w:left="0" w:firstLine="0"/>
      </w:pPr>
    </w:lvl>
    <w:lvl w:ilvl="5">
      <w:start w:val="1"/>
      <w:numFmt w:val="none"/>
      <w:pStyle w:val="Heading6"/>
      <w:suff w:val="nothing"/>
      <w:lvlText w:val=""/>
      <w:lvlJc w:val="left"/>
      <w:pPr>
        <w:ind w:left="0" w:firstLine="0"/>
      </w:pPr>
    </w:lvl>
    <w:lvl w:ilvl="6">
      <w:start w:val="1"/>
      <w:numFmt w:val="none"/>
      <w:pStyle w:val="Heading7"/>
      <w:suff w:val="nothing"/>
      <w:lvlText w:val=""/>
      <w:lvlJc w:val="left"/>
      <w:pPr>
        <w:ind w:left="0" w:firstLine="0"/>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hideGrammaticalErrors/>
  <w:activeWritingStyle w:appName="MSWord" w:lang="zh-CN" w:vendorID="64" w:dllVersion="131077" w:nlCheck="1" w:checkStyle="1"/>
  <w:doNotTrackMoves/>
  <w:defaultTabStop w:val="431"/>
  <w:evenAndOddHeaders/>
  <w:drawingGridHorizontalSpacing w:val="105"/>
  <w:drawingGridVerticalSpacing w:val="156"/>
  <w:displayHorizontalDrawingGridEvery w:val="0"/>
  <w:displayVerticalDrawingGridEvery w:val="2"/>
  <w:characterSpacingControl w:val="compressPunctuation"/>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spaceForUL/>
    <w:balanceSingleByteDoubleByteWidth/>
    <w:doNotLeaveBackslashAlone/>
    <w:ulTrailSpace/>
    <w:doNotExpandShiftReturn/>
    <w:printColBlack/>
    <w:showBreaksInFrames/>
    <w:suppressBottomSpacing/>
    <w:suppressTopSpacing/>
    <w:suppressSpBfAfterPgBrk/>
    <w:alignTablesRowByRow/>
    <w:adjustLineHeightInTable/>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19/01/2001 10:47 AM"/>
    <w:docVar w:name="DocCategory" w:val="Doc"/>
    <w:docVar w:name="DocType" w:val="Final"/>
    <w:docVar w:name="JobNo" w:val="0077731C"/>
    <w:docVar w:name="OandT" w:val=" "/>
    <w:docVar w:name="Symbol1" w:val="CEDAW/C/BAR/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20" w:lineRule="exact"/>
    </w:pPr>
    <w:rPr>
      <w:rFonts w:ascii="SimSun"/>
      <w:kern w:val="14"/>
      <w:sz w:val="21"/>
      <w:lang w:val="en-US" w:eastAsia="zh-CN"/>
    </w:rPr>
  </w:style>
  <w:style w:type="paragraph" w:styleId="Heading1">
    <w:name w:val="heading 1"/>
    <w:basedOn w:val="Normal"/>
    <w:next w:val="Normal"/>
    <w:qFormat/>
    <w:pPr>
      <w:keepNext/>
      <w:keepLines/>
      <w:numPr>
        <w:numId w:val="1"/>
      </w:numPr>
      <w:spacing w:before="340" w:after="330" w:line="578" w:lineRule="atLeast"/>
      <w:outlineLvl w:val="0"/>
    </w:pPr>
    <w:rPr>
      <w:b/>
      <w:bCs/>
      <w:kern w:val="44"/>
      <w:sz w:val="44"/>
      <w:szCs w:val="44"/>
    </w:rPr>
  </w:style>
  <w:style w:type="paragraph" w:styleId="Heading2">
    <w:name w:val="heading 2"/>
    <w:basedOn w:val="Normal"/>
    <w:next w:val="Normal"/>
    <w:qFormat/>
    <w:pPr>
      <w:keepNext/>
      <w:keepLines/>
      <w:numPr>
        <w:ilvl w:val="1"/>
        <w:numId w:val="2"/>
      </w:numPr>
      <w:spacing w:before="260" w:after="260" w:line="416" w:lineRule="atLeast"/>
      <w:outlineLvl w:val="1"/>
    </w:pPr>
    <w:rPr>
      <w:rFonts w:ascii="Arial" w:eastAsia="SimHei" w:hAnsi="Arial"/>
      <w:b/>
      <w:bCs/>
      <w:sz w:val="32"/>
      <w:szCs w:val="32"/>
    </w:rPr>
  </w:style>
  <w:style w:type="paragraph" w:styleId="Heading3">
    <w:name w:val="heading 3"/>
    <w:basedOn w:val="Normal"/>
    <w:next w:val="Normal"/>
    <w:qFormat/>
    <w:pPr>
      <w:keepNext/>
      <w:keepLines/>
      <w:numPr>
        <w:ilvl w:val="2"/>
        <w:numId w:val="3"/>
      </w:numPr>
      <w:spacing w:before="260" w:after="260" w:line="416" w:lineRule="atLeast"/>
      <w:outlineLvl w:val="2"/>
    </w:pPr>
    <w:rPr>
      <w:b/>
      <w:bCs/>
      <w:sz w:val="32"/>
      <w:szCs w:val="32"/>
    </w:rPr>
  </w:style>
  <w:style w:type="paragraph" w:styleId="Heading4">
    <w:name w:val="heading 4"/>
    <w:basedOn w:val="Normal"/>
    <w:next w:val="Normal"/>
    <w:qFormat/>
    <w:pPr>
      <w:keepNext/>
      <w:keepLines/>
      <w:numPr>
        <w:ilvl w:val="3"/>
        <w:numId w:val="4"/>
      </w:numPr>
      <w:spacing w:before="280" w:after="290" w:line="376" w:lineRule="atLeast"/>
      <w:outlineLvl w:val="3"/>
    </w:pPr>
    <w:rPr>
      <w:rFonts w:ascii="Arial" w:eastAsia="SimHei" w:hAnsi="Arial"/>
      <w:b/>
      <w:bCs/>
      <w:sz w:val="28"/>
      <w:szCs w:val="28"/>
    </w:rPr>
  </w:style>
  <w:style w:type="paragraph" w:styleId="Heading5">
    <w:name w:val="heading 5"/>
    <w:basedOn w:val="Normal"/>
    <w:next w:val="Normal"/>
    <w:qFormat/>
    <w:pPr>
      <w:keepNext/>
      <w:keepLines/>
      <w:numPr>
        <w:ilvl w:val="4"/>
        <w:numId w:val="5"/>
      </w:numPr>
      <w:spacing w:before="280" w:after="290" w:line="376" w:lineRule="atLeast"/>
      <w:outlineLvl w:val="4"/>
    </w:pPr>
    <w:rPr>
      <w:b/>
      <w:bCs/>
      <w:sz w:val="28"/>
      <w:szCs w:val="28"/>
    </w:rPr>
  </w:style>
  <w:style w:type="paragraph" w:styleId="Heading6">
    <w:name w:val="heading 6"/>
    <w:basedOn w:val="Normal"/>
    <w:next w:val="Normal"/>
    <w:qFormat/>
    <w:pPr>
      <w:keepNext/>
      <w:keepLines/>
      <w:numPr>
        <w:ilvl w:val="5"/>
        <w:numId w:val="6"/>
      </w:numPr>
      <w:spacing w:before="240" w:after="64" w:line="320" w:lineRule="atLeast"/>
      <w:outlineLvl w:val="5"/>
    </w:pPr>
    <w:rPr>
      <w:rFonts w:ascii="Arial" w:eastAsia="SimHei" w:hAnsi="Arial"/>
      <w:b/>
      <w:bCs/>
      <w:sz w:val="24"/>
    </w:rPr>
  </w:style>
  <w:style w:type="paragraph" w:styleId="Heading7">
    <w:name w:val="heading 7"/>
    <w:basedOn w:val="Normal"/>
    <w:next w:val="Normal"/>
    <w:qFormat/>
    <w:pPr>
      <w:keepNext/>
      <w:keepLines/>
      <w:numPr>
        <w:ilvl w:val="6"/>
        <w:numId w:val="7"/>
      </w:numPr>
      <w:spacing w:before="240" w:after="64" w:line="320" w:lineRule="atLeast"/>
      <w:outlineLvl w:val="6"/>
    </w:pPr>
    <w:rPr>
      <w:b/>
      <w:bCs/>
      <w:sz w:val="24"/>
    </w:rPr>
  </w:style>
  <w:style w:type="paragraph" w:styleId="Heading8">
    <w:name w:val="heading 8"/>
    <w:basedOn w:val="Normal"/>
    <w:next w:val="Normal"/>
    <w:qFormat/>
    <w:pPr>
      <w:keepNext/>
      <w:keepLines/>
      <w:numPr>
        <w:ilvl w:val="7"/>
        <w:numId w:val="8"/>
      </w:numPr>
      <w:spacing w:before="240" w:after="64" w:line="320" w:lineRule="atLeast"/>
      <w:outlineLvl w:val="7"/>
    </w:pPr>
    <w:rPr>
      <w:rFonts w:ascii="Arial" w:eastAsia="SimHei" w:hAnsi="Arial"/>
      <w:sz w:val="24"/>
    </w:rPr>
  </w:style>
  <w:style w:type="paragraph" w:styleId="Heading9">
    <w:name w:val="heading 9"/>
    <w:basedOn w:val="Normal"/>
    <w:next w:val="Normal"/>
    <w:qFormat/>
    <w:pPr>
      <w:keepNext/>
      <w:keepLines/>
      <w:numPr>
        <w:ilvl w:val="8"/>
        <w:numId w:val="9"/>
      </w:numPr>
      <w:spacing w:before="240" w:after="64" w:line="320" w:lineRule="atLeast"/>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outlineLvl w:val="0"/>
    </w:pPr>
    <w:rPr>
      <w:rFonts w:ascii="SimHei" w:eastAsia="SimHei"/>
      <w:color w:val="FF0000"/>
      <w:sz w:val="24"/>
    </w:rPr>
  </w:style>
  <w:style w:type="paragraph" w:customStyle="1" w:styleId="HCh">
    <w:name w:val="_ H _Ch"/>
    <w:basedOn w:val="H1"/>
    <w:next w:val="SingleTxt"/>
    <w:pPr>
      <w:tabs>
        <w:tab w:val="left" w:pos="57"/>
      </w:tabs>
      <w:spacing w:line="400" w:lineRule="exact"/>
    </w:pPr>
    <w:rPr>
      <w:sz w:val="28"/>
    </w:rPr>
  </w:style>
  <w:style w:type="paragraph" w:customStyle="1" w:styleId="HM">
    <w:name w:val="_ H __M"/>
    <w:basedOn w:val="HCh"/>
    <w:next w:val="Normal"/>
    <w:rPr>
      <w:sz w:val="34"/>
    </w:rPr>
  </w:style>
  <w:style w:type="paragraph" w:customStyle="1" w:styleId="H23">
    <w:name w:val="_ H_2/3"/>
    <w:basedOn w:val="Normal"/>
    <w:next w:val="Normal"/>
    <w:pPr>
      <w:outlineLvl w:val="1"/>
    </w:pPr>
    <w:rPr>
      <w:rFonts w:ascii="SimHei" w:eastAsia="SimHei"/>
      <w:color w:val="FF0000"/>
      <w:spacing w:val="2"/>
    </w:rPr>
  </w:style>
  <w:style w:type="paragraph" w:customStyle="1" w:styleId="H4">
    <w:name w:val="_ H_4"/>
    <w:basedOn w:val="Normal"/>
    <w:next w:val="Normal"/>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pPr>
      <w:keepNext/>
      <w:keepLines/>
      <w:tabs>
        <w:tab w:val="right" w:pos="360"/>
      </w:tabs>
      <w:suppressAutoHyphens/>
      <w:outlineLvl w:val="4"/>
    </w:pPr>
    <w:rPr>
      <w:noProof/>
      <w:spacing w:val="4"/>
      <w:w w:val="103"/>
    </w:rPr>
  </w:style>
  <w:style w:type="paragraph" w:customStyle="1" w:styleId="DualTxt">
    <w:name w:val="__Dual Txt"/>
    <w:basedOn w:val="Normal"/>
    <w:pPr>
      <w:tabs>
        <w:tab w:val="left" w:pos="432"/>
        <w:tab w:val="left" w:pos="864"/>
        <w:tab w:val="left" w:pos="1293"/>
        <w:tab w:val="left" w:pos="1724"/>
        <w:tab w:val="left" w:pos="2155"/>
        <w:tab w:val="left" w:pos="2586"/>
      </w:tabs>
      <w:spacing w:after="140"/>
      <w:jc w:val="both"/>
    </w:pPr>
  </w:style>
  <w:style w:type="paragraph" w:customStyle="1" w:styleId="SM">
    <w:name w:val="__S_M"/>
    <w:basedOn w:val="Normal"/>
    <w:next w:val="Normal"/>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pPr>
      <w:spacing w:line="640" w:lineRule="exact"/>
    </w:pPr>
    <w:rPr>
      <w:spacing w:val="-8"/>
      <w:w w:val="96"/>
      <w:sz w:val="57"/>
    </w:rPr>
  </w:style>
  <w:style w:type="paragraph" w:customStyle="1" w:styleId="SS">
    <w:name w:val="__S_S"/>
    <w:basedOn w:val="HCh"/>
    <w:next w:val="Normal"/>
    <w:pPr>
      <w:ind w:left="1264" w:right="1264"/>
    </w:pPr>
  </w:style>
  <w:style w:type="paragraph" w:customStyle="1" w:styleId="SingleTxt">
    <w:name w:val="__Single Txt"/>
    <w:basedOn w:val="Normal"/>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jc w:val="both"/>
    </w:pPr>
  </w:style>
  <w:style w:type="paragraph" w:customStyle="1" w:styleId="Small">
    <w:name w:val="Small"/>
    <w:basedOn w:val="Normal"/>
    <w:next w:val="Normal"/>
    <w:pPr>
      <w:tabs>
        <w:tab w:val="right" w:pos="9965"/>
      </w:tabs>
      <w:spacing w:line="210" w:lineRule="exact"/>
    </w:pPr>
    <w:rPr>
      <w:noProof/>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z w:val="40"/>
    </w:rPr>
  </w:style>
  <w:style w:type="character" w:styleId="FootnoteReference">
    <w:name w:val="footnote reference"/>
    <w:semiHidden/>
    <w:rPr>
      <w:color w:val="FF00FF"/>
      <w:spacing w:val="0"/>
      <w:w w:val="150"/>
      <w:position w:val="0"/>
      <w:vertAlign w:val="superscript"/>
    </w:rPr>
  </w:style>
  <w:style w:type="character" w:styleId="EndnoteReference">
    <w:name w:val="endnote reference"/>
    <w:basedOn w:val="FootnoteReference"/>
    <w:semiHidden/>
    <w:rPr>
      <w:color w:val="FF00FF"/>
      <w:spacing w:val="0"/>
      <w:w w:val="150"/>
      <w:position w:val="0"/>
      <w:vertAlign w:val="superscript"/>
    </w:rPr>
  </w:style>
  <w:style w:type="paragraph" w:styleId="FootnoteText">
    <w:name w:val="footnote text"/>
    <w:basedOn w:val="Normal"/>
    <w:semiHidden/>
    <w:pPr>
      <w:tabs>
        <w:tab w:val="right" w:pos="418"/>
      </w:tabs>
      <w:spacing w:after="120" w:line="240" w:lineRule="exact"/>
      <w:ind w:left="170" w:hanging="170"/>
    </w:pPr>
    <w:rPr>
      <w:noProof/>
      <w:sz w:val="18"/>
    </w:rPr>
  </w:style>
  <w:style w:type="paragraph" w:styleId="EndnoteText">
    <w:name w:val="endnote text"/>
    <w:basedOn w:val="FootnoteText"/>
    <w:semiHidden/>
  </w:style>
  <w:style w:type="character" w:styleId="CommentReference">
    <w:name w:val="annotation reference"/>
    <w:semiHidden/>
    <w:rPr>
      <w:sz w:val="6"/>
    </w:rPr>
  </w:style>
  <w:style w:type="paragraph" w:styleId="PlainText">
    <w:name w:val="Plain Text"/>
    <w:basedOn w:val="Normal"/>
    <w:semiHidden/>
    <w:pPr>
      <w:tabs>
        <w:tab w:val="left" w:pos="431"/>
      </w:tabs>
      <w:spacing w:after="140"/>
    </w:pPr>
    <w:rPr>
      <w:rFonts w:hAnsi="Courier New" w:cs="Courier New"/>
      <w:szCs w:val="21"/>
    </w:rPr>
  </w:style>
  <w:style w:type="paragraph" w:styleId="NormalIndent">
    <w:name w:val="Normal Indent"/>
    <w:basedOn w:val="Normal"/>
    <w:semiHidden/>
    <w:pPr>
      <w:ind w:firstLine="431"/>
    </w:pPr>
  </w:style>
  <w:style w:type="paragraph" w:styleId="BodyText">
    <w:name w:val="Body Text"/>
    <w:basedOn w:val="Normal"/>
    <w:semiHidden/>
  </w:style>
  <w:style w:type="paragraph" w:styleId="BodyText2">
    <w:name w:val="Body Text 2"/>
    <w:basedOn w:val="Normal"/>
    <w:semiHidden/>
  </w:style>
  <w:style w:type="character" w:styleId="LineNumber">
    <w:name w:val="line number"/>
    <w:semiHidden/>
    <w:rPr>
      <w:sz w:val="14"/>
    </w:rPr>
  </w:style>
  <w:style w:type="paragraph" w:styleId="Header">
    <w:name w:val="header"/>
    <w:semiHidden/>
    <w:pPr>
      <w:tabs>
        <w:tab w:val="center" w:pos="4320"/>
        <w:tab w:val="right" w:pos="8640"/>
      </w:tabs>
    </w:pPr>
    <w:rPr>
      <w:noProof/>
      <w:sz w:val="18"/>
      <w:lang w:val="en-US" w:eastAsia="zh-CN"/>
    </w:rPr>
  </w:style>
  <w:style w:type="paragraph" w:styleId="Footer">
    <w:name w:val="footer"/>
    <w:semiHidden/>
    <w:pPr>
      <w:tabs>
        <w:tab w:val="center" w:pos="4320"/>
        <w:tab w:val="right" w:pos="8640"/>
      </w:tabs>
    </w:pPr>
    <w:rPr>
      <w:b/>
      <w:noProof/>
      <w:sz w:val="17"/>
      <w:lang w:val="en-US" w:eastAsia="zh-CN"/>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283</TotalTime>
  <Pages>1</Pages>
  <Words>2483</Words>
  <Characters>14158</Characters>
  <Application>Microsoft Office Word</Application>
  <DocSecurity>4</DocSecurity>
  <Lines>117</Lines>
  <Paragraphs>28</Paragraphs>
  <ScaleCrop>false</ScaleCrop>
  <HeadingPairs>
    <vt:vector size="2" baseType="variant">
      <vt:variant>
        <vt:lpstr>题目</vt:lpstr>
      </vt:variant>
      <vt:variant>
        <vt:i4>1</vt:i4>
      </vt:variant>
    </vt:vector>
  </HeadingPairs>
  <TitlesOfParts>
    <vt:vector size="1" baseType="lpstr">
      <vt:lpstr> </vt:lpstr>
    </vt:vector>
  </TitlesOfParts>
  <Company>United Nations</Company>
  <LinksUpToDate>false</LinksUpToDate>
  <CharactersWithSpaces>17387</CharactersWithSpaces>
  <SharedDoc>false</SharedDoc>
  <HLinks>
    <vt:vector size="6" baseType="variant">
      <vt:variant>
        <vt:i4>4522087</vt:i4>
      </vt:variant>
      <vt:variant>
        <vt:i4>34014</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DGAACS</dc:creator>
  <cp:keywords/>
  <dc:description/>
  <cp:lastModifiedBy>DGAACS</cp:lastModifiedBy>
  <cp:revision>19</cp:revision>
  <cp:lastPrinted>2001-01-22T15:08:00Z</cp:lastPrinted>
  <dcterms:created xsi:type="dcterms:W3CDTF">2001-01-19T09:47:00Z</dcterms:created>
  <dcterms:modified xsi:type="dcterms:W3CDTF">2001-01-22T15:09:00Z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0077731</vt:lpwstr>
  </property>
  <property fmtid="{D5CDD505-2E9C-101B-9397-08002B2CF9AE}" pid="3" name="Symbol1">
    <vt:lpwstr>CEDAW/C/BAR/4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