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000000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000000" w:rsidRDefault="00000000"/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spacing w:after="20"/>
              <w:jc w:val="right"/>
            </w:pPr>
            <w:r>
              <w:rPr>
                <w:sz w:val="40"/>
              </w:rPr>
              <w:t>CRC</w:t>
            </w:r>
            <w:r>
              <w:t>/C/MNE/Q/1</w:t>
            </w:r>
          </w:p>
        </w:tc>
      </w:tr>
      <w:tr w:rsidR="0000000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120" w:line="44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Convención sobre los</w:t>
            </w:r>
            <w:r>
              <w:rPr>
                <w:b/>
                <w:sz w:val="40"/>
                <w:szCs w:val="40"/>
              </w:rPr>
              <w:br/>
              <w:t>Derechos del Niño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240"/>
            </w:pPr>
            <w:r>
              <w:t>Distr. general</w:t>
            </w:r>
          </w:p>
          <w:p w:rsidR="00000000" w:rsidRDefault="00000000">
            <w:r>
              <w:t>8 de julio de 2010</w:t>
            </w:r>
          </w:p>
          <w:p w:rsidR="00000000" w:rsidRDefault="00000000">
            <w:r>
              <w:t>Español</w:t>
            </w:r>
          </w:p>
          <w:p w:rsidR="00000000" w:rsidRDefault="00000000">
            <w:r>
              <w:t>Original: inglés</w:t>
            </w:r>
          </w:p>
        </w:tc>
      </w:tr>
    </w:tbl>
    <w:p w:rsidR="00000000" w:rsidRDefault="00000000">
      <w:pPr>
        <w:spacing w:before="120" w:after="240" w:line="240" w:lineRule="auto"/>
      </w:pPr>
      <w:r>
        <w:rPr>
          <w:b/>
          <w:bCs/>
          <w:sz w:val="24"/>
          <w:szCs w:val="24"/>
        </w:rPr>
        <w:t>Comité de los Derechos del Niño</w:t>
      </w:r>
      <w:r>
        <w:rPr>
          <w:b/>
          <w:bCs/>
          <w:sz w:val="24"/>
          <w:szCs w:val="24"/>
        </w:rPr>
        <w:br/>
      </w:r>
      <w:r>
        <w:rPr>
          <w:b/>
          <w:bCs/>
        </w:rPr>
        <w:t>55º período de sesiones</w:t>
      </w:r>
      <w:r>
        <w:rPr>
          <w:b/>
          <w:bCs/>
        </w:rPr>
        <w:br/>
      </w:r>
      <w:r>
        <w:t>13 de septiembre a 1º de octubre de 2010</w:t>
      </w:r>
    </w:p>
    <w:p w:rsidR="00000000" w:rsidRDefault="00000000">
      <w:pPr>
        <w:pStyle w:val="HChG"/>
      </w:pPr>
      <w:r>
        <w:tab/>
      </w:r>
      <w:r>
        <w:tab/>
        <w:t>Aplicación de la Convención sobre los Derechos del Niño</w:t>
      </w:r>
    </w:p>
    <w:p w:rsidR="00000000" w:rsidRDefault="00000000">
      <w:pPr>
        <w:pStyle w:val="H1G"/>
      </w:pPr>
      <w:r>
        <w:tab/>
      </w:r>
      <w:r>
        <w:tab/>
        <w:t xml:space="preserve">Lista de cuestiones que requieren información adicional y </w:t>
      </w:r>
      <w:r>
        <w:br/>
        <w:t>actualizada en relación con el informe inicial de Montenegro (CRC/C/MNE/1)</w:t>
      </w:r>
    </w:p>
    <w:p w:rsidR="00000000" w:rsidRDefault="00000000">
      <w:pPr>
        <w:pStyle w:val="H4G"/>
      </w:pPr>
      <w:r>
        <w:tab/>
      </w:r>
      <w:r>
        <w:tab/>
      </w:r>
      <w:r>
        <w:tab/>
        <w:t>En el diálogo con el Estado parte el Comité podrá abordar todos los aspectos de los derechos del niño contemplados en la Convención.</w:t>
      </w:r>
    </w:p>
    <w:p w:rsidR="00000000" w:rsidRDefault="00000000">
      <w:pPr>
        <w:pStyle w:val="SingleTxtG"/>
        <w:rPr>
          <w:b/>
        </w:rPr>
      </w:pPr>
      <w:r>
        <w:rPr>
          <w:b/>
        </w:rPr>
        <w:tab/>
        <w:t>Se pide al Estado parte que presente por escrito información adicional y actualizada, que no exceda de 30 páginas, de ser posible antes del 2 de agosto de 2010.</w:t>
      </w:r>
    </w:p>
    <w:p w:rsidR="00000000" w:rsidRDefault="00000000">
      <w:pPr>
        <w:pStyle w:val="H23G"/>
      </w:pPr>
      <w:r>
        <w:tab/>
      </w:r>
      <w:r>
        <w:tab/>
        <w:t>Parte I</w:t>
      </w:r>
    </w:p>
    <w:p w:rsidR="00000000" w:rsidRDefault="00000000">
      <w:pPr>
        <w:pStyle w:val="SingleTxtG"/>
      </w:pPr>
      <w:r>
        <w:t>1.</w:t>
      </w:r>
      <w:r>
        <w:tab/>
        <w:t>En relación con el Consejo de los Derechos del Niño, sírvanse especificar en qué consiste exactamente su mandato y cuáles son los logros prácticos obtenidos, así como informar sobre sus actividades de coordinación, supervisión y evaluación con respecto a la Convención, sus Protocolos facultativos y el Plan de Acción Nacional 2004-2010.</w:t>
      </w:r>
    </w:p>
    <w:p w:rsidR="00000000" w:rsidRDefault="00000000">
      <w:pPr>
        <w:pStyle w:val="SingleTxtG"/>
      </w:pPr>
      <w:r>
        <w:t>2.</w:t>
      </w:r>
      <w:r>
        <w:tab/>
        <w:t>Sírvanse indicar si se está evaluando la aplicación del actual Plan de Acción Nacional (2004-2010) y si se está desarrollando un nuevo plan de acción nacional en favor de la infancia.</w:t>
      </w:r>
    </w:p>
    <w:p w:rsidR="00000000" w:rsidRDefault="00000000">
      <w:pPr>
        <w:pStyle w:val="SingleTxtG"/>
      </w:pPr>
      <w:r>
        <w:t>3.</w:t>
      </w:r>
      <w:r>
        <w:tab/>
        <w:t>Sírvanse informar al Comité acerca del mandato exacto del Protector adjunto de las libertades y los derechos humanos, en particular en lo que concierne a las competencias para recibir quejas de los niños o en su nombre.</w:t>
      </w:r>
    </w:p>
    <w:p w:rsidR="00000000" w:rsidRDefault="00000000">
      <w:pPr>
        <w:pStyle w:val="SingleTxtG"/>
      </w:pPr>
      <w:r>
        <w:t>4.</w:t>
      </w:r>
      <w:r>
        <w:tab/>
        <w:t>Sírvanse explicar el proceso y los criterios, si los hubiera, utilizados por el Estado parte para identificar colaboradores de la sociedad civil dispuestos a participar en el diseño de políticas, estrategias y planes de acción públicos, especialmente en esferas importantes para los niños. Sírvanse asimismo indicar si el Estado parte proporciona algún tipo de apoyo financiero a las organizaciones de la sociedad civil que trabajan en la esfera de los derechos del niño.</w:t>
      </w:r>
    </w:p>
    <w:p w:rsidR="00000000" w:rsidRDefault="00000000">
      <w:pPr>
        <w:pStyle w:val="SingleTxtG"/>
      </w:pPr>
      <w:r>
        <w:t>5.</w:t>
      </w:r>
      <w:r>
        <w:tab/>
        <w:t>Sírvanse informar sobre las medidas específicas destinadas a proteger a los niños romaníes contra la discriminación, inscribir los nacimientos y proporcionar acceso a los servicios educativos, de atención médica y de protección social.</w:t>
      </w:r>
    </w:p>
    <w:p w:rsidR="00000000" w:rsidRDefault="00000000">
      <w:pPr>
        <w:pStyle w:val="SingleTxtG"/>
      </w:pPr>
      <w:r>
        <w:t>6.</w:t>
      </w:r>
      <w:r>
        <w:tab/>
        <w:t>Sírvanse facilitar información actualizada acerca de las condiciones de los niños con discapacidad alojados en la institución "Komanski most".</w:t>
      </w:r>
    </w:p>
    <w:p w:rsidR="00000000" w:rsidRDefault="00000000">
      <w:pPr>
        <w:pStyle w:val="SingleTxtG"/>
      </w:pPr>
      <w:r>
        <w:t>7.</w:t>
      </w:r>
      <w:r>
        <w:tab/>
        <w:t>Sírvanse aportar información sobre las principales medidas legislativas, judiciales, administrativas o de otro tipo en vigor para hacer efectivo el derecho a no ser víctima de tortura u otros tratos o penas crueles, inhumanos o degradantes. A este respecto, sírvanse indicar si existe algún mecanismo disponible para que los niños privados de libertad y aquellos recluidos en instituciones psiquiátricas puedan presentar una queja sobre su privación de libertad, las condiciones de la detención/internamiento y el tratamiento.</w:t>
      </w:r>
    </w:p>
    <w:p w:rsidR="00000000" w:rsidRDefault="00000000">
      <w:pPr>
        <w:pStyle w:val="SingleTxtG"/>
      </w:pPr>
      <w:r>
        <w:t>8.</w:t>
      </w:r>
      <w:r>
        <w:tab/>
        <w:t>Sírvanse indicar si las personas que trabajan para y con niños tienen la obligación de informar acerca de los malos tratos y el descuido; proporciónese información sobre el número de casos denunciados y las condenas.</w:t>
      </w:r>
    </w:p>
    <w:p w:rsidR="00000000" w:rsidRDefault="00000000">
      <w:pPr>
        <w:pStyle w:val="SingleTxtG"/>
      </w:pPr>
      <w:r>
        <w:t>9.</w:t>
      </w:r>
      <w:r>
        <w:tab/>
        <w:t>Sírvanse facilitar información sobre el número de niños que viven o trabajan en la calle y las medidas adoptadas para protegerlos.</w:t>
      </w:r>
    </w:p>
    <w:p w:rsidR="00000000" w:rsidRDefault="00000000">
      <w:pPr>
        <w:pStyle w:val="SingleTxtG"/>
      </w:pPr>
      <w:r>
        <w:t>10.</w:t>
      </w:r>
      <w:r>
        <w:tab/>
        <w:t>Sírvanse proporcionar al Comité información práctica acerca del proyecto de ley sobre justicia juvenil, así como datos e información acerca de:</w:t>
      </w:r>
    </w:p>
    <w:p w:rsidR="00000000" w:rsidRDefault="00000000">
      <w:pPr>
        <w:pStyle w:val="SingleTxtG"/>
      </w:pPr>
      <w:r>
        <w:tab/>
        <w:t>a)</w:t>
      </w:r>
      <w:r>
        <w:tab/>
        <w:t>Si el Estado parte dispone de un sistema amplio de justicia juvenil con arreglo al párrafo 3 del artículo 40 de la Convención;</w:t>
      </w:r>
    </w:p>
    <w:p w:rsidR="00000000" w:rsidRDefault="00000000">
      <w:pPr>
        <w:pStyle w:val="SingleTxtG"/>
      </w:pPr>
      <w:r>
        <w:tab/>
        <w:t>b)</w:t>
      </w:r>
      <w:r>
        <w:tab/>
        <w:t>Si hay tribunales de menores compuestos por jueces especializados que se encargan de todos los menores de 18 años;</w:t>
      </w:r>
    </w:p>
    <w:p w:rsidR="00000000" w:rsidRDefault="00000000">
      <w:pPr>
        <w:pStyle w:val="SingleTxtG"/>
      </w:pPr>
      <w:r>
        <w:tab/>
        <w:t>c)</w:t>
      </w:r>
      <w:r>
        <w:tab/>
        <w:t>El número de niños privados de libertad, en particular cualquier forma de detención, encarcelamiento o internamiento en un establecimiento vigilado (artículos 37 b), c) y d) del proyecto de ley).</w:t>
      </w:r>
    </w:p>
    <w:p w:rsidR="00000000" w:rsidRDefault="00000000">
      <w:pPr>
        <w:pStyle w:val="H23G"/>
      </w:pPr>
      <w:r>
        <w:tab/>
      </w:r>
      <w:r>
        <w:tab/>
        <w:t>Parte II</w:t>
      </w:r>
    </w:p>
    <w:p w:rsidR="00000000" w:rsidRDefault="00000000">
      <w:pPr>
        <w:pStyle w:val="SingleTxtG"/>
        <w:rPr>
          <w:b/>
        </w:rPr>
      </w:pPr>
      <w:r>
        <w:tab/>
      </w:r>
      <w:r>
        <w:rPr>
          <w:b/>
        </w:rPr>
        <w:t>En esta sección, el Comité invita al Estado parte a actualizar brevemente (en tres páginas como máximo) la información proporcionada en su informe en relación con:</w:t>
      </w:r>
    </w:p>
    <w:p w:rsidR="00000000" w:rsidRDefault="00000000">
      <w:pPr>
        <w:pStyle w:val="SingleTxtG"/>
      </w:pPr>
      <w:r>
        <w:tab/>
        <w:t>a)</w:t>
      </w:r>
      <w:r>
        <w:tab/>
        <w:t>Los nuevos proyectos de ley o leyes promulgadas y sus respectivos reglamentos;</w:t>
      </w:r>
    </w:p>
    <w:p w:rsidR="00000000" w:rsidRDefault="00000000">
      <w:pPr>
        <w:pStyle w:val="SingleTxtG"/>
      </w:pPr>
      <w:r>
        <w:tab/>
        <w:t>b)</w:t>
      </w:r>
      <w:r>
        <w:tab/>
        <w:t>Las nuevas instituciones (y sus mandatos) o reformas institucionales;</w:t>
      </w:r>
    </w:p>
    <w:p w:rsidR="00000000" w:rsidRDefault="00000000">
      <w:pPr>
        <w:pStyle w:val="SingleTxtG"/>
      </w:pPr>
      <w:r>
        <w:tab/>
        <w:t>c)</w:t>
      </w:r>
      <w:r>
        <w:tab/>
        <w:t>Las políticas, los programas y los planes de acción adoptados recientemente y su alcance y financiación;</w:t>
      </w:r>
    </w:p>
    <w:p w:rsidR="00000000" w:rsidRDefault="00000000">
      <w:pPr>
        <w:pStyle w:val="SingleTxtG"/>
      </w:pPr>
      <w:r>
        <w:tab/>
        <w:t>d)</w:t>
      </w:r>
      <w:r>
        <w:tab/>
        <w:t>Las nuevas ratificaciones de instrumentos de derechos humanos.</w:t>
      </w:r>
    </w:p>
    <w:p w:rsidR="00000000" w:rsidRDefault="00000000">
      <w:pPr>
        <w:pStyle w:val="H23G"/>
      </w:pPr>
      <w:r>
        <w:tab/>
      </w:r>
      <w:r>
        <w:tab/>
        <w:t>Parte III</w:t>
      </w:r>
    </w:p>
    <w:p w:rsidR="00000000" w:rsidRDefault="00000000">
      <w:pPr>
        <w:pStyle w:val="H23G"/>
      </w:pPr>
      <w:r>
        <w:tab/>
      </w:r>
      <w:r>
        <w:tab/>
        <w:t>Datos, estadísticas y otra información, si la hubiera</w:t>
      </w:r>
    </w:p>
    <w:p w:rsidR="00000000" w:rsidRDefault="00000000">
      <w:pPr>
        <w:pStyle w:val="SingleTxtG"/>
      </w:pPr>
      <w:r>
        <w:t>1.</w:t>
      </w:r>
      <w:r>
        <w:tab/>
        <w:t>Sírvanse especificar el número de niños con discapacidad, de hasta 18 años, desglosado por edad, sexo y zona rural/urbana correspondiente a los años 2007, 2008 y 2009:</w:t>
      </w:r>
    </w:p>
    <w:p w:rsidR="00000000" w:rsidRDefault="00000000">
      <w:pPr>
        <w:pStyle w:val="SingleTxtG"/>
      </w:pPr>
      <w:r>
        <w:tab/>
        <w:t>a)</w:t>
      </w:r>
      <w:r>
        <w:tab/>
        <w:t>Que viven con sus familias;</w:t>
      </w:r>
    </w:p>
    <w:p w:rsidR="00000000" w:rsidRDefault="00000000">
      <w:pPr>
        <w:pStyle w:val="SingleTxtG"/>
      </w:pPr>
      <w:r>
        <w:tab/>
        <w:t>b)</w:t>
      </w:r>
      <w:r>
        <w:tab/>
        <w:t>Que viven en instituciones;</w:t>
      </w:r>
    </w:p>
    <w:p w:rsidR="00000000" w:rsidRDefault="00000000">
      <w:pPr>
        <w:pStyle w:val="SingleTxtG"/>
      </w:pPr>
      <w:r>
        <w:tab/>
        <w:t>c)</w:t>
      </w:r>
      <w:r>
        <w:tab/>
        <w:t>Que viven en hogares de acogida;</w:t>
      </w:r>
    </w:p>
    <w:p w:rsidR="00000000" w:rsidRDefault="00000000">
      <w:pPr>
        <w:pStyle w:val="SingleTxtG"/>
      </w:pPr>
      <w:r>
        <w:tab/>
        <w:t>d)</w:t>
      </w:r>
      <w:r>
        <w:tab/>
        <w:t>Que estudian en escuelas normales;</w:t>
      </w:r>
    </w:p>
    <w:p w:rsidR="00000000" w:rsidRDefault="00000000">
      <w:pPr>
        <w:pStyle w:val="SingleTxtG"/>
      </w:pPr>
      <w:r>
        <w:tab/>
        <w:t>e)</w:t>
      </w:r>
      <w:r>
        <w:tab/>
        <w:t>Que estudian en escuelas especiales; y</w:t>
      </w:r>
    </w:p>
    <w:p w:rsidR="00000000" w:rsidRDefault="00000000">
      <w:pPr>
        <w:pStyle w:val="SingleTxtG"/>
      </w:pPr>
      <w:r>
        <w:tab/>
        <w:t>f)</w:t>
      </w:r>
      <w:r>
        <w:tab/>
        <w:t>Que no van a la escuela.</w:t>
      </w:r>
    </w:p>
    <w:p w:rsidR="00000000" w:rsidRDefault="00000000">
      <w:pPr>
        <w:pStyle w:val="SingleTxtG"/>
      </w:pPr>
      <w:r>
        <w:t>2.</w:t>
      </w:r>
      <w:r>
        <w:tab/>
        <w:t>Sírvanse informar sobre las medidas tomadas para promover y proteger los derechos de los niños en lo que respecta a la salud de los adolescentes y sírvanse aportar datos sobre:</w:t>
      </w:r>
    </w:p>
    <w:p w:rsidR="00000000" w:rsidRDefault="00000000">
      <w:pPr>
        <w:pStyle w:val="SingleTxtG"/>
      </w:pPr>
      <w:r>
        <w:tab/>
        <w:t>a)</w:t>
      </w:r>
      <w:r>
        <w:tab/>
        <w:t>El número de adolescentes que padecen enfermedades de transmisión sexual, en particular VIH/SIDA, que consumen tabaco y que abusan de las drogas y el alcohol, desglosado por sexo y edad;</w:t>
      </w:r>
    </w:p>
    <w:p w:rsidR="00000000" w:rsidRDefault="00000000">
      <w:pPr>
        <w:pStyle w:val="SingleTxtG"/>
      </w:pPr>
      <w:r>
        <w:tab/>
        <w:t>b)</w:t>
      </w:r>
      <w:r>
        <w:tab/>
        <w:t>El número de embarazos en la adolescencia, desglosado por zona rural/urbana y por grupos minoritarios; y</w:t>
      </w:r>
    </w:p>
    <w:p w:rsidR="00000000" w:rsidRDefault="00000000">
      <w:pPr>
        <w:pStyle w:val="SingleTxtG"/>
      </w:pPr>
      <w:r>
        <w:tab/>
        <w:t>c)</w:t>
      </w:r>
      <w:r>
        <w:tab/>
        <w:t>El número de programas y servicios destinados a la prevención y el tratamiento de los problemas de salud de los adolescentes, incluidos los problemas de salud mental.</w:t>
      </w:r>
    </w:p>
    <w:p w:rsidR="00000000" w:rsidRDefault="00000000">
      <w:pPr>
        <w:pStyle w:val="SingleTxtG"/>
      </w:pPr>
      <w:r>
        <w:tab/>
        <w:t>Además, el Estado parte podrá indicar las esferas que afectan a los niños que considere importantes en relación con la aplicación de la Convención.</w:t>
      </w:r>
    </w:p>
    <w:p w:rsidR="00000000" w:rsidRDefault="00000000">
      <w:pPr>
        <w:pStyle w:val="SingleTxtG"/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000000" w:rsidRDefault="00000000"/>
    <w:p w:rsidR="00000000" w:rsidRDefault="00000000"/>
    <w:sectPr w:rsidR="000000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type w:val="continuous"/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right" w:pos="9598"/>
      </w:tabs>
    </w:pPr>
    <w:r>
      <w:rPr>
        <w:b/>
        <w:sz w:val="18"/>
      </w:rPr>
      <w:fldChar w:fldCharType="begin"/>
    </w:r>
    <w:r>
      <w:rPr>
        <w:b/>
        <w:sz w:val="18"/>
      </w:rPr>
      <w:instrText xml:space="preserve"> PAGE  \* MERGEFORMAT </w:instrText>
    </w:r>
    <w:r>
      <w:rPr>
        <w:b/>
        <w:sz w:val="18"/>
      </w:rPr>
      <w:fldChar w:fldCharType="separate"/>
    </w:r>
    <w:r>
      <w:rPr>
        <w:b/>
        <w:noProof/>
        <w:sz w:val="18"/>
      </w:rPr>
      <w:t>2</w:t>
    </w:r>
    <w:r>
      <w:rPr>
        <w:b/>
        <w:sz w:val="18"/>
      </w:rPr>
      <w:fldChar w:fldCharType="end"/>
    </w:r>
    <w:r>
      <w:rPr>
        <w:b/>
        <w:sz w:val="18"/>
      </w:rPr>
      <w:tab/>
    </w:r>
    <w:r>
      <w:t>GE.10-43541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right" w:pos="9598"/>
      </w:tabs>
      <w:rPr>
        <w:b/>
        <w:sz w:val="18"/>
      </w:rPr>
    </w:pPr>
    <w:r>
      <w:t>GE.10-43541</w:t>
    </w:r>
    <w:r>
      <w:tab/>
    </w:r>
    <w:r>
      <w:rPr>
        <w:b/>
        <w:sz w:val="18"/>
      </w:rPr>
      <w:fldChar w:fldCharType="begin"/>
    </w:r>
    <w:r>
      <w:rPr>
        <w:b/>
        <w:sz w:val="18"/>
      </w:rPr>
      <w:instrText xml:space="preserve"> PAGE  \* MERGEFORMAT </w:instrText>
    </w:r>
    <w:r>
      <w:rPr>
        <w:b/>
        <w:sz w:val="18"/>
      </w:rPr>
      <w:fldChar w:fldCharType="separate"/>
    </w:r>
    <w:r>
      <w:rPr>
        <w:b/>
        <w:noProof/>
        <w:sz w:val="18"/>
      </w:rPr>
      <w:t>3</w:t>
    </w:r>
    <w:r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  <w:r>
      <w:rPr>
        <w:sz w:val="20"/>
      </w:rPr>
      <w:t>GE.10-43541</w: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7.15pt;margin-top:-6.95pt;width:85.5pt;height:18pt;z-index:1;mso-position-horizontal-relative:text;mso-position-vertical-relative:text" wrapcoords="18189 0 0 9900 -189 12600 -189 17100 758 19800 19516 19800 20274 19800 21032 14400 21600 14400 21600 8100 20653 0 18189 0">
          <v:imagedata r:id="rId1" o:title="recycle_Spanish"/>
          <w10:anchorlock/>
        </v:shape>
      </w:pict>
    </w:r>
    <w:r>
      <w:rPr>
        <w:sz w:val="20"/>
      </w:rPr>
      <w:t xml:space="preserve">  (S)    230710    270710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t>CRC/C/MNE/Q/1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jc w:val="right"/>
    </w:pPr>
    <w:r>
      <w:t>CRC/C/MNE/Q/1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FootnoteReference">
    <w:name w:val="footnote reference"/>
    <w:aliases w:val="4_G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Pr>
      <w:sz w:val="16"/>
    </w:rPr>
  </w:style>
  <w:style w:type="paragraph" w:customStyle="1" w:styleId="XLargeG">
    <w:name w:val="__XLarge_G"/>
    <w:basedOn w:val="Normal"/>
    <w:next w:val="Normal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111111">
    <w:name w:val="Outline List 2"/>
    <w:basedOn w:val="NoList"/>
    <w:semiHidden/>
    <w:pPr>
      <w:numPr>
        <w:numId w:val="3"/>
      </w:numPr>
    </w:pPr>
  </w:style>
  <w:style w:type="numbering" w:styleId="1ai">
    <w:name w:val="Outline List 1"/>
    <w:basedOn w:val="NoList"/>
    <w:semiHidden/>
    <w:pPr>
      <w:numPr>
        <w:numId w:val="4"/>
      </w:numPr>
    </w:pPr>
  </w:style>
  <w:style w:type="character" w:styleId="HTMLAcronym">
    <w:name w:val="HTML Acronym"/>
    <w:basedOn w:val="DefaultParagraphFont"/>
    <w:semiHidden/>
  </w:style>
  <w:style w:type="numbering" w:styleId="ArticleSection">
    <w:name w:val="Outline List 3"/>
    <w:basedOn w:val="NoList"/>
    <w:semiHidden/>
    <w:pPr>
      <w:numPr>
        <w:numId w:val="5"/>
      </w:numPr>
    </w:pPr>
  </w:style>
  <w:style w:type="paragraph" w:styleId="Closing">
    <w:name w:val="Closing"/>
    <w:basedOn w:val="Normal"/>
    <w:semiHidden/>
    <w:pPr>
      <w:ind w:left="4252"/>
    </w:pPr>
  </w:style>
  <w:style w:type="character" w:styleId="HTMLCite">
    <w:name w:val="HTML Cite"/>
    <w:semiHidden/>
    <w:rPr>
      <w:i/>
      <w:iCs/>
    </w:rPr>
  </w:style>
  <w:style w:type="character" w:styleId="HTMLCode">
    <w:name w:val="HTML Code"/>
    <w:semiHidden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pPr>
      <w:spacing w:after="120"/>
      <w:ind w:left="283"/>
    </w:pPr>
  </w:style>
  <w:style w:type="paragraph" w:styleId="ListContinue2">
    <w:name w:val="List Continue 2"/>
    <w:basedOn w:val="Normal"/>
    <w:semiHidden/>
    <w:pPr>
      <w:spacing w:after="120"/>
      <w:ind w:left="566"/>
    </w:pPr>
  </w:style>
  <w:style w:type="paragraph" w:styleId="ListContinue3">
    <w:name w:val="List Continue 3"/>
    <w:basedOn w:val="Normal"/>
    <w:semiHidden/>
    <w:pPr>
      <w:spacing w:after="120"/>
      <w:ind w:left="849"/>
    </w:pPr>
  </w:style>
  <w:style w:type="paragraph" w:styleId="ListContinue4">
    <w:name w:val="List Continue 4"/>
    <w:basedOn w:val="Normal"/>
    <w:semiHidden/>
    <w:pPr>
      <w:spacing w:after="120"/>
      <w:ind w:left="1132"/>
    </w:pPr>
  </w:style>
  <w:style w:type="paragraph" w:styleId="ListContinue5">
    <w:name w:val="List Continue 5"/>
    <w:basedOn w:val="Normal"/>
    <w:semiHidden/>
    <w:pPr>
      <w:spacing w:after="120"/>
      <w:ind w:left="1415"/>
    </w:pPr>
  </w:style>
  <w:style w:type="character" w:styleId="HTMLDefinition">
    <w:name w:val="HTML Definition"/>
    <w:semiHidden/>
    <w:rPr>
      <w:i/>
      <w:iCs/>
    </w:rPr>
  </w:style>
  <w:style w:type="paragraph" w:styleId="HTMLAddress">
    <w:name w:val="HTML Address"/>
    <w:basedOn w:val="Normal"/>
    <w:semiHidden/>
    <w:rPr>
      <w:i/>
      <w:iCs/>
    </w:rPr>
  </w:style>
  <w:style w:type="paragraph" w:styleId="EnvelopeAddress">
    <w:name w:val="envelope address"/>
    <w:basedOn w:val="Normal"/>
    <w:semiHidden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semiHidden/>
    <w:rPr>
      <w:rFonts w:ascii="Courier New" w:hAnsi="Courier New" w:cs="Courier New"/>
    </w:r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</w:style>
  <w:style w:type="character" w:styleId="Emphasis">
    <w:name w:val="Emphasis"/>
    <w:qFormat/>
    <w:rPr>
      <w:i/>
      <w:iCs/>
    </w:rPr>
  </w:style>
  <w:style w:type="paragraph" w:styleId="Date">
    <w:name w:val="Date"/>
    <w:basedOn w:val="Normal"/>
    <w:next w:val="Normal"/>
    <w:semiHidden/>
  </w:style>
  <w:style w:type="paragraph" w:styleId="Signature">
    <w:name w:val="Signature"/>
    <w:basedOn w:val="Normal"/>
    <w:semiHidden/>
    <w:pPr>
      <w:ind w:left="4252"/>
    </w:pPr>
  </w:style>
  <w:style w:type="paragraph" w:styleId="E-mailSignature">
    <w:name w:val="E-mail Signature"/>
    <w:basedOn w:val="Normal"/>
    <w:semiHidden/>
  </w:style>
  <w:style w:type="character" w:styleId="Hyperlink">
    <w:name w:val="Hyperlink"/>
    <w:semiHidden/>
    <w:rPr>
      <w:color w:val="0000FF"/>
      <w:u w:val="single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HTMLPreformatted">
    <w:name w:val="HTML Preformatted"/>
    <w:basedOn w:val="Normal"/>
    <w:semiHidden/>
    <w:rPr>
      <w:rFonts w:ascii="Courier New" w:hAnsi="Courier New" w:cs="Courier New"/>
    </w:r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ListNumber">
    <w:name w:val="List Number"/>
    <w:basedOn w:val="Normal"/>
    <w:semiHidden/>
    <w:pPr>
      <w:numPr>
        <w:numId w:val="6"/>
      </w:numPr>
    </w:pPr>
  </w:style>
  <w:style w:type="paragraph" w:styleId="ListNumber2">
    <w:name w:val="List Number 2"/>
    <w:basedOn w:val="Normal"/>
    <w:semiHidden/>
    <w:pPr>
      <w:numPr>
        <w:numId w:val="7"/>
      </w:numPr>
    </w:pPr>
  </w:style>
  <w:style w:type="paragraph" w:styleId="ListNumber3">
    <w:name w:val="List Number 3"/>
    <w:basedOn w:val="Normal"/>
    <w:semiHidden/>
    <w:pPr>
      <w:numPr>
        <w:numId w:val="8"/>
      </w:numPr>
    </w:pPr>
  </w:style>
  <w:style w:type="paragraph" w:styleId="ListNumber4">
    <w:name w:val="List Number 4"/>
    <w:basedOn w:val="Normal"/>
    <w:semiHidden/>
    <w:pPr>
      <w:numPr>
        <w:numId w:val="9"/>
      </w:numPr>
    </w:pPr>
  </w:style>
  <w:style w:type="paragraph" w:styleId="ListNumber5">
    <w:name w:val="List Number 5"/>
    <w:basedOn w:val="Normal"/>
    <w:semiHidden/>
    <w:pPr>
      <w:numPr>
        <w:numId w:val="10"/>
      </w:numPr>
    </w:pPr>
  </w:style>
  <w:style w:type="paragraph" w:styleId="ListBullet">
    <w:name w:val="List Bullet"/>
    <w:basedOn w:val="Normal"/>
    <w:semiHidden/>
    <w:pPr>
      <w:numPr>
        <w:numId w:val="11"/>
      </w:numPr>
    </w:pPr>
  </w:style>
  <w:style w:type="paragraph" w:styleId="ListBullet2">
    <w:name w:val="List Bullet 2"/>
    <w:basedOn w:val="Normal"/>
    <w:semiHidden/>
    <w:pPr>
      <w:numPr>
        <w:numId w:val="12"/>
      </w:numPr>
    </w:pPr>
  </w:style>
  <w:style w:type="paragraph" w:styleId="ListBullet3">
    <w:name w:val="List Bullet 3"/>
    <w:basedOn w:val="Normal"/>
    <w:semiHidden/>
    <w:pPr>
      <w:numPr>
        <w:numId w:val="13"/>
      </w:numPr>
    </w:pPr>
  </w:style>
  <w:style w:type="paragraph" w:styleId="ListBullet4">
    <w:name w:val="List Bullet 4"/>
    <w:basedOn w:val="Normal"/>
    <w:semiHidden/>
    <w:pPr>
      <w:numPr>
        <w:numId w:val="14"/>
      </w:numPr>
    </w:pPr>
  </w:style>
  <w:style w:type="paragraph" w:styleId="ListBullet5">
    <w:name w:val="List Bullet 5"/>
    <w:basedOn w:val="Normal"/>
    <w:semiHidden/>
    <w:pPr>
      <w:numPr>
        <w:numId w:val="15"/>
      </w:numPr>
    </w:pPr>
  </w:style>
  <w:style w:type="character" w:styleId="HTMLTypewriter">
    <w:name w:val="HTML Typewriter"/>
    <w:semiHidden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Pr>
      <w:sz w:val="24"/>
      <w:szCs w:val="24"/>
    </w:rPr>
  </w:style>
  <w:style w:type="character" w:styleId="LineNumber">
    <w:name w:val="line number"/>
    <w:basedOn w:val="DefaultParagraphFont"/>
    <w:semiHidden/>
  </w:style>
  <w:style w:type="character" w:styleId="PageNumber">
    <w:name w:val="page number"/>
    <w:aliases w:val="7_G"/>
    <w:rPr>
      <w:b/>
      <w:sz w:val="18"/>
    </w:rPr>
  </w:style>
  <w:style w:type="character" w:styleId="EndnoteReference">
    <w:name w:val="endnote reference"/>
    <w:aliases w:val="1_G"/>
    <w:basedOn w:val="FootnoteReference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Pr>
      <w:rFonts w:ascii="Arial" w:hAnsi="Arial" w:cs="Arial"/>
    </w:rPr>
  </w:style>
  <w:style w:type="paragraph" w:styleId="Salutation">
    <w:name w:val="Salutation"/>
    <w:basedOn w:val="Normal"/>
    <w:next w:val="Normal"/>
    <w:semiHidden/>
  </w:style>
  <w:style w:type="paragraph" w:styleId="BodyTextIndent2">
    <w:name w:val="Body Text Indent 2"/>
    <w:basedOn w:val="Normal"/>
    <w:semiHidden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pPr>
      <w:spacing w:after="120"/>
      <w:ind w:left="283"/>
    </w:pPr>
  </w:style>
  <w:style w:type="paragraph" w:styleId="NormalIndent">
    <w:name w:val="Normal Indent"/>
    <w:basedOn w:val="Normal"/>
    <w:semiHidden/>
    <w:pPr>
      <w:ind w:left="567"/>
    </w:p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pPr>
      <w:spacing w:after="120"/>
      <w:ind w:left="1440" w:right="1440"/>
    </w:pPr>
  </w:style>
  <w:style w:type="character" w:styleId="Strong">
    <w:name w:val="Strong"/>
    <w:qFormat/>
    <w:rPr>
      <w:b/>
      <w:bCs/>
    </w:rPr>
  </w:style>
  <w:style w:type="paragraph" w:styleId="BodyText">
    <w:name w:val="Body Text"/>
    <w:basedOn w:val="Normal"/>
    <w:semiHidden/>
    <w:pPr>
      <w:spacing w:after="120"/>
    </w:pPr>
  </w:style>
  <w:style w:type="paragraph" w:styleId="BodyText2">
    <w:name w:val="Body Text 2"/>
    <w:basedOn w:val="Normal"/>
    <w:semiHidden/>
    <w:pPr>
      <w:spacing w:after="120" w:line="480" w:lineRule="auto"/>
    </w:pPr>
  </w:style>
  <w:style w:type="paragraph" w:styleId="BodyText3">
    <w:name w:val="Body Text 3"/>
    <w:basedOn w:val="Normal"/>
    <w:semiHidden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pPr>
      <w:ind w:firstLine="210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EndnoteText">
    <w:name w:val="endnote text"/>
    <w:aliases w:val="2_G"/>
    <w:basedOn w:val="FootnoteText"/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semiHidden/>
    <w:rPr>
      <w:i/>
      <w:iCs/>
    </w:rPr>
  </w:style>
  <w:style w:type="paragraph" w:customStyle="1" w:styleId="Bullet1G">
    <w:name w:val="_Bullet 1_G"/>
    <w:basedOn w:val="Normal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pPr>
      <w:numPr>
        <w:numId w:val="2"/>
      </w:numPr>
      <w:spacing w:after="120"/>
      <w:ind w:right="1134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%20FORMAT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3</Pages>
  <Words>860</Words>
  <Characters>4731</Characters>
  <Application>Microsoft Office Word</Application>
  <DocSecurity>4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CRC/C/MNE/Q/1 - 10-43541</vt:lpstr>
    </vt:vector>
  </TitlesOfParts>
  <Company/>
  <LinksUpToDate>false</LinksUpToDate>
  <CharactersWithSpaces>5580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CRC/C/MNE/Q/1 - 10-43541</dc:title>
  <dc:subject>final</dc:subject>
  <dc:creator>c. martínez</dc:creator>
  <cp:keywords/>
  <dc:description/>
  <cp:lastModifiedBy>Admieng</cp:lastModifiedBy>
  <cp:revision>2</cp:revision>
  <cp:lastPrinted>2010-07-27T07:08:00Z</cp:lastPrinted>
  <dcterms:created xsi:type="dcterms:W3CDTF">2010-07-27T08:35:00Z</dcterms:created>
  <dcterms:modified xsi:type="dcterms:W3CDTF">2010-07-27T08:35:00Z</dcterms:modified>
</cp:coreProperties>
</file>