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B52DDC0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3D35E1" w14:textId="77777777" w:rsidR="002D5AAC" w:rsidRDefault="002D5AAC" w:rsidP="002D492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C48D799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183E0C6" w14:textId="4D892F54" w:rsidR="002D5AAC" w:rsidRDefault="002D4927" w:rsidP="002D4927">
            <w:pPr>
              <w:jc w:val="right"/>
            </w:pPr>
            <w:r w:rsidRPr="002D4927">
              <w:rPr>
                <w:sz w:val="40"/>
              </w:rPr>
              <w:t>CMW</w:t>
            </w:r>
            <w:r>
              <w:t>/C/NGA/CO/1-2</w:t>
            </w:r>
          </w:p>
        </w:tc>
      </w:tr>
      <w:tr w:rsidR="002D5AAC" w:rsidRPr="00043AB1" w14:paraId="575A231F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11F614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8EA1D9" wp14:editId="7FE3DAF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1A233F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3689C3" w14:textId="77777777" w:rsidR="002D5AAC" w:rsidRPr="00A8761D" w:rsidRDefault="002D4927" w:rsidP="007A2AE0">
            <w:pPr>
              <w:spacing w:before="240"/>
              <w:rPr>
                <w:lang w:val="en-US"/>
              </w:rPr>
            </w:pPr>
            <w:r w:rsidRPr="00A8761D">
              <w:rPr>
                <w:lang w:val="en-US"/>
              </w:rPr>
              <w:t>Distr.: General</w:t>
            </w:r>
          </w:p>
          <w:p w14:paraId="0BD838D5" w14:textId="2567B30A" w:rsidR="002D4927" w:rsidRPr="00CB016D" w:rsidRDefault="002D4927" w:rsidP="002D4927">
            <w:pPr>
              <w:spacing w:line="240" w:lineRule="exact"/>
              <w:rPr>
                <w:lang w:val="en-US"/>
              </w:rPr>
            </w:pPr>
            <w:r w:rsidRPr="00A8761D">
              <w:rPr>
                <w:lang w:val="en-US"/>
              </w:rPr>
              <w:t>1</w:t>
            </w:r>
            <w:r w:rsidR="00A8761D" w:rsidRPr="00A8761D">
              <w:rPr>
                <w:lang w:val="en-US"/>
              </w:rPr>
              <w:t>8</w:t>
            </w:r>
            <w:r w:rsidR="00A8761D" w:rsidRPr="00CB016D">
              <w:rPr>
                <w:lang w:val="en-US"/>
              </w:rPr>
              <w:t xml:space="preserve"> May 2023</w:t>
            </w:r>
          </w:p>
          <w:p w14:paraId="10A687F2" w14:textId="77777777" w:rsidR="002D4927" w:rsidRPr="00A8761D" w:rsidRDefault="002D4927" w:rsidP="002D4927">
            <w:pPr>
              <w:spacing w:line="240" w:lineRule="exact"/>
              <w:rPr>
                <w:lang w:val="en-US"/>
              </w:rPr>
            </w:pPr>
            <w:r w:rsidRPr="00A8761D">
              <w:rPr>
                <w:lang w:val="en-US"/>
              </w:rPr>
              <w:t>Russian</w:t>
            </w:r>
          </w:p>
          <w:p w14:paraId="1EC71AC1" w14:textId="00C647CD" w:rsidR="002D4927" w:rsidRPr="00A8761D" w:rsidRDefault="002D4927" w:rsidP="002D4927">
            <w:pPr>
              <w:spacing w:line="240" w:lineRule="exact"/>
              <w:rPr>
                <w:lang w:val="en-US"/>
              </w:rPr>
            </w:pPr>
            <w:r w:rsidRPr="00A8761D">
              <w:rPr>
                <w:lang w:val="en-US"/>
              </w:rPr>
              <w:t>Original: English</w:t>
            </w:r>
          </w:p>
        </w:tc>
      </w:tr>
    </w:tbl>
    <w:p w14:paraId="04AB114E" w14:textId="3C2DB450" w:rsidR="002D4927" w:rsidRPr="00AE4937" w:rsidRDefault="002D4927" w:rsidP="002D4927">
      <w:pPr>
        <w:spacing w:before="120"/>
        <w:rPr>
          <w:rFonts w:eastAsia="Times New Roman" w:cs="Times New Roman"/>
          <w:b/>
          <w:bCs/>
          <w:sz w:val="24"/>
          <w:szCs w:val="24"/>
        </w:rPr>
      </w:pPr>
      <w:r w:rsidRPr="00AE4937">
        <w:rPr>
          <w:rFonts w:eastAsia="Times New Roman" w:cs="Times New Roman"/>
          <w:b/>
          <w:bCs/>
          <w:sz w:val="24"/>
          <w:szCs w:val="24"/>
        </w:rPr>
        <w:t xml:space="preserve">Комитет по защите прав всех трудящихся-мигрантов </w:t>
      </w:r>
      <w:r w:rsidR="00417EC2">
        <w:rPr>
          <w:rFonts w:eastAsia="Times New Roman" w:cs="Times New Roman"/>
          <w:b/>
          <w:bCs/>
          <w:sz w:val="24"/>
          <w:szCs w:val="24"/>
        </w:rPr>
        <w:br/>
      </w:r>
      <w:r w:rsidRPr="00AE4937">
        <w:rPr>
          <w:rFonts w:eastAsia="Times New Roman" w:cs="Times New Roman"/>
          <w:b/>
          <w:bCs/>
          <w:sz w:val="24"/>
          <w:szCs w:val="24"/>
        </w:rPr>
        <w:t>и членов их семей</w:t>
      </w:r>
    </w:p>
    <w:p w14:paraId="31C38679" w14:textId="4DD5D3A7" w:rsidR="002D4927" w:rsidRPr="002A698C" w:rsidRDefault="002D4927" w:rsidP="002D4927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Times New Roman" w:cs="Times New Roman"/>
          <w:b/>
          <w:sz w:val="28"/>
          <w:szCs w:val="20"/>
        </w:rPr>
      </w:pPr>
      <w:r w:rsidRPr="002A698C">
        <w:rPr>
          <w:rFonts w:eastAsia="Times New Roman" w:cs="Times New Roman"/>
          <w:b/>
          <w:sz w:val="28"/>
          <w:szCs w:val="20"/>
        </w:rPr>
        <w:tab/>
      </w:r>
      <w:r w:rsidRPr="002A698C">
        <w:rPr>
          <w:rFonts w:eastAsia="Times New Roman" w:cs="Times New Roman"/>
          <w:b/>
          <w:sz w:val="28"/>
          <w:szCs w:val="20"/>
        </w:rPr>
        <w:tab/>
      </w:r>
      <w:r w:rsidRPr="002A698C">
        <w:rPr>
          <w:rFonts w:eastAsia="Times New Roman" w:cs="Times New Roman"/>
          <w:b/>
          <w:bCs/>
          <w:sz w:val="28"/>
          <w:szCs w:val="20"/>
        </w:rPr>
        <w:t>Заключительные замечания по объединенным первоначальному и второму периодическим докладам Нигерии</w:t>
      </w:r>
      <w:r w:rsidRPr="002A698C">
        <w:rPr>
          <w:rFonts w:eastAsia="Times New Roman" w:cs="Times New Roman"/>
          <w:bCs/>
          <w:szCs w:val="20"/>
        </w:rPr>
        <w:footnoteReference w:customMarkFollows="1" w:id="1"/>
        <w:t>*</w:t>
      </w:r>
    </w:p>
    <w:p w14:paraId="350A9F15" w14:textId="45A7B6BF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1.</w:t>
      </w:r>
      <w:r w:rsidRPr="002A698C">
        <w:rPr>
          <w:rFonts w:eastAsia="SimSun" w:cs="Times New Roman"/>
          <w:szCs w:val="20"/>
        </w:rPr>
        <w:tab/>
        <w:t>Комитет рассмотрел объединенные первоначальный и второй периодические доклады Нигерии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"/>
      </w:r>
      <w:r w:rsidRPr="00417EC2">
        <w:rPr>
          <w:rFonts w:eastAsia="SimSun" w:cs="Times New Roman"/>
          <w:sz w:val="18"/>
          <w:szCs w:val="20"/>
          <w:vertAlign w:val="superscript"/>
        </w:rPr>
        <w:t xml:space="preserve"> </w:t>
      </w:r>
      <w:r w:rsidRPr="002A698C">
        <w:rPr>
          <w:rFonts w:eastAsia="SimSun" w:cs="Times New Roman"/>
          <w:szCs w:val="20"/>
        </w:rPr>
        <w:t>на своих 517-м и 518-м заседаниях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"/>
      </w:r>
      <w:r w:rsidRPr="00131C07"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состоявшихся 29 марта 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</w:t>
      </w:r>
      <w:r>
        <w:rPr>
          <w:rFonts w:eastAsia="SimSun" w:cs="Times New Roman"/>
          <w:szCs w:val="20"/>
        </w:rPr>
        <w:t>.</w:t>
      </w:r>
      <w:r w:rsidRPr="002A698C">
        <w:rPr>
          <w:rFonts w:eastAsia="SimSun" w:cs="Times New Roman"/>
          <w:szCs w:val="20"/>
        </w:rPr>
        <w:t xml:space="preserve"> На своем 530</w:t>
      </w:r>
      <w:r w:rsidR="00BB40B0" w:rsidRPr="00BB40B0">
        <w:rPr>
          <w:rFonts w:eastAsia="SimSun" w:cs="Times New Roman"/>
          <w:szCs w:val="20"/>
        </w:rPr>
        <w:t>-</w:t>
      </w:r>
      <w:r w:rsidR="00BB40B0">
        <w:rPr>
          <w:rFonts w:eastAsia="SimSun" w:cs="Times New Roman"/>
          <w:szCs w:val="20"/>
        </w:rPr>
        <w:t>м</w:t>
      </w:r>
      <w:r w:rsidRPr="002A698C">
        <w:rPr>
          <w:rFonts w:eastAsia="SimSun" w:cs="Times New Roman"/>
          <w:szCs w:val="20"/>
        </w:rPr>
        <w:t xml:space="preserve"> заседании, состоявшемся 6 апреля 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он принял настоящие заключительные замечания.</w:t>
      </w:r>
    </w:p>
    <w:p w14:paraId="7385BB46" w14:textId="5CB57993" w:rsidR="002D4927" w:rsidRPr="002A698C" w:rsidRDefault="00AE4937" w:rsidP="002D492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sz w:val="24"/>
          <w:szCs w:val="20"/>
        </w:rPr>
      </w:pPr>
      <w:r>
        <w:rPr>
          <w:rFonts w:eastAsia="Times New Roman" w:cs="Times New Roman"/>
          <w:b/>
          <w:bCs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A.</w:t>
      </w:r>
      <w:r w:rsidR="002D4927" w:rsidRPr="002A698C">
        <w:rPr>
          <w:rFonts w:eastAsia="Times New Roman" w:cs="Times New Roman"/>
          <w:b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Введение</w:t>
      </w:r>
    </w:p>
    <w:p w14:paraId="6C6E53AE" w14:textId="51FF8BC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2.</w:t>
      </w:r>
      <w:r w:rsidRPr="002A698C">
        <w:rPr>
          <w:rFonts w:eastAsia="SimSun" w:cs="Times New Roman"/>
          <w:szCs w:val="20"/>
        </w:rPr>
        <w:tab/>
        <w:t>Комитет приветствует представление объединенных первоначального и второго периодических докладов государства-участника, подготовленных в ответ на перечень вопросов, препровожденный до представления докладов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4"/>
      </w:r>
      <w:r w:rsidRPr="002A698C">
        <w:rPr>
          <w:rFonts w:eastAsia="SimSun" w:cs="Times New Roman"/>
          <w:szCs w:val="20"/>
        </w:rPr>
        <w:t>, а также дополнительную информацию, представленную многопрофильной делегацией, возглавляемой федеральным комиссаром Национальной комиссии по делам беженцев, мигрантов и внутренне перемещенных лиц Имааном Сулайманом-Ибрагимом, в</w:t>
      </w:r>
      <w:r w:rsidR="008D7A0C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состав которой вошли представители Министерства иностранных дел, Федерального министерства труда и занятости, Федерального министерства юстиции, Иммиграционной службы Нигерии и Национальной комиссии по делам беженцев, мигрантов и внутренне перемещенных лиц, атташе по вопросам труда в Женеве, Постоянный представитель Нигерии при Отделении Организации Объединенных Наций в Женеве Абиодун Ричардс Адеджола и сотрудники указанного постоянного представительства.</w:t>
      </w:r>
    </w:p>
    <w:p w14:paraId="5F8D1FBD" w14:textId="0DC83B43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 w:val="18"/>
          <w:szCs w:val="20"/>
          <w:vertAlign w:val="superscript"/>
        </w:rPr>
      </w:pPr>
      <w:r w:rsidRPr="002A698C">
        <w:rPr>
          <w:rFonts w:eastAsia="SimSun" w:cs="Times New Roman"/>
          <w:szCs w:val="20"/>
        </w:rPr>
        <w:t>3.</w:t>
      </w:r>
      <w:r w:rsidRPr="002A698C">
        <w:rPr>
          <w:rFonts w:eastAsia="SimSun" w:cs="Times New Roman"/>
          <w:szCs w:val="20"/>
        </w:rPr>
        <w:tab/>
        <w:t>Нигерия присоединилась к Международной конвенции о защите прав всех трудящихся-мигрантов и членов их семей 27 июля 2009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</w:t>
      </w:r>
      <w:r>
        <w:rPr>
          <w:rFonts w:eastAsia="SimSun" w:cs="Times New Roman"/>
          <w:szCs w:val="20"/>
        </w:rPr>
        <w:t>.</w:t>
      </w:r>
      <w:r w:rsidRPr="002A698C">
        <w:rPr>
          <w:rFonts w:eastAsia="SimSun" w:cs="Times New Roman"/>
          <w:szCs w:val="20"/>
        </w:rPr>
        <w:t xml:space="preserve"> Государство-участник было обязано представить свой первоначальный доклад в соответствии с пунктом</w:t>
      </w:r>
      <w:r w:rsidR="00C14419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1 статьи 73 Конвенции к 1 ноября 2010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а. На своей двадцать третьей сессии в сентябре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Комитет на основании правила 31</w:t>
      </w:r>
      <w:r w:rsidR="008D7A0C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bis предыдущих правил процедуры Комитета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5"/>
      </w:r>
      <w:r w:rsidRPr="00AD761F">
        <w:rPr>
          <w:rFonts w:eastAsia="SimSun" w:cs="Times New Roman"/>
          <w:szCs w:val="20"/>
        </w:rPr>
        <w:t xml:space="preserve"> </w:t>
      </w:r>
      <w:r w:rsidRPr="002A698C">
        <w:rPr>
          <w:rFonts w:eastAsia="SimSun" w:cs="Times New Roman"/>
          <w:szCs w:val="20"/>
        </w:rPr>
        <w:t>утвердил перечень вопросов до представления первоначального доклада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6"/>
      </w:r>
      <w:r w:rsidRPr="00BD74F3"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который был препровожден государству-участнику 29 сентября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7"/>
      </w:r>
      <w:r w:rsidRPr="005F4EDE">
        <w:rPr>
          <w:rFonts w:eastAsia="SimSun" w:cs="Times New Roman"/>
          <w:szCs w:val="20"/>
        </w:rPr>
        <w:t>.</w:t>
      </w:r>
    </w:p>
    <w:p w14:paraId="4407744B" w14:textId="65ACBD64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 w:val="18"/>
          <w:szCs w:val="20"/>
          <w:vertAlign w:val="superscript"/>
        </w:rPr>
      </w:pPr>
      <w:r w:rsidRPr="002A698C">
        <w:rPr>
          <w:rFonts w:eastAsia="SimSun" w:cs="Times New Roman"/>
          <w:szCs w:val="20"/>
        </w:rPr>
        <w:t>4.</w:t>
      </w:r>
      <w:r w:rsidRPr="002A698C">
        <w:rPr>
          <w:rFonts w:eastAsia="SimSun" w:cs="Times New Roman"/>
          <w:szCs w:val="20"/>
        </w:rPr>
        <w:tab/>
        <w:t xml:space="preserve">Поскольку государство-участник не представило ответ на перечень вопросов, который стал бы его докладом в соответствии со статьей 73 Конвенции, и не направило делегацию для проведения конструктивного диалога на двадцать шестой сессии </w:t>
      </w:r>
      <w:r w:rsidRPr="002A698C">
        <w:rPr>
          <w:rFonts w:eastAsia="SimSun" w:cs="Times New Roman"/>
          <w:szCs w:val="20"/>
        </w:rPr>
        <w:lastRenderedPageBreak/>
        <w:t>Комитета, Комитет приступил к рассмотрению вопроса о выполнении Конвенции в государстве-участнике в отсутствие доклада и делегации и принял в 2017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у заключительные замечания в отношении Нигерии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8"/>
      </w:r>
      <w:r w:rsidRPr="00567031">
        <w:rPr>
          <w:rFonts w:eastAsia="SimSun" w:cs="Times New Roman"/>
          <w:szCs w:val="20"/>
        </w:rPr>
        <w:t xml:space="preserve"> </w:t>
      </w:r>
      <w:r w:rsidRPr="002A698C">
        <w:rPr>
          <w:rFonts w:eastAsia="SimSun" w:cs="Times New Roman"/>
          <w:szCs w:val="20"/>
        </w:rPr>
        <w:t>на основе информации, имевшейся в распоряжении Комитета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9"/>
      </w:r>
      <w:r w:rsidRPr="00567031">
        <w:rPr>
          <w:rFonts w:eastAsia="SimSun" w:cs="Times New Roman"/>
          <w:szCs w:val="20"/>
        </w:rPr>
        <w:t>.</w:t>
      </w:r>
    </w:p>
    <w:p w14:paraId="6D054AE4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5.</w:t>
      </w:r>
      <w:r w:rsidRPr="002A698C">
        <w:rPr>
          <w:rFonts w:eastAsia="SimSun" w:cs="Times New Roman"/>
          <w:szCs w:val="20"/>
        </w:rPr>
        <w:tab/>
        <w:t>Комитет высоко оценивает открытый и конструктивный диалог с делегацией. Однако Комитет сожалеет, что государство-участник не представило все приложения к своим объединенным первоначальному и второму периодическим докладам, которые поэтому не были доступны для должного рассмотрения Комитетом.</w:t>
      </w:r>
    </w:p>
    <w:p w14:paraId="7F17115F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6.</w:t>
      </w:r>
      <w:r w:rsidRPr="002A698C">
        <w:rPr>
          <w:rFonts w:eastAsia="SimSun" w:cs="Times New Roman"/>
          <w:szCs w:val="20"/>
        </w:rPr>
        <w:tab/>
        <w:t>Комитет осведомлен о том, что Нигерия как страна происхождения трудящихся-мигрантов добилась прогресса в защите прав своих граждан за рубежом. Однако Комитет также отмечает, что, будучи страной происхождения, транзита, назначения и возвращения, государство-участник сталкивается с рядом проблем в области защиты прав трудящихся-мигрантов и членов их семей.</w:t>
      </w:r>
    </w:p>
    <w:p w14:paraId="33027627" w14:textId="6C386BD1" w:rsidR="002D4927" w:rsidRPr="002A698C" w:rsidRDefault="00AE4937" w:rsidP="002D492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sz w:val="24"/>
          <w:szCs w:val="20"/>
        </w:rPr>
      </w:pPr>
      <w:r>
        <w:rPr>
          <w:rFonts w:eastAsia="Times New Roman" w:cs="Times New Roman"/>
          <w:b/>
          <w:bCs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B.</w:t>
      </w:r>
      <w:r w:rsidR="002D4927" w:rsidRPr="002A698C">
        <w:rPr>
          <w:rFonts w:eastAsia="Times New Roman" w:cs="Times New Roman"/>
          <w:b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Позитивные аспекты</w:t>
      </w:r>
    </w:p>
    <w:p w14:paraId="007B8DC3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7.</w:t>
      </w:r>
      <w:r w:rsidRPr="002A698C">
        <w:rPr>
          <w:rFonts w:eastAsia="SimSun" w:cs="Times New Roman"/>
          <w:szCs w:val="20"/>
        </w:rPr>
        <w:tab/>
        <w:t>Комитет приветствует усилия государства-участника по поощрению и защите прав нигерийских трудящихся-мигрантов за рубежом, в частности, в том, что касается осуществляемых перед отъездом и после прибытия программ по повышению осведомленности.</w:t>
      </w:r>
    </w:p>
    <w:p w14:paraId="1EFA3248" w14:textId="5E898690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8.</w:t>
      </w:r>
      <w:r w:rsidRPr="002A698C">
        <w:rPr>
          <w:rFonts w:eastAsia="SimSun" w:cs="Times New Roman"/>
          <w:szCs w:val="20"/>
        </w:rPr>
        <w:tab/>
        <w:t xml:space="preserve">Комитет с удовлетворением отмечает, что государство-участник является участником основных конвенций Международной организации труда (МОТ) </w:t>
      </w:r>
      <w:r>
        <w:rPr>
          <w:rFonts w:eastAsia="SimSun" w:cs="Times New Roman"/>
          <w:szCs w:val="20"/>
        </w:rPr>
        <w:t xml:space="preserve">и что оно </w:t>
      </w:r>
      <w:r w:rsidRPr="002A698C">
        <w:rPr>
          <w:rFonts w:eastAsia="SimSun" w:cs="Times New Roman"/>
          <w:szCs w:val="20"/>
        </w:rPr>
        <w:t>ратифицировало Конвенцию МОТ 1975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 трудящихся-мигрантах (дополнительные положения) (№ 143) и Конвенцию МОТ 1997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 частных агентствах занятости (№ 181) 23 марта 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а также Конвенцию МОТ 2019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об искоренении насилия и домогательств (№ 190) 8 ноября 2022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а.</w:t>
      </w:r>
    </w:p>
    <w:p w14:paraId="7F67AFB9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9.</w:t>
      </w:r>
      <w:r w:rsidRPr="002A698C">
        <w:rPr>
          <w:rFonts w:eastAsia="SimSun" w:cs="Times New Roman"/>
          <w:szCs w:val="20"/>
        </w:rPr>
        <w:tab/>
        <w:t>Комитет также приветствует принятие:</w:t>
      </w:r>
    </w:p>
    <w:p w14:paraId="47CD410F" w14:textId="518596AC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a)</w:t>
      </w:r>
      <w:r w:rsidRPr="002A698C">
        <w:rPr>
          <w:rFonts w:eastAsia="SimSun" w:cs="Times New Roman"/>
          <w:szCs w:val="20"/>
        </w:rPr>
        <w:tab/>
        <w:t>Национального плана действий по борьбе с торговлей людьми в Нигерии на 2022–2026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ы;</w:t>
      </w:r>
    </w:p>
    <w:p w14:paraId="2845AD73" w14:textId="4935A590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b)</w:t>
      </w:r>
      <w:r w:rsidRPr="002A698C">
        <w:rPr>
          <w:rFonts w:eastAsia="SimSun" w:cs="Times New Roman"/>
          <w:szCs w:val="20"/>
        </w:rPr>
        <w:tab/>
        <w:t xml:space="preserve">Национальной политики </w:t>
      </w:r>
      <w:r w:rsidRPr="00142D30">
        <w:rPr>
          <w:rFonts w:eastAsia="SimSun" w:cs="Times New Roman"/>
          <w:szCs w:val="20"/>
        </w:rPr>
        <w:t>2014</w:t>
      </w:r>
      <w:r w:rsidR="00417EC2">
        <w:rPr>
          <w:rFonts w:eastAsia="SimSun" w:cs="Times New Roman"/>
          <w:szCs w:val="20"/>
        </w:rPr>
        <w:t> год</w:t>
      </w:r>
      <w:r w:rsidRPr="00142D30">
        <w:rPr>
          <w:rFonts w:eastAsia="SimSun" w:cs="Times New Roman"/>
          <w:szCs w:val="20"/>
        </w:rPr>
        <w:t xml:space="preserve">а </w:t>
      </w:r>
      <w:r w:rsidRPr="002A698C">
        <w:rPr>
          <w:rFonts w:eastAsia="SimSun" w:cs="Times New Roman"/>
          <w:szCs w:val="20"/>
        </w:rPr>
        <w:t>в области трудовой миграции, пересмотренной в 2020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у;</w:t>
      </w:r>
    </w:p>
    <w:p w14:paraId="141BD5D1" w14:textId="43932FF2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c)</w:t>
      </w:r>
      <w:r w:rsidRPr="002A698C">
        <w:rPr>
          <w:rFonts w:eastAsia="SimSun" w:cs="Times New Roman"/>
          <w:szCs w:val="20"/>
        </w:rPr>
        <w:tab/>
        <w:t>Национальной политики по искоренению детского труда и соответствующего Национального плана действий на 2021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;</w:t>
      </w:r>
    </w:p>
    <w:p w14:paraId="0AE67FE1" w14:textId="0D140A80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d)</w:t>
      </w:r>
      <w:r w:rsidRPr="002A698C">
        <w:rPr>
          <w:rFonts w:eastAsia="SimSun" w:cs="Times New Roman"/>
          <w:szCs w:val="20"/>
        </w:rPr>
        <w:tab/>
        <w:t xml:space="preserve">Национальной политики </w:t>
      </w:r>
      <w:r w:rsidRPr="00142D30">
        <w:rPr>
          <w:rFonts w:eastAsia="SimSun" w:cs="Times New Roman"/>
          <w:szCs w:val="20"/>
        </w:rPr>
        <w:t>2021</w:t>
      </w:r>
      <w:r w:rsidR="00417EC2">
        <w:rPr>
          <w:rFonts w:eastAsia="SimSun" w:cs="Times New Roman"/>
          <w:szCs w:val="20"/>
        </w:rPr>
        <w:t> год</w:t>
      </w:r>
      <w:r w:rsidRPr="00142D30">
        <w:rPr>
          <w:rFonts w:eastAsia="SimSun" w:cs="Times New Roman"/>
          <w:szCs w:val="20"/>
        </w:rPr>
        <w:t xml:space="preserve">а </w:t>
      </w:r>
      <w:r w:rsidRPr="002A698C">
        <w:rPr>
          <w:rFonts w:eastAsia="SimSun" w:cs="Times New Roman"/>
          <w:szCs w:val="20"/>
        </w:rPr>
        <w:t>в отношении диаспоры;</w:t>
      </w:r>
    </w:p>
    <w:p w14:paraId="47C4A31E" w14:textId="365975DC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e)</w:t>
      </w:r>
      <w:r w:rsidRPr="002A698C">
        <w:rPr>
          <w:rFonts w:eastAsia="SimSun" w:cs="Times New Roman"/>
          <w:szCs w:val="20"/>
        </w:rPr>
        <w:tab/>
        <w:t>Национальной стратегии и плана действий по управлению границами на 2019–2023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ы;</w:t>
      </w:r>
    </w:p>
    <w:p w14:paraId="5DB2A192" w14:textId="46F4DCBB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f)</w:t>
      </w:r>
      <w:r w:rsidRPr="002A698C">
        <w:rPr>
          <w:rFonts w:eastAsia="SimSun" w:cs="Times New Roman"/>
          <w:szCs w:val="20"/>
        </w:rPr>
        <w:tab/>
        <w:t xml:space="preserve">Национальной политики </w:t>
      </w:r>
      <w:r w:rsidRPr="00142D30">
        <w:rPr>
          <w:rFonts w:eastAsia="SimSun" w:cs="Times New Roman"/>
          <w:szCs w:val="20"/>
        </w:rPr>
        <w:t>2017</w:t>
      </w:r>
      <w:r w:rsidR="00417EC2">
        <w:rPr>
          <w:rFonts w:eastAsia="SimSun" w:cs="Times New Roman"/>
          <w:szCs w:val="20"/>
        </w:rPr>
        <w:t> год</w:t>
      </w:r>
      <w:r w:rsidRPr="00142D30">
        <w:rPr>
          <w:rFonts w:eastAsia="SimSun" w:cs="Times New Roman"/>
          <w:szCs w:val="20"/>
        </w:rPr>
        <w:t xml:space="preserve">а </w:t>
      </w:r>
      <w:r>
        <w:rPr>
          <w:rFonts w:eastAsia="SimSun" w:cs="Times New Roman"/>
          <w:szCs w:val="20"/>
        </w:rPr>
        <w:t xml:space="preserve">в области </w:t>
      </w:r>
      <w:r w:rsidRPr="002A698C">
        <w:rPr>
          <w:rFonts w:eastAsia="SimSun" w:cs="Times New Roman"/>
          <w:szCs w:val="20"/>
        </w:rPr>
        <w:t>занятости</w:t>
      </w:r>
      <w:r>
        <w:rPr>
          <w:rFonts w:eastAsia="SimSun" w:cs="Times New Roman"/>
          <w:szCs w:val="20"/>
        </w:rPr>
        <w:t>.</w:t>
      </w:r>
    </w:p>
    <w:p w14:paraId="28ED388E" w14:textId="2D11C25A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10.</w:t>
      </w:r>
      <w:r w:rsidRPr="002A698C">
        <w:rPr>
          <w:rFonts w:eastAsia="SimSun" w:cs="Times New Roman"/>
          <w:szCs w:val="20"/>
        </w:rPr>
        <w:tab/>
        <w:t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73/195. Комитет также отмечает в качестве положительного момента активное участие государства-участника в состоявшемся 31 августа и 1 сентября 2022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а региональном обзоре по Африке, в том числе путем представления добровольных материалов для внесения вклада в </w:t>
      </w:r>
      <w:r>
        <w:rPr>
          <w:rFonts w:eastAsia="SimSun" w:cs="Times New Roman"/>
          <w:szCs w:val="20"/>
        </w:rPr>
        <w:t>этот</w:t>
      </w:r>
      <w:r w:rsidRPr="002A698C">
        <w:rPr>
          <w:rFonts w:eastAsia="SimSun" w:cs="Times New Roman"/>
          <w:szCs w:val="20"/>
        </w:rPr>
        <w:t xml:space="preserve"> обзор. Комитет рекомендует государству-участнику продолжать прилагать усилия по реализации Глобального договора по миграции в рамках своих международных обязательств, содержащихся в Конвенции, учитывая, что оба международных документа сходятся в вопросе защиты прав трудящихся-мигрантов и членов их семей.</w:t>
      </w:r>
    </w:p>
    <w:p w14:paraId="2F9F633F" w14:textId="14ED7FA2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11.</w:t>
      </w:r>
      <w:r w:rsidRPr="002A698C">
        <w:rPr>
          <w:rFonts w:eastAsia="SimSun" w:cs="Times New Roman"/>
          <w:szCs w:val="20"/>
        </w:rPr>
        <w:tab/>
        <w:t>Комитет также отмечает в качестве позитивного шага направление государством-участником в 2013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у постоянного приглашения мандатариям специальных процедур Совета по правам человека.</w:t>
      </w:r>
    </w:p>
    <w:p w14:paraId="10AF428E" w14:textId="701F81CF" w:rsidR="002D4927" w:rsidRPr="002A698C" w:rsidRDefault="00AE4937" w:rsidP="002D492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sz w:val="24"/>
          <w:szCs w:val="20"/>
        </w:rPr>
      </w:pPr>
      <w:r>
        <w:rPr>
          <w:rFonts w:eastAsia="Times New Roman" w:cs="Times New Roman"/>
          <w:b/>
          <w:bCs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C.</w:t>
      </w:r>
      <w:r w:rsidR="002D4927" w:rsidRPr="002A698C">
        <w:rPr>
          <w:rFonts w:eastAsia="Times New Roman" w:cs="Times New Roman"/>
          <w:b/>
          <w:sz w:val="24"/>
          <w:szCs w:val="20"/>
        </w:rPr>
        <w:tab/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Основные вопросы, вызывающие обеспокоенность, и</w:t>
      </w:r>
      <w:r>
        <w:rPr>
          <w:rFonts w:eastAsia="Times New Roman" w:cs="Times New Roman"/>
          <w:b/>
          <w:bCs/>
          <w:sz w:val="24"/>
          <w:szCs w:val="20"/>
          <w:lang w:val="fr-CH"/>
        </w:rPr>
        <w:t> </w:t>
      </w:r>
      <w:r w:rsidR="002D4927" w:rsidRPr="002A698C">
        <w:rPr>
          <w:rFonts w:eastAsia="Times New Roman" w:cs="Times New Roman"/>
          <w:b/>
          <w:bCs/>
          <w:sz w:val="24"/>
          <w:szCs w:val="20"/>
        </w:rPr>
        <w:t>рекомендации</w:t>
      </w:r>
    </w:p>
    <w:p w14:paraId="2E98ECD2" w14:textId="385C0E7E" w:rsidR="002D4927" w:rsidRPr="002A698C" w:rsidRDefault="00AE493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="002D4927" w:rsidRPr="002A698C">
        <w:rPr>
          <w:rFonts w:eastAsia="Times New Roman" w:cs="Times New Roman"/>
          <w:b/>
          <w:bCs/>
          <w:szCs w:val="20"/>
        </w:rPr>
        <w:t>1.</w:t>
      </w:r>
      <w:r w:rsidR="002D4927" w:rsidRPr="002A698C">
        <w:rPr>
          <w:rFonts w:eastAsia="Times New Roman" w:cs="Times New Roman"/>
          <w:b/>
          <w:szCs w:val="20"/>
        </w:rPr>
        <w:tab/>
      </w:r>
      <w:r w:rsidR="002D4927" w:rsidRPr="002A698C">
        <w:rPr>
          <w:rFonts w:eastAsia="Times New Roman" w:cs="Times New Roman"/>
          <w:b/>
          <w:bCs/>
          <w:szCs w:val="20"/>
        </w:rPr>
        <w:t>Общие меры по осуществлению (ст</w:t>
      </w:r>
      <w:r w:rsidR="00131C07">
        <w:rPr>
          <w:rFonts w:eastAsia="Times New Roman" w:cs="Times New Roman"/>
          <w:b/>
          <w:bCs/>
          <w:szCs w:val="20"/>
        </w:rPr>
        <w:t>.</w:t>
      </w:r>
      <w:r w:rsidR="002D4927" w:rsidRPr="002A698C">
        <w:rPr>
          <w:rFonts w:eastAsia="Times New Roman" w:cs="Times New Roman"/>
          <w:b/>
          <w:bCs/>
          <w:szCs w:val="20"/>
        </w:rPr>
        <w:t xml:space="preserve"> 73 и 84)</w:t>
      </w:r>
    </w:p>
    <w:p w14:paraId="3BC206B6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Законодательство и его применение</w:t>
      </w:r>
    </w:p>
    <w:p w14:paraId="1D884677" w14:textId="5E3DD9C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12.</w:t>
      </w:r>
      <w:r w:rsidRPr="002A698C">
        <w:rPr>
          <w:rFonts w:eastAsia="SimSun" w:cs="Times New Roman"/>
          <w:szCs w:val="20"/>
        </w:rPr>
        <w:tab/>
        <w:t xml:space="preserve">Комитет </w:t>
      </w:r>
      <w:r>
        <w:rPr>
          <w:rFonts w:eastAsia="SimSun" w:cs="Times New Roman"/>
          <w:szCs w:val="20"/>
        </w:rPr>
        <w:t>принимает к сведению</w:t>
      </w:r>
      <w:r w:rsidRPr="002A698C">
        <w:rPr>
          <w:rFonts w:eastAsia="SimSun" w:cs="Times New Roman"/>
          <w:szCs w:val="20"/>
        </w:rPr>
        <w:t>, что в настоящее время Закон о труде находится в стадии пересмотра с учетом ключевых вопросов и положений Конвенции. Он вновь выражает озабоченность тем, что в Законе об иммиграции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а предусмотрены широкие основания, включая психические расстройства или статус несопровождаемого ребенка, для отнесения лиц к категории </w:t>
      </w:r>
      <w:r w:rsidR="00417EC2">
        <w:rPr>
          <w:rFonts w:eastAsia="SimSun" w:cs="Times New Roman"/>
          <w:szCs w:val="20"/>
        </w:rPr>
        <w:t>«</w:t>
      </w:r>
      <w:r>
        <w:rPr>
          <w:rFonts w:eastAsia="SimSun" w:cs="Times New Roman"/>
          <w:szCs w:val="20"/>
        </w:rPr>
        <w:t>незаконных</w:t>
      </w:r>
      <w:r w:rsidRPr="002A698C">
        <w:rPr>
          <w:rFonts w:eastAsia="SimSun" w:cs="Times New Roman"/>
          <w:szCs w:val="20"/>
        </w:rPr>
        <w:t xml:space="preserve">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которым будет отказано во въезде или которые подлежат депортации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0"/>
      </w:r>
      <w:r w:rsidRPr="00131C07"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и принимает к сведению объяснение, данное государством-участником в ходе интерактивного диалога, согласно которому отнесение лиц с психическими расстройствами к категории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незаконных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обосновано тем, что сотрудники иммиграционной службы иначе не имеют возможности классифицировать мигранта.</w:t>
      </w:r>
    </w:p>
    <w:p w14:paraId="10040E9D" w14:textId="07BAB718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13.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</w:t>
      </w:r>
      <w:r>
        <w:rPr>
          <w:rFonts w:eastAsia="SimSun" w:cs="Times New Roman"/>
          <w:b/>
          <w:bCs/>
          <w:szCs w:val="20"/>
        </w:rPr>
        <w:t>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1"/>
      </w:r>
      <w:r w:rsidR="00834792">
        <w:rPr>
          <w:rFonts w:eastAsia="SimSun" w:cs="Times New Roman"/>
          <w:b/>
          <w:bCs/>
          <w:szCs w:val="20"/>
        </w:rPr>
        <w:t xml:space="preserve">, </w:t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государству-участнику:</w:t>
      </w:r>
    </w:p>
    <w:p w14:paraId="06B1462D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пересмотреть законодательную базу, связанную с миграцией, включая Закон о труде, и внести в нее изменения, обеспечивающие ее полное соответствие Конвенции, принимая во внимание замечания общего порядка № 1 (2011), № 2 (2013) и № 5 (2021) Комитета, а также совместные замечания общего порядка № 3 и № 4 (2017) Комитета и № 22 и № 23 (2017) Комитета по правам ребенка;</w:t>
      </w:r>
    </w:p>
    <w:p w14:paraId="59DDD51B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 xml:space="preserve">b) </w:t>
      </w:r>
      <w:r w:rsidRPr="00AE4937">
        <w:rPr>
          <w:rFonts w:eastAsia="SimSun" w:cs="Times New Roman"/>
          <w:b/>
          <w:bCs/>
          <w:szCs w:val="20"/>
        </w:rPr>
        <w:tab/>
        <w:t>при этом гарантировать права трудящихся-мигрантов и членов их семей, в частности детей, в соответствии с Конвенцией и другими применимыми международными нормами в области прав человека, прав беженцев и гуманитарного права, включая принцип невыдворения.</w:t>
      </w:r>
    </w:p>
    <w:p w14:paraId="2E4565D2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Статьи 76 и 77</w:t>
      </w:r>
    </w:p>
    <w:p w14:paraId="375FEA2E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14.</w:t>
      </w:r>
      <w:r w:rsidRPr="002A698C">
        <w:rPr>
          <w:rFonts w:eastAsia="SimSun" w:cs="Times New Roman"/>
          <w:szCs w:val="20"/>
        </w:rPr>
        <w:tab/>
        <w:t>Комитет отмечает, что государство-участник рассматривает возможность сделать заявление, в соответствии со статьей 76 Конвенции.</w:t>
      </w:r>
    </w:p>
    <w:p w14:paraId="75A7A5B9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15.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2"/>
      </w:r>
      <w:r w:rsidRPr="00131C07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рекомендует государству-участнику сделать предусмотренные в статьях 76 и 77 Конвенции заявления о признании компетенции Комитета получать и рассматривать сообщения от государств-участников и отдельных лиц о нарушении закрепленных в Конвенции прав.</w:t>
      </w:r>
    </w:p>
    <w:p w14:paraId="3B8DA132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Ратификация соответствующих договоров</w:t>
      </w:r>
    </w:p>
    <w:p w14:paraId="436DBFB9" w14:textId="0567FDFD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16.</w:t>
      </w:r>
      <w:r w:rsidRPr="002A698C">
        <w:rPr>
          <w:rFonts w:eastAsia="SimSun" w:cs="Times New Roman"/>
          <w:szCs w:val="20"/>
        </w:rPr>
        <w:tab/>
        <w:t>Комитет приветствует тот факт, что только за последний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 государство-участник ратифицировало три конвенции МОТ (см. пункт 8 выше).</w:t>
      </w:r>
    </w:p>
    <w:p w14:paraId="6460FDC3" w14:textId="2454C00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3"/>
      </w:r>
      <w:r w:rsidRPr="0016657A">
        <w:rPr>
          <w:rFonts w:eastAsia="SimSun" w:cs="Times New Roman"/>
          <w:b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рекомендует государству-участнику как можно скорее ратифицировать Конвенцию МОТ 1988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 о безопасности и гигиене труда в строительстве (№ 167) и Конвенцию МОТ 2011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 о достойном труде домашних работников (№</w:t>
      </w:r>
      <w:r w:rsidR="0016657A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189) или присоединиться к ним.</w:t>
      </w:r>
    </w:p>
    <w:p w14:paraId="77F40EB5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Комплексная политика и стратегия</w:t>
      </w:r>
    </w:p>
    <w:p w14:paraId="68E53308" w14:textId="335AD37F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18.</w:t>
      </w:r>
      <w:r w:rsidRPr="002A698C">
        <w:rPr>
          <w:rFonts w:eastAsia="SimSun" w:cs="Times New Roman"/>
          <w:szCs w:val="20"/>
        </w:rPr>
        <w:tab/>
        <w:t>Комитет отмечает, что государство-участник реализует ряд отраслевых политик и стратегий, связанных с миграцией, таких как Национальная стратегия по управлению границами на 2019–2023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ы; Национальная визовая политика 2020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а; Национальная миграционная политика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которая в настоящее время находится на стадии пересмотра; и Национальная политика в области трудовой миграции. Вместе с тем Комитет обеспокоен отсутствием комплексной национальной стратегии в области миграции, включающей вопросы трудовой миграции, а также тем, что до сих пор не выделены бюджетные ассигнования на реализацию Федеральным министерством труда и занятости Национальной политики в области трудовой миграции в соответствии с Конвенцией.</w:t>
      </w:r>
    </w:p>
    <w:p w14:paraId="3BE3AEB8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19.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4"/>
      </w:r>
      <w:r w:rsidRPr="001A2DCD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рекомендует государству-участнику принять единую и всеобъемлющую национальную стратегию в области миграции, а также рекомендует государству-участнику:</w:t>
      </w:r>
    </w:p>
    <w:p w14:paraId="28B2A981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акцент в стратегии делался на осуществлении Конвенции и чтобы она предусматривала проведение комплексной миграционной политики, учитывающей гендерные аспекты, интересы детей и права человека, в частности права иностранных трудящихся-мигрантов и членов их семей;</w:t>
      </w:r>
    </w:p>
    <w:p w14:paraId="691D797A" w14:textId="623E5CA5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принять эффективные меры, с четко установленными сроками, показателями и контрольными параметрами мониторинга и оценки, для осуществления этой стратегии, обеспечить выделение достаточных людских, технических и финансовых ресурсов для ее реализации и включить в свой следующий периодический доклад подкрепленную статистическими данными информацию о достигнутых результатах и возникших трудностях</w:t>
      </w:r>
      <w:r w:rsidR="00AE4937" w:rsidRPr="00AE4937">
        <w:rPr>
          <w:rFonts w:eastAsia="SimSun" w:cs="Times New Roman"/>
          <w:b/>
          <w:bCs/>
          <w:szCs w:val="20"/>
        </w:rPr>
        <w:t>.</w:t>
      </w:r>
    </w:p>
    <w:p w14:paraId="2ACA1F54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Координация</w:t>
      </w:r>
    </w:p>
    <w:p w14:paraId="2720A379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20.</w:t>
      </w:r>
      <w:r w:rsidRPr="002A698C">
        <w:rPr>
          <w:rFonts w:eastAsia="SimSun" w:cs="Times New Roman"/>
          <w:szCs w:val="20"/>
        </w:rPr>
        <w:tab/>
        <w:t>Комитет принимает к сведению, что координация вопросов, связанных с миграцией, возложена на Национальную комиссию по делам беженцев, мигрантов и вынужденных переселенцев, находящуюся в ведении Федерального министерства по гуманитарным вопросам, ликвидации последствий стихийных бедствий и социальному развитию; что Иммиграционная служба Нигерии при Министерстве внутренних дел является координационным органом по управлению границами; что управление и координация трудовой миграции осуществляются Отделом международной трудовой миграции Федерального министерства труда и занятости при поддержке консультативных и технических рабочих комитетов, в состав которых входят представители ряда министерств, ведомств и агентств, социальные партнеры, Национальная комиссия по правам человека и организации гражданского общества. Комитет с обеспокоенностью отмечает институциональную и структурную раздробленность усилий государства-участника по координации деятельности в области миграции.</w:t>
      </w:r>
    </w:p>
    <w:p w14:paraId="2A2C1726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5"/>
      </w:r>
      <w:r w:rsidRPr="00AB3C9D">
        <w:rPr>
          <w:rFonts w:eastAsia="SimSun" w:cs="Times New Roman"/>
          <w:b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7880DD80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определить или учредить соответствующий постоянный орган высокого межведомственного уровня с четким мандатом и достаточными полномочиями для координации всех мероприятий для эффективного осуществления защищаемых в рамках Конвенции прав на межведомственном, федеральном, государственном и муниципальном уровнях;</w:t>
      </w:r>
    </w:p>
    <w:p w14:paraId="02BE6965" w14:textId="250F128D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обеспечить указанный координационный орган необходимыми кадровыми, техническими и финансовыми ресурсами для его эффективной и стабильной работы, привлечь Национальную комиссию по правам человека и организации гражданского общества, в частности организации мигрантов, к</w:t>
      </w:r>
      <w:r w:rsidR="007F6EBE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выполнению его мандата, а также включить в следующий периодический доклад государства-участника подкрепленную статистическими данными информацию о достигнутых результатах.</w:t>
      </w:r>
    </w:p>
    <w:p w14:paraId="5DDDFEC3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Сбор данных и право на неприкосновенность частной жизни</w:t>
      </w:r>
    </w:p>
    <w:p w14:paraId="28836C17" w14:textId="4E476FB5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22.</w:t>
      </w:r>
      <w:r w:rsidRPr="002A698C">
        <w:rPr>
          <w:rFonts w:eastAsia="SimSun" w:cs="Times New Roman"/>
          <w:szCs w:val="20"/>
        </w:rPr>
        <w:tab/>
        <w:t>Комитет отмечает постоянные усилия государства-участника, в частности в рамках стратегии управления данными Рабочей группы по миграции, по совершенствованию сбора и дезагрегации данных о миграции Национальной комиссией по народонаселению, Национальным бюро статистики и Иммиграционной службой Нигерии, в том числе путем разработки в сотрудничестве с Международной организацией по миграции (МОМ) Национального миграционного веб-портала и создания Информационной системы рынка труда. Однако Комитет по-прежнему обеспокоен отсутствием дезагрегированных данных и статистики, которые могли бы служить более эффективной основой для миграционной политики и принятия решений, в том числе отсутствием статистических данных об условиях найма трудящихся-мигрантов, а также о женщинах-мигрантах, детях-мигрантах, мигрантах с неурегулированным статусом и нигерийской диаспоре.</w:t>
      </w:r>
    </w:p>
    <w:p w14:paraId="54D67264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6"/>
      </w:r>
      <w:r w:rsidRPr="007F6EBE">
        <w:rPr>
          <w:rFonts w:eastAsia="SimSun" w:cs="Times New Roman"/>
          <w:b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41EF3D78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ускорить создание, в соответствии с задачей 17.18 целей в области устойчивого развития и целью 1 Глобального договора о безопасной, упорядоченной и регулярной миграции и в сотрудничестве с Африканской миграционной обсерваторией, охватывающей все аспекты Конвенции системы сбора данных о положении трудящихся-мигрантов и членов их семей в государстве-участнике, особенно тех, чей статус не урегулирован;</w:t>
      </w:r>
    </w:p>
    <w:p w14:paraId="121607F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предоставить общедоступные статистические данные об иностранных трудящихся-мигрантах, как с урегулированным, так и с неурегулированным статусом, и трудящихся-мигрантах, находящихся в процессе транзита, и членах их семей, гражданах, работающих за рубежом, и условиях их занятости, возвращенцах, детях, мигрирующих за рубеж, включая несопровождаемых детей, а также оставшихся в государстве-участнике супругах и детях трудящихся-мигрантов для эффективного продвижения миграционной политики, основанной на соблюдении прав человека;</w:t>
      </w:r>
    </w:p>
    <w:p w14:paraId="723BC992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применять при сборе данных учитывающий гендерные аспекты, интересы детей и права человека подход и обеспечивать защиту прав на неприкосновенность частной жизни, личную информацию и защиту данных трудящихся-мигрантов и членов их семей, в том числе путем создания соответствующих систем защиты и ограничения доступа, чтобы личные данные не использовались для миграционного контроля или для дискриминации в государственных и частных службах;</w:t>
      </w:r>
    </w:p>
    <w:p w14:paraId="7AB0CD23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включить в такую систему информацию о положении всех трудящихся-мигрантов и членов их семей, для которых Нигерия является страной происхождения, транзита, назначения или возвращения, и собирать статистические данные в разбивке в том числе по полу, возрасту, гражданству, причинам въезда в страну и выезда из нее, типу выполняемой работы, категории, к которой относится трудящийся-мигрант, этническому происхождению, миграционному статусу и статусу инвалидности;</w:t>
      </w:r>
    </w:p>
    <w:p w14:paraId="6BBAB58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e)</w:t>
      </w:r>
      <w:r w:rsidRPr="00AE4937">
        <w:rPr>
          <w:rFonts w:eastAsia="SimSun" w:cs="Times New Roman"/>
          <w:b/>
          <w:bCs/>
          <w:szCs w:val="20"/>
        </w:rPr>
        <w:tab/>
        <w:t>обеспечить координацию, интеграцию и распространение таких данных и разработать показатели для оценки прогресса и результатов политики и программ, основанных на таких данных;</w:t>
      </w:r>
    </w:p>
    <w:p w14:paraId="74D28841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f)</w:t>
      </w:r>
      <w:r w:rsidRPr="00AE4937">
        <w:rPr>
          <w:rFonts w:eastAsia="SimSun" w:cs="Times New Roman"/>
          <w:b/>
          <w:bCs/>
          <w:szCs w:val="20"/>
        </w:rPr>
        <w:tab/>
        <w:t>если невозможно получить точные сведения, например такие, как информация о трудящихся-мигрантах с неурегулированным статусом, представить в своем следующем периодическом докладе данные, основанные на проведенных исследованиях или предварительных оценках.</w:t>
      </w:r>
    </w:p>
    <w:p w14:paraId="4BC216D4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Независимый мониторинг</w:t>
      </w:r>
    </w:p>
    <w:p w14:paraId="6FF2AE89" w14:textId="449BED75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24.</w:t>
      </w:r>
      <w:r w:rsidRPr="002A698C">
        <w:rPr>
          <w:rFonts w:eastAsia="SimSun" w:cs="Times New Roman"/>
          <w:szCs w:val="20"/>
        </w:rPr>
        <w:tab/>
        <w:t>Комитет с удовлетворением отмечает состоявшуюся в 2011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у повторную аккредитацию Национальной комиссии по правам человека со статусом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А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и наличие у нее мандата на получение и имеющее обязательную силу рассмотрение жалоб мигрантов, а также ее партнерство с Иммиграционной службой Нигерии. Вместе с тем Комитет выражает сожаление по поводу отсутствия информации, в частности от самой Комиссии, о ее деятельности по эффективному поощрению и защите прав трудящихся-мигрантов и членов их семей в соответствии с Конвенцией, а также в связи с сообщениями о том, что Комиссия не располагает достаточными кадровыми, техническими и финансовыми ресурсами для эффективного осуществления своей деятельности.</w:t>
      </w:r>
    </w:p>
    <w:p w14:paraId="4C1EB0B6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7"/>
      </w:r>
      <w:r w:rsidRPr="00F93040">
        <w:rPr>
          <w:rFonts w:eastAsia="SimSun" w:cs="Times New Roman"/>
          <w:b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506E022B" w14:textId="0C7A0423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обеспечить скорейшее введение в действие закона 2022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 о Национальной комиссии по правам человека, чтобы предоставить Национальной комиссии по правам человека достаточные кадровые, технические и финансовые ресурсы для эффективного выполнения ею своего мандата по поощрению и защите прав трудящихся-мигрантов и членов их семей согласно Конвенции 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 w:rsidR="00AB6A74">
        <w:rPr>
          <w:rFonts w:eastAsia="SimSun" w:cs="Times New Roman"/>
          <w:b/>
          <w:bCs/>
          <w:szCs w:val="20"/>
        </w:rPr>
        <w:t>;</w:t>
      </w:r>
    </w:p>
    <w:p w14:paraId="27561379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включить в свой следующий периодический доклад соответствующую подкрепленную статистическими данными информацию о своей деятельности и полученных результатах, в том числе о жалобах, полученных от трудящихся-мигрантов и членов их семей.</w:t>
      </w:r>
    </w:p>
    <w:p w14:paraId="2C35D95B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Обучение и распространение информации в отношении Конвенции, а также участие гражданского общества</w:t>
      </w:r>
    </w:p>
    <w:p w14:paraId="28E04E14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26.</w:t>
      </w:r>
      <w:r w:rsidRPr="002A698C">
        <w:rPr>
          <w:rFonts w:eastAsia="SimSun" w:cs="Times New Roman"/>
          <w:szCs w:val="20"/>
        </w:rPr>
        <w:tab/>
        <w:t>Комитет принимает к сведению представленную информацию об инициативах по обучению и повышению осведомленности о международных правах человека в целом, проводимых Национальной комиссией по правам человека, и об инициативах правительства, включая Иммиграционную службу Нигерии, по обучению и укреплению потенциала в отношении Конвенции, предоставляемых сотрудникам правоохранительных и других органов, частично в сотрудничестве с международными и региональными организациями, а также об участии гражданского общества в работе различных государственных механизмов по выполнению Конвенции и подготовке ответов на перечень вопросов, препровожденный до представления доклада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8"/>
      </w:r>
      <w:r w:rsidRPr="00692426">
        <w:rPr>
          <w:rFonts w:eastAsia="SimSun" w:cs="Times New Roman"/>
          <w:szCs w:val="20"/>
        </w:rPr>
        <w:t>.</w:t>
      </w:r>
      <w:r w:rsidRPr="002A698C">
        <w:rPr>
          <w:rFonts w:eastAsia="SimSun" w:cs="Times New Roman"/>
          <w:szCs w:val="20"/>
        </w:rPr>
        <w:t xml:space="preserve"> Тем не менее Комитет обеспокоен недостаточно широким распространением Конвенции и информации о ней среди всех сообществ трудящихся-мигрантов и тем, что в учебных программах недостаточно внимания уделяется закрепленным в ней правам, а также тем, что он не получил никакой информации от организаций гражданского общества в рамках </w:t>
      </w:r>
      <w:r>
        <w:rPr>
          <w:rFonts w:eastAsia="SimSun" w:cs="Times New Roman"/>
          <w:szCs w:val="20"/>
        </w:rPr>
        <w:t xml:space="preserve">проведения </w:t>
      </w:r>
      <w:r w:rsidRPr="002A698C">
        <w:rPr>
          <w:rFonts w:eastAsia="SimSun" w:cs="Times New Roman"/>
          <w:szCs w:val="20"/>
        </w:rPr>
        <w:t>настоящего обзора доклада государства-участника.</w:t>
      </w:r>
    </w:p>
    <w:p w14:paraId="40201CD3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27.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19"/>
      </w:r>
      <w:r w:rsidRPr="00B968E7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рекомендует государству-участнику:</w:t>
      </w:r>
    </w:p>
    <w:p w14:paraId="2AFE900A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разработать и улучшить образовательные и учебные программы, посвященные предусмотренным Конвенцией правам трудящихся-мигрантов и членов их семей, и предоставить доступ к таким программам всем лицам, работающим в области миграции, в частности сотрудникам правоохранительных органов и пограничных служб, судьям, прокурорам, инспекторам по труду, консульским работникам, должностным лицам федерального уровня, государственного и муниципального уровня, социальным работникам и представителям организаций гражданского общества, включая организации мигрантов;</w:t>
      </w:r>
    </w:p>
    <w:p w14:paraId="02E88AC1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предпринять дополнительные шаги по обеспечению доступа трудящихся-мигрантов к информации и консультативной помощи в отношении их прав по Конвенции на всех языках, обычно используемых в государстве-участнике, укрепить диалог в этом отношении со средствами массовой информации и организациями гражданского общества, включая организации мигрантов и организации, обслуживающие мигрантов и нигерийскую диаспору, и продолжать консультироваться с последними при подготовке своих периодических докладов;</w:t>
      </w:r>
    </w:p>
    <w:p w14:paraId="2E1FCDA7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обеспечить эффективное и независимое участие гражданского общества в осуществлении Конвенции и рекомендаций, содержащихся в настоящих заключительных замечаниях, и мониторинге этого процесса;</w:t>
      </w:r>
    </w:p>
    <w:p w14:paraId="15215AB6" w14:textId="1A7AFC08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 w:val="18"/>
          <w:szCs w:val="20"/>
          <w:vertAlign w:val="superscript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рассмотреть возможность создания комплексного механизма по реализации настоящих заключительных замечаний и привлечь к работе этого механизма Национальную комиссию по правам человека и неправительственные организации, в частности организации мигрантов, с</w:t>
      </w:r>
      <w:r w:rsidR="00B968E7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учетом четырех ключевых возможностей национального механизма по отчетности и последующим действиям, а именно: вовлечения, координации, консультирования и управления информацией</w:t>
      </w:r>
      <w:r w:rsidRPr="00417EC2">
        <w:rPr>
          <w:rFonts w:eastAsia="SimSun" w:cs="Times New Roman"/>
          <w:bCs/>
          <w:sz w:val="18"/>
          <w:szCs w:val="20"/>
          <w:vertAlign w:val="superscript"/>
        </w:rPr>
        <w:footnoteReference w:id="20"/>
      </w:r>
      <w:r w:rsidRPr="00B968E7">
        <w:rPr>
          <w:rFonts w:eastAsia="SimSun" w:cs="Times New Roman"/>
          <w:b/>
          <w:szCs w:val="20"/>
        </w:rPr>
        <w:t>.</w:t>
      </w:r>
    </w:p>
    <w:p w14:paraId="3BA1B6D5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Коррупция</w:t>
      </w:r>
    </w:p>
    <w:p w14:paraId="45EFE47E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28.</w:t>
      </w:r>
      <w:r w:rsidRPr="002A698C">
        <w:rPr>
          <w:rFonts w:eastAsia="SimSun" w:cs="Times New Roman"/>
          <w:szCs w:val="20"/>
        </w:rPr>
        <w:tab/>
        <w:t>Комитет отмечает подтверждение государством-участником в ходе интерактивного диалога факта сохранения коррупции среди должностных лиц, имеющих обязанности в отношении к Конвенции, а также меры, принятые для того, чтобы свести это явление к минимуму. Он обеспокоен сообщениями о том, что трудящиеся-мигранты и члены их семей становятся жертвами коррупции со стороны сотрудников иммиграционной службы, пограничников и сотрудников правоохранительных органов, в том числе утверждениями о соучастии государственных чиновников в преступлениях, связанных с торговлей людьми.</w:t>
      </w:r>
    </w:p>
    <w:p w14:paraId="1F1D8AD2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29.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1"/>
      </w:r>
      <w:r w:rsidRPr="00970ADE">
        <w:rPr>
          <w:rFonts w:eastAsia="SimSun" w:cs="Times New Roman"/>
          <w:b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4B6353FC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тщательно расследовать все случаи коррупции, включая все случаи сговора и соучастия в незаконном ввозе и торговле людьми, а также вымогательства, и принимать соответствующие превентивные и карательные меры, включая в надлежащих случаях увольнение государственных служащих;</w:t>
      </w:r>
    </w:p>
    <w:p w14:paraId="3C99BF2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создать безопасные, учитывающие гендерные аспекты механизмы защиты заявителей от репрессий;</w:t>
      </w:r>
    </w:p>
    <w:p w14:paraId="7146A4B0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проводить информационно-просветительские кампании с целью побудить трудовых мигрантов и членов их семей, которые утверждают, что стали жертвами коррупции, сообщать об этом;</w:t>
      </w:r>
    </w:p>
    <w:p w14:paraId="3E28E142" w14:textId="5A8975E4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представить в следующем периодическом докладе информацию о принятых мерах, в том числе определенных в Национальной миграционной политике 2015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 и в рамках взятых на себя государством-участником обязательств в ходе универсального периодического обзора</w:t>
      </w:r>
      <w:r w:rsidRPr="00417EC2">
        <w:rPr>
          <w:rFonts w:eastAsia="SimSun" w:cs="Times New Roman"/>
          <w:bCs/>
          <w:sz w:val="18"/>
          <w:szCs w:val="20"/>
          <w:vertAlign w:val="superscript"/>
        </w:rPr>
        <w:footnoteReference w:id="22"/>
      </w:r>
      <w:r w:rsidRPr="00970ADE">
        <w:rPr>
          <w:rFonts w:eastAsia="SimSun" w:cs="Times New Roman"/>
          <w:b/>
          <w:szCs w:val="20"/>
        </w:rPr>
        <w:t>,</w:t>
      </w:r>
      <w:r w:rsidRPr="00AE4937">
        <w:rPr>
          <w:rFonts w:eastAsia="SimSun" w:cs="Times New Roman"/>
          <w:b/>
          <w:bCs/>
          <w:szCs w:val="20"/>
        </w:rPr>
        <w:t xml:space="preserve"> для предотвращения коррупции среди должностных лиц, имеющих обязанности в отношении к Конвенции, включая статистическую информацию о расследованиях и санкциях.</w:t>
      </w:r>
    </w:p>
    <w:p w14:paraId="41567B6A" w14:textId="1543AB9C" w:rsidR="002D4927" w:rsidRPr="00CB016D" w:rsidRDefault="00AE493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="002D4927" w:rsidRPr="00CB016D">
        <w:rPr>
          <w:rFonts w:eastAsia="Times New Roman" w:cs="Times New Roman"/>
          <w:b/>
          <w:bCs/>
          <w:color w:val="000000" w:themeColor="text1"/>
          <w:szCs w:val="20"/>
        </w:rPr>
        <w:t>2.</w:t>
      </w:r>
      <w:r w:rsidR="002D4927" w:rsidRPr="00CB016D">
        <w:rPr>
          <w:rFonts w:eastAsia="Times New Roman" w:cs="Times New Roman"/>
          <w:b/>
          <w:color w:val="000000" w:themeColor="text1"/>
          <w:szCs w:val="20"/>
        </w:rPr>
        <w:tab/>
      </w:r>
      <w:r w:rsidR="002D4927" w:rsidRPr="00CB016D">
        <w:rPr>
          <w:rFonts w:eastAsia="Times New Roman" w:cs="Times New Roman"/>
          <w:b/>
          <w:bCs/>
          <w:color w:val="000000" w:themeColor="text1"/>
          <w:szCs w:val="20"/>
        </w:rPr>
        <w:t>Общие принципы</w:t>
      </w:r>
      <w:r w:rsidR="00CB016D" w:rsidRPr="00CB016D">
        <w:rPr>
          <w:rFonts w:eastAsia="Times New Roman" w:cs="Times New Roman"/>
          <w:b/>
          <w:bCs/>
          <w:color w:val="000000" w:themeColor="text1"/>
          <w:szCs w:val="20"/>
        </w:rPr>
        <w:t xml:space="preserve"> (с</w:t>
      </w:r>
      <w:r w:rsidR="00CB016D">
        <w:rPr>
          <w:rFonts w:eastAsia="Times New Roman" w:cs="Times New Roman"/>
          <w:b/>
          <w:bCs/>
          <w:color w:val="000000" w:themeColor="text1"/>
          <w:szCs w:val="20"/>
        </w:rPr>
        <w:t>т</w:t>
      </w:r>
      <w:r w:rsidR="00131C07">
        <w:rPr>
          <w:rFonts w:eastAsia="Times New Roman" w:cs="Times New Roman"/>
          <w:b/>
          <w:bCs/>
          <w:color w:val="000000" w:themeColor="text1"/>
          <w:szCs w:val="20"/>
        </w:rPr>
        <w:t>.</w:t>
      </w:r>
      <w:r w:rsidR="00CB016D" w:rsidRPr="00CB016D">
        <w:rPr>
          <w:rFonts w:eastAsia="Times New Roman" w:cs="Times New Roman"/>
          <w:b/>
          <w:bCs/>
          <w:color w:val="000000" w:themeColor="text1"/>
          <w:szCs w:val="20"/>
        </w:rPr>
        <w:t xml:space="preserve"> 7 и 83)</w:t>
      </w:r>
    </w:p>
    <w:p w14:paraId="2DC9749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Недискриминация</w:t>
      </w:r>
    </w:p>
    <w:p w14:paraId="24899719" w14:textId="0343EDC3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30.</w:t>
      </w:r>
      <w:r w:rsidRPr="002A698C">
        <w:rPr>
          <w:rFonts w:eastAsia="SimSun" w:cs="Times New Roman"/>
          <w:szCs w:val="20"/>
        </w:rPr>
        <w:tab/>
        <w:t>Комитет приветствует тот факт, что Национальная миграционная политика и Национальная политика в области трудовой миграции поддерживают принципы равного отношения и недискриминации и направлены на защиту трудящихся-мигрантов и членов их семей, независимо от их миграционного статуса, от расизма, дискриминации, ксенофобии и связанной с ними нетерпимости. Однако Комитет по</w:t>
      </w:r>
      <w:r w:rsidR="00651D9B">
        <w:rPr>
          <w:rFonts w:eastAsia="SimSun" w:cs="Times New Roman"/>
          <w:szCs w:val="20"/>
        </w:rPr>
        <w:noBreakHyphen/>
      </w:r>
      <w:r w:rsidRPr="002A698C">
        <w:rPr>
          <w:rFonts w:eastAsia="SimSun" w:cs="Times New Roman"/>
          <w:szCs w:val="20"/>
        </w:rPr>
        <w:t>прежнему обеспокоен тем, что национальное законодательство не охватывает все запрещенные основания для дискриминации, перечисленные в пункте 1 статьи 1 и статье 7 Конвенции, и в частности тем, что право на свободу от дискриминации, закрепленное в статье 42 Конституции, распространяется только на граждан.</w:t>
      </w:r>
    </w:p>
    <w:p w14:paraId="4D766B4E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31.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3"/>
      </w:r>
      <w:r w:rsidRPr="00131C07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52FF6547" w14:textId="506133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углубить свои законодательные и политические меры для обеспечения того, чтобы все трудящиеся-мигранты и члены их семей на территории страны или под ее юрисдикцией могли, независимо от их статуса, без дискриминации пользоваться правами, признаваемыми в Конвенции, в</w:t>
      </w:r>
      <w:r w:rsidR="00634646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соответствии с ее статьей 7, в том числе путем рассмотрения вопроса о внесении соответствующей поправки в Конституцию и скорейшего принятия Закона о трудовых стандартах;</w:t>
      </w:r>
    </w:p>
    <w:p w14:paraId="2ADD3BBF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повышать уровень осведомленности всех соответствующих заинтересованных сторон, в частности официальных лиц, ответственных за выполнение конвенции, и широкой общественности, о правах всех трудящихся-мигрантов и членов их семей, а также о необходимости ликвидировать дискриминацию в их отношении и бороться с социальной стигматизацией;</w:t>
      </w:r>
    </w:p>
    <w:p w14:paraId="0449D7E5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представить в своем следующем периодическом докладе информацию о мерах, принятых в целях совершенствования и осуществления законодательных рамок по недопущению дискриминации в отношении прав трудящихся-мигрантов и членов их семей, независимо от их миграционного статуса.</w:t>
      </w:r>
    </w:p>
    <w:p w14:paraId="1FEC26F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Право на эффективное средство правовой защиты</w:t>
      </w:r>
    </w:p>
    <w:p w14:paraId="419E8840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32.</w:t>
      </w:r>
      <w:r w:rsidRPr="002A698C">
        <w:rPr>
          <w:rFonts w:eastAsia="SimSun" w:cs="Times New Roman"/>
          <w:szCs w:val="20"/>
        </w:rPr>
        <w:tab/>
        <w:t>Комитет принимает к сведению представленную информацию о том, что Министерство труда и занятости располагает механизмами административного посредничества и примирения, а судебные механизмы включают в себя Промышленную арбитражную комиссию и Национальный промышленный суд Нигерии, в дополнение к механизму подачи жалоб в Национальную комиссию по правам человека. Однако Комитет обеспокоен тем, что не было представлено никакой информации о дополнительных механизмах подачи жалоб, связанных с миграцией, таких как Комиссия по рассмотрению жалоб населения при Омбудсмене, о том, доступны ли эти механизмы для трудящихся-мигрантов с неурегулированным статусом, а также о количестве, видах и результатах рассмотрения жалоб, поданных в рамках этих механизмов трудящимися-мигрантами и членами их семей, что может отражать недостаточную информированность этих лиц о своих правах и о доступных им средствах правовой защиты.</w:t>
      </w:r>
    </w:p>
    <w:p w14:paraId="79DDC887" w14:textId="41B4F381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33.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="00965240" w:rsidRPr="00417EC2">
        <w:rPr>
          <w:rFonts w:eastAsia="SimSun" w:cs="Times New Roman"/>
          <w:sz w:val="18"/>
          <w:szCs w:val="20"/>
          <w:vertAlign w:val="superscript"/>
        </w:rPr>
        <w:footnoteReference w:id="24"/>
      </w:r>
      <w:r w:rsidRPr="002A698C">
        <w:rPr>
          <w:rFonts w:eastAsia="SimSun" w:cs="Times New Roman"/>
          <w:b/>
          <w:bCs/>
          <w:szCs w:val="20"/>
        </w:rPr>
        <w:t>, Комитет рекомендует государству-участнику</w:t>
      </w:r>
      <w:r w:rsidRPr="00965240">
        <w:rPr>
          <w:rFonts w:eastAsia="SimSun" w:cs="Times New Roman"/>
          <w:bCs/>
          <w:szCs w:val="20"/>
        </w:rPr>
        <w:t>:</w:t>
      </w:r>
    </w:p>
    <w:p w14:paraId="4C62D59C" w14:textId="11823C6A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трудящиеся-мигранты и члены их семей, в том числе с неурегулированным статусом, в случаях нарушения их прав по Конвенции имели на практике равные с гражданами государства-участника возможности подавать в суды жалобы и добиваться эффективного возмещения в рамках процедур административного и формального урегулирования, в</w:t>
      </w:r>
      <w:r w:rsidR="00965240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частности путем устранения препятствий на пути доступа мигрантов с неурегулированным статусом к правосудию, включая передвижное правосудие, независимо от того, где находятся они или члены их семей;</w:t>
      </w:r>
    </w:p>
    <w:p w14:paraId="06A9912D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юридическая помощь предоставлялась на основе принципа недискриминации и была на практике легкодоступной и бесплатной;</w:t>
      </w:r>
    </w:p>
    <w:p w14:paraId="3233141C" w14:textId="5D67E4E6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активизировать усилия по информированию трудящихся-мигрантов и членов их семей, в том числе с неурегулированным статусом, об имеющихся в их распоряжении судебных и других средствах правовой защиты, в</w:t>
      </w:r>
      <w:r w:rsidR="00965240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том числе пользуясь поддержкой международных организаций в проведении информационно-просветительских мероприятий;</w:t>
      </w:r>
    </w:p>
    <w:p w14:paraId="6C9748D1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предоставить в своем следующем периодическом докладе подкрепленную статистическими данными подробную информацию об административных и юридических средствах правовой защиты, доступных для трудящихся-мигрантов и членов их семей.</w:t>
      </w:r>
    </w:p>
    <w:p w14:paraId="02D1612E" w14:textId="22510A04" w:rsidR="002D4927" w:rsidRPr="002A698C" w:rsidRDefault="00AE493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="002D4927" w:rsidRPr="002A698C">
        <w:rPr>
          <w:rFonts w:eastAsia="Times New Roman" w:cs="Times New Roman"/>
          <w:b/>
          <w:bCs/>
          <w:szCs w:val="20"/>
        </w:rPr>
        <w:t>3.</w:t>
      </w:r>
      <w:r w:rsidR="002D4927" w:rsidRPr="002A698C">
        <w:rPr>
          <w:rFonts w:eastAsia="Times New Roman" w:cs="Times New Roman"/>
          <w:b/>
          <w:szCs w:val="20"/>
        </w:rPr>
        <w:tab/>
      </w:r>
      <w:r w:rsidR="002D4927" w:rsidRPr="002A698C">
        <w:rPr>
          <w:rFonts w:eastAsia="Times New Roman" w:cs="Times New Roman"/>
          <w:b/>
          <w:bCs/>
          <w:szCs w:val="20"/>
        </w:rPr>
        <w:t>Права человека всех трудящихся-мигрантов и членов их семей (ст. 8–35)</w:t>
      </w:r>
    </w:p>
    <w:p w14:paraId="3589E0E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Защита от насилия, телесных повреждений, угроз и запугивания</w:t>
      </w:r>
    </w:p>
    <w:p w14:paraId="0584CFF1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34.</w:t>
      </w:r>
      <w:r w:rsidRPr="002A698C">
        <w:rPr>
          <w:rFonts w:eastAsia="SimSun" w:cs="Times New Roman"/>
          <w:szCs w:val="20"/>
        </w:rPr>
        <w:tab/>
        <w:t>Комитет приветствует тот факт, что Национальная политика в области трудовой миграции направлена на расширение возможностей дипломатических представительств государства-участника по оказанию помощи находящимся за рубежом нигерийским трудящимся-мигрантам и членам их семей, ставшим жертвами эксплуатации, жестокого обращения или других форм насилия. Тем не менее он выражает глубокую обеспокоенность:</w:t>
      </w:r>
    </w:p>
    <w:p w14:paraId="5329FD82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a)</w:t>
      </w:r>
      <w:r w:rsidRPr="002A698C">
        <w:rPr>
          <w:rFonts w:eastAsia="SimSun" w:cs="Times New Roman"/>
          <w:szCs w:val="20"/>
        </w:rPr>
        <w:tab/>
        <w:t>по поводу влияния, которое террористические акты и общая ситуация в области безопасности и гуманитарная ситуация могут оказать на полную реализацию прав человека трудящихся-мигрантов и членов их семей на части территории государства-участника, в частности на являющихся мигрантами женщин и детей, и о том, что мигрантов часто ошибочно обвиняют в связях с террористическими группами, отмечая при этом предоставленное объяснение, касающееся того, что Иммиграционная служба Нигерии не зарегистрировала ни одного теракта, затрагивающего мигрантов, и сожалея об отсутствии информации о влиянии антитеррористических и других мер безопасности на права человека трудящихся-мигрантов и членов их семей, в том числе вследствие их внутреннего перемещения на территории государства-участника;</w:t>
      </w:r>
    </w:p>
    <w:p w14:paraId="0CEF3D78" w14:textId="55CCB881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b)</w:t>
      </w:r>
      <w:r w:rsidRPr="002A698C">
        <w:rPr>
          <w:rFonts w:eastAsia="SimSun" w:cs="Times New Roman"/>
          <w:szCs w:val="20"/>
        </w:rPr>
        <w:tab/>
        <w:t>по поводу преследования лесбиянок, геев, бисексуалов, трансгендеров и интерсексуалов в соответствии с Уголовным кодексом Нигерии и Законом о запрете однополых браков 2014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которые предусматривают уголовное наказание в виде лишения свободы на срок до 15 лет и смертную казнь в шариатских судах.</w:t>
      </w:r>
    </w:p>
    <w:p w14:paraId="5115E4E2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государству-участнику:</w:t>
      </w:r>
    </w:p>
    <w:p w14:paraId="4FFA8618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активизировать усилия по предотвращению насилия в отношении мигрантов, уделяя особое внимание уязвимым группам мигрантов, обеспечить их защиту от конфликтов, недостатка безопасности и преступности, а также в соответствии с Конвенцией осуществлять тщательное расследование таких случаев, преследование и наказание виновных соразмерно тяжести совершенных преступлений;</w:t>
      </w:r>
    </w:p>
    <w:p w14:paraId="58F7384F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принять меры, гарантирующие, что применение силы в ходе операций, касающихся миграции и обеспечения безопасности, регулируется принципами законности, крайней необходимости и пропорциональности и преследует законную цель;</w:t>
      </w:r>
    </w:p>
    <w:p w14:paraId="1F3816A1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обеспечить выявление и направление мигрантов, переживших такие акты, в соответствующие учитывающие их потребности службы, включая медицинские и психосоциальные службы, и предоставить им доступ к урегулированию их статуса на гуманитарных основаниях;</w:t>
      </w:r>
    </w:p>
    <w:p w14:paraId="45C8CF7E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отменить положения уголовного законодательства, предусматривающие наказание за сексуальную ориентацию или гендерную идентичность, немедленно прекратить преследование являющихся мигрантами лесбиянок, геев, бисексуалов, трансгендеров и интерсексуалов, в том числе путем помилования или амнистии осужденных, включить в антидискриминационное законодательство прямой запрет на дискриминацию по признаку сексуальной ориентации и гендерной идентичности, проводить кампании против гомофобии и способствовать социальной интеграции и уважению разнообразия, в том числе для трудовых мигрантов и членов их семей.</w:t>
      </w:r>
    </w:p>
    <w:p w14:paraId="43CCE6AC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Пограничный контроль и мигранты, находящиеся в ситуации транзита</w:t>
      </w:r>
    </w:p>
    <w:p w14:paraId="26BA1C6B" w14:textId="5120E5C1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36.</w:t>
      </w:r>
      <w:r w:rsidRPr="002A698C">
        <w:rPr>
          <w:rFonts w:eastAsia="SimSun" w:cs="Times New Roman"/>
          <w:szCs w:val="20"/>
        </w:rPr>
        <w:tab/>
        <w:t>Комитет приветствует тот факт, что Нигерия является участником Протокола Экономического сообщества западноафриканских государств (ЭКОВАС) о свободном передвижении людей, проживании и поселении, и отмечает усилия государства-участника по упрощению и автоматизации процедур получения визы и пересечения границы, в том числе в рамках Национальной стратегии и плана действий по управлению границами на 2019–2023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ы и при поддержке МОМ. Однако Комитет обеспокоен правовым пограничным режимом в государстве-участнике, который по</w:t>
      </w:r>
      <w:r w:rsidR="00417EC2">
        <w:rPr>
          <w:rFonts w:eastAsia="SimSun" w:cs="Times New Roman"/>
          <w:szCs w:val="20"/>
        </w:rPr>
        <w:noBreakHyphen/>
      </w:r>
      <w:r w:rsidRPr="002A698C">
        <w:rPr>
          <w:rFonts w:eastAsia="SimSun" w:cs="Times New Roman"/>
          <w:szCs w:val="20"/>
        </w:rPr>
        <w:t xml:space="preserve">прежнему ориентирован на определение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незаконных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как угрозы безопасности, а также проницаемостью границ из-за конфликтов и террористических актов в соседних с Нигерией странах и внутри государства-участника и тем влиянием, которое меры пограничного контроля могут оказать на осуществление прав человека мигрантов, включая трудящихся-мигрантов и членов их семей, в частности в отношении процедур, применяемых к трудящимся-мигрантам и просителям убежища, прибывающим на международные границы государства-участника, в том числе в пункты приема.</w:t>
      </w:r>
    </w:p>
    <w:p w14:paraId="4CE0F6BC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В соответствии с Рекомендуемыми принципами и руководящими положениями по правам человека на международных границах Управления Верховного комиссара Организации Объединенных Наций по правам человека (УВКПЧ), Комитет рекомендует государству-участнику:</w:t>
      </w:r>
    </w:p>
    <w:p w14:paraId="6D66572C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применять правозащитный подход к пограничному контролю, в том числе в ходе эффективных консультаций с соответствующими заинтересованными сторонами, такими как национальные судебные и правозащитные органы, научные круги и субъекты гражданского общества, включая организации мигрантов, а также при разработке, принятии и реализации мер, связанных с вопросами о границах;</w:t>
      </w:r>
    </w:p>
    <w:p w14:paraId="0A2B1AC4" w14:textId="17A77A3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гарантировать, чтобы меры пограничного контроля способствовали устранению и пресечению любых форм дискриминации со стороны государственных и частных субъектов на международных границах и соответствовали принципу невыдворения и запрета произвольной и коллективной высылки</w:t>
      </w:r>
      <w:r w:rsidR="000C49A9">
        <w:rPr>
          <w:rFonts w:eastAsia="SimSun" w:cs="Times New Roman"/>
          <w:b/>
          <w:bCs/>
          <w:szCs w:val="20"/>
        </w:rPr>
        <w:t>;</w:t>
      </w:r>
    </w:p>
    <w:p w14:paraId="32AE7458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мигранты, пострадавшие от нарушения или ущемления прав человека в результате мер пограничного контроля, имели равный и эффективный доступ к правосудию и эффективным средствам правовой защиты, чтобы нарушители подвергались судебному преследованию и надлежащему наказанию и чтобы принимались меры для обеспечения того, что такие нарушения не будут повторяться;</w:t>
      </w:r>
    </w:p>
    <w:p w14:paraId="69B23513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выделять достаточные кадровые, технические и финансовые ресурсы для укрепления пограничного контроля, обеспечивая оснащение объектов для принятия основанных на правах человека и пропорциональных мер реагирования на прибытие мигрантов на международные границы, а также для подготовки сотрудников пограничных и охранных служб по вопросам международного права прав человека, имеющего отношение к их работе, включая обучение по вопросам гендерного равенства.</w:t>
      </w:r>
    </w:p>
    <w:p w14:paraId="74AB0353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Эксплуатация труда и другие формы жестокого обращения</w:t>
      </w:r>
    </w:p>
    <w:p w14:paraId="5FAB76CB" w14:textId="618D247B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38.</w:t>
      </w:r>
      <w:r w:rsidRPr="002A698C">
        <w:rPr>
          <w:rFonts w:eastAsia="SimSun" w:cs="Times New Roman"/>
          <w:szCs w:val="20"/>
        </w:rPr>
        <w:tab/>
        <w:t>Комитет приветствует предпринимаемые Министерством труда и занятости для защиты детей от наихудших форм труда усилия, которые включают в себя начало реализации Национальной политики по искоренению детского труда и соответствующего Национального плана действий 2021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разработку в 2021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у системы мониторинга и устранения последствий детского и принудительного труда в цепочках поставок, принятие Дурбанского призыва к действиям по искоренению детского труда и сотрудничество в рамках схемы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Альянс 8.7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направленной на искоренение наихудших форм детского труда в соответствии с задачей 8.7 целей в области устойчивого развития. Вместе с тем он обеспокоен тем фактом, что, по данным МОТ, по состоянию на 2021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 жертвами детского труда в государстве-участнике являлись около 15 млн детей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5"/>
      </w:r>
      <w:r w:rsidRPr="00D8104A"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что резко контрастирует с данным государством-участником объяснением о том, что Иммиграционная служба Нигерии не зарегистрировала ни одного случая эксплуатации трудящихся-мигрантов и членов их семей, и об отсутствии данных об инспекциях условий труда и о случаях домашнего подневольного труда, принудительного труда и сексуальной эксплуатации с участием трудящихся-мигрантов в контексте путешествий и туризма.</w:t>
      </w:r>
    </w:p>
    <w:p w14:paraId="4FF93C76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39.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6"/>
      </w:r>
      <w:r w:rsidRPr="00D8104A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в свете замечаний общего порядка Комитета № 1 (2011) и № 2 (2013) и в соответствии с задачами 8.7 и 16.2 целей в области устойчивого развития, Комитет рекомендует государству-участнику:</w:t>
      </w:r>
    </w:p>
    <w:p w14:paraId="2791583B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увеличить количество проводимых не по запросам и необъявленных инспекций условий труда в местах, где работают трудящиеся-мигранты, особенно в неформальном секторе экономики;</w:t>
      </w:r>
    </w:p>
    <w:p w14:paraId="0DF28F5A" w14:textId="45FCDF3D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эффективно реализовывать Национальную политику по искоренению детского труда и соответствующий Национальный план действий 2021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а, пользуясь технической помощью МОТ и Детского фонда Организации Объединенных Наций (ЮНИСЕФ), и предоставлять адекватную помощь, защиту и реабилитацию, включая психосоциальную реабилитацию, трудящимся-мигрантам и членам их семей, в особенности детям, ставшим жертвами трудовой и других форм эксплуатации;</w:t>
      </w:r>
    </w:p>
    <w:p w14:paraId="2D7220DA" w14:textId="3789DCC0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привлекать к ответственности, а также наказывать или подвергать санкциям лиц или группы, которые эксплуатируют трудящихся-мигрантов, в</w:t>
      </w:r>
      <w:r w:rsidR="002F4CA3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частности женщин и детей, или принуждают их к труду и подвергают их насилию, особенно в неформальном секторе экономики;</w:t>
      </w:r>
    </w:p>
    <w:p w14:paraId="0E6304AB" w14:textId="13FBAAC9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собрать информацию о масштабах детского труда, в том числе в отношении детей-мигрантов в государстве-участнике и за рубежом, для обеспечения соответствия законодательной и политической базы и механизмов правоприменения обязательствам по Конвенции МОТ 1930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 о принудительном труде (№ 29), Конвенции МОТ 1957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 об упразднении принудительного труда (№ 105) и Конвенции МОТ 1999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AE4937">
        <w:rPr>
          <w:rFonts w:eastAsia="SimSun" w:cs="Times New Roman"/>
          <w:b/>
          <w:bCs/>
          <w:szCs w:val="20"/>
        </w:rPr>
        <w:t>а о наихудших формах детского труда (№ 182), и представить подкрепленную статистическими данными информацию в своем следующем периодическом докладе.</w:t>
      </w:r>
    </w:p>
    <w:p w14:paraId="07B6D3D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Надлежащая правовая процедура, задержание и равенство перед судом</w:t>
      </w:r>
    </w:p>
    <w:p w14:paraId="0BE8952D" w14:textId="7B05F750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40.</w:t>
      </w:r>
      <w:r w:rsidRPr="002A698C">
        <w:rPr>
          <w:rFonts w:eastAsia="SimSun" w:cs="Times New Roman"/>
          <w:szCs w:val="20"/>
        </w:rPr>
        <w:tab/>
        <w:t xml:space="preserve">Комитет принимает к сведению сделанное в ходе интерактивного диалога заявление государства-участника о том, что оно выступает против криминализации </w:t>
      </w:r>
      <w:r>
        <w:rPr>
          <w:rFonts w:eastAsia="SimSun" w:cs="Times New Roman"/>
          <w:szCs w:val="20"/>
        </w:rPr>
        <w:t>неупорядоченной</w:t>
      </w:r>
      <w:r w:rsidRPr="002A698C">
        <w:rPr>
          <w:rFonts w:eastAsia="SimSun" w:cs="Times New Roman"/>
          <w:szCs w:val="20"/>
        </w:rPr>
        <w:t xml:space="preserve"> миграции другими странами, и что статья 62 Закона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 правоприменении и управлении в отношении (запрета) торговли людьми и статья 99 Закона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а об иммиграции содержат положения, согласно которым мигранты, ставшие жертвами торговли людьми или незаконного ввоза мигрантов, не подлежат задержанию, обвинению или преследованию за </w:t>
      </w:r>
      <w:r>
        <w:rPr>
          <w:rFonts w:eastAsia="SimSun" w:cs="Times New Roman"/>
          <w:szCs w:val="20"/>
        </w:rPr>
        <w:t>неупорядоченный</w:t>
      </w:r>
      <w:r w:rsidRPr="002A698C">
        <w:rPr>
          <w:rFonts w:eastAsia="SimSun" w:cs="Times New Roman"/>
          <w:szCs w:val="20"/>
        </w:rPr>
        <w:t xml:space="preserve"> въезд или пребывание или за их участие в противоправной деятельности в той степени, в которой такое участие является прямым следствием их положения как жертв торговли людьми или незаконного ввоза мигрантов. Тем не менее он выражает глубокую обеспокоенность по поводу того, что:</w:t>
      </w:r>
    </w:p>
    <w:p w14:paraId="74AFA52E" w14:textId="23AA0F91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a)</w:t>
      </w:r>
      <w:r w:rsidRPr="002A698C">
        <w:rPr>
          <w:rFonts w:eastAsia="SimSun" w:cs="Times New Roman"/>
          <w:szCs w:val="20"/>
        </w:rPr>
        <w:tab/>
        <w:t>согласно статье 26 Закона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 xml:space="preserve">а об иммиграции, сотрудники иммиграционной службы обязаны задержать лицо, которое, как представляется, является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незаконным иммигрантом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;</w:t>
      </w:r>
    </w:p>
    <w:p w14:paraId="1160BAA4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b)</w:t>
      </w:r>
      <w:r w:rsidRPr="002A698C">
        <w:rPr>
          <w:rFonts w:eastAsia="SimSun" w:cs="Times New Roman"/>
          <w:szCs w:val="20"/>
        </w:rPr>
        <w:tab/>
        <w:t>лицо, обвиняемое в совершении преступления, связанного с миграцией, и подлежащее депортации, по вынесении обвинительного приговора может быть заключено под стражу на срок до 90 дней (п. 1 ст. 48 Закона);</w:t>
      </w:r>
    </w:p>
    <w:p w14:paraId="46E4F2D4" w14:textId="0210D0DF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c)</w:t>
      </w:r>
      <w:r w:rsidRPr="002A698C">
        <w:rPr>
          <w:rFonts w:eastAsia="SimSun" w:cs="Times New Roman"/>
          <w:szCs w:val="20"/>
        </w:rPr>
        <w:tab/>
        <w:t xml:space="preserve">Министр внутренних дел может выдавать распоряжения о помещении под стражу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лиц, относящихся к любой указанной категории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до их депортации (ст.</w:t>
      </w:r>
      <w:r w:rsidR="00417EC2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52 Закона);</w:t>
      </w:r>
    </w:p>
    <w:p w14:paraId="58449345" w14:textId="3154E4C3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d)</w:t>
      </w:r>
      <w:r w:rsidRPr="002A698C">
        <w:rPr>
          <w:rFonts w:eastAsia="SimSun" w:cs="Times New Roman"/>
          <w:szCs w:val="20"/>
        </w:rPr>
        <w:tab/>
        <w:t xml:space="preserve">вместо депортации может быть принято решение о содержании под стражей, если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депортация нецелесообразна или наносит ущерб эффективному ведению любой войны, в которой может участвовать Нигерия, а содержание под стражей лица, на которое распространяется действие приказа о депортации, необходимо или целесообразно для обеспечения общественной безопасности, обороны Нигерии или поддержания общественного порядка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(ст. 53 Закона);</w:t>
      </w:r>
    </w:p>
    <w:p w14:paraId="59D29941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e)</w:t>
      </w:r>
      <w:r w:rsidRPr="002A698C">
        <w:rPr>
          <w:rFonts w:eastAsia="SimSun" w:cs="Times New Roman"/>
          <w:szCs w:val="20"/>
        </w:rPr>
        <w:tab/>
        <w:t>Закон предусматривает ряд широко толкуемых правонарушений в сфере миграции, за которые может быть назначено уголовное наказание в виде лишения свободы (ст. 56–60 Закона);</w:t>
      </w:r>
    </w:p>
    <w:p w14:paraId="7F4E2E9F" w14:textId="0231729B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f)</w:t>
      </w:r>
      <w:r w:rsidRPr="002A698C">
        <w:rPr>
          <w:rFonts w:eastAsia="SimSun" w:cs="Times New Roman"/>
          <w:szCs w:val="20"/>
        </w:rPr>
        <w:tab/>
        <w:t xml:space="preserve">отсутствует информация о том, в какой степени государство-участник на практике прибегает к задержанию иммигрантов и тюремному заключению за правонарушения, связанные с миграцией (при этом Комитет принимает к сведению то, что Иммиграционная служба Нигерии приостановила практику содержания под стражей и использует в определенных случаях и в ожидании выдворения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центры проверки 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в качестве альтернативы задержанию иммигрантов). Комитет также принимает к сведению утверждение государства-участника о том, что ни один трудящийся-мигрант или член их семей не содержится под стражей за правонарушения, связанные с миграцией, что, однако, представляется неправдоподобным, учитывая вышеупомянутую законодательную базу по вопросам иммиграции и предоставленную государством-участником информацию о том, что Национальная комиссия по правам человека периодически посещает центры содержания иммигрантов, а также подтверждение факта существования </w:t>
      </w:r>
      <w:r>
        <w:rPr>
          <w:rFonts w:eastAsia="SimSun" w:cs="Times New Roman"/>
          <w:szCs w:val="20"/>
        </w:rPr>
        <w:t>неупорядоченной</w:t>
      </w:r>
      <w:r w:rsidRPr="002A698C">
        <w:rPr>
          <w:rFonts w:eastAsia="SimSun" w:cs="Times New Roman"/>
          <w:szCs w:val="20"/>
        </w:rPr>
        <w:t xml:space="preserve"> миграции;</w:t>
      </w:r>
    </w:p>
    <w:p w14:paraId="755F8C0F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g)</w:t>
      </w:r>
      <w:r w:rsidRPr="002A698C">
        <w:rPr>
          <w:rFonts w:eastAsia="SimSun" w:cs="Times New Roman"/>
          <w:szCs w:val="20"/>
        </w:rPr>
        <w:tab/>
        <w:t>отсутствует информация о мерах по обеспечению того, чтобы трудящимся-мигрантам и членам их семей, особенно с неурегулированным статусом, гарантировалось соблюдение процессуальных норм наравне с гражданами государства-участника и чтобы в ходе всех административных процедур, связанных с миграцией, они имели доступ к информации на понятном им языке;</w:t>
      </w:r>
    </w:p>
    <w:p w14:paraId="6D8D16DB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h)</w:t>
      </w:r>
      <w:r w:rsidRPr="002A698C">
        <w:rPr>
          <w:rFonts w:eastAsia="SimSun" w:cs="Times New Roman"/>
          <w:szCs w:val="20"/>
        </w:rPr>
        <w:tab/>
        <w:t>существующие центры содержания иммигрантов и тюрьмы не предоставляют доступа к надлежащим базовым услугам, включая питание, медицинское обслуживание и гигиенические условия;</w:t>
      </w:r>
    </w:p>
    <w:p w14:paraId="58B2AFB1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i)</w:t>
      </w:r>
      <w:r w:rsidRPr="002A698C">
        <w:rPr>
          <w:rFonts w:eastAsia="SimSun" w:cs="Times New Roman"/>
          <w:szCs w:val="20"/>
        </w:rPr>
        <w:tab/>
        <w:t>трудящиеся-мигранты, задержанные за нарушение иммиграционного законодательства, не содержатся отдельно от заключенных, а дети-мигранты могут находиться в задержании как без сопровождения взрослых или отдельно от родителей, так и вместе со своими семьями.</w:t>
      </w:r>
    </w:p>
    <w:p w14:paraId="5A0AF4F0" w14:textId="47B4794E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Повторяя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7"/>
      </w:r>
      <w:r w:rsidRPr="0065267A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в свете своего замечания общего порядка № 5 (2021) и совместных замечаний общего порядка</w:t>
      </w:r>
      <w:r w:rsidR="0065267A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№ 3 и № 4 (2017) Комитета и № 22 и № 23 (2017) Комитета по правам ребенка, а также в соответствии с задачей 16.9 целей в области устойчивого развития рекомендует государству-участнику:</w:t>
      </w:r>
    </w:p>
    <w:p w14:paraId="71637AA5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декриминализировать неупорядоченную миграцию и предусмотреть за такие правонарушения соответствующие административные наказания, поскольку Комитет считает, что в соответствии, в частности, с его замечанием общего порядка № 2 (2013) и замечанием общего порядка № 5 (2021), въезд, пребывание или выезд неразрешенным образом могут представлять собой не более, чем административные правонарушения, и никогда не должны рассматриваться в качестве уголовных преступлений, поскольку они не являются посягательством на фундаментальные, охраняемые законом ценности и, как следствие, не являются как таковые преступлениями против личности, собственности или национальной безопасности;</w:t>
      </w:r>
    </w:p>
    <w:p w14:paraId="1064F585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принять меры по постепенному сокращению и в конечном счете прекращению практики помещения мигрантов в центры временного содержания; ввести в законодательство презумпцию против содержания под стражей и, следовательно, в пользу свободы;</w:t>
      </w:r>
    </w:p>
    <w:p w14:paraId="0C2BA040" w14:textId="1AF1B1C3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незамедлительно прекратить практику помещения в центры временного содержания мигрантов детей-мигрантов, будь они несопровождаемыми, разлученными со своими родителями или вместе со своими семьями, и других уязвимых групп трудящихся-мигрантов и членов их семей, а</w:t>
      </w:r>
      <w:r w:rsidR="008B1E0E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также просителей убежища, беженцев и лиц без гражданства;</w:t>
      </w:r>
    </w:p>
    <w:p w14:paraId="00AF5BD2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чтобы:</w:t>
      </w:r>
    </w:p>
    <w:p w14:paraId="62622CFA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701" w:right="1134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i)</w:t>
      </w:r>
      <w:r w:rsidRPr="00AE4937">
        <w:rPr>
          <w:rFonts w:eastAsia="SimSun" w:cs="Times New Roman"/>
          <w:b/>
          <w:bCs/>
          <w:szCs w:val="20"/>
        </w:rPr>
        <w:tab/>
        <w:t>во всех других случаях содержание мигрантов под стражей являлось исключительной крайней, преследующей законную цель, разрешенной законом, необходимой и соразмерной мерой и применялось в течение как можно более короткого периода времени;</w:t>
      </w:r>
    </w:p>
    <w:p w14:paraId="6B645AAB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701" w:right="1134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ii)</w:t>
      </w:r>
      <w:r w:rsidRPr="00AE4937">
        <w:rPr>
          <w:rFonts w:eastAsia="SimSun" w:cs="Times New Roman"/>
          <w:b/>
          <w:bCs/>
          <w:szCs w:val="20"/>
        </w:rPr>
        <w:tab/>
        <w:t>в каждом случае приводились основания для задержания с указанием конкретных причин, по которым не могут быть применены альтернативные меры;</w:t>
      </w:r>
    </w:p>
    <w:p w14:paraId="03F7545A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701" w:right="1134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iii)</w:t>
      </w:r>
      <w:r w:rsidRPr="00AE4937">
        <w:rPr>
          <w:rFonts w:eastAsia="SimSun" w:cs="Times New Roman"/>
          <w:b/>
          <w:bCs/>
          <w:szCs w:val="20"/>
        </w:rPr>
        <w:tab/>
        <w:t>вопрос об обоснованности избрания этой меры рассматривался в течение 24 часов независимым и беспристрастным судебным органом;</w:t>
      </w:r>
    </w:p>
    <w:p w14:paraId="426BA87B" w14:textId="2B0192DE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701" w:right="1134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iv)</w:t>
      </w:r>
      <w:r w:rsidRPr="00AE4937">
        <w:rPr>
          <w:rFonts w:eastAsia="SimSun" w:cs="Times New Roman"/>
          <w:b/>
          <w:bCs/>
          <w:szCs w:val="20"/>
        </w:rPr>
        <w:tab/>
        <w:t>в соответствии с обязательствами государства-участника в области прав человека, перед применением мер в виде содержания под стражей рассматривался вопрос об использовании альтернативных мер. В качестве мер, альтернативных содержанию под стражей, Комитет признает все предусмотренные законодательством, политикой и практикой варианты размещения на уровне общин или в учреждениях открытого типа, которые являются менее ограничительными по сравнению с содержанием под стражей и которые должны рассматриваться при осуществлении законных процедур принятия решения о содержании под стражей для обеспечения того, чтобы оно было во всех случаях необходимым и соразмерным, с</w:t>
      </w:r>
      <w:r w:rsidR="008B1E0E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целью соблюдения прав человека и недопущения произвольного задержания мигрантов, просителей убежища, беженцев и лиц без гражданства</w:t>
      </w:r>
      <w:r w:rsidR="008B1E0E">
        <w:rPr>
          <w:rFonts w:eastAsia="SimSun" w:cs="Times New Roman"/>
          <w:b/>
          <w:bCs/>
          <w:szCs w:val="20"/>
        </w:rPr>
        <w:t>;</w:t>
      </w:r>
    </w:p>
    <w:p w14:paraId="372B61D5" w14:textId="2A9CE026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e)</w:t>
      </w:r>
      <w:r w:rsidRPr="00AE4937">
        <w:rPr>
          <w:rFonts w:eastAsia="SimSun" w:cs="Times New Roman"/>
          <w:b/>
          <w:bCs/>
          <w:szCs w:val="20"/>
        </w:rPr>
        <w:tab/>
        <w:t>обеспечить применение альтернативных содержанию под стражей мер к лицам, ищущим убежище, и беженцам и во всех случаях добровольной репатриации, а также информирование трудящихся-мигрантов и членов их семей об их правах и о процедурах в контексте содержания под стражей на понятном им языке</w:t>
      </w:r>
      <w:r w:rsidR="008B1E0E">
        <w:rPr>
          <w:rFonts w:eastAsia="SimSun" w:cs="Times New Roman"/>
          <w:b/>
          <w:bCs/>
          <w:szCs w:val="20"/>
        </w:rPr>
        <w:t>;</w:t>
      </w:r>
    </w:p>
    <w:p w14:paraId="1654F87B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f)</w:t>
      </w:r>
      <w:r w:rsidRPr="00AE4937">
        <w:rPr>
          <w:rFonts w:eastAsia="SimSun" w:cs="Times New Roman"/>
          <w:b/>
          <w:bCs/>
          <w:szCs w:val="20"/>
        </w:rPr>
        <w:tab/>
        <w:t>в исключительных случаях, когда невозможно избежать содержания под стражей, обеспечить, чтобы все места содержания иммигрантов под стражей были официально предназначены для этой цели, гарантировать адекватные и достойные условия, такие как учитывающие гендерные особенности медицинские услуги, включая услуги по охране сексуального и репродуктивного здоровья, психологическая помощь, водоснабжение, санитария и гигиена, питание, достаточное пространство и вентиляция, досуг и рекреационные мероприятия и доступ к открытым площадкам;</w:t>
      </w:r>
    </w:p>
    <w:p w14:paraId="54CD40D4" w14:textId="5BE2F56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g)</w:t>
      </w:r>
      <w:r w:rsidRPr="00AE4937">
        <w:rPr>
          <w:rFonts w:eastAsia="SimSun" w:cs="Times New Roman"/>
          <w:b/>
          <w:bCs/>
          <w:szCs w:val="20"/>
        </w:rPr>
        <w:tab/>
        <w:t xml:space="preserve">проводить четкое различие, в том числе в законодательных актах, между режимами задержания и </w:t>
      </w:r>
      <w:r w:rsidR="00417EC2">
        <w:rPr>
          <w:rFonts w:eastAsia="SimSun" w:cs="Times New Roman"/>
          <w:b/>
          <w:bCs/>
          <w:szCs w:val="20"/>
        </w:rPr>
        <w:t>«</w:t>
      </w:r>
      <w:r w:rsidRPr="00AE4937">
        <w:rPr>
          <w:rFonts w:eastAsia="SimSun" w:cs="Times New Roman"/>
          <w:b/>
          <w:bCs/>
          <w:szCs w:val="20"/>
        </w:rPr>
        <w:t>добровольным</w:t>
      </w:r>
      <w:r w:rsidR="00417EC2">
        <w:rPr>
          <w:rFonts w:eastAsia="SimSun" w:cs="Times New Roman"/>
          <w:b/>
          <w:bCs/>
          <w:szCs w:val="20"/>
        </w:rPr>
        <w:t>»</w:t>
      </w:r>
      <w:r w:rsidRPr="00AE4937">
        <w:rPr>
          <w:rFonts w:eastAsia="SimSun" w:cs="Times New Roman"/>
          <w:b/>
          <w:bCs/>
          <w:szCs w:val="20"/>
        </w:rPr>
        <w:t xml:space="preserve"> размещением в </w:t>
      </w:r>
      <w:r w:rsidR="00417EC2">
        <w:rPr>
          <w:rFonts w:eastAsia="SimSun" w:cs="Times New Roman"/>
          <w:b/>
          <w:bCs/>
          <w:szCs w:val="20"/>
        </w:rPr>
        <w:t>«</w:t>
      </w:r>
      <w:r w:rsidRPr="00AE4937">
        <w:rPr>
          <w:rFonts w:eastAsia="SimSun" w:cs="Times New Roman"/>
          <w:b/>
          <w:bCs/>
          <w:szCs w:val="20"/>
        </w:rPr>
        <w:t>центрах проверки мигрантов</w:t>
      </w:r>
      <w:r w:rsidR="00417EC2">
        <w:rPr>
          <w:rFonts w:eastAsia="SimSun" w:cs="Times New Roman"/>
          <w:b/>
          <w:bCs/>
          <w:szCs w:val="20"/>
        </w:rPr>
        <w:t>»</w:t>
      </w:r>
      <w:r w:rsidRPr="00AE4937">
        <w:rPr>
          <w:rFonts w:eastAsia="SimSun" w:cs="Times New Roman"/>
          <w:b/>
          <w:bCs/>
          <w:szCs w:val="20"/>
        </w:rPr>
        <w:t xml:space="preserve"> и обеспечить наличие государственных или общинных приютов, которые были бы физически отделены от центров временного содержания мигрантов и не находились бы с ними на одной территории;</w:t>
      </w:r>
    </w:p>
    <w:p w14:paraId="613CDD0E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h)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женщины-заключенные содержались отдельно от мужчин, охранялись только надлежащим образом подготовленными сотрудниками-женщинами и были защищены от насилия, в частности сексуального, а также предусмотреть специальные условия для беременных и кормящих женщин;</w:t>
      </w:r>
    </w:p>
    <w:p w14:paraId="76F94C55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i)</w:t>
      </w:r>
      <w:r w:rsidRPr="00AE4937">
        <w:rPr>
          <w:rFonts w:eastAsia="SimSun" w:cs="Times New Roman"/>
          <w:b/>
          <w:bCs/>
          <w:szCs w:val="20"/>
        </w:rPr>
        <w:tab/>
        <w:t>укрепить механизмы регулярного мониторинга условий содержания мигрантов и предоставлять наблюдателям за соблюдением прав человека, включая гуманитарные организации, Национальную комиссию по правам человека и неправительственные организации, доступ для посещения всех центров содержания мигрантов без предупреждения и без каких-либо препятствий.</w:t>
      </w:r>
    </w:p>
    <w:p w14:paraId="54F24872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Высылка</w:t>
      </w:r>
    </w:p>
    <w:p w14:paraId="6DD22915" w14:textId="5F62F57D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42.</w:t>
      </w:r>
      <w:r w:rsidRPr="002A698C">
        <w:rPr>
          <w:rFonts w:eastAsia="SimSun" w:cs="Times New Roman"/>
          <w:szCs w:val="20"/>
        </w:rPr>
        <w:tab/>
        <w:t>Комитет принимает к сведению подтверждение государством-участником в ходе интерактивного диалога того, что оно осуществляет высылку, вопреки информации, представленной в ответах на перечень вопросов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8"/>
      </w:r>
      <w:r w:rsidRPr="008B1E0E"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и что существует возможность обжаловать с приостановлением действия вынесенные судом постановления о высылке, (п. 2 ст. 47 Закона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об иммиграции). Комитет, тем не менее, серьезно обеспокоен по поводу:</w:t>
      </w:r>
    </w:p>
    <w:p w14:paraId="327F0B82" w14:textId="3C39D3FA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a)</w:t>
      </w:r>
      <w:r w:rsidRPr="002A698C">
        <w:rPr>
          <w:rFonts w:eastAsia="SimSun" w:cs="Times New Roman"/>
          <w:szCs w:val="20"/>
        </w:rPr>
        <w:tab/>
        <w:t xml:space="preserve">отсутствия законодательной защиты от коллективных высылок, тем более что министр внутренних дел может выдавать уведомления о депортации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лиц, относящихся к любой указанной категории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которые впоследствии могут быть заключены под стражу (ст. 52 Закона);</w:t>
      </w:r>
    </w:p>
    <w:p w14:paraId="4EE93DE3" w14:textId="60A7899F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b)</w:t>
      </w:r>
      <w:r w:rsidRPr="002A698C">
        <w:rPr>
          <w:rFonts w:eastAsia="SimSun" w:cs="Times New Roman"/>
          <w:szCs w:val="20"/>
        </w:rPr>
        <w:tab/>
        <w:t xml:space="preserve">обязательной депортации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незаконных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(п. 1 ст. 44 Закона), усугубляемой дискреционными исполнительными полномочиями министра внутренних дел по включению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любой категории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лиц в список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незаконных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если это будет сочтено отвечающим общественным интересам (п. 3 ст.</w:t>
      </w:r>
      <w:r w:rsidR="00BE3882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 xml:space="preserve">44 Закона), и даже по постфактум отнесению лиц к категории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незаконных иммигрантов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>, подлежащих депортации после их въезда в государство-участник (п.</w:t>
      </w:r>
      <w:r w:rsidR="00417EC2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3</w:t>
      </w:r>
      <w:r w:rsidR="00417EC2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ст. 45 Закона);</w:t>
      </w:r>
    </w:p>
    <w:p w14:paraId="64F80820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c)</w:t>
      </w:r>
      <w:r w:rsidRPr="002A698C">
        <w:rPr>
          <w:rFonts w:eastAsia="SimSun" w:cs="Times New Roman"/>
          <w:szCs w:val="20"/>
        </w:rPr>
        <w:tab/>
        <w:t>отсутствия информации о возможности обжалования постановлений об административной высылке, в частности, о правовых положениях, гарантирующих право требовать приостановления действия таких постановлений о высылке;</w:t>
      </w:r>
    </w:p>
    <w:p w14:paraId="1A5CAB96" w14:textId="2ADA5CEB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d)</w:t>
      </w:r>
      <w:r w:rsidRPr="002A698C">
        <w:rPr>
          <w:rFonts w:eastAsia="SimSun" w:cs="Times New Roman"/>
          <w:szCs w:val="20"/>
        </w:rPr>
        <w:tab/>
        <w:t>отсутствия информации о том, в какой степени трудящиеся-мигранты, в</w:t>
      </w:r>
      <w:r w:rsidR="00D03D8B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отношении которых проводится процедура высылки, используют на практике свое право на обжалование.</w:t>
      </w:r>
    </w:p>
    <w:p w14:paraId="702F6BE9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43.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настоятельно призывает государство-участник:</w:t>
      </w:r>
    </w:p>
    <w:p w14:paraId="664BC25A" w14:textId="1892AA4A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предпринять необходимые законодательные шаги, с тем чтобы обжалование в суде постановлений о высылке, в частности административной депортации, имело по закону автоматическое приостанавливающее действие, и</w:t>
      </w:r>
      <w:r w:rsidR="00D03D8B">
        <w:rPr>
          <w:rFonts w:eastAsia="SimSun" w:cs="Times New Roman"/>
          <w:b/>
          <w:bCs/>
          <w:szCs w:val="20"/>
        </w:rPr>
        <w:t> </w:t>
      </w:r>
      <w:r w:rsidRPr="00AE4937">
        <w:rPr>
          <w:rFonts w:eastAsia="SimSun" w:cs="Times New Roman"/>
          <w:b/>
          <w:bCs/>
          <w:szCs w:val="20"/>
        </w:rPr>
        <w:t>гарантировать надлежащую правовую процедуру и соблюдение процессуальных гарантий, чтобы обеспечить трудящимся-мигрантам и членам их семей, в отношении которых осуществляется процедура высылки, возможность использовать, согласно пункту 4 статьи 22 Конвенции, свое право ходатайствовать о приостановлении решения о высылке до завершения процедуры пересмотра такого решения компетентным органом;</w:t>
      </w:r>
    </w:p>
    <w:p w14:paraId="036BE88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лица, в отношении которых принято решение о высылке, или лица, ищущие убежища, могли воспользоваться услугами поддержки и бесплатного юридического представительства, а также были осведомлены о своем праве на эффективное средство правовой защиты и могли реализовать его на практике;</w:t>
      </w:r>
    </w:p>
    <w:p w14:paraId="5DC3C00E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обеспечить постоянное соблюдение принципа невыдворения и запрета на коллективную и произвольную высылку;</w:t>
      </w:r>
    </w:p>
    <w:p w14:paraId="39ABCA7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обеспечить систематический обмен материалами, касающимися постановлений о высылке, с Национальной комиссией по правам человека в качестве механизма контроля за тем, чтобы высылка трудящихся-мигрантов и членов их семей осуществлялась в полном соответствии с международными стандартами и законодательством государства-участника, а также обеспечить эффективную координацию с государством происхождения или принимающим государством;</w:t>
      </w:r>
    </w:p>
    <w:p w14:paraId="0E82972A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e)</w:t>
      </w:r>
      <w:r w:rsidRPr="00AE4937">
        <w:rPr>
          <w:rFonts w:eastAsia="SimSun" w:cs="Times New Roman"/>
          <w:b/>
          <w:bCs/>
          <w:szCs w:val="20"/>
        </w:rPr>
        <w:tab/>
        <w:t>разрабатывать политику и механизмы, призванные обеспечить альтернативы высылке или возвращению, включая процедуры предоставления убежища и международной защиты, разрешение на пребывание по гуманитарным соображениям и другие формы получения постоянного статуса, которые регулируются законом в соответствии со статьей 69 Конвенции и применяются ко всем мигрантам, независимо от их миграционного статуса.</w:t>
      </w:r>
    </w:p>
    <w:p w14:paraId="42EDE3A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Консульская помощь</w:t>
      </w:r>
    </w:p>
    <w:p w14:paraId="3B4241E6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44.</w:t>
      </w:r>
      <w:r w:rsidRPr="002A698C">
        <w:rPr>
          <w:rFonts w:eastAsia="SimSun" w:cs="Times New Roman"/>
          <w:szCs w:val="20"/>
        </w:rPr>
        <w:tab/>
        <w:t>Комитет отмечает усилия, предпринятые дипломатическими представительствами государства-участника по совершенствованию и расширению консульских услуг, направленных на защиту прав нигерийских трудящихся-мигрантов, находящихся в состоянии транзита и в стране назначения. Вместе с тем Комитет обеспокоен тем, что в настоящее время в Нигерии имеется только один атташе по трудовым вопросам, который находится в Женеве, что объясняется отсутствием необходимых финансовых ресурсов.</w:t>
      </w:r>
    </w:p>
    <w:p w14:paraId="77E6E70C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45.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29"/>
      </w:r>
      <w:r w:rsidRPr="00D03D8B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703AB709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продолжить укреплять потенциал и кадровые, технические и финансовые ресурсы своих дипломатических представительств, в том числе путем создания дополнительных позиций атташе по вопросам труда в странах компактного проживания нигерийских трудящихся-мигрантов, с целью оказания помощи и защиты им и членам их семей в сотрудничестве с Национальной комиссией по правам человека, организациями гражданского общества и учреждениями диаспоры, а также путем ведения диалога с властями стран транзита и назначения;</w:t>
      </w:r>
    </w:p>
    <w:p w14:paraId="178CC1E4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обеспечить, чтобы нигерийские трудящиеся-мигранты и члены их семей, в особенности находящиеся под стражей или получившие уведомление о высылке, могли прибегнуть к консульской поддержке для защиты своих прав, предусмотренных Конвенцией;</w:t>
      </w:r>
    </w:p>
    <w:p w14:paraId="0DF717C8" w14:textId="77777777" w:rsidR="002D4927" w:rsidRPr="00AE4937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>обеспечить надлежащее знание персоналом дипломатических представительств законов и процедур стран трудоустройства нигерийских трудящихся-мигрантов;</w:t>
      </w:r>
    </w:p>
    <w:p w14:paraId="5B57FFDD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представить в следующем периодическом докладе подкрепленную статистическими данными информацию о численности нигерийских трудящихся-мигрантов и членов их семей за рубежом, включая, в частности, сведения о произведенных арестах, задержаниях и высылках, об актах насилия</w:t>
      </w:r>
      <w:r w:rsidRPr="002A698C">
        <w:rPr>
          <w:rFonts w:eastAsia="SimSun" w:cs="Times New Roman"/>
          <w:b/>
          <w:bCs/>
          <w:szCs w:val="20"/>
        </w:rPr>
        <w:t>, эксплуатации и жестокого обращения, которым они подвергаются в странах транзита и назначения, а также об оказанной им помощи.</w:t>
      </w:r>
    </w:p>
    <w:p w14:paraId="59FFA191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Оплата и условия труда</w:t>
      </w:r>
    </w:p>
    <w:p w14:paraId="3EE6212D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 xml:space="preserve">46. </w:t>
      </w:r>
      <w:r w:rsidRPr="002A698C">
        <w:rPr>
          <w:rFonts w:eastAsia="SimSun" w:cs="Times New Roman"/>
          <w:szCs w:val="20"/>
        </w:rPr>
        <w:tab/>
        <w:t>Комитет с удовлетворением отмечает гендерный подход в Национальной политике в области трудовой миграции, а также тот факт, что при Министерстве труда и занятости действуют отделения инспекции условий труда в Федеральном столичном округе, во всех 36 штатах, а также в районах с высокой концентрацией рабочих мест. Однако Комитет обеспокоен тем, что:</w:t>
      </w:r>
    </w:p>
    <w:p w14:paraId="1D938B99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a)</w:t>
      </w:r>
      <w:r w:rsidRPr="002A698C">
        <w:rPr>
          <w:rFonts w:eastAsia="SimSun" w:cs="Times New Roman"/>
          <w:szCs w:val="20"/>
        </w:rPr>
        <w:tab/>
        <w:t>предусмотренные Законом о труде санкции за нарушение трудовых прав, в том числе прав трудовых мигрантов, являются слабыми и поэтому не имеют сдерживающего эффекта;</w:t>
      </w:r>
    </w:p>
    <w:p w14:paraId="405F34AA" w14:textId="693A4DA1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b)</w:t>
      </w:r>
      <w:r w:rsidRPr="002A698C">
        <w:rPr>
          <w:rFonts w:eastAsia="SimSun" w:cs="Times New Roman"/>
          <w:szCs w:val="20"/>
        </w:rPr>
        <w:tab/>
        <w:t>практически все домашние работники-мигранты, большинство из которых составляют женщины, на практике лишены права на получение минимальной заработной платы, поскольку соответствующее обязательство, предусмотренное Законом о минимальной заработной плате (поправка) 2011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не распространяется на предприятия, в которых работает менее 50 человек;</w:t>
      </w:r>
    </w:p>
    <w:p w14:paraId="1F742D8F" w14:textId="77777777" w:rsidR="002D4927" w:rsidRPr="002A698C" w:rsidRDefault="002D4927" w:rsidP="00AE493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c)</w:t>
      </w:r>
      <w:r w:rsidRPr="002A698C">
        <w:rPr>
          <w:rFonts w:eastAsia="SimSun" w:cs="Times New Roman"/>
          <w:szCs w:val="20"/>
        </w:rPr>
        <w:tab/>
        <w:t>имеющиеся в распоряжении Комитета сообщения свидетельствуют о том, что трудящиеся-мигранты, в особенности работающие в качестве домашней прислуги, зачастую не знают о своих правах и обязанностях, предусмотренных Конвенцией, а также об имеющихся в их распоряжении бесплатных услугах Министерства труда и занятости, включая инспекции условий труда и механизмы рассмотрения жалоб.</w:t>
      </w:r>
    </w:p>
    <w:p w14:paraId="47048B95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В свете своего замечания общего порядка № 1 (2011) и в соответствии с задачей 8.8 целей в области устойчивого развития Комитет рекомендует государству-участнику продолжать осуществлять меры по обеспечению прав всех трудящихся-мигрантов, включая домашнюю прислугу, путем:</w:t>
      </w:r>
    </w:p>
    <w:p w14:paraId="146BBBA8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a)</w:t>
      </w:r>
      <w:r w:rsidRPr="00AE4937">
        <w:rPr>
          <w:rFonts w:eastAsia="SimSun" w:cs="Times New Roman"/>
          <w:b/>
          <w:bCs/>
          <w:szCs w:val="20"/>
        </w:rPr>
        <w:tab/>
        <w:t>ускоренного осуществления проводимого в настоящее время пересмотра Закона о труде и обеспечения его соответствия положениям Конвенции, в том числе путем введения имеющих сдерживающий эффект санкций для работодателей, не выполняющих требования Конвенции;</w:t>
      </w:r>
    </w:p>
    <w:p w14:paraId="040ADE6C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b)</w:t>
      </w:r>
      <w:r w:rsidRPr="00AE4937">
        <w:rPr>
          <w:rFonts w:eastAsia="SimSun" w:cs="Times New Roman"/>
          <w:b/>
          <w:bCs/>
          <w:szCs w:val="20"/>
        </w:rPr>
        <w:tab/>
        <w:t>дальнейшего расширения существующего признания и регулирования домашнего труда в национальном законодательстве и обеспечения мигрантов, работающих в качестве домашней прислуги, тем же уровнем защиты, что имеют местные работники, в отношении социального обеспечения, равной оплаты труда, минимальной заработной платы, продолжительности рабочего дня, дней отдыха, увольнения, компенсации, свободы объединения и других условий труда в рамках письменных трудовых договоров на понятном им языке, которые являются добровольными, справедливыми и подписанными с их полного согласия;</w:t>
      </w:r>
    </w:p>
    <w:p w14:paraId="3003862A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c)</w:t>
      </w:r>
      <w:r w:rsidRPr="00AE4937">
        <w:rPr>
          <w:rFonts w:eastAsia="SimSun" w:cs="Times New Roman"/>
          <w:b/>
          <w:bCs/>
          <w:szCs w:val="20"/>
        </w:rPr>
        <w:tab/>
        <w:t xml:space="preserve">гарантии в соответствии со статьей 25 Конвенции в законе и на практике трудовых прав всех трудящихся-мигрантов в рамках принципа равенства и недискриминации, в том числе путем обеспечения того, чтобы трудовые инспекции уделяли особое внимание условиям труда трудящихся-мигрантов, чтобы в ходе таких проверок проводились консультации с самими трудящимися-мигрантами и чтобы </w:t>
      </w:r>
      <w:r w:rsidRPr="00D2660A">
        <w:rPr>
          <w:rFonts w:eastAsia="SimSun" w:cs="Times New Roman"/>
          <w:b/>
          <w:bCs/>
          <w:szCs w:val="20"/>
        </w:rPr>
        <w:t>трудовые</w:t>
      </w:r>
      <w:r w:rsidRPr="00AE4937">
        <w:rPr>
          <w:rFonts w:eastAsia="SimSun" w:cs="Times New Roman"/>
          <w:b/>
          <w:bCs/>
          <w:szCs w:val="20"/>
        </w:rPr>
        <w:t xml:space="preserve"> инспекции осуществляли свою работу с учетом гендерных факторов, в условиях конфиденциальности и независимо от других государственных ведомств, в частности иммиграционных властей, поощряя сообщение трудящимися-мигрантами в органы, занимающиеся трудовыми вопросами, о случаях эксплуатации, жестокого обращения и пренебрежения без опасения вовлечения иммиграционных властей;</w:t>
      </w:r>
    </w:p>
    <w:p w14:paraId="123EC430" w14:textId="77777777" w:rsidR="002D4927" w:rsidRPr="00AE493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AE4937">
        <w:rPr>
          <w:rFonts w:eastAsia="SimSun" w:cs="Times New Roman"/>
          <w:b/>
          <w:bCs/>
          <w:szCs w:val="20"/>
        </w:rPr>
        <w:t>d)</w:t>
      </w:r>
      <w:r w:rsidRPr="00AE4937">
        <w:rPr>
          <w:rFonts w:eastAsia="SimSun" w:cs="Times New Roman"/>
          <w:b/>
          <w:bCs/>
          <w:szCs w:val="20"/>
        </w:rPr>
        <w:tab/>
        <w:t>повышения осведомленности о предусмотренных Конвенцией правах и обязанностях трудящихся-мигрантов, в частности работающих в домашнем секторе, а также о механизмах подачи жалоб и других доступных им ресурсах.</w:t>
      </w:r>
    </w:p>
    <w:p w14:paraId="0CF9317E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Право на вступление в профсоюзы и участие в их собраниях</w:t>
      </w:r>
    </w:p>
    <w:p w14:paraId="4EEC7043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48.</w:t>
      </w:r>
      <w:r w:rsidRPr="002A698C">
        <w:rPr>
          <w:rFonts w:eastAsia="SimSun" w:cs="Times New Roman"/>
          <w:szCs w:val="20"/>
        </w:rPr>
        <w:tab/>
        <w:t>Комитет с удовлетворением отмечает тот факт, что трудящиеся-мигранты, независимо от их миграционного статуса, имеют право на свободу членства в профсоюзах и профессиональных организациях в соответствии с Законом о профессиональных союзах и Законом о труде. Однако он сожалеет об отсутствии информации о том, в какой степени трудящиеся-мигранты в государстве-участнике реализуют это право на практике.</w:t>
      </w:r>
    </w:p>
    <w:p w14:paraId="5F9B8ABC" w14:textId="1393D48D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49.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Ссылаясь на свою предыдущу</w:t>
      </w:r>
      <w:r>
        <w:rPr>
          <w:rFonts w:eastAsia="SimSun" w:cs="Times New Roman"/>
          <w:b/>
          <w:bCs/>
          <w:szCs w:val="20"/>
        </w:rPr>
        <w:t>ю</w:t>
      </w:r>
      <w:r w:rsidRPr="002A698C">
        <w:rPr>
          <w:rFonts w:eastAsia="SimSun" w:cs="Times New Roman"/>
          <w:b/>
          <w:bCs/>
          <w:szCs w:val="20"/>
        </w:rPr>
        <w:t xml:space="preserve">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0"/>
      </w:r>
      <w:r w:rsidRPr="00F37B5E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Комитет рекомендует государству-участнику продолжить принимать все необходимые меры для обеспечения всем трудящимся-мигрантам, в том числе с неурегулированным статусом, права на участие в профсоюзной деятельности и на свободное вступление в профсоюзы в соответствии со статьей 26 Конвенции и Конвенцией МОТ 1948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 о свободе объединений и защите права объединяться в профсоюзы (№ 87).</w:t>
      </w:r>
    </w:p>
    <w:p w14:paraId="6D264AAD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Социальное обеспечение</w:t>
      </w:r>
    </w:p>
    <w:p w14:paraId="710BBCC4" w14:textId="1F0E29D5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50.</w:t>
      </w:r>
      <w:r w:rsidRPr="002A698C">
        <w:rPr>
          <w:rFonts w:eastAsia="SimSun" w:cs="Times New Roman"/>
          <w:szCs w:val="20"/>
        </w:rPr>
        <w:tab/>
        <w:t xml:space="preserve">Комитет приветствует тот факт, что Нигерия является участником Общей конвенции о социальном обеспечении государств </w:t>
      </w:r>
      <w:r w:rsidR="00F37B5E">
        <w:rPr>
          <w:rFonts w:eastAsia="SimSun" w:cs="Times New Roman"/>
          <w:szCs w:val="20"/>
        </w:rPr>
        <w:t>—</w:t>
      </w:r>
      <w:r w:rsidRPr="002A698C">
        <w:rPr>
          <w:rFonts w:eastAsia="SimSun" w:cs="Times New Roman"/>
          <w:szCs w:val="20"/>
        </w:rPr>
        <w:t xml:space="preserve"> членов ЭКОВАС (Дополнительный закон (2013)), понимает, что трудящиеся-мигранты с </w:t>
      </w:r>
      <w:r>
        <w:rPr>
          <w:rFonts w:eastAsia="SimSun" w:cs="Times New Roman"/>
          <w:szCs w:val="20"/>
        </w:rPr>
        <w:t xml:space="preserve">урегулированным </w:t>
      </w:r>
      <w:r w:rsidRPr="002A698C">
        <w:rPr>
          <w:rFonts w:eastAsia="SimSun" w:cs="Times New Roman"/>
          <w:szCs w:val="20"/>
        </w:rPr>
        <w:t>статусом, в принципе имеют доступ к социальному обеспечению, пенсии по возрасту и программам социального обеспечения на равных условиях с гражданами Нигерии в соответствии с Законом о компенсации работникам 2010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</w:t>
      </w:r>
      <w:r>
        <w:rPr>
          <w:rFonts w:eastAsia="SimSun" w:cs="Times New Roman"/>
          <w:szCs w:val="20"/>
        </w:rPr>
        <w:t>,</w:t>
      </w:r>
      <w:r w:rsidRPr="002A698C">
        <w:rPr>
          <w:rFonts w:eastAsia="SimSun" w:cs="Times New Roman"/>
          <w:szCs w:val="20"/>
        </w:rPr>
        <w:t xml:space="preserve"> и отмечает, что Национальная политика в области трудовой миграции предлагает меры по сохранению выплат социального обеспечения. Тем не менее Комитет сожалеет об отсутствии информации о практической реализации этих прав, в частности информации о законодательных требованиях, которые должны выполнять трудящиеся-мигранты с неурегулированным статусом, чтобы иметь доступ к социальному обеспечению наравне с гражданами страны, а также о том, что государство-участник еще не ратифицировало Конвенцию МОТ 1952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 о минимальных нормах социального обеспечения (№ 102). Он обеспокоен тем, что государство-участник до сих пор не заключило двусторонни</w:t>
      </w:r>
      <w:r>
        <w:rPr>
          <w:rFonts w:eastAsia="SimSun" w:cs="Times New Roman"/>
          <w:szCs w:val="20"/>
        </w:rPr>
        <w:t>х</w:t>
      </w:r>
      <w:r w:rsidRPr="002A698C">
        <w:rPr>
          <w:rFonts w:eastAsia="SimSun" w:cs="Times New Roman"/>
          <w:szCs w:val="20"/>
        </w:rPr>
        <w:t xml:space="preserve"> и дальнейши</w:t>
      </w:r>
      <w:r>
        <w:rPr>
          <w:rFonts w:eastAsia="SimSun" w:cs="Times New Roman"/>
          <w:szCs w:val="20"/>
        </w:rPr>
        <w:t>х</w:t>
      </w:r>
      <w:r w:rsidRPr="002A698C">
        <w:rPr>
          <w:rFonts w:eastAsia="SimSun" w:cs="Times New Roman"/>
          <w:szCs w:val="20"/>
        </w:rPr>
        <w:t xml:space="preserve"> многосторонни</w:t>
      </w:r>
      <w:r>
        <w:rPr>
          <w:rFonts w:eastAsia="SimSun" w:cs="Times New Roman"/>
          <w:szCs w:val="20"/>
        </w:rPr>
        <w:t>х</w:t>
      </w:r>
      <w:r w:rsidRPr="002A698C">
        <w:rPr>
          <w:rFonts w:eastAsia="SimSun" w:cs="Times New Roman"/>
          <w:szCs w:val="20"/>
        </w:rPr>
        <w:t xml:space="preserve"> трудовы</w:t>
      </w:r>
      <w:r>
        <w:rPr>
          <w:rFonts w:eastAsia="SimSun" w:cs="Times New Roman"/>
          <w:szCs w:val="20"/>
        </w:rPr>
        <w:t>х</w:t>
      </w:r>
      <w:r w:rsidRPr="002A698C">
        <w:rPr>
          <w:rFonts w:eastAsia="SimSun" w:cs="Times New Roman"/>
          <w:szCs w:val="20"/>
        </w:rPr>
        <w:t xml:space="preserve"> соглашени</w:t>
      </w:r>
      <w:r>
        <w:rPr>
          <w:rFonts w:eastAsia="SimSun" w:cs="Times New Roman"/>
          <w:szCs w:val="20"/>
        </w:rPr>
        <w:t>й</w:t>
      </w:r>
      <w:r w:rsidRPr="002A698C">
        <w:rPr>
          <w:rFonts w:eastAsia="SimSun" w:cs="Times New Roman"/>
          <w:szCs w:val="20"/>
        </w:rPr>
        <w:t xml:space="preserve"> и соглашени</w:t>
      </w:r>
      <w:r>
        <w:rPr>
          <w:rFonts w:eastAsia="SimSun" w:cs="Times New Roman"/>
          <w:szCs w:val="20"/>
        </w:rPr>
        <w:t>й</w:t>
      </w:r>
      <w:r w:rsidRPr="002A698C">
        <w:rPr>
          <w:rFonts w:eastAsia="SimSun" w:cs="Times New Roman"/>
          <w:szCs w:val="20"/>
        </w:rPr>
        <w:t xml:space="preserve"> о социальном обеспечении со странами назначения нигерийских трудящихся-мигрантов и в отношении тех мигрантов, кто работает в самом государстве-участнике.</w:t>
      </w:r>
    </w:p>
    <w:p w14:paraId="6A559706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Комитет, 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1"/>
      </w:r>
      <w:r w:rsidRPr="003B275F">
        <w:rPr>
          <w:rFonts w:eastAsia="SimSun" w:cs="Times New Roman"/>
          <w:bCs/>
          <w:szCs w:val="20"/>
        </w:rPr>
        <w:t>,</w:t>
      </w:r>
      <w:r w:rsidRPr="002A698C">
        <w:rPr>
          <w:rFonts w:eastAsia="SimSun" w:cs="Times New Roman"/>
          <w:b/>
          <w:bCs/>
          <w:szCs w:val="20"/>
        </w:rPr>
        <w:t xml:space="preserve"> рекомендует государству-участнику:</w:t>
      </w:r>
    </w:p>
    <w:p w14:paraId="708FA9B4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обеспечить, чтобы все трудящиеся-мигранты и члены их семей, независимо от их миграционного статуса, могли по закону и на практике участвовать в программах социального обеспечения на основе равенства обращения с трудящимися Нигерии, в том числе в неформальном секторе экономики и после отбытия из государства-участника, а также в случае выдворения и чтобы они были осведомлены о своих правах в этом отношении;</w:t>
      </w:r>
    </w:p>
    <w:p w14:paraId="526E4724" w14:textId="49CFE5D0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заключить со всеми странами назначения, в том числе с Катаром, Кувейтом и Саудовской Аравией, двусторонние и многосторонние соглашения о социальном обеспечении, которые обеспечивают защиту прав человека трудящихся-мигрантов, в том числе права на социальное обеспечение, и</w:t>
      </w:r>
      <w:r w:rsidR="009960A1">
        <w:rPr>
          <w:rFonts w:eastAsia="SimSun" w:cs="Times New Roman"/>
          <w:b/>
          <w:bCs/>
          <w:szCs w:val="20"/>
        </w:rPr>
        <w:t> </w:t>
      </w:r>
      <w:r w:rsidRPr="002D4927">
        <w:rPr>
          <w:rFonts w:eastAsia="SimSun" w:cs="Times New Roman"/>
          <w:b/>
          <w:bCs/>
          <w:szCs w:val="20"/>
        </w:rPr>
        <w:t>включают учитывающие гендерные аспекты механизмы мониторинга и обзора, а также следить за их соблюдением;</w:t>
      </w:r>
    </w:p>
    <w:p w14:paraId="6BAC0784" w14:textId="57F52732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</w:r>
      <w:r w:rsidR="009960A1">
        <w:rPr>
          <w:rFonts w:eastAsia="SimSun" w:cs="Times New Roman"/>
          <w:b/>
          <w:bCs/>
          <w:szCs w:val="20"/>
        </w:rPr>
        <w:t>р</w:t>
      </w:r>
      <w:r w:rsidRPr="002D4927">
        <w:rPr>
          <w:rFonts w:eastAsia="SimSun" w:cs="Times New Roman"/>
          <w:b/>
          <w:bCs/>
          <w:szCs w:val="20"/>
        </w:rPr>
        <w:t>атифицировать Конвенцию 1952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D4927">
        <w:rPr>
          <w:rFonts w:eastAsia="SimSun" w:cs="Times New Roman"/>
          <w:b/>
          <w:bCs/>
          <w:szCs w:val="20"/>
        </w:rPr>
        <w:t>а о минимальных нормах социального обеспечения (№ 102)</w:t>
      </w:r>
      <w:r w:rsidR="001B5457">
        <w:rPr>
          <w:rFonts w:eastAsia="SimSun" w:cs="Times New Roman"/>
          <w:b/>
          <w:bCs/>
          <w:szCs w:val="20"/>
        </w:rPr>
        <w:t>.</w:t>
      </w:r>
    </w:p>
    <w:p w14:paraId="41A9522E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Медицинское обслуживание и образование</w:t>
      </w:r>
    </w:p>
    <w:p w14:paraId="17C29909" w14:textId="539BE90B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52.</w:t>
      </w:r>
      <w:r w:rsidRPr="002A698C">
        <w:rPr>
          <w:rFonts w:eastAsia="SimSun" w:cs="Times New Roman"/>
          <w:szCs w:val="20"/>
        </w:rPr>
        <w:tab/>
        <w:t xml:space="preserve">Комитет </w:t>
      </w:r>
      <w:r>
        <w:rPr>
          <w:rFonts w:eastAsia="SimSun" w:cs="Times New Roman"/>
          <w:szCs w:val="20"/>
        </w:rPr>
        <w:t>принимает к сведению</w:t>
      </w:r>
      <w:r w:rsidRPr="002A698C">
        <w:rPr>
          <w:rFonts w:eastAsia="SimSun" w:cs="Times New Roman"/>
          <w:szCs w:val="20"/>
        </w:rPr>
        <w:t>, что трудящиеся-мигранты и члены их семей, независимо от их миграционного статуса, имеют доступ к основным услугам, таким как медицинское обслуживание, в соответствии со статьей 17 Конституции, что политические директивы в отношении образования, содержащиеся в статье</w:t>
      </w:r>
      <w:r w:rsidR="00417EC2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18 Конституции, применяются в равной степени к ним и гражданам Нигерии, и что статья</w:t>
      </w:r>
      <w:r w:rsidR="00DA15D5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15 Закона о правах ребенка предусматривает право каждого ребенка, включая детей-мигрантов, на бесплатное, обязательное и всеобщее начальное образование. Однако он обеспокоен отсутствием информации о реализации этих положений на практике для трудящихся-мигрантов и членов их семей, в том числе тех, кто имеет неурегулированный статус.</w:t>
      </w:r>
    </w:p>
    <w:p w14:paraId="1F75BE72" w14:textId="55B45018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 учетом своей предыдущей рекомендации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2"/>
      </w:r>
      <w:r w:rsidRPr="00DA15D5">
        <w:rPr>
          <w:rFonts w:eastAsia="SimSun" w:cs="Times New Roman"/>
          <w:bCs/>
          <w:szCs w:val="20"/>
        </w:rPr>
        <w:t xml:space="preserve"> </w:t>
      </w:r>
      <w:r w:rsidRPr="002A698C">
        <w:rPr>
          <w:rFonts w:eastAsia="SimSun" w:cs="Times New Roman"/>
          <w:b/>
          <w:bCs/>
          <w:szCs w:val="20"/>
        </w:rPr>
        <w:t>и в соответствии с совместными замечаниями общего порядка № 3 и № 4 (2017) Комитета и № 22 и</w:t>
      </w:r>
      <w:r w:rsidR="00DA15D5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№ 23 (2017) Комитета по правам ребенка, а также в соответствии с задачей</w:t>
      </w:r>
      <w:r w:rsidR="00417EC2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4.1 целей в области устойчивого развития Комитет рекомендует государству-участнику:</w:t>
      </w:r>
    </w:p>
    <w:p w14:paraId="0317DC88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6E278E">
        <w:rPr>
          <w:rFonts w:eastAsia="SimSun" w:cs="Times New Roman"/>
          <w:b/>
          <w:bCs/>
          <w:color w:val="000000" w:themeColor="text1"/>
          <w:szCs w:val="20"/>
        </w:rPr>
        <w:t>a)</w:t>
      </w:r>
      <w:r w:rsidRPr="006E278E">
        <w:rPr>
          <w:rFonts w:eastAsia="SimSun" w:cs="Times New Roman"/>
          <w:b/>
          <w:bCs/>
          <w:color w:val="000000" w:themeColor="text1"/>
          <w:szCs w:val="20"/>
        </w:rPr>
        <w:tab/>
        <w:t xml:space="preserve">обеспечить, </w:t>
      </w:r>
      <w:r w:rsidRPr="002D4927">
        <w:rPr>
          <w:rFonts w:eastAsia="SimSun" w:cs="Times New Roman"/>
          <w:b/>
          <w:bCs/>
          <w:szCs w:val="20"/>
        </w:rPr>
        <w:t>чтобы все трудящиеся-мигранты и члены их семей, независимо от их миграционного статуса, имели доступ к системе здравоохранения, а дети-мигранты имели по закону и на практике доступ к дошкольному, начальному и среднему образованию на основе равенства обращения с гражданами государства-участника;</w:t>
      </w:r>
    </w:p>
    <w:p w14:paraId="4573FAF6" w14:textId="6CB05641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создать механизм для обеспечения того, чтобы личная информация, предоставляемая мигрантами при регистрации в службах здравоохранения, образовательных учреждениях и других социальных службах, не использовалась в ущерб им для сообщения сведений о них или их дискриминации на основании их гражданства или происхождения или неурегулированного миграционного статуса</w:t>
      </w:r>
      <w:r w:rsidR="006E278E">
        <w:rPr>
          <w:rFonts w:eastAsia="SimSun" w:cs="Times New Roman"/>
          <w:b/>
          <w:bCs/>
          <w:szCs w:val="20"/>
        </w:rPr>
        <w:t>;</w:t>
      </w:r>
    </w:p>
    <w:p w14:paraId="0D6F99FF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  <w:t>включить в свой следующий периодический доклад исчерпывающую и подкрепленную статистическими данными информацию о принятых в этих целях мерах и их результативности.</w:t>
      </w:r>
    </w:p>
    <w:p w14:paraId="0D7381F7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Регистрация рождений и гражданство</w:t>
      </w:r>
    </w:p>
    <w:p w14:paraId="234D884B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54.</w:t>
      </w:r>
      <w:r w:rsidRPr="002A698C">
        <w:rPr>
          <w:rFonts w:eastAsia="SimSun" w:cs="Times New Roman"/>
          <w:szCs w:val="20"/>
        </w:rPr>
        <w:tab/>
        <w:t>Комитет принимает к сведению, что за регистрацию всех детей, включая детей-мигрантов, родившихся в государстве-участнике, отвечает Национальная комиссия по народонаселению. Однако Комитет обеспокоен отсутствием информации о ситуации с регистрацией рождения детей нигерийских мигрантов за рубежом, а также о том, регистрируются ли систематически при рождении в государстве-участнике дети-мигранты, в частности дети с неурегулированным статусом, которые родились не в больницах.</w:t>
      </w:r>
    </w:p>
    <w:p w14:paraId="70727B7C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</w:rPr>
      </w:pPr>
      <w:r w:rsidRPr="002A698C">
        <w:rPr>
          <w:rFonts w:eastAsia="SimSun" w:cs="Times New Roman"/>
          <w:szCs w:val="20"/>
        </w:rPr>
        <w:t>55.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 учетом совместных замечаний общего порядка № 3 и № 4 (2017) Комитета и № 22 и № 23 (2017) Комитета по правам ребенка, а также в соответствии с задачей 16.9 целей в области устойчивого развития Комитет рекомендует государству-участнику:</w:t>
      </w:r>
    </w:p>
    <w:p w14:paraId="72F846DE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обеспечить, чтобы все дети трудящихся-мигрантов из Нигерии за рубежом и дети, рождающиеся на территории государства-участника, в частности дети мигрантов с неурегулированным статусом и просителей убежища, регистрировались при рождении и получали документы, удостоверяющие личность, а также чтобы государство-участник повысило уровень осведомленности родителей-мигрантов о важности регистрации рождений;</w:t>
      </w:r>
    </w:p>
    <w:p w14:paraId="39C3B88C" w14:textId="7FFF21A4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принять необходимые меры, в том числе законодательного характера, для облегчения доступа к гражданству Нигерии для детей, родившихся у трудящихся-мигрантов и членов их семей в государстве-участнике, в частности</w:t>
      </w:r>
      <w:r w:rsidRPr="002A698C">
        <w:rPr>
          <w:rFonts w:eastAsia="SimSun" w:cs="Times New Roman"/>
          <w:b/>
          <w:bCs/>
          <w:szCs w:val="20"/>
        </w:rPr>
        <w:t xml:space="preserve"> детей с неурегулированным статусом, во избежание любого риска того, что они станут лицами без гражданства</w:t>
      </w:r>
      <w:r w:rsidR="000F7FF4">
        <w:rPr>
          <w:rFonts w:eastAsia="SimSun" w:cs="Times New Roman"/>
          <w:b/>
          <w:bCs/>
          <w:szCs w:val="20"/>
        </w:rPr>
        <w:t>.</w:t>
      </w:r>
    </w:p>
    <w:p w14:paraId="248B9D1E" w14:textId="5DADE6B6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4.</w:t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Другие права трудящихся-мигрантов и членов их семей, имеющих постоянный статус (ст</w:t>
      </w:r>
      <w:r w:rsidR="00131C07">
        <w:rPr>
          <w:rFonts w:eastAsia="Times New Roman" w:cs="Times New Roman"/>
          <w:b/>
          <w:bCs/>
          <w:szCs w:val="20"/>
        </w:rPr>
        <w:t>.</w:t>
      </w:r>
      <w:r w:rsidRPr="002A698C">
        <w:rPr>
          <w:rFonts w:eastAsia="Times New Roman" w:cs="Times New Roman"/>
          <w:b/>
          <w:bCs/>
          <w:szCs w:val="20"/>
        </w:rPr>
        <w:t xml:space="preserve"> 36–56)</w:t>
      </w:r>
    </w:p>
    <w:p w14:paraId="1B173B9A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Calibri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Право на вступление в профсоюзы</w:t>
      </w:r>
    </w:p>
    <w:p w14:paraId="65564328" w14:textId="1A829768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56.</w:t>
      </w:r>
      <w:r w:rsidRPr="002A698C">
        <w:rPr>
          <w:rFonts w:eastAsia="SimSun" w:cs="Times New Roman"/>
          <w:szCs w:val="20"/>
        </w:rPr>
        <w:tab/>
        <w:t>Комитет с удовлетворением отмечает, что Закон о профсоюзах и Закон о труде не лишают трудящихся-мигрантов, даже с неурегулированным статусом, права создавать профсоюзы. Однако он сожалеет об отсутствии информации о трудностях, с</w:t>
      </w:r>
      <w:r w:rsidR="00E00C9D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которыми они могут столкнуться при реализации этого права на практике.</w:t>
      </w:r>
    </w:p>
    <w:p w14:paraId="395B48EC" w14:textId="2B498EA1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 принять необходимые меры для обеспечения всем трудящимся-мигрантам права создавать профсоюзы и занимать в них руководящие позиции в соответствии со статьей 40 Конвенции и Конвенцией МОТ 1948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 о свободе объединений и защите права объединяться в профсоюзы (№ 87).</w:t>
      </w:r>
    </w:p>
    <w:p w14:paraId="7E095514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Разрешения на работу и проживание</w:t>
      </w:r>
    </w:p>
    <w:p w14:paraId="4711EE2E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58.</w:t>
      </w:r>
      <w:r w:rsidRPr="002A698C">
        <w:rPr>
          <w:rFonts w:eastAsia="SimSun" w:cs="Times New Roman"/>
          <w:szCs w:val="20"/>
        </w:rPr>
        <w:tab/>
        <w:t>Комитет обеспокоен тем, что потеря работы приводит к потере разрешения на работу, а также вида на жительство для трудящегося-мигранта в том случае, если бывший работодатель не проинформирует Иммиграционную службу Нигерии о расторжении контракта, что негативно сказывается на правовом положении трудящихся-мигрантов.</w:t>
      </w:r>
    </w:p>
    <w:p w14:paraId="15EB35C0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59.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 пересмотреть и усовершенствовать систему выдачи разрешений на работу в целях предотвращения ненадлежащих условий труда и трудовой эксплуатации, в том числе путем:</w:t>
      </w:r>
    </w:p>
    <w:p w14:paraId="7B79D4D2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включения в законодательство положения, гарантирующего наличие у трудящихся-мигрантов, потерявших работу, достаточного времени для обращения в суд за правовой защитой против прекращения трудовых отношений и/или для альтернативного трудоустройства, а также путем воздержания от их высылки;</w:t>
      </w:r>
    </w:p>
    <w:p w14:paraId="0BE686D6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обеспечения того, чтобы дальнейшее действие вида на жительство трудящихся-мигрантов в такой ситуации не зависело от сотрудничества бывшего работодателя с иммиграционными властями.</w:t>
      </w:r>
    </w:p>
    <w:p w14:paraId="25CF6DAD" w14:textId="2B809F98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Положения, применимые к конкретным категориям трудящихся-мигрантов и</w:t>
      </w:r>
      <w:r w:rsidR="0081352F">
        <w:rPr>
          <w:rFonts w:eastAsia="Times New Roman" w:cs="Times New Roman"/>
          <w:b/>
          <w:bCs/>
          <w:szCs w:val="20"/>
        </w:rPr>
        <w:t> </w:t>
      </w:r>
      <w:r w:rsidRPr="002A698C">
        <w:rPr>
          <w:rFonts w:eastAsia="Times New Roman" w:cs="Times New Roman"/>
          <w:b/>
          <w:bCs/>
          <w:szCs w:val="20"/>
        </w:rPr>
        <w:t>членам их семей (ст</w:t>
      </w:r>
      <w:r w:rsidR="00131C07">
        <w:rPr>
          <w:rFonts w:eastAsia="Times New Roman" w:cs="Times New Roman"/>
          <w:b/>
          <w:bCs/>
          <w:szCs w:val="20"/>
        </w:rPr>
        <w:t>.</w:t>
      </w:r>
      <w:r w:rsidRPr="002A698C">
        <w:rPr>
          <w:rFonts w:eastAsia="Times New Roman" w:cs="Times New Roman"/>
          <w:b/>
          <w:bCs/>
          <w:szCs w:val="20"/>
        </w:rPr>
        <w:t xml:space="preserve"> 57–63)</w:t>
      </w:r>
    </w:p>
    <w:p w14:paraId="21AF4696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Приграничные и сезонные рабочие</w:t>
      </w:r>
    </w:p>
    <w:p w14:paraId="5C33BFEF" w14:textId="659D7040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60.</w:t>
      </w:r>
      <w:r w:rsidRPr="002A698C">
        <w:rPr>
          <w:rFonts w:eastAsia="SimSun" w:cs="Times New Roman"/>
          <w:szCs w:val="20"/>
        </w:rPr>
        <w:tab/>
        <w:t>Комитет принимает к сведению разъяснение, данн</w:t>
      </w:r>
      <w:r w:rsidR="0081352F">
        <w:rPr>
          <w:rFonts w:eastAsia="SimSun" w:cs="Times New Roman"/>
          <w:szCs w:val="20"/>
        </w:rPr>
        <w:t>о</w:t>
      </w:r>
      <w:r w:rsidRPr="002A698C">
        <w:rPr>
          <w:rFonts w:eastAsia="SimSun" w:cs="Times New Roman"/>
          <w:szCs w:val="20"/>
        </w:rPr>
        <w:t>е государством-участником в ходе интерактивного диалога о том, что власти Нигерии координируют свои действия с властями соседних государств по вопросам, касающимся приграничных или сезонных работников. Тем не менее он обеспокоен отсутствием законодательства или политики в отношении их присутствия и работы в государстве-участнике, а также тем, что не рассматривается возможность для них свободно выбирать оплачиваемую деятельность по истечении определенного периода.</w:t>
      </w:r>
    </w:p>
    <w:p w14:paraId="48570CB0" w14:textId="2CA8B080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предлагает государству-участнику представить в своем следующем периодическом докладе информацию о мерах, принятых для обеспечения того, чтобы приграничные и сезонные работники могли пользоваться правами, на которые они имеют право в силу своего присутствия и работы на территории государства-участника, в соответствии со статьей</w:t>
      </w:r>
      <w:r w:rsidR="00417EC2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57 Конвенции.</w:t>
      </w:r>
    </w:p>
    <w:p w14:paraId="4E8EA61C" w14:textId="3EB1CFFB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5.</w:t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</w:t>
      </w:r>
      <w:r w:rsidR="00131C07">
        <w:rPr>
          <w:rFonts w:eastAsia="Times New Roman" w:cs="Times New Roman"/>
          <w:b/>
          <w:bCs/>
          <w:szCs w:val="20"/>
        </w:rPr>
        <w:t>.</w:t>
      </w:r>
      <w:r w:rsidRPr="002A698C">
        <w:rPr>
          <w:rFonts w:eastAsia="Times New Roman" w:cs="Times New Roman"/>
          <w:b/>
          <w:bCs/>
          <w:szCs w:val="20"/>
        </w:rPr>
        <w:t xml:space="preserve"> 64–71)</w:t>
      </w:r>
    </w:p>
    <w:p w14:paraId="518768C5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Международное сотрудничество со странами транзита и назначения</w:t>
      </w:r>
    </w:p>
    <w:p w14:paraId="52CB3D49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62.</w:t>
      </w:r>
      <w:r w:rsidRPr="002A698C">
        <w:rPr>
          <w:rFonts w:eastAsia="SimSun" w:cs="Times New Roman"/>
          <w:szCs w:val="20"/>
        </w:rPr>
        <w:tab/>
        <w:t>Комитет обеспокоен тем, что со странами назначения, где проживает значительное число нигерийских трудящихся-мигрантов, не было заключено двусторонних или многосторонних соглашений, направленных на защиту их прав.</w:t>
      </w:r>
    </w:p>
    <w:p w14:paraId="59FAECB0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государству-участнику:</w:t>
      </w:r>
    </w:p>
    <w:p w14:paraId="0A570D9B" w14:textId="659230FC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 xml:space="preserve">заключить двусторонние и многосторонние соглашения о свободном передвижении трудящихся-мигрантов и членов их семей, в частности со странами транзита и назначения, в которых проживает многочисленная нигерийская диаспора, включая страны Европейского </w:t>
      </w:r>
      <w:r w:rsidR="007D6E98">
        <w:rPr>
          <w:rFonts w:eastAsia="SimSun" w:cs="Times New Roman"/>
          <w:b/>
          <w:bCs/>
          <w:szCs w:val="20"/>
        </w:rPr>
        <w:t>с</w:t>
      </w:r>
      <w:r w:rsidRPr="002D4927">
        <w:rPr>
          <w:rFonts w:eastAsia="SimSun" w:cs="Times New Roman"/>
          <w:b/>
          <w:bCs/>
          <w:szCs w:val="20"/>
        </w:rPr>
        <w:t>оюза и Южную Африку, с целью более эффективной защиты их прав и содействия предоставлению соответствующих консульских и других услуг для обеспечения нормальных, справедливых и гуманных условий трудящимся-мигрантам из Нигерии;</w:t>
      </w:r>
    </w:p>
    <w:p w14:paraId="48B1BBD7" w14:textId="76726C48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</w:r>
      <w:r w:rsidR="007D6E98">
        <w:rPr>
          <w:rFonts w:eastAsia="SimSun" w:cs="Times New Roman"/>
          <w:b/>
          <w:bCs/>
          <w:szCs w:val="20"/>
        </w:rPr>
        <w:t>о</w:t>
      </w:r>
      <w:r w:rsidRPr="002D4927">
        <w:rPr>
          <w:rFonts w:eastAsia="SimSun" w:cs="Times New Roman"/>
          <w:b/>
          <w:bCs/>
          <w:szCs w:val="20"/>
        </w:rPr>
        <w:t>беспечить полное соответствие таких многосторонних и двусторонних соглашений Конвенции Замечаниям общего порядка № 1 (2011), №</w:t>
      </w:r>
      <w:r w:rsidR="004B583D">
        <w:rPr>
          <w:rFonts w:eastAsia="SimSun" w:cs="Times New Roman"/>
          <w:b/>
          <w:bCs/>
          <w:szCs w:val="20"/>
        </w:rPr>
        <w:t> </w:t>
      </w:r>
      <w:r w:rsidRPr="002D4927">
        <w:rPr>
          <w:rFonts w:eastAsia="SimSun" w:cs="Times New Roman"/>
          <w:b/>
          <w:bCs/>
          <w:szCs w:val="20"/>
        </w:rPr>
        <w:t>2 (2013) и № 5 (2021) Комитета и совместным Замечаниям общего порядка № 3 и № 4 (2017) Комитета и № 22 и № 23 (2017) Комитета по правам ребенка;</w:t>
      </w:r>
    </w:p>
    <w:p w14:paraId="657FFA59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  <w:t>взаимодействовать с УВКПЧ и обратиться за технической помощью в отношении осуществления указанных соглашений и проведения переговоров по будущим соглашениям, с тем чтобы они были приведены в соответствие с положениями Конвенции.</w:t>
      </w:r>
    </w:p>
    <w:p w14:paraId="79B420F7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Агентства по трудоустройству</w:t>
      </w:r>
    </w:p>
    <w:p w14:paraId="0E618E82" w14:textId="39E5A6FC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64.</w:t>
      </w:r>
      <w:r w:rsidRPr="002A698C">
        <w:rPr>
          <w:rFonts w:eastAsia="SimSun" w:cs="Times New Roman"/>
          <w:szCs w:val="20"/>
        </w:rPr>
        <w:tab/>
        <w:t xml:space="preserve">Комитет с удовлетворением отмечает, что государство-участник разработало надежную нормативную базу для частных агентств по трудоустройству, действующих на территории государства-участника. Однако его беспокоят сообщения о </w:t>
      </w:r>
      <w:r w:rsidR="00417EC2">
        <w:rPr>
          <w:rFonts w:eastAsia="SimSun" w:cs="Times New Roman"/>
          <w:szCs w:val="20"/>
        </w:rPr>
        <w:t>«</w:t>
      </w:r>
      <w:r w:rsidRPr="002A698C">
        <w:rPr>
          <w:rFonts w:eastAsia="SimSun" w:cs="Times New Roman"/>
          <w:szCs w:val="20"/>
        </w:rPr>
        <w:t>неофициальных</w:t>
      </w:r>
      <w:r w:rsidR="00417EC2">
        <w:rPr>
          <w:rFonts w:eastAsia="SimSun" w:cs="Times New Roman"/>
          <w:szCs w:val="20"/>
        </w:rPr>
        <w:t>»</w:t>
      </w:r>
      <w:r w:rsidRPr="002A698C">
        <w:rPr>
          <w:rFonts w:eastAsia="SimSun" w:cs="Times New Roman"/>
          <w:szCs w:val="20"/>
        </w:rPr>
        <w:t xml:space="preserve"> кадровых агентствах, которые работают без лицензии, что приводит к неэтичной практике найма и трудовой эксплуатации нигерийских трудящихся-мигрантов.</w:t>
      </w:r>
    </w:p>
    <w:p w14:paraId="4FA4BE8F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65.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Ссылаясь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3"/>
      </w:r>
      <w:r w:rsidRPr="004B583D">
        <w:rPr>
          <w:rFonts w:eastAsia="SimSun" w:cs="Times New Roman"/>
          <w:bCs/>
          <w:szCs w:val="20"/>
        </w:rPr>
        <w:t xml:space="preserve"> </w:t>
      </w:r>
      <w:r w:rsidRPr="002A698C">
        <w:rPr>
          <w:rFonts w:eastAsia="SimSun" w:cs="Times New Roman"/>
          <w:b/>
          <w:bCs/>
          <w:szCs w:val="20"/>
        </w:rPr>
        <w:t>и в соответствии с Руководящими принципами предпринимательской деятельности в аспекте прав человека, Комитет рекомендует государству-участнику:</w:t>
      </w:r>
    </w:p>
    <w:p w14:paraId="7E2F49AA" w14:textId="79F9B978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 xml:space="preserve">усилить режим регулирования, в частности систему лицензирования, для частных агентств по трудоустройству, в сотрудничестве с Ассоциацией </w:t>
      </w:r>
      <w:r w:rsidR="00417EC2">
        <w:rPr>
          <w:rFonts w:eastAsia="SimSun" w:cs="Times New Roman"/>
          <w:b/>
          <w:bCs/>
          <w:szCs w:val="20"/>
        </w:rPr>
        <w:t>«</w:t>
      </w:r>
      <w:r w:rsidRPr="002D4927">
        <w:rPr>
          <w:rFonts w:eastAsia="SimSun" w:cs="Times New Roman"/>
          <w:b/>
          <w:bCs/>
          <w:szCs w:val="20"/>
        </w:rPr>
        <w:t>Человеческий капитал</w:t>
      </w:r>
      <w:r w:rsidR="00417EC2">
        <w:rPr>
          <w:rFonts w:eastAsia="SimSun" w:cs="Times New Roman"/>
          <w:b/>
          <w:bCs/>
          <w:szCs w:val="20"/>
        </w:rPr>
        <w:t>»</w:t>
      </w:r>
      <w:r w:rsidRPr="002D4927">
        <w:rPr>
          <w:rFonts w:eastAsia="SimSun" w:cs="Times New Roman"/>
          <w:b/>
          <w:bCs/>
          <w:szCs w:val="20"/>
        </w:rPr>
        <w:t>, чтобы обеспечить права трудящихся-мигрантов в соответствии с Конвенцией;</w:t>
      </w:r>
    </w:p>
    <w:p w14:paraId="7729F72A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усилить контроль и проверки в сфере найма персонала, чтобы не допустить взимания частными агентствами по трудоустройству чрезмерно высокой платы за свои услуги, а также их посредничества в работе занимающихся злоупотреблениями иностранных агентств по найму;</w:t>
      </w:r>
    </w:p>
    <w:p w14:paraId="1FFC0291" w14:textId="022DD485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  <w:t xml:space="preserve">обеспечить контроль за тем, чтобы не допустить повторной регистрации недобросовестных агентств, у которых были отозваны лицензии; разработать систему рейтингов, оценивающих поведение агентств по трудоустройству с точки зрения соблюдения норм прав человека и трудовых стандартов, чтобы мигранты могли принимать обоснованные решения; создать рыночные стимулы для соблюдения агентствами норм прав человека и трудовых стандартов; разработать и вести </w:t>
      </w:r>
      <w:r w:rsidR="00417EC2">
        <w:rPr>
          <w:rFonts w:eastAsia="SimSun" w:cs="Times New Roman"/>
          <w:b/>
          <w:bCs/>
          <w:szCs w:val="20"/>
        </w:rPr>
        <w:t>«</w:t>
      </w:r>
      <w:r w:rsidRPr="002D4927">
        <w:rPr>
          <w:rFonts w:eastAsia="SimSun" w:cs="Times New Roman"/>
          <w:b/>
          <w:bCs/>
          <w:szCs w:val="20"/>
        </w:rPr>
        <w:t>черный список</w:t>
      </w:r>
      <w:r w:rsidR="00417EC2">
        <w:rPr>
          <w:rFonts w:eastAsia="SimSun" w:cs="Times New Roman"/>
          <w:b/>
          <w:bCs/>
          <w:szCs w:val="20"/>
        </w:rPr>
        <w:t>»</w:t>
      </w:r>
      <w:r w:rsidRPr="002D4927">
        <w:rPr>
          <w:rFonts w:eastAsia="SimSun" w:cs="Times New Roman"/>
          <w:b/>
          <w:bCs/>
          <w:szCs w:val="20"/>
        </w:rPr>
        <w:t xml:space="preserve"> неэтично ведущих себя агентств, эксплуатирующих трудящихся-мигрантов;</w:t>
      </w:r>
    </w:p>
    <w:p w14:paraId="21FB3557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d)</w:t>
      </w:r>
      <w:r w:rsidRPr="002D4927">
        <w:rPr>
          <w:rFonts w:eastAsia="SimSun" w:cs="Times New Roman"/>
          <w:b/>
          <w:bCs/>
          <w:szCs w:val="20"/>
        </w:rPr>
        <w:tab/>
        <w:t>расследовать и наказывать незаконные действия агентств по найму с целью наказания лиц, причастных к эксплуатации;</w:t>
      </w:r>
    </w:p>
    <w:p w14:paraId="3D3A1B14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e)</w:t>
      </w:r>
      <w:r w:rsidRPr="002D4927">
        <w:rPr>
          <w:rFonts w:eastAsia="SimSun" w:cs="Times New Roman"/>
          <w:b/>
          <w:bCs/>
          <w:szCs w:val="20"/>
        </w:rPr>
        <w:tab/>
        <w:t>обеспечить, чтобы действия, предпринимаемые после выявления неэтичных практик найма, не приводили к экономическому или уголовному наказанию трудящихся-мигрантов.</w:t>
      </w:r>
    </w:p>
    <w:p w14:paraId="792DAB40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Возвращение и реинтеграция</w:t>
      </w:r>
    </w:p>
    <w:p w14:paraId="680FA00C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66.</w:t>
      </w:r>
      <w:r w:rsidRPr="002A698C">
        <w:rPr>
          <w:rFonts w:eastAsia="SimSun" w:cs="Times New Roman"/>
          <w:szCs w:val="20"/>
        </w:rPr>
        <w:tab/>
        <w:t>Комитет воздает должное мерам, принятым для содействия возвращению и реинтеграции нигерийских трудящихся-мигрантов, в том числе в случаях вынужденного возвращения, такие как Программа содействия добровольному возвращению и реинтеграции, осуществляемая в сотрудничестве с МОМ. Однако он обеспокоен оттоком большого числа высококвалифицированных нигерийских трудящихся-мигрантов за рубеж (известным на языке йоруба как Джапа) и сообщениями о том, что стандартные оперативные процедуры Технической рабочей группы по возвращению, реадмиссии и реинтеграции, созданной на федеральном уровне в рамках Национальной политики в области трудовой миграции, не были приняты и адаптированы на уровне штатов, где, в частности, отсутствие потенциала и бюджетные ограничения препятствуют эффективной реинтеграции и социально-экономической поддержке.</w:t>
      </w:r>
    </w:p>
    <w:p w14:paraId="3A7BD87B" w14:textId="5216B5B0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67.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Ссылаясь на свою предыдущую рекомендацию</w:t>
      </w:r>
      <w:r w:rsidR="003F397A" w:rsidRPr="00417EC2">
        <w:rPr>
          <w:rFonts w:eastAsia="SimSun" w:cs="Times New Roman"/>
          <w:sz w:val="18"/>
          <w:szCs w:val="20"/>
          <w:vertAlign w:val="superscript"/>
        </w:rPr>
        <w:footnoteReference w:id="34"/>
      </w:r>
      <w:r w:rsidRPr="002A698C">
        <w:rPr>
          <w:rFonts w:eastAsia="SimSun" w:cs="Times New Roman"/>
          <w:b/>
          <w:bCs/>
          <w:szCs w:val="20"/>
        </w:rPr>
        <w:t>,</w:t>
      </w:r>
      <w:r w:rsidRPr="003F397A">
        <w:rPr>
          <w:rFonts w:eastAsia="SimSun" w:cs="Times New Roman"/>
          <w:b/>
          <w:szCs w:val="20"/>
        </w:rPr>
        <w:t xml:space="preserve"> </w:t>
      </w:r>
      <w:r w:rsidRPr="002A698C">
        <w:rPr>
          <w:rFonts w:eastAsia="SimSun" w:cs="Times New Roman"/>
          <w:b/>
          <w:bCs/>
          <w:szCs w:val="20"/>
        </w:rPr>
        <w:t>Комитет рекомендует государству-участнику:</w:t>
      </w:r>
    </w:p>
    <w:p w14:paraId="3C2CC4A5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обеспечить надлежащие социальные, экономические, правовые и иные условия, необходимые для содействия возвращению при учете гендерных факторов и долговременной реинтеграции нигерийских трудящихся-мигрантов и членов их семей в экономическую, социальную и культурную жизнь государства-участника, в частности на уровне штатов, как это предусмотрено в статье 67 Конвенции и в соответствии с задачей 10.7 целей в области устойчивого развития;</w:t>
      </w:r>
    </w:p>
    <w:p w14:paraId="1C80BF3E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обеспечить, чтобы любые двусторонние или многосторонние соглашения о мобильности или реадмиссии способствовали циркулярной миграции, полезной для экономического, социального и культурного развития государства-участника, и соответствовали Конвенции, а также чтобы такие соглашения включали соответствующие процедурные гарантии.</w:t>
      </w:r>
    </w:p>
    <w:p w14:paraId="12356413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Торговля людьми</w:t>
      </w:r>
    </w:p>
    <w:p w14:paraId="254CE95F" w14:textId="5A73527F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68.</w:t>
      </w:r>
      <w:r w:rsidRPr="002A698C">
        <w:rPr>
          <w:rFonts w:eastAsia="SimSun" w:cs="Times New Roman"/>
          <w:szCs w:val="20"/>
        </w:rPr>
        <w:tab/>
        <w:t>Комитет отмечает усилия по предотвращению торговли людьми, в том числе трудящимися-мигрантами и членами их семей, и борьбе с ней, такие как пересмотр Закона о правоприменении и управлении в отношении (запрета) торговли людьми и принятие Национального плана действий по борьбе с торговлей людьми в Нигерии на 2022</w:t>
      </w:r>
      <w:r>
        <w:rPr>
          <w:rFonts w:eastAsia="SimSun" w:cs="Times New Roman"/>
          <w:szCs w:val="20"/>
        </w:rPr>
        <w:t>–</w:t>
      </w:r>
      <w:r w:rsidRPr="002A698C">
        <w:rPr>
          <w:rFonts w:eastAsia="SimSun" w:cs="Times New Roman"/>
          <w:szCs w:val="20"/>
        </w:rPr>
        <w:t>2026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ы, а также деятельность, осуществляемую Национальным агентством по запрету торговли людьми. Тем не менее Комитет обеспокоен тем, что государство-участник считается страной с очень высоким числом жертв торговли людьми, в</w:t>
      </w:r>
      <w:r w:rsidR="002C6D7C">
        <w:rPr>
          <w:rFonts w:eastAsia="SimSun" w:cs="Times New Roman"/>
          <w:szCs w:val="20"/>
        </w:rPr>
        <w:t> </w:t>
      </w:r>
      <w:r w:rsidRPr="002A698C">
        <w:rPr>
          <w:rFonts w:eastAsia="SimSun" w:cs="Times New Roman"/>
          <w:szCs w:val="20"/>
        </w:rPr>
        <w:t>частности женщинами и детьми, эксплуатируемыми в сфере принудительного труда и проституции, что указывает на возможную неразвитость законодательных, политических и институциональных мер, принимаемых для предотвращения этого явл</w:t>
      </w:r>
      <w:r>
        <w:rPr>
          <w:rFonts w:eastAsia="SimSun" w:cs="Times New Roman"/>
          <w:szCs w:val="20"/>
        </w:rPr>
        <w:t>е</w:t>
      </w:r>
      <w:r w:rsidRPr="002A698C">
        <w:rPr>
          <w:rFonts w:eastAsia="SimSun" w:cs="Times New Roman"/>
          <w:szCs w:val="20"/>
        </w:rPr>
        <w:t>ния и борьбы с ним.</w:t>
      </w:r>
    </w:p>
    <w:p w14:paraId="12A1AB65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69.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Со ссылкой на свою предыдущую рекомендацию</w:t>
      </w:r>
      <w:r w:rsidRPr="00417EC2">
        <w:rPr>
          <w:rFonts w:eastAsia="SimSun" w:cs="Times New Roman"/>
          <w:sz w:val="18"/>
          <w:szCs w:val="20"/>
          <w:vertAlign w:val="superscript"/>
        </w:rPr>
        <w:footnoteReference w:id="35"/>
      </w:r>
      <w:r w:rsidRPr="002C6D7C">
        <w:rPr>
          <w:rFonts w:eastAsia="SimSun" w:cs="Times New Roman"/>
          <w:bCs/>
          <w:szCs w:val="20"/>
        </w:rPr>
        <w:t xml:space="preserve"> </w:t>
      </w:r>
      <w:r w:rsidRPr="002A698C">
        <w:rPr>
          <w:rFonts w:eastAsia="SimSun" w:cs="Times New Roman"/>
          <w:b/>
          <w:bCs/>
          <w:szCs w:val="20"/>
        </w:rPr>
        <w:t>и в соответствии с Рекомендуемыми принципами и руководящими положениями УВКПЧ по вопросу о правах человека и торговле людьми, а также с задачей 5.2 целей в области устойчивого развития Комитет рекомендует государству-участнику:</w:t>
      </w:r>
    </w:p>
    <w:p w14:paraId="5F38F8E9" w14:textId="416A5F61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выделить достаточные кадровые, технические и финансовые ресурсы для реализации Национального плана действий по борьбе с торговлей людьми в Нигерии на 2022–2026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D4927">
        <w:rPr>
          <w:rFonts w:eastAsia="SimSun" w:cs="Times New Roman"/>
          <w:b/>
          <w:bCs/>
          <w:szCs w:val="20"/>
        </w:rPr>
        <w:t>ы, направленного на предотвращение торговли людьми, особенно женщинами и детьми, и борьбу с ней;</w:t>
      </w:r>
    </w:p>
    <w:p w14:paraId="27B1FDD4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усилить руководящие положения по раннему выявлению жертв торговли людьми и укрепить механизмы поддержки, перенаправления, реабилитации и социальной интеграции жертв торговли людьми, в том числе путем предоставления им доступа к приютам, а также правовой, медицинской и психосоциальной помощи;</w:t>
      </w:r>
    </w:p>
    <w:p w14:paraId="7263792A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  <w:t>обеспечивать предоставление надлежащей помощи и защиты детям, являющимся жертвами торговли людьми (необходимо в полной мере учитывать их особые права и потребности);</w:t>
      </w:r>
    </w:p>
    <w:p w14:paraId="6D2C4793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d)</w:t>
      </w:r>
      <w:r w:rsidRPr="002D4927">
        <w:rPr>
          <w:rFonts w:eastAsia="SimSun" w:cs="Times New Roman"/>
          <w:b/>
          <w:bCs/>
          <w:szCs w:val="20"/>
        </w:rPr>
        <w:tab/>
        <w:t>проводить эффективное расследование и судебное преследование по делам, связанным с торговлей людьми, и назначать виновным наказания, соизмеримые с тяжестью этого преступления;</w:t>
      </w:r>
    </w:p>
    <w:p w14:paraId="56C2D467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e)</w:t>
      </w:r>
      <w:r w:rsidRPr="002D4927">
        <w:rPr>
          <w:rFonts w:eastAsia="SimSun" w:cs="Times New Roman"/>
          <w:b/>
          <w:bCs/>
          <w:szCs w:val="20"/>
        </w:rPr>
        <w:tab/>
        <w:t>усилить подготовку сотрудников правоохранительных органов, судей, прокуроров, инспекторов по труду, учителей, медицинских работников и сотрудников дипломатических представительств государства-участника с учетом гендерных аспектов и интересов детей, а также шире распространять информацию о торговле людьми и о помощи жертвам;</w:t>
      </w:r>
    </w:p>
    <w:p w14:paraId="0B5B52F5" w14:textId="01762133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f)</w:t>
      </w:r>
      <w:r w:rsidRPr="002D4927">
        <w:rPr>
          <w:rFonts w:eastAsia="SimSun" w:cs="Times New Roman"/>
          <w:b/>
          <w:bCs/>
          <w:szCs w:val="20"/>
        </w:rPr>
        <w:tab/>
        <w:t xml:space="preserve">активизировать информационно-просветительские кампании и предоставление информации о предотвращении торговли трудящимися-мигрантами, а также призвать частный сектор принять политику </w:t>
      </w:r>
      <w:r w:rsidR="00417EC2">
        <w:rPr>
          <w:rFonts w:eastAsia="SimSun" w:cs="Times New Roman"/>
          <w:b/>
          <w:bCs/>
          <w:szCs w:val="20"/>
        </w:rPr>
        <w:t>«</w:t>
      </w:r>
      <w:r w:rsidRPr="002D4927">
        <w:rPr>
          <w:rFonts w:eastAsia="SimSun" w:cs="Times New Roman"/>
          <w:b/>
          <w:bCs/>
          <w:szCs w:val="20"/>
        </w:rPr>
        <w:t>нулевой терпимости</w:t>
      </w:r>
      <w:r w:rsidR="00417EC2">
        <w:rPr>
          <w:rFonts w:eastAsia="SimSun" w:cs="Times New Roman"/>
          <w:b/>
          <w:bCs/>
          <w:szCs w:val="20"/>
        </w:rPr>
        <w:t>»</w:t>
      </w:r>
      <w:r w:rsidRPr="002D4927">
        <w:rPr>
          <w:rFonts w:eastAsia="SimSun" w:cs="Times New Roman"/>
          <w:b/>
          <w:bCs/>
          <w:szCs w:val="20"/>
        </w:rPr>
        <w:t xml:space="preserve"> к секс-туризму и защищать людей от всех форм эксплуатации, включая коммерческую сексуальную эксплуатацию, принудительный труд и принудительное предоставление услуг;</w:t>
      </w:r>
    </w:p>
    <w:p w14:paraId="498A24D2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g)</w:t>
      </w:r>
      <w:r w:rsidRPr="002D4927">
        <w:rPr>
          <w:rFonts w:eastAsia="SimSun" w:cs="Times New Roman"/>
          <w:b/>
          <w:bCs/>
          <w:szCs w:val="20"/>
        </w:rPr>
        <w:tab/>
        <w:t>укреплять международное, региональное и двустороннее сотрудничество посредством заключения со странами происхождения, транзита и назначения соглашений о предотвращении торговли людьми и борьбе с этим явлением;</w:t>
      </w:r>
    </w:p>
    <w:p w14:paraId="53B35F62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h)</w:t>
      </w:r>
      <w:r w:rsidRPr="002D4927">
        <w:rPr>
          <w:rFonts w:eastAsia="SimSun" w:cs="Times New Roman"/>
          <w:b/>
          <w:bCs/>
          <w:szCs w:val="20"/>
        </w:rPr>
        <w:tab/>
        <w:t>собирать и регулярно публиковать дезагрегированные данные о масштабах этого явления, в том числе о количестве жертв торговли людьми и незаконно ввезенных мигрантов, подавших заявления на предоставление им временного или постоянного вида на жительство, и количестве выданных разрешений;</w:t>
      </w:r>
    </w:p>
    <w:p w14:paraId="235F1D4D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i)</w:t>
      </w:r>
      <w:r w:rsidRPr="002D4927">
        <w:rPr>
          <w:rFonts w:eastAsia="SimSun" w:cs="Times New Roman"/>
          <w:b/>
          <w:bCs/>
          <w:szCs w:val="20"/>
        </w:rPr>
        <w:tab/>
        <w:t>предоставить в своем следующем периодическом докладе данные о торговле людьми, эксплуатации в сфере проституции женщин и девочек, о количестве случаев привлечения к ответственности и вынесения обвинительных приговоров по делам о торговле людьми и сексуальной эксплуатации, а также информацию о результативности мер, принятых в целях борьбы с этими явлениями.</w:t>
      </w:r>
    </w:p>
    <w:p w14:paraId="12F3DFA1" w14:textId="5AB3B46C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Меры по упорядочиванию ситуации трудящихся-мигрантов с</w:t>
      </w:r>
      <w:r w:rsidR="00C14419">
        <w:rPr>
          <w:rFonts w:eastAsia="Times New Roman" w:cs="Times New Roman"/>
          <w:b/>
          <w:bCs/>
          <w:szCs w:val="20"/>
        </w:rPr>
        <w:t> </w:t>
      </w:r>
      <w:r w:rsidRPr="002A698C">
        <w:rPr>
          <w:rFonts w:eastAsia="Times New Roman" w:cs="Times New Roman"/>
          <w:b/>
          <w:bCs/>
          <w:szCs w:val="20"/>
        </w:rPr>
        <w:t>неурегулированным статусом</w:t>
      </w:r>
    </w:p>
    <w:p w14:paraId="30D6CFFF" w14:textId="49AFE6B2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70.</w:t>
      </w:r>
      <w:r w:rsidRPr="002A698C">
        <w:rPr>
          <w:rFonts w:eastAsia="SimSun" w:cs="Times New Roman"/>
          <w:szCs w:val="20"/>
        </w:rPr>
        <w:tab/>
        <w:t>Комитет отмечает внедрение государством-участником системы электронной регистрации и создание ресурсных центров для мигрантов с целью обеспечения того, чтобы изменить положение трудящихся-мигрантов с неурегулированным статусом и членов их семей на его территории, а также адресованные заинтересованным сторонам меры по повышению осведомленности, обучению и наращиванию потенциала в целях предотвращения неупорядоченной миграции. Однако он обеспокоен тем, что отсутствие у мигрантов с неурегулированным статусом регистрации в Иммиграционной службе Нигерии является уголовным преступлением и влечет за собой тюремное заключение в соответствии с пунктом 5 статьи 57 Закона об иммиграции 2015</w:t>
      </w:r>
      <w:r w:rsidR="00417EC2">
        <w:rPr>
          <w:rFonts w:eastAsia="SimSun" w:cs="Times New Roman"/>
          <w:szCs w:val="20"/>
        </w:rPr>
        <w:t> год</w:t>
      </w:r>
      <w:r w:rsidRPr="002A698C">
        <w:rPr>
          <w:rFonts w:eastAsia="SimSun" w:cs="Times New Roman"/>
          <w:szCs w:val="20"/>
        </w:rPr>
        <w:t>а, а также тем, что владельцы мест, в которых проживают нелегальные мигранты, должны сообщать о них властям.</w:t>
      </w:r>
    </w:p>
    <w:p w14:paraId="3BF63F6E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71.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В соответствии с Рекомендуемыми принципами и руководящими положениями УВКПЧ по правам человека на международных границах Комитет рекомендует государству-участнику:</w:t>
      </w:r>
    </w:p>
    <w:p w14:paraId="70EC37F9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a)</w:t>
      </w:r>
      <w:r w:rsidRPr="002D4927">
        <w:rPr>
          <w:rFonts w:eastAsia="SimSun" w:cs="Times New Roman"/>
          <w:b/>
          <w:bCs/>
          <w:szCs w:val="20"/>
        </w:rPr>
        <w:tab/>
        <w:t>декриминализировать отсутствие регистрации у властей в качестве мигрантов с неурегулированным статусом и отменить обязанность третьих лиц доносить на них;</w:t>
      </w:r>
    </w:p>
    <w:p w14:paraId="312C4391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b)</w:t>
      </w:r>
      <w:r w:rsidRPr="002D4927">
        <w:rPr>
          <w:rFonts w:eastAsia="SimSun" w:cs="Times New Roman"/>
          <w:b/>
          <w:bCs/>
          <w:szCs w:val="20"/>
        </w:rPr>
        <w:tab/>
        <w:t>рассмотреть результаты мер по решению проблемы неупорядоченной миграции или незаконного ввоза мигрантов, направленных на урегулирование положения трудящихся-мигрантов с неурегулированным статусом и членов их семей, в частности трудящихся женщин-мигрантов, с тем чтобы не допустить сохранения такого положения;</w:t>
      </w:r>
    </w:p>
    <w:p w14:paraId="0A28F21D" w14:textId="77777777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c)</w:t>
      </w:r>
      <w:r w:rsidRPr="002D4927">
        <w:rPr>
          <w:rFonts w:eastAsia="SimSun" w:cs="Times New Roman"/>
          <w:b/>
          <w:bCs/>
          <w:szCs w:val="20"/>
        </w:rPr>
        <w:tab/>
        <w:t>повысить осведомленность трудящихся-мигрантов с неурегулированным статусом о таких процедурах;</w:t>
      </w:r>
    </w:p>
    <w:p w14:paraId="5FDCED3E" w14:textId="4EC2074B" w:rsidR="002D4927" w:rsidRPr="002D4927" w:rsidRDefault="002D4927" w:rsidP="002D4927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</w:rPr>
      </w:pPr>
      <w:r w:rsidRPr="002D4927">
        <w:rPr>
          <w:rFonts w:eastAsia="SimSun" w:cs="Times New Roman"/>
          <w:b/>
          <w:bCs/>
          <w:szCs w:val="20"/>
        </w:rPr>
        <w:t>d)</w:t>
      </w:r>
      <w:r w:rsidRPr="002D4927">
        <w:rPr>
          <w:rFonts w:eastAsia="SimSun" w:cs="Times New Roman"/>
          <w:b/>
          <w:bCs/>
          <w:szCs w:val="20"/>
        </w:rPr>
        <w:tab/>
        <w:t>предоставить в своем следующем периодическом докладе информацию о мерах по урегулированию статуса и их результатах.</w:t>
      </w:r>
    </w:p>
    <w:p w14:paraId="398651E5" w14:textId="35AD31C3" w:rsidR="002D4927" w:rsidRPr="002D4927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bCs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6.</w:t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Распространение информации и последующие действия</w:t>
      </w:r>
    </w:p>
    <w:p w14:paraId="71008705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Распространение информации</w:t>
      </w:r>
    </w:p>
    <w:p w14:paraId="3C48B9F0" w14:textId="77777777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72.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просит государство-участник обеспечить своевременное распространение настоящих заключительных замечаний на официальных и признанных языках государства-участника среди соответствующих государственных учреждений всех уровней, в том числе среди министерств, законодательных, судебных и соответствующих местных органов власти, а также неправительственных организаций и других субъектов гражданского общества.</w:t>
      </w:r>
    </w:p>
    <w:p w14:paraId="4D11EE0D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Техническая помощь</w:t>
      </w:r>
    </w:p>
    <w:p w14:paraId="43E63599" w14:textId="2AC78DD4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73.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 xml:space="preserve">Комитет рекомендует государству-участнику пользоваться международной и межправительственной помощью для выполнения </w:t>
      </w:r>
      <w:r w:rsidRPr="00DC7CDD">
        <w:rPr>
          <w:rFonts w:eastAsia="SimSun" w:cs="Times New Roman"/>
          <w:b/>
          <w:bCs/>
          <w:szCs w:val="20"/>
        </w:rPr>
        <w:t xml:space="preserve">содержащихся в настоящих заключительных замечаниях </w:t>
      </w:r>
      <w:r w:rsidRPr="002A698C">
        <w:rPr>
          <w:rFonts w:eastAsia="SimSun" w:cs="Times New Roman"/>
          <w:b/>
          <w:bCs/>
          <w:szCs w:val="20"/>
        </w:rPr>
        <w:t>рекомендаций в соответствии с Повесткой дня в области устойчивого развития на период до 2030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а.</w:t>
      </w:r>
      <w:r w:rsidRPr="002A698C">
        <w:rPr>
          <w:rFonts w:eastAsia="SimSun" w:cs="Times New Roman"/>
          <w:szCs w:val="20"/>
        </w:rPr>
        <w:t xml:space="preserve"> </w:t>
      </w:r>
      <w:r w:rsidRPr="002A698C">
        <w:rPr>
          <w:rFonts w:eastAsia="SimSun" w:cs="Times New Roman"/>
          <w:b/>
          <w:bCs/>
          <w:szCs w:val="20"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71A3165B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Последующая деятельность в связи с заключительными замечаниями</w:t>
      </w:r>
    </w:p>
    <w:p w14:paraId="189D90DB" w14:textId="3A92CE22" w:rsidR="002D4927" w:rsidRPr="002A698C" w:rsidRDefault="002D4927" w:rsidP="002D4927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2A698C">
        <w:rPr>
          <w:rFonts w:eastAsia="SimSun" w:cs="Times New Roman"/>
          <w:szCs w:val="20"/>
        </w:rPr>
        <w:t>74.</w:t>
      </w:r>
      <w:r w:rsidRPr="002A698C">
        <w:rPr>
          <w:rFonts w:eastAsia="SimSun" w:cs="Times New Roman"/>
          <w:szCs w:val="20"/>
        </w:rPr>
        <w:tab/>
      </w:r>
      <w:r w:rsidRPr="002A698C">
        <w:rPr>
          <w:rFonts w:eastAsia="SimSun" w:cs="Times New Roman"/>
          <w:b/>
          <w:bCs/>
          <w:szCs w:val="20"/>
        </w:rPr>
        <w:t>Комитет просит государство-участник представить в течение двух лет (т.</w:t>
      </w:r>
      <w:r w:rsidR="00417EC2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е.</w:t>
      </w:r>
      <w:r w:rsidR="00417EC2">
        <w:rPr>
          <w:rFonts w:eastAsia="SimSun" w:cs="Times New Roman"/>
          <w:b/>
          <w:bCs/>
          <w:szCs w:val="20"/>
        </w:rPr>
        <w:t> </w:t>
      </w:r>
      <w:r w:rsidRPr="002A698C">
        <w:rPr>
          <w:rFonts w:eastAsia="SimSun" w:cs="Times New Roman"/>
          <w:b/>
          <w:bCs/>
          <w:szCs w:val="20"/>
        </w:rPr>
        <w:t>к 1 мая 2025</w:t>
      </w:r>
      <w:r w:rsidR="00417EC2">
        <w:rPr>
          <w:rFonts w:eastAsia="SimSun" w:cs="Times New Roman"/>
          <w:b/>
          <w:bCs/>
          <w:szCs w:val="20"/>
        </w:rPr>
        <w:t> год</w:t>
      </w:r>
      <w:r w:rsidRPr="002A698C">
        <w:rPr>
          <w:rFonts w:eastAsia="SimSun" w:cs="Times New Roman"/>
          <w:b/>
          <w:bCs/>
          <w:szCs w:val="20"/>
        </w:rPr>
        <w:t>а) письменную информацию о выполнении рекомендаций, содержащихся в пункте 13 (законодательство и его применение), пункте 33 (право на эффективное средство правовой защиты), пунктах 41 a)</w:t>
      </w:r>
      <w:r>
        <w:rPr>
          <w:rFonts w:eastAsia="SimSun" w:cs="Times New Roman"/>
          <w:b/>
          <w:bCs/>
          <w:szCs w:val="20"/>
        </w:rPr>
        <w:t>–</w:t>
      </w:r>
      <w:r w:rsidRPr="002A698C">
        <w:rPr>
          <w:rFonts w:eastAsia="SimSun" w:cs="Times New Roman"/>
          <w:b/>
          <w:bCs/>
          <w:szCs w:val="20"/>
        </w:rPr>
        <w:t>c), d) ii</w:t>
      </w:r>
      <w:r w:rsidR="00C14419">
        <w:rPr>
          <w:rFonts w:eastAsia="SimSun" w:cs="Times New Roman"/>
          <w:b/>
          <w:bCs/>
          <w:szCs w:val="20"/>
        </w:rPr>
        <w:t>–</w:t>
      </w:r>
      <w:r w:rsidRPr="002A698C">
        <w:rPr>
          <w:rFonts w:eastAsia="SimSun" w:cs="Times New Roman"/>
          <w:b/>
          <w:bCs/>
          <w:szCs w:val="20"/>
        </w:rPr>
        <w:t xml:space="preserve">iv) </w:t>
      </w:r>
      <w:r w:rsidR="00DD34BA">
        <w:rPr>
          <w:rFonts w:eastAsia="SimSun" w:cs="Times New Roman"/>
          <w:b/>
          <w:bCs/>
          <w:szCs w:val="20"/>
        </w:rPr>
        <w:br/>
      </w:r>
      <w:r w:rsidRPr="002A698C">
        <w:rPr>
          <w:rFonts w:eastAsia="SimSun" w:cs="Times New Roman"/>
          <w:b/>
          <w:bCs/>
          <w:szCs w:val="20"/>
        </w:rPr>
        <w:t>и h) (надлежащая правовая процедура, задержание и равенство перед судом) и пункте 63 (международное сотрудничество со странами транзита и назначения).</w:t>
      </w:r>
    </w:p>
    <w:p w14:paraId="6FCAD555" w14:textId="77777777" w:rsidR="002D4927" w:rsidRPr="002A698C" w:rsidRDefault="002D4927" w:rsidP="002D492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szCs w:val="20"/>
        </w:rPr>
        <w:tab/>
      </w:r>
      <w:r w:rsidRPr="002A698C">
        <w:rPr>
          <w:rFonts w:eastAsia="Times New Roman" w:cs="Times New Roman"/>
          <w:b/>
          <w:bCs/>
          <w:szCs w:val="20"/>
        </w:rPr>
        <w:t>Следующий периодический доклад</w:t>
      </w:r>
    </w:p>
    <w:p w14:paraId="38024144" w14:textId="2B6616E8" w:rsidR="002D4927" w:rsidRPr="00CA5C2F" w:rsidRDefault="002D4927" w:rsidP="002D4927">
      <w:pPr>
        <w:pStyle w:val="SingleTxtG"/>
        <w:rPr>
          <w:rFonts w:eastAsia="SimSun"/>
        </w:rPr>
      </w:pPr>
      <w:r w:rsidRPr="002A698C">
        <w:rPr>
          <w:rFonts w:eastAsia="SimSun"/>
        </w:rPr>
        <w:t>75.</w:t>
      </w:r>
      <w:r w:rsidRPr="002A698C">
        <w:rPr>
          <w:rFonts w:eastAsia="SimSun"/>
        </w:rPr>
        <w:tab/>
      </w:r>
      <w:r w:rsidRPr="002D4927">
        <w:rPr>
          <w:rFonts w:eastAsia="SimSun"/>
          <w:b/>
          <w:bCs/>
        </w:rPr>
        <w:t>Третий периодический доклад государства-участника должен быть представлен к 1 мая 2028</w:t>
      </w:r>
      <w:r w:rsidR="00417EC2">
        <w:rPr>
          <w:rFonts w:eastAsia="SimSun"/>
          <w:b/>
          <w:bCs/>
        </w:rPr>
        <w:t> год</w:t>
      </w:r>
      <w:r w:rsidRPr="002D4927">
        <w:rPr>
          <w:rFonts w:eastAsia="SimSun"/>
          <w:b/>
          <w:bCs/>
        </w:rPr>
        <w:t>а. Комитет утвердит перечень вопросов до представления доклада на одной из своих сессий, предшествующих этой дате, в</w:t>
      </w:r>
      <w:r w:rsidR="00DD34BA">
        <w:rPr>
          <w:rFonts w:eastAsia="SimSun"/>
          <w:b/>
          <w:bCs/>
        </w:rPr>
        <w:t> </w:t>
      </w:r>
      <w:r w:rsidRPr="002D4927">
        <w:rPr>
          <w:rFonts w:eastAsia="SimSun"/>
          <w:b/>
          <w:bCs/>
        </w:rPr>
        <w:t>соответствии с упрощенной процедурой представления докладов, если только государство-участник не сделает однозначного выбора в пользу традиционной процедуры представления докладов для своего третьего периодического доклада. 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417EC2">
        <w:rPr>
          <w:rFonts w:eastAsia="SimSun"/>
          <w:sz w:val="18"/>
          <w:vertAlign w:val="superscript"/>
        </w:rPr>
        <w:footnoteReference w:id="36"/>
      </w:r>
      <w:r w:rsidR="00CA5C2F" w:rsidRPr="00CA5C2F">
        <w:rPr>
          <w:rFonts w:eastAsia="SimSun"/>
          <w:b/>
          <w:bCs/>
        </w:rPr>
        <w:t>.</w:t>
      </w:r>
    </w:p>
    <w:p w14:paraId="0D6411AD" w14:textId="360695CA" w:rsidR="00381C24" w:rsidRPr="00BC18B2" w:rsidRDefault="002D4927" w:rsidP="002D4927">
      <w:pPr>
        <w:pStyle w:val="SingleTxtG"/>
        <w:spacing w:before="240" w:after="0"/>
        <w:jc w:val="center"/>
      </w:pP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</w:p>
    <w:sectPr w:rsidR="00381C24" w:rsidRPr="00BC18B2" w:rsidSect="002D49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C994A" w14:textId="77777777" w:rsidR="005466CA" w:rsidRPr="00A312BC" w:rsidRDefault="005466CA" w:rsidP="00A312BC"/>
  </w:endnote>
  <w:endnote w:type="continuationSeparator" w:id="0">
    <w:p w14:paraId="2F44751D" w14:textId="77777777" w:rsidR="005466CA" w:rsidRPr="00A312BC" w:rsidRDefault="005466C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621E" w14:textId="17DC9B6E" w:rsidR="002D4927" w:rsidRPr="002D4927" w:rsidRDefault="002D4927">
    <w:pPr>
      <w:pStyle w:val="a8"/>
    </w:pPr>
    <w:r w:rsidRPr="002D4927">
      <w:rPr>
        <w:b/>
        <w:sz w:val="18"/>
      </w:rPr>
      <w:fldChar w:fldCharType="begin"/>
    </w:r>
    <w:r w:rsidRPr="002D4927">
      <w:rPr>
        <w:b/>
        <w:sz w:val="18"/>
      </w:rPr>
      <w:instrText xml:space="preserve"> PAGE  \* MERGEFORMAT </w:instrText>
    </w:r>
    <w:r w:rsidRPr="002D4927">
      <w:rPr>
        <w:b/>
        <w:sz w:val="18"/>
      </w:rPr>
      <w:fldChar w:fldCharType="separate"/>
    </w:r>
    <w:r w:rsidRPr="002D4927">
      <w:rPr>
        <w:b/>
        <w:noProof/>
        <w:sz w:val="18"/>
      </w:rPr>
      <w:t>2</w:t>
    </w:r>
    <w:r w:rsidRPr="002D4927">
      <w:rPr>
        <w:b/>
        <w:sz w:val="18"/>
      </w:rPr>
      <w:fldChar w:fldCharType="end"/>
    </w:r>
    <w:r>
      <w:rPr>
        <w:b/>
        <w:sz w:val="18"/>
      </w:rPr>
      <w:tab/>
    </w:r>
    <w:r>
      <w:t>GE.23-08689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4A28C" w14:textId="59B7D7FD" w:rsidR="002D4927" w:rsidRPr="002D4927" w:rsidRDefault="002D4927" w:rsidP="002D4927">
    <w:pPr>
      <w:pStyle w:val="a8"/>
      <w:tabs>
        <w:tab w:val="clear" w:pos="9639"/>
        <w:tab w:val="right" w:pos="9638"/>
      </w:tabs>
      <w:rPr>
        <w:b/>
        <w:sz w:val="18"/>
      </w:rPr>
    </w:pPr>
    <w:r>
      <w:t>GE.23-08689</w:t>
    </w:r>
    <w:r>
      <w:tab/>
    </w:r>
    <w:r w:rsidRPr="002D4927">
      <w:rPr>
        <w:b/>
        <w:sz w:val="18"/>
      </w:rPr>
      <w:fldChar w:fldCharType="begin"/>
    </w:r>
    <w:r w:rsidRPr="002D4927">
      <w:rPr>
        <w:b/>
        <w:sz w:val="18"/>
      </w:rPr>
      <w:instrText xml:space="preserve"> PAGE  \* MERGEFORMAT </w:instrText>
    </w:r>
    <w:r w:rsidRPr="002D4927">
      <w:rPr>
        <w:b/>
        <w:sz w:val="18"/>
      </w:rPr>
      <w:fldChar w:fldCharType="separate"/>
    </w:r>
    <w:r w:rsidRPr="002D4927">
      <w:rPr>
        <w:b/>
        <w:noProof/>
        <w:sz w:val="18"/>
      </w:rPr>
      <w:t>3</w:t>
    </w:r>
    <w:r w:rsidRPr="002D492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8344D" w14:textId="011C05F1" w:rsidR="00042B72" w:rsidRPr="002D4927" w:rsidRDefault="002D4927" w:rsidP="002D4927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AE3063" wp14:editId="2C1726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23-08689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14513C" wp14:editId="186CC36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030823  2</w:t>
    </w:r>
    <w:r w:rsidR="000944DB">
      <w:rPr>
        <w:lang w:val="fr-CH"/>
      </w:rPr>
      <w:t>5</w:t>
    </w:r>
    <w:r>
      <w:rPr>
        <w:lang w:val="fr-CH"/>
      </w:rPr>
      <w:t>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4851" w14:textId="77777777" w:rsidR="005466CA" w:rsidRPr="001075E9" w:rsidRDefault="005466C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56F401" w14:textId="77777777" w:rsidR="005466CA" w:rsidRDefault="005466C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2E1DA7" w14:textId="7F779FEA" w:rsidR="002D4927" w:rsidRPr="0061102E" w:rsidRDefault="002D4927" w:rsidP="002D4927">
      <w:pPr>
        <w:pStyle w:val="ad"/>
      </w:pPr>
      <w:r>
        <w:tab/>
      </w:r>
      <w:r w:rsidRPr="00AE4937">
        <w:rPr>
          <w:sz w:val="20"/>
        </w:rPr>
        <w:t>*</w:t>
      </w:r>
      <w:r>
        <w:tab/>
        <w:t>Приняты Комитетом на его тридцать шестой сессии (27 марта — 6 апреля 2023</w:t>
      </w:r>
      <w:r w:rsidR="00417EC2">
        <w:t> год</w:t>
      </w:r>
      <w:r>
        <w:t>а).</w:t>
      </w:r>
    </w:p>
  </w:footnote>
  <w:footnote w:id="2">
    <w:p w14:paraId="0B346D55" w14:textId="559BA21B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hyperlink r:id="rId1" w:history="1">
        <w:r w:rsidRPr="00A8761D">
          <w:rPr>
            <w:rStyle w:val="af1"/>
          </w:rPr>
          <w:t>CMW/C/NGA/1-2</w:t>
        </w:r>
      </w:hyperlink>
      <w:r w:rsidRPr="0067103A">
        <w:t>.</w:t>
      </w:r>
      <w:r>
        <w:t xml:space="preserve"> </w:t>
      </w:r>
    </w:p>
  </w:footnote>
  <w:footnote w:id="3">
    <w:p w14:paraId="75530B4D" w14:textId="1253EACA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 w:rsidRPr="0067103A">
        <w:t xml:space="preserve">См. </w:t>
      </w:r>
      <w:hyperlink r:id="rId2" w:history="1">
        <w:r w:rsidRPr="00A8761D">
          <w:rPr>
            <w:rStyle w:val="af1"/>
          </w:rPr>
          <w:t>CMW/C/SR.517</w:t>
        </w:r>
      </w:hyperlink>
      <w:r w:rsidRPr="0067103A">
        <w:t xml:space="preserve"> и </w:t>
      </w:r>
      <w:hyperlink r:id="rId3" w:history="1">
        <w:r w:rsidRPr="00A8761D">
          <w:rPr>
            <w:rStyle w:val="af1"/>
          </w:rPr>
          <w:t>CMW/C/SR.518</w:t>
        </w:r>
      </w:hyperlink>
      <w:r w:rsidRPr="0067103A">
        <w:t>.</w:t>
      </w:r>
    </w:p>
  </w:footnote>
  <w:footnote w:id="4">
    <w:p w14:paraId="0DE5765F" w14:textId="4BE147FE" w:rsidR="002D4927" w:rsidRPr="005D1708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5D1708">
        <w:rPr>
          <w:vertAlign w:val="superscript"/>
        </w:rPr>
        <w:tab/>
      </w:r>
      <w:hyperlink r:id="rId4" w:history="1">
        <w:r w:rsidRPr="00A8761D">
          <w:rPr>
            <w:rStyle w:val="af1"/>
            <w:lang w:val="es-ES"/>
          </w:rPr>
          <w:t>CMW</w:t>
        </w:r>
        <w:r w:rsidRPr="005D1708">
          <w:rPr>
            <w:rStyle w:val="af1"/>
          </w:rPr>
          <w:t>/</w:t>
        </w:r>
        <w:r w:rsidRPr="00A8761D">
          <w:rPr>
            <w:rStyle w:val="af1"/>
            <w:lang w:val="es-ES"/>
          </w:rPr>
          <w:t>C</w:t>
        </w:r>
        <w:r w:rsidRPr="005D1708">
          <w:rPr>
            <w:rStyle w:val="af1"/>
          </w:rPr>
          <w:t>/</w:t>
        </w:r>
        <w:r w:rsidRPr="00A8761D">
          <w:rPr>
            <w:rStyle w:val="af1"/>
            <w:lang w:val="es-ES"/>
          </w:rPr>
          <w:t>NGA</w:t>
        </w:r>
        <w:r w:rsidRPr="005D1708">
          <w:rPr>
            <w:rStyle w:val="af1"/>
          </w:rPr>
          <w:t>/</w:t>
        </w:r>
        <w:r w:rsidRPr="00A8761D">
          <w:rPr>
            <w:rStyle w:val="af1"/>
            <w:lang w:val="es-ES"/>
          </w:rPr>
          <w:t>QPR</w:t>
        </w:r>
        <w:r w:rsidRPr="005D1708">
          <w:rPr>
            <w:rStyle w:val="af1"/>
          </w:rPr>
          <w:t>/1-2</w:t>
        </w:r>
      </w:hyperlink>
      <w:r w:rsidRPr="005D1708">
        <w:t>.</w:t>
      </w:r>
    </w:p>
  </w:footnote>
  <w:footnote w:id="5">
    <w:p w14:paraId="36FAD57B" w14:textId="4FE41E6D" w:rsidR="002D4927" w:rsidRPr="00043AB1" w:rsidRDefault="002D4927" w:rsidP="002D4927">
      <w:pPr>
        <w:pStyle w:val="ad"/>
        <w:rPr>
          <w:color w:val="000000" w:themeColor="text1"/>
        </w:rPr>
      </w:pPr>
      <w:r w:rsidRPr="005D1708">
        <w:tab/>
      </w:r>
      <w:r w:rsidRPr="00417EC2">
        <w:rPr>
          <w:rStyle w:val="aa"/>
        </w:rPr>
        <w:footnoteRef/>
      </w:r>
      <w:r w:rsidRPr="00043AB1">
        <w:rPr>
          <w:vertAlign w:val="superscript"/>
        </w:rPr>
        <w:tab/>
      </w:r>
      <w:hyperlink r:id="rId5" w:history="1">
        <w:r w:rsidR="005D1708" w:rsidRPr="005D1708">
          <w:rPr>
            <w:rStyle w:val="af1"/>
            <w:lang w:val="es-ES"/>
          </w:rPr>
          <w:t>CMW</w:t>
        </w:r>
        <w:r w:rsidR="005D1708" w:rsidRPr="00043AB1">
          <w:rPr>
            <w:rStyle w:val="af1"/>
          </w:rPr>
          <w:t>/</w:t>
        </w:r>
        <w:r w:rsidR="005D1708" w:rsidRPr="005D1708">
          <w:rPr>
            <w:rStyle w:val="af1"/>
            <w:lang w:val="es-ES"/>
          </w:rPr>
          <w:t>C</w:t>
        </w:r>
        <w:r w:rsidR="005D1708" w:rsidRPr="00043AB1">
          <w:rPr>
            <w:rStyle w:val="af1"/>
          </w:rPr>
          <w:t>/</w:t>
        </w:r>
        <w:r w:rsidR="005D1708" w:rsidRPr="005D1708">
          <w:rPr>
            <w:rStyle w:val="af1"/>
            <w:lang w:val="es-ES"/>
          </w:rPr>
          <w:t>NGA</w:t>
        </w:r>
        <w:r w:rsidR="005D1708" w:rsidRPr="00043AB1">
          <w:rPr>
            <w:rStyle w:val="af1"/>
          </w:rPr>
          <w:t>/</w:t>
        </w:r>
        <w:r w:rsidR="005D1708" w:rsidRPr="005D1708">
          <w:rPr>
            <w:rStyle w:val="af1"/>
            <w:lang w:val="es-ES"/>
          </w:rPr>
          <w:t>QPR</w:t>
        </w:r>
        <w:r w:rsidR="005D1708" w:rsidRPr="00043AB1">
          <w:rPr>
            <w:rStyle w:val="af1"/>
          </w:rPr>
          <w:t>/1</w:t>
        </w:r>
      </w:hyperlink>
      <w:r w:rsidR="005D1708" w:rsidRPr="00043AB1">
        <w:rPr>
          <w:rStyle w:val="af1"/>
          <w:color w:val="000000" w:themeColor="text1"/>
        </w:rPr>
        <w:t>.</w:t>
      </w:r>
    </w:p>
  </w:footnote>
  <w:footnote w:id="6">
    <w:p w14:paraId="4FDCA7A6" w14:textId="0646C9DB" w:rsidR="002D4927" w:rsidRPr="00043AB1" w:rsidRDefault="002D4927" w:rsidP="002D4927">
      <w:pPr>
        <w:pStyle w:val="ad"/>
        <w:rPr>
          <w:lang w:val="en-US"/>
        </w:rPr>
      </w:pPr>
      <w:r w:rsidRPr="00043AB1">
        <w:tab/>
      </w:r>
      <w:r w:rsidRPr="00417EC2">
        <w:rPr>
          <w:rStyle w:val="aa"/>
        </w:rPr>
        <w:footnoteRef/>
      </w:r>
      <w:r w:rsidRPr="00043AB1">
        <w:rPr>
          <w:vertAlign w:val="superscript"/>
          <w:lang w:val="en-US"/>
        </w:rPr>
        <w:tab/>
      </w:r>
      <w:hyperlink r:id="rId6" w:history="1">
        <w:r w:rsidR="005D1708" w:rsidRPr="00043AB1">
          <w:rPr>
            <w:rStyle w:val="af1"/>
            <w:lang w:val="en-US"/>
          </w:rPr>
          <w:t>A/67/48</w:t>
        </w:r>
      </w:hyperlink>
      <w:r w:rsidR="005D1708" w:rsidRPr="00043AB1">
        <w:rPr>
          <w:lang w:val="en-US"/>
        </w:rPr>
        <w:t xml:space="preserve">, </w:t>
      </w:r>
      <w:r w:rsidR="005D1708">
        <w:t>п</w:t>
      </w:r>
      <w:r w:rsidR="005D1708" w:rsidRPr="00043AB1">
        <w:rPr>
          <w:lang w:val="en-US"/>
        </w:rPr>
        <w:t>. 26.</w:t>
      </w:r>
    </w:p>
  </w:footnote>
  <w:footnote w:id="7">
    <w:p w14:paraId="5F186E95" w14:textId="1708C333" w:rsidR="002D4927" w:rsidRPr="00043AB1" w:rsidRDefault="002D4927" w:rsidP="002D4927">
      <w:pPr>
        <w:pStyle w:val="ad"/>
        <w:rPr>
          <w:lang w:val="en-US"/>
        </w:rPr>
      </w:pPr>
      <w:r w:rsidRPr="00043AB1">
        <w:rPr>
          <w:lang w:val="en-US"/>
        </w:rPr>
        <w:tab/>
      </w:r>
      <w:r w:rsidRPr="00417EC2">
        <w:rPr>
          <w:rStyle w:val="aa"/>
        </w:rPr>
        <w:footnoteRef/>
      </w:r>
      <w:r w:rsidRPr="00043AB1">
        <w:rPr>
          <w:vertAlign w:val="superscript"/>
          <w:lang w:val="en-US"/>
        </w:rPr>
        <w:tab/>
      </w:r>
      <w:hyperlink r:id="rId7" w:history="1">
        <w:r w:rsidRPr="00043AB1">
          <w:rPr>
            <w:rStyle w:val="af1"/>
            <w:lang w:val="en-US"/>
          </w:rPr>
          <w:t>CMW/C/NGA/CO/1</w:t>
        </w:r>
      </w:hyperlink>
      <w:r w:rsidRPr="00043AB1">
        <w:rPr>
          <w:lang w:val="en-US"/>
        </w:rPr>
        <w:t xml:space="preserve">, </w:t>
      </w:r>
      <w:r>
        <w:t>п</w:t>
      </w:r>
      <w:r w:rsidRPr="00043AB1">
        <w:rPr>
          <w:lang w:val="en-US"/>
        </w:rPr>
        <w:t xml:space="preserve">. </w:t>
      </w:r>
      <w:proofErr w:type="gramStart"/>
      <w:r w:rsidRPr="00043AB1">
        <w:rPr>
          <w:lang w:val="en-US"/>
        </w:rPr>
        <w:t>2</w:t>
      </w:r>
      <w:proofErr w:type="gramEnd"/>
      <w:r w:rsidRPr="00043AB1">
        <w:rPr>
          <w:lang w:val="en-US"/>
        </w:rPr>
        <w:t>.</w:t>
      </w:r>
    </w:p>
  </w:footnote>
  <w:footnote w:id="8">
    <w:p w14:paraId="47573DD1" w14:textId="7FCC23CC" w:rsidR="002D4927" w:rsidRPr="00043AB1" w:rsidRDefault="002D4927" w:rsidP="002D4927">
      <w:pPr>
        <w:pStyle w:val="ad"/>
      </w:pPr>
      <w:r w:rsidRPr="00043AB1">
        <w:rPr>
          <w:lang w:val="en-US"/>
        </w:rPr>
        <w:tab/>
      </w:r>
      <w:r w:rsidRPr="00417EC2">
        <w:rPr>
          <w:rStyle w:val="aa"/>
        </w:rPr>
        <w:footnoteRef/>
      </w:r>
      <w:r w:rsidRPr="00043AB1">
        <w:rPr>
          <w:vertAlign w:val="superscript"/>
        </w:rPr>
        <w:tab/>
      </w:r>
      <w:hyperlink r:id="rId8" w:history="1">
        <w:r w:rsidRPr="00A8761D">
          <w:rPr>
            <w:rStyle w:val="af1"/>
            <w:lang w:val="es-ES"/>
          </w:rPr>
          <w:t>CMW</w:t>
        </w:r>
        <w:r w:rsidRPr="00043AB1">
          <w:rPr>
            <w:rStyle w:val="af1"/>
          </w:rPr>
          <w:t>/</w:t>
        </w:r>
        <w:r w:rsidRPr="00A8761D">
          <w:rPr>
            <w:rStyle w:val="af1"/>
            <w:lang w:val="es-ES"/>
          </w:rPr>
          <w:t>C</w:t>
        </w:r>
        <w:r w:rsidRPr="00043AB1">
          <w:rPr>
            <w:rStyle w:val="af1"/>
          </w:rPr>
          <w:t>/</w:t>
        </w:r>
        <w:r w:rsidRPr="00A8761D">
          <w:rPr>
            <w:rStyle w:val="af1"/>
            <w:lang w:val="es-ES"/>
          </w:rPr>
          <w:t>NGA</w:t>
        </w:r>
        <w:r w:rsidRPr="00043AB1">
          <w:rPr>
            <w:rStyle w:val="af1"/>
          </w:rPr>
          <w:t>/</w:t>
        </w:r>
        <w:r w:rsidRPr="00A8761D">
          <w:rPr>
            <w:rStyle w:val="af1"/>
            <w:lang w:val="es-ES"/>
          </w:rPr>
          <w:t>CO</w:t>
        </w:r>
        <w:r w:rsidRPr="00043AB1">
          <w:rPr>
            <w:rStyle w:val="af1"/>
          </w:rPr>
          <w:t>/1</w:t>
        </w:r>
      </w:hyperlink>
      <w:r w:rsidRPr="00043AB1">
        <w:t>.</w:t>
      </w:r>
    </w:p>
  </w:footnote>
  <w:footnote w:id="9">
    <w:p w14:paraId="78EB6625" w14:textId="77777777" w:rsidR="002D4927" w:rsidRPr="00043AB1" w:rsidRDefault="002D4927" w:rsidP="002D4927">
      <w:pPr>
        <w:pStyle w:val="ad"/>
      </w:pPr>
      <w:r w:rsidRPr="00043AB1">
        <w:tab/>
      </w:r>
      <w:r w:rsidRPr="00417EC2">
        <w:rPr>
          <w:rStyle w:val="aa"/>
        </w:rPr>
        <w:footnoteRef/>
      </w:r>
      <w:r w:rsidRPr="00043AB1">
        <w:rPr>
          <w:vertAlign w:val="superscript"/>
        </w:rPr>
        <w:tab/>
      </w:r>
      <w:r>
        <w:t>Там</w:t>
      </w:r>
      <w:r w:rsidRPr="00043AB1">
        <w:t xml:space="preserve"> </w:t>
      </w:r>
      <w:r>
        <w:t>же</w:t>
      </w:r>
      <w:r w:rsidRPr="00043AB1">
        <w:t xml:space="preserve">, </w:t>
      </w:r>
      <w:r>
        <w:t>пп</w:t>
      </w:r>
      <w:r w:rsidRPr="00043AB1">
        <w:t xml:space="preserve">. 3 </w:t>
      </w:r>
      <w:r>
        <w:t>и</w:t>
      </w:r>
      <w:r w:rsidRPr="00043AB1">
        <w:t xml:space="preserve"> 4.</w:t>
      </w:r>
    </w:p>
  </w:footnote>
  <w:footnote w:id="10">
    <w:p w14:paraId="79BA96DE" w14:textId="77777777" w:rsidR="002D4927" w:rsidRPr="0061102E" w:rsidRDefault="002D4927" w:rsidP="002D4927">
      <w:pPr>
        <w:pStyle w:val="ad"/>
      </w:pPr>
      <w:r w:rsidRPr="00043AB1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11.</w:t>
      </w:r>
    </w:p>
  </w:footnote>
  <w:footnote w:id="11">
    <w:p w14:paraId="063AC58D" w14:textId="77777777" w:rsidR="002D4927" w:rsidRPr="0061102E" w:rsidRDefault="002D4927" w:rsidP="002D4927">
      <w:pPr>
        <w:pStyle w:val="ad"/>
        <w:rPr>
          <w:b/>
          <w:bCs/>
        </w:rPr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12.</w:t>
      </w:r>
    </w:p>
  </w:footnote>
  <w:footnote w:id="12">
    <w:p w14:paraId="17B9724A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13.</w:t>
      </w:r>
    </w:p>
  </w:footnote>
  <w:footnote w:id="13">
    <w:p w14:paraId="40623FF9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14.</w:t>
      </w:r>
    </w:p>
  </w:footnote>
  <w:footnote w:id="14">
    <w:p w14:paraId="143D0B0D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16.</w:t>
      </w:r>
    </w:p>
  </w:footnote>
  <w:footnote w:id="15">
    <w:p w14:paraId="04DDB22A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18.</w:t>
      </w:r>
    </w:p>
  </w:footnote>
  <w:footnote w:id="16">
    <w:p w14:paraId="4808B0D3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20.</w:t>
      </w:r>
    </w:p>
  </w:footnote>
  <w:footnote w:id="17">
    <w:p w14:paraId="10747801" w14:textId="77777777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22.</w:t>
      </w:r>
    </w:p>
  </w:footnote>
  <w:footnote w:id="18">
    <w:p w14:paraId="5F2C80AC" w14:textId="58AB6EBA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hyperlink r:id="rId9" w:history="1">
        <w:r w:rsidRPr="00A8761D">
          <w:rPr>
            <w:rStyle w:val="af1"/>
          </w:rPr>
          <w:t>CMW/C/NGA/QPR/1-2</w:t>
        </w:r>
      </w:hyperlink>
      <w:r>
        <w:t>.</w:t>
      </w:r>
    </w:p>
  </w:footnote>
  <w:footnote w:id="19">
    <w:p w14:paraId="49513D2C" w14:textId="3F67D61D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hyperlink r:id="rId10" w:history="1">
        <w:r w:rsidRPr="00A8761D">
          <w:rPr>
            <w:rStyle w:val="af1"/>
          </w:rPr>
          <w:t>CMW/C/NGA/CO/1</w:t>
        </w:r>
      </w:hyperlink>
      <w:r>
        <w:t>, п. 24.</w:t>
      </w:r>
    </w:p>
  </w:footnote>
  <w:footnote w:id="20">
    <w:p w14:paraId="4CA49009" w14:textId="3D5F472F" w:rsidR="002D4927" w:rsidRPr="0061102E" w:rsidRDefault="002D4927" w:rsidP="002D4927">
      <w:pPr>
        <w:pStyle w:val="ad"/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 xml:space="preserve">См. </w:t>
      </w:r>
      <w:hyperlink r:id="rId11" w:history="1">
        <w:r w:rsidR="00417EC2" w:rsidRPr="00A45E4D">
          <w:rPr>
            <w:rStyle w:val="af1"/>
          </w:rPr>
          <w:t>www.ohchr.org/Documents/Publications/HR_PUB_16_1_NMRF_PracticalGuide.pdf</w:t>
        </w:r>
      </w:hyperlink>
      <w:r>
        <w:t>.</w:t>
      </w:r>
      <w:r w:rsidR="00417EC2">
        <w:t xml:space="preserve"> </w:t>
      </w:r>
    </w:p>
  </w:footnote>
  <w:footnote w:id="21">
    <w:p w14:paraId="603674F2" w14:textId="7C20471F" w:rsidR="002D4927" w:rsidRPr="002D4927" w:rsidRDefault="002D4927" w:rsidP="002D4927">
      <w:pPr>
        <w:pStyle w:val="ad"/>
        <w:rPr>
          <w:lang w:val="en-US"/>
        </w:rPr>
      </w:pPr>
      <w:r w:rsidRPr="0096142C">
        <w:tab/>
      </w:r>
      <w:r w:rsidRPr="00417EC2">
        <w:rPr>
          <w:rStyle w:val="aa"/>
        </w:rPr>
        <w:footnoteRef/>
      </w:r>
      <w:r w:rsidRPr="00417EC2">
        <w:rPr>
          <w:vertAlign w:val="superscript"/>
          <w:lang w:val="en-US"/>
        </w:rPr>
        <w:tab/>
      </w:r>
      <w:r w:rsidR="00BA05CD">
        <w:fldChar w:fldCharType="begin"/>
      </w:r>
      <w:r w:rsidR="00BA05CD" w:rsidRPr="00043AB1">
        <w:rPr>
          <w:lang w:val="en-US"/>
        </w:rPr>
        <w:instrText>HYPERLINK "http://undocs.org/ru/CMW/C/NGA/CO/1"</w:instrText>
      </w:r>
      <w:r w:rsidR="00BA05CD">
        <w:fldChar w:fldCharType="separate"/>
      </w:r>
      <w:r w:rsidRPr="00A8761D">
        <w:rPr>
          <w:rStyle w:val="af1"/>
          <w:lang w:val="en-US"/>
        </w:rPr>
        <w:t>CMW/C/NGA/CO/1</w:t>
      </w:r>
      <w:r w:rsidR="00BA05CD">
        <w:rPr>
          <w:rStyle w:val="af1"/>
          <w:lang w:val="en-US"/>
        </w:rPr>
        <w:fldChar w:fldCharType="end"/>
      </w:r>
      <w:r w:rsidRPr="002D4927">
        <w:rPr>
          <w:lang w:val="en-US"/>
        </w:rPr>
        <w:t xml:space="preserve">, </w:t>
      </w:r>
      <w:r>
        <w:t>п</w:t>
      </w:r>
      <w:r w:rsidRPr="002D4927">
        <w:rPr>
          <w:lang w:val="en-US"/>
        </w:rPr>
        <w:t>. 56 g).</w:t>
      </w:r>
    </w:p>
  </w:footnote>
  <w:footnote w:id="22">
    <w:p w14:paraId="2431534A" w14:textId="31B37553" w:rsidR="002D4927" w:rsidRPr="002D4927" w:rsidRDefault="002D4927" w:rsidP="002D4927">
      <w:pPr>
        <w:pStyle w:val="ad"/>
        <w:rPr>
          <w:lang w:val="en-US"/>
        </w:rPr>
      </w:pPr>
      <w:r w:rsidRPr="002D4927">
        <w:rPr>
          <w:lang w:val="en-US"/>
        </w:rPr>
        <w:tab/>
      </w:r>
      <w:r w:rsidRPr="00417EC2">
        <w:rPr>
          <w:rStyle w:val="aa"/>
        </w:rPr>
        <w:footnoteRef/>
      </w:r>
      <w:r w:rsidRPr="00417EC2">
        <w:rPr>
          <w:vertAlign w:val="superscript"/>
          <w:lang w:val="en-US"/>
        </w:rPr>
        <w:tab/>
      </w:r>
      <w:r w:rsidR="00BA05CD">
        <w:fldChar w:fldCharType="begin"/>
      </w:r>
      <w:r w:rsidR="00BA05CD" w:rsidRPr="00043AB1">
        <w:rPr>
          <w:lang w:val="en-US"/>
        </w:rPr>
        <w:instrText>HYPERLINK "http://undocs.org/ru/A/HRC/40/7"</w:instrText>
      </w:r>
      <w:r w:rsidR="00BA05CD">
        <w:fldChar w:fldCharType="separate"/>
      </w:r>
      <w:r w:rsidRPr="00A8761D">
        <w:rPr>
          <w:rStyle w:val="af1"/>
          <w:lang w:val="en-US"/>
        </w:rPr>
        <w:t>A/HRC/40/7</w:t>
      </w:r>
      <w:r w:rsidR="00BA05CD">
        <w:rPr>
          <w:rStyle w:val="af1"/>
          <w:lang w:val="en-US"/>
        </w:rPr>
        <w:fldChar w:fldCharType="end"/>
      </w:r>
      <w:r w:rsidRPr="002D4927">
        <w:rPr>
          <w:lang w:val="en-US"/>
        </w:rPr>
        <w:t xml:space="preserve">, </w:t>
      </w:r>
      <w:r>
        <w:t>пп</w:t>
      </w:r>
      <w:r w:rsidRPr="002D4927">
        <w:rPr>
          <w:lang w:val="en-US"/>
        </w:rPr>
        <w:t>. 148.83</w:t>
      </w:r>
      <w:r w:rsidRPr="007337D1">
        <w:rPr>
          <w:lang w:val="en-US"/>
        </w:rPr>
        <w:t>–</w:t>
      </w:r>
      <w:r w:rsidRPr="002D4927">
        <w:rPr>
          <w:lang w:val="en-US"/>
        </w:rPr>
        <w:t xml:space="preserve">148.90; </w:t>
      </w:r>
      <w:r>
        <w:t>и</w:t>
      </w:r>
      <w:r w:rsidRPr="002D4927">
        <w:rPr>
          <w:lang w:val="en-US"/>
        </w:rPr>
        <w:t xml:space="preserve"> </w:t>
      </w:r>
      <w:hyperlink r:id="rId12" w:history="1">
        <w:r w:rsidRPr="00A8761D">
          <w:rPr>
            <w:rStyle w:val="af1"/>
            <w:lang w:val="en-US"/>
          </w:rPr>
          <w:t>A/HRC/40/7/Add.1</w:t>
        </w:r>
      </w:hyperlink>
      <w:r w:rsidRPr="002D4927">
        <w:rPr>
          <w:lang w:val="en-US"/>
        </w:rPr>
        <w:t>.</w:t>
      </w:r>
    </w:p>
  </w:footnote>
  <w:footnote w:id="23">
    <w:p w14:paraId="1354FC87" w14:textId="64A0DE1F" w:rsidR="002D4927" w:rsidRPr="002D4927" w:rsidRDefault="002D4927" w:rsidP="002D4927">
      <w:pPr>
        <w:pStyle w:val="ad"/>
        <w:rPr>
          <w:lang w:val="en-US"/>
        </w:rPr>
      </w:pPr>
      <w:r w:rsidRPr="002D4927">
        <w:rPr>
          <w:lang w:val="en-US"/>
        </w:rPr>
        <w:tab/>
      </w:r>
      <w:r w:rsidRPr="00417EC2">
        <w:rPr>
          <w:rStyle w:val="aa"/>
        </w:rPr>
        <w:footnoteRef/>
      </w:r>
      <w:r w:rsidRPr="00417EC2">
        <w:rPr>
          <w:vertAlign w:val="superscript"/>
          <w:lang w:val="en-US"/>
        </w:rPr>
        <w:tab/>
      </w:r>
      <w:hyperlink r:id="rId13" w:history="1">
        <w:r w:rsidRPr="00A8761D">
          <w:rPr>
            <w:rStyle w:val="af1"/>
            <w:lang w:val="en-US"/>
          </w:rPr>
          <w:t>CMW/C/NGA/CO/1</w:t>
        </w:r>
      </w:hyperlink>
      <w:r w:rsidRPr="002D4927">
        <w:rPr>
          <w:lang w:val="en-US"/>
        </w:rPr>
        <w:t xml:space="preserve">, </w:t>
      </w:r>
      <w:r>
        <w:t>п</w:t>
      </w:r>
      <w:r w:rsidRPr="002D4927">
        <w:rPr>
          <w:lang w:val="en-US"/>
        </w:rPr>
        <w:t xml:space="preserve">. </w:t>
      </w:r>
      <w:proofErr w:type="gramStart"/>
      <w:r w:rsidRPr="002D4927">
        <w:rPr>
          <w:lang w:val="en-US"/>
        </w:rPr>
        <w:t>28</w:t>
      </w:r>
      <w:proofErr w:type="gramEnd"/>
      <w:r w:rsidRPr="002D4927">
        <w:rPr>
          <w:lang w:val="en-US"/>
        </w:rPr>
        <w:t>.</w:t>
      </w:r>
    </w:p>
  </w:footnote>
  <w:footnote w:id="24">
    <w:p w14:paraId="55EE831D" w14:textId="77777777" w:rsidR="00965240" w:rsidRPr="0061102E" w:rsidRDefault="00965240" w:rsidP="00965240">
      <w:pPr>
        <w:pStyle w:val="ad"/>
      </w:pPr>
      <w:r w:rsidRPr="002D4927">
        <w:rPr>
          <w:lang w:val="en-US"/>
        </w:rPr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30.</w:t>
      </w:r>
    </w:p>
  </w:footnote>
  <w:footnote w:id="25">
    <w:p w14:paraId="48569BD1" w14:textId="0AC10949" w:rsidR="002D4927" w:rsidRPr="0061102E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 xml:space="preserve">См. </w:t>
      </w:r>
      <w:hyperlink r:id="rId14" w:history="1">
        <w:r w:rsidR="00A8761D" w:rsidRPr="00A45E4D">
          <w:rPr>
            <w:rStyle w:val="af1"/>
          </w:rPr>
          <w:t>https://www.ilo.org/africa/about-us/offices/abuja/WCMS_803364/lang--en/index.htm</w:t>
        </w:r>
      </w:hyperlink>
      <w:r>
        <w:t>.</w:t>
      </w:r>
      <w:r w:rsidR="00A8761D">
        <w:t xml:space="preserve"> </w:t>
      </w:r>
    </w:p>
  </w:footnote>
  <w:footnote w:id="26">
    <w:p w14:paraId="3DA4809C" w14:textId="765FCA27" w:rsidR="002D4927" w:rsidRPr="002D4927" w:rsidRDefault="002D4927" w:rsidP="002D4927">
      <w:pPr>
        <w:pStyle w:val="ad"/>
        <w:rPr>
          <w:lang w:val="en-US"/>
        </w:rPr>
      </w:pPr>
      <w:r w:rsidRPr="009A5649">
        <w:tab/>
      </w:r>
      <w:r w:rsidRPr="00417EC2">
        <w:rPr>
          <w:rStyle w:val="aa"/>
        </w:rPr>
        <w:footnoteRef/>
      </w:r>
      <w:r w:rsidRPr="00417EC2">
        <w:rPr>
          <w:vertAlign w:val="superscript"/>
          <w:lang w:val="en-US"/>
        </w:rPr>
        <w:tab/>
      </w:r>
      <w:hyperlink r:id="rId15" w:history="1">
        <w:r w:rsidRPr="00A8761D">
          <w:rPr>
            <w:rStyle w:val="af1"/>
            <w:lang w:val="en-US"/>
          </w:rPr>
          <w:t>CMW/C/NGA/CO/1</w:t>
        </w:r>
      </w:hyperlink>
      <w:r w:rsidRPr="002D4927">
        <w:rPr>
          <w:lang w:val="en-US"/>
        </w:rPr>
        <w:t xml:space="preserve">, </w:t>
      </w:r>
      <w:r>
        <w:t>п</w:t>
      </w:r>
      <w:r w:rsidRPr="002D4927">
        <w:rPr>
          <w:lang w:val="en-US"/>
        </w:rPr>
        <w:t xml:space="preserve">. </w:t>
      </w:r>
      <w:proofErr w:type="gramStart"/>
      <w:r w:rsidRPr="002D4927">
        <w:rPr>
          <w:lang w:val="en-US"/>
        </w:rPr>
        <w:t>32</w:t>
      </w:r>
      <w:proofErr w:type="gramEnd"/>
      <w:r w:rsidRPr="002D4927">
        <w:rPr>
          <w:lang w:val="en-US"/>
        </w:rPr>
        <w:t>.</w:t>
      </w:r>
    </w:p>
  </w:footnote>
  <w:footnote w:id="27">
    <w:p w14:paraId="6AE6B8C9" w14:textId="77777777" w:rsidR="002D4927" w:rsidRPr="0061102E" w:rsidRDefault="002D4927" w:rsidP="002D4927">
      <w:pPr>
        <w:pStyle w:val="ad"/>
      </w:pPr>
      <w:r w:rsidRPr="002D4927">
        <w:rPr>
          <w:lang w:val="en-US"/>
        </w:rPr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34.</w:t>
      </w:r>
    </w:p>
  </w:footnote>
  <w:footnote w:id="28">
    <w:p w14:paraId="304BE83D" w14:textId="72D84804" w:rsidR="002D4927" w:rsidRPr="00CB016D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CB016D">
        <w:rPr>
          <w:vertAlign w:val="superscript"/>
        </w:rPr>
        <w:tab/>
      </w:r>
      <w:hyperlink r:id="rId16" w:history="1">
        <w:r w:rsidRPr="00A8761D">
          <w:rPr>
            <w:rStyle w:val="af1"/>
            <w:lang w:val="es-ES"/>
          </w:rPr>
          <w:t>CMW</w:t>
        </w:r>
        <w:r w:rsidRPr="00CB016D">
          <w:rPr>
            <w:rStyle w:val="af1"/>
          </w:rPr>
          <w:t>/</w:t>
        </w:r>
        <w:r w:rsidRPr="00A8761D">
          <w:rPr>
            <w:rStyle w:val="af1"/>
            <w:lang w:val="es-ES"/>
          </w:rPr>
          <w:t>C</w:t>
        </w:r>
        <w:r w:rsidRPr="00CB016D">
          <w:rPr>
            <w:rStyle w:val="af1"/>
          </w:rPr>
          <w:t>/</w:t>
        </w:r>
        <w:r w:rsidRPr="00A8761D">
          <w:rPr>
            <w:rStyle w:val="af1"/>
            <w:lang w:val="es-ES"/>
          </w:rPr>
          <w:t>NGA</w:t>
        </w:r>
        <w:r w:rsidRPr="00CB016D">
          <w:rPr>
            <w:rStyle w:val="af1"/>
          </w:rPr>
          <w:t>/1-2</w:t>
        </w:r>
      </w:hyperlink>
      <w:r w:rsidRPr="00CB016D">
        <w:t xml:space="preserve">, </w:t>
      </w:r>
      <w:r>
        <w:t>п</w:t>
      </w:r>
      <w:r w:rsidRPr="00CB016D">
        <w:t>. 137.</w:t>
      </w:r>
    </w:p>
  </w:footnote>
  <w:footnote w:id="29">
    <w:p w14:paraId="6B193151" w14:textId="4540A139" w:rsidR="002D4927" w:rsidRPr="00CB016D" w:rsidRDefault="002D4927" w:rsidP="002D4927">
      <w:pPr>
        <w:pStyle w:val="ad"/>
        <w:rPr>
          <w:lang w:val="en-US"/>
        </w:rPr>
      </w:pPr>
      <w:r w:rsidRPr="00CB016D">
        <w:tab/>
      </w:r>
      <w:r w:rsidRPr="00417EC2">
        <w:rPr>
          <w:rStyle w:val="aa"/>
        </w:rPr>
        <w:footnoteRef/>
      </w:r>
      <w:r w:rsidRPr="00CB016D">
        <w:rPr>
          <w:vertAlign w:val="superscript"/>
          <w:lang w:val="en-US"/>
        </w:rPr>
        <w:tab/>
      </w:r>
      <w:hyperlink r:id="rId17" w:history="1">
        <w:r w:rsidRPr="00CB016D">
          <w:rPr>
            <w:rStyle w:val="af1"/>
            <w:lang w:val="en-US"/>
          </w:rPr>
          <w:t>CMW/C/NGA/CO/1</w:t>
        </w:r>
      </w:hyperlink>
      <w:r w:rsidRPr="00CB016D">
        <w:rPr>
          <w:lang w:val="en-US"/>
        </w:rPr>
        <w:t xml:space="preserve">, </w:t>
      </w:r>
      <w:r>
        <w:t>п</w:t>
      </w:r>
      <w:r w:rsidRPr="00CB016D">
        <w:rPr>
          <w:lang w:val="en-US"/>
        </w:rPr>
        <w:t xml:space="preserve">. </w:t>
      </w:r>
      <w:proofErr w:type="gramStart"/>
      <w:r w:rsidRPr="00CB016D">
        <w:rPr>
          <w:lang w:val="en-US"/>
        </w:rPr>
        <w:t>36</w:t>
      </w:r>
      <w:proofErr w:type="gramEnd"/>
      <w:r w:rsidRPr="00CB016D">
        <w:rPr>
          <w:lang w:val="en-US"/>
        </w:rPr>
        <w:t>.</w:t>
      </w:r>
    </w:p>
  </w:footnote>
  <w:footnote w:id="30">
    <w:p w14:paraId="4085E35E" w14:textId="77777777" w:rsidR="002D4927" w:rsidRPr="0061102E" w:rsidRDefault="002D4927" w:rsidP="002D4927">
      <w:pPr>
        <w:pStyle w:val="ad"/>
      </w:pPr>
      <w:r w:rsidRPr="00CB016D">
        <w:rPr>
          <w:lang w:val="en-US"/>
        </w:rPr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40.</w:t>
      </w:r>
    </w:p>
  </w:footnote>
  <w:footnote w:id="31">
    <w:p w14:paraId="6B705933" w14:textId="77777777" w:rsidR="002D4927" w:rsidRPr="0061102E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38.</w:t>
      </w:r>
    </w:p>
  </w:footnote>
  <w:footnote w:id="32">
    <w:p w14:paraId="501AE161" w14:textId="77777777" w:rsidR="002D4927" w:rsidRPr="0061102E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42.</w:t>
      </w:r>
    </w:p>
  </w:footnote>
  <w:footnote w:id="33">
    <w:p w14:paraId="324516CA" w14:textId="77777777" w:rsidR="002D4927" w:rsidRPr="0061102E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52.</w:t>
      </w:r>
    </w:p>
  </w:footnote>
  <w:footnote w:id="34">
    <w:p w14:paraId="4C44EF63" w14:textId="77777777" w:rsidR="003F397A" w:rsidRPr="0061102E" w:rsidRDefault="003F397A" w:rsidP="003F397A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54.</w:t>
      </w:r>
    </w:p>
  </w:footnote>
  <w:footnote w:id="35">
    <w:p w14:paraId="3F9A3623" w14:textId="77777777" w:rsidR="002D4927" w:rsidRPr="0061102E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r>
        <w:t>Там же, п. 56.</w:t>
      </w:r>
    </w:p>
  </w:footnote>
  <w:footnote w:id="36">
    <w:p w14:paraId="1A1BA2DA" w14:textId="45BB7EC7" w:rsidR="002D4927" w:rsidRPr="00E75F26" w:rsidRDefault="002D4927" w:rsidP="002D4927">
      <w:pPr>
        <w:pStyle w:val="ad"/>
      </w:pPr>
      <w:r w:rsidRPr="0044414F">
        <w:tab/>
      </w:r>
      <w:r w:rsidRPr="00417EC2">
        <w:rPr>
          <w:rStyle w:val="aa"/>
        </w:rPr>
        <w:footnoteRef/>
      </w:r>
      <w:r w:rsidRPr="00417EC2">
        <w:rPr>
          <w:vertAlign w:val="superscript"/>
        </w:rPr>
        <w:tab/>
      </w:r>
      <w:hyperlink r:id="rId18" w:history="1">
        <w:r w:rsidRPr="00A8761D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13B67" w14:textId="18FAE602" w:rsidR="002D4927" w:rsidRPr="002D4927" w:rsidRDefault="00BA05C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CMW/C/NGA/CO/1-2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4CFC" w14:textId="528B50AE" w:rsidR="002D4927" w:rsidRPr="002D4927" w:rsidRDefault="00BA05CD" w:rsidP="002D492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CMW/C/NGA/CO/1-2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3C82" w14:textId="77777777" w:rsidR="002D4927" w:rsidRDefault="002D4927" w:rsidP="002D492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CA"/>
    <w:rsid w:val="00033EE1"/>
    <w:rsid w:val="00042B72"/>
    <w:rsid w:val="00043AB1"/>
    <w:rsid w:val="0004449F"/>
    <w:rsid w:val="000558BD"/>
    <w:rsid w:val="000944DB"/>
    <w:rsid w:val="000974E0"/>
    <w:rsid w:val="000B57E7"/>
    <w:rsid w:val="000B6373"/>
    <w:rsid w:val="000C49A9"/>
    <w:rsid w:val="000F09DF"/>
    <w:rsid w:val="000F61B2"/>
    <w:rsid w:val="000F7FF4"/>
    <w:rsid w:val="001075E9"/>
    <w:rsid w:val="00131C07"/>
    <w:rsid w:val="0016657A"/>
    <w:rsid w:val="00180183"/>
    <w:rsid w:val="0018024D"/>
    <w:rsid w:val="001851AD"/>
    <w:rsid w:val="0018649F"/>
    <w:rsid w:val="00196389"/>
    <w:rsid w:val="001A2DCD"/>
    <w:rsid w:val="001B3EF6"/>
    <w:rsid w:val="001B5457"/>
    <w:rsid w:val="001C6847"/>
    <w:rsid w:val="001C7A89"/>
    <w:rsid w:val="002A2EFC"/>
    <w:rsid w:val="002B74B1"/>
    <w:rsid w:val="002C0E18"/>
    <w:rsid w:val="002C6D7C"/>
    <w:rsid w:val="002D4927"/>
    <w:rsid w:val="002D5AAC"/>
    <w:rsid w:val="002E5067"/>
    <w:rsid w:val="002F405F"/>
    <w:rsid w:val="002F4CA3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3B275F"/>
    <w:rsid w:val="003F397A"/>
    <w:rsid w:val="00407B78"/>
    <w:rsid w:val="004102E9"/>
    <w:rsid w:val="00417EC2"/>
    <w:rsid w:val="00424203"/>
    <w:rsid w:val="00452493"/>
    <w:rsid w:val="00453318"/>
    <w:rsid w:val="00454E07"/>
    <w:rsid w:val="0046034B"/>
    <w:rsid w:val="00472C5C"/>
    <w:rsid w:val="00484B5C"/>
    <w:rsid w:val="004B3A26"/>
    <w:rsid w:val="004B583D"/>
    <w:rsid w:val="004C3373"/>
    <w:rsid w:val="004D6C4C"/>
    <w:rsid w:val="0050108D"/>
    <w:rsid w:val="00513081"/>
    <w:rsid w:val="00517901"/>
    <w:rsid w:val="00526683"/>
    <w:rsid w:val="005466CA"/>
    <w:rsid w:val="00567031"/>
    <w:rsid w:val="005709E0"/>
    <w:rsid w:val="00572E19"/>
    <w:rsid w:val="005961C8"/>
    <w:rsid w:val="005966F1"/>
    <w:rsid w:val="005D1708"/>
    <w:rsid w:val="005D7914"/>
    <w:rsid w:val="005E2B41"/>
    <w:rsid w:val="005F0B42"/>
    <w:rsid w:val="005F4EDE"/>
    <w:rsid w:val="00603C18"/>
    <w:rsid w:val="00634646"/>
    <w:rsid w:val="00636A7C"/>
    <w:rsid w:val="00651D9B"/>
    <w:rsid w:val="0065267A"/>
    <w:rsid w:val="00681A10"/>
    <w:rsid w:val="00690B89"/>
    <w:rsid w:val="00692426"/>
    <w:rsid w:val="006A1ED8"/>
    <w:rsid w:val="006C2031"/>
    <w:rsid w:val="006C306A"/>
    <w:rsid w:val="006C6846"/>
    <w:rsid w:val="006D461A"/>
    <w:rsid w:val="006D479F"/>
    <w:rsid w:val="006E278E"/>
    <w:rsid w:val="006E6002"/>
    <w:rsid w:val="006F35EE"/>
    <w:rsid w:val="007021FF"/>
    <w:rsid w:val="00712895"/>
    <w:rsid w:val="007221CA"/>
    <w:rsid w:val="00734ACB"/>
    <w:rsid w:val="00757357"/>
    <w:rsid w:val="007A2AE0"/>
    <w:rsid w:val="007D6E98"/>
    <w:rsid w:val="007F6EBE"/>
    <w:rsid w:val="00806737"/>
    <w:rsid w:val="0081352F"/>
    <w:rsid w:val="00817695"/>
    <w:rsid w:val="00825F8D"/>
    <w:rsid w:val="00834792"/>
    <w:rsid w:val="00834B71"/>
    <w:rsid w:val="00837F45"/>
    <w:rsid w:val="00842DD5"/>
    <w:rsid w:val="00845CAF"/>
    <w:rsid w:val="0086445C"/>
    <w:rsid w:val="00894693"/>
    <w:rsid w:val="008A08D7"/>
    <w:rsid w:val="008B1E0E"/>
    <w:rsid w:val="008B6909"/>
    <w:rsid w:val="008D7A0C"/>
    <w:rsid w:val="00900A96"/>
    <w:rsid w:val="00906890"/>
    <w:rsid w:val="00911BE4"/>
    <w:rsid w:val="0093403D"/>
    <w:rsid w:val="00951972"/>
    <w:rsid w:val="00953A1C"/>
    <w:rsid w:val="009608F3"/>
    <w:rsid w:val="00965240"/>
    <w:rsid w:val="00970ADE"/>
    <w:rsid w:val="0098262B"/>
    <w:rsid w:val="009960A1"/>
    <w:rsid w:val="009A24AC"/>
    <w:rsid w:val="009D78CB"/>
    <w:rsid w:val="00A14DA8"/>
    <w:rsid w:val="00A25130"/>
    <w:rsid w:val="00A312BC"/>
    <w:rsid w:val="00A543C6"/>
    <w:rsid w:val="00A81A6E"/>
    <w:rsid w:val="00A84021"/>
    <w:rsid w:val="00A84D35"/>
    <w:rsid w:val="00A8761D"/>
    <w:rsid w:val="00A917B3"/>
    <w:rsid w:val="00A93F38"/>
    <w:rsid w:val="00AB3C9D"/>
    <w:rsid w:val="00AB4B51"/>
    <w:rsid w:val="00AB6A74"/>
    <w:rsid w:val="00AD761F"/>
    <w:rsid w:val="00AE4937"/>
    <w:rsid w:val="00B10CC7"/>
    <w:rsid w:val="00B36DF7"/>
    <w:rsid w:val="00B539E7"/>
    <w:rsid w:val="00B62458"/>
    <w:rsid w:val="00B968E7"/>
    <w:rsid w:val="00BA05CD"/>
    <w:rsid w:val="00BB40B0"/>
    <w:rsid w:val="00BC18B2"/>
    <w:rsid w:val="00BD33EE"/>
    <w:rsid w:val="00BD3AA6"/>
    <w:rsid w:val="00BD74F3"/>
    <w:rsid w:val="00BE3882"/>
    <w:rsid w:val="00C106D6"/>
    <w:rsid w:val="00C14419"/>
    <w:rsid w:val="00C60F0C"/>
    <w:rsid w:val="00C805C9"/>
    <w:rsid w:val="00C92939"/>
    <w:rsid w:val="00CA1679"/>
    <w:rsid w:val="00CA5C2F"/>
    <w:rsid w:val="00CB016D"/>
    <w:rsid w:val="00CB0D13"/>
    <w:rsid w:val="00CB151C"/>
    <w:rsid w:val="00CE5A1A"/>
    <w:rsid w:val="00CF55F6"/>
    <w:rsid w:val="00D03D8B"/>
    <w:rsid w:val="00D2660A"/>
    <w:rsid w:val="00D33D63"/>
    <w:rsid w:val="00D40EFD"/>
    <w:rsid w:val="00D8104A"/>
    <w:rsid w:val="00D90028"/>
    <w:rsid w:val="00D90138"/>
    <w:rsid w:val="00DA15D5"/>
    <w:rsid w:val="00DA7285"/>
    <w:rsid w:val="00DD34BA"/>
    <w:rsid w:val="00DD78D1"/>
    <w:rsid w:val="00DE32CD"/>
    <w:rsid w:val="00DF71B9"/>
    <w:rsid w:val="00E00C9D"/>
    <w:rsid w:val="00E73F76"/>
    <w:rsid w:val="00E80691"/>
    <w:rsid w:val="00E92A15"/>
    <w:rsid w:val="00EA2C9F"/>
    <w:rsid w:val="00EA420E"/>
    <w:rsid w:val="00EA5E41"/>
    <w:rsid w:val="00ED0BDA"/>
    <w:rsid w:val="00EE7AC6"/>
    <w:rsid w:val="00EF1360"/>
    <w:rsid w:val="00EF3220"/>
    <w:rsid w:val="00F37B5E"/>
    <w:rsid w:val="00F43903"/>
    <w:rsid w:val="00F93040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8951B"/>
  <w15:docId w15:val="{D7286135-7F57-4DFF-BB63-06B4A7A8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"/>
    <w:basedOn w:val="a"/>
    <w:link w:val="ae"/>
    <w:uiPriority w:val="99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uiPriority w:val="99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417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MW/C/NGA/CO/1" TargetMode="External"/><Relationship Id="rId13" Type="http://schemas.openxmlformats.org/officeDocument/2006/relationships/hyperlink" Target="http://undocs.org/ru/CMW/C/NGA/CO/1" TargetMode="External"/><Relationship Id="rId1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MW/C/SR.518" TargetMode="External"/><Relationship Id="rId7" Type="http://schemas.openxmlformats.org/officeDocument/2006/relationships/hyperlink" Target="http://undocs.org/ru/CMW/C/NGA/CO/1" TargetMode="External"/><Relationship Id="rId12" Type="http://schemas.openxmlformats.org/officeDocument/2006/relationships/hyperlink" Target="http://undocs.org/ru/A/HRC/40/7/Add.1" TargetMode="External"/><Relationship Id="rId17" Type="http://schemas.openxmlformats.org/officeDocument/2006/relationships/hyperlink" Target="http://undocs.org/ru/CMW/C/NGA/CO/1" TargetMode="External"/><Relationship Id="rId2" Type="http://schemas.openxmlformats.org/officeDocument/2006/relationships/hyperlink" Target="http://undocs.org/en/CMW/C/SR.517" TargetMode="External"/><Relationship Id="rId16" Type="http://schemas.openxmlformats.org/officeDocument/2006/relationships/hyperlink" Target="http://undocs.org/en/CMW/C/NGA/1-2" TargetMode="External"/><Relationship Id="rId1" Type="http://schemas.openxmlformats.org/officeDocument/2006/relationships/hyperlink" Target="http://undocs.org/ru/CMW/C/NGA/1-2" TargetMode="External"/><Relationship Id="rId6" Type="http://schemas.openxmlformats.org/officeDocument/2006/relationships/hyperlink" Target="http://undocs.org/ru/A/67/48" TargetMode="External"/><Relationship Id="rId11" Type="http://schemas.openxmlformats.org/officeDocument/2006/relationships/hyperlink" Target="http://www.ohchr.org/Documents/Publications/HR_PUB_16_1_NMRF_PracticalGuide.pdf" TargetMode="External"/><Relationship Id="rId5" Type="http://schemas.openxmlformats.org/officeDocument/2006/relationships/hyperlink" Target="http://undocs.org/en/CMW/C/NGA/QPR/1-2" TargetMode="External"/><Relationship Id="rId15" Type="http://schemas.openxmlformats.org/officeDocument/2006/relationships/hyperlink" Target="http://undocs.org/ru/CMW/C/NGA/CO/1" TargetMode="External"/><Relationship Id="rId10" Type="http://schemas.openxmlformats.org/officeDocument/2006/relationships/hyperlink" Target="http://undocs.org/ru/CMW/C/NGA/CO/1" TargetMode="External"/><Relationship Id="rId4" Type="http://schemas.openxmlformats.org/officeDocument/2006/relationships/hyperlink" Target="http://undocs.org/en/CMW/C/NGA/QPR/1-2" TargetMode="External"/><Relationship Id="rId9" Type="http://schemas.openxmlformats.org/officeDocument/2006/relationships/hyperlink" Target="http://undocs.org/en/CMW/C/NGA/QPR/1-2" TargetMode="External"/><Relationship Id="rId14" Type="http://schemas.openxmlformats.org/officeDocument/2006/relationships/hyperlink" Target="https://www.ilo.org/africa/about-us/offices/abuja/WCMS_803364/lang--en/index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24</Pages>
  <Words>9193</Words>
  <Characters>63804</Characters>
  <Application>Microsoft Office Word</Application>
  <DocSecurity>0</DocSecurity>
  <Lines>1160</Lines>
  <Paragraphs>287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CMW/C/NGA/CO/1-2</vt:lpstr>
      <vt:lpstr>    Заключительные замечания по объединенным первоначальному и второму периодическ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A/</vt:lpstr>
      <vt:lpstr>A/</vt:lpstr>
      <vt:lpstr>A/</vt:lpstr>
    </vt:vector>
  </TitlesOfParts>
  <Company>DCM</Company>
  <LinksUpToDate>false</LinksUpToDate>
  <CharactersWithSpaces>72710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CMW/C/NGA/CO/1-2</dc:title>
  <dc:subject/>
  <dc:creator>Olga OVTCHINNIKOVA</dc:creator>
  <cp:keywords/>
  <cp:lastModifiedBy>Olga Ovchinnikova</cp:lastModifiedBy>
  <cp:revision>3</cp:revision>
  <cp:lastPrinted>2023-08-25T11:21:00Z</cp:lastPrinted>
  <dcterms:created xsi:type="dcterms:W3CDTF">2023-08-25T11:21:00Z</dcterms:created>
  <dcterms:modified xsi:type="dcterms:W3CDTF">2023-08-25T11:23:00Z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